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8" w:val="single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2" w:sz="8" w:val="single"/>
          <w:right w:space="0" w:sz="0" w:val="nil"/>
          <w:between w:space="0" w:sz="0" w:val="nil"/>
        </w:pBdr>
        <w:shd w:fill="auto" w:val="clear"/>
        <w:spacing w:after="3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1" w:sz="18" w:val="single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entury Gothic" w:cs="Century Gothic" w:eastAsia="Century Gothic" w:hAnsi="Century Gothic"/>
          <w:b w:val="1"/>
          <w:color w:val="1c1c1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c1c1c"/>
          <w:sz w:val="22"/>
          <w:szCs w:val="22"/>
          <w:rtl w:val="0"/>
        </w:rPr>
        <w:t xml:space="preserve">Statewide Independent Wholesalers </w:t>
        <w:tab/>
        <w:tab/>
        <w:tab/>
        <w:tab/>
        <w:tab/>
        <w:tab/>
        <w:t xml:space="preserve">2021 - 2022 (December)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Operating machinery (GPS and Hi-Rise Forklift)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Using safe manual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Ensuring work health and safety guidelines are 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360"/>
        <w:rPr>
          <w:rFonts w:ascii="Century Gothic" w:cs="Century Gothic" w:eastAsia="Century Gothic" w:hAnsi="Century Gothic"/>
          <w:color w:val="1c1c1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Loading trailers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Century Gothic" w:cs="Century Gothic" w:eastAsia="Century Gothic" w:hAnsi="Century Gothic"/>
          <w:color w:val="1c1c1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entury Gothic" w:cs="Century Gothic" w:eastAsia="Century Gothic" w:hAnsi="Century Gothic"/>
          <w:color w:val="1c1c1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Century Gothic" w:cs="Century Gothic" w:eastAsia="Century Gothic" w:hAnsi="Century Gothic"/>
          <w:b w:val="1"/>
          <w:color w:val="1c1c1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c1c1c"/>
          <w:sz w:val="22"/>
          <w:szCs w:val="22"/>
          <w:rtl w:val="0"/>
        </w:rPr>
        <w:t xml:space="preserve">Berried in Tas Pty Ltd</w:t>
        <w:tab/>
        <w:tab/>
        <w:tab/>
        <w:tab/>
        <w:tab/>
        <w:tab/>
        <w:tab/>
        <w:tab/>
        <w:tab/>
        <w:tab/>
        <w:t xml:space="preserve">2020 - 2021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Picking and packaging raspberries and strawberries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Supervising groups of workers and checking fruit quality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Abiding by correct manual handling techniques to ensure safety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1c1c1c"/>
          <w:sz w:val="22"/>
          <w:szCs w:val="22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c1c1c"/>
          <w:sz w:val="22"/>
          <w:szCs w:val="22"/>
          <w:rtl w:val="0"/>
        </w:rPr>
        <w:t xml:space="preserve">Conservation Volunteers Australia (Green Army)</w:t>
        <w:tab/>
        <w:tab/>
        <w:tab/>
        <w:tab/>
        <w:tab/>
        <w:t xml:space="preserve">2017 - 2018</w:t>
      </w: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Carrying out a range of tasks, including bush weeding and tree planting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Using appropriate tools (loppers, secateurs, and spades)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Complying with work health and safety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c1c1c"/>
          <w:sz w:val="22"/>
          <w:szCs w:val="22"/>
          <w:rtl w:val="0"/>
        </w:rPr>
        <w:t xml:space="preserve">English Tutoring </w:t>
        <w:tab/>
        <w:tab/>
        <w:tab/>
        <w:tab/>
        <w:tab/>
        <w:tab/>
        <w:tab/>
        <w:tab/>
        <w:tab/>
        <w:tab/>
        <w:t xml:space="preserve">2015 - 2016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76" w:lineRule="auto"/>
        <w:ind w:left="360" w:hanging="360"/>
        <w:rPr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1c1c1c"/>
          <w:sz w:val="22"/>
          <w:szCs w:val="22"/>
          <w:rtl w:val="0"/>
        </w:rPr>
        <w:t xml:space="preserve">Tutoring students at NUAS University (Japan)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18" w:val="single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Educational Background +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Qualifications</w:t>
      </w:r>
    </w:p>
    <w:p w:rsidR="00000000" w:rsidDel="00000000" w:rsidP="00000000" w:rsidRDefault="00000000" w:rsidRPr="00000000" w14:paraId="00000018">
      <w:pPr>
        <w:pageBreakBefore w:val="0"/>
        <w:spacing w:after="360" w:before="80" w:line="360" w:lineRule="auto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Working with Vulnerable People</w:t>
        <w:tab/>
        <w:tab/>
        <w:tab/>
        <w:tab/>
        <w:tab/>
        <w:tab/>
        <w:tab/>
        <w:tab/>
        <w:tab/>
        <w:t xml:space="preserve">2022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color w:val="000000"/>
          <w:sz w:val="22"/>
          <w:szCs w:val="22"/>
          <w:rtl w:val="0"/>
        </w:rPr>
        <w:br w:type="textWrapping"/>
        <w:t xml:space="preserve">First Aid Certificate - Allens Training PTY</w:t>
        <w:tab/>
        <w:tab/>
        <w:tab/>
        <w:tab/>
        <w:tab/>
        <w:tab/>
        <w:tab/>
        <w:tab/>
        <w:t xml:space="preserve">2018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 Bachelor of Arts </w:t>
        <w:tab/>
        <w:tab/>
        <w:tab/>
        <w:tab/>
        <w:tab/>
        <w:tab/>
        <w:tab/>
        <w:tab/>
        <w:tab/>
        <w:tab/>
        <w:t xml:space="preserve">2014 - 2017 Newstead College</w:t>
        <w:tab/>
        <w:tab/>
        <w:tab/>
        <w:tab/>
        <w:tab/>
        <w:tab/>
        <w:tab/>
        <w:tab/>
        <w:tab/>
        <w:tab/>
        <w:t xml:space="preserve">2012 - 2013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18" w:val="single"/>
          <w:left w:space="0" w:sz="0" w:val="nil"/>
          <w:bottom w:color="000000" w:space="1" w:sz="8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792" w:top="792" w:left="864" w:right="864" w:header="72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Referee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207645</wp:posOffset>
                </wp:positionV>
                <wp:extent cx="2181860" cy="10077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59825" y="3296775"/>
                          <a:ext cx="2106300" cy="94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Andrew Mackenzie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SIW - Operations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0438 703636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amackenzie@siw.com.au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207645</wp:posOffset>
                </wp:positionV>
                <wp:extent cx="2181860" cy="10077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860" cy="1007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231260</wp:posOffset>
                </wp:positionV>
                <wp:extent cx="2138045" cy="11372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81740" y="3216120"/>
                          <a:ext cx="212852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Katsuhiko Suganuma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UTAS lecturer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0458 616 173	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katsu.suganuma@utas.edu.au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231260</wp:posOffset>
                </wp:positionV>
                <wp:extent cx="2138045" cy="11372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8045" cy="1137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5057775</wp:posOffset>
                </wp:positionH>
                <wp:positionV relativeFrom="paragraph">
                  <wp:posOffset>226695</wp:posOffset>
                </wp:positionV>
                <wp:extent cx="1911477" cy="9678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5024" y="3300854"/>
                          <a:ext cx="1901952" cy="958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Emma Mou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UTAS Student Advocate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0431 021 501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emma.mou0@utas.edu.au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5057775</wp:posOffset>
                </wp:positionH>
                <wp:positionV relativeFrom="paragraph">
                  <wp:posOffset>226695</wp:posOffset>
                </wp:positionV>
                <wp:extent cx="1911477" cy="96781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477" cy="9678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92" w:top="792" w:left="864" w:right="864" w:header="720" w:footer="720"/>
      <w:cols w:equalWidth="0" w:num="2">
        <w:col w:space="720" w:w="4895.999999999999"/>
        <w:col w:space="0" w:w="4895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6067425</wp:posOffset>
              </wp:positionH>
              <wp:positionV relativeFrom="page">
                <wp:posOffset>12065</wp:posOffset>
              </wp:positionV>
              <wp:extent cx="1700784" cy="1024128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9250" y="3261575"/>
                        <a:ext cx="1700784" cy="1024128"/>
                        <a:chOff x="4489250" y="3261575"/>
                        <a:chExt cx="1707150" cy="1036850"/>
                      </a:xfrm>
                    </wpg:grpSpPr>
                    <wpg:grpSp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2" name="Shape 12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6067425</wp:posOffset>
              </wp:positionH>
              <wp:positionV relativeFrom="page">
                <wp:posOffset>12065</wp:posOffset>
              </wp:positionV>
              <wp:extent cx="1700784" cy="1024128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</wp:posOffset>
              </wp:positionH>
              <wp:positionV relativeFrom="paragraph">
                <wp:posOffset>-457199</wp:posOffset>
              </wp:positionV>
              <wp:extent cx="4628198" cy="1177428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923522" y="3186323"/>
                        <a:ext cx="4844956" cy="1187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Daniel Wagner-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RESUME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1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64A George Town Road, Newnham, TAS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20"/>
                              <w:u w:val="single"/>
                              <w:vertAlign w:val="baseline"/>
                            </w:rPr>
                            <w:t xml:space="preserve">danielwagner40@gmail.com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0459 934 891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</wp:posOffset>
              </wp:positionH>
              <wp:positionV relativeFrom="paragraph">
                <wp:posOffset>-457199</wp:posOffset>
              </wp:positionV>
              <wp:extent cx="4628198" cy="1177428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8198" cy="1177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