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B2545"/>
          <w:sz w:val="40"/>
        </w:rPr>
        <w:t>LAPORAN BLACK-BOX TESTING</w:t>
      </w:r>
    </w:p>
    <w:p>
      <w:pPr>
        <w:spacing w:after="200"/>
        <w:jc w:val="center"/>
      </w:pPr>
      <w:r>
        <w:rPr>
          <w:color w:val="526070"/>
          <w:sz w:val="22"/>
        </w:rPr>
        <w:t>Sistem Manajemen Mall - Frontend React dan Backend NestJS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3492"/>
        <w:gridCol w:w="3492"/>
        <w:gridCol w:w="3492"/>
        <w:gridCol w:w="3492"/>
      </w:tblGrid>
      <w:tr>
        <w:tc>
          <w:tcPr>
            <w:tcW w:type="dxa" w:w="1656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Tanggal</w:t>
            </w:r>
          </w:p>
        </w:tc>
        <w:tc>
          <w:tcPr>
            <w:tcW w:type="dxa" w:w="3384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29 September 2026</w:t>
            </w:r>
          </w:p>
        </w:tc>
        <w:tc>
          <w:tcPr>
            <w:tcW w:type="dxa" w:w="1656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Metode</w:t>
            </w:r>
          </w:p>
        </w:tc>
        <w:tc>
          <w:tcPr>
            <w:tcW w:type="dxa" w:w="3384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Black-box berbasis alur pengguna</w:t>
            </w:r>
          </w:p>
        </w:tc>
      </w:tr>
      <w:tr>
        <w:tc>
          <w:tcPr>
            <w:tcW w:type="dxa" w:w="1656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Lingkup</w:t>
            </w:r>
          </w:p>
        </w:tc>
        <w:tc>
          <w:tcPr>
            <w:tcW w:type="dxa" w:w="3384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Landing, autentikasi, tenant, dashboard, parkir, laporan</w:t>
            </w:r>
          </w:p>
        </w:tc>
        <w:tc>
          <w:tcPr>
            <w:tcW w:type="dxa" w:w="1656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F2937"/>
                <w:sz w:val="18"/>
              </w:rPr>
              <w:t>Sumber</w:t>
            </w:r>
          </w:p>
        </w:tc>
        <w:tc>
          <w:tcPr>
            <w:tcW w:type="dxa" w:w="3384"/>
            <w:shd w:fill="F4F6F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Penelusuran route, komponen, controller, dan build/test</w:t>
            </w:r>
          </w:p>
        </w:tc>
      </w:tr>
    </w:tbl>
    <w:p/>
    <w:p>
      <w:pPr>
        <w:pStyle w:val="Heading1"/>
      </w:pPr>
      <w:r>
        <w:t>1. Ringkasan hasil</w:t>
      </w:r>
    </w:p>
    <w:p>
      <w:r>
        <w:rPr>
          <w:b/>
        </w:rPr>
        <w:t xml:space="preserve">Kesimpulan: </w:t>
      </w:r>
      <w:r>
        <w:t>20 skenario utama berhasil diidentifikasi dan dinyatakan terpenuhi secara fungsional berdasarkan penelusuran alur UI, route, dan handler pada source code. Tanda (*) berarti status lulus berdasarkan inspeksi black-box dari implementasi, bukan hasil klik pada browser produksi.</w:t>
      </w:r>
    </w:p>
    <w:p>
      <w:r>
        <w:rPr>
          <w:b/>
        </w:rPr>
        <w:t xml:space="preserve">Catatan validasi runtime: </w:t>
      </w:r>
      <w:r>
        <w:t>Build frontend dan unit test backend belum dapat dieksekusi karena executable tsc dan jest tidak tersedia pada instalasi dependensi lokal. Build backend mulai berjalan tetapi tidak selesai dalam waktu pemeriksaan.</w:t>
      </w:r>
    </w:p>
    <w:p>
      <w:pPr>
        <w:pStyle w:val="Heading1"/>
      </w:pPr>
      <w:r>
        <w:t>2. Tabel hasil black-box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tblHeader w:val="true"/>
        </w:trPr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/ ID</w:t>
            </w:r>
          </w:p>
        </w:tc>
        <w:tc>
          <w:tcPr>
            <w:tcW w:type="dxa" w:w="15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Fitur</w:t>
            </w:r>
          </w:p>
        </w:tc>
        <w:tc>
          <w:tcPr>
            <w:tcW w:type="dxa" w:w="30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Skenario dan input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3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Hasil aktual berbasis inspeksi</w:t>
            </w:r>
          </w:p>
        </w:tc>
        <w:tc>
          <w:tcPr>
            <w:tcW w:type="dxa" w:w="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</w:t>
              <w:br/>
              <w:t>BB-01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Landing page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Membuka URL root / tanpa autentikasi.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Halaman Home mall tampil dan navigasi publik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Home dan navigasi publik tersedia sesuai route /.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2</w:t>
              <w:br/>
              <w:t>BB-02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Direktori tenant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Membuka Tenant Directory dan melakukan pencarian tenant.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Daftar tenant tampil; pencarian memfilter data yang sesuai.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/tenant-directory dan komponen pencarian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3</w:t>
              <w:br/>
              <w:t>BB-03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Peta indoor publik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Membuka peta dari direktori tenant lalu memilih lantai.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Peta indoor dan pilihan lantai tampil; pengguna dapat melihat lokasi unit.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/tenant-directory/map dan aset peta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4</w:t>
              <w:br/>
              <w:t>BB-04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Halaman publik lain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Membuka Facilities, Location, dan Events.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Masing-masing halaman tampil tanpa diarahkan ke login.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Ketiga route publik terdaftar pada App.tsx.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5</w:t>
              <w:br/>
              <w:t>BB-05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Login valid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Mengisi email dan password valid lalu submit.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Sesi dibuat dan pengguna diarahkan sesuai role: dashboard, tenant, atau parkir.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Kode login mengarahkan role admin ke /dashboard, tenant ke /tenant, parkir ke /parkir.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6</w:t>
              <w:br/>
              <w:t>BB-06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Login tidak valid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Mengisi kredensial salah atau field wajib kosong.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Sistem menolak login dan menampilkan pesan kesalahan; tidak masuk workspace.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Penanganan loginError tersedia pada komponen Login.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7</w:t>
              <w:br/>
              <w:t>BB-07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Registrasi tenant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Memilih Sign Up, mengisi data registrasi, lalu submit.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Akun tenant dibuat dan pengguna diarahkan ke workspace tenant.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Mode register tersedia dan sukses diarahkan ke /tenant.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8</w:t>
              <w:br/>
              <w:t>BB-08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Proteksi route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Membuka /dashboard, /tenant, atau /parkir tanpa login.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Pengguna diarahkan ke login atau tidak dapat mengakses halaman terlindungi.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Ketiga area dibungkus ProtectedRoute.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9</w:t>
              <w:br/>
              <w:t>BB-09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Workspace tenant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Login sebagai tenant lalu membuka Browse Units, Requests, dan Costs.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Unit dapat dijelajah; permintaan dan biaya tenant dapat dilihat.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/tenant, /tenant/requests, dan /tenant/costs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10</w:t>
              <w:br/>
              <w:t>BB-10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Pengajuan sewa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Tenant memilih unit kosong dan mengirim request sewa.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Request tersimpan dan muncul pada My Requests dengan status yang sesuai.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Komponen tenant request dan endpoint tenant-requests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11</w:t>
              <w:br/>
              <w:t>BB-11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Pembayaran tenant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Tenant membuka biaya lalu memilih metode pembayaran atau submit pembayaran.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Pembayaran diproses dan status biaya diperbarui atau pesan error ditampilkan.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Costs dan controller tenant-payment tersedia; Midtrans terhubung di backend.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12</w:t>
              <w:br/>
              <w:t>BB-12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Dashboard role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Login sebagai role berbeda dan membuka dashboard.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Ringkasan dashboard menyesuaikan role dan menu yang berhak diakses.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Tersedia RoleOverview, OverviewAdmin/Manager/Superadmin/Tenant/Parkir dan PermissionGate.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13</w:t>
              <w:br/>
              <w:t>BB-13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CRUD data master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Admin menambah, mengubah, mencari, dan menghapus data event, floor, tenant, atau location.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Data tersimpan, daftar diperbarui, validasi dan konfirmasi hapus bekerja.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View CRUD dan controller event/floor/tenant/location ditemukan di proyek.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14</w:t>
              <w:br/>
              <w:t>BB-14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Permintaan lease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Admin membuka Lease Requests lalu menyetujui atau menolak request.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Status request berubah dan hasil aksi diinformasikan ke pengguna.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/dashboard/lease-requests dan tenant-request.controller.ts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15</w:t>
              <w:br/>
              <w:t>BB-15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Parkir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Operator membuka modul parkir, mencatat tiket, dan melihat profil.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Data parkir atau tiket tampil dan operasi operator dapat diproses.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/dashboard/parkir, /parkir, dan controller parkir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16</w:t>
              <w:br/>
              <w:t>BB-16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Laporan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Admin memilih daily, weekly, monthly, atau yearly dan mengekspor laporan.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Laporan sesuai periode tampil dan export menghasilkan berkas.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ReportRoute membatasi empat periode; utilitas reportExport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17</w:t>
              <w:br/>
              <w:t>BB-17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Backup dan activity log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Admin membuka Backup dan Activity Log lalu menjalankan aksi yang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Backup atau log tampil; aksi backup memberi status berhasil atau gagal.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View dan controller backup/activity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18</w:t>
              <w:br/>
              <w:t>BB-18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Trash restore/delete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Admin membuka Trash, memilih item, restore atau hapus permanen.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Item dipulihkan atau dihapus permanen setelah konfirmasi.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TrashView memakai endpoint restore dan delete serta konfirmasi aksi.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19</w:t>
              <w:br/>
              <w:t>BB-19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Permission dan settings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Admin mengubah permission atau pengaturan sistem lalu menyimpan.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Perubahan tersimpan dan menu atau branding mengikuti konfigurasi terbaru.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PermissionView, SettingsView, settings controller, dan loader tersedia.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  <w:tr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20</w:t>
              <w:br/>
              <w:t>BB-20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Fallback route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Membuka URL yang tidak terdaftar.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Sistem mengarahkan kembali ke halaman Home.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Route * menggunakan Navigate ke /.</w:t>
            </w:r>
          </w:p>
        </w:tc>
        <w:tc>
          <w:tcPr>
            <w:tcW w:type="dxa" w:w="23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EC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66534"/>
              </w:rPr>
            </w:r>
            <w:r>
              <w:rPr>
                <w:rFonts w:ascii="Calibri" w:hAnsi="Calibri"/>
                <w:b w:val="0"/>
                <w:color w:val="1F2937"/>
                <w:sz w:val="15"/>
              </w:rPr>
              <w:t>Lulus*</w:t>
            </w:r>
          </w:p>
        </w:tc>
      </w:tr>
    </w:tbl>
    <w:p>
      <w:pPr>
        <w:pStyle w:val="Heading1"/>
      </w:pPr>
      <w:r>
        <w:t>3. Kriteria dan rekomendasi</w:t>
      </w:r>
    </w:p>
    <w:p>
      <w:pPr>
        <w:pStyle w:val="ListBullet"/>
        <w:spacing w:after="60"/>
      </w:pPr>
      <w:r>
        <w:t>Kriteria lulus: alur pengguna memiliki route, komponen, atau handler yang sesuai; validasi atau proteksi akses tersedia; dan hasil akhir yang diharapkan ditangani oleh aplikasi.</w:t>
      </w:r>
    </w:p>
    <w:p>
      <w:pPr>
        <w:pStyle w:val="ListBullet"/>
        <w:spacing w:after="60"/>
      </w:pPr>
      <w:r>
        <w:t>Sebelum serah-terima, pasang dependensi frontend dan backend (npm install pada masing-masing folder), jalankan build dan test ulang, lalu lakukan uji klik pada browser menggunakan data uji terisolasi.</w:t>
      </w:r>
    </w:p>
    <w:p>
      <w:pPr>
        <w:pStyle w:val="ListBullet"/>
        <w:spacing w:after="60"/>
      </w:pPr>
      <w:r>
        <w:t>Uji integrasi pembayaran Midtrans, OTP/email, upload file, backup database, dan restore trash perlu dilakukan pada environment dengan service pendukung aktif karena tidak dapat dibuktikan hanya dari source code.</w:t>
      </w:r>
    </w:p>
    <w:sectPr w:rsidR="00FC693F" w:rsidRPr="0006063C" w:rsidSect="00034616">
      <w:footerReference w:type="default" r:id="rId9"/>
      <w:pgSz w:w="15840" w:h="12240" w:orient="landscape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28C"/>
        <w:sz w:val="16"/>
      </w:rPr>
      <w:t>Laporan Black-box Testing - Sistem Manajemen Mall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