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9D7BE2">
      <w:pPr>
        <w:spacing w:before="0" w:after="160"/>
        <w:jc w:val="both"/>
        <w:rPr>
          <w:rFonts w:hint="default" w:ascii="Times New Roman" w:hAnsi="Times New Roman" w:eastAsia="Times New Roman"/>
          <w:sz w:val="22"/>
          <w:szCs w:val="22"/>
        </w:rPr>
      </w:pPr>
      <w:r>
        <w:rPr>
          <w:rFonts w:hint="default" w:ascii="Times New Roman" w:hAnsi="Times New Roman" w:eastAsia="Times New Roman"/>
          <w:sz w:val="22"/>
          <w:szCs w:val="22"/>
        </w:rPr>
        <w:t>Gliomas are one of the most aggressive primary central nervous system tumors, exhibiting high rates of proliferation, infiltrative growth and poor clinical outcome, especially in children with Diffuse Midline Gliomas (DMGs) and in adults with Glioblastoma Multiforme (GBM). Their intra-tumoral sub-regions (non-enhancing tumor core [NETC], active enhancing tissue [ET] and non-enhancing FLAIR hyperintensity [SNFH]) are heterogeneous and accurate and reproducible delineation of these sub-regions is a fundamental prerequisite for clinical practice, which will support neurosurgical navigation, radiotherapy planning, follow-up of the disease and predict prognosis. [4,5]</w:t>
      </w:r>
    </w:p>
    <w:p w14:paraId="7D5086DB">
      <w:pPr>
        <w:spacing w:before="0" w:after="160"/>
        <w:jc w:val="both"/>
        <w:rPr>
          <w:rFonts w:hint="default" w:ascii="Times New Roman" w:hAnsi="Times New Roman" w:eastAsia="Times New Roman"/>
          <w:sz w:val="22"/>
          <w:szCs w:val="22"/>
        </w:rPr>
      </w:pPr>
      <w:r>
        <w:rPr>
          <w:rFonts w:hint="default" w:ascii="Times New Roman" w:hAnsi="Times New Roman" w:eastAsia="Times New Roman"/>
          <w:sz w:val="22"/>
          <w:szCs w:val="22"/>
        </w:rPr>
        <w:t>The current imaging protocol used in the clinic to evaluate brain tumors is called multi-parametric MRI, which includes T1-weighted (T1), contrast-enhanced T1-weighted (T1ce), T2-weighted (T2), and Fluid-Attenuated Inversion Recovery (FLAIR) sequences. Each sequence shows biophysically different pathological features with T1ce showing the pathophysiological tissue characteristics of active enhancing tumour due to disruption of the blood-brain barrier, is the gold standard for mapping the Enhancing Tumor and the necrotic core, T2 and FLAIR sequences were sensitive to water content and precisely demarcated peritumoral oedema and non-enhancing infiltration, while native T1 provides the baseline structural anatomical context. Due to the lack of a comprehensive sequence of tumor topology, and manual segmentation of multi-dimensional volumes, which is prone to significant intra- and inter-rater variability, the need for automated deep learning segmentation has increased significantly. [4]</w:t>
      </w:r>
    </w:p>
    <w:p w14:paraId="254C63EC">
      <w:pPr>
        <w:spacing w:before="0" w:after="160"/>
        <w:jc w:val="both"/>
        <w:rPr>
          <w:rFonts w:hint="default" w:ascii="Times New Roman" w:hAnsi="Times New Roman" w:eastAsia="Times New Roman"/>
          <w:sz w:val="22"/>
          <w:szCs w:val="22"/>
        </w:rPr>
      </w:pPr>
      <w:r>
        <w:rPr>
          <w:rFonts w:hint="default" w:ascii="Times New Roman" w:hAnsi="Times New Roman" w:eastAsia="Times New Roman"/>
          <w:sz w:val="22"/>
          <w:szCs w:val="22"/>
        </w:rPr>
        <w:t xml:space="preserve">The Brain Tumor Segmentation (BraTS) challenge series has been systematically increasing the level of automation since 2012 and will be expanded in planned steps until 2025. These datasets are used as the standardized benchmarks for evaluating and comparing all current modern segmentation approaches, and have been expanded progressively, from four-class manual annotations in 2016 to including post-treatment artifacts, Sub-Saharan African (SSA) cohorts with lower-field-strength scanners, and pediatric diffuse midline glioma datasets. </w:t>
      </w:r>
    </w:p>
    <w:p w14:paraId="4C072375">
      <w:pPr>
        <w:spacing w:before="0" w:after="160"/>
        <w:jc w:val="both"/>
        <w:rPr>
          <w:rFonts w:hint="default" w:ascii="Times New Roman" w:hAnsi="Times New Roman" w:eastAsia="Times New Roman"/>
          <w:sz w:val="22"/>
          <w:szCs w:val="22"/>
        </w:rPr>
      </w:pPr>
      <w:r>
        <w:rPr>
          <w:rFonts w:hint="default" w:ascii="Times New Roman" w:hAnsi="Times New Roman" w:eastAsia="Times New Roman"/>
          <w:sz w:val="22"/>
          <w:szCs w:val="22"/>
        </w:rPr>
        <w:t>Fully Convolutional Networks (FCNs) provide the backbone for modern brain tumor segmentation, and U-Net represents the stepping stone. As the first to propose a symmetric encoder-decoder architecture with skip connections over the redundant computation of early sliding window-based methods, U-Net was able to reconstruct the precise spatial structure of an image from only a small amount of annotated data. The decoder reconstructs boundaries in fine scale by utilizing features of the encoder that are also used for skip connections, thereby achieving higher channel capacities and capturing the semantic feature hierarchies in the progressive downsampling of spatial resolution. Although impressive in terms of data efficiency, U-Net's simple skip connections introduce a structural "semantic gap": a direct concatenation of lower-level, higher-resolution features from the encoder to the higher-level, more abstracted representations in the decoder is a tough optimization problem that often results in poor boundary delineation in hard-to-see anatomical border regions, like the sharp edges of active necrosis. [6]</w:t>
      </w:r>
    </w:p>
    <w:p w14:paraId="7B793870">
      <w:pPr>
        <w:spacing w:before="0" w:after="160"/>
        <w:jc w:val="both"/>
        <w:rPr>
          <w:rFonts w:hint="default" w:ascii="Times New Roman" w:hAnsi="Times New Roman" w:eastAsia="Times New Roman"/>
          <w:sz w:val="22"/>
          <w:szCs w:val="22"/>
        </w:rPr>
      </w:pPr>
      <w:r>
        <w:rPr>
          <w:rFonts w:hint="default" w:ascii="Times New Roman" w:hAnsi="Times New Roman" w:eastAsia="Times New Roman"/>
          <w:sz w:val="22"/>
          <w:szCs w:val="22"/>
        </w:rPr>
        <w:t>To tackle the semantic gap, UNet++ swapped out the conventional skip pathways with a series of dense convolutional blocks that gradually sophisticate the features sent to the decoder for fusions. This hierarchical design makes the optimization surface smoother and recovers fine-grained details that are often lost by the original U-Net. On this, UNet3+ adopted full-scale skip connections, which concatenate the feature maps of all the decoder and encoder layers for each layer on the decoder. UNet3+ now offers comprehensive low-level morphological details and high-level semantic context. A specific Classification-Guided Module (CGM) reduced the number of false positives in normal background tissue, creating crisp anatomical delineation. However, deep learning of a full scale tensor aggregation, as is the case in UNet3+, requires massive amounts of GPU memory, making it impractical to train volumetric models easily, and therefore spurring the development of more efficient feature extraction methods. [6,7]</w:t>
      </w:r>
    </w:p>
    <w:p w14:paraId="15F2A7A1">
      <w:pPr>
        <w:spacing w:before="0" w:after="160"/>
        <w:jc w:val="both"/>
        <w:rPr>
          <w:rFonts w:hint="default" w:ascii="Times New Roman" w:hAnsi="Times New Roman" w:eastAsia="Times New Roman"/>
          <w:sz w:val="22"/>
          <w:szCs w:val="22"/>
        </w:rPr>
      </w:pPr>
      <w:r>
        <w:rPr>
          <w:rFonts w:hint="default" w:ascii="Times New Roman" w:hAnsi="Times New Roman" w:eastAsia="Times New Roman"/>
          <w:sz w:val="22"/>
          <w:szCs w:val="22"/>
        </w:rPr>
        <w:t xml:space="preserve">To overcome the challenge of data scarcity, which is common in voxel annotated medical imaging, a range of other techniques have been proposed, including adversarial augmentation frameworks that combine spatial and photometric augmentations to synthesize difficult training examples [9], semi-supervised pseudo-labelling loops that sequentially grow the training set from unannotated scans [9] and unsupervised auxiliary tasks, like Histogram of Oriented Gradients (HOG) feature prediction integrated directly into decoders. These strategies provide good improvement in data efficiency but do not solve the issue of tumour heterogeneity. </w:t>
      </w:r>
    </w:p>
    <w:p w14:paraId="0A5E1928">
      <w:pPr>
        <w:spacing w:before="0" w:after="160"/>
        <w:jc w:val="both"/>
        <w:rPr>
          <w:rFonts w:hint="default" w:ascii="Times New Roman" w:hAnsi="Times New Roman" w:eastAsia="Times New Roman"/>
          <w:sz w:val="22"/>
          <w:szCs w:val="22"/>
        </w:rPr>
      </w:pPr>
      <w:r>
        <w:rPr>
          <w:rFonts w:hint="default" w:ascii="Times New Roman" w:hAnsi="Times New Roman" w:eastAsia="Times New Roman"/>
          <w:sz w:val="22"/>
          <w:szCs w:val="22"/>
        </w:rPr>
        <w:t xml:space="preserve">However, the world of convolutional filters started to be viewed with a narrow perspective, and the community turned to hybrid Transformer-CNN models. TransUNet, SwinUNETR and related networks introduce the concept of Vision Transformers (ViTs) to capture the global spatial dependencies, such as the position of a tumour with respect to the lateral ventricles, whilst CNN branches retain the high precision of the boundaries on each voxel. SwinUNETR uses a hierarchical sliding-window attention mechanism which partially alleviates the quadratic complexity of traditional ViTs. Recently, State-Space Models (SSMs) with quadri-directional 3D scanning are presented to maintain spatial coherence during sequence flattening and get linear complexity sequence modeling, such as Mamba-based architectures (U-Mamba, DM-SegNet). While these architectural innovations have proven successful, one major constraint of CNN, Transformer, and Mamba models is their inability to capture the fine-grained sensitivity to the significant intra-tumoral heterogeneity that delineates biologically different sub-regions, necessitating the processing of the whole volume or uniformly sampled patches. This structural void inspires the shift towards patch-based learning paradigms. </w:t>
      </w:r>
    </w:p>
    <w:p w14:paraId="2DC57B57">
      <w:pPr>
        <w:spacing w:before="0" w:after="160"/>
        <w:jc w:val="both"/>
        <w:rPr>
          <w:rFonts w:hint="default" w:ascii="Times New Roman" w:hAnsi="Times New Roman" w:eastAsia="Times New Roman"/>
          <w:sz w:val="22"/>
          <w:szCs w:val="22"/>
        </w:rPr>
      </w:pPr>
      <w:r>
        <w:rPr>
          <w:rFonts w:hint="default" w:ascii="Times New Roman" w:hAnsi="Times New Roman" w:eastAsia="Times New Roman"/>
          <w:sz w:val="22"/>
          <w:szCs w:val="22"/>
        </w:rPr>
        <w:t>Most architectures cannot process full-resolution 3D brain volumes in a single shot on a standard computer, therefore the use of patch-based approaches is required, which break up the volume into smaller chunks that can be processed. The historical baseline is based on uniform grid or patch extraction: partitioning into fixed-size equally sized tiles (or patches) and processing sequentially or in random batches. This approach is easy to compute, but gives equal importance to each region of the brain. Since gliomas usually cover only a small portion of the total brain volume, the network will be subjected to a very high proportion of background tissue, which is not informative, during uniform sampling, causing the network to be severely class-imbalanced during backpropagation. This causes the model to be systematically underrepresented of small but diagnostic sub-regions, e.g., the microscopic margins of active lesions with enhancement at the same time, or satellite lesions. [11]</w:t>
      </w:r>
    </w:p>
    <w:p w14:paraId="672330D7">
      <w:pPr>
        <w:spacing w:before="0" w:after="160"/>
        <w:jc w:val="both"/>
        <w:rPr>
          <w:rFonts w:hint="default" w:ascii="Times New Roman" w:hAnsi="Times New Roman" w:eastAsia="Times New Roman"/>
          <w:sz w:val="22"/>
          <w:szCs w:val="22"/>
        </w:rPr>
      </w:pPr>
      <w:r>
        <w:rPr>
          <w:rFonts w:hint="default" w:ascii="Times New Roman" w:hAnsi="Times New Roman" w:eastAsia="Times New Roman"/>
          <w:sz w:val="22"/>
          <w:szCs w:val="22"/>
        </w:rPr>
        <w:t xml:space="preserve">To avoid loss of boundary pixels, uniform patches are often used which can increase the size of the dataset by as much as 4 times, and introduce redundant sampling and greatly extend training times. Random patching without strict spatial masking rules adds its own set of limitations, however: randomly cropped sub-volumes often miss important structures and boundaries within the tumor, resulting in spatially disjointed portions of the tumor without the anatomical context needed for accurate multi-class tissue discrimination. For example, if an isolated patch is present with peripheral edema, but the neighboring necrotic core is not present, the network is lacking some of the spatially located anatomical information needed to reliably identify sub-regions. </w:t>
      </w:r>
    </w:p>
    <w:p w14:paraId="49CC23A1">
      <w:pPr>
        <w:spacing w:before="0" w:after="160"/>
        <w:jc w:val="both"/>
        <w:rPr>
          <w:rFonts w:hint="default" w:ascii="Times New Roman" w:hAnsi="Times New Roman" w:eastAsia="Times New Roman"/>
          <w:sz w:val="22"/>
          <w:szCs w:val="22"/>
        </w:rPr>
      </w:pPr>
      <w:r>
        <w:rPr>
          <w:rFonts w:hint="default" w:ascii="Times New Roman" w:hAnsi="Times New Roman" w:eastAsia="Times New Roman"/>
          <w:sz w:val="22"/>
          <w:szCs w:val="22"/>
        </w:rPr>
        <w:t>The uniform patching has been limited and recently Region of Interest (ROI) or "smart" patching strategies have been adopted. Advanced techniques are based on mathematical methods such as Topological Data Analysis (TDA) and Connected Component Analysis (CCA) that are used to determine the main region of interest (ROI) in the biological tumor before extraction, and to anchor patches at the geometric center of the tumor. The patching is tumor centered, retaining critical jagged boundaries and overall morphological shape, which directly aids in better feature extraction on a local level. ROI-based approaches not only tackle the class imbalance bottleneck but also address the imbalance of tumorous vs healthy tissue inside each ROI. Empirical results confirm that the smart patching approach using CCA obtains an excellent Dice score, in a small fraction of the time needed by brute-force uniform overlap-based methods, with the same number of training images. [11]</w:t>
      </w:r>
    </w:p>
    <w:p w14:paraId="12A66469">
      <w:pPr>
        <w:spacing w:before="0" w:after="160"/>
        <w:jc w:val="both"/>
        <w:rPr>
          <w:rFonts w:hint="default" w:ascii="Times New Roman" w:hAnsi="Times New Roman" w:eastAsia="Times New Roman"/>
          <w:sz w:val="22"/>
          <w:szCs w:val="22"/>
        </w:rPr>
      </w:pPr>
      <w:r>
        <w:rPr>
          <w:rFonts w:hint="default" w:ascii="Times New Roman" w:hAnsi="Times New Roman" w:eastAsia="Times New Roman"/>
          <w:sz w:val="22"/>
          <w:szCs w:val="22"/>
        </w:rPr>
        <w:t xml:space="preserve">Notwithstanding these efficiency improvements, there remains a significant research gap in the existing literature: though these sophisticated patch-based approaches to inference are able to extract patches, they still apply the same amount of computation to patches of active necrosis, peritumoral edema, or healthy cortical tissue. This flat treatment neglects the fundamental difference of the biological significance of each tumor sub-region. An optimal diagnostic framework should move beyond a generic tumor-centric sampling towards a genuinely sub-region-aware patching, where the network will dynamically assess the different diagnostic relevance of different patches with respect to the global volumetric context in which they are embedded, and focus its computational effort on the most biologically complex sub-regions. The requirement directly encourages patch-wise attention mechanisms to be integrated with adaptive multimodal fusion strategies. </w:t>
      </w:r>
    </w:p>
    <w:p w14:paraId="61004393">
      <w:pPr>
        <w:spacing w:before="0" w:after="160"/>
        <w:jc w:val="both"/>
        <w:rPr>
          <w:rFonts w:hint="default" w:ascii="Times New Roman" w:hAnsi="Times New Roman" w:eastAsia="Times New Roman"/>
          <w:sz w:val="22"/>
          <w:szCs w:val="22"/>
        </w:rPr>
      </w:pPr>
    </w:p>
    <w:p w14:paraId="16E4A54C">
      <w:pPr>
        <w:spacing w:before="0" w:after="160"/>
        <w:jc w:val="both"/>
        <w:rPr>
          <w:rFonts w:hint="default" w:ascii="Times New Roman" w:hAnsi="Times New Roman" w:eastAsia="Times New Roman"/>
          <w:sz w:val="22"/>
          <w:szCs w:val="22"/>
        </w:rPr>
      </w:pPr>
      <w:r>
        <w:rPr>
          <w:rFonts w:hint="default" w:ascii="Times New Roman" w:hAnsi="Times New Roman" w:eastAsia="Times New Roman"/>
          <w:sz w:val="22"/>
          <w:szCs w:val="22"/>
        </w:rPr>
        <w:t xml:space="preserve">The lack of an overall picture of tumor topology from a single MRI sequence necessitates that the deep learning architectures incorporate complementary biophysical information from T1, T1ce, T2 and FLAIR modalities. There are three main types of architecture for fusion strategies: early fusion (channel-wise concatenation of raw modalities before the first convolution), late fusion (independent network branches in parallel with fused probabilistic outputs), and intermediate fusion (channel-wise integration of raw modalities through attention and/or gating mechanisms in the middle of the network). The paradigms have significant differences in trade-offs between cross-modal interaction, modality fidelity, computational overhead and robustness to missing inputs. </w:t>
      </w:r>
    </w:p>
    <w:p w14:paraId="4A409808">
      <w:pPr>
        <w:spacing w:before="0" w:after="160"/>
        <w:jc w:val="both"/>
        <w:rPr>
          <w:rFonts w:hint="default" w:ascii="Times New Roman" w:hAnsi="Times New Roman" w:eastAsia="Times New Roman"/>
          <w:sz w:val="22"/>
          <w:szCs w:val="22"/>
        </w:rPr>
      </w:pPr>
      <w:r>
        <w:rPr>
          <w:rFonts w:hint="default" w:ascii="Times New Roman" w:hAnsi="Times New Roman" w:eastAsia="Times New Roman"/>
          <w:sz w:val="22"/>
          <w:szCs w:val="22"/>
        </w:rPr>
        <w:t>Due to the shortcomings of concatenation of static features, existing state-of-the-art approaches introduce a new technique named Adaptive Modality Fusion, where modality-specific importance weights are learnt at the latent feature level instead of concatenating fixed features. In Region-Aware Fusion Network (RFNet) and Multi-Head Mixture of Experts (MHMoE) architectures, intelligent gating mechanisms can selectively suppress noisy and uninformative sequences to produce adaptive supervision signals that depend on the input distribution. Hyper-Connections (HC) are introduced as drop-in solutions for residual connections in typical architectures, where feature aggregation weights are dynamically learned at each layer from global statistics of the input to the layer. More crucially, the deep ablation experiments show that the modality sensitivity of the models becomes an emergent propert</w:t>
      </w:r>
      <w:r>
        <w:rPr>
          <w:rFonts w:hint="default"/>
          <w:sz w:val="22"/>
          <w:szCs w:val="22"/>
          <w:lang w:val="en-US"/>
        </w:rPr>
        <w:t>y</w:t>
      </w:r>
      <w:r>
        <w:rPr>
          <w:rFonts w:hint="default" w:ascii="Times New Roman" w:hAnsi="Times New Roman" w:eastAsia="Times New Roman"/>
          <w:sz w:val="22"/>
          <w:szCs w:val="22"/>
        </w:rPr>
        <w:t xml:space="preserve"> favoring T1ce features for the tumor core and weighting towards FLAIR for whole-tumor delineation which is not present in the fixed-connection baseline models. [15]</w:t>
      </w:r>
    </w:p>
    <w:p w14:paraId="48A01C07">
      <w:pPr>
        <w:spacing w:before="0" w:after="160"/>
        <w:jc w:val="both"/>
        <w:rPr>
          <w:rFonts w:hint="default" w:ascii="Times New Roman" w:hAnsi="Times New Roman" w:eastAsia="Times New Roman"/>
          <w:sz w:val="22"/>
          <w:szCs w:val="22"/>
        </w:rPr>
      </w:pPr>
      <w:r>
        <w:rPr>
          <w:rFonts w:hint="default" w:ascii="Times New Roman" w:hAnsi="Times New Roman" w:eastAsia="Times New Roman"/>
          <w:sz w:val="22"/>
          <w:szCs w:val="22"/>
        </w:rPr>
        <w:t>A related problem is "Modality Dominance": Gradient updates are dominated by high-contrast modalities (e.g. T1ce), leading to the loss of lower-contrast modalities (e.g. native T1). In severe cases of modality dominance, networks often perform worse with multiple modalities compared to well-tuned single-modality baselines, and catastrophically fail in clinical deployment when the dominant modalities are not used, either because of a contraindication to their use or because of an imaging protocol failure. Mitigation strategies such as Modality Dropout (randomly set entire modality tensors to zero during training to ensure ability to learn representations that are valid across all modalities) and Meta-parameterized Adaptive Modality Fusion (Meta-AMF) (generating soft-label supervision to encourage coherent fusion across modalities irrespective of the availability of the modalities at inference) have been proposed. [17,18]</w:t>
      </w:r>
    </w:p>
    <w:p w14:paraId="5B2B5D21">
      <w:pPr>
        <w:spacing w:before="0" w:after="160"/>
        <w:jc w:val="both"/>
        <w:rPr>
          <w:rFonts w:hint="default" w:ascii="Times New Roman" w:hAnsi="Times New Roman" w:eastAsia="Times New Roman"/>
          <w:sz w:val="22"/>
          <w:szCs w:val="22"/>
        </w:rPr>
      </w:pPr>
      <w:r>
        <w:rPr>
          <w:rFonts w:hint="default" w:ascii="Times New Roman" w:hAnsi="Times New Roman" w:eastAsia="Times New Roman"/>
          <w:sz w:val="22"/>
          <w:szCs w:val="22"/>
        </w:rPr>
        <w:t xml:space="preserve">While these developments have been made, there is a foundational problem: Adaptive fusion is usually performed on the whole volumetric feature map, assuming implicitly that the modality weighting for a particular scan is spatially constant. Most existing approaches make the assumption that, if a high weighting is applied to one sub-region for T1ce, it should be applied equally everywhere in the scan. The present framework admits a dynamic patch level adaptive fusion, closely tied to the spatial content of the patch being analysed, a requirement which is not covered by the existing architectures and which is a direct motivation for clinical reality. </w:t>
      </w:r>
    </w:p>
    <w:p w14:paraId="717D84BE">
      <w:pPr>
        <w:spacing w:before="0" w:after="160"/>
        <w:jc w:val="both"/>
        <w:rPr>
          <w:rFonts w:hint="default" w:ascii="Times New Roman" w:hAnsi="Times New Roman" w:eastAsia="Times New Roman"/>
          <w:sz w:val="22"/>
          <w:szCs w:val="22"/>
        </w:rPr>
      </w:pPr>
    </w:p>
    <w:p w14:paraId="48518B07">
      <w:pPr>
        <w:spacing w:before="0" w:after="160"/>
        <w:jc w:val="both"/>
        <w:rPr>
          <w:rFonts w:hint="default" w:ascii="Times New Roman" w:hAnsi="Times New Roman" w:eastAsia="Times New Roman"/>
          <w:sz w:val="22"/>
          <w:szCs w:val="22"/>
        </w:rPr>
      </w:pPr>
      <w:r>
        <w:rPr>
          <w:rFonts w:hint="default" w:ascii="Times New Roman" w:hAnsi="Times New Roman" w:eastAsia="Times New Roman"/>
          <w:sz w:val="22"/>
          <w:szCs w:val="22"/>
        </w:rPr>
        <w:t xml:space="preserve">In medical image segmentation, attention mechanisms act as computational spotlights to direct the operations of the network towards focusing on biologically meaningful structures while neglecting irrelevant background signals, cerebrospinal fluid, and artefacts caused by the hardware. Spatial attention: computes a probability mask that covers the volume and identifies where valuable features are located in a volume, usually by using convolutional filters on aggregated feature maps and then multiplying the resulting feature mask element-wise with the feature tensor. This enhances the isolation of tumor margins and sharpness of the necrotic areas, while diminishing the continuous signal of normal white matter. Channel attention, on the other hand, determines the most discriminative biological information present in the feature maps (and therefore the fused modalities), computing a set of coefficients for each channel through average pooling and dense fully connected layers. It acts as a dynamic modality selector, automatically varying the relative effect of T1ce versus FLAIR features, depending on the diagnostic task. </w:t>
      </w:r>
    </w:p>
    <w:p w14:paraId="511F31BA">
      <w:pPr>
        <w:spacing w:before="0" w:after="160"/>
        <w:jc w:val="both"/>
        <w:rPr>
          <w:rFonts w:hint="default" w:ascii="Times New Roman" w:hAnsi="Times New Roman" w:eastAsia="Times New Roman"/>
          <w:sz w:val="22"/>
          <w:szCs w:val="22"/>
        </w:rPr>
      </w:pPr>
      <w:r>
        <w:rPr>
          <w:rFonts w:hint="default" w:ascii="Times New Roman" w:hAnsi="Times New Roman" w:eastAsia="Times New Roman"/>
          <w:sz w:val="22"/>
          <w:szCs w:val="22"/>
        </w:rPr>
        <w:t xml:space="preserve">They have been widely adopted in architectures of different levels of complexity. In the case of variants of the U-Net, the attention is given to a spatial gating process during the fusion of skip connections. In [6] parallel attention blocks are utilized to remove the MRI coil artifacts and isolate weak peritumoral signals. MAUNet proposes multi-dimensional spatial convolutions, alongside contextual feature calibration, for strong 3D attention. SA-LuT-Nets skip the normalization of the datasets at the preprocessing stage by using sample-adaptive intensity look-up tables to estimate the intensity mapping parameters on a per-volume basis and avoid destroying the dataset-wise intensity relationship necessary for accurate delineation of the active tumor core. Although spatial and channel attention have been broadly applied, they are structurally limited when used separately: spatial attention identifies the location of features, but does not specify which modality is responsible for the spatial response; channel attention identifies which modalities are associated with the features, but not where they are located. </w:t>
      </w:r>
    </w:p>
    <w:p w14:paraId="599678E5">
      <w:pPr>
        <w:spacing w:before="0" w:after="160"/>
        <w:jc w:val="both"/>
        <w:rPr>
          <w:rFonts w:hint="default" w:ascii="Times New Roman" w:hAnsi="Times New Roman" w:eastAsia="Times New Roman"/>
          <w:sz w:val="22"/>
          <w:szCs w:val="22"/>
        </w:rPr>
      </w:pPr>
      <w:r>
        <w:rPr>
          <w:rFonts w:hint="default" w:ascii="Times New Roman" w:hAnsi="Times New Roman" w:eastAsia="Times New Roman"/>
          <w:sz w:val="22"/>
          <w:szCs w:val="22"/>
        </w:rPr>
        <w:t>Transformer-based architectures have been scaled to global long-range dependencies by using Multi-Head Self-Attention (MHSA) that is based on a principle of modeling anatomical relationships but works globally irrespective of spatial distance. In hybrid models like TransUNet and SwinUNETR, the Transformer branch captures global positional context, e.g., tumor's proximity to lateral ventricles or cortical midline, while the CNN branch detects fine voxel-level boundaries, as would a radiologist when making a diagnosis. Although Transformer models are more accurate on the traditional benchmarks, their computational complexity grows quadratically with the length of the sequence, which limits the use of these models to direct volumetric 3D MRI processing to the unfeasible. Mamba-based extensions overcome these by using extensions with linear complexity on selective state space modeling and scanning directionally into 3D to preserve spatial coherence. [29,30]</w:t>
      </w:r>
    </w:p>
    <w:p w14:paraId="247D3FC8">
      <w:pPr>
        <w:spacing w:before="0" w:after="160"/>
        <w:jc w:val="both"/>
        <w:rPr>
          <w:rFonts w:hint="default" w:ascii="Times New Roman" w:hAnsi="Times New Roman" w:eastAsia="Times New Roman"/>
          <w:sz w:val="22"/>
          <w:szCs w:val="22"/>
        </w:rPr>
      </w:pPr>
      <w:r>
        <w:rPr>
          <w:rFonts w:hint="default" w:ascii="Times New Roman" w:hAnsi="Times New Roman" w:eastAsia="Times New Roman"/>
          <w:sz w:val="22"/>
          <w:szCs w:val="22"/>
        </w:rPr>
        <w:t xml:space="preserve">The key limitation found in the literature is that the existing methods of using spatial or channel attention, or combining both with the Transformer-based global attention, are unable to properly model the inherent multi-parametric interdependencies in medical imaging. The diagnostic value of a spatial patch is closely related to which modality is it used for: a patch over the necrotic core is very informative in T1ce but can be ambiguous or uninformative in native T1. Two modules are suggested to simultaneously combine spatial and channel operators: the Joint Attention (JA) module and the Dual Attention Fusion module. These are both some typical formulations in which the weights are first redistributed across modalities, then the spatial attention is focused on some key anatomical areas on the re-weighted feature maps. MMAformer uses a Multimodal Gated Aggregation (MGA) block that jointly aggregates cross-sequence information at different scales through dual attention. Similarly, DDTransUNet uses Global Spatial Attention (GSA) and Global Channel Attention (GCA) to model long-range dependencies and to combine fine local and global volumetric contexts. None of these architectures, however, makes this architecture of dual attention explicit, which is the dynamically changing weighting matrix of modalities in adjacent volumetric sub-regions depending on their diagnostic content. The integration of patch importance and modality importance under a single dual attention mechanism is not resolved, and is a crucial goal of the proposed framework. </w:t>
      </w:r>
    </w:p>
    <w:p w14:paraId="1232A170">
      <w:pPr>
        <w:spacing w:before="0" w:after="160"/>
        <w:jc w:val="both"/>
        <w:rPr>
          <w:rFonts w:hint="default" w:ascii="Times New Roman" w:hAnsi="Times New Roman" w:eastAsia="Times New Roman"/>
          <w:sz w:val="22"/>
          <w:szCs w:val="22"/>
        </w:rPr>
      </w:pPr>
    </w:p>
    <w:p w14:paraId="5F4D1024">
      <w:pPr>
        <w:spacing w:before="0" w:after="160"/>
        <w:jc w:val="both"/>
        <w:rPr>
          <w:rFonts w:hint="default" w:ascii="Times New Roman" w:hAnsi="Times New Roman" w:eastAsia="Times New Roman"/>
          <w:sz w:val="22"/>
          <w:szCs w:val="22"/>
        </w:rPr>
      </w:pPr>
      <w:r>
        <w:rPr>
          <w:rFonts w:hint="default" w:ascii="Times New Roman" w:hAnsi="Times New Roman" w:eastAsia="Times New Roman"/>
          <w:sz w:val="22"/>
          <w:szCs w:val="22"/>
        </w:rPr>
        <w:t>The complexity of the segmentation approaches has increased through the years, from simple U-Nets to complex dual-attention Mamba-Transformer combinations, making the decision-making process within these networks increasingly difficult to understand and making it difficult to step into the clinical workflow.Since the early days of simple U-Nets, the complexity of segmentation architectures has increased, and the decision making process inside them has become more and more opaque, creating a challenge to step into the clinical workflow. Radiotherapy planning and surgical navigation are examples of critical applications in which the accuracy of the boundary contours is essential, as well as providing justification for each algorithmic prediction, an element that cannot be guaranteed by existing black-box models without explicit interpretability devices. [25]</w:t>
      </w:r>
    </w:p>
    <w:p w14:paraId="593BB9C6">
      <w:pPr>
        <w:spacing w:before="0" w:after="160"/>
        <w:jc w:val="both"/>
        <w:rPr>
          <w:rFonts w:hint="default" w:ascii="Times New Roman" w:hAnsi="Times New Roman" w:eastAsia="Times New Roman"/>
          <w:sz w:val="22"/>
          <w:szCs w:val="22"/>
        </w:rPr>
      </w:pPr>
      <w:r>
        <w:rPr>
          <w:rFonts w:hint="default" w:ascii="Times New Roman" w:hAnsi="Times New Roman" w:eastAsia="Times New Roman"/>
          <w:sz w:val="22"/>
          <w:szCs w:val="22"/>
        </w:rPr>
        <w:t>Gradient-weighted Class Activation Mapping (Grad-CAM) is a prevalent interpretability framework in AI models used in neuro-oncology which involves a technique that identifies the spatial locations with the greatest neural activations within a network's final layers. Grad-CAM transforms the normalized activations into a heatmap that is color-scaled and then plotted on top of the input MRI slices to give a visual representation of the areas of model attention. Although used for baseline validation, a close examination of the literature suggests significant drawbacks. Grad-CAM attention maps are often excessively noisy and misguided when confronted by sub-region specific localization problems, such as delineating thin peritumoral edema boundaries from neighbouring normal white matter. More significantly, conventional saliency-based approaches yield only qualitative spatial information: they inform the model about the location of its gaze, without informing it about the specific MRI modality that was used to make a decision, or about the relative contributions of the various feature maps to a given voxel's classification. One such phenomenon, known as OCR-mediated modality dominance in Vision-Language Models, shows that models can systematically favor the clinical text that has been overlaid on the image over the actual image content, as revealed by visual heat maps, leading to misdiagnoses. [27]</w:t>
      </w:r>
    </w:p>
    <w:p w14:paraId="6A6C4BE3">
      <w:pPr>
        <w:spacing w:before="0" w:after="160"/>
        <w:jc w:val="both"/>
        <w:rPr>
          <w:rFonts w:hint="default" w:ascii="Times New Roman" w:hAnsi="Times New Roman" w:eastAsia="Times New Roman"/>
          <w:sz w:val="22"/>
          <w:szCs w:val="22"/>
        </w:rPr>
      </w:pPr>
      <w:r>
        <w:rPr>
          <w:rFonts w:hint="default" w:ascii="Times New Roman" w:hAnsi="Times New Roman" w:eastAsia="Times New Roman"/>
          <w:sz w:val="22"/>
          <w:szCs w:val="22"/>
        </w:rPr>
        <w:t xml:space="preserve">In order to connect the abstract model activation with clinically-relevant insight, the field needs to progress beyond the visualization of qualitative models to quantitative Modality Dominance Analysis. In this manner, the adaptive gating coefficients assigned to each modality during fusion are mathematically extracted, and spatial contribution metrics presented for each sequence for various tumor sub regions are auditable and concrete. Modality dominance analysis quantifies the relative contribution of T1ce and FLAIR in the model's prediction (not relying on the location of the model) and is thus more closely based on known radiological principles than the heatmaps. </w:t>
      </w:r>
    </w:p>
    <w:p w14:paraId="73170A82">
      <w:pPr>
        <w:spacing w:before="0" w:after="160"/>
        <w:jc w:val="both"/>
        <w:rPr>
          <w:rFonts w:hint="default" w:ascii="Times New Roman" w:hAnsi="Times New Roman" w:eastAsia="Times New Roman"/>
          <w:sz w:val="22"/>
          <w:szCs w:val="22"/>
        </w:rPr>
      </w:pPr>
      <w:r>
        <w:rPr>
          <w:rFonts w:hint="default" w:ascii="Times New Roman" w:hAnsi="Times New Roman" w:eastAsia="Times New Roman"/>
          <w:sz w:val="22"/>
          <w:szCs w:val="22"/>
        </w:rPr>
        <w:t>When a model is quantitative and relies on native T1 for determining peritumoral edema (which is a biophysically incorrect relationship because edema is best seen on T2/FLAIR), a reviewing clinician will be able to immediately spot the model's flawed internal logic, even if the final contour for the segmentation looks superficially correct. Vise versa, a model with appropriate weights T1ce</w:t>
      </w:r>
      <w:r>
        <w:rPr>
          <w:rFonts w:hint="default"/>
          <w:sz w:val="22"/>
          <w:szCs w:val="22"/>
          <w:lang w:val="en-US"/>
        </w:rPr>
        <w:t xml:space="preserve">, </w:t>
      </w:r>
      <w:r>
        <w:rPr>
          <w:rFonts w:hint="default" w:ascii="Times New Roman" w:hAnsi="Times New Roman" w:eastAsia="Times New Roman"/>
          <w:sz w:val="22"/>
          <w:szCs w:val="22"/>
        </w:rPr>
        <w:t>FLAIR</w:t>
      </w:r>
      <w:r>
        <w:rPr>
          <w:rFonts w:hint="default"/>
          <w:sz w:val="22"/>
          <w:szCs w:val="22"/>
          <w:lang w:val="en-US"/>
        </w:rPr>
        <w:t xml:space="preserve"> </w:t>
      </w:r>
      <w:r>
        <w:rPr>
          <w:rFonts w:hint="default" w:ascii="Times New Roman" w:hAnsi="Times New Roman" w:eastAsia="Times New Roman"/>
          <w:sz w:val="22"/>
          <w:szCs w:val="22"/>
        </w:rPr>
        <w:t>for Enhancing Tumor delineation and FLAIR</w:t>
      </w:r>
      <w:r>
        <w:rPr>
          <w:rFonts w:hint="default"/>
          <w:sz w:val="22"/>
          <w:szCs w:val="22"/>
          <w:lang w:val="en-US"/>
        </w:rPr>
        <w:t>, T</w:t>
      </w:r>
      <w:r>
        <w:rPr>
          <w:rFonts w:hint="default" w:ascii="Times New Roman" w:hAnsi="Times New Roman" w:eastAsia="Times New Roman"/>
          <w:sz w:val="22"/>
          <w:szCs w:val="22"/>
        </w:rPr>
        <w:t>1ce</w:t>
      </w:r>
      <w:r>
        <w:rPr>
          <w:rFonts w:hint="default"/>
          <w:sz w:val="22"/>
          <w:szCs w:val="22"/>
          <w:lang w:val="en-US"/>
        </w:rPr>
        <w:t xml:space="preserve">, </w:t>
      </w:r>
      <w:r>
        <w:rPr>
          <w:rFonts w:hint="default" w:ascii="Times New Roman" w:hAnsi="Times New Roman" w:eastAsia="Times New Roman"/>
          <w:sz w:val="22"/>
          <w:szCs w:val="22"/>
        </w:rPr>
        <w:t>for Whole Tumor boundary estimation can give a verifiable and auditable reasoning chain that aligns with known neuro-radiological knowledge. Most critically, by building the segmentation model as a native output of a pipeline rather than an approximate, a 13,15 modality dominance analysis can be considered as a diagnostic assistant that can be used to support regulatory-grade clinical deployment of the model. This quantitative, sub-region specific modality attribution is currently missing from all brain tumor segmentation frameworks, and is one of the most clinically relevant missing pieces. [25,26]</w:t>
      </w:r>
    </w:p>
    <w:p w14:paraId="1E60AF20">
      <w:pPr>
        <w:spacing w:before="0" w:after="160"/>
        <w:jc w:val="both"/>
        <w:rPr>
          <w:rFonts w:hint="default" w:ascii="Times New Roman" w:hAnsi="Times New Roman" w:eastAsia="Times New Roman"/>
          <w:sz w:val="22"/>
          <w:szCs w:val="22"/>
        </w:rPr>
      </w:pPr>
      <w:r>
        <w:rPr>
          <w:rFonts w:hint="default" w:ascii="Times New Roman" w:hAnsi="Times New Roman" w:eastAsia="Times New Roman"/>
          <w:sz w:val="22"/>
          <w:szCs w:val="22"/>
        </w:rPr>
        <w:t>Although there has been a lot of progress in segmentation of brain tumors, there are still some problems. Intra-tumoral heterogeneity is rarely represented in existing patch-based methods, which use uniform sampling strategies. Likewise, most multimodal fusion methods assume equal contribution of MRI modalities in spatial regions, and fail to consider the complementary and region-specific role of modalities. Although attention has been applied to a variety of potential applications, it has been instrumentalized either at the spatial scale or at the channel scale but not combined to model the relevance of patches and the importance of modalities. In addition, existing interpretability methods are focused on qualitative visualizations, and lack quantitative information on the contribution of different modalities in different sub-regions of the tumor.</w:t>
      </w:r>
    </w:p>
    <w:p w14:paraId="4D82E05E">
      <w:pPr>
        <w:spacing w:before="0" w:after="160"/>
        <w:jc w:val="both"/>
        <w:rPr>
          <w:rFonts w:ascii="Times New Roman" w:hAnsi="Times New Roman" w:eastAsia="Times New Roman" w:cs="Times New Roman"/>
          <w:b/>
          <w:bCs/>
          <w:color w:val="1F3864"/>
          <w:sz w:val="28"/>
          <w:szCs w:val="28"/>
        </w:rPr>
      </w:pPr>
      <w:r>
        <w:rPr>
          <w:rFonts w:hint="default" w:ascii="Times New Roman" w:hAnsi="Times New Roman" w:eastAsia="Times New Roman"/>
          <w:sz w:val="22"/>
          <w:szCs w:val="22"/>
        </w:rPr>
        <w:t>In order to overcome these drawbacks, we suggest to develop an attention-guided multimodal patch learning framework with sub-region-aware patching, adaptive modality fusion, and dual-attention mechanisms, and enhance the interpretability of the clinical meanings by the modality dominance analysis. Sub-region-aware patching is an approach that uses topologically guided patch selection with sub-region diagnostic importance as a weight for replacing uniform and generic tumor-centric strategies. The adaptive modality fusion occurs locally on each patch instead of globally, resulting in adaptive weighting of T1ce, T2, FLAIR and T1 modalities according to the biological content of each sub-volume. The two are modeled together in the same mechanism, overcoming the co-dependence of the two attentions that current methods address separately. Finally, native modality dominance analysis can be used to clinically quantifiable and attribute the contribution of each modality to the prediction of sub-region-specific predictions which meets the accountability needs for clinical deployment in neuro-oncology.</w:t>
      </w:r>
      <w:bookmarkStart w:id="0" w:name="_GoBack"/>
      <w:bookmarkEnd w:id="0"/>
    </w:p>
    <w:p w14:paraId="42D502D2">
      <w:pPr>
        <w:pStyle w:val="2"/>
        <w:spacing w:before="360" w:after="120"/>
      </w:pPr>
      <w:r>
        <w:rPr>
          <w:rFonts w:ascii="Times New Roman" w:hAnsi="Times New Roman" w:eastAsia="Times New Roman" w:cs="Times New Roman"/>
          <w:b/>
          <w:bCs/>
          <w:color w:val="1F3864"/>
          <w:sz w:val="28"/>
          <w:szCs w:val="28"/>
        </w:rPr>
        <w:t>References</w:t>
      </w:r>
    </w:p>
    <w:p w14:paraId="28AD401B">
      <w:pPr>
        <w:spacing w:before="40" w:after="40"/>
        <w:ind w:left="720" w:hanging="360"/>
        <w:jc w:val="both"/>
      </w:pPr>
      <w:r>
        <w:rPr>
          <w:rFonts w:ascii="Times New Roman" w:hAnsi="Times New Roman" w:eastAsia="Times New Roman" w:cs="Times New Roman"/>
          <w:b/>
          <w:bCs/>
          <w:sz w:val="20"/>
          <w:szCs w:val="20"/>
        </w:rPr>
        <w:t xml:space="preserve">[1]  </w:t>
      </w:r>
      <w:r>
        <w:rPr>
          <w:rFonts w:ascii="Times New Roman" w:hAnsi="Times New Roman" w:eastAsia="Times New Roman" w:cs="Times New Roman"/>
          <w:sz w:val="20"/>
          <w:szCs w:val="20"/>
        </w:rPr>
        <w:t>"Advancing Precision: A Comprehensive Review of MRI Segmentation Datasets from BraTS Challenges (2012–2025)," MDPI Sensors, 2025. Available: https://www.mdpi.com/1424-8220/25/6/1838</w:t>
      </w:r>
    </w:p>
    <w:p w14:paraId="7FF02902">
      <w:pPr>
        <w:spacing w:before="40" w:after="40"/>
        <w:ind w:left="720" w:hanging="360"/>
        <w:jc w:val="both"/>
      </w:pPr>
      <w:r>
        <w:rPr>
          <w:rFonts w:ascii="Times New Roman" w:hAnsi="Times New Roman" w:eastAsia="Times New Roman" w:cs="Times New Roman"/>
          <w:b/>
          <w:bCs/>
          <w:sz w:val="20"/>
          <w:szCs w:val="20"/>
        </w:rPr>
        <w:t xml:space="preserve">[2]  </w:t>
      </w:r>
      <w:r>
        <w:rPr>
          <w:rFonts w:ascii="Times New Roman" w:hAnsi="Times New Roman" w:eastAsia="Times New Roman" w:cs="Times New Roman"/>
          <w:sz w:val="20"/>
          <w:szCs w:val="20"/>
        </w:rPr>
        <w:t>"The Brain Tumor Segmentation (BraTS) Cluster of Challenges," Zenodo, 2025. Available: https://zenodo.org/records/15094823</w:t>
      </w:r>
    </w:p>
    <w:p w14:paraId="159EE841">
      <w:pPr>
        <w:spacing w:before="40" w:after="40"/>
        <w:ind w:left="720" w:hanging="360"/>
        <w:jc w:val="both"/>
      </w:pPr>
      <w:r>
        <w:rPr>
          <w:rFonts w:ascii="Times New Roman" w:hAnsi="Times New Roman" w:eastAsia="Times New Roman" w:cs="Times New Roman"/>
          <w:b/>
          <w:bCs/>
          <w:sz w:val="20"/>
          <w:szCs w:val="20"/>
        </w:rPr>
        <w:t xml:space="preserve">[3]  </w:t>
      </w:r>
      <w:r>
        <w:rPr>
          <w:rFonts w:ascii="Times New Roman" w:hAnsi="Times New Roman" w:eastAsia="Times New Roman" w:cs="Times New Roman"/>
          <w:sz w:val="20"/>
          <w:szCs w:val="20"/>
        </w:rPr>
        <w:t>"From Traditional Methods to 3D U-Net: A Comprehensive Review of Brain Tumour Segmentation Techniques," SciRP.org. Available: https://www.scirp.org/journal/paperinformation?paperid=140886</w:t>
      </w:r>
    </w:p>
    <w:p w14:paraId="6AD5AEC4">
      <w:pPr>
        <w:spacing w:before="40" w:after="40"/>
        <w:ind w:left="720" w:hanging="360"/>
        <w:jc w:val="both"/>
      </w:pPr>
      <w:r>
        <w:rPr>
          <w:rFonts w:ascii="Times New Roman" w:hAnsi="Times New Roman" w:eastAsia="Times New Roman" w:cs="Times New Roman"/>
          <w:b/>
          <w:bCs/>
          <w:sz w:val="20"/>
          <w:szCs w:val="20"/>
        </w:rPr>
        <w:t xml:space="preserve">[4]  </w:t>
      </w:r>
      <w:r>
        <w:rPr>
          <w:rFonts w:ascii="Times New Roman" w:hAnsi="Times New Roman" w:eastAsia="Times New Roman" w:cs="Times New Roman"/>
          <w:sz w:val="20"/>
          <w:szCs w:val="20"/>
        </w:rPr>
        <w:t>"Artificial Intelligence-Based Approaches for Brain Tumor Segmentation in MRI: A Review," PMC. Available: https://pmc.ncbi.nlm.nih.gov/articles/PMC12443661/</w:t>
      </w:r>
    </w:p>
    <w:p w14:paraId="65E3096F">
      <w:pPr>
        <w:spacing w:before="40" w:after="40"/>
        <w:ind w:left="720" w:hanging="360"/>
        <w:jc w:val="both"/>
      </w:pPr>
      <w:r>
        <w:rPr>
          <w:rFonts w:ascii="Times New Roman" w:hAnsi="Times New Roman" w:eastAsia="Times New Roman" w:cs="Times New Roman"/>
          <w:b/>
          <w:bCs/>
          <w:sz w:val="20"/>
          <w:szCs w:val="20"/>
        </w:rPr>
        <w:t xml:space="preserve">[5]  </w:t>
      </w:r>
      <w:r>
        <w:rPr>
          <w:rFonts w:ascii="Times New Roman" w:hAnsi="Times New Roman" w:eastAsia="Times New Roman" w:cs="Times New Roman"/>
          <w:sz w:val="20"/>
          <w:szCs w:val="20"/>
        </w:rPr>
        <w:t>"Enhanced Segmentation of Glioma Subregions via Modality-Aware Encoding and Channel-Wise Attention in Multimodal MRI," MDPI Applied Sciences, 2025. Available: https://www.mdpi.com/2076-3417/15/14/8061</w:t>
      </w:r>
    </w:p>
    <w:p w14:paraId="6359A3E2">
      <w:pPr>
        <w:spacing w:before="40" w:after="40"/>
        <w:ind w:left="720" w:hanging="360"/>
        <w:jc w:val="both"/>
      </w:pPr>
      <w:r>
        <w:rPr>
          <w:rFonts w:ascii="Times New Roman" w:hAnsi="Times New Roman" w:eastAsia="Times New Roman" w:cs="Times New Roman"/>
          <w:b/>
          <w:bCs/>
          <w:sz w:val="20"/>
          <w:szCs w:val="20"/>
        </w:rPr>
        <w:t xml:space="preserve">[6]  </w:t>
      </w:r>
      <w:r>
        <w:rPr>
          <w:rFonts w:ascii="Times New Roman" w:hAnsi="Times New Roman" w:eastAsia="Times New Roman" w:cs="Times New Roman"/>
          <w:sz w:val="20"/>
          <w:szCs w:val="20"/>
        </w:rPr>
        <w:t>"A Review of U-Net Based Deep Learning Frameworks for MRI-Based Brain Tumor Segmentation," MDPI Diagnostics, 2024. Available: https://www.mdpi.com/2075-4418/16/4/506</w:t>
      </w:r>
    </w:p>
    <w:p w14:paraId="543169B0">
      <w:pPr>
        <w:spacing w:before="40" w:after="40"/>
        <w:ind w:left="720" w:hanging="360"/>
        <w:jc w:val="both"/>
      </w:pPr>
      <w:r>
        <w:rPr>
          <w:rFonts w:ascii="Times New Roman" w:hAnsi="Times New Roman" w:eastAsia="Times New Roman" w:cs="Times New Roman"/>
          <w:b/>
          <w:bCs/>
          <w:sz w:val="20"/>
          <w:szCs w:val="20"/>
        </w:rPr>
        <w:t xml:space="preserve">[7]  </w:t>
      </w:r>
      <w:r>
        <w:rPr>
          <w:rFonts w:ascii="Times New Roman" w:hAnsi="Times New Roman" w:eastAsia="Times New Roman" w:cs="Times New Roman"/>
          <w:sz w:val="20"/>
          <w:szCs w:val="20"/>
        </w:rPr>
        <w:t>"MUNet: A Novel Framework for Accurate Brain Tumor Segmentation Combining UNet and Mamba Networks," Frontiers in Computational Neuroscience, 2025. Available: https://www.frontiersin.org/journals/computational-neuroscience/articles/10.3389/fncom.2025.1513059/full</w:t>
      </w:r>
    </w:p>
    <w:p w14:paraId="4EE2C1EC">
      <w:pPr>
        <w:spacing w:before="40" w:after="40"/>
        <w:ind w:left="720" w:hanging="360"/>
        <w:jc w:val="both"/>
      </w:pPr>
      <w:r>
        <w:rPr>
          <w:rFonts w:ascii="Times New Roman" w:hAnsi="Times New Roman" w:eastAsia="Times New Roman" w:cs="Times New Roman"/>
          <w:b/>
          <w:bCs/>
          <w:sz w:val="20"/>
          <w:szCs w:val="20"/>
        </w:rPr>
        <w:t xml:space="preserve">[8]  </w:t>
      </w:r>
      <w:r>
        <w:rPr>
          <w:rFonts w:ascii="Times New Roman" w:hAnsi="Times New Roman" w:eastAsia="Times New Roman" w:cs="Times New Roman"/>
          <w:sz w:val="20"/>
          <w:szCs w:val="20"/>
        </w:rPr>
        <w:t>"Exploring the U-Net++ Model for Automatic Brain Tumor Segmentation," ResearchGate. Available: https://www.researchgate.net/publication/354426372</w:t>
      </w:r>
    </w:p>
    <w:p w14:paraId="2C07465C">
      <w:pPr>
        <w:spacing w:before="40" w:after="40"/>
        <w:ind w:left="720" w:hanging="360"/>
        <w:jc w:val="both"/>
      </w:pPr>
      <w:r>
        <w:rPr>
          <w:rFonts w:ascii="Times New Roman" w:hAnsi="Times New Roman" w:eastAsia="Times New Roman" w:cs="Times New Roman"/>
          <w:b/>
          <w:bCs/>
          <w:sz w:val="20"/>
          <w:szCs w:val="20"/>
        </w:rPr>
        <w:t xml:space="preserve">[9]  </w:t>
      </w:r>
      <w:r>
        <w:rPr>
          <w:rFonts w:ascii="Times New Roman" w:hAnsi="Times New Roman" w:eastAsia="Times New Roman" w:cs="Times New Roman"/>
          <w:sz w:val="20"/>
          <w:szCs w:val="20"/>
        </w:rPr>
        <w:t>"Brain Tumor Segmentation Using Deep Learning: High Performance with Minimized MRI Data," Frontiers in Radiology, 2025. Available: https://www.frontiersin.org/journals/radiology/articles/10.3389/fradi.2025.1616293/full</w:t>
      </w:r>
    </w:p>
    <w:p w14:paraId="73ADD57E">
      <w:pPr>
        <w:spacing w:before="40" w:after="40"/>
        <w:ind w:left="720" w:hanging="360"/>
        <w:jc w:val="both"/>
      </w:pPr>
      <w:r>
        <w:rPr>
          <w:rFonts w:ascii="Times New Roman" w:hAnsi="Times New Roman" w:eastAsia="Times New Roman" w:cs="Times New Roman"/>
          <w:b/>
          <w:bCs/>
          <w:sz w:val="20"/>
          <w:szCs w:val="20"/>
        </w:rPr>
        <w:t xml:space="preserve">[10]  </w:t>
      </w:r>
      <w:r>
        <w:rPr>
          <w:rFonts w:ascii="Times New Roman" w:hAnsi="Times New Roman" w:eastAsia="Times New Roman" w:cs="Times New Roman"/>
          <w:sz w:val="20"/>
          <w:szCs w:val="20"/>
        </w:rPr>
        <w:t>"Brain Tumor Segmentation Using a Patch-Based Convolutional Neural Network: A Big Data Analysis Approach," MDPI Mathematics, 2023. Available: https://www.mdpi.com/2227-7390/11/7/1635</w:t>
      </w:r>
    </w:p>
    <w:p w14:paraId="562FFD85">
      <w:pPr>
        <w:spacing w:before="40" w:after="40"/>
        <w:ind w:left="720" w:hanging="360"/>
        <w:jc w:val="both"/>
      </w:pPr>
      <w:r>
        <w:rPr>
          <w:rFonts w:ascii="Times New Roman" w:hAnsi="Times New Roman" w:eastAsia="Times New Roman" w:cs="Times New Roman"/>
          <w:b/>
          <w:bCs/>
          <w:sz w:val="20"/>
          <w:szCs w:val="20"/>
        </w:rPr>
        <w:t xml:space="preserve">[11]  </w:t>
      </w:r>
      <w:r>
        <w:rPr>
          <w:rFonts w:ascii="Times New Roman" w:hAnsi="Times New Roman" w:eastAsia="Times New Roman" w:cs="Times New Roman"/>
          <w:sz w:val="20"/>
          <w:szCs w:val="20"/>
        </w:rPr>
        <w:t>"Tumor-Centered Patching for Enhanced Medical Image Segmentation," arXiv, 2023. Available: https://arxiv.org/pdf/2308.12168</w:t>
      </w:r>
    </w:p>
    <w:p w14:paraId="25397CD6">
      <w:pPr>
        <w:spacing w:before="40" w:after="40"/>
        <w:ind w:left="720" w:hanging="360"/>
        <w:jc w:val="both"/>
      </w:pPr>
      <w:r>
        <w:rPr>
          <w:rFonts w:ascii="Times New Roman" w:hAnsi="Times New Roman" w:eastAsia="Times New Roman" w:cs="Times New Roman"/>
          <w:b/>
          <w:bCs/>
          <w:sz w:val="20"/>
          <w:szCs w:val="20"/>
        </w:rPr>
        <w:t xml:space="preserve">[12]  </w:t>
      </w:r>
      <w:r>
        <w:rPr>
          <w:rFonts w:ascii="Times New Roman" w:hAnsi="Times New Roman" w:eastAsia="Times New Roman" w:cs="Times New Roman"/>
          <w:sz w:val="20"/>
          <w:szCs w:val="20"/>
        </w:rPr>
        <w:t>"Brain Tumor Segmentation in Multimodal MRI via Pixel-Level and Feature-Level Image Fusion," PMC, 2022. Available: https://pmc.ncbi.nlm.nih.gov/articles/PMC9515796/</w:t>
      </w:r>
    </w:p>
    <w:p w14:paraId="15EB7A48">
      <w:pPr>
        <w:spacing w:before="40" w:after="40"/>
        <w:ind w:left="720" w:hanging="360"/>
        <w:jc w:val="both"/>
      </w:pPr>
      <w:r>
        <w:rPr>
          <w:rFonts w:ascii="Times New Roman" w:hAnsi="Times New Roman" w:eastAsia="Times New Roman" w:cs="Times New Roman"/>
          <w:b/>
          <w:bCs/>
          <w:sz w:val="20"/>
          <w:szCs w:val="20"/>
        </w:rPr>
        <w:t xml:space="preserve">[13]  </w:t>
      </w:r>
      <w:r>
        <w:rPr>
          <w:rFonts w:ascii="Times New Roman" w:hAnsi="Times New Roman" w:eastAsia="Times New Roman" w:cs="Times New Roman"/>
          <w:sz w:val="20"/>
          <w:szCs w:val="20"/>
        </w:rPr>
        <w:t>"The Teacher-Assistant-Student Collaborative and Competitive Network (TASCCNet) for Brain Tumor Segmentation," MDPI Diagnostics, 2025. Available: https://www.mdpi.com/2075-4418/15/12/1552</w:t>
      </w:r>
    </w:p>
    <w:p w14:paraId="30166D66">
      <w:pPr>
        <w:spacing w:before="40" w:after="40"/>
        <w:ind w:left="720" w:hanging="360"/>
        <w:jc w:val="both"/>
      </w:pPr>
      <w:r>
        <w:rPr>
          <w:rFonts w:ascii="Times New Roman" w:hAnsi="Times New Roman" w:eastAsia="Times New Roman" w:cs="Times New Roman"/>
          <w:b/>
          <w:bCs/>
          <w:sz w:val="20"/>
          <w:szCs w:val="20"/>
        </w:rPr>
        <w:t xml:space="preserve">[14]  </w:t>
      </w:r>
      <w:r>
        <w:rPr>
          <w:rFonts w:ascii="Times New Roman" w:hAnsi="Times New Roman" w:eastAsia="Times New Roman" w:cs="Times New Roman"/>
          <w:sz w:val="20"/>
          <w:szCs w:val="20"/>
        </w:rPr>
        <w:t>"RFNet: Region-aware Fusion Network for Incomplete Multi-modal Brain Tumor Segmentation," ResearchGate. Available: https://www.researchgate.net/publication/358920766</w:t>
      </w:r>
    </w:p>
    <w:p w14:paraId="07935F5E">
      <w:pPr>
        <w:spacing w:before="40" w:after="40"/>
        <w:ind w:left="720" w:hanging="360"/>
        <w:jc w:val="both"/>
      </w:pPr>
      <w:r>
        <w:rPr>
          <w:rFonts w:ascii="Times New Roman" w:hAnsi="Times New Roman" w:eastAsia="Times New Roman" w:cs="Times New Roman"/>
          <w:b/>
          <w:bCs/>
          <w:sz w:val="20"/>
          <w:szCs w:val="20"/>
        </w:rPr>
        <w:t xml:space="preserve">[15]  </w:t>
      </w:r>
      <w:r>
        <w:rPr>
          <w:rFonts w:ascii="Times New Roman" w:hAnsi="Times New Roman" w:eastAsia="Times New Roman" w:cs="Times New Roman"/>
          <w:sz w:val="20"/>
          <w:szCs w:val="20"/>
        </w:rPr>
        <w:t>"Hyper-Connections for Adaptive Multi-Modal MRI Brain Tumor Segmentation," arXiv, 2025. Available: https://arxiv.org/html/2603.19844v2</w:t>
      </w:r>
    </w:p>
    <w:p w14:paraId="46BE339E">
      <w:pPr>
        <w:spacing w:before="40" w:after="40"/>
        <w:ind w:left="720" w:hanging="360"/>
        <w:jc w:val="both"/>
      </w:pPr>
      <w:r>
        <w:rPr>
          <w:rFonts w:ascii="Times New Roman" w:hAnsi="Times New Roman" w:eastAsia="Times New Roman" w:cs="Times New Roman"/>
          <w:b/>
          <w:bCs/>
          <w:sz w:val="20"/>
          <w:szCs w:val="20"/>
        </w:rPr>
        <w:t xml:space="preserve">[16]  </w:t>
      </w:r>
      <w:r>
        <w:rPr>
          <w:rFonts w:ascii="Times New Roman" w:hAnsi="Times New Roman" w:eastAsia="Times New Roman" w:cs="Times New Roman"/>
          <w:sz w:val="20"/>
          <w:szCs w:val="20"/>
        </w:rPr>
        <w:t>"Gradient-Guided Modality Decoupling for Missing-Modality Robustness," arXiv, 2024. Available: https://arxiv.org/html/2402.16318v1</w:t>
      </w:r>
    </w:p>
    <w:p w14:paraId="0D1D10B4">
      <w:pPr>
        <w:spacing w:before="40" w:after="40"/>
        <w:ind w:left="720" w:hanging="360"/>
        <w:jc w:val="both"/>
      </w:pPr>
      <w:r>
        <w:rPr>
          <w:rFonts w:ascii="Times New Roman" w:hAnsi="Times New Roman" w:eastAsia="Times New Roman" w:cs="Times New Roman"/>
          <w:b/>
          <w:bCs/>
          <w:sz w:val="20"/>
          <w:szCs w:val="20"/>
        </w:rPr>
        <w:t xml:space="preserve">[17]  </w:t>
      </w:r>
      <w:r>
        <w:rPr>
          <w:rFonts w:ascii="Times New Roman" w:hAnsi="Times New Roman" w:eastAsia="Times New Roman" w:cs="Times New Roman"/>
          <w:sz w:val="20"/>
          <w:szCs w:val="20"/>
        </w:rPr>
        <w:t>"Uni-Encoder Meets Multi-Encoders: Representation Before Fusion for Brain Tumor Segmentation with Missing Modalities," arXiv, 2026. Available: https://arxiv.org/html/2604.22177v1</w:t>
      </w:r>
    </w:p>
    <w:p w14:paraId="20B20884">
      <w:pPr>
        <w:spacing w:before="40" w:after="40"/>
        <w:ind w:left="720" w:hanging="360"/>
        <w:jc w:val="both"/>
      </w:pPr>
      <w:r>
        <w:rPr>
          <w:rFonts w:ascii="Times New Roman" w:hAnsi="Times New Roman" w:eastAsia="Times New Roman" w:cs="Times New Roman"/>
          <w:b/>
          <w:bCs/>
          <w:sz w:val="20"/>
          <w:szCs w:val="20"/>
        </w:rPr>
        <w:t xml:space="preserve">[18]  </w:t>
      </w:r>
      <w:r>
        <w:rPr>
          <w:rFonts w:ascii="Times New Roman" w:hAnsi="Times New Roman" w:eastAsia="Times New Roman" w:cs="Times New Roman"/>
          <w:sz w:val="20"/>
          <w:szCs w:val="20"/>
        </w:rPr>
        <w:t>"Hypergraph Tversky-Aware Domain Incremental Learning for Brain Tumor Segmentation with Missing Modalities," ResearchGate. Available: https://www.researchgate.net/publication/395693955</w:t>
      </w:r>
    </w:p>
    <w:p w14:paraId="2FDDBC52">
      <w:pPr>
        <w:spacing w:before="40" w:after="40"/>
        <w:ind w:left="720" w:hanging="360"/>
        <w:jc w:val="both"/>
      </w:pPr>
      <w:r>
        <w:rPr>
          <w:rFonts w:ascii="Times New Roman" w:hAnsi="Times New Roman" w:eastAsia="Times New Roman" w:cs="Times New Roman"/>
          <w:b/>
          <w:bCs/>
          <w:sz w:val="20"/>
          <w:szCs w:val="20"/>
        </w:rPr>
        <w:t xml:space="preserve">[19]  </w:t>
      </w:r>
      <w:r>
        <w:rPr>
          <w:rFonts w:ascii="Times New Roman" w:hAnsi="Times New Roman" w:eastAsia="Times New Roman" w:cs="Times New Roman"/>
          <w:sz w:val="20"/>
          <w:szCs w:val="20"/>
        </w:rPr>
        <w:t>"Attention Mechanisms in U-Net Variants for Brain MRI Segmentation: A Narrative Review of Spatial, Channel, and Transformer-Based Approaches," InfoScience Trends. Available: https://www.isjtrend.com/article_232045.html</w:t>
      </w:r>
    </w:p>
    <w:p w14:paraId="2A1CF9BE">
      <w:pPr>
        <w:spacing w:before="40" w:after="40"/>
        <w:ind w:left="720" w:hanging="360"/>
        <w:jc w:val="both"/>
      </w:pPr>
      <w:r>
        <w:rPr>
          <w:rFonts w:ascii="Times New Roman" w:hAnsi="Times New Roman" w:eastAsia="Times New Roman" w:cs="Times New Roman"/>
          <w:b/>
          <w:bCs/>
          <w:sz w:val="20"/>
          <w:szCs w:val="20"/>
        </w:rPr>
        <w:t xml:space="preserve">[20]  </w:t>
      </w:r>
      <w:r>
        <w:rPr>
          <w:rFonts w:ascii="Times New Roman" w:hAnsi="Times New Roman" w:eastAsia="Times New Roman" w:cs="Times New Roman"/>
          <w:sz w:val="20"/>
          <w:szCs w:val="20"/>
        </w:rPr>
        <w:t>"MAUNet: A Mixed Attention U-Net with Spatial Multi-Dimensional Convolution and Contextual Feature Calibration for 3D Brain Tumor Segmentation in Multimodal MRI," Frontiers in Neuroscience, 2025. Available: https://www.frontiersin.org/journals/neuroscience/articles/10.3389/fnins.2025.1682603/full</w:t>
      </w:r>
    </w:p>
    <w:p w14:paraId="7A1047E5">
      <w:pPr>
        <w:spacing w:before="40" w:after="40"/>
        <w:ind w:left="720" w:hanging="360"/>
        <w:jc w:val="both"/>
      </w:pPr>
      <w:r>
        <w:rPr>
          <w:rFonts w:ascii="Times New Roman" w:hAnsi="Times New Roman" w:eastAsia="Times New Roman" w:cs="Times New Roman"/>
          <w:b/>
          <w:bCs/>
          <w:sz w:val="20"/>
          <w:szCs w:val="20"/>
        </w:rPr>
        <w:t xml:space="preserve">[21]  </w:t>
      </w:r>
      <w:r>
        <w:rPr>
          <w:rFonts w:ascii="Times New Roman" w:hAnsi="Times New Roman" w:eastAsia="Times New Roman" w:cs="Times New Roman"/>
          <w:sz w:val="20"/>
          <w:szCs w:val="20"/>
        </w:rPr>
        <w:t>"Joint Attention for Medical Image Segmentation," BICMR, Peking University. Available: http://faculty.bicmr.pku.edu.cn/~dongbin/Publications/JointAtt.pdf</w:t>
      </w:r>
    </w:p>
    <w:p w14:paraId="422084C8">
      <w:pPr>
        <w:spacing w:before="40" w:after="40"/>
        <w:ind w:left="720" w:hanging="360"/>
        <w:jc w:val="both"/>
      </w:pPr>
      <w:r>
        <w:rPr>
          <w:rFonts w:ascii="Times New Roman" w:hAnsi="Times New Roman" w:eastAsia="Times New Roman" w:cs="Times New Roman"/>
          <w:b/>
          <w:bCs/>
          <w:sz w:val="20"/>
          <w:szCs w:val="20"/>
        </w:rPr>
        <w:t xml:space="preserve">[22]  </w:t>
      </w:r>
      <w:r>
        <w:rPr>
          <w:rFonts w:ascii="Times New Roman" w:hAnsi="Times New Roman" w:eastAsia="Times New Roman" w:cs="Times New Roman"/>
          <w:sz w:val="20"/>
          <w:szCs w:val="20"/>
        </w:rPr>
        <w:t>"Double Attention U-Net for Brain Tumor MR Image Segmentation," Emerald Insight, 2022. Available: https://www.emerald.com/ijicc/article/14/3/467/273836/</w:t>
      </w:r>
    </w:p>
    <w:p w14:paraId="72C102F0">
      <w:pPr>
        <w:spacing w:before="40" w:after="40"/>
        <w:ind w:left="720" w:hanging="360"/>
        <w:jc w:val="both"/>
      </w:pPr>
      <w:r>
        <w:rPr>
          <w:rFonts w:ascii="Times New Roman" w:hAnsi="Times New Roman" w:eastAsia="Times New Roman" w:cs="Times New Roman"/>
          <w:b/>
          <w:bCs/>
          <w:sz w:val="20"/>
          <w:szCs w:val="20"/>
        </w:rPr>
        <w:t xml:space="preserve">[23]  </w:t>
      </w:r>
      <w:r>
        <w:rPr>
          <w:rFonts w:ascii="Times New Roman" w:hAnsi="Times New Roman" w:eastAsia="Times New Roman" w:cs="Times New Roman"/>
          <w:sz w:val="20"/>
          <w:szCs w:val="20"/>
        </w:rPr>
        <w:t>"MMAformer: Multiscale Modality-Aware Transformer for Medical Image Segmentation," MDPI Electronics, 2024. Available: https://www.mdpi.com/2079-9292/13/23/4636</w:t>
      </w:r>
    </w:p>
    <w:p w14:paraId="5D0C68F1">
      <w:pPr>
        <w:spacing w:before="40" w:after="40"/>
        <w:ind w:left="720" w:hanging="360"/>
        <w:jc w:val="both"/>
      </w:pPr>
      <w:r>
        <w:rPr>
          <w:rFonts w:ascii="Times New Roman" w:hAnsi="Times New Roman" w:eastAsia="Times New Roman" w:cs="Times New Roman"/>
          <w:b/>
          <w:bCs/>
          <w:sz w:val="20"/>
          <w:szCs w:val="20"/>
        </w:rPr>
        <w:t xml:space="preserve">[24]  </w:t>
      </w:r>
      <w:r>
        <w:rPr>
          <w:rFonts w:ascii="Times New Roman" w:hAnsi="Times New Roman" w:eastAsia="Times New Roman" w:cs="Times New Roman"/>
          <w:sz w:val="20"/>
          <w:szCs w:val="20"/>
        </w:rPr>
        <w:t>"DTASUnet: A Local and Global Dual Transformer with the Attention Supervision U-network for Brain Tumor Segmentation," PMC, 2024. Available: https://pmc.ncbi.nlm.nih.gov/articles/PMC11570615/</w:t>
      </w:r>
    </w:p>
    <w:p w14:paraId="0C29A658">
      <w:pPr>
        <w:spacing w:before="40" w:after="40"/>
        <w:ind w:left="720" w:hanging="360"/>
        <w:jc w:val="both"/>
      </w:pPr>
      <w:r>
        <w:rPr>
          <w:rFonts w:ascii="Times New Roman" w:hAnsi="Times New Roman" w:eastAsia="Times New Roman" w:cs="Times New Roman"/>
          <w:b/>
          <w:bCs/>
          <w:sz w:val="20"/>
          <w:szCs w:val="20"/>
        </w:rPr>
        <w:t xml:space="preserve">[25]  </w:t>
      </w:r>
      <w:r>
        <w:rPr>
          <w:rFonts w:ascii="Times New Roman" w:hAnsi="Times New Roman" w:eastAsia="Times New Roman" w:cs="Times New Roman"/>
          <w:sz w:val="20"/>
          <w:szCs w:val="20"/>
        </w:rPr>
        <w:t>"Demystifying Brain Tumor Segmentation Networks: Interpretability and Uncertainty Analysis," PMC, 2020. Available: https://pmc.ncbi.nlm.nih.gov/articles/PMC7025464/</w:t>
      </w:r>
    </w:p>
    <w:p w14:paraId="5915254A">
      <w:pPr>
        <w:spacing w:before="40" w:after="40"/>
        <w:ind w:left="720" w:hanging="360"/>
        <w:jc w:val="both"/>
      </w:pPr>
      <w:r>
        <w:rPr>
          <w:rFonts w:ascii="Times New Roman" w:hAnsi="Times New Roman" w:eastAsia="Times New Roman" w:cs="Times New Roman"/>
          <w:b/>
          <w:bCs/>
          <w:sz w:val="20"/>
          <w:szCs w:val="20"/>
        </w:rPr>
        <w:t xml:space="preserve">[26]  </w:t>
      </w:r>
      <w:r>
        <w:rPr>
          <w:rFonts w:ascii="Times New Roman" w:hAnsi="Times New Roman" w:eastAsia="Times New Roman" w:cs="Times New Roman"/>
          <w:sz w:val="20"/>
          <w:szCs w:val="20"/>
        </w:rPr>
        <w:t>"Demystifying Brain Tumor Segmentation Networks: Interpretability and Uncertainty Analysis," Frontiers in Computational Neuroscience, 2020. Available: https://www.frontiersin.org/journals/computational-neuroscience/articles/10.3389/fncom.2020.00006/full</w:t>
      </w:r>
    </w:p>
    <w:p w14:paraId="1E9B342B">
      <w:pPr>
        <w:spacing w:before="40" w:after="40"/>
        <w:ind w:left="720" w:hanging="360"/>
        <w:jc w:val="both"/>
      </w:pPr>
      <w:r>
        <w:rPr>
          <w:rFonts w:ascii="Times New Roman" w:hAnsi="Times New Roman" w:eastAsia="Times New Roman" w:cs="Times New Roman"/>
          <w:b/>
          <w:bCs/>
          <w:sz w:val="20"/>
          <w:szCs w:val="20"/>
        </w:rPr>
        <w:t xml:space="preserve">[27]  </w:t>
      </w:r>
      <w:r>
        <w:rPr>
          <w:rFonts w:ascii="Times New Roman" w:hAnsi="Times New Roman" w:eastAsia="Times New Roman" w:cs="Times New Roman"/>
          <w:sz w:val="20"/>
          <w:szCs w:val="20"/>
        </w:rPr>
        <w:t>I. T. Akbasli, "OCR-Mediated Modality Dominance in Vision-Language Models: Implications for Radiology AI Trustworthiness," medRxiv, 2026. Available: https://www.medrxiv.org/content/10.64898/2026.02.22.26346828v1.full.pdf</w:t>
      </w:r>
    </w:p>
    <w:p w14:paraId="0094FCAC">
      <w:pPr>
        <w:spacing w:before="40" w:after="40"/>
        <w:ind w:left="720" w:hanging="360"/>
        <w:jc w:val="both"/>
      </w:pPr>
      <w:r>
        <w:rPr>
          <w:rFonts w:ascii="Times New Roman" w:hAnsi="Times New Roman" w:eastAsia="Times New Roman" w:cs="Times New Roman"/>
          <w:b/>
          <w:bCs/>
          <w:sz w:val="20"/>
          <w:szCs w:val="20"/>
        </w:rPr>
        <w:t xml:space="preserve">[28]  </w:t>
      </w:r>
      <w:r>
        <w:rPr>
          <w:rFonts w:ascii="Times New Roman" w:hAnsi="Times New Roman" w:eastAsia="Times New Roman" w:cs="Times New Roman"/>
          <w:sz w:val="20"/>
          <w:szCs w:val="20"/>
        </w:rPr>
        <w:t>"Adaptive Vision-Language Transformer for Multimodal CNS Tumor Diagnosis," PMC, 2025. Available: https://pmc.ncbi.nlm.nih.gov/articles/PMC12731182/</w:t>
      </w:r>
    </w:p>
    <w:p w14:paraId="0F8EBB75">
      <w:pPr>
        <w:spacing w:before="40" w:after="40"/>
        <w:ind w:left="720" w:hanging="360"/>
        <w:jc w:val="both"/>
      </w:pPr>
      <w:r>
        <w:rPr>
          <w:rFonts w:ascii="Times New Roman" w:hAnsi="Times New Roman" w:eastAsia="Times New Roman" w:cs="Times New Roman"/>
          <w:b/>
          <w:bCs/>
          <w:sz w:val="20"/>
          <w:szCs w:val="20"/>
        </w:rPr>
        <w:t xml:space="preserve">[29]  </w:t>
      </w:r>
      <w:r>
        <w:rPr>
          <w:rFonts w:ascii="Times New Roman" w:hAnsi="Times New Roman" w:eastAsia="Times New Roman" w:cs="Times New Roman"/>
          <w:sz w:val="20"/>
          <w:szCs w:val="20"/>
        </w:rPr>
        <w:t>"A Comprehensive Survey of Mamba Architectures for Medical Image Analysis: Classification, Segmentation, Restoration and Beyond," arXiv, 2024. Available: https://arxiv.org/html/2410.02362v3</w:t>
      </w:r>
    </w:p>
    <w:p w14:paraId="765154CA">
      <w:pPr>
        <w:spacing w:before="40" w:after="40"/>
        <w:ind w:left="720" w:hanging="360"/>
        <w:jc w:val="both"/>
      </w:pPr>
      <w:r>
        <w:rPr>
          <w:rFonts w:ascii="Times New Roman" w:hAnsi="Times New Roman" w:eastAsia="Times New Roman" w:cs="Times New Roman"/>
          <w:b/>
          <w:bCs/>
          <w:sz w:val="20"/>
          <w:szCs w:val="20"/>
        </w:rPr>
        <w:t xml:space="preserve">[30]  </w:t>
      </w:r>
      <w:r>
        <w:rPr>
          <w:rFonts w:ascii="Times New Roman" w:hAnsi="Times New Roman" w:eastAsia="Times New Roman" w:cs="Times New Roman"/>
          <w:sz w:val="20"/>
          <w:szCs w:val="20"/>
        </w:rPr>
        <w:t>"DM-SegNet: Dual-Mamba Architecture for 3D Medical Image Segmentation with Global Context Modeling," arXiv, 2025. Available: https://arxiv.org/html/2506.05297v1</w:t>
      </w:r>
    </w:p>
    <w:p w14:paraId="6DF380B8">
      <w:pPr>
        <w:spacing w:before="40" w:after="40"/>
        <w:ind w:left="720" w:hanging="360"/>
        <w:jc w:val="both"/>
      </w:pPr>
      <w:r>
        <w:rPr>
          <w:rFonts w:ascii="Times New Roman" w:hAnsi="Times New Roman" w:eastAsia="Times New Roman" w:cs="Times New Roman"/>
          <w:b/>
          <w:bCs/>
          <w:sz w:val="20"/>
          <w:szCs w:val="20"/>
        </w:rPr>
        <w:t xml:space="preserve">[31]  </w:t>
      </w:r>
      <w:r>
        <w:rPr>
          <w:rFonts w:ascii="Times New Roman" w:hAnsi="Times New Roman" w:eastAsia="Times New Roman" w:cs="Times New Roman"/>
          <w:sz w:val="20"/>
          <w:szCs w:val="20"/>
        </w:rPr>
        <w:t>"Multimodal Glioma Image Segmentation Using Dual Encoder Structure and Channel Spatial Attention Block," Frontiers in Neuroscience, 2020. Available: https://www.frontiersin.org/journals/neuroscience/articles/10.3389/fnins.2020.586197/full</w:t>
      </w:r>
    </w:p>
    <w:p w14:paraId="1D140A6E">
      <w:pPr>
        <w:spacing w:before="40" w:after="40"/>
        <w:ind w:left="720" w:hanging="360"/>
        <w:jc w:val="both"/>
      </w:pPr>
      <w:r>
        <w:rPr>
          <w:rFonts w:ascii="Times New Roman" w:hAnsi="Times New Roman" w:eastAsia="Times New Roman" w:cs="Times New Roman"/>
          <w:b/>
          <w:bCs/>
          <w:sz w:val="20"/>
          <w:szCs w:val="20"/>
        </w:rPr>
        <w:t xml:space="preserve">[32]  </w:t>
      </w:r>
      <w:r>
        <w:rPr>
          <w:rFonts w:ascii="Times New Roman" w:hAnsi="Times New Roman" w:eastAsia="Times New Roman" w:cs="Times New Roman"/>
          <w:sz w:val="20"/>
          <w:szCs w:val="20"/>
        </w:rPr>
        <w:t>"M3-TransUNet: Medical Image Segmentation Based on Spatial Prior Attention and Multi-Scale Gating," MDPI Journal of Imaging, 2026. Available: https://www.mdpi.com/2313-433X/12/1/15</w:t>
      </w:r>
    </w:p>
    <w:p w14:paraId="4C2F1BEF">
      <w:pPr>
        <w:spacing w:before="40" w:after="40"/>
        <w:ind w:left="720" w:hanging="360"/>
        <w:jc w:val="both"/>
      </w:pPr>
      <w:r>
        <w:rPr>
          <w:rFonts w:ascii="Times New Roman" w:hAnsi="Times New Roman" w:eastAsia="Times New Roman" w:cs="Times New Roman"/>
          <w:b/>
          <w:bCs/>
          <w:sz w:val="20"/>
          <w:szCs w:val="20"/>
        </w:rPr>
        <w:t xml:space="preserve">[33]  </w:t>
      </w:r>
      <w:r>
        <w:rPr>
          <w:rFonts w:ascii="Times New Roman" w:hAnsi="Times New Roman" w:eastAsia="Times New Roman" w:cs="Times New Roman"/>
          <w:sz w:val="20"/>
          <w:szCs w:val="20"/>
        </w:rPr>
        <w:t>"A Review of U-Net Based Deep Learning Frameworks for MRI-Based Brain Tumor Segmentation," PMC, 2025. Available: https://pmc.ncbi.nlm.nih.gov/articles/PMC12939320/</w:t>
      </w:r>
    </w:p>
    <w:sectPr>
      <w:headerReference r:id="rId3" w:type="default"/>
      <w:pgSz w:w="12240" w:h="15840"/>
      <w:pgMar w:top="1440" w:right="1260" w:bottom="1440" w:left="1260" w:header="0"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13D528">
    <w:pPr>
      <w:pBdr>
        <w:bottom w:val="none" w:color="auto" w:sz="0" w:space="2"/>
      </w:pBdr>
      <w:jc w:val="both"/>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displayBackgroundShape w:val="1"/>
  <w:documentProtection w:enforcement="0"/>
  <w:compat>
    <w:compatSetting w:name="compatibilityMode" w:uri="http://schemas.microsoft.com/office/word" w:val="15"/>
  </w:compat>
  <w:rsids>
    <w:rsidRoot w:val="00000000"/>
    <w:rsid w:val="2D8C3645"/>
    <w:rsid w:val="35F56010"/>
    <w:rsid w:val="7ECE7F4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2"/>
      <w:szCs w:val="22"/>
    </w:rPr>
  </w:style>
  <w:style w:type="paragraph" w:styleId="2">
    <w:name w:val="heading 1"/>
    <w:next w:val="1"/>
    <w:qFormat/>
    <w:uiPriority w:val="0"/>
    <w:pPr>
      <w:spacing w:before="320" w:after="120"/>
      <w:outlineLvl w:val="0"/>
    </w:pPr>
    <w:rPr>
      <w:rFonts w:ascii="Times New Roman" w:hAnsi="Times New Roman" w:eastAsia="Times New Roman" w:cs="Times New Roman"/>
      <w:b/>
      <w:bCs/>
      <w:color w:val="1F3864"/>
      <w:sz w:val="28"/>
      <w:szCs w:val="28"/>
    </w:rPr>
  </w:style>
  <w:style w:type="paragraph" w:styleId="3">
    <w:name w:val="heading 2"/>
    <w:next w:val="1"/>
    <w:qFormat/>
    <w:uiPriority w:val="0"/>
    <w:pPr>
      <w:spacing w:before="200" w:after="80"/>
      <w:outlineLvl w:val="1"/>
    </w:pPr>
    <w:rPr>
      <w:rFonts w:ascii="Times New Roman" w:hAnsi="Times New Roman" w:eastAsia="Times New Roman" w:cs="Times New Roman"/>
      <w:b/>
      <w:bCs/>
      <w:color w:val="2E4D7B"/>
      <w:sz w:val="24"/>
      <w:szCs w:val="24"/>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2"/>
      <w:szCs w:val="22"/>
    </w:rPr>
  </w:style>
  <w:style w:type="paragraph" w:styleId="6">
    <w:name w:val="heading 5"/>
    <w:next w:val="1"/>
    <w:qFormat/>
    <w:uiPriority w:val="0"/>
    <w:rPr>
      <w:rFonts w:ascii="Times New Roman" w:hAnsi="Times New Roman" w:eastAsia="Times New Roman" w:cs="Times New Roman"/>
      <w:color w:val="2E74B5"/>
      <w:sz w:val="22"/>
      <w:szCs w:val="22"/>
    </w:rPr>
  </w:style>
  <w:style w:type="paragraph" w:styleId="7">
    <w:name w:val="heading 6"/>
    <w:next w:val="1"/>
    <w:qFormat/>
    <w:uiPriority w:val="0"/>
    <w:rPr>
      <w:rFonts w:ascii="Times New Roman" w:hAnsi="Times New Roman" w:eastAsia="Times New Roman" w:cs="Times New Roman"/>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pPr>
      <w:spacing w:after="0" w:line="240" w:lineRule="auto"/>
    </w:pPr>
    <w:rPr>
      <w:rFonts w:ascii="Times New Roman" w:hAnsi="Times New Roman" w:eastAsia="Times New Roman" w:cs="Times New Roman"/>
      <w:sz w:val="20"/>
      <w:szCs w:val="20"/>
    </w:rPr>
  </w:style>
  <w:style w:type="paragraph" w:styleId="12">
    <w:name w:val="footer"/>
    <w:basedOn w:val="1"/>
    <w:qFormat/>
    <w:uiPriority w:val="0"/>
    <w:pPr>
      <w:tabs>
        <w:tab w:val="center" w:pos="4153"/>
        <w:tab w:val="right" w:pos="8306"/>
      </w:tabs>
      <w:snapToGrid w:val="0"/>
      <w:jc w:val="left"/>
    </w:pPr>
    <w:rPr>
      <w:sz w:val="18"/>
      <w:szCs w:val="18"/>
    </w:rPr>
  </w:style>
  <w:style w:type="character" w:styleId="13">
    <w:name w:val="footnote reference"/>
    <w:semiHidden/>
    <w:unhideWhenUsed/>
    <w:qFormat/>
    <w:uiPriority w:val="99"/>
    <w:rPr>
      <w:vertAlign w:val="superscript"/>
    </w:rPr>
  </w:style>
  <w:style w:type="paragraph" w:styleId="14">
    <w:name w:val="foot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5">
    <w:name w:val="Hyperlink"/>
    <w:unhideWhenUsed/>
    <w:qFormat/>
    <w:uiPriority w:val="99"/>
    <w:rPr>
      <w:color w:val="0563C1"/>
      <w:u w:val="single"/>
    </w:rPr>
  </w:style>
  <w:style w:type="paragraph" w:styleId="16">
    <w:name w:val="Title"/>
    <w:qFormat/>
    <w:uiPriority w:val="0"/>
    <w:rPr>
      <w:rFonts w:ascii="Times New Roman" w:hAnsi="Times New Roman" w:eastAsia="Times New Roman" w:cs="Times New Roman"/>
      <w:sz w:val="56"/>
      <w:szCs w:val="56"/>
    </w:rPr>
  </w:style>
  <w:style w:type="paragraph" w:styleId="17">
    <w:name w:val="List Paragraph"/>
    <w:qFormat/>
    <w:uiPriority w:val="0"/>
    <w:rPr>
      <w:rFonts w:ascii="Times New Roman" w:hAnsi="Times New Roman" w:eastAsia="Times New Roman" w:cs="Times New Roman"/>
      <w:sz w:val="22"/>
      <w:szCs w:val="22"/>
    </w:rPr>
  </w:style>
  <w:style w:type="character" w:customStyle="1" w:styleId="18">
    <w:name w:val="Footnote Text Char"/>
    <w:link w:val="14"/>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TotalTime>49</TotalTime>
  <ScaleCrop>false</ScaleCrop>
  <LinksUpToDate>false</LinksUpToDate>
  <Application>WPS Office_12.2.0.23202_F1E327BC-269C-435d-A152-05C5408002CA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2026-04-30T05:29:00Z</dcterms:created>
  <dc:creator>Un-named</dc:creator>
  <cp:lastModifiedBy>M Wahaj Sajid Ali</cp:lastModifiedBy>
  <dcterms:modified xsi:type="dcterms:W3CDTF">2026-05-07T09:15:24Z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725CB8EAB78E4FC381D4F9CCBBF405A8_12</vt:lpwstr>
  </property>
</Properties>
</file>