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Kubernetes Monitoring</w:t>
      </w:r>
    </w:p>
    <w:p>
      <w:pPr>
        <w:spacing w:after="240"/>
      </w:pPr>
      <w:r>
        <w:rPr>
          <w:color w:val="555555"/>
          <w:sz w:val="24"/>
        </w:rPr>
        <w:t>Brief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Kubernetes Monitoring</w:t>
            </w:r>
          </w:p>
        </w:tc>
      </w:tr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Document Type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brief</w:t>
            </w:r>
          </w:p>
        </w:tc>
      </w:tr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Tone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professional</w:t>
            </w:r>
          </w:p>
        </w:tc>
      </w:tr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Generated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2026-05-29 10:19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brief summarizes Kubernetes Monitoring for stakeholders. It provides a structured overview, key considerations, and actionable next steps in a concise professional format.</w:t>
      </w:r>
    </w:p>
    <w:p>
      <w:pPr>
        <w:pStyle w:val="Heading1"/>
      </w:pPr>
      <w:r>
        <w:t>Overview</w:t>
      </w:r>
    </w:p>
    <w:p>
      <w:r>
        <w:t>This section introduces Kubernetes Monitoring and frames why it matters for the intended audience. The focus is on practical value, implementation fit, and the decisions needed to move forward.</w:t>
      </w:r>
    </w:p>
    <w:p>
      <w:pPr>
        <w:pStyle w:val="Heading1"/>
      </w:pPr>
      <w:r>
        <w:t>Key Capabilities</w:t>
      </w:r>
    </w:p>
    <w:p>
      <w:r>
        <w:t>Kubernetes Monitoring should be evaluated by the concrete capabilities it enables, the operational workflows it improves, and the measurable outcomes it can support.</w:t>
      </w:r>
    </w:p>
    <w:p>
      <w:pPr>
        <w:pStyle w:val="Heading1"/>
      </w:pPr>
      <w:r>
        <w:t>Implementation Approach</w:t>
      </w:r>
    </w:p>
    <w:p>
      <w:r>
        <w:t>A practical implementation should start with a narrow working path, validate the core workflow, then expand into production concerns such as reliability, security, observability, and maintainability.</w:t>
      </w:r>
    </w:p>
    <w:p>
      <w:pPr>
        <w:pStyle w:val="Heading1"/>
      </w:pPr>
      <w:r>
        <w:t>Risks and Considerations</w:t>
      </w:r>
    </w:p>
    <w:p>
      <w:r>
        <w:t>Important considerations include integration complexity, operational ownership, access control, data quality, monitoring, and clear rollback paths.</w:t>
      </w:r>
    </w:p>
    <w:p>
      <w:pPr>
        <w:pStyle w:val="Heading1"/>
      </w:pPr>
      <w:r>
        <w:t>Next Steps</w:t>
      </w:r>
    </w:p>
    <w:p>
      <w:r>
        <w:t>The recommended next step is to agree on success criteria, choose a small pilot scope, assign owners, and validate the workflow with realistic inputs.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Kubernetes Monitoring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