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ApexScalp AI v3.0: Technical Documentation</w:t>
      </w:r>
    </w:p>
    <w:p>
      <w:pPr>
        <w:pStyle w:val="Heading1"/>
      </w:pPr>
      <w:r>
        <w:t>1. Executive Summary</w:t>
      </w:r>
    </w:p>
    <w:p>
      <w:r>
        <w:t>ApexScalp AI is a professional-grade, fully autonomous trading engine designed for MetaTrader 5. It utilizes a hybrid approach, combining traditional Technical Analysis, real-time Price Action recognition, and Predictive Machine Learning (Random Forest) to execute high-probability scalping trades.</w:t>
      </w:r>
    </w:p>
    <w:p>
      <w:pPr>
        <w:pStyle w:val="Heading1"/>
      </w:pPr>
      <w:r>
        <w:t>2. System Architecture</w:t>
      </w:r>
    </w:p>
    <w:p>
      <w:r>
        <w:t>The system is divided into 6 specialized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bot.py</w:t>
            </w:r>
          </w:p>
        </w:tc>
        <w:tc>
          <w:tcPr>
            <w:tcW w:type="dxa" w:w="4320"/>
          </w:tcPr>
          <w:p>
            <w:r>
              <w:t>The Controller. Manages the main execution loop (60s), coordinates all modules, and handles periodic model retraining.</w:t>
            </w:r>
          </w:p>
        </w:tc>
      </w:tr>
      <w:tr>
        <w:tc>
          <w:tcPr>
            <w:tcW w:type="dxa" w:w="4320"/>
          </w:tcPr>
          <w:p>
            <w:r>
              <w:t>analysis_engine.py</w:t>
            </w:r>
          </w:p>
        </w:tc>
        <w:tc>
          <w:tcPr>
            <w:tcW w:type="dxa" w:w="4320"/>
          </w:tcPr>
          <w:p>
            <w:r>
              <w:t>The Intelligence Layer. Implements the 'Confluence Score' logic, technical indicators, and Random Forest ML model.</w:t>
            </w:r>
          </w:p>
        </w:tc>
      </w:tr>
      <w:tr>
        <w:tc>
          <w:tcPr>
            <w:tcW w:type="dxa" w:w="4320"/>
          </w:tcPr>
          <w:p>
            <w:r>
              <w:t>risk_manager.py</w:t>
            </w:r>
          </w:p>
        </w:tc>
        <w:tc>
          <w:tcPr>
            <w:tcW w:type="dxa" w:w="4320"/>
          </w:tcPr>
          <w:p>
            <w:r>
              <w:t>The Safety Layer. Calculates ATR-based SL/TP, dynamic position sizing (0.5% risk), and margin safety checks.</w:t>
            </w:r>
          </w:p>
        </w:tc>
      </w:tr>
      <w:tr>
        <w:tc>
          <w:tcPr>
            <w:tcW w:type="dxa" w:w="4320"/>
          </w:tcPr>
          <w:p>
            <w:r>
              <w:t>trade_executor.py</w:t>
            </w:r>
          </w:p>
        </w:tc>
        <w:tc>
          <w:tcPr>
            <w:tcW w:type="dxa" w:w="4320"/>
          </w:tcPr>
          <w:p>
            <w:r>
              <w:t>The Execution Layer. Manages order placement and tracks trade outcomes (TP/SL/Manual).</w:t>
            </w:r>
          </w:p>
        </w:tc>
      </w:tr>
      <w:tr>
        <w:tc>
          <w:tcPr>
            <w:tcW w:type="dxa" w:w="4320"/>
          </w:tcPr>
          <w:p>
            <w:r>
              <w:t>mt5_connector.py</w:t>
            </w:r>
          </w:p>
        </w:tc>
        <w:tc>
          <w:tcPr>
            <w:tcW w:type="dxa" w:w="4320"/>
          </w:tcPr>
          <w:p>
            <w:r>
              <w:t>The Connection Layer. Handles the low-level API handshake with MetaTrader 5 and fetches OHLCV market data.</w:t>
            </w:r>
          </w:p>
        </w:tc>
      </w:tr>
      <w:tr>
        <w:tc>
          <w:tcPr>
            <w:tcW w:type="dxa" w:w="4320"/>
          </w:tcPr>
          <w:p>
            <w:r>
              <w:t>logger.py</w:t>
            </w:r>
          </w:p>
        </w:tc>
        <w:tc>
          <w:tcPr>
            <w:tcW w:type="dxa" w:w="4320"/>
          </w:tcPr>
          <w:p>
            <w:r>
              <w:t>The Audit Layer. Logs every signal and trade to CSV files for performance auditing.</w:t>
            </w:r>
          </w:p>
        </w:tc>
      </w:tr>
    </w:tbl>
    <w:p>
      <w:pPr>
        <w:pStyle w:val="Heading1"/>
      </w:pPr>
      <w:r>
        <w:t>3. The Four Pillars of Analysis</w:t>
      </w:r>
    </w:p>
    <w:p>
      <w:r>
        <w:t>Every trade signal is the result of a weighted consensus across four distinct filters:</w:t>
      </w:r>
    </w:p>
    <w:p>
      <w:pPr>
        <w:pStyle w:val="ListBullet"/>
      </w:pPr>
      <w:r>
        <w:rPr>
          <w:b/>
        </w:rPr>
        <w:t xml:space="preserve">Quantitative Indicators (35% weight): </w:t>
      </w:r>
      <w:r>
        <w:t>RSI for momentum, MACD for trend shifts, and a Triple EMA stack (20/50/100) for trend alignment. ADX (floor 10.0) ensures market volatility.</w:t>
      </w:r>
    </w:p>
    <w:p>
      <w:pPr>
        <w:pStyle w:val="ListBullet"/>
      </w:pPr>
      <w:r>
        <w:rPr>
          <w:b/>
        </w:rPr>
        <w:t xml:space="preserve">Price Action (25% weight): </w:t>
      </w:r>
      <w:r>
        <w:t>Real-time recognition of Hammer, Shooting Star, Morning/Evening Star, and Engulfing patterns at trend extremes.</w:t>
      </w:r>
    </w:p>
    <w:p>
      <w:pPr>
        <w:pStyle w:val="ListBullet"/>
      </w:pPr>
      <w:r>
        <w:rPr>
          <w:b/>
        </w:rPr>
        <w:t xml:space="preserve">Machine Learning (40% weight): </w:t>
      </w:r>
      <w:r>
        <w:t>A Random Forest Classifier trained on high-dimensional market features. Provides a probabilistic confidence score [-1.0 to +1.0].</w:t>
      </w:r>
    </w:p>
    <w:p>
      <w:pPr>
        <w:pStyle w:val="ListBullet"/>
      </w:pPr>
      <w:r>
        <w:rPr>
          <w:b/>
        </w:rPr>
        <w:t xml:space="preserve">Persistence Filter: </w:t>
      </w:r>
      <w:r>
        <w:t>Ensures that a signal is 'persistent' over consecutive market cycles before execution to avoid market noise.</w:t>
      </w:r>
    </w:p>
    <w:p>
      <w:pPr>
        <w:pStyle w:val="Heading1"/>
      </w:pPr>
      <w:r>
        <w:t>4. Risk Management Protocol</w:t>
      </w:r>
    </w:p>
    <w:p>
      <w:r>
        <w:t>The system uses institutional-grade risk protocols prioritized above all else:</w:t>
      </w:r>
    </w:p>
    <w:p>
      <w:pPr>
        <w:pStyle w:val="ListBullet"/>
      </w:pPr>
      <w:r>
        <w:t>Fixed Fractional Risk: Each trade risks exactly 0.5% of account equity.</w:t>
      </w:r>
    </w:p>
    <w:p>
      <w:pPr>
        <w:pStyle w:val="ListBullet"/>
      </w:pPr>
      <w:r>
        <w:t>ATR Volatility Stops: Stop Losses are dynamically calculated as 1.5x the Average True Range (ATR).</w:t>
      </w:r>
    </w:p>
    <w:p>
      <w:pPr>
        <w:pStyle w:val="ListBullet"/>
      </w:pPr>
      <w:r>
        <w:t>Reward-to-Risk Ratio: The Take Profit is set to 2.0x the Stop Loss (1:2 R:R).</w:t>
      </w:r>
    </w:p>
    <w:p>
      <w:pPr>
        <w:pStyle w:val="ListBullet"/>
      </w:pPr>
      <w:r>
        <w:t>Concentration Limits: Maximum of 8 simultaneous trades to prevent over-leverage.</w:t>
      </w:r>
    </w:p>
    <w:p>
      <w:pPr>
        <w:pStyle w:val="ListBullet"/>
      </w:pPr>
      <w:r>
        <w:t>Margin Safety: Trading is automatically suspended if free margin falls below 10% of balance.</w:t>
      </w:r>
    </w:p>
    <w:p>
      <w:pPr>
        <w:pStyle w:val="Heading1"/>
      </w:pPr>
      <w:r>
        <w:t>5. Roadmap v4.0</w:t>
      </w:r>
    </w:p>
    <w:p>
      <w:pPr>
        <w:pStyle w:val="ListBullet"/>
      </w:pPr>
      <w:r>
        <w:t>Economic News Filtering</w:t>
      </w:r>
    </w:p>
    <w:p>
      <w:pPr>
        <w:pStyle w:val="ListBullet"/>
      </w:pPr>
      <w:r>
        <w:t>Sentiment Analysis via Sentiment APIs</w:t>
      </w:r>
    </w:p>
    <w:p>
      <w:pPr>
        <w:pStyle w:val="ListBullet"/>
      </w:pPr>
      <w:r>
        <w:t>Multi-Timeframe Fractal Mapping</w:t>
      </w:r>
    </w:p>
    <w:p>
      <w:pPr>
        <w:pStyle w:val="ListBullet"/>
      </w:pPr>
      <w:r>
        <w:t>Advanced Equity Curve Optimization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