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Development and Evaluation of an Automated GRCh38</w:t>
        <w:br/>
        <w:t>Rare-Disease Variant Annotation Pipeline for SNVs and CNVs</w:t>
      </w:r>
    </w:p>
    <w:p>
      <w:pPr>
        <w:spacing w:after="240"/>
        <w:jc w:val="center"/>
      </w:pPr>
      <w:r>
        <w:rPr>
          <w:sz w:val="22"/>
        </w:rPr>
        <w:t>Muhammad Abdul Wahid</w:t>
        <w:br/>
        <w:t>National University of Sciences and Technology (NUST)</w:t>
      </w:r>
    </w:p>
    <w:p>
      <w:pPr>
        <w:pStyle w:val="Heading1"/>
      </w:pPr>
      <w:r>
        <w:t>1. Introduction</w:t>
      </w:r>
    </w:p>
    <w:p>
      <w:pPr>
        <w:spacing w:after="120"/>
      </w:pPr>
      <w:r>
        <w:t>Rare genetic disorders are caused by alterations in DNA that disrupt normal gene function or regulation. These alterations range from single-nucleotide variants (SNVs), where one nucleotide is replaced by another, to small insertions and deletions, and larger copy-number variants (CNVs) involving deletion or duplication of genomic regions. Although modern sequencing technologies can identify thousands or even millions of variants in an individual genome, the major challenge is determining which variant is relevant to the patient's disease.</w:t>
      </w:r>
    </w:p>
    <w:p>
      <w:pPr>
        <w:spacing w:after="120"/>
      </w:pPr>
      <w:r>
        <w:t>Raw variant files from sequencing generally provide only genomic coordinates, reference alleles, alternative alleles and basic variant information. They do not independently explain the affected gene, functional consequence, population frequency, clinical significance, inheritance pattern or predicted pathogenicity. Therefore, variant annotation and interpretation are essential steps in genomic disease analysis.</w:t>
      </w:r>
    </w:p>
    <w:p>
      <w:pPr>
        <w:spacing w:after="120"/>
      </w:pPr>
      <w:r>
        <w:t>This project focused on developing a reproducible rare-disease variant-annotation workflow based on the GRCh38 human reference genome. Two separate but connected analysis branches were implemented. The first branch processed small variants, including single-nucleotide variants and small insertions or deletions, using Variant Call Format (VCF) files. The second branch processed copy-number variants, including deletions and duplications, using four-column BED files. Keeping the two branches separate was necessary because small variants and copy-number variants differ in their biological effects, file formats, annotation requirements and classification guidelines.</w:t>
      </w:r>
    </w:p>
    <w:p>
      <w:pPr>
        <w:spacing w:after="120"/>
      </w:pPr>
      <w:r>
        <w:t>Four rare genetic disorders were selected for analysis: Kabuki syndrome, Sotos syndrome, Tay-Sachs disease and Noonan syndrome. These diseases represent different molecular mechanisms and inheritance patterns. The input files were synthetic educational datasets rather than real patient data. Each small-variant VCF initially contained one disease-associated variant hidden among multiple unrelated background variants to simulate the process of identifying a medically relevant variant from a larger candidate set.</w:t>
      </w:r>
    </w:p>
    <w:p>
      <w:pPr>
        <w:pStyle w:val="Heading1"/>
      </w:pPr>
      <w:r>
        <w:t>2. Project Objectives</w:t>
      </w:r>
    </w:p>
    <w:p>
      <w:pPr>
        <w:pStyle w:val="Heading2"/>
      </w:pPr>
      <w:r>
        <w:t>2.1 General Objective</w:t>
      </w:r>
    </w:p>
    <w:p>
      <w:pPr>
        <w:spacing w:after="120"/>
      </w:pPr>
      <w:r>
        <w:t>To construct a structured and portable rare-disease variant-analysis workflow that separately processes SNVs, small insertions or deletions and CNVs, and produces organized outputs suitable for biological interpretation, comparison and documentation.</w:t>
      </w:r>
    </w:p>
    <w:p>
      <w:pPr>
        <w:pStyle w:val="Heading2"/>
      </w:pPr>
      <w:r>
        <w:t>2.2 Specific Objectives</w:t>
      </w:r>
    </w:p>
    <w:p>
      <w:pPr>
        <w:pStyle w:val="ListBullet"/>
        <w:spacing w:after="80"/>
      </w:pPr>
      <w:r>
        <w:t>Prepare disease-specific genomic input files with synthetic variants for four rare genetic disorders</w:t>
      </w:r>
    </w:p>
    <w:p>
      <w:pPr>
        <w:pStyle w:val="ListBullet"/>
        <w:spacing w:after="80"/>
      </w:pPr>
      <w:r>
        <w:t>Simulate realistic variant-prioritization tasks by including one disease-associated variant among multiple background variants</w:t>
      </w:r>
    </w:p>
    <w:p>
      <w:pPr>
        <w:pStyle w:val="ListBullet"/>
        <w:spacing w:after="80"/>
      </w:pPr>
      <w:r>
        <w:t>Standardize small variants against GRCh38 using bcftools normalization while excluding incompatible records</w:t>
      </w:r>
    </w:p>
    <w:p>
      <w:pPr>
        <w:pStyle w:val="ListBullet"/>
        <w:spacing w:after="80"/>
      </w:pPr>
      <w:r>
        <w:t>Annotate SNVs and small indels to identify affected genes, transcripts, functional consequences, HGVS descriptions, protein changes, clinical significance and splice effects</w:t>
      </w:r>
    </w:p>
    <w:p>
      <w:pPr>
        <w:pStyle w:val="ListBullet"/>
        <w:spacing w:after="80"/>
      </w:pPr>
      <w:r>
        <w:t>Annotate and classify CNVs using AnnotSV, ClassifyCNV and ISV-CNV as independent analyses</w:t>
      </w:r>
    </w:p>
    <w:p>
      <w:pPr>
        <w:pStyle w:val="ListBullet"/>
        <w:spacing w:after="80"/>
      </w:pPr>
      <w:r>
        <w:t>Identify the main disease-associated variant for each disease based on gene-disease association, molecular consequence, inheritance pattern, clinical classification and pathogenicity predictions</w:t>
      </w:r>
    </w:p>
    <w:p>
      <w:pPr>
        <w:pStyle w:val="ListBullet"/>
        <w:spacing w:after="80"/>
      </w:pPr>
      <w:r>
        <w:t>Compare automated pipeline results with evidence obtained manually from ClinVar, gnomAD, SpliceAI, wInterVar, OMIM and ClinGen</w:t>
      </w:r>
    </w:p>
    <w:p>
      <w:pPr>
        <w:pStyle w:val="ListBullet"/>
        <w:spacing w:after="80"/>
      </w:pPr>
      <w:r>
        <w:t>Evaluate agreement among multiple annotation and classification methods</w:t>
      </w:r>
    </w:p>
    <w:p>
      <w:pPr>
        <w:pStyle w:val="ListBullet"/>
        <w:spacing w:after="80"/>
      </w:pPr>
      <w:r>
        <w:t>Create a reproducible computational environment using Apptainer containers, portable project paths and consistent directory structure</w:t>
      </w:r>
    </w:p>
    <w:p>
      <w:pPr>
        <w:pStyle w:val="ListBullet"/>
        <w:spacing w:after="80"/>
      </w:pPr>
      <w:r>
        <w:t>Automate disease-specific analysis through a Bash pipeline capable of accepting a disease name and generating organized results</w:t>
      </w:r>
    </w:p>
    <w:p>
      <w:pPr>
        <w:pStyle w:val="ListBullet"/>
        <w:spacing w:after="80"/>
      </w:pPr>
      <w:r>
        <w:t>Preserve intermediate and final outputs for troubleshooting and interpretation</w:t>
      </w:r>
    </w:p>
    <w:p>
      <w:pPr>
        <w:pStyle w:val="ListBullet"/>
        <w:spacing w:after="80"/>
      </w:pPr>
      <w:r>
        <w:t>Document technical challenges and their solutions</w:t>
      </w:r>
    </w:p>
    <w:p>
      <w:pPr>
        <w:pStyle w:val="Heading1"/>
      </w:pPr>
      <w:r>
        <w:t>3. Overview of the Diseases Included in the Project</w:t>
      </w:r>
    </w:p>
    <w:p>
      <w:pPr>
        <w:spacing w:after="120"/>
      </w:pPr>
      <w:r>
        <w:t>Four rare genetic disorders were selected to evaluate the automated annotation pipeline. These conditions were chosen because they involve different genes, molecular mechanisms, inheritance patterns and types of genomic variation.</w:t>
      </w:r>
    </w:p>
    <w:p>
      <w:pPr>
        <w:pStyle w:val="Heading2"/>
      </w:pPr>
      <w:r>
        <w:t>3.1 Kabuki Syndrome</w:t>
      </w:r>
    </w:p>
    <w:p>
      <w:pPr>
        <w:spacing w:after="120"/>
      </w:pPr>
      <w:r>
        <w:t>Kabuki syndrome is a multisystem developmental disorder characterized by recognizable facial appearance, developmental delay or intellectual disability, postnatal growth deficiency, persistent fetal fingertip pads and variable skeletal or congenital abnormalities. The two principal genes associated with Kabuki syndrome are KMT2D and KDM6A, which encode proteins involved in chromatin modification and the regulation of gene expression during development. Most molecularly confirmed cases involve pathogenic variants in KMT2D. KMT2D-related Kabuki syndrome follows an autosomal dominant inheritance pattern. Loss-of-function sequence variants and deletions can reduce the amount of functional KMT2D protein, providing a plausible molecular explanation for the disorder. The Kabuki dataset used in this project primarily focused on KMT2D, with both a disease-associated small variant and a deletion involving the gene included.</w:t>
      </w:r>
    </w:p>
    <w:p>
      <w:pPr>
        <w:pStyle w:val="Heading2"/>
      </w:pPr>
      <w:r>
        <w:t>3.2 Sotos Syndrome</w:t>
      </w:r>
    </w:p>
    <w:p>
      <w:pPr>
        <w:spacing w:after="120"/>
      </w:pPr>
      <w:r>
        <w:t>Sotos syndrome is an overgrowth and neurodevelopmental disorder. Its characteristic features include increased growth during childhood, a large head circumference, developmental delay or learning difficulties and a distinctive facial appearance. Sotos syndrome is primarily caused by heterozygous pathogenic variants or deletions affecting NSD1, located on chromosome 5. The condition follows an autosomal dominant inheritance pattern, although many affected individuals have a newly occurring, or de novo, pathogenic variant rather than an affected parent. The main disease mechanism is NSD1 haploinsufficiency, meaning that one functional copy of NSD1 is insufficient to maintain normal development. Therefore, a stop-gained variant that disrupts the encoded protein and a genomic deletion involving NSD1 may both support a molecular diagnosis of Sotos syndrome.</w:t>
      </w:r>
    </w:p>
    <w:p>
      <w:pPr>
        <w:pStyle w:val="Heading2"/>
      </w:pPr>
      <w:r>
        <w:t>3.3 Tay-Sachs Disease</w:t>
      </w:r>
    </w:p>
    <w:p>
      <w:pPr>
        <w:spacing w:after="120"/>
      </w:pPr>
      <w:r>
        <w:t>Tay-Sachs disease belongs to the spectrum of HEXA-related disorders and primarily affects the nervous system. The condition results from deficient activity of beta-hexosaminidase A, a lysosomal enzyme required for the degradation of GM2 ganglioside. When enzyme activity is severely reduced, GM2 ganglioside accumulates within neurons and causes progressive neurological dysfunction. Tay-Sachs disease is caused by pathogenic variants in HEXA, located on chromosome 15. It is inherited in an autosomal recessive manner, meaning that an affected individual generally has pathogenic variants affecting both copies of the gene. A person with only one pathogenic HEXA allele is typically an unaffected carrier. The severity and age of onset depend partly on the amount of remaining enzyme activity. The Tay-Sachs dataset included a disease-associated HEXA small variant and a deletion involving the gene. However, because the condition is recessive, a single heterozygous pathogenic variant or deletion would ordinarily indicate carrier status unless another pathogenic HEXA allele were also detected.</w:t>
      </w:r>
    </w:p>
    <w:p>
      <w:pPr>
        <w:pStyle w:val="Heading2"/>
      </w:pPr>
      <w:r>
        <w:t>3.4 Noonan Syndrome</w:t>
      </w:r>
    </w:p>
    <w:p>
      <w:pPr>
        <w:spacing w:after="120"/>
      </w:pPr>
      <w:r>
        <w:t>Noonan syndrome is a genetically heterogeneous developmental disorder belonging to the group of conditions known as RASopathies. Common clinical features can include distinctive facial characteristics, short stature, congenital heart disease, chest abnormalities, developmental differences and variable bleeding or lymphatic problems. Noonan syndrome is caused by pathogenic variants in genes involved in the RAS/MAPK signalling pathway, which regulates cellular growth, differentiation and development. More than ten genes have been associated with the condition, with PTPN11 being one of the most commonly implicated genes. Most forms of Noonan syndrome follow an autosomal dominant inheritance pattern. The Noonan dataset used in this project focused on PTPN11, encoding SHP2, a protein involved in RAS/MAPK pathway regulation. Many PTPN11 variants associated with Noonan syndrome alter the regulation of SHP2 and lead to excessive or prolonged pathway signalling.</w:t>
      </w:r>
    </w:p>
    <w:p>
      <w:pPr>
        <w:pStyle w:val="Heading1"/>
      </w:pPr>
      <w:r>
        <w:t>4. Computational Environment and Project Setup</w:t>
      </w:r>
    </w:p>
    <w:p>
      <w:pPr>
        <w:pStyle w:val="Heading2"/>
      </w:pPr>
      <w:r>
        <w:t>4.1 Operating System and Execution Platform</w:t>
      </w:r>
    </w:p>
    <w:p>
      <w:pPr>
        <w:spacing w:after="120"/>
      </w:pPr>
      <w:r>
        <w:t>The project was implemented on a Windows computer using Windows Subsystem for Linux (WSL) with Ubuntu. WSL provided a Linux command-line environment while allowing the files and results to remain accessible from Windows. This setup was useful because most of the selected bioinformatics tools are designed primarily for Linux-based systems. The main project directory was ~/rare_disease_project, which represented /home/abc/rare_disease_project on the computer used for final analysis. All commands were executed from within this project directory.</w:t>
      </w:r>
    </w:p>
    <w:p>
      <w:pPr>
        <w:pStyle w:val="Heading2"/>
      </w:pPr>
      <w:r>
        <w:t>4.2 Portable Project-Path Design</w:t>
      </w:r>
    </w:p>
    <w:p>
      <w:pPr>
        <w:spacing w:after="120"/>
      </w:pPr>
      <w:r>
        <w:t>The automated pipeline was designed to locate its own project directory rather than using a permanently hard-coded user path. The following logic was used: SCRIPT_DIR="$(cd "$(dirname "${BASH_SOURCE[0]}")" &amp;&amp; pwd)" and PROJECT_ROOT="$(cd "$SCRIPT_DIR/.." &amp;&amp; pwd)". This allowed the script to determine the location of rare_disease_project from the position of the pipeline file itself. When an Apptainer container was executed, the host project directory was mounted inside the container as /project. For example, Host path: /home/abc/rare_disease_project/resources/reference/hg38.fa would correspond to Container path: /project/resources/reference/hg38.fa. The containers were therefore able to use the same internal paths even when the project was copied to another username or computer.</w:t>
      </w:r>
    </w:p>
    <w:p>
      <w:pPr>
        <w:pStyle w:val="Heading2"/>
      </w:pPr>
      <w:r>
        <w:t>4.3 Containerized Software Environment</w:t>
      </w:r>
    </w:p>
    <w:p>
      <w:pPr>
        <w:spacing w:after="120"/>
      </w:pPr>
      <w:r>
        <w:t>The main bioinformatics tools were executed through Apptainer containers stored in ~/rare_disease_project/containers/. Containerization was used to preserve compatible software versions and dependencies. This was particularly important for tools such as ISV-CNV and SpliceAI, which depended on specific Python and machine-learning library versions. The principal containers used in the project were: core_tools.sif (bcftools, samtools, bgzip, tabix, bedtools and general command-line utilities), vep_release115.sif (Ensembl Variant Effect Predictor release 115), snpeff.sif (SnpEff and SnpSift), spliceai.sif (Standalone SpliceAI prediction), annotsv.sif (AnnotSV 3.5.10), and isv.sif (ISV-CNV with a compatible Python and machine-learning environment).</w:t>
      </w:r>
    </w:p>
    <w:p>
      <w:pPr>
        <w:pStyle w:val="Heading2"/>
      </w:pPr>
      <w:r>
        <w:t>4.4 Reference Genome</w:t>
      </w:r>
    </w:p>
    <w:p>
      <w:pPr>
        <w:spacing w:after="120"/>
      </w:pPr>
      <w:r>
        <w:t>The project used the GRCh38/hg38 human reference genome for all SNV and CNV coordinates. The main reference files were resources/reference/hg38.fa and resources/reference/hg38.fa.fai. The .fa file contained the reference genome sequence, while the .fai file was its FASTA index. The index allowed tools such as bcftools, VEP and SpliceAI to retrieve specific genomic regions efficiently. All input chromosomes used the chr naming convention (e.g., chr1, chr5, chr12, chr15). Maintaining the same chromosome naming convention across the reference genome, VCF files, BED files and annotation databases prevented chromosome-matching errors.</w:t>
      </w:r>
    </w:p>
    <w:p>
      <w:pPr>
        <w:pStyle w:val="Heading1"/>
      </w:pPr>
      <w:r>
        <w:t>5. Project Folder Structure and File Organization</w:t>
      </w:r>
    </w:p>
    <w:p>
      <w:pPr>
        <w:spacing w:after="120"/>
      </w:pPr>
      <w:r>
        <w:t>A clear folder structure was used to separate software containers, reference resources, raw input files, pipeline scripts, intermediate outputs and final results. This organization made the project easier to reproduce, troubleshoot and transfer between computers. The main project directory structure was:</w:t>
      </w:r>
    </w:p>
    <w:p>
      <w:pPr>
        <w:ind w:left="432"/>
      </w:pPr>
      <w:r>
        <w:t>rare_disease_project/</w:t>
        <w:br/>
        <w:t>├── containers/</w:t>
        <w:br/>
        <w:t>├── resources/</w:t>
        <w:br/>
        <w:t>│   ├── reference/</w:t>
        <w:br/>
        <w:t>│   ├── vep_cache/</w:t>
        <w:br/>
        <w:t>│   ├── snpeff_data/</w:t>
        <w:br/>
        <w:t>│   ├── clinvar/</w:t>
        <w:br/>
        <w:t>│   ├── clingen/</w:t>
        <w:br/>
        <w:t>│   ├── annotsv_annotations/</w:t>
        <w:br/>
        <w:t>│   └── g2p/</w:t>
        <w:br/>
        <w:t>├── tools/</w:t>
        <w:br/>
        <w:t>│   └── ClassifyCNV/</w:t>
        <w:br/>
        <w:t>├── input/</w:t>
        <w:br/>
        <w:t>│   ├── snv/</w:t>
        <w:br/>
        <w:t>│   └── cnv/</w:t>
        <w:br/>
        <w:t>├── pipeline/</w:t>
        <w:br/>
        <w:t>│   └── run_rare_disease_pipeline.sh</w:t>
        <w:br/>
        <w:t>└── results/</w:t>
        <w:br/>
        <w:t xml:space="preserve">    ├── kabuki/</w:t>
        <w:br/>
        <w:t xml:space="preserve">    ├── sotos/</w:t>
        <w:br/>
        <w:t xml:space="preserve">    ├── tay_sachs/</w:t>
        <w:br/>
        <w:t xml:space="preserve">    └── noonan/</w:t>
      </w:r>
    </w:p>
    <w:p>
      <w:pPr>
        <w:pStyle w:val="Heading2"/>
      </w:pPr>
      <w:r>
        <w:t>5.1 Containers Directory</w:t>
      </w:r>
    </w:p>
    <w:p>
      <w:pPr>
        <w:spacing w:after="120"/>
      </w:pPr>
      <w:r>
        <w:t>The containers folder stored the Apptainer image files (.sif files) used to run bioinformatics software. Each .sif file contained an isolated software environment with the required tool and compatible dependencies, reducing dependency conflicts and avoiding repeated installation on the host system. The containers preserved tested software environments and made the workflow easier to transfer to another computer.</w:t>
      </w:r>
    </w:p>
    <w:p>
      <w:pPr>
        <w:pStyle w:val="Heading2"/>
      </w:pPr>
      <w:r>
        <w:t>5.2 Resources Directory</w:t>
      </w:r>
    </w:p>
    <w:p>
      <w:pPr>
        <w:spacing w:after="120"/>
      </w:pPr>
      <w:r>
        <w:t>The resources folder stored reference genomes, annotation databases and supporting files required by the pipeline. Key subdirectories included: reference/ (hg38.fa and hg38.fa.fai for coordinate validation), vep_cache/ (Ensembl VEP cache release 115 for offline transcript and consequence annotation), snpeff_data/ (SnpEff transcript database for functional-consequence annotation), clinvar/ (ClinVar VCF for clinical significance annotation), clingen/ (ClinGen dosage BED for haploinsufficiency and triplosensitivity overlap), annotsv_annotations/ (AnnotSV annotation package for CNV interpretation), and g2p/ (Gene2Phenotype for gene-disease relationships).</w:t>
      </w:r>
    </w:p>
    <w:p>
      <w:pPr>
        <w:pStyle w:val="Heading2"/>
      </w:pPr>
      <w:r>
        <w:t>5.3 Input Directory</w:t>
      </w:r>
    </w:p>
    <w:p>
      <w:pPr>
        <w:spacing w:after="120"/>
      </w:pPr>
      <w:r>
        <w:t>The input folder contained only unannotated disease files, separated into snv/ and cnv/ subdirectories. Annotated results were never placed in this directory. The SNV folder contained four unannotated VCF files (one per disease), each with 19 variants: 1 disease-associated + 18 synthetic background variants. The CNV folder contained four headerless, four-column BED files (one per disease), each with 10 CNVs: 1 disease-associated + 9 synthetic distractor CNVs. The CNV BED format was: chromosome start end DEL|DUP (e.g., chr15 72340923 72376014 DEL).</w:t>
      </w:r>
    </w:p>
    <w:p>
      <w:pPr>
        <w:pStyle w:val="Heading2"/>
      </w:pPr>
      <w:r>
        <w:t>5.4 Results Directory</w:t>
      </w:r>
    </w:p>
    <w:p>
      <w:pPr>
        <w:spacing w:after="120"/>
      </w:pPr>
      <w:r>
        <w:t>The results folder contained one separate directory for every disease, each following the same internal structure. For each disease, subdirectories included: final/ (main completed outputs: annotated VCF, CNV summary, pipeline outputs), snv/ (output from each small-variant annotation stage, preserving stepwise annotation), cnv/ (detailed results from AnnotSV, ClassifyCNV and ISV-CNV as independent analyses), logs/ (pipeline execution messages with timestamps, warnings and errors), work/ (temporary and normalized processing files), and disease_variant_only/ (filtered files containing only the main disease-associated variant for screenshots and comparison).</w:t>
      </w:r>
    </w:p>
    <w:p>
      <w:pPr>
        <w:pStyle w:val="Heading1"/>
      </w:pPr>
      <w:r>
        <w:t>6. Bioinformatics Tools Used in the Workflow</w:t>
      </w:r>
    </w:p>
    <w:p>
      <w:pPr>
        <w:spacing w:after="120"/>
      </w:pPr>
      <w:r>
        <w:t>The project combined command-line bioinformatics tools, containerized software and manually accessed web-based interpretation platforms. Each tool contributed a different type of information. The automated pipeline used the following principal workflow:</w:t>
      </w:r>
    </w:p>
    <w:p>
      <w:pPr>
        <w:spacing w:after="120"/>
      </w:pPr>
      <w:r>
        <w:t>Small variants: bcftools → VEP → SnpEff → SnpSift/ClinVar → ClinGen annotation → SpliceAI → final annotated VCF</w:t>
      </w:r>
    </w:p>
    <w:p>
      <w:pPr>
        <w:spacing w:after="120"/>
      </w:pPr>
      <w:r>
        <w:t>Copy-number variants (independent tools): CNV BED input → AnnotSV, ClassifyCNV, and ISV-CNV (three separate analyses)</w:t>
      </w:r>
    </w:p>
    <w:p>
      <w:pPr>
        <w:pStyle w:val="Heading2"/>
      </w:pPr>
      <w:r>
        <w:t>6.1 Core Variant Processing Tools</w:t>
      </w:r>
    </w:p>
    <w:p>
      <w:pPr>
        <w:spacing w:after="120"/>
      </w:pPr>
      <w:r>
        <w:t>bcftools: Used for reading and validating VCF files, compressing or converting variants into standard VCF output, normalizing variants against GRCh38, splitting multiallelic records, counting and querying variant records, adding ClinGen overlap information, and displaying selected variants. The normalization command compared each VCF REF allele with the GRCh38 sequence and standardized the representation of small variants. The -c x setting excluded records with REF mismatches without rewriting their alleles.</w:t>
      </w:r>
    </w:p>
    <w:p>
      <w:pPr>
        <w:spacing w:after="120"/>
      </w:pPr>
      <w:r>
        <w:t>bgzip: Used to compress VCF files into the .vcf.gz format. Unlike ordinary compression, bgzip is designed specifically for block-based genomic access, allowing tools to retrieve one genomic region without decompressing the complete file. The compressed format reduced storage requirements, was accepted by VEP and bcftools, allowed tabix indexing, and supported fast regional queries.</w:t>
      </w:r>
    </w:p>
    <w:p>
      <w:pPr>
        <w:spacing w:after="120"/>
      </w:pPr>
      <w:r>
        <w:t>tabix: Used to create index files (.tbi) for compressed VCF and BED resources. The index file did not contain additional biological annotations but recorded the internal genomic positions of compressed data blocks, allowing tools to rapidly retrieve a specific chromosome, genomic interval, or particular variant region.</w:t>
      </w:r>
    </w:p>
    <w:p>
      <w:pPr>
        <w:pStyle w:val="Heading2"/>
      </w:pPr>
      <w:r>
        <w:t>6.2 Functional Annotation Tools</w:t>
      </w:r>
    </w:p>
    <w:p>
      <w:pPr>
        <w:spacing w:after="120"/>
      </w:pPr>
      <w:r>
        <w:t>Ensembl Variant Effect Predictor (VEP): The principal functional annotation tool used VEP release 115 with GRCh38 offline human cache. VEP predicted how each variant affected genes and transcripts, with main annotation stored in the VCF CSQ INFO field. Important VEP information included: affected gene, gene symbol, Ensembl gene and transcript identifiers, variant consequence, transcript biotype, exon or intron number, coding DNA position, protein position, amino-acid change, HGVS coding and protein descriptions, canonical transcript status, MANE transcript status, known variant identifiers, and available gnomAD frequency fields. The pipeline ran VEP with options including --everything, --symbol, --canonical, --mane, --hgvs, --protein, and --af_gnomade.</w:t>
      </w:r>
    </w:p>
    <w:p>
      <w:pPr>
        <w:spacing w:after="120"/>
      </w:pPr>
      <w:r>
        <w:t>SnpEff: Used as a second functional-consequence annotation tool running on the GRCh38.mane.1.2.ensembl database. SnpEff added annotations describing effect/consequence, predicted impact, gene name, gene identifier, transcript, transcript biotype, exon or intron rank, coding change, protein change, coding-sequence position and amino-acid position in the ANN field. Using both VEP and SnpEff allowed their outputs to be compared; agreement between the two tools strengthened confidence that the affected gene and molecular consequence were being interpreted consistently, while differences could indicate transcript selection or database version variations.</w:t>
      </w:r>
    </w:p>
    <w:p>
      <w:pPr>
        <w:spacing w:after="120"/>
      </w:pPr>
      <w:r>
        <w:t>SpliceAI: Used to predict whether a variant could alter pre-mRNA splicing. The tool was run in standalone mode using the annotated VCF and GRCh38 reference. SpliceAI provided four principal delta scores: DS_AG (acceptor gain), DS_AL (acceptor loss), DS_DG (donor gain), and DS_DL (donor loss). Scores closer to zero suggest little predicted splice effect, while higher scores indicate stronger predicted disruption. However, the score must be interpreted together with variant location, transcript, known disease mechanism and other clinical evidence.</w:t>
      </w:r>
    </w:p>
    <w:p>
      <w:pPr>
        <w:pStyle w:val="Heading2"/>
      </w:pPr>
      <w:r>
        <w:t>6.3 CNV Annotation and Classification Tools</w:t>
      </w:r>
    </w:p>
    <w:p>
      <w:pPr>
        <w:spacing w:after="120"/>
      </w:pPr>
      <w:r>
        <w:t>AnnotSV: Used to provide detailed annotation and prioritization of deletions and duplications. AnnotSV compared each CNV with multiple genomic resources and generated information including: chromosome, start and end coordinates, CNV length, deletion or duplication type, overlapping genes, transcript information, coding-sequence overlap, known disease genes, ClinGen dosage information, OMIM-related information, known pathogenic regions, population structural variants, gene-level and full-CNV annotations, and ranking/classification information. One CNV could produce multiple AnnotSV rows (full-variant row, separate gene-level rows, additional overlapping-feature rows).</w:t>
      </w:r>
    </w:p>
    <w:p>
      <w:pPr>
        <w:spacing w:after="120"/>
      </w:pPr>
      <w:r>
        <w:t>ClassifyCNV: Used to apply an automated scoring system based on ACMG/ClinGen technical standards for constitutional CNV interpretation. The scoresheet evaluated evidence including: CNV type, gene content, protein-coding genes, dosage-sensitive genes, overlap with established pathogenic regions, overlap with benign regions, deletion or duplication evidence categories, number and relevance of affected genes, total evidence score, and final classification. Possible classification categories included: Benign, Likely benign, Variant of uncertain significance, Likely pathogenic, and Pathogenic. ClassifyCNV converted different CNV evidence categories into a structured score, though automated scoring still required manual review.</w:t>
      </w:r>
    </w:p>
    <w:p>
      <w:pPr>
        <w:spacing w:after="120"/>
      </w:pPr>
      <w:r>
        <w:t>ISV-CNV: Used as a machine-learning method for prioritizing and predicting the pathogenicity of CNVs. ISV required a table containing named columns (chromosome, start, end, cnv_type) and produced output with predicted pathogenicity, probability, threshold-based prediction, feature values, and SHAP contributions. SHAP values explained how different features influenced the machine-learning prediction, making ISV more interpretable than a single unexplained probability score. The project ran ISV through its Python API using isv(cnvs=cnvs, proba=True, shap=True, threshold=0.95) to avoid dependency conflicts.</w:t>
      </w:r>
    </w:p>
    <w:p>
      <w:pPr>
        <w:pStyle w:val="Heading1"/>
      </w:pPr>
      <w:r>
        <w:t>7. Genomic Databases and Annotation Resources Used</w:t>
      </w:r>
    </w:p>
    <w:p>
      <w:pPr>
        <w:spacing w:after="120"/>
      </w:pPr>
      <w:r>
        <w:t>The pipeline and manual interpretation stages depended on several genomic databases and reference resources. These resources supplied information that could not be obtained from genomic coordinates alone, including transcript structure, population frequency, clinical significance, gene-disease relationships, inheritance patterns and dosage sensitivity.</w:t>
      </w:r>
    </w:p>
    <w:p>
      <w:pPr>
        <w:pStyle w:val="Heading2"/>
      </w:pPr>
      <w:r>
        <w:t>7.1 Automated Resources</w:t>
      </w:r>
    </w:p>
    <w:p>
      <w:pPr>
        <w:spacing w:after="120"/>
      </w:pPr>
      <w:r>
        <w:t>GRCh38 Human Reference Genome: The complete analysis was based on Genome Reference Consortium Human Build 38 (GRCh38 or hg38), used to: validate VCF REF alleles, normalize SNVs and small indels, provide sequences required by VEP, provide the sequence context required by SpliceAI, maintain consistent coordinates across the pipeline, and interpret CNV chromosome positions.</w:t>
      </w:r>
    </w:p>
    <w:p>
      <w:pPr>
        <w:spacing w:after="120"/>
      </w:pPr>
      <w:r>
        <w:t>Ensembl VEP Offline Cache (Release 115): The VEP cache contained locally prepared annotation data for efficient command-line VEP execution. The cache supported annotation of: gene symbols, Ensembl gene identifiers, transcripts, transcript biotypes, exon and intron numbers, Sequence Ontology consequences, coding and protein positions, amino-acid changes, HGVS descriptions, canonical transcripts, MANE transcripts, known variant identifiers, and available population allele frequencies. The cache release had to match the VEP software release.</w:t>
      </w:r>
    </w:p>
    <w:p>
      <w:pPr>
        <w:spacing w:after="120"/>
      </w:pPr>
      <w:r>
        <w:t>SnpEff Transcript Database: Used the GRCh38.mane.1.2.ensembl database selected to maintain GRCh38 compatibility and provide transcript annotations based on MANE and Ensembl information. SnpEff used this resource to calculate: affected gene, transcript, exon or intron, functional consequence, predicted impact, coding change, protein change, amino-acid position, and HGVS notation.</w:t>
      </w:r>
    </w:p>
    <w:p>
      <w:pPr>
        <w:spacing w:after="120"/>
      </w:pPr>
      <w:r>
        <w:t>ClinVar VCF: Local files were resources/clinvar/clinvar.chr.vcf.gz and clinvar.chr.vcf.gz.tbi. Chromosome names in the downloaded ClinVar VCF were standardized to the chr format to match project inputs. ClinVar is a public archive of submitted relationships between human genomic variants and health-related conditions, including supporting classifications and evidence. The automated annotation included fields such as CLNSIG (submitted clinical significance), CLNDN (associated condition/disease), CLNREVSTAT (review status), CLNDISDB (external disease identifiers), CLNHGVS (ClinVar HGVS representation), and GENEINFO (associated gene).</w:t>
      </w:r>
    </w:p>
    <w:p>
      <w:pPr>
        <w:spacing w:after="120"/>
      </w:pPr>
      <w:r>
        <w:t>ClinGen Dosage Sensitivity: Local files included clingen_dosage.hg38.bed.gz, .tbi index, and supporting CSV. ClinGen evaluates evidence for two principal dosage mechanisms: Haploinsufficiency (disease may result when one functional copy of a gene or region is insufficient, relevant to deletions and loss-of-function variants) and Triplosensitivity (disease may result when an additional copy of a gene or region is present, relevant to duplications). The compressed BED file was used by the automated pipeline to identify overlap between small variants or genomic regions and ClinGen dosage-sensitive genes.</w:t>
      </w:r>
    </w:p>
    <w:p>
      <w:pPr>
        <w:spacing w:after="120"/>
      </w:pPr>
      <w:r>
        <w:t>AnnotSV Human Annotation Package: Located at resources/annotsv_annotations/AnnotSV_annotations/Annotations_Human/, this package supplied the reference datasets that AnnotSV used to interpret structural variants. The annotation folders included resources for: genes and transcripts, features fully contained within a CNV, CNVs contained within known regions, breakpoint annotations, gene-based annotations, regulatory or user-provided features, known structural-variant datasets, and dosage-sensitive regions. Without this annotation package, AnnotSV could process coordinates but would not generate the complete gene- and disease-related interpretation.</w:t>
      </w:r>
    </w:p>
    <w:p>
      <w:pPr>
        <w:pStyle w:val="Heading2"/>
      </w:pPr>
      <w:r>
        <w:t>7.2 Manual Resources</w:t>
      </w:r>
    </w:p>
    <w:p>
      <w:pPr>
        <w:spacing w:after="120"/>
      </w:pPr>
      <w:r>
        <w:t>gnomAD: The Genome Aggregation Database aggregates sequencing data from large cohorts and presents summary allele-frequency information for genetic variants. The complete local gnomAD dataset was not downloaded because of large storage requirement. Instead, the project used: (1) population fields available through the VEP cache, and (2) manual confirmation on the gnomAD website for each principal disease variant. Important gnomAD values included: AC (number of observed alternative alleles), AN (total number of alleles successfully assessed), AF (alternative allele frequency), homozygote count, population-specific AF, and maximum or group maximum AF.</w:t>
      </w:r>
    </w:p>
    <w:p>
      <w:pPr>
        <w:spacing w:after="120"/>
      </w:pPr>
      <w:r>
        <w:t>Manual Web-Based Tools: Several online platforms were used manually to confirm automated results: ClinVar website (verify clinical classifications and review status), SpliceAI Lookup website (confirm splice-effect predictions), wInterVar (ACMG/AMP-style sequence-variant classification), OMIM (disease description, responsible genes, inheritance patterns, molecular mechanisms), and Gene2Phenotype (gene-disease associations with allelic requirements and disease mechanisms).</w:t>
      </w:r>
    </w:p>
    <w:p>
      <w:pPr>
        <w:pStyle w:val="Heading1"/>
      </w:pPr>
      <w:r>
        <w:t>8. Automated Pipeline Methodology</w:t>
      </w:r>
    </w:p>
    <w:p>
      <w:pPr>
        <w:pStyle w:val="Heading2"/>
      </w:pPr>
      <w:r>
        <w:t>8.1 Small-Variant Branch</w:t>
      </w:r>
    </w:p>
    <w:p>
      <w:pPr>
        <w:spacing w:after="120"/>
      </w:pPr>
      <w:r>
        <w:t>The small-variant workflow processed unannotated VCF files through sequential annotation stages. First, the input VCF was compressed with bgzip and indexed with tabix for efficient access. bcftools norm then checked REF alleles against GRCh38, split multiallelic records, and excluded synthetic variants with reference-allele mismatches using the -c x option (safer than automatically rewriting alleles, which could create biologically misleading variants).</w:t>
      </w:r>
    </w:p>
    <w:p>
      <w:pPr>
        <w:spacing w:after="120"/>
      </w:pPr>
      <w:r>
        <w:t>VEP added gene, transcript, consequence, HGVS, protein and available population-frequency information. SnpEff added an independent ANN consequence field, allowing comparison of two independent functional predictions. SnpSift transferred ClinVar clinical annotations from the local ClinVar VCF. ClinGen supplied dosage-related information for genes with known sensitivity to copy-number changes. SpliceAI predicted possible splice effects on the annotated VCF. The final output was results/&lt;disease&gt;/final/&lt;disease&gt;.final.small_variants.annotated.vcf.gz with corresponding .tbi index.</w:t>
      </w:r>
    </w:p>
    <w:p>
      <w:pPr>
        <w:pStyle w:val="Heading2"/>
      </w:pPr>
      <w:r>
        <w:t>8.2 Copy-Number Variant Branch</w:t>
      </w:r>
    </w:p>
    <w:p>
      <w:pPr>
        <w:spacing w:after="120"/>
      </w:pPr>
      <w:r>
        <w:t>The CNV workflow used the same four-column BED file independently in three tools, rather than sequentially. AnnotSV identified overlapping genes, known regions, dosage information and CNV-ranking evidence. ClassifyCNV applied an ACMG/ClinGen-style scoring framework and produced a classification scoresheet. ISV-CNV used a machine-learning model to produce pathogenicity predictions, probabilities and SHAP-based feature contributions. These tools were not run sequentially; each received the original CNV BED input, and their results were compared during interpretation.</w:t>
      </w:r>
    </w:p>
    <w:p>
      <w:pPr>
        <w:pStyle w:val="Heading2"/>
      </w:pPr>
      <w:r>
        <w:t>8.3 Disease-Specific Execution</w:t>
      </w:r>
    </w:p>
    <w:p>
      <w:pPr>
        <w:spacing w:after="120"/>
      </w:pPr>
      <w:r>
        <w:t>A disease was processed using: THREADS=4 bash pipeline/run_rare_disease_pipeline.sh &lt;disease_name&gt;. If an existing result needed to be replaced, the --force option was added. The pipeline automatically selected the matching SNV and CNV input files and created disease-specific output directories containing final/, snv/, cnv/, logs/, work/, and disease_variant_only/ folders.</w:t>
      </w:r>
    </w:p>
    <w:p>
      <w:pPr>
        <w:pStyle w:val="Heading1"/>
      </w:pPr>
      <w:r>
        <w:t>9. Quality Control and Technical Challenges</w:t>
      </w:r>
    </w:p>
    <w:p>
      <w:pPr>
        <w:pStyle w:val="Heading2"/>
      </w:pPr>
      <w:r>
        <w:t>9.1 Pre-Execution Quality Checks</w:t>
      </w:r>
    </w:p>
    <w:p>
      <w:pPr>
        <w:spacing w:after="120"/>
      </w:pPr>
      <w:r>
        <w:t>Before running the final automated pipeline, all input files were validated. SNV checks confirmed: valid VCF formatting, successful reading by bcftools, GRCh38 coordinate use, chr-prefixed chromosome names, 19 initial records in each file, and separation from CNV inputs. CNV checks confirmed: exactly four tab-separated columns, chr-prefixed chromosomes, numeric start and end positions, end position greater than start position, DEL or DUP in column four, and ten CNVs in each final BED file.</w:t>
      </w:r>
    </w:p>
    <w:p>
      <w:pPr>
        <w:pStyle w:val="Heading2"/>
      </w:pPr>
      <w:r>
        <w:t>9.2 Main Technical Challenges and Solutions</w:t>
      </w:r>
    </w:p>
    <w:p>
      <w:pPr>
        <w:spacing w:after="120"/>
      </w:pPr>
      <w:r>
        <w:t>Reference-allele mismatch: Some synthetic background variants did not match GRCh38 and caused normalization errors. Solution: bcftools norm -c x was used to exclude only the mismatching records without rewriting alleles. The true disease variants remained in the final files.</w:t>
      </w:r>
    </w:p>
    <w:p>
      <w:pPr>
        <w:spacing w:after="120"/>
      </w:pPr>
      <w:r>
        <w:t>Windows metadata files: Files ending with :Zone.Identifier appeared after transferring files from Windows. Solution: These metadata files were removed because they were not genomic inputs and could confuse wildcard-based commands.</w:t>
      </w:r>
    </w:p>
    <w:p>
      <w:pPr>
        <w:spacing w:after="120"/>
      </w:pPr>
      <w:r>
        <w:t>CNV VCF-to-BED conversion: The original CNVs were supplied as VCF records, while the pipeline required BED files. Solution: CNV coordinates were converted using: BED start = VCF POS - 1 and BED end = VCF END.</w:t>
      </w:r>
    </w:p>
    <w:p>
      <w:pPr>
        <w:spacing w:after="120"/>
      </w:pPr>
      <w:r>
        <w:t>Compressed VCF viewing: The final .vcf.gz files appeared as archives in Windows and could not be opened directly. Solution: bcftools was used to create readable uncompressed VCF copies while preserving the original compressed files and indexes.</w:t>
      </w:r>
    </w:p>
    <w:p>
      <w:pPr>
        <w:spacing w:after="120"/>
      </w:pPr>
      <w:r>
        <w:t>ISV-CNV dependency compatibility: ISV-CNV required older compatible scientific-library versions, and its command-line executable was unavailable. Solution: ISV-CNV was executed through its Python API inside the tested isv.sif container.</w:t>
      </w:r>
    </w:p>
    <w:p>
      <w:pPr>
        <w:spacing w:after="120"/>
      </w:pPr>
      <w:r>
        <w:t>Large annotation resources: Full local gnomAD and dbNSFP datasets required substantial storage. Solution: Population-frequency fields available through VEP were retained, while the main variants were checked manually on gnomAD and wInterVar.</w:t>
      </w:r>
    </w:p>
    <w:p>
      <w:pPr>
        <w:pStyle w:val="Heading1"/>
      </w:pPr>
      <w:r>
        <w:t>10. Disease-Specific Results</w:t>
      </w:r>
    </w:p>
    <w:p>
      <w:pPr>
        <w:pStyle w:val="Heading2"/>
      </w:pPr>
      <w:r>
        <w:t>10.1 Tay-Sachs Disease Analysis</w:t>
      </w:r>
    </w:p>
    <w:p>
      <w:pPr>
        <w:spacing w:after="120"/>
      </w:pPr>
      <w:r>
        <w:t>Disease Background: Tay-Sachs disease is an autosomal recessive lysosomal storage disorder caused by pathogenic variants in the HEXA gene. HEXA encodes part of the beta-hexosaminidase A enzyme, which is required for the degradation of GM2 ganglioside. Reduced enzyme activity leads to GM2 accumulation in neurons, resulting in progressive neurological disease. An affected individual normally requires pathogenic variants affecting both HEXA alleles. A single heterozygous pathogenic variant or deletion generally indicates carrier status unless another pathogenic allele is also identified.</w:t>
      </w:r>
    </w:p>
    <w:p>
      <w:pPr>
        <w:spacing w:after="120"/>
      </w:pPr>
      <w:r>
        <w:t>Small Variant: rs387906309 (chr15:72346579, G→GGATA GATA duplication). Gene: HEXA. Transcript consequence: Frameshift variant (c.1274_1277dup). Protein change: p.Tyr427IlefsTer5 (premature stop codon). ClinVar: Pathogenic. gnomAD: AF=0.0005 globally; enriched in Ashkenazi Jewish population (AF=0.01328); no observed homozygotes. Interpretation: High-impact loss-of-function variant; carrier status implied by autosomal recessive inheritance.</w:t>
      </w:r>
    </w:p>
    <w:p>
      <w:pPr>
        <w:spacing w:after="120"/>
      </w:pPr>
      <w:r>
        <w:t>CNV: chr15:72340923-72376014 deletion (approximately 35.1 kb). AnnotSV: Overlaps HEXA; ACMG class 5 (pathogenic); overlaps known pathogenic structural variants; contains 170 previously reported pathogenic small variants. ClassifyCNV: Score 0.90 (likely pathogenic). ISV-CNV: Score 0.0696 (low predicted pathogenicity). Conclusion: Deletion represents a pathogenic HEXA allele, but interpretation depends on finding a pathogenic second HEXA allele. Autosomal recessive inheritance requires compound evidence.</w:t>
      </w:r>
    </w:p>
    <w:p>
      <w:pPr>
        <w:pStyle w:val="Heading2"/>
      </w:pPr>
      <w:r>
        <w:t>10.2 Kabuki Syndrome Analysis</w:t>
      </w:r>
    </w:p>
    <w:p>
      <w:pPr>
        <w:spacing w:after="120"/>
      </w:pPr>
      <w:r>
        <w:t>Disease Background: Kabuki syndrome is a developmental disorder commonly associated with pathogenic variants in KMT2D and less frequently KDM6A. KMT2D-related Kabuki syndrome usually follows an autosomal dominant inheritance pattern. Many disease-causing variants lead to reduced KMT2D function, while deletions involving the gene may cause disease through loss of one functional copy.</w:t>
      </w:r>
    </w:p>
    <w:p>
      <w:pPr>
        <w:spacing w:after="120"/>
      </w:pPr>
      <w:r>
        <w:t>Small Variant: rs398123721 (chr12:49027256, G→A). Gene: KMT2D. Transcript consequence: Stop-gained variant/nonsense variant. Coding change: NM_003482.4:c.14710C&gt;T. Protein change: p.Arg4904Ter (premature termination). ClinVar: Pathogenic (multiple concordant submissions, 2-star review status). gnomAD: Absent from exomes and genomes (AF=0); extreme rarity. Interpretation: High-impact loss-of-function variant consistent with autosomal dominant haploinsufficiency mechanism of Kabuki syndrome. ClinGen reports sufficient evidence that loss of one KMT2D copy is disease-causing.</w:t>
      </w:r>
    </w:p>
    <w:p>
      <w:pPr>
        <w:spacing w:after="120"/>
      </w:pPr>
      <w:r>
        <w:t>CNV: chr12:49018977-49060794 deletion (approximately 41.8 kb). AnnotSV: Complete KMT2D overlap from transcript start to end; ACMG class 5 (pathogenic). ClassifyCNV: Score 0.90 (likely pathogenic); ClinGen KMT2D haploinsufficiency score = 3 (sufficient evidence that losing one copy causes disease). ISV-CNV: Score 0.8899 (high but below strict 0.95 threshold); SHAP shows haploinsufficiency and disease-gene features strongly support pathogenicity. Conclusion: Deletion causes loss of one KMT2D copy, consistent with established autosomal dominant haploinsufficiency mechanism of Kabuki syndrome.</w:t>
      </w:r>
    </w:p>
    <w:p>
      <w:pPr>
        <w:pStyle w:val="Heading2"/>
      </w:pPr>
      <w:r>
        <w:t>10.3 Sotos Syndrome Analysis</w:t>
      </w:r>
    </w:p>
    <w:p>
      <w:pPr>
        <w:spacing w:after="120"/>
      </w:pPr>
      <w:r>
        <w:t>Disease Background: Sotos syndrome is an autosomal dominant overgrowth disorder mainly caused by pathogenic variants or deletions involving NSD1. The typical mechanism is haploinsufficiency, meaning that one functional NSD1 copy is insufficient for normal development.</w:t>
      </w:r>
    </w:p>
    <w:p>
      <w:pPr>
        <w:spacing w:after="120"/>
      </w:pPr>
      <w:r>
        <w:t>Small Variant: rs587784148 (chr5:177269729, C→T). Gene: NSD1. Transcript consequence: Stop-gained/nonsense variant. Coding change: NM_022455.5:c.5431C&gt;T. Protein change: p.Arg1811Ter. ClinVar: Pathogenic; specifically linked to Sotos syndrome. gnomAD: Not found in v4.1.1 (absence with adequate coverage indicates AF≈0). SpliceAI: All delta scores ≈0.00 (no significant splice effect). wInterVar: Classified as pathogenic under ACMG/AMP criteria. Interpretation: High-impact loss-of-function from premature protein termination. Consistent with autosomal dominant NSD1 haploinsufficiency.</w:t>
      </w:r>
    </w:p>
    <w:p>
      <w:pPr>
        <w:spacing w:after="120"/>
      </w:pPr>
      <w:r>
        <w:t>CNV: chr5:177131797-177300213 deletion (approximately 168.4 kb). AnnotSV: Complete NSD1 transcript overlap; reported in both full-CNV and gene-level annotation modes; provides strong molecular evidence for Sotos syndrome. ClassifyCNV: Total score 1.00 (pathogenic); category 2C evidence (complete overlap with established dosage-sensitive gene NSD1 = 1.0 point); NSD1 is the only protein-coding gene within interval. ISV-CNV: Score 0.9479 (very high, just below strict 0.95 threshold); SHAP shows strong positive contributions from haploinsufficient-gene overlap, morbid-gene evidence, disease-associated genes, protein-coding sequence and haploinsufficient regions. Conclusion: Strong evidence for NSD1 haploinsufficiency as disease cause through both nonsense variant and deletion affecting one functional copy.</w:t>
      </w:r>
    </w:p>
    <w:p>
      <w:pPr>
        <w:pStyle w:val="Heading2"/>
      </w:pPr>
      <w:r>
        <w:t>10.4 Noonan Syndrome Analysis</w:t>
      </w:r>
    </w:p>
    <w:p>
      <w:pPr>
        <w:spacing w:after="120"/>
      </w:pPr>
      <w:r>
        <w:t>Disease Background: Noonan syndrome is a developmental disorder belonging to the RASopathy group, commonly associated with pathogenic variants in genes of the RAS/MAPK signalling pathway. PTPN11-related Noonan syndrome usually follows an autosomal dominant inheritance pattern.</w:t>
      </w:r>
    </w:p>
    <w:p>
      <w:pPr>
        <w:spacing w:after="120"/>
      </w:pPr>
      <w:r>
        <w:t>Small Variant: rs121918459 (chr12:112450368, A→G). Gene: PTPN11. Transcript consequence: Missense variant. Coding change: NM_002834.5:c.188A&gt;G. Protein change: p.Tyr63Cys. ClinVar: Pathogenic for Noonan syndrome; reviewed by ClinGen RASopathy Expert Panel. gnomAD: Exome AF=8.214×10⁻⁶; genome AF=1.314×10⁻⁵; maximum AF=9.416×10⁻⁵ in Finnish genomes (very rare in general population). SpliceAI: Acceptor-gain score=0.03; all other scores≈0.00 (no important splice disruption). Interpretation: Missense affecting SHP2 protein function; consistent with altered RAS/MAPK pathway signalling in autosomal dominant Noonan syndrome. Rare, pathogenic missense variant provides strong molecular finding.</w:t>
      </w:r>
    </w:p>
    <w:p>
      <w:pPr>
        <w:spacing w:after="120"/>
      </w:pPr>
      <w:r>
        <w:t>CNV: chr12:112418946-112509918 duplication (approximately 90.97 kb). AnnotSV: Spans complete PTPN11 transcript; reported in full-variant and gene-level annotation modes; ACMG class 3 (variant of uncertain significance; contains numerous previously reported pathogenic small-variant positions, but this does not establish the duplication as pathogenic). ClassifyCNV: Variant of uncertain significance; score=0.00; no established evidence that extra PTPN11 copy causes Noonan syndrome. ISV-CNV: Score=0.0194 (very low predicted pathogenicity); positive SHAP contributions from morbid and disease-associated gene overlap outweighed by negative contributions from regulatory, protein-coding, enhancer, promoter and CTCF-related features. Conclusion: Pathogenic PTPN11 missense variant provides strong molecular explanation; duplication remains unsupported as causal event, as established Noonan mechanism involves function-altering sequence variants rather than straightforward gene duplication.</w:t>
      </w:r>
    </w:p>
    <w:p>
      <w:pPr>
        <w:pStyle w:val="Heading1"/>
      </w:pPr>
      <w:r>
        <w:t>11. Final Conclusions and Limitations</w:t>
      </w:r>
    </w:p>
    <w:p>
      <w:pPr>
        <w:spacing w:after="120"/>
      </w:pPr>
      <w:r>
        <w:t>This project successfully developed and evaluated a reproducible GRCh38-based workflow for the annotation and interpretation of rare-disease-associated small variants and copy-number variants. Separate analysis branches were created for SNVs and small indels in VCF format and for deletions and duplications in BED format. The workflow was tested on synthetic datasets for Tay-Sachs disease, Kabuki syndrome, Sotos syndrome and Noonan syndrome.</w:t>
      </w:r>
    </w:p>
    <w:p>
      <w:pPr>
        <w:spacing w:after="120"/>
      </w:pPr>
      <w:r>
        <w:t>The small-variant pipeline combined bcftools normalization, VEP, SnpEff, ClinVar, ClinGen and SpliceAI annotations. The CNV branch independently applied AnnotSV, ClassifyCNV and ISV-CNV to the same CNV input. Apptainer containers, consistent GRCh38 coordinates and an organized folder structure made the workflow portable and reproducible. Intermediate files, final outputs and execution logs were preserved for quality control and troubleshooting.</w:t>
      </w:r>
    </w:p>
    <w:p>
      <w:pPr>
        <w:spacing w:after="120"/>
      </w:pPr>
      <w:r>
        <w:t>For Tay-Sachs disease, the pipeline identified a pathogenic frameshift variant in HEXA and a deletion involving the HEXA region. The small variant provided strong loss-of-function evidence, although autosomal recessive inheritance means a second pathogenic HEXA allele would normally be required for complete molecular diagnosis.</w:t>
      </w:r>
    </w:p>
    <w:p>
      <w:pPr>
        <w:spacing w:after="120"/>
      </w:pPr>
      <w:r>
        <w:t>For Kabuki syndrome, a pathogenic stop-gained variant and deletion affecting KMT2D were identified. The sequence and CNV findings were consistent with loss of KMT2D function and the established autosomal dominant haploinsufficiency mechanism of Kabuki syndrome.</w:t>
      </w:r>
    </w:p>
    <w:p>
      <w:pPr>
        <w:spacing w:after="120"/>
      </w:pPr>
      <w:r>
        <w:t>For Sotos syndrome, the pipeline identified a pathogenic nonsense variant and deletion involving NSD1. VEP, ClinVar, ClassifyCNV, AnnotSV and manual database evidence supported NSD1 haploinsufficiency, providing a strong molecular explanation for autosomal dominant Sotos syndrome.</w:t>
      </w:r>
    </w:p>
    <w:p>
      <w:pPr>
        <w:spacing w:after="120"/>
      </w:pPr>
      <w:r>
        <w:t>For Noonan syndrome, the pathogenic PTPN11 missense variant was strongly supported by automated and manual evidence. In contrast, the PTPN11-region duplication was classified as uncertain by ClassifyCNV and received a very low ISV-CNV score, demonstrating that overlap with a disease gene alone does not prove pathogenicity; the variant must also match the known disease mechanism.</w:t>
      </w:r>
    </w:p>
    <w:p>
      <w:pPr>
        <w:spacing w:after="120"/>
      </w:pPr>
      <w:r>
        <w:t>The project demonstrated the importance of reference-build compatibility, correct chromosome naming, VCF normalization, BED coordinate conventions, population-frequency interpretation, inheritance patterns and gene-dosage mechanisms. Automated results agreed well with manual searches using ClinVar, gnomAD, SpliceAI, wInterVar, OMIM, AnnotSV, ClassifyCNV and ISV-CNV. Tool differences were mainly observed in CNV interpretation because each method uses different evidence, scoring rules and prediction models, demonstrating why results from a single tool should not be accepted without further biological and clinical review.</w:t>
      </w:r>
    </w:p>
    <w:p>
      <w:pPr>
        <w:spacing w:after="120"/>
      </w:pPr>
      <w:r>
        <w:t>Limitations: The datasets were synthetic and did not include real patient phenotypes, family segregation, experimental validation or complete clinical information. Therefore, the results represent an educational and research workflow rather than a clinical diagnosis. Future work should integrate phenotype data (Human Phenotype Ontology), family pedigrees, and expert clinical review for diagnostic applications.</w:t>
      </w:r>
    </w:p>
    <w:p>
      <w:pPr>
        <w:spacing w:after="120"/>
      </w:pPr>
      <w:r>
        <w:t>In conclusion, the developed pipeline successfully transformed unannotated genomic files into organized and biologically interpretable results. Combining automated annotation, multiple independent classification tools and manual database verification produced more reliable interpretations than any single method alone. The workflow provides a useful foundation for future rare-disease analysis using real sequencing data with phenotype information and expert clinical review.</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