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7365d"/>
          <w:sz w:val="44"/>
          <w:szCs w:val="44"/>
        </w:rPr>
        <w:t xml:space="preserve">SukaSeafood</w:t>
      </w:r>
    </w:p>
    <w:p>
      <w:pPr>
        <w:spacing w:after="40"/>
      </w:pPr>
      <w:r>
        <w:rPr>
          <w:rFonts w:ascii="Arial" w:cs="Arial" w:eastAsia="Arial" w:hAnsi="Arial"/>
          <w:color w:val="366091"/>
          <w:sz w:val="30"/>
          <w:szCs w:val="30"/>
        </w:rPr>
        <w:t xml:space="preserve">Iteration 1 CV Scanner Handoff</w:t>
      </w:r>
    </w:p>
    <w:p>
      <w:pPr>
        <w:spacing w:after="220"/>
      </w:pPr>
      <w:r>
        <w:rPr>
          <w:rFonts w:ascii="Arial" w:cs="Arial" w:eastAsia="Arial" w:hAnsi="Arial"/>
          <w:i/>
          <w:iCs/>
          <w:color w:val="555555"/>
          <w:sz w:val="21"/>
          <w:szCs w:val="21"/>
        </w:rPr>
        <w:t xml:space="preserve">Trained nine-class fish scanner: results, limits and integration</w:t>
      </w:r>
    </w:p>
    <w:p>
      <w:pPr>
        <w:spacing w:after="40"/>
      </w:pPr>
      <w:r>
        <w:rPr>
          <w:rFonts w:ascii="Arial" w:cs="Arial" w:eastAsia="Arial" w:hAnsi="Arial"/>
          <w:color w:val="555555"/>
          <w:sz w:val="19"/>
          <w:szCs w:val="19"/>
        </w:rPr>
        <w:t xml:space="preserve">Model version </w:t>
      </w:r>
      <w:r>
        <w:rPr>
          <w:rFonts w:ascii="Consolas" w:cs="Consolas" w:eastAsia="Consolas" w:hAnsi="Consolas"/>
          <w:color w:val="555555"/>
          <w:sz w:val="17"/>
          <w:szCs w:val="17"/>
        </w:rPr>
        <w:t xml:space="preserve">cv-i1-2026-08-30</w:t>
      </w:r>
      <w:r>
        <w:rPr>
          <w:rFonts w:ascii="Arial" w:cs="Arial" w:eastAsia="Arial" w:hAnsi="Arial"/>
          <w:color w:val="555555"/>
          <w:sz w:val="19"/>
          <w:szCs w:val="19"/>
        </w:rPr>
        <w:t xml:space="preserve"> · 30 August 2026</w:t>
      </w:r>
    </w:p>
    <w:p>
      <w:pPr>
        <w:spacing w:after="200"/>
      </w:pPr>
      <w:r>
        <w:rPr>
          <w:sz w:val="8"/>
          <w:szCs w:val="8"/>
        </w:rPr>
        <w:t xml:space="preserve"/>
      </w:r>
    </w:p>
    <w:p>
      <w:pPr>
        <w:pStyle w:val="Heading1"/>
        <w:spacing w:after="140" w:before="360"/>
      </w:pPr>
      <w:r>
        <w:rPr>
          <w:rFonts w:ascii="Arial" w:cs="Arial" w:eastAsia="Arial" w:hAnsi="Arial"/>
          <w:b/>
          <w:bCs/>
          <w:color w:val="17365d"/>
          <w:sz w:val="30"/>
          <w:szCs w:val="30"/>
        </w:rPr>
        <w:t xml:space="preserve">1. Summary</w:t>
      </w:r>
    </w:p>
    <w:p>
      <w:pPr>
        <w:spacing w:after="120"/>
      </w:pPr>
      <w:r>
        <w:rPr>
          <w:rFonts w:ascii="Arial" w:cs="Arial" w:eastAsia="Arial" w:hAnsi="Arial"/>
          <w:sz w:val="21"/>
          <w:szCs w:val="21"/>
        </w:rPr>
        <w:t xml:space="preserve">The scanner is built, trained, exported, registered and serving. A photograph posted to </w:t>
      </w:r>
      <w:r>
        <w:rPr>
          <w:rFonts w:ascii="Consolas" w:cs="Consolas" w:eastAsia="Consolas" w:hAnsi="Consolas"/>
          <w:color w:val="2a4b6b"/>
          <w:sz w:val="19"/>
          <w:szCs w:val="19"/>
        </w:rPr>
        <w:t xml:space="preserve">POST /api/v1/identify</w:t>
      </w:r>
      <w:r>
        <w:rPr>
          <w:rFonts w:ascii="Arial" w:cs="Arial" w:eastAsia="Arial" w:hAnsi="Arial"/>
          <w:sz w:val="21"/>
          <w:szCs w:val="21"/>
        </w:rPr>
        <w:t xml:space="preserve"> comes back as up to three ranked candidate species, each already resolved to the canonical </w:t>
      </w:r>
      <w:r>
        <w:rPr>
          <w:rFonts w:ascii="Consolas" w:cs="Consolas" w:eastAsia="Consolas" w:hAnsi="Consolas"/>
          <w:color w:val="2a4b6b"/>
          <w:sz w:val="19"/>
          <w:szCs w:val="19"/>
        </w:rPr>
        <w:t xml:space="preserve">seafood_item_id</w:t>
      </w:r>
      <w:r>
        <w:rPr>
          <w:rFonts w:ascii="Arial" w:cs="Arial" w:eastAsia="Arial" w:hAnsi="Arial"/>
          <w:sz w:val="21"/>
          <w:szCs w:val="21"/>
        </w:rPr>
        <w:t xml:space="preserve"> that price, sustainability, cooking and search all key off.</w:t>
      </w:r>
    </w:p>
    <w:tbl>
      <w:tblPr>
        <w:tblW w:type="dxa" w:w="9360"/>
        <w:tblBorders>
          <w:top w:val="single" w:color="b8cce4" w:sz="4"/>
          <w:left w:val="single" w:color="b8cce4" w:sz="4"/>
          <w:bottom w:val="single" w:color="b8cce4" w:sz="4"/>
          <w:right w:val="single" w:color="b8cce4" w:sz="4"/>
          <w:insideH w:val="single" w:color="b8cce4" w:sz="4"/>
          <w:insideV w:val="single" w:color="b8cce4" w:sz="4"/>
        </w:tblBorders>
      </w:tblPr>
      <w:tblGrid>
        <w:gridCol w:w="2306"/>
        <w:gridCol w:w="7054"/>
      </w:tblGrid>
      <w:tr>
        <w:trPr>
          <w:tblHeader/>
        </w:trPr>
        <w:tc>
          <w:tcPr>
            <w:tcW w:type="dxa" w:w="2306"/>
            <w:shd w:fill="d9eaf7" w:color="auto" w:val="clear"/>
            <w:tcMar>
              <w:top w:type="dxa" w:w="70"/>
              <w:left w:type="dxa" w:w="110"/>
              <w:bottom w:type="dxa" w:w="70"/>
              <w:right w:type="dxa" w:w="110"/>
            </w:tcMar>
          </w:tcPr>
          <w:p>
            <w:pPr>
              <w:spacing w:after="0"/>
              <w:jc w:val="left"/>
            </w:pPr>
            <w:r>
              <w:rPr>
                <w:rFonts w:ascii="Arial" w:cs="Arial" w:eastAsia="Arial" w:hAnsi="Arial"/>
                <w:b/>
                <w:bCs/>
                <w:color w:val="17365d"/>
                <w:sz w:val="19"/>
                <w:szCs w:val="19"/>
              </w:rPr>
              <w:t xml:space="preserve">Measure</w:t>
            </w:r>
          </w:p>
        </w:tc>
        <w:tc>
          <w:tcPr>
            <w:tcW w:type="dxa" w:w="7054"/>
            <w:shd w:fill="d9eaf7" w:color="auto" w:val="clear"/>
            <w:tcMar>
              <w:top w:type="dxa" w:w="70"/>
              <w:left w:type="dxa" w:w="110"/>
              <w:bottom w:type="dxa" w:w="70"/>
              <w:right w:type="dxa" w:w="110"/>
            </w:tcMar>
          </w:tcPr>
          <w:p>
            <w:pPr>
              <w:spacing w:after="0"/>
              <w:jc w:val="left"/>
            </w:pPr>
            <w:r>
              <w:rPr>
                <w:rFonts w:ascii="Arial" w:cs="Arial" w:eastAsia="Arial" w:hAnsi="Arial"/>
                <w:b/>
                <w:bCs/>
                <w:color w:val="17365d"/>
                <w:sz w:val="19"/>
                <w:szCs w:val="19"/>
              </w:rPr>
              <w:t xml:space="preserve">Result</w:t>
            </w:r>
          </w:p>
        </w:tc>
      </w:tr>
      <w:tr>
        <w:tc>
          <w:tcPr>
            <w:tcW w:type="dxa" w:w="2306"/>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Top-1 accuracy</w:t>
            </w:r>
          </w:p>
        </w:tc>
        <w:tc>
          <w:tcPr>
            <w:tcW w:type="dxa" w:w="7054"/>
            <w:shd w:fill="ffffff" w:color="auto" w:val="clear"/>
            <w:tcMar>
              <w:top w:type="dxa" w:w="70"/>
              <w:left w:type="dxa" w:w="110"/>
              <w:bottom w:type="dxa" w:w="70"/>
              <w:right w:type="dxa" w:w="110"/>
            </w:tcMar>
          </w:tcPr>
          <w:p>
            <w:pPr>
              <w:spacing w:after="0"/>
              <w:jc w:val="left"/>
            </w:pPr>
            <w:r>
              <w:rPr>
                <w:rFonts w:ascii="Arial" w:cs="Arial" w:eastAsia="Arial" w:hAnsi="Arial"/>
                <w:b/>
                <w:bCs/>
                <w:sz w:val="19"/>
                <w:szCs w:val="19"/>
              </w:rPr>
              <w:t xml:space="preserve">78.0%</w:t>
            </w:r>
            <w:r>
              <w:rPr>
                <w:rFonts w:ascii="Arial" w:cs="Arial" w:eastAsia="Arial" w:hAnsi="Arial"/>
                <w:sz w:val="19"/>
                <w:szCs w:val="19"/>
              </w:rPr>
              <w:t xml:space="preserve"> (156/200)</w:t>
            </w:r>
          </w:p>
        </w:tc>
      </w:tr>
      <w:tr>
        <w:tc>
          <w:tcPr>
            <w:tcW w:type="dxa" w:w="2306"/>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Top-3 hit rate</w:t>
            </w:r>
          </w:p>
        </w:tc>
        <w:tc>
          <w:tcPr>
            <w:tcW w:type="dxa" w:w="7054"/>
            <w:shd w:fill="ffffff" w:color="auto" w:val="clear"/>
            <w:tcMar>
              <w:top w:type="dxa" w:w="70"/>
              <w:left w:type="dxa" w:w="110"/>
              <w:bottom w:type="dxa" w:w="70"/>
              <w:right w:type="dxa" w:w="110"/>
            </w:tcMar>
          </w:tcPr>
          <w:p>
            <w:pPr>
              <w:spacing w:after="0"/>
              <w:jc w:val="left"/>
            </w:pPr>
            <w:r>
              <w:rPr>
                <w:rFonts w:ascii="Arial" w:cs="Arial" w:eastAsia="Arial" w:hAnsi="Arial"/>
                <w:b/>
                <w:bCs/>
                <w:sz w:val="19"/>
                <w:szCs w:val="19"/>
              </w:rPr>
              <w:t xml:space="preserve">94.0%</w:t>
            </w:r>
            <w:r>
              <w:rPr>
                <w:rFonts w:ascii="Arial" w:cs="Arial" w:eastAsia="Arial" w:hAnsi="Arial"/>
                <w:sz w:val="19"/>
                <w:szCs w:val="19"/>
              </w:rPr>
              <w:t xml:space="preserve"> (188/200)</w:t>
            </w:r>
          </w:p>
        </w:tc>
      </w:tr>
      <w:tr>
        <w:tc>
          <w:tcPr>
            <w:tcW w:type="dxa" w:w="2306"/>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Species scannable</w:t>
            </w:r>
          </w:p>
        </w:tc>
        <w:tc>
          <w:tcPr>
            <w:tcW w:type="dxa" w:w="7054"/>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9 of the 12 in the catalogue</w:t>
            </w:r>
          </w:p>
        </w:tc>
      </w:tr>
      <w:tr>
        <w:tc>
          <w:tcPr>
            <w:tcW w:type="dxa" w:w="2306"/>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Model size</w:t>
            </w:r>
          </w:p>
        </w:tc>
        <w:tc>
          <w:tcPr>
            <w:tcW w:type="dxa" w:w="7054"/>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6.1 MB ONNX, CPU-only</w:t>
            </w:r>
          </w:p>
        </w:tc>
      </w:tr>
      <w:tr>
        <w:tc>
          <w:tcPr>
            <w:tcW w:type="dxa" w:w="2306"/>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Evaluation</w:t>
            </w:r>
          </w:p>
        </w:tc>
        <w:tc>
          <w:tcPr>
            <w:tcW w:type="dxa" w:w="7054"/>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200 held-out images, served </w:t>
            </w:r>
            <w:r>
              <w:rPr>
                <w:rFonts w:ascii="Arial" w:cs="Arial" w:eastAsia="Arial" w:hAnsi="Arial"/>
                <w:b/>
                <w:bCs/>
                <w:sz w:val="19"/>
                <w:szCs w:val="19"/>
              </w:rPr>
              <w:t xml:space="preserve">through the live API</w:t>
            </w:r>
          </w:p>
        </w:tc>
      </w:tr>
    </w:tbl>
    <w:p>
      <w:pPr>
        <w:spacing w:after="140"/>
      </w:pPr>
      <w:r>
        <w:rPr>
          <w:sz w:val="8"/>
          <w:szCs w:val="8"/>
        </w:rPr>
        <w:t xml:space="preserve"/>
      </w:r>
    </w:p>
    <w:p>
      <w:pPr>
        <w:spacing w:after="120"/>
      </w:pPr>
      <w:r>
        <w:rPr>
          <w:rFonts w:ascii="Arial" w:cs="Arial" w:eastAsia="Arial" w:hAnsi="Arial"/>
          <w:sz w:val="21"/>
          <w:szCs w:val="21"/>
        </w:rPr>
        <w:t xml:space="preserve">That last row matters more than it looks. The figures were not read off the training checkpoint; every one of the 200 images was posted to the running server and scored from the HTTP response. They therefore include the ONNX graph, the preprocessing, the confidence threshold, the class mapping and the database join. The API result matches the offline evaluation to four decimal places, which is the evidence that nothing in the serving path drifted.</w:t>
      </w:r>
    </w:p>
    <w:p>
      <w:pPr>
        <w:spacing w:after="120"/>
      </w:pPr>
      <w:r>
        <w:rPr>
          <w:rFonts w:ascii="Arial" w:cs="Arial" w:eastAsia="Arial" w:hAnsi="Arial"/>
          <w:b/>
          <w:bCs/>
          <w:sz w:val="21"/>
          <w:szCs w:val="21"/>
        </w:rPr>
        <w:t xml:space="preserve">Before quoting 78% anywhere, read section 3.</w:t>
      </w:r>
    </w:p>
    <w:p>
      <w:pPr>
        <w:pStyle w:val="Heading1"/>
        <w:spacing w:after="140" w:before="360"/>
      </w:pPr>
      <w:r>
        <w:rPr>
          <w:rFonts w:ascii="Arial" w:cs="Arial" w:eastAsia="Arial" w:hAnsi="Arial"/>
          <w:b/>
          <w:bCs/>
          <w:color w:val="17365d"/>
          <w:sz w:val="30"/>
          <w:szCs w:val="30"/>
        </w:rPr>
        <w:t xml:space="preserve">2. What a scan actually does</w:t>
      </w:r>
    </w:p>
    <w:tbl>
      <w:tblPr>
        <w:tblW w:type="dxa" w:w="9360"/>
        <w:tblBorders>
          <w:top w:val="single" w:color="c7d9ec" w:sz="4"/>
          <w:left w:val="single" w:color="c7d9ec" w:sz="4"/>
          <w:bottom w:val="single" w:color="c7d9ec" w:sz="4"/>
          <w:right w:val="single" w:color="c7d9ec" w:sz="4"/>
          <w:insideH w:val="single" w:color="c7d9ec" w:sz="4"/>
          <w:insideV w:val="single" w:color="c7d9ec" w:sz="4"/>
        </w:tblBorders>
      </w:tblPr>
      <w:tblGrid>
        <w:gridCol w:w="9360"/>
      </w:tblGrid>
      <w:tr>
        <w:tc>
          <w:tcPr>
            <w:tcW w:type="dxa" w:w="9360"/>
            <w:shd w:fill="f4f8fc" w:color="auto" w:val="clear"/>
            <w:tcMar>
              <w:top w:type="dxa" w:w="120"/>
              <w:left w:type="dxa" w:w="160"/>
              <w:bottom w:type="dxa" w:w="120"/>
              <w:right w:type="dxa" w:w="160"/>
            </w:tcMar>
          </w:tcPr>
          <w:p>
            <w:pPr>
              <w:spacing w:after="0" w:line="240"/>
            </w:pPr>
            <w:r>
              <w:rPr>
                <w:rFonts w:ascii="Consolas" w:cs="Consolas" w:eastAsia="Consolas" w:hAnsi="Consolas"/>
                <w:color w:val="1f3348"/>
                <w:sz w:val="17"/>
                <w:szCs w:val="17"/>
              </w:rPr>
              <w:t xml:space="preserve">photo ──▶ ONNX ──▶ class index 0..8</w:t>
            </w:r>
          </w:p>
          <w:p>
            <w:pPr>
              <w:spacing w:after="0" w:line="240"/>
            </w:pPr>
            <w:r>
              <w:rPr>
                <w:rFonts w:ascii="Consolas" w:cs="Consolas" w:eastAsia="Consolas" w:hAnsi="Consolas"/>
                <w:color w:val="1f3348"/>
                <w:sz w:val="17"/>
                <w:szCs w:val="17"/>
              </w:rPr>
              <w:t xml:space="preserve">                        │</w:t>
            </w:r>
          </w:p>
          <w:p>
            <w:pPr>
              <w:spacing w:after="0" w:line="240"/>
            </w:pPr>
            <w:r>
              <w:rPr>
                <w:rFonts w:ascii="Consolas" w:cs="Consolas" w:eastAsia="Consolas" w:hAnsi="Consolas"/>
                <w:color w:val="1f3348"/>
                <w:sz w:val="17"/>
                <w:szCs w:val="17"/>
              </w:rPr>
              <w:t xml:space="preserve">                        ▼  class_map.json  (frozen with the artifact)</w:t>
            </w:r>
          </w:p>
          <w:p>
            <w:pPr>
              <w:spacing w:after="0" w:line="240"/>
            </w:pPr>
            <w:r>
              <w:rPr>
                <w:rFonts w:ascii="Consolas" w:cs="Consolas" w:eastAsia="Consolas" w:hAnsi="Consolas"/>
                <w:color w:val="1f3348"/>
                <w:sz w:val="17"/>
                <w:szCs w:val="17"/>
              </w:rPr>
              <w:t xml:space="preserve">                   "SF012"</w:t>
            </w:r>
          </w:p>
          <w:p>
            <w:pPr>
              <w:spacing w:after="0" w:line="240"/>
            </w:pPr>
            <w:r>
              <w:rPr>
                <w:rFonts w:ascii="Consolas" w:cs="Consolas" w:eastAsia="Consolas" w:hAnsi="Consolas"/>
                <w:color w:val="1f3348"/>
                <w:sz w:val="17"/>
                <w:szCs w:val="17"/>
              </w:rPr>
              <w:t xml:space="preserve">                        │</w:t>
            </w:r>
          </w:p>
          <w:p>
            <w:pPr>
              <w:spacing w:after="0" w:line="240"/>
            </w:pPr>
            <w:r>
              <w:rPr>
                <w:rFonts w:ascii="Consolas" w:cs="Consolas" w:eastAsia="Consolas" w:hAnsi="Consolas"/>
                <w:color w:val="1f3348"/>
                <w:sz w:val="17"/>
                <w:szCs w:val="17"/>
              </w:rPr>
              <w:t xml:space="preserve">                        ▼  cv_class_mapping  (the database owns this join)</w:t>
            </w:r>
          </w:p>
          <w:p>
            <w:pPr>
              <w:spacing w:after="0" w:line="240"/>
            </w:pPr>
            <w:r>
              <w:rPr>
                <w:rFonts w:ascii="Consolas" w:cs="Consolas" w:eastAsia="Consolas" w:hAnsi="Consolas"/>
                <w:color w:val="1f3348"/>
                <w:sz w:val="17"/>
                <w:szCs w:val="17"/>
              </w:rPr>
              <w:t xml:space="preserve">          seafood_item_id = 1199fcbe-7fdd-5c16-a3a1-911247053b04</w:t>
            </w:r>
          </w:p>
          <w:p>
            <w:pPr>
              <w:spacing w:after="0" w:line="240"/>
            </w:pPr>
            <w:r>
              <w:rPr>
                <w:rFonts w:ascii="Consolas" w:cs="Consolas" w:eastAsia="Consolas" w:hAnsi="Consolas"/>
                <w:color w:val="1f3348"/>
                <w:sz w:val="17"/>
                <w:szCs w:val="17"/>
              </w:rPr>
              <w:t xml:space="preserve">                        │</w:t>
            </w:r>
          </w:p>
          <w:p>
            <w:pPr>
              <w:spacing w:after="0" w:line="240"/>
            </w:pPr>
            <w:r>
              <w:rPr>
                <w:rFonts w:ascii="Consolas" w:cs="Consolas" w:eastAsia="Consolas" w:hAnsi="Consolas"/>
                <w:color w:val="1f3348"/>
                <w:sz w:val="17"/>
                <w:szCs w:val="17"/>
              </w:rPr>
              <w:t xml:space="preserve">        ┌───────────────┼────────────────┬──────────────┐</w:t>
            </w:r>
          </w:p>
          <w:p>
            <w:pPr>
              <w:spacing w:after="0" w:line="240"/>
            </w:pPr>
            <w:r>
              <w:rPr>
                <w:rFonts w:ascii="Consolas" w:cs="Consolas" w:eastAsia="Consolas" w:hAnsi="Consolas"/>
                <w:color w:val="1f3348"/>
                <w:sz w:val="17"/>
                <w:szCs w:val="17"/>
              </w:rPr>
              <w:t xml:space="preserve">        ▼               ▼                ▼              ▼</w:t>
            </w:r>
          </w:p>
          <w:p>
            <w:pPr>
              <w:spacing w:after="0" w:line="240"/>
            </w:pPr>
            <w:r>
              <w:rPr>
                <w:rFonts w:ascii="Consolas" w:cs="Consolas" w:eastAsia="Consolas" w:hAnsi="Consolas"/>
                <w:color w:val="1f3348"/>
                <w:sz w:val="17"/>
                <w:szCs w:val="17"/>
              </w:rPr>
              <w:t xml:space="preserve">   seafood_alias  wwf_assessment  cooking_suitability  price_period_summary</w:t>
            </w:r>
          </w:p>
        </w:tc>
      </w:tr>
    </w:tbl>
    <w:p>
      <w:pPr>
        <w:spacing w:after="140"/>
      </w:pPr>
      <w:r>
        <w:rPr>
          <w:sz w:val="8"/>
          <w:szCs w:val="8"/>
        </w:rPr>
        <w:t xml:space="preserve"/>
      </w:r>
    </w:p>
    <w:p>
      <w:pPr>
        <w:spacing w:after="120"/>
      </w:pPr>
      <w:r>
        <w:rPr>
          <w:rFonts w:ascii="Arial" w:cs="Arial" w:eastAsia="Arial" w:hAnsi="Arial"/>
          <w:sz w:val="21"/>
          <w:szCs w:val="21"/>
        </w:rPr>
        <w:t xml:space="preserve">The model never learns a UUID. It emits a class code, and the database turns that into a key — the </w:t>
      </w:r>
      <w:r>
        <w:rPr>
          <w:rFonts w:ascii="Arial" w:cs="Arial" w:eastAsia="Arial" w:hAnsi="Arial"/>
          <w:b/>
          <w:bCs/>
          <w:sz w:val="21"/>
          <w:szCs w:val="21"/>
        </w:rPr>
        <w:t xml:space="preserve">same</w:t>
      </w:r>
      <w:r>
        <w:rPr>
          <w:rFonts w:ascii="Arial" w:cs="Arial" w:eastAsia="Arial" w:hAnsi="Arial"/>
          <w:sz w:val="21"/>
          <w:szCs w:val="21"/>
        </w:rPr>
        <w:t xml:space="preserve"> key search returns for a shopper who typed "tenggiri". A scanned fish and a searched fish are one entity, so everything already built on top of </w:t>
      </w:r>
      <w:r>
        <w:rPr>
          <w:rFonts w:ascii="Consolas" w:cs="Consolas" w:eastAsia="Consolas" w:hAnsi="Consolas"/>
          <w:color w:val="2a4b6b"/>
          <w:sz w:val="19"/>
          <w:szCs w:val="19"/>
        </w:rPr>
        <w:t xml:space="preserve">seafood_item_id</w:t>
      </w:r>
      <w:r>
        <w:rPr>
          <w:rFonts w:ascii="Arial" w:cs="Arial" w:eastAsia="Arial" w:hAnsi="Arial"/>
          <w:sz w:val="21"/>
          <w:szCs w:val="21"/>
        </w:rPr>
        <w:t xml:space="preserve"> works from a photograph on day one, and a better model can be swapped in without any of it changing.</w:t>
      </w:r>
    </w:p>
    <w:p>
      <w:pPr>
        <w:spacing w:after="120"/>
      </w:pPr>
      <w:r>
        <w:rPr>
          <w:rFonts w:ascii="Arial" w:cs="Arial" w:eastAsia="Arial" w:hAnsi="Arial"/>
          <w:sz w:val="21"/>
          <w:szCs w:val="21"/>
        </w:rPr>
        <w:t xml:space="preserve">Verified for all nine classes: each id returned by </w:t>
      </w:r>
      <w:r>
        <w:rPr>
          <w:rFonts w:ascii="Consolas" w:cs="Consolas" w:eastAsia="Consolas" w:hAnsi="Consolas"/>
          <w:color w:val="2a4b6b"/>
          <w:sz w:val="19"/>
          <w:szCs w:val="19"/>
        </w:rPr>
        <w:t xml:space="preserve">/identify</w:t>
      </w:r>
      <w:r>
        <w:rPr>
          <w:rFonts w:ascii="Arial" w:cs="Arial" w:eastAsia="Arial" w:hAnsi="Arial"/>
          <w:sz w:val="21"/>
          <w:szCs w:val="21"/>
        </w:rPr>
        <w:t xml:space="preserve"> resolves through </w:t>
      </w:r>
      <w:r>
        <w:rPr>
          <w:rFonts w:ascii="Consolas" w:cs="Consolas" w:eastAsia="Consolas" w:hAnsi="Consolas"/>
          <w:color w:val="2a4b6b"/>
          <w:sz w:val="19"/>
          <w:szCs w:val="19"/>
        </w:rPr>
        <w:t xml:space="preserve">GET /seafood/{uuid}</w:t>
      </w:r>
      <w:r>
        <w:rPr>
          <w:rFonts w:ascii="Arial" w:cs="Arial" w:eastAsia="Arial" w:hAnsi="Arial"/>
          <w:sz w:val="21"/>
          <w:szCs w:val="21"/>
        </w:rPr>
        <w:t xml:space="preserve">, returns byte-identical JSON to </w:t>
      </w:r>
      <w:r>
        <w:rPr>
          <w:rFonts w:ascii="Consolas" w:cs="Consolas" w:eastAsia="Consolas" w:hAnsi="Consolas"/>
          <w:color w:val="2a4b6b"/>
          <w:sz w:val="19"/>
          <w:szCs w:val="19"/>
        </w:rPr>
        <w:t xml:space="preserve">GET /seafood/{code}</w:t>
      </w:r>
      <w:r>
        <w:rPr>
          <w:rFonts w:ascii="Arial" w:cs="Arial" w:eastAsia="Arial" w:hAnsi="Arial"/>
          <w:sz w:val="21"/>
          <w:szCs w:val="21"/>
        </w:rPr>
        <w:t xml:space="preserve">, and carries populated aliases, cooking suitability, sustainability and price sections.</w:t>
      </w:r>
    </w:p>
    <w:p>
      <w:pPr>
        <w:pStyle w:val="Heading2"/>
        <w:spacing w:after="100" w:before="260"/>
      </w:pPr>
      <w:r>
        <w:rPr>
          <w:rFonts w:ascii="Arial" w:cs="Arial" w:eastAsia="Arial" w:hAnsi="Arial"/>
          <w:b/>
          <w:bCs/>
          <w:color w:val="366091"/>
          <w:sz w:val="24"/>
          <w:szCs w:val="24"/>
        </w:rPr>
        <w:t xml:space="preserve">Response contract</w:t>
      </w:r>
    </w:p>
    <w:p>
      <w:pPr>
        <w:spacing w:after="120"/>
      </w:pPr>
      <w:r>
        <w:rPr>
          <w:rFonts w:ascii="Consolas" w:cs="Consolas" w:eastAsia="Consolas" w:hAnsi="Consolas"/>
          <w:color w:val="2a4b6b"/>
          <w:sz w:val="19"/>
          <w:szCs w:val="19"/>
        </w:rPr>
        <w:t xml:space="preserve">/identify</w:t>
      </w:r>
      <w:r>
        <w:rPr>
          <w:rFonts w:ascii="Arial" w:cs="Arial" w:eastAsia="Arial" w:hAnsi="Arial"/>
          <w:sz w:val="21"/>
          <w:szCs w:val="21"/>
        </w:rPr>
        <w:t xml:space="preserve"> returns HTTP 200 in two business states:</w:t>
      </w:r>
    </w:p>
    <w:p>
      <w:pPr>
        <w:pStyle w:val="ListParagraph"/>
        <w:numPr>
          <w:ilvl w:val="0"/>
          <w:numId w:val="2"/>
        </w:numPr>
        <w:spacing w:after="60"/>
      </w:pPr>
      <w:r>
        <w:rPr>
          <w:rFonts w:ascii="Consolas" w:cs="Consolas" w:eastAsia="Consolas" w:hAnsi="Consolas"/>
          <w:b/>
          <w:bCs/>
          <w:color w:val="2a4b6b"/>
          <w:sz w:val="19"/>
          <w:szCs w:val="19"/>
        </w:rPr>
        <w:t xml:space="preserve">CANDIDATES</w:t>
      </w:r>
      <w:r>
        <w:rPr>
          <w:rFonts w:ascii="Arial" w:cs="Arial" w:eastAsia="Arial" w:hAnsi="Arial"/>
          <w:sz w:val="21"/>
          <w:szCs w:val="21"/>
        </w:rPr>
        <w:t xml:space="preserve"> — top-1 is at or above the 0.50 threshold.</w:t>
      </w:r>
    </w:p>
    <w:p>
      <w:pPr>
        <w:pStyle w:val="ListParagraph"/>
        <w:numPr>
          <w:ilvl w:val="0"/>
          <w:numId w:val="2"/>
        </w:numPr>
        <w:spacing w:after="60"/>
      </w:pPr>
      <w:r>
        <w:rPr>
          <w:rFonts w:ascii="Consolas" w:cs="Consolas" w:eastAsia="Consolas" w:hAnsi="Consolas"/>
          <w:b/>
          <w:bCs/>
          <w:color w:val="2a4b6b"/>
          <w:sz w:val="19"/>
          <w:szCs w:val="19"/>
        </w:rPr>
        <w:t xml:space="preserve">LOW_CONFIDENCE</w:t>
      </w:r>
      <w:r>
        <w:rPr>
          <w:rFonts w:ascii="Arial" w:cs="Arial" w:eastAsia="Arial" w:hAnsi="Arial"/>
          <w:sz w:val="21"/>
          <w:szCs w:val="21"/>
        </w:rPr>
        <w:t xml:space="preserve"> — below it. Still 200, still with the full candidate list, because a user who needs to disambiguate needs to </w:t>
      </w:r>
      <w:r>
        <w:rPr>
          <w:rFonts w:ascii="Arial" w:cs="Arial" w:eastAsia="Arial" w:hAnsi="Arial"/>
          <w:i/>
          <w:iCs/>
          <w:sz w:val="21"/>
          <w:szCs w:val="21"/>
        </w:rPr>
        <w:t xml:space="preserve">see</w:t>
      </w:r>
      <w:r>
        <w:rPr>
          <w:rFonts w:ascii="Arial" w:cs="Arial" w:eastAsia="Arial" w:hAnsi="Arial"/>
          <w:sz w:val="21"/>
          <w:szCs w:val="21"/>
        </w:rPr>
        <w:t xml:space="preserve"> the options. A 4xx here would push the client into an error path and throw them away.</w:t>
      </w:r>
    </w:p>
    <w:p>
      <w:pPr>
        <w:spacing w:after="120"/>
      </w:pPr>
      <w:r>
        <w:rPr>
          <w:rFonts w:ascii="Consolas" w:cs="Consolas" w:eastAsia="Consolas" w:hAnsi="Consolas"/>
          <w:color w:val="2a4b6b"/>
          <w:sz w:val="19"/>
          <w:szCs w:val="19"/>
        </w:rPr>
        <w:t xml:space="preserve">confirmation_required</w:t>
      </w:r>
      <w:r>
        <w:rPr>
          <w:rFonts w:ascii="Arial" w:cs="Arial" w:eastAsia="Arial" w:hAnsi="Arial"/>
          <w:sz w:val="21"/>
          <w:szCs w:val="21"/>
        </w:rPr>
        <w:t xml:space="preserve"> is always </w:t>
      </w:r>
      <w:r>
        <w:rPr>
          <w:rFonts w:ascii="Consolas" w:cs="Consolas" w:eastAsia="Consolas" w:hAnsi="Consolas"/>
          <w:color w:val="2a4b6b"/>
          <w:sz w:val="19"/>
          <w:szCs w:val="19"/>
        </w:rPr>
        <w:t xml:space="preserve">true</w:t>
      </w:r>
      <w:r>
        <w:rPr>
          <w:rFonts w:ascii="Arial" w:cs="Arial" w:eastAsia="Arial" w:hAnsi="Arial"/>
          <w:sz w:val="21"/>
          <w:szCs w:val="21"/>
        </w:rPr>
        <w:t xml:space="preserve">. Top-1 is never presented as settled fact. 28 of the 200 test images came back </w:t>
      </w:r>
      <w:r>
        <w:rPr>
          <w:rFonts w:ascii="Consolas" w:cs="Consolas" w:eastAsia="Consolas" w:hAnsi="Consolas"/>
          <w:color w:val="2a4b6b"/>
          <w:sz w:val="19"/>
          <w:szCs w:val="19"/>
        </w:rPr>
        <w:t xml:space="preserve">LOW_CONFIDENCE</w:t>
      </w:r>
      <w:r>
        <w:rPr>
          <w:rFonts w:ascii="Arial" w:cs="Arial" w:eastAsia="Arial" w:hAnsi="Arial"/>
          <w:sz w:val="21"/>
          <w:szCs w:val="21"/>
        </w:rPr>
        <w:t xml:space="preserve"> — the model saying "not sure" rather than guessing, which is the correct behaviour and not a failure.</w:t>
      </w:r>
    </w:p>
    <w:p>
      <w:pPr>
        <w:spacing w:after="120"/>
      </w:pPr>
      <w:r>
        <w:rPr>
          <w:rFonts w:ascii="Arial" w:cs="Arial" w:eastAsia="Arial" w:hAnsi="Arial"/>
          <w:sz w:val="21"/>
          <w:szCs w:val="21"/>
        </w:rPr>
        <w:t xml:space="preserve">Errors: </w:t>
      </w:r>
      <w:r>
        <w:rPr>
          <w:rFonts w:ascii="Consolas" w:cs="Consolas" w:eastAsia="Consolas" w:hAnsi="Consolas"/>
          <w:color w:val="2a4b6b"/>
          <w:sz w:val="19"/>
          <w:szCs w:val="19"/>
        </w:rPr>
        <w:t xml:space="preserve">415</w:t>
      </w:r>
      <w:r>
        <w:rPr>
          <w:rFonts w:ascii="Arial" w:cs="Arial" w:eastAsia="Arial" w:hAnsi="Arial"/>
          <w:sz w:val="21"/>
          <w:szCs w:val="21"/>
        </w:rPr>
        <w:t xml:space="preserve"> wrong media type, </w:t>
      </w:r>
      <w:r>
        <w:rPr>
          <w:rFonts w:ascii="Consolas" w:cs="Consolas" w:eastAsia="Consolas" w:hAnsi="Consolas"/>
          <w:color w:val="2a4b6b"/>
          <w:sz w:val="19"/>
          <w:szCs w:val="19"/>
        </w:rPr>
        <w:t xml:space="preserve">413</w:t>
      </w:r>
      <w:r>
        <w:rPr>
          <w:rFonts w:ascii="Arial" w:cs="Arial" w:eastAsia="Arial" w:hAnsi="Arial"/>
          <w:sz w:val="21"/>
          <w:szCs w:val="21"/>
        </w:rPr>
        <w:t xml:space="preserve"> over 10 MB, </w:t>
      </w:r>
      <w:r>
        <w:rPr>
          <w:rFonts w:ascii="Consolas" w:cs="Consolas" w:eastAsia="Consolas" w:hAnsi="Consolas"/>
          <w:color w:val="2a4b6b"/>
          <w:sz w:val="19"/>
          <w:szCs w:val="19"/>
        </w:rPr>
        <w:t xml:space="preserve">422</w:t>
      </w:r>
      <w:r>
        <w:rPr>
          <w:rFonts w:ascii="Arial" w:cs="Arial" w:eastAsia="Arial" w:hAnsi="Arial"/>
          <w:sz w:val="21"/>
          <w:szCs w:val="21"/>
        </w:rPr>
        <w:t xml:space="preserve"> undecodable image, </w:t>
      </w:r>
      <w:r>
        <w:rPr>
          <w:rFonts w:ascii="Consolas" w:cs="Consolas" w:eastAsia="Consolas" w:hAnsi="Consolas"/>
          <w:color w:val="2a4b6b"/>
          <w:sz w:val="19"/>
          <w:szCs w:val="19"/>
        </w:rPr>
        <w:t xml:space="preserve">503</w:t>
      </w:r>
      <w:r>
        <w:rPr>
          <w:rFonts w:ascii="Arial" w:cs="Arial" w:eastAsia="Arial" w:hAnsi="Arial"/>
          <w:sz w:val="21"/>
          <w:szCs w:val="21"/>
        </w:rPr>
        <w:t xml:space="preserve"> model or class map unavailable. 415 and 413 are decided </w:t>
      </w:r>
      <w:r>
        <w:rPr>
          <w:rFonts w:ascii="Arial" w:cs="Arial" w:eastAsia="Arial" w:hAnsi="Arial"/>
          <w:i/>
          <w:iCs/>
          <w:sz w:val="21"/>
          <w:szCs w:val="21"/>
        </w:rPr>
        <w:t xml:space="preserve">before</w:t>
      </w:r>
      <w:r>
        <w:rPr>
          <w:rFonts w:ascii="Arial" w:cs="Arial" w:eastAsia="Arial" w:hAnsi="Arial"/>
          <w:sz w:val="21"/>
          <w:szCs w:val="21"/>
        </w:rPr>
        <w:t xml:space="preserve"> the model is touched, so a junk upload cannot spend inference CPU.</w:t>
      </w:r>
    </w:p>
    <w:p>
      <w:pPr>
        <w:spacing w:after="120"/>
      </w:pPr>
      <w:r>
        <w:rPr>
          <w:rFonts w:ascii="Arial" w:cs="Arial" w:eastAsia="Arial" w:hAnsi="Arial"/>
          <w:b/>
          <w:bCs/>
          <w:sz w:val="21"/>
          <w:szCs w:val="21"/>
        </w:rPr>
        <w:t xml:space="preserve">Uploaded photographs are never stored and never become training data.</w:t>
      </w:r>
      <w:r>
        <w:rPr>
          <w:rFonts w:ascii="Arial" w:cs="Arial" w:eastAsia="Arial" w:hAnsi="Arial"/>
          <w:sz w:val="21"/>
          <w:szCs w:val="21"/>
        </w:rPr>
        <w:t xml:space="preserve"> The bytes exist as one local variable and are dropped in a </w:t>
      </w:r>
      <w:r>
        <w:rPr>
          <w:rFonts w:ascii="Consolas" w:cs="Consolas" w:eastAsia="Consolas" w:hAnsi="Consolas"/>
          <w:color w:val="2a4b6b"/>
          <w:sz w:val="19"/>
          <w:szCs w:val="19"/>
        </w:rPr>
        <w:t xml:space="preserve">finally</w:t>
      </w:r>
      <w:r>
        <w:rPr>
          <w:rFonts w:ascii="Arial" w:cs="Arial" w:eastAsia="Arial" w:hAnsi="Arial"/>
          <w:sz w:val="21"/>
          <w:szCs w:val="21"/>
        </w:rPr>
        <w:t xml:space="preserve">.</w:t>
      </w:r>
    </w:p>
    <w:p>
      <w:pPr>
        <w:pStyle w:val="Heading1"/>
        <w:spacing w:after="140" w:before="360"/>
      </w:pPr>
      <w:r>
        <w:rPr>
          <w:rFonts w:ascii="Arial" w:cs="Arial" w:eastAsia="Arial" w:hAnsi="Arial"/>
          <w:b/>
          <w:bCs/>
          <w:color w:val="17365d"/>
          <w:sz w:val="30"/>
          <w:szCs w:val="30"/>
        </w:rPr>
        <w:t xml:space="preserve">3. The honest caveat</w:t>
      </w:r>
    </w:p>
    <w:p>
      <w:pPr>
        <w:spacing w:after="120"/>
      </w:pPr>
      <w:r>
        <w:rPr>
          <w:rFonts w:ascii="Arial" w:cs="Arial" w:eastAsia="Arial" w:hAnsi="Arial"/>
          <w:sz w:val="21"/>
          <w:szCs w:val="21"/>
        </w:rPr>
        <w:t xml:space="preserve">Every training image is a </w:t>
      </w:r>
      <w:r>
        <w:rPr>
          <w:rFonts w:ascii="Arial" w:cs="Arial" w:eastAsia="Arial" w:hAnsi="Arial"/>
          <w:b/>
          <w:bCs/>
          <w:sz w:val="21"/>
          <w:szCs w:val="21"/>
        </w:rPr>
        <w:t xml:space="preserve">wild or museum-specimen photograph</w:t>
      </w:r>
      <w:r>
        <w:rPr>
          <w:rFonts w:ascii="Arial" w:cs="Arial" w:eastAsia="Arial" w:hAnsi="Arial"/>
          <w:sz w:val="21"/>
          <w:szCs w:val="21"/>
        </w:rPr>
        <w:t xml:space="preserve"> — fish in the sea, on a boat deck, or pinned on a specimen board — sourced from iNaturalist, GBIF and the Atlas of Living Australia. Not one is a Malaysian wet-market counter.</w:t>
      </w:r>
    </w:p>
    <w:p>
      <w:pPr>
        <w:spacing w:after="120"/>
      </w:pPr>
      <w:r>
        <w:rPr>
          <w:rFonts w:ascii="Arial" w:cs="Arial" w:eastAsia="Arial" w:hAnsi="Arial"/>
          <w:sz w:val="21"/>
          <w:szCs w:val="21"/>
        </w:rPr>
        <w:t xml:space="preserve">A shopper photographs fish lying on ice, under fluorescent light, overlapping each other, frequently cut into steaks. That is a different visual domain, and </w:t>
      </w:r>
      <w:r>
        <w:rPr>
          <w:rFonts w:ascii="Arial" w:cs="Arial" w:eastAsia="Arial" w:hAnsi="Arial"/>
          <w:b/>
          <w:bCs/>
          <w:sz w:val="21"/>
          <w:szCs w:val="21"/>
        </w:rPr>
        <w:t xml:space="preserve">78% is not a prediction of what a shopper will experience.</w:t>
      </w:r>
      <w:r>
        <w:rPr>
          <w:rFonts w:ascii="Arial" w:cs="Arial" w:eastAsia="Arial" w:hAnsi="Arial"/>
          <w:sz w:val="21"/>
          <w:szCs w:val="21"/>
        </w:rPr>
        <w:t xml:space="preserve"> Retail performance is unmeasured and will be lower.</w:t>
      </w:r>
    </w:p>
    <w:p>
      <w:pPr>
        <w:spacing w:after="120"/>
      </w:pPr>
      <w:r>
        <w:rPr>
          <w:rFonts w:ascii="Arial" w:cs="Arial" w:eastAsia="Arial" w:hAnsi="Arial"/>
          <w:sz w:val="21"/>
          <w:szCs w:val="21"/>
        </w:rPr>
        <w:t xml:space="preserve">This is a data problem, not an architecture problem. A few hundred photographs from real markets — </w:t>
      </w:r>
      <w:r>
        <w:rPr>
          <w:rFonts w:ascii="Consolas" w:cs="Consolas" w:eastAsia="Consolas" w:hAnsi="Consolas"/>
          <w:color w:val="2a4b6b"/>
          <w:sz w:val="19"/>
          <w:szCs w:val="19"/>
        </w:rPr>
        <w:t xml:space="preserve">docs/PHOTO_GUIDE.md</w:t>
      </w:r>
      <w:r>
        <w:rPr>
          <w:rFonts w:ascii="Arial" w:cs="Arial" w:eastAsia="Arial" w:hAnsi="Arial"/>
          <w:sz w:val="21"/>
          <w:szCs w:val="21"/>
        </w:rPr>
        <w:t xml:space="preserve"> specifies how to take them — and a retrain would produce a number that means something. Nothing else has to change.</w:t>
      </w:r>
    </w:p>
    <w:p>
      <w:pPr>
        <w:spacing w:after="120"/>
      </w:pPr>
      <w:r>
        <w:rPr>
          <w:rFonts w:ascii="Arial" w:cs="Arial" w:eastAsia="Arial" w:hAnsi="Arial"/>
          <w:sz w:val="21"/>
          <w:szCs w:val="21"/>
        </w:rPr>
        <w:t xml:space="preserve">Two further limits, stated plainly:</w:t>
      </w:r>
    </w:p>
    <w:p>
      <w:pPr>
        <w:spacing w:after="120"/>
      </w:pPr>
      <w:r>
        <w:rPr>
          <w:rFonts w:ascii="Arial" w:cs="Arial" w:eastAsia="Arial" w:hAnsi="Arial"/>
          <w:b/>
          <w:bCs/>
          <w:sz w:val="21"/>
          <w:szCs w:val="21"/>
        </w:rPr>
        <w:t xml:space="preserve">Labels are unverified.</w:t>
      </w:r>
      <w:r>
        <w:rPr>
          <w:rFonts w:ascii="Arial" w:cs="Arial" w:eastAsia="Arial" w:hAnsi="Arial"/>
          <w:sz w:val="21"/>
          <w:szCs w:val="21"/>
        </w:rPr>
        <w:t xml:space="preserve"> Species determinations come from the aggregators. Nobody with ichthyology training has checked them. Some proportion of the training set is mislabelled, and that ceiling is invisible in the accuracy figure.</w:t>
      </w:r>
    </w:p>
    <w:p>
      <w:pPr>
        <w:spacing w:after="120"/>
      </w:pPr>
      <w:r>
        <w:rPr>
          <w:rFonts w:ascii="Arial" w:cs="Arial" w:eastAsia="Arial" w:hAnsi="Arial"/>
          <w:b/>
          <w:bCs/>
          <w:sz w:val="21"/>
          <w:szCs w:val="21"/>
        </w:rPr>
        <w:t xml:space="preserve">Two classes are not usable yet.</w:t>
      </w:r>
    </w:p>
    <w:tbl>
      <w:tblPr>
        <w:tblW w:type="dxa" w:w="9360"/>
        <w:tblBorders>
          <w:top w:val="single" w:color="b8cce4" w:sz="4"/>
          <w:left w:val="single" w:color="b8cce4" w:sz="4"/>
          <w:bottom w:val="single" w:color="b8cce4" w:sz="4"/>
          <w:right w:val="single" w:color="b8cce4" w:sz="4"/>
          <w:insideH w:val="single" w:color="b8cce4" w:sz="4"/>
          <w:insideV w:val="single" w:color="b8cce4" w:sz="4"/>
        </w:tblBorders>
      </w:tblPr>
      <w:tblGrid>
        <w:gridCol w:w="1040"/>
        <w:gridCol w:w="5373"/>
        <w:gridCol w:w="1040"/>
        <w:gridCol w:w="1907"/>
      </w:tblGrid>
      <w:tr>
        <w:trPr>
          <w:tblHeader/>
        </w:trPr>
        <w:tc>
          <w:tcPr>
            <w:tcW w:type="dxa" w:w="1040"/>
            <w:shd w:fill="d9eaf7" w:color="auto" w:val="clear"/>
            <w:tcMar>
              <w:top w:type="dxa" w:w="70"/>
              <w:left w:type="dxa" w:w="110"/>
              <w:bottom w:type="dxa" w:w="70"/>
              <w:right w:type="dxa" w:w="110"/>
            </w:tcMar>
          </w:tcPr>
          <w:p>
            <w:pPr>
              <w:spacing w:after="0"/>
              <w:jc w:val="left"/>
            </w:pPr>
            <w:r>
              <w:rPr>
                <w:rFonts w:ascii="Arial" w:cs="Arial" w:eastAsia="Arial" w:hAnsi="Arial"/>
                <w:b/>
                <w:bCs/>
                <w:color w:val="17365d"/>
                <w:sz w:val="19"/>
                <w:szCs w:val="19"/>
              </w:rPr>
              <w:t xml:space="preserve">Class</w:t>
            </w:r>
          </w:p>
        </w:tc>
        <w:tc>
          <w:tcPr>
            <w:tcW w:type="dxa" w:w="5373"/>
            <w:shd w:fill="d9eaf7" w:color="auto" w:val="clear"/>
            <w:tcMar>
              <w:top w:type="dxa" w:w="70"/>
              <w:left w:type="dxa" w:w="110"/>
              <w:bottom w:type="dxa" w:w="70"/>
              <w:right w:type="dxa" w:w="110"/>
            </w:tcMar>
          </w:tcPr>
          <w:p>
            <w:pPr>
              <w:spacing w:after="0"/>
              <w:jc w:val="left"/>
            </w:pPr>
            <w:r>
              <w:rPr>
                <w:rFonts w:ascii="Arial" w:cs="Arial" w:eastAsia="Arial" w:hAnsi="Arial"/>
                <w:b/>
                <w:bCs/>
                <w:color w:val="17365d"/>
                <w:sz w:val="19"/>
                <w:szCs w:val="19"/>
              </w:rPr>
              <w:t xml:space="preserve">Species</w:t>
            </w:r>
          </w:p>
        </w:tc>
        <w:tc>
          <w:tcPr>
            <w:tcW w:type="dxa" w:w="1040"/>
            <w:shd w:fill="d9eaf7" w:color="auto" w:val="clear"/>
            <w:tcMar>
              <w:top w:type="dxa" w:w="70"/>
              <w:left w:type="dxa" w:w="110"/>
              <w:bottom w:type="dxa" w:w="70"/>
              <w:right w:type="dxa" w:w="110"/>
            </w:tcMar>
          </w:tcPr>
          <w:p>
            <w:pPr>
              <w:spacing w:after="0"/>
              <w:jc w:val="left"/>
            </w:pPr>
            <w:r>
              <w:rPr>
                <w:rFonts w:ascii="Arial" w:cs="Arial" w:eastAsia="Arial" w:hAnsi="Arial"/>
                <w:b/>
                <w:bCs/>
                <w:color w:val="17365d"/>
                <w:sz w:val="19"/>
                <w:szCs w:val="19"/>
              </w:rPr>
              <w:t xml:space="preserve">Recall</w:t>
            </w:r>
          </w:p>
        </w:tc>
        <w:tc>
          <w:tcPr>
            <w:tcW w:type="dxa" w:w="1907"/>
            <w:shd w:fill="d9eaf7" w:color="auto" w:val="clear"/>
            <w:tcMar>
              <w:top w:type="dxa" w:w="70"/>
              <w:left w:type="dxa" w:w="110"/>
              <w:bottom w:type="dxa" w:w="70"/>
              <w:right w:type="dxa" w:w="110"/>
            </w:tcMar>
          </w:tcPr>
          <w:p>
            <w:pPr>
              <w:spacing w:after="0"/>
              <w:jc w:val="left"/>
            </w:pPr>
            <w:r>
              <w:rPr>
                <w:rFonts w:ascii="Arial" w:cs="Arial" w:eastAsia="Arial" w:hAnsi="Arial"/>
                <w:b/>
                <w:bCs/>
                <w:color w:val="17365d"/>
                <w:sz w:val="19"/>
                <w:szCs w:val="19"/>
              </w:rPr>
              <w:t xml:space="preserve">Test images</w:t>
            </w:r>
          </w:p>
        </w:tc>
      </w:tr>
      <w:tr>
        <w:tc>
          <w:tcPr>
            <w:tcW w:type="dxa" w:w="1040"/>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SF010</w:t>
            </w:r>
          </w:p>
        </w:tc>
        <w:tc>
          <w:tcPr>
            <w:tcW w:type="dxa" w:w="5373"/>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Pelata (</w:t>
            </w:r>
            <w:r>
              <w:rPr>
                <w:rFonts w:ascii="Arial" w:cs="Arial" w:eastAsia="Arial" w:hAnsi="Arial"/>
                <w:i/>
                <w:iCs/>
                <w:sz w:val="19"/>
                <w:szCs w:val="19"/>
              </w:rPr>
              <w:t xml:space="preserve">Alepes melanoptera</w:t>
            </w:r>
            <w:r>
              <w:rPr>
                <w:rFonts w:ascii="Arial" w:cs="Arial" w:eastAsia="Arial" w:hAnsi="Arial"/>
                <w:sz w:val="19"/>
                <w:szCs w:val="19"/>
              </w:rPr>
              <w:t xml:space="preserve">)</w:t>
            </w:r>
          </w:p>
        </w:tc>
        <w:tc>
          <w:tcPr>
            <w:tcW w:type="dxa" w:w="1040"/>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40%</w:t>
            </w:r>
          </w:p>
        </w:tc>
        <w:tc>
          <w:tcPr>
            <w:tcW w:type="dxa" w:w="1907"/>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5</w:t>
            </w:r>
          </w:p>
        </w:tc>
      </w:tr>
      <w:tr>
        <w:tc>
          <w:tcPr>
            <w:tcW w:type="dxa" w:w="1040"/>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SF009</w:t>
            </w:r>
          </w:p>
        </w:tc>
        <w:tc>
          <w:tcPr>
            <w:tcW w:type="dxa" w:w="5373"/>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Kerisi (</w:t>
            </w:r>
            <w:r>
              <w:rPr>
                <w:rFonts w:ascii="Arial" w:cs="Arial" w:eastAsia="Arial" w:hAnsi="Arial"/>
                <w:i/>
                <w:iCs/>
                <w:sz w:val="19"/>
                <w:szCs w:val="19"/>
              </w:rPr>
              <w:t xml:space="preserve">Nemipterus japonicus</w:t>
            </w:r>
            <w:r>
              <w:rPr>
                <w:rFonts w:ascii="Arial" w:cs="Arial" w:eastAsia="Arial" w:hAnsi="Arial"/>
                <w:sz w:val="19"/>
                <w:szCs w:val="19"/>
              </w:rPr>
              <w:t xml:space="preserve">)</w:t>
            </w:r>
          </w:p>
        </w:tc>
        <w:tc>
          <w:tcPr>
            <w:tcW w:type="dxa" w:w="1040"/>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42%</w:t>
            </w:r>
          </w:p>
        </w:tc>
        <w:tc>
          <w:tcPr>
            <w:tcW w:type="dxa" w:w="1907"/>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12</w:t>
            </w:r>
          </w:p>
        </w:tc>
      </w:tr>
    </w:tbl>
    <w:p>
      <w:pPr>
        <w:spacing w:after="140"/>
      </w:pPr>
      <w:r>
        <w:rPr>
          <w:sz w:val="8"/>
          <w:szCs w:val="8"/>
        </w:rPr>
        <w:t xml:space="preserve"/>
      </w:r>
    </w:p>
    <w:p>
      <w:pPr>
        <w:spacing w:after="120"/>
      </w:pPr>
      <w:r>
        <w:rPr>
          <w:rFonts w:ascii="Arial" w:cs="Arial" w:eastAsia="Arial" w:hAnsi="Arial"/>
          <w:sz w:val="21"/>
          <w:szCs w:val="21"/>
        </w:rPr>
        <w:t xml:space="preserve">Both are thin and confusable with their neighbours. The threshold routes most of their predictions to </w:t>
      </w:r>
      <w:r>
        <w:rPr>
          <w:rFonts w:ascii="Consolas" w:cs="Consolas" w:eastAsia="Consolas" w:hAnsi="Consolas"/>
          <w:color w:val="2a4b6b"/>
          <w:sz w:val="19"/>
          <w:szCs w:val="19"/>
        </w:rPr>
        <w:t xml:space="preserve">LOW_CONFIDENCE</w:t>
      </w:r>
      <w:r>
        <w:rPr>
          <w:rFonts w:ascii="Arial" w:cs="Arial" w:eastAsia="Arial" w:hAnsi="Arial"/>
          <w:sz w:val="21"/>
          <w:szCs w:val="21"/>
        </w:rPr>
        <w:t xml:space="preserve">, so the app says "not sure" rather than naming the wrong fish — the failure is contained, but they need more images before they are dependable. Five test images is too few to state a recall for SF010 with any confidence at all.</w:t>
      </w:r>
    </w:p>
    <w:p>
      <w:pPr>
        <w:pStyle w:val="Heading2"/>
        <w:spacing w:after="100" w:before="260"/>
      </w:pPr>
      <w:r>
        <w:rPr>
          <w:rFonts w:ascii="Arial" w:cs="Arial" w:eastAsia="Arial" w:hAnsi="Arial"/>
          <w:b/>
          <w:bCs/>
          <w:color w:val="366091"/>
          <w:sz w:val="24"/>
          <w:szCs w:val="24"/>
        </w:rPr>
        <w:t xml:space="preserve">Per-class results, weakest first</w:t>
      </w:r>
    </w:p>
    <w:tbl>
      <w:tblPr>
        <w:tblW w:type="dxa" w:w="9360"/>
        <w:tblBorders>
          <w:top w:val="single" w:color="b8cce4" w:sz="4"/>
          <w:left w:val="single" w:color="b8cce4" w:sz="4"/>
          <w:bottom w:val="single" w:color="b8cce4" w:sz="4"/>
          <w:right w:val="single" w:color="b8cce4" w:sz="4"/>
          <w:insideH w:val="single" w:color="b8cce4" w:sz="4"/>
          <w:insideV w:val="single" w:color="b8cce4" w:sz="4"/>
        </w:tblBorders>
      </w:tblPr>
      <w:tblGrid>
        <w:gridCol w:w="1337"/>
        <w:gridCol w:w="4011"/>
        <w:gridCol w:w="1337"/>
        <w:gridCol w:w="1337"/>
        <w:gridCol w:w="1338"/>
      </w:tblGrid>
      <w:tr>
        <w:trPr>
          <w:tblHeader/>
        </w:trPr>
        <w:tc>
          <w:tcPr>
            <w:tcW w:type="dxa" w:w="1337"/>
            <w:shd w:fill="d9eaf7" w:color="auto" w:val="clear"/>
            <w:tcMar>
              <w:top w:type="dxa" w:w="70"/>
              <w:left w:type="dxa" w:w="110"/>
              <w:bottom w:type="dxa" w:w="70"/>
              <w:right w:type="dxa" w:w="110"/>
            </w:tcMar>
          </w:tcPr>
          <w:p>
            <w:pPr>
              <w:spacing w:after="0"/>
              <w:jc w:val="left"/>
            </w:pPr>
            <w:r>
              <w:rPr>
                <w:rFonts w:ascii="Arial" w:cs="Arial" w:eastAsia="Arial" w:hAnsi="Arial"/>
                <w:b/>
                <w:bCs/>
                <w:color w:val="17365d"/>
                <w:sz w:val="19"/>
                <w:szCs w:val="19"/>
              </w:rPr>
              <w:t xml:space="preserve">Class</w:t>
            </w:r>
          </w:p>
        </w:tc>
        <w:tc>
          <w:tcPr>
            <w:tcW w:type="dxa" w:w="4011"/>
            <w:shd w:fill="d9eaf7" w:color="auto" w:val="clear"/>
            <w:tcMar>
              <w:top w:type="dxa" w:w="70"/>
              <w:left w:type="dxa" w:w="110"/>
              <w:bottom w:type="dxa" w:w="70"/>
              <w:right w:type="dxa" w:w="110"/>
            </w:tcMar>
          </w:tcPr>
          <w:p>
            <w:pPr>
              <w:spacing w:after="0"/>
              <w:jc w:val="left"/>
            </w:pPr>
            <w:r>
              <w:rPr>
                <w:rFonts w:ascii="Arial" w:cs="Arial" w:eastAsia="Arial" w:hAnsi="Arial"/>
                <w:b/>
                <w:bCs/>
                <w:color w:val="17365d"/>
                <w:sz w:val="19"/>
                <w:szCs w:val="19"/>
              </w:rPr>
              <w:t xml:space="preserve">Species</w:t>
            </w:r>
          </w:p>
        </w:tc>
        <w:tc>
          <w:tcPr>
            <w:tcW w:type="dxa" w:w="1337"/>
            <w:shd w:fill="d9eaf7" w:color="auto" w:val="clear"/>
            <w:tcMar>
              <w:top w:type="dxa" w:w="70"/>
              <w:left w:type="dxa" w:w="110"/>
              <w:bottom w:type="dxa" w:w="70"/>
              <w:right w:type="dxa" w:w="110"/>
            </w:tcMar>
          </w:tcPr>
          <w:p>
            <w:pPr>
              <w:spacing w:after="0"/>
              <w:jc w:val="left"/>
            </w:pPr>
            <w:r>
              <w:rPr>
                <w:rFonts w:ascii="Arial" w:cs="Arial" w:eastAsia="Arial" w:hAnsi="Arial"/>
                <w:b/>
                <w:bCs/>
                <w:color w:val="17365d"/>
                <w:sz w:val="19"/>
                <w:szCs w:val="19"/>
              </w:rPr>
              <w:t xml:space="preserve">Top-1</w:t>
            </w:r>
          </w:p>
        </w:tc>
        <w:tc>
          <w:tcPr>
            <w:tcW w:type="dxa" w:w="1337"/>
            <w:shd w:fill="d9eaf7" w:color="auto" w:val="clear"/>
            <w:tcMar>
              <w:top w:type="dxa" w:w="70"/>
              <w:left w:type="dxa" w:w="110"/>
              <w:bottom w:type="dxa" w:w="70"/>
              <w:right w:type="dxa" w:w="110"/>
            </w:tcMar>
          </w:tcPr>
          <w:p>
            <w:pPr>
              <w:spacing w:after="0"/>
              <w:jc w:val="left"/>
            </w:pPr>
            <w:r>
              <w:rPr>
                <w:rFonts w:ascii="Arial" w:cs="Arial" w:eastAsia="Arial" w:hAnsi="Arial"/>
                <w:b/>
                <w:bCs/>
                <w:color w:val="17365d"/>
                <w:sz w:val="19"/>
                <w:szCs w:val="19"/>
              </w:rPr>
              <w:t xml:space="preserve">Top-3</w:t>
            </w:r>
          </w:p>
        </w:tc>
        <w:tc>
          <w:tcPr>
            <w:tcW w:type="dxa" w:w="1338"/>
            <w:shd w:fill="d9eaf7" w:color="auto" w:val="clear"/>
            <w:tcMar>
              <w:top w:type="dxa" w:w="70"/>
              <w:left w:type="dxa" w:w="110"/>
              <w:bottom w:type="dxa" w:w="70"/>
              <w:right w:type="dxa" w:w="110"/>
            </w:tcMar>
          </w:tcPr>
          <w:p>
            <w:pPr>
              <w:spacing w:after="0"/>
              <w:jc w:val="left"/>
            </w:pPr>
            <w:r>
              <w:rPr>
                <w:rFonts w:ascii="Arial" w:cs="Arial" w:eastAsia="Arial" w:hAnsi="Arial"/>
                <w:b/>
                <w:bCs/>
                <w:color w:val="17365d"/>
                <w:sz w:val="19"/>
                <w:szCs w:val="19"/>
              </w:rPr>
              <w:t xml:space="preserve">n</w:t>
            </w:r>
          </w:p>
        </w:tc>
      </w:tr>
      <w:tr>
        <w:tc>
          <w:tcPr>
            <w:tcW w:type="dxa" w:w="1337"/>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SF010</w:t>
            </w:r>
          </w:p>
        </w:tc>
        <w:tc>
          <w:tcPr>
            <w:tcW w:type="dxa" w:w="4011"/>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Pelata</w:t>
            </w:r>
          </w:p>
        </w:tc>
        <w:tc>
          <w:tcPr>
            <w:tcW w:type="dxa" w:w="1337"/>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0.40</w:t>
            </w:r>
          </w:p>
        </w:tc>
        <w:tc>
          <w:tcPr>
            <w:tcW w:type="dxa" w:w="1337"/>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1.00</w:t>
            </w:r>
          </w:p>
        </w:tc>
        <w:tc>
          <w:tcPr>
            <w:tcW w:type="dxa" w:w="1338"/>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5</w:t>
            </w:r>
          </w:p>
        </w:tc>
      </w:tr>
      <w:tr>
        <w:tc>
          <w:tcPr>
            <w:tcW w:type="dxa" w:w="1337"/>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SF009</w:t>
            </w:r>
          </w:p>
        </w:tc>
        <w:tc>
          <w:tcPr>
            <w:tcW w:type="dxa" w:w="4011"/>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Kerisi</w:t>
            </w:r>
          </w:p>
        </w:tc>
        <w:tc>
          <w:tcPr>
            <w:tcW w:type="dxa" w:w="1337"/>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0.42</w:t>
            </w:r>
          </w:p>
        </w:tc>
        <w:tc>
          <w:tcPr>
            <w:tcW w:type="dxa" w:w="1337"/>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0.83</w:t>
            </w:r>
          </w:p>
        </w:tc>
        <w:tc>
          <w:tcPr>
            <w:tcW w:type="dxa" w:w="1338"/>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12</w:t>
            </w:r>
          </w:p>
        </w:tc>
      </w:tr>
      <w:tr>
        <w:tc>
          <w:tcPr>
            <w:tcW w:type="dxa" w:w="1337"/>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SF007</w:t>
            </w:r>
          </w:p>
        </w:tc>
        <w:tc>
          <w:tcPr>
            <w:tcW w:type="dxa" w:w="4011"/>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Cencaru</w:t>
            </w:r>
          </w:p>
        </w:tc>
        <w:tc>
          <w:tcPr>
            <w:tcW w:type="dxa" w:w="1337"/>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0.62</w:t>
            </w:r>
          </w:p>
        </w:tc>
        <w:tc>
          <w:tcPr>
            <w:tcW w:type="dxa" w:w="1337"/>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0.84</w:t>
            </w:r>
          </w:p>
        </w:tc>
        <w:tc>
          <w:tcPr>
            <w:tcW w:type="dxa" w:w="1338"/>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32</w:t>
            </w:r>
          </w:p>
        </w:tc>
      </w:tr>
      <w:tr>
        <w:tc>
          <w:tcPr>
            <w:tcW w:type="dxa" w:w="1337"/>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SF011</w:t>
            </w:r>
          </w:p>
        </w:tc>
        <w:tc>
          <w:tcPr>
            <w:tcW w:type="dxa" w:w="4011"/>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Selar Kuning</w:t>
            </w:r>
          </w:p>
        </w:tc>
        <w:tc>
          <w:tcPr>
            <w:tcW w:type="dxa" w:w="1337"/>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0.70</w:t>
            </w:r>
          </w:p>
        </w:tc>
        <w:tc>
          <w:tcPr>
            <w:tcW w:type="dxa" w:w="1337"/>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1.00</w:t>
            </w:r>
          </w:p>
        </w:tc>
        <w:tc>
          <w:tcPr>
            <w:tcW w:type="dxa" w:w="1338"/>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23</w:t>
            </w:r>
          </w:p>
        </w:tc>
      </w:tr>
      <w:tr>
        <w:tc>
          <w:tcPr>
            <w:tcW w:type="dxa" w:w="1337"/>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SF008</w:t>
            </w:r>
          </w:p>
        </w:tc>
        <w:tc>
          <w:tcPr>
            <w:tcW w:type="dxa" w:w="4011"/>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Jenahak</w:t>
            </w:r>
          </w:p>
        </w:tc>
        <w:tc>
          <w:tcPr>
            <w:tcW w:type="dxa" w:w="1337"/>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0.83</w:t>
            </w:r>
          </w:p>
        </w:tc>
        <w:tc>
          <w:tcPr>
            <w:tcW w:type="dxa" w:w="1337"/>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0.92</w:t>
            </w:r>
          </w:p>
        </w:tc>
        <w:tc>
          <w:tcPr>
            <w:tcW w:type="dxa" w:w="1338"/>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24</w:t>
            </w:r>
          </w:p>
        </w:tc>
      </w:tr>
      <w:tr>
        <w:tc>
          <w:tcPr>
            <w:tcW w:type="dxa" w:w="1337"/>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SF012</w:t>
            </w:r>
          </w:p>
        </w:tc>
        <w:tc>
          <w:tcPr>
            <w:tcW w:type="dxa" w:w="4011"/>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Tenggiri</w:t>
            </w:r>
          </w:p>
        </w:tc>
        <w:tc>
          <w:tcPr>
            <w:tcW w:type="dxa" w:w="1337"/>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0.87</w:t>
            </w:r>
          </w:p>
        </w:tc>
        <w:tc>
          <w:tcPr>
            <w:tcW w:type="dxa" w:w="1337"/>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0.97</w:t>
            </w:r>
          </w:p>
        </w:tc>
        <w:tc>
          <w:tcPr>
            <w:tcW w:type="dxa" w:w="1338"/>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38</w:t>
            </w:r>
          </w:p>
        </w:tc>
      </w:tr>
      <w:tr>
        <w:tc>
          <w:tcPr>
            <w:tcW w:type="dxa" w:w="1337"/>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SF006</w:t>
            </w:r>
          </w:p>
        </w:tc>
        <w:tc>
          <w:tcPr>
            <w:tcW w:type="dxa" w:w="4011"/>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Bawal Putih</w:t>
            </w:r>
          </w:p>
        </w:tc>
        <w:tc>
          <w:tcPr>
            <w:tcW w:type="dxa" w:w="1337"/>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0.88</w:t>
            </w:r>
          </w:p>
        </w:tc>
        <w:tc>
          <w:tcPr>
            <w:tcW w:type="dxa" w:w="1337"/>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1.00</w:t>
            </w:r>
          </w:p>
        </w:tc>
        <w:tc>
          <w:tcPr>
            <w:tcW w:type="dxa" w:w="1338"/>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8</w:t>
            </w:r>
          </w:p>
        </w:tc>
      </w:tr>
      <w:tr>
        <w:tc>
          <w:tcPr>
            <w:tcW w:type="dxa" w:w="1337"/>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SF002</w:t>
            </w:r>
          </w:p>
        </w:tc>
        <w:tc>
          <w:tcPr>
            <w:tcW w:type="dxa" w:w="4011"/>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Bawal Hitam</w:t>
            </w:r>
          </w:p>
        </w:tc>
        <w:tc>
          <w:tcPr>
            <w:tcW w:type="dxa" w:w="1337"/>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0.90</w:t>
            </w:r>
          </w:p>
        </w:tc>
        <w:tc>
          <w:tcPr>
            <w:tcW w:type="dxa" w:w="1337"/>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1.00</w:t>
            </w:r>
          </w:p>
        </w:tc>
        <w:tc>
          <w:tcPr>
            <w:tcW w:type="dxa" w:w="1338"/>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20</w:t>
            </w:r>
          </w:p>
        </w:tc>
      </w:tr>
      <w:tr>
        <w:tc>
          <w:tcPr>
            <w:tcW w:type="dxa" w:w="1337"/>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SF001</w:t>
            </w:r>
          </w:p>
        </w:tc>
        <w:tc>
          <w:tcPr>
            <w:tcW w:type="dxa" w:w="4011"/>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Kembung / Pelaling</w:t>
            </w:r>
          </w:p>
        </w:tc>
        <w:tc>
          <w:tcPr>
            <w:tcW w:type="dxa" w:w="1337"/>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0.92</w:t>
            </w:r>
          </w:p>
        </w:tc>
        <w:tc>
          <w:tcPr>
            <w:tcW w:type="dxa" w:w="1337"/>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0.95</w:t>
            </w:r>
          </w:p>
        </w:tc>
        <w:tc>
          <w:tcPr>
            <w:tcW w:type="dxa" w:w="1338"/>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38</w:t>
            </w:r>
          </w:p>
        </w:tc>
      </w:tr>
    </w:tbl>
    <w:p>
      <w:pPr>
        <w:spacing w:after="140"/>
      </w:pPr>
      <w:r>
        <w:rPr>
          <w:sz w:val="8"/>
          <w:szCs w:val="8"/>
        </w:rPr>
        <w:t xml:space="preserve"/>
      </w:r>
    </w:p>
    <w:p>
      <w:pPr>
        <w:spacing w:after="120"/>
      </w:pPr>
      <w:r>
        <w:rPr>
          <w:rFonts w:ascii="Arial" w:cs="Arial" w:eastAsia="Arial" w:hAnsi="Arial"/>
          <w:sz w:val="21"/>
          <w:szCs w:val="21"/>
        </w:rPr>
        <w:t xml:space="preserve">Most common confusion: Cencaru called Kembung (7 times). Both are streamlined silver pelagics of similar size photographed at similar angles; the distinction is the hardtail scad's scutes along the tail, which a 224-pixel crop of a fish in open water often does not resolve.</w:t>
      </w:r>
    </w:p>
    <w:p>
      <w:pPr>
        <w:pStyle w:val="Heading1"/>
        <w:spacing w:after="140" w:before="360"/>
      </w:pPr>
      <w:r>
        <w:rPr>
          <w:rFonts w:ascii="Arial" w:cs="Arial" w:eastAsia="Arial" w:hAnsi="Arial"/>
          <w:b/>
          <w:bCs/>
          <w:color w:val="17365d"/>
          <w:sz w:val="30"/>
          <w:szCs w:val="30"/>
        </w:rPr>
        <w:t xml:space="preserve">4. Why nine species and not twelve</w:t>
      </w:r>
    </w:p>
    <w:p>
      <w:pPr>
        <w:spacing w:after="120"/>
      </w:pPr>
      <w:r>
        <w:rPr>
          <w:rFonts w:ascii="Consolas" w:cs="Consolas" w:eastAsia="Consolas" w:hAnsi="Consolas"/>
          <w:color w:val="2a4b6b"/>
          <w:sz w:val="19"/>
          <w:szCs w:val="19"/>
        </w:rPr>
        <w:t xml:space="preserve">SF003</w:t>
      </w:r>
      <w:r>
        <w:rPr>
          <w:rFonts w:ascii="Arial" w:cs="Arial" w:eastAsia="Arial" w:hAnsi="Arial"/>
          <w:sz w:val="21"/>
          <w:szCs w:val="21"/>
        </w:rPr>
        <w:t xml:space="preserve"> Ikan Merah, </w:t>
      </w:r>
      <w:r>
        <w:rPr>
          <w:rFonts w:ascii="Consolas" w:cs="Consolas" w:eastAsia="Consolas" w:hAnsi="Consolas"/>
          <w:color w:val="2a4b6b"/>
          <w:sz w:val="19"/>
          <w:szCs w:val="19"/>
        </w:rPr>
        <w:t xml:space="preserve">SF004</w:t>
      </w:r>
      <w:r>
        <w:rPr>
          <w:rFonts w:ascii="Arial" w:cs="Arial" w:eastAsia="Arial" w:hAnsi="Arial"/>
          <w:sz w:val="21"/>
          <w:szCs w:val="21"/>
        </w:rPr>
        <w:t xml:space="preserve"> Tilapia and </w:t>
      </w:r>
      <w:r>
        <w:rPr>
          <w:rFonts w:ascii="Consolas" w:cs="Consolas" w:eastAsia="Consolas" w:hAnsi="Consolas"/>
          <w:color w:val="2a4b6b"/>
          <w:sz w:val="19"/>
          <w:szCs w:val="19"/>
        </w:rPr>
        <w:t xml:space="preserve">SF005</w:t>
      </w:r>
      <w:r>
        <w:rPr>
          <w:rFonts w:ascii="Arial" w:cs="Arial" w:eastAsia="Arial" w:hAnsi="Arial"/>
          <w:sz w:val="21"/>
          <w:szCs w:val="21"/>
        </w:rPr>
        <w:t xml:space="preserve"> Kerapu Bintik carry </w:t>
      </w:r>
      <w:r>
        <w:rPr>
          <w:rFonts w:ascii="Consolas" w:cs="Consolas" w:eastAsia="Consolas" w:hAnsi="Consolas"/>
          <w:color w:val="2a4b6b"/>
          <w:sz w:val="19"/>
          <w:szCs w:val="19"/>
        </w:rPr>
        <w:t xml:space="preserve">supports_cv = FALSE</w:t>
      </w:r>
      <w:r>
        <w:rPr>
          <w:rFonts w:ascii="Arial" w:cs="Arial" w:eastAsia="Arial" w:hAnsi="Arial"/>
          <w:sz w:val="21"/>
          <w:szCs w:val="21"/>
        </w:rPr>
        <w:t xml:space="preserve">. No public dataset has usable imagery for them.</w:t>
      </w:r>
    </w:p>
    <w:p>
      <w:pPr>
        <w:spacing w:after="120"/>
      </w:pPr>
      <w:r>
        <w:rPr>
          <w:rFonts w:ascii="Arial" w:cs="Arial" w:eastAsia="Arial" w:hAnsi="Arial"/>
          <w:sz w:val="21"/>
          <w:szCs w:val="21"/>
        </w:rPr>
        <w:t xml:space="preserve">The catalogue was deliberately </w:t>
      </w:r>
      <w:r>
        <w:rPr>
          <w:rFonts w:ascii="Arial" w:cs="Arial" w:eastAsia="Arial" w:hAnsi="Arial"/>
          <w:b/>
          <w:bCs/>
          <w:sz w:val="21"/>
          <w:szCs w:val="21"/>
        </w:rPr>
        <w:t xml:space="preserve">not</w:t>
      </w:r>
      <w:r>
        <w:rPr>
          <w:rFonts w:ascii="Arial" w:cs="Arial" w:eastAsia="Arial" w:hAnsi="Arial"/>
          <w:sz w:val="21"/>
          <w:szCs w:val="21"/>
        </w:rPr>
        <w:t xml:space="preserve"> trimmed to match the model. Those three have working search, WWF ratings and cooking data that the app already ships; deleting working features to make two numbers line up would be a poor trade. The database enforces the distinction in both directions, so the catalogue and the class map cannot silently drift apart:</w:t>
      </w:r>
    </w:p>
    <w:p>
      <w:pPr>
        <w:pStyle w:val="ListParagraph"/>
        <w:numPr>
          <w:ilvl w:val="0"/>
          <w:numId w:val="2"/>
        </w:numPr>
        <w:spacing w:after="60"/>
      </w:pPr>
      <w:r>
        <w:rPr>
          <w:rFonts w:ascii="Arial" w:cs="Arial" w:eastAsia="Arial" w:hAnsi="Arial"/>
          <w:sz w:val="21"/>
          <w:szCs w:val="21"/>
        </w:rPr>
        <w:t xml:space="preserve">exactly one active </w:t>
      </w:r>
      <w:r>
        <w:rPr>
          <w:rFonts w:ascii="Consolas" w:cs="Consolas" w:eastAsia="Consolas" w:hAnsi="Consolas"/>
          <w:color w:val="2a4b6b"/>
          <w:sz w:val="19"/>
          <w:szCs w:val="19"/>
        </w:rPr>
        <w:t xml:space="preserve">cv_model_version</w:t>
      </w:r>
    </w:p>
    <w:p>
      <w:pPr>
        <w:pStyle w:val="ListParagraph"/>
        <w:numPr>
          <w:ilvl w:val="0"/>
          <w:numId w:val="2"/>
        </w:numPr>
        <w:spacing w:after="60"/>
      </w:pPr>
      <w:r>
        <w:rPr>
          <w:rFonts w:ascii="Arial" w:cs="Arial" w:eastAsia="Arial" w:hAnsi="Arial"/>
          <w:sz w:val="21"/>
          <w:szCs w:val="21"/>
        </w:rPr>
        <w:t xml:space="preserve">one mapping per class the model emits, indices forming a complete </w:t>
      </w:r>
      <w:r>
        <w:rPr>
          <w:rFonts w:ascii="Consolas" w:cs="Consolas" w:eastAsia="Consolas" w:hAnsi="Consolas"/>
          <w:color w:val="2a4b6b"/>
          <w:sz w:val="19"/>
          <w:szCs w:val="19"/>
        </w:rPr>
        <w:t xml:space="preserve">0..8</w:t>
      </w:r>
    </w:p>
    <w:p>
      <w:pPr>
        <w:pStyle w:val="ListParagraph"/>
        <w:numPr>
          <w:ilvl w:val="0"/>
          <w:numId w:val="2"/>
        </w:numPr>
        <w:spacing w:after="60"/>
      </w:pPr>
      <w:r>
        <w:rPr>
          <w:rFonts w:ascii="Arial" w:cs="Arial" w:eastAsia="Arial" w:hAnsi="Arial"/>
          <w:sz w:val="21"/>
          <w:szCs w:val="21"/>
        </w:rPr>
        <w:t xml:space="preserve">no mapping to a species flagged </w:t>
      </w:r>
      <w:r>
        <w:rPr>
          <w:rFonts w:ascii="Consolas" w:cs="Consolas" w:eastAsia="Consolas" w:hAnsi="Consolas"/>
          <w:color w:val="2a4b6b"/>
          <w:sz w:val="19"/>
          <w:szCs w:val="19"/>
        </w:rPr>
        <w:t xml:space="preserve">supports_cv = FALSE</w:t>
      </w:r>
    </w:p>
    <w:p>
      <w:pPr>
        <w:pStyle w:val="ListParagraph"/>
        <w:numPr>
          <w:ilvl w:val="0"/>
          <w:numId w:val="2"/>
        </w:numPr>
        <w:spacing w:after="60"/>
      </w:pPr>
      <w:r>
        <w:rPr>
          <w:rFonts w:ascii="Arial" w:cs="Arial" w:eastAsia="Arial" w:hAnsi="Arial"/>
          <w:sz w:val="21"/>
          <w:szCs w:val="21"/>
        </w:rPr>
        <w:t xml:space="preserve">no species flagged </w:t>
      </w:r>
      <w:r>
        <w:rPr>
          <w:rFonts w:ascii="Consolas" w:cs="Consolas" w:eastAsia="Consolas" w:hAnsi="Consolas"/>
          <w:color w:val="2a4b6b"/>
          <w:sz w:val="19"/>
          <w:szCs w:val="19"/>
        </w:rPr>
        <w:t xml:space="preserve">supports_cv = TRUE</w:t>
      </w:r>
      <w:r>
        <w:rPr>
          <w:rFonts w:ascii="Arial" w:cs="Arial" w:eastAsia="Arial" w:hAnsi="Arial"/>
          <w:sz w:val="21"/>
          <w:szCs w:val="21"/>
        </w:rPr>
        <w:t xml:space="preserve"> without a mapping to back it up</w:t>
      </w:r>
    </w:p>
    <w:p>
      <w:pPr>
        <w:pStyle w:val="ListParagraph"/>
        <w:numPr>
          <w:ilvl w:val="0"/>
          <w:numId w:val="2"/>
        </w:numPr>
        <w:spacing w:after="60"/>
      </w:pPr>
      <w:r>
        <w:rPr>
          <w:rFonts w:ascii="Arial" w:cs="Arial" w:eastAsia="Arial" w:hAnsi="Arial"/>
          <w:sz w:val="21"/>
          <w:szCs w:val="21"/>
        </w:rPr>
        <w:t xml:space="preserve">no CV-scannable species without cooking data — a scan must not open an empty page</w:t>
      </w:r>
    </w:p>
    <w:p>
      <w:pPr>
        <w:spacing w:after="120"/>
      </w:pPr>
      <w:r>
        <w:rPr>
          <w:rFonts w:ascii="Arial" w:cs="Arial" w:eastAsia="Arial" w:hAnsi="Arial"/>
          <w:sz w:val="21"/>
          <w:szCs w:val="21"/>
        </w:rPr>
        <w:t xml:space="preserve">Each is a </w:t>
      </w:r>
      <w:r>
        <w:rPr>
          <w:rFonts w:ascii="Consolas" w:cs="Consolas" w:eastAsia="Consolas" w:hAnsi="Consolas"/>
          <w:color w:val="2a4b6b"/>
          <w:sz w:val="19"/>
          <w:szCs w:val="19"/>
        </w:rPr>
        <w:t xml:space="preserve">RAISE EXCEPTION</w:t>
      </w:r>
      <w:r>
        <w:rPr>
          <w:rFonts w:ascii="Arial" w:cs="Arial" w:eastAsia="Arial" w:hAnsi="Arial"/>
          <w:sz w:val="21"/>
          <w:szCs w:val="21"/>
        </w:rPr>
        <w:t xml:space="preserve"> in the seed. They exist because this class of bug is silent: the request succeeds, the UUID is real, the profile renders, and the fish is wrong.</w:t>
      </w:r>
    </w:p>
    <w:tbl>
      <w:tblPr>
        <w:tblW w:type="dxa" w:w="9360"/>
        <w:tblBorders>
          <w:top w:val="single" w:color="4f81bd" w:sz="2"/>
          <w:left w:val="single" w:color="4f81bd" w:sz="18"/>
          <w:bottom w:val="single" w:color="4f81bd" w:sz="2"/>
          <w:right w:val="single" w:color="4f81bd" w:sz="2"/>
          <w:insideH w:val="none" w:color="auto" w:sz="0"/>
          <w:insideV w:val="none" w:color="auto" w:sz="0"/>
        </w:tblBorders>
      </w:tblPr>
      <w:tblGrid>
        <w:gridCol w:w="9360"/>
      </w:tblGrid>
      <w:tr>
        <w:tc>
          <w:tcPr>
            <w:tcW w:type="dxa" w:w="9360"/>
            <w:shd w:fill="eaf2ff" w:color="auto" w:val="clear"/>
            <w:tcMar>
              <w:top w:type="dxa" w:w="140"/>
              <w:left w:type="dxa" w:w="200"/>
              <w:bottom w:type="dxa" w:w="140"/>
              <w:right w:type="dxa" w:w="200"/>
            </w:tcMar>
          </w:tcPr>
          <w:p>
            <w:r>
              <w:rPr>
                <w:rFonts w:ascii="Consolas" w:cs="Consolas" w:eastAsia="Consolas" w:hAnsi="Consolas"/>
                <w:color w:val="2a4b6b"/>
                <w:sz w:val="19"/>
                <w:szCs w:val="19"/>
              </w:rPr>
              <w:t xml:space="preserve">SF008</w:t>
            </w:r>
            <w:r>
              <w:rPr>
                <w:rFonts w:ascii="Arial" w:cs="Arial" w:eastAsia="Arial" w:hAnsi="Arial"/>
                <w:sz w:val="21"/>
                <w:szCs w:val="21"/>
              </w:rPr>
              <w:t xml:space="preserve"> Jenahak is </w:t>
            </w:r>
            <w:r>
              <w:rPr>
                <w:rFonts w:ascii="Arial" w:cs="Arial" w:eastAsia="Arial" w:hAnsi="Arial"/>
                <w:i/>
                <w:iCs/>
                <w:sz w:val="21"/>
                <w:szCs w:val="21"/>
              </w:rPr>
              <w:t xml:space="preserve">Lutjanus johnii</w:t>
            </w:r>
            <w:r>
              <w:rPr>
                <w:rFonts w:ascii="Arial" w:cs="Arial" w:eastAsia="Arial" w:hAnsi="Arial"/>
                <w:sz w:val="21"/>
                <w:szCs w:val="21"/>
              </w:rPr>
              <w:t xml:space="preserve">; </w:t>
            </w:r>
            <w:r>
              <w:rPr>
                <w:rFonts w:ascii="Consolas" w:cs="Consolas" w:eastAsia="Consolas" w:hAnsi="Consolas"/>
                <w:color w:val="2a4b6b"/>
                <w:sz w:val="19"/>
                <w:szCs w:val="19"/>
              </w:rPr>
              <w:t xml:space="preserve">SF003</w:t>
            </w:r>
            <w:r>
              <w:rPr>
                <w:rFonts w:ascii="Arial" w:cs="Arial" w:eastAsia="Arial" w:hAnsi="Arial"/>
                <w:sz w:val="21"/>
                <w:szCs w:val="21"/>
              </w:rPr>
              <w:t xml:space="preserve"> Ikan Merah is </w:t>
            </w:r>
            <w:r>
              <w:rPr>
                <w:rFonts w:ascii="Arial" w:cs="Arial" w:eastAsia="Arial" w:hAnsi="Arial"/>
                <w:i/>
                <w:iCs/>
                <w:sz w:val="21"/>
                <w:szCs w:val="21"/>
              </w:rPr>
              <w:t xml:space="preserve">Lutjanus sebae</w:t>
            </w:r>
            <w:r>
              <w:rPr>
                <w:rFonts w:ascii="Arial" w:cs="Arial" w:eastAsia="Arial" w:hAnsi="Arial"/>
                <w:sz w:val="21"/>
                <w:szCs w:val="21"/>
              </w:rPr>
              <w:t xml:space="preserve">. Different species, deliberately separate rows, easily conflated because both are red snappers sold under overlapping Malay names.</w:t>
            </w:r>
          </w:p>
        </w:tc>
      </w:tr>
    </w:tbl>
    <w:p>
      <w:pPr>
        <w:spacing w:after="140"/>
      </w:pPr>
      <w:r>
        <w:rPr>
          <w:sz w:val="8"/>
          <w:szCs w:val="8"/>
        </w:rPr>
        <w:t xml:space="preserve"/>
      </w:r>
    </w:p>
    <w:p>
      <w:pPr>
        <w:pStyle w:val="Heading1"/>
        <w:spacing w:after="140" w:before="360"/>
      </w:pPr>
      <w:r>
        <w:rPr>
          <w:rFonts w:ascii="Arial" w:cs="Arial" w:eastAsia="Arial" w:hAnsi="Arial"/>
          <w:b/>
          <w:bCs/>
          <w:color w:val="17365d"/>
          <w:sz w:val="30"/>
          <w:szCs w:val="30"/>
        </w:rPr>
        <w:t xml:space="preserve">5. How it was trained</w:t>
      </w:r>
    </w:p>
    <w:p>
      <w:pPr>
        <w:spacing w:after="120"/>
      </w:pPr>
      <w:r>
        <w:rPr>
          <w:rFonts w:ascii="Arial" w:cs="Arial" w:eastAsia="Arial" w:hAnsi="Arial"/>
          <w:b/>
          <w:bCs/>
          <w:sz w:val="21"/>
          <w:szCs w:val="21"/>
        </w:rPr>
        <w:t xml:space="preserve">Two stages, CPU only.</w:t>
      </w:r>
      <w:r>
        <w:rPr>
          <w:rFonts w:ascii="Arial" w:cs="Arial" w:eastAsia="Arial" w:hAnsi="Arial"/>
          <w:sz w:val="21"/>
          <w:szCs w:val="21"/>
        </w:rPr>
        <w:t xml:space="preserve"> Stage A fits a linear probe on frozen ImageNet features to establish a floor cheaply. Stage B unfreezes the last blocks at a low learning rate. On a laptop CPU the whole run is minutes, not hours — which matters, because a pipeline nobody can afford to re-run is a pipeline that stops being used.</w:t>
      </w:r>
    </w:p>
    <w:p>
      <w:pPr>
        <w:spacing w:after="120"/>
      </w:pPr>
      <w:r>
        <w:rPr>
          <w:rFonts w:ascii="Arial" w:cs="Arial" w:eastAsia="Arial" w:hAnsi="Arial"/>
          <w:b/>
          <w:bCs/>
          <w:sz w:val="21"/>
          <w:szCs w:val="21"/>
        </w:rPr>
        <w:t xml:space="preserve">Group-aware splitting.</w:t>
      </w:r>
      <w:r>
        <w:rPr>
          <w:rFonts w:ascii="Arial" w:cs="Arial" w:eastAsia="Arial" w:hAnsi="Arial"/>
          <w:sz w:val="21"/>
          <w:szCs w:val="21"/>
        </w:rPr>
        <w:t xml:space="preserve"> The corpus carries perceptual hashes, and visually-identical images (the same photograph re-encoded by two aggregators — common across GBIF and iNaturalist) are pinned to a shared </w:t>
      </w:r>
      <w:r>
        <w:rPr>
          <w:rFonts w:ascii="Consolas" w:cs="Consolas" w:eastAsia="Consolas" w:hAnsi="Consolas"/>
          <w:color w:val="2a4b6b"/>
          <w:sz w:val="19"/>
          <w:szCs w:val="19"/>
        </w:rPr>
        <w:t xml:space="preserve">original_group_id</w:t>
      </w:r>
      <w:r>
        <w:rPr>
          <w:rFonts w:ascii="Arial" w:cs="Arial" w:eastAsia="Arial" w:hAnsi="Arial"/>
          <w:sz w:val="21"/>
          <w:szCs w:val="21"/>
        </w:rPr>
        <w:t xml:space="preserve"> so they cannot land on opposite sides of a split. Without this, a near-duplicate in both train and test inflates accuracy with no warning.</w:t>
      </w:r>
    </w:p>
    <w:p>
      <w:pPr>
        <w:spacing w:after="120"/>
      </w:pPr>
      <w:r>
        <w:rPr>
          <w:rFonts w:ascii="Arial" w:cs="Arial" w:eastAsia="Arial" w:hAnsi="Arial"/>
          <w:b/>
          <w:bCs/>
          <w:sz w:val="21"/>
          <w:szCs w:val="21"/>
        </w:rPr>
        <w:t xml:space="preserve">Class weighting.</w:t>
      </w:r>
      <w:r>
        <w:rPr>
          <w:rFonts w:ascii="Arial" w:cs="Arial" w:eastAsia="Arial" w:hAnsi="Arial"/>
          <w:sz w:val="21"/>
          <w:szCs w:val="21"/>
        </w:rPr>
        <w:t xml:space="preserve"> The corpus runs 5 to 38 images per class in the test split. Weights compensate, but a thin class stays a weak class.</w:t>
      </w:r>
    </w:p>
    <w:p>
      <w:pPr>
        <w:spacing w:after="120"/>
      </w:pPr>
      <w:r>
        <w:rPr>
          <w:rFonts w:ascii="Arial" w:cs="Arial" w:eastAsia="Arial" w:hAnsi="Arial"/>
          <w:b/>
          <w:bCs/>
          <w:sz w:val="21"/>
          <w:szCs w:val="21"/>
        </w:rPr>
        <w:t xml:space="preserve">Export parity is checked on probabilities and ranking, not raw logits.</w:t>
      </w:r>
      <w:r>
        <w:rPr>
          <w:rFonts w:ascii="Arial" w:cs="Arial" w:eastAsia="Arial" w:hAnsi="Arial"/>
          <w:sz w:val="21"/>
          <w:szCs w:val="21"/>
        </w:rPr>
        <w:t xml:space="preserve"> A trained network's logits span tens of units — this one reaches −59 — so an absolute logit tolerance measures nothing useful. What the backend serves is a softmax and a Top-3 ordering, so that is what has to survive the export. Worst observed probability delta across eight random inputs: 2.2 × 10⁻⁵.</w:t>
      </w:r>
    </w:p>
    <w:p>
      <w:pPr>
        <w:pStyle w:val="Heading1"/>
        <w:spacing w:after="140" w:before="360"/>
      </w:pPr>
      <w:r>
        <w:rPr>
          <w:rFonts w:ascii="Arial" w:cs="Arial" w:eastAsia="Arial" w:hAnsi="Arial"/>
          <w:b/>
          <w:bCs/>
          <w:color w:val="17365d"/>
          <w:sz w:val="30"/>
          <w:szCs w:val="30"/>
        </w:rPr>
        <w:t xml:space="preserve">6. Reproducing and retraining</w:t>
      </w:r>
    </w:p>
    <w:tbl>
      <w:tblPr>
        <w:tblW w:type="dxa" w:w="9360"/>
        <w:tblBorders>
          <w:top w:val="single" w:color="c7d9ec" w:sz="4"/>
          <w:left w:val="single" w:color="c7d9ec" w:sz="4"/>
          <w:bottom w:val="single" w:color="c7d9ec" w:sz="4"/>
          <w:right w:val="single" w:color="c7d9ec" w:sz="4"/>
          <w:insideH w:val="single" w:color="c7d9ec" w:sz="4"/>
          <w:insideV w:val="single" w:color="c7d9ec" w:sz="4"/>
        </w:tblBorders>
      </w:tblPr>
      <w:tblGrid>
        <w:gridCol w:w="9360"/>
      </w:tblGrid>
      <w:tr>
        <w:tc>
          <w:tcPr>
            <w:tcW w:type="dxa" w:w="9360"/>
            <w:shd w:fill="f4f8fc" w:color="auto" w:val="clear"/>
            <w:tcMar>
              <w:top w:type="dxa" w:w="120"/>
              <w:left w:type="dxa" w:w="160"/>
              <w:bottom w:type="dxa" w:w="120"/>
              <w:right w:type="dxa" w:w="160"/>
            </w:tcMar>
          </w:tcPr>
          <w:p>
            <w:pPr>
              <w:spacing w:after="0" w:line="240"/>
            </w:pPr>
            <w:r>
              <w:rPr>
                <w:rFonts w:ascii="Consolas" w:cs="Consolas" w:eastAsia="Consolas" w:hAnsi="Consolas"/>
                <w:color w:val="1f3348"/>
                <w:sz w:val="17"/>
                <w:szCs w:val="17"/>
              </w:rPr>
              <w:t xml:space="preserve">cd cv</w:t>
            </w:r>
          </w:p>
          <w:p>
            <w:pPr>
              <w:spacing w:after="0" w:line="240"/>
            </w:pPr>
            <w:r>
              <w:rPr>
                <w:rFonts w:ascii="Consolas" w:cs="Consolas" w:eastAsia="Consolas" w:hAnsi="Consolas"/>
                <w:color w:val="1f3348"/>
                <w:sz w:val="17"/>
                <w:szCs w:val="17"/>
              </w:rPr>
              <w:t xml:space="preserve">python scripts/import_candidates.py --candidates &lt;corpus&gt;/candidates.csv \</w:t>
            </w:r>
          </w:p>
          <w:p>
            <w:pPr>
              <w:spacing w:after="0" w:line="240"/>
            </w:pPr>
            <w:r>
              <w:rPr>
                <w:rFonts w:ascii="Consolas" w:cs="Consolas" w:eastAsia="Consolas" w:hAnsi="Consolas"/>
                <w:color w:val="1f3348"/>
                <w:sz w:val="17"/>
                <w:szCs w:val="17"/>
              </w:rPr>
              <w:t xml:space="preserve">    --images-root &lt;corpus&gt;/images --out data/manifest.csv</w:t>
            </w:r>
          </w:p>
          <w:p>
            <w:pPr>
              <w:spacing w:after="0" w:line="240"/>
            </w:pPr>
            <w:r>
              <w:rPr>
                <w:rFonts w:ascii="Consolas" w:cs="Consolas" w:eastAsia="Consolas" w:hAnsi="Consolas"/>
                <w:color w:val="1f3348"/>
                <w:sz w:val="17"/>
                <w:szCs w:val="17"/>
              </w:rPr>
              <w:t xml:space="preserve">python scripts/split_manifest.py --manifest data/manifest.csv --out data/manifest.csv</w:t>
            </w:r>
          </w:p>
          <w:p>
            <w:pPr>
              <w:spacing w:after="0" w:line="240"/>
            </w:pPr>
            <w:r>
              <w:rPr>
                <w:rFonts w:ascii="Consolas" w:cs="Consolas" w:eastAsia="Consolas" w:hAnsi="Consolas"/>
                <w:color w:val="1f3348"/>
                <w:sz w:val="17"/>
                <w:szCs w:val="17"/>
              </w:rPr>
              <w:t xml:space="preserve">python scripts/train.py --stage a --manifest data/manifest.csv --root data/images</w:t>
            </w:r>
          </w:p>
          <w:p>
            <w:pPr>
              <w:spacing w:after="0" w:line="240"/>
            </w:pPr>
            <w:r>
              <w:rPr>
                <w:rFonts w:ascii="Consolas" w:cs="Consolas" w:eastAsia="Consolas" w:hAnsi="Consolas"/>
                <w:color w:val="1f3348"/>
                <w:sz w:val="17"/>
                <w:szCs w:val="17"/>
              </w:rPr>
              <w:t xml:space="preserve">python scripts/train.py --stage b --manifest data/manifest.csv --root data/images \</w:t>
            </w:r>
          </w:p>
          <w:p>
            <w:pPr>
              <w:spacing w:after="0" w:line="240"/>
            </w:pPr>
            <w:r>
              <w:rPr>
                <w:rFonts w:ascii="Consolas" w:cs="Consolas" w:eastAsia="Consolas" w:hAnsi="Consolas"/>
                <w:color w:val="1f3348"/>
                <w:sz w:val="17"/>
                <w:szCs w:val="17"/>
              </w:rPr>
              <w:t xml:space="preserve">    --init-from artifacts/model_stage_a.pt --epochs 15</w:t>
            </w:r>
          </w:p>
          <w:p>
            <w:pPr>
              <w:spacing w:after="0" w:line="240"/>
            </w:pPr>
            <w:r>
              <w:rPr>
                <w:rFonts w:ascii="Consolas" w:cs="Consolas" w:eastAsia="Consolas" w:hAnsi="Consolas"/>
                <w:color w:val="1f3348"/>
                <w:sz w:val="17"/>
                <w:szCs w:val="17"/>
              </w:rPr>
              <w:t xml:space="preserve">python scripts/evaluate.py --checkpoint artifacts/model_stage_b.pt \</w:t>
            </w:r>
          </w:p>
          <w:p>
            <w:pPr>
              <w:spacing w:after="0" w:line="240"/>
            </w:pPr>
            <w:r>
              <w:rPr>
                <w:rFonts w:ascii="Consolas" w:cs="Consolas" w:eastAsia="Consolas" w:hAnsi="Consolas"/>
                <w:color w:val="1f3348"/>
                <w:sz w:val="17"/>
                <w:szCs w:val="17"/>
              </w:rPr>
              <w:t xml:space="preserve">    --manifest data/manifest.csv --root data/images --splits val test_clean \</w:t>
            </w:r>
          </w:p>
          <w:p>
            <w:pPr>
              <w:spacing w:after="0" w:line="240"/>
            </w:pPr>
            <w:r>
              <w:rPr>
                <w:rFonts w:ascii="Consolas" w:cs="Consolas" w:eastAsia="Consolas" w:hAnsi="Consolas"/>
                <w:color w:val="1f3348"/>
                <w:sz w:val="17"/>
                <w:szCs w:val="17"/>
              </w:rPr>
              <w:t xml:space="preserve">    --out artifacts/validation_report.json</w:t>
            </w:r>
          </w:p>
          <w:p>
            <w:pPr>
              <w:spacing w:after="0" w:line="240"/>
            </w:pPr>
            <w:r>
              <w:rPr>
                <w:rFonts w:ascii="Consolas" w:cs="Consolas" w:eastAsia="Consolas" w:hAnsi="Consolas"/>
                <w:color w:val="1f3348"/>
                <w:sz w:val="17"/>
                <w:szCs w:val="17"/>
              </w:rPr>
              <w:t xml:space="preserve">python scripts/export_onnx.py --checkpoint artifacts/model_stage_b.pt \</w:t>
            </w:r>
          </w:p>
          <w:p>
            <w:pPr>
              <w:spacing w:after="0" w:line="240"/>
            </w:pPr>
            <w:r>
              <w:rPr>
                <w:rFonts w:ascii="Consolas" w:cs="Consolas" w:eastAsia="Consolas" w:hAnsi="Consolas"/>
                <w:color w:val="1f3348"/>
                <w:sz w:val="17"/>
                <w:szCs w:val="17"/>
              </w:rPr>
              <w:t xml:space="preserve">    --version cv-i1-YYYY-MM-DD --validation artifacts/validation_report.json \</w:t>
            </w:r>
          </w:p>
          <w:p>
            <w:pPr>
              <w:spacing w:after="0" w:line="240"/>
            </w:pPr>
            <w:r>
              <w:rPr>
                <w:rFonts w:ascii="Consolas" w:cs="Consolas" w:eastAsia="Consolas" w:hAnsi="Consolas"/>
                <w:color w:val="1f3348"/>
                <w:sz w:val="17"/>
                <w:szCs w:val="17"/>
              </w:rPr>
              <w:t xml:space="preserve">    --out handoff/</w:t>
            </w:r>
          </w:p>
          <w:p>
            <w:pPr>
              <w:spacing w:after="0" w:line="240"/>
            </w:pPr>
            <w:r>
              <w:rPr>
                <w:rFonts w:ascii="Consolas" w:cs="Consolas" w:eastAsia="Consolas" w:hAnsi="Consolas"/>
                <w:color w:val="1f3348"/>
                <w:sz w:val="17"/>
                <w:szCs w:val="17"/>
              </w:rPr>
              <w:t xml:space="preserve">python scripts/register_model.py        # regenerates the registration SQL</w:t>
            </w:r>
          </w:p>
          <w:p>
            <w:pPr>
              <w:spacing w:after="0" w:line="240"/>
            </w:pPr>
            <w:r>
              <w:rPr>
                <w:rFonts w:ascii="Consolas" w:cs="Consolas" w:eastAsia="Consolas" w:hAnsi="Consolas"/>
                <w:color w:val="1f3348"/>
                <w:sz w:val="17"/>
                <w:szCs w:val="17"/>
              </w:rPr>
              <w:t xml:space="preserve">cp -r handoff ../backend/cv_package</w:t>
            </w:r>
          </w:p>
        </w:tc>
      </w:tr>
    </w:tbl>
    <w:p>
      <w:pPr>
        <w:spacing w:after="140"/>
      </w:pPr>
      <w:r>
        <w:rPr>
          <w:sz w:val="8"/>
          <w:szCs w:val="8"/>
        </w:rPr>
        <w:t xml:space="preserve"/>
      </w:r>
    </w:p>
    <w:p>
      <w:pPr>
        <w:spacing w:after="120"/>
      </w:pPr>
      <w:r>
        <w:rPr>
          <w:rFonts w:ascii="Consolas" w:cs="Consolas" w:eastAsia="Consolas" w:hAnsi="Consolas"/>
          <w:color w:val="2a4b6b"/>
          <w:sz w:val="19"/>
          <w:szCs w:val="19"/>
        </w:rPr>
        <w:t xml:space="preserve">register_model.py</w:t>
      </w:r>
      <w:r>
        <w:rPr>
          <w:rFonts w:ascii="Arial" w:cs="Arial" w:eastAsia="Arial" w:hAnsi="Arial"/>
          <w:sz w:val="21"/>
          <w:szCs w:val="21"/>
        </w:rPr>
        <w:t xml:space="preserve"> is not optional and the SQL it writes is not hand-editable. The class order is frozen inside </w:t>
      </w:r>
      <w:r>
        <w:rPr>
          <w:rFonts w:ascii="Consolas" w:cs="Consolas" w:eastAsia="Consolas" w:hAnsi="Consolas"/>
          <w:color w:val="2a4b6b"/>
          <w:sz w:val="19"/>
          <w:szCs w:val="19"/>
        </w:rPr>
        <w:t xml:space="preserve">model.onnx</w:t>
      </w:r>
      <w:r>
        <w:rPr>
          <w:rFonts w:ascii="Arial" w:cs="Arial" w:eastAsia="Arial" w:hAnsi="Arial"/>
          <w:sz w:val="21"/>
          <w:szCs w:val="21"/>
        </w:rPr>
        <w:t xml:space="preserve">; a hand-typed index produces a scanner that confidently names the wrong fish with no error anywhere. </w:t>
      </w:r>
      <w:r>
        <w:rPr>
          <w:rFonts w:ascii="Consolas" w:cs="Consolas" w:eastAsia="Consolas" w:hAnsi="Consolas"/>
          <w:color w:val="2a4b6b"/>
          <w:sz w:val="19"/>
          <w:szCs w:val="19"/>
        </w:rPr>
        <w:t xml:space="preserve">register_model.py --check</w:t>
      </w:r>
      <w:r>
        <w:rPr>
          <w:rFonts w:ascii="Arial" w:cs="Arial" w:eastAsia="Arial" w:hAnsi="Arial"/>
          <w:sz w:val="21"/>
          <w:szCs w:val="21"/>
        </w:rPr>
        <w:t xml:space="preserve"> fails CI if the artifact and the SQL drift apart.</w:t>
      </w:r>
    </w:p>
    <w:p>
      <w:pPr>
        <w:pStyle w:val="Heading1"/>
        <w:spacing w:after="140" w:before="360"/>
      </w:pPr>
      <w:r>
        <w:rPr>
          <w:rFonts w:ascii="Arial" w:cs="Arial" w:eastAsia="Arial" w:hAnsi="Arial"/>
          <w:b/>
          <w:bCs/>
          <w:color w:val="17365d"/>
          <w:sz w:val="30"/>
          <w:szCs w:val="30"/>
        </w:rPr>
        <w:t xml:space="preserve">7. Test coverage</w:t>
      </w:r>
    </w:p>
    <w:p>
      <w:pPr>
        <w:spacing w:after="120"/>
      </w:pPr>
      <w:r>
        <w:rPr>
          <w:rFonts w:ascii="Arial" w:cs="Arial" w:eastAsia="Arial" w:hAnsi="Arial"/>
          <w:sz w:val="21"/>
          <w:szCs w:val="21"/>
        </w:rPr>
        <w:t xml:space="preserve">36 tests against real PostgreSQL — no SQLite substitute, because the schema depends on enums, JSONB and expression indexes that a substitute would not enforce.</w:t>
      </w:r>
    </w:p>
    <w:p>
      <w:pPr>
        <w:spacing w:after="120"/>
      </w:pPr>
      <w:r>
        <w:rPr>
          <w:rFonts w:ascii="Arial" w:cs="Arial" w:eastAsia="Arial" w:hAnsi="Arial"/>
          <w:sz w:val="21"/>
          <w:szCs w:val="21"/>
        </w:rPr>
        <w:t xml:space="preserve">The scanner tests use </w:t>
      </w:r>
      <w:r>
        <w:rPr>
          <w:rFonts w:ascii="Arial" w:cs="Arial" w:eastAsia="Arial" w:hAnsi="Arial"/>
          <w:b/>
          <w:bCs/>
          <w:sz w:val="21"/>
          <w:szCs w:val="21"/>
        </w:rPr>
        <w:t xml:space="preserve">real held-out photographs</w:t>
      </w:r>
      <w:r>
        <w:rPr>
          <w:rFonts w:ascii="Arial" w:cs="Arial" w:eastAsia="Arial" w:hAnsi="Arial"/>
          <w:sz w:val="21"/>
          <w:szCs w:val="21"/>
        </w:rPr>
        <w:t xml:space="preserve">, not synthetic noise. A test that feeds random pixels proves the plumbing works and would keep passing after a training run that destroyed accuracy. These assert that a photograph of a kembung comes back as kembung, carrying the same </w:t>
      </w:r>
      <w:r>
        <w:rPr>
          <w:rFonts w:ascii="Consolas" w:cs="Consolas" w:eastAsia="Consolas" w:hAnsi="Consolas"/>
          <w:color w:val="2a4b6b"/>
          <w:sz w:val="19"/>
          <w:szCs w:val="19"/>
        </w:rPr>
        <w:t xml:space="preserve">seafood_item_id</w:t>
      </w:r>
      <w:r>
        <w:rPr>
          <w:rFonts w:ascii="Arial" w:cs="Arial" w:eastAsia="Arial" w:hAnsi="Arial"/>
          <w:sz w:val="21"/>
          <w:szCs w:val="21"/>
        </w:rPr>
        <w:t xml:space="preserve"> that search returns for kembung.</w:t>
      </w:r>
    </w:p>
    <w:p>
      <w:pPr>
        <w:spacing w:after="120"/>
      </w:pPr>
      <w:r>
        <w:rPr>
          <w:rFonts w:ascii="Arial" w:cs="Arial" w:eastAsia="Arial" w:hAnsi="Arial"/>
          <w:sz w:val="21"/>
          <w:szCs w:val="21"/>
        </w:rPr>
        <w:t xml:space="preserve">Covered: the full error matrix (415/413/422/503); candidate ranking and ordering; </w:t>
      </w:r>
      <w:r>
        <w:rPr>
          <w:rFonts w:ascii="Consolas" w:cs="Consolas" w:eastAsia="Consolas" w:hAnsi="Consolas"/>
          <w:color w:val="2a4b6b"/>
          <w:sz w:val="19"/>
          <w:szCs w:val="19"/>
        </w:rPr>
        <w:t xml:space="preserve">image_persisted</w:t>
      </w:r>
      <w:r>
        <w:rPr>
          <w:rFonts w:ascii="Arial" w:cs="Arial" w:eastAsia="Arial" w:hAnsi="Arial"/>
          <w:sz w:val="21"/>
          <w:szCs w:val="21"/>
        </w:rPr>
        <w:t xml:space="preserve"> false and </w:t>
      </w:r>
      <w:r>
        <w:rPr>
          <w:rFonts w:ascii="Consolas" w:cs="Consolas" w:eastAsia="Consolas" w:hAnsi="Consolas"/>
          <w:color w:val="2a4b6b"/>
          <w:sz w:val="19"/>
          <w:szCs w:val="19"/>
        </w:rPr>
        <w:t xml:space="preserve">confirmation_required</w:t>
      </w:r>
      <w:r>
        <w:rPr>
          <w:rFonts w:ascii="Arial" w:cs="Arial" w:eastAsia="Arial" w:hAnsi="Arial"/>
          <w:sz w:val="21"/>
          <w:szCs w:val="21"/>
        </w:rPr>
        <w:t xml:space="preserve"> true; that no unscannable species can ever be returned; that </w:t>
      </w:r>
      <w:r>
        <w:rPr>
          <w:rFonts w:ascii="Consolas" w:cs="Consolas" w:eastAsia="Consolas" w:hAnsi="Consolas"/>
          <w:color w:val="2a4b6b"/>
          <w:sz w:val="19"/>
          <w:szCs w:val="19"/>
        </w:rPr>
        <w:t xml:space="preserve">LOW_CONFIDENCE</w:t>
      </w:r>
      <w:r>
        <w:rPr>
          <w:rFonts w:ascii="Arial" w:cs="Arial" w:eastAsia="Arial" w:hAnsi="Arial"/>
          <w:sz w:val="21"/>
          <w:szCs w:val="21"/>
        </w:rPr>
        <w:t xml:space="preserve"> stays a 200; that a scanned id and a searched code return identical rows; that every scannable species has populated aliases, cooking and price sections; that the seven unrated species report </w:t>
      </w:r>
      <w:r>
        <w:rPr>
          <w:rFonts w:ascii="Consolas" w:cs="Consolas" w:eastAsia="Consolas" w:hAnsi="Consolas"/>
          <w:color w:val="2a4b6b"/>
          <w:sz w:val="19"/>
          <w:szCs w:val="19"/>
        </w:rPr>
        <w:t xml:space="preserve">UNDETERMINED</w:t>
      </w:r>
      <w:r>
        <w:rPr>
          <w:rFonts w:ascii="Arial" w:cs="Arial" w:eastAsia="Arial" w:hAnsi="Arial"/>
          <w:sz w:val="21"/>
          <w:szCs w:val="21"/>
        </w:rPr>
        <w:t xml:space="preserve"> rather than a guessed rating; and a regression floor on accuracy set well below the measured figures, high enough to catch a broken export, a shuffled class map or a wrong preprocessing constant — each of which collapses accuracy to roughly 1/9.</w:t>
      </w:r>
    </w:p>
    <w:p>
      <w:pPr>
        <w:spacing w:after="120"/>
      </w:pPr>
      <w:r>
        <w:rPr>
          <w:rFonts w:ascii="Arial" w:cs="Arial" w:eastAsia="Arial" w:hAnsi="Arial"/>
          <w:sz w:val="21"/>
          <w:szCs w:val="21"/>
        </w:rPr>
        <w:t xml:space="preserve">Tests needing the image corpus skip cleanly when </w:t>
      </w:r>
      <w:r>
        <w:rPr>
          <w:rFonts w:ascii="Consolas" w:cs="Consolas" w:eastAsia="Consolas" w:hAnsi="Consolas"/>
          <w:color w:val="2a4b6b"/>
          <w:sz w:val="19"/>
          <w:szCs w:val="19"/>
        </w:rPr>
        <w:t xml:space="preserve">CV_TEST_IMAGES</w:t>
      </w:r>
      <w:r>
        <w:rPr>
          <w:rFonts w:ascii="Arial" w:cs="Arial" w:eastAsia="Arial" w:hAnsi="Arial"/>
          <w:sz w:val="21"/>
          <w:szCs w:val="21"/>
        </w:rPr>
        <w:t xml:space="preserve"> is unset, so CI without the 2 GB image set stays green.</w:t>
      </w:r>
    </w:p>
    <w:p>
      <w:pPr>
        <w:pStyle w:val="Heading1"/>
        <w:spacing w:after="140" w:before="360"/>
      </w:pPr>
      <w:r>
        <w:rPr>
          <w:rFonts w:ascii="Arial" w:cs="Arial" w:eastAsia="Arial" w:hAnsi="Arial"/>
          <w:b/>
          <w:bCs/>
          <w:color w:val="17365d"/>
          <w:sz w:val="30"/>
          <w:szCs w:val="30"/>
        </w:rPr>
        <w:t xml:space="preserve">8. What is deliberately still missing</w:t>
      </w:r>
    </w:p>
    <w:p>
      <w:pPr>
        <w:spacing w:after="120"/>
      </w:pPr>
      <w:r>
        <w:rPr>
          <w:rFonts w:ascii="Arial" w:cs="Arial" w:eastAsia="Arial" w:hAnsi="Arial"/>
          <w:b/>
          <w:bCs/>
          <w:sz w:val="21"/>
          <w:szCs w:val="21"/>
        </w:rPr>
        <w:t xml:space="preserve">WWF ratings for the seven new species.</w:t>
      </w:r>
      <w:r>
        <w:rPr>
          <w:rFonts w:ascii="Arial" w:cs="Arial" w:eastAsia="Arial" w:hAnsi="Arial"/>
          <w:sz w:val="21"/>
          <w:szCs w:val="21"/>
        </w:rPr>
        <w:t xml:space="preserve"> They report </w:t>
      </w:r>
      <w:r>
        <w:rPr>
          <w:rFonts w:ascii="Consolas" w:cs="Consolas" w:eastAsia="Consolas" w:hAnsi="Consolas"/>
          <w:color w:val="2a4b6b"/>
          <w:sz w:val="19"/>
          <w:szCs w:val="19"/>
        </w:rPr>
        <w:t xml:space="preserve">UNDETERMINED</w:t>
      </w:r>
      <w:r>
        <w:rPr>
          <w:rFonts w:ascii="Arial" w:cs="Arial" w:eastAsia="Arial" w:hAnsi="Arial"/>
          <w:sz w:val="21"/>
          <w:szCs w:val="21"/>
        </w:rPr>
        <w:t xml:space="preserve"> and will until someone transcribes the Save Our Seafood guide for them. This is the correct behaviour, not a gap to paper over: a default rating reads to a shopper as approval, and inventing one would be the worst thing this application could do. Absent guidance stays visibly absent.</w:t>
      </w:r>
    </w:p>
    <w:p>
      <w:pPr>
        <w:spacing w:after="120"/>
      </w:pPr>
      <w:r>
        <w:rPr>
          <w:rFonts w:ascii="Arial" w:cs="Arial" w:eastAsia="Arial" w:hAnsi="Arial"/>
          <w:b/>
          <w:bCs/>
          <w:sz w:val="21"/>
          <w:szCs w:val="21"/>
        </w:rPr>
        <w:t xml:space="preserve">Market photographs.</w:t>
      </w:r>
      <w:r>
        <w:rPr>
          <w:rFonts w:ascii="Arial" w:cs="Arial" w:eastAsia="Arial" w:hAnsi="Arial"/>
          <w:sz w:val="21"/>
          <w:szCs w:val="21"/>
        </w:rPr>
        <w:t xml:space="preserve"> The single highest-value next task, and the one that turns 78% into a number worth quoting.</w:t>
      </w:r>
    </w:p>
    <w:p>
      <w:pPr>
        <w:spacing w:after="120"/>
      </w:pPr>
      <w:r>
        <w:rPr>
          <w:rFonts w:ascii="Arial" w:cs="Arial" w:eastAsia="Arial" w:hAnsi="Arial"/>
          <w:b/>
          <w:bCs/>
          <w:sz w:val="21"/>
          <w:szCs w:val="21"/>
        </w:rPr>
        <w:t xml:space="preserve">Verified labels.</w:t>
      </w:r>
      <w:r>
        <w:rPr>
          <w:rFonts w:ascii="Arial" w:cs="Arial" w:eastAsia="Arial" w:hAnsi="Arial"/>
          <w:sz w:val="21"/>
          <w:szCs w:val="21"/>
        </w:rPr>
        <w:t xml:space="preserve"> An ichthyologist, or anyone with reliable field experience, checking a sample of the training set would establish where the real ceiling sits.</w:t>
      </w:r>
    </w:p>
    <w:p>
      <w:pPr>
        <w:pStyle w:val="Heading1"/>
        <w:spacing w:after="140" w:before="360"/>
      </w:pPr>
      <w:r>
        <w:rPr>
          <w:rFonts w:ascii="Arial" w:cs="Arial" w:eastAsia="Arial" w:hAnsi="Arial"/>
          <w:b/>
          <w:bCs/>
          <w:color w:val="17365d"/>
          <w:sz w:val="30"/>
          <w:szCs w:val="30"/>
        </w:rPr>
        <w:t xml:space="preserve">9. Files</w:t>
      </w:r>
    </w:p>
    <w:tbl>
      <w:tblPr>
        <w:tblW w:type="dxa" w:w="9360"/>
        <w:tblBorders>
          <w:top w:val="single" w:color="b8cce4" w:sz="4"/>
          <w:left w:val="single" w:color="b8cce4" w:sz="4"/>
          <w:bottom w:val="single" w:color="b8cce4" w:sz="4"/>
          <w:right w:val="single" w:color="b8cce4" w:sz="4"/>
          <w:insideH w:val="single" w:color="b8cce4" w:sz="4"/>
          <w:insideV w:val="single" w:color="b8cce4" w:sz="4"/>
        </w:tblBorders>
      </w:tblPr>
      <w:tblGrid>
        <w:gridCol w:w="4062"/>
        <w:gridCol w:w="5298"/>
      </w:tblGrid>
      <w:tr>
        <w:trPr>
          <w:tblHeader/>
        </w:trPr>
        <w:tc>
          <w:tcPr>
            <w:tcW w:type="dxa" w:w="4062"/>
            <w:shd w:fill="d9eaf7" w:color="auto" w:val="clear"/>
            <w:tcMar>
              <w:top w:type="dxa" w:w="70"/>
              <w:left w:type="dxa" w:w="110"/>
              <w:bottom w:type="dxa" w:w="70"/>
              <w:right w:type="dxa" w:w="110"/>
            </w:tcMar>
          </w:tcPr>
          <w:p>
            <w:pPr>
              <w:spacing w:after="0"/>
              <w:jc w:val="left"/>
            </w:pPr>
            <w:r>
              <w:rPr>
                <w:rFonts w:ascii="Arial" w:cs="Arial" w:eastAsia="Arial" w:hAnsi="Arial"/>
                <w:b/>
                <w:bCs/>
                <w:color w:val="17365d"/>
                <w:sz w:val="19"/>
                <w:szCs w:val="19"/>
              </w:rPr>
              <w:t xml:space="preserve">Path</w:t>
            </w:r>
          </w:p>
        </w:tc>
        <w:tc>
          <w:tcPr>
            <w:tcW w:type="dxa" w:w="5298"/>
            <w:shd w:fill="d9eaf7" w:color="auto" w:val="clear"/>
            <w:tcMar>
              <w:top w:type="dxa" w:w="70"/>
              <w:left w:type="dxa" w:w="110"/>
              <w:bottom w:type="dxa" w:w="70"/>
              <w:right w:type="dxa" w:w="110"/>
            </w:tcMar>
          </w:tcPr>
          <w:p>
            <w:pPr>
              <w:spacing w:after="0"/>
              <w:jc w:val="left"/>
            </w:pPr>
            <w:r>
              <w:rPr>
                <w:rFonts w:ascii="Arial" w:cs="Arial" w:eastAsia="Arial" w:hAnsi="Arial"/>
                <w:b/>
                <w:bCs/>
                <w:color w:val="17365d"/>
                <w:sz w:val="19"/>
                <w:szCs w:val="19"/>
              </w:rPr>
              <w:t xml:space="preserve">What it is</w:t>
            </w:r>
          </w:p>
        </w:tc>
      </w:tr>
      <w:tr>
        <w:tc>
          <w:tcPr>
            <w:tcW w:type="dxa" w:w="4062"/>
            <w:shd w:fill="ffffff" w:color="auto" w:val="clear"/>
            <w:tcMar>
              <w:top w:type="dxa" w:w="70"/>
              <w:left w:type="dxa" w:w="110"/>
              <w:bottom w:type="dxa" w:w="70"/>
              <w:right w:type="dxa" w:w="110"/>
            </w:tcMar>
          </w:tcPr>
          <w:p>
            <w:pPr>
              <w:spacing w:after="0"/>
              <w:jc w:val="left"/>
            </w:pPr>
            <w:r>
              <w:rPr>
                <w:rFonts w:ascii="Consolas" w:cs="Consolas" w:eastAsia="Consolas" w:hAnsi="Consolas"/>
                <w:color w:val="2a4b6b"/>
                <w:sz w:val="17"/>
                <w:szCs w:val="17"/>
              </w:rPr>
              <w:t xml:space="preserve">cv/handoff/</w:t>
            </w:r>
          </w:p>
        </w:tc>
        <w:tc>
          <w:tcPr>
            <w:tcW w:type="dxa" w:w="5298"/>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The frozen artifact: </w:t>
            </w:r>
            <w:r>
              <w:rPr>
                <w:rFonts w:ascii="Consolas" w:cs="Consolas" w:eastAsia="Consolas" w:hAnsi="Consolas"/>
                <w:color w:val="2a4b6b"/>
                <w:sz w:val="17"/>
                <w:szCs w:val="17"/>
              </w:rPr>
              <w:t xml:space="preserve">model.onnx</w:t>
            </w:r>
            <w:r>
              <w:rPr>
                <w:rFonts w:ascii="Arial" w:cs="Arial" w:eastAsia="Arial" w:hAnsi="Arial"/>
                <w:sz w:val="19"/>
                <w:szCs w:val="19"/>
              </w:rPr>
              <w:t xml:space="preserve">, </w:t>
            </w:r>
            <w:r>
              <w:rPr>
                <w:rFonts w:ascii="Consolas" w:cs="Consolas" w:eastAsia="Consolas" w:hAnsi="Consolas"/>
                <w:color w:val="2a4b6b"/>
                <w:sz w:val="17"/>
                <w:szCs w:val="17"/>
              </w:rPr>
              <w:t xml:space="preserve">class_map.json</w:t>
            </w:r>
            <w:r>
              <w:rPr>
                <w:rFonts w:ascii="Arial" w:cs="Arial" w:eastAsia="Arial" w:hAnsi="Arial"/>
                <w:sz w:val="19"/>
                <w:szCs w:val="19"/>
              </w:rPr>
              <w:t xml:space="preserve">, </w:t>
            </w:r>
            <w:r>
              <w:rPr>
                <w:rFonts w:ascii="Consolas" w:cs="Consolas" w:eastAsia="Consolas" w:hAnsi="Consolas"/>
                <w:color w:val="2a4b6b"/>
                <w:sz w:val="17"/>
                <w:szCs w:val="17"/>
              </w:rPr>
              <w:t xml:space="preserve">model_card.json</w:t>
            </w:r>
            <w:r>
              <w:rPr>
                <w:rFonts w:ascii="Arial" w:cs="Arial" w:eastAsia="Arial" w:hAnsi="Arial"/>
                <w:sz w:val="19"/>
                <w:szCs w:val="19"/>
              </w:rPr>
              <w:t xml:space="preserve">, </w:t>
            </w:r>
            <w:r>
              <w:rPr>
                <w:rFonts w:ascii="Consolas" w:cs="Consolas" w:eastAsia="Consolas" w:hAnsi="Consolas"/>
                <w:color w:val="2a4b6b"/>
                <w:sz w:val="17"/>
                <w:szCs w:val="17"/>
              </w:rPr>
              <w:t xml:space="preserve">preprocessing.json</w:t>
            </w:r>
          </w:p>
        </w:tc>
      </w:tr>
      <w:tr>
        <w:tc>
          <w:tcPr>
            <w:tcW w:type="dxa" w:w="4062"/>
            <w:shd w:fill="ffffff" w:color="auto" w:val="clear"/>
            <w:tcMar>
              <w:top w:type="dxa" w:w="70"/>
              <w:left w:type="dxa" w:w="110"/>
              <w:bottom w:type="dxa" w:w="70"/>
              <w:right w:type="dxa" w:w="110"/>
            </w:tcMar>
          </w:tcPr>
          <w:p>
            <w:pPr>
              <w:spacing w:after="0"/>
              <w:jc w:val="left"/>
            </w:pPr>
            <w:r>
              <w:rPr>
                <w:rFonts w:ascii="Consolas" w:cs="Consolas" w:eastAsia="Consolas" w:hAnsi="Consolas"/>
                <w:color w:val="2a4b6b"/>
                <w:sz w:val="17"/>
                <w:szCs w:val="17"/>
              </w:rPr>
              <w:t xml:space="preserve">cv/sukacv/</w:t>
            </w:r>
          </w:p>
        </w:tc>
        <w:tc>
          <w:tcPr>
            <w:tcW w:type="dxa" w:w="5298"/>
            <w:shd w:fill="ffffff" w:color="auto" w:val="clear"/>
            <w:tcMar>
              <w:top w:type="dxa" w:w="70"/>
              <w:left w:type="dxa" w:w="110"/>
              <w:bottom w:type="dxa" w:w="70"/>
              <w:right w:type="dxa" w:w="110"/>
            </w:tcMar>
          </w:tcPr>
          <w:p>
            <w:pPr>
              <w:spacing w:after="0"/>
              <w:jc w:val="left"/>
            </w:pPr>
            <w:r>
              <w:rPr>
                <w:rFonts w:ascii="Consolas" w:cs="Consolas" w:eastAsia="Consolas" w:hAnsi="Consolas"/>
                <w:color w:val="2a4b6b"/>
                <w:sz w:val="17"/>
                <w:szCs w:val="17"/>
              </w:rPr>
              <w:t xml:space="preserve">classes.py</w:t>
            </w:r>
            <w:r>
              <w:rPr>
                <w:rFonts w:ascii="Arial" w:cs="Arial" w:eastAsia="Arial" w:hAnsi="Arial"/>
                <w:sz w:val="19"/>
                <w:szCs w:val="19"/>
              </w:rPr>
              <w:t xml:space="preserve"> (frozen class order), </w:t>
            </w:r>
            <w:r>
              <w:rPr>
                <w:rFonts w:ascii="Consolas" w:cs="Consolas" w:eastAsia="Consolas" w:hAnsi="Consolas"/>
                <w:color w:val="2a4b6b"/>
                <w:sz w:val="17"/>
                <w:szCs w:val="17"/>
              </w:rPr>
              <w:t xml:space="preserve">adapter.py</w:t>
            </w:r>
            <w:r>
              <w:rPr>
                <w:rFonts w:ascii="Arial" w:cs="Arial" w:eastAsia="Arial" w:hAnsi="Arial"/>
                <w:sz w:val="19"/>
                <w:szCs w:val="19"/>
              </w:rPr>
              <w:t xml:space="preserve"> (serving), </w:t>
            </w:r>
            <w:r>
              <w:rPr>
                <w:rFonts w:ascii="Consolas" w:cs="Consolas" w:eastAsia="Consolas" w:hAnsi="Consolas"/>
                <w:color w:val="2a4b6b"/>
                <w:sz w:val="17"/>
                <w:szCs w:val="17"/>
              </w:rPr>
              <w:t xml:space="preserve">export.py</w:t>
            </w:r>
            <w:r>
              <w:rPr>
                <w:rFonts w:ascii="Arial" w:cs="Arial" w:eastAsia="Arial" w:hAnsi="Arial"/>
                <w:sz w:val="19"/>
                <w:szCs w:val="19"/>
              </w:rPr>
              <w:t xml:space="preserve"> (ONNX + parity)</w:t>
            </w:r>
          </w:p>
        </w:tc>
      </w:tr>
      <w:tr>
        <w:tc>
          <w:tcPr>
            <w:tcW w:type="dxa" w:w="4062"/>
            <w:shd w:fill="ffffff" w:color="auto" w:val="clear"/>
            <w:tcMar>
              <w:top w:type="dxa" w:w="70"/>
              <w:left w:type="dxa" w:w="110"/>
              <w:bottom w:type="dxa" w:w="70"/>
              <w:right w:type="dxa" w:w="110"/>
            </w:tcMar>
          </w:tcPr>
          <w:p>
            <w:pPr>
              <w:spacing w:after="0"/>
              <w:jc w:val="left"/>
            </w:pPr>
            <w:r>
              <w:rPr>
                <w:rFonts w:ascii="Consolas" w:cs="Consolas" w:eastAsia="Consolas" w:hAnsi="Consolas"/>
                <w:color w:val="2a4b6b"/>
                <w:sz w:val="17"/>
                <w:szCs w:val="17"/>
              </w:rPr>
              <w:t xml:space="preserve">cv/scripts/</w:t>
            </w:r>
          </w:p>
        </w:tc>
        <w:tc>
          <w:tcPr>
            <w:tcW w:type="dxa" w:w="5298"/>
            <w:shd w:fill="ffffff" w:color="auto" w:val="clear"/>
            <w:tcMar>
              <w:top w:type="dxa" w:w="70"/>
              <w:left w:type="dxa" w:w="110"/>
              <w:bottom w:type="dxa" w:w="70"/>
              <w:right w:type="dxa" w:w="110"/>
            </w:tcMar>
          </w:tcPr>
          <w:p>
            <w:pPr>
              <w:spacing w:after="0"/>
              <w:jc w:val="left"/>
            </w:pPr>
            <w:r>
              <w:rPr>
                <w:rFonts w:ascii="Consolas" w:cs="Consolas" w:eastAsia="Consolas" w:hAnsi="Consolas"/>
                <w:color w:val="2a4b6b"/>
                <w:sz w:val="17"/>
                <w:szCs w:val="17"/>
              </w:rPr>
              <w:t xml:space="preserve">import_candidates.py</w:t>
            </w:r>
            <w:r>
              <w:rPr>
                <w:rFonts w:ascii="Arial" w:cs="Arial" w:eastAsia="Arial" w:hAnsi="Arial"/>
                <w:sz w:val="19"/>
                <w:szCs w:val="19"/>
              </w:rPr>
              <w:t xml:space="preserve">, </w:t>
            </w:r>
            <w:r>
              <w:rPr>
                <w:rFonts w:ascii="Consolas" w:cs="Consolas" w:eastAsia="Consolas" w:hAnsi="Consolas"/>
                <w:color w:val="2a4b6b"/>
                <w:sz w:val="17"/>
                <w:szCs w:val="17"/>
              </w:rPr>
              <w:t xml:space="preserve">split_manifest.py</w:t>
            </w:r>
            <w:r>
              <w:rPr>
                <w:rFonts w:ascii="Arial" w:cs="Arial" w:eastAsia="Arial" w:hAnsi="Arial"/>
                <w:sz w:val="19"/>
                <w:szCs w:val="19"/>
              </w:rPr>
              <w:t xml:space="preserve">, </w:t>
            </w:r>
            <w:r>
              <w:rPr>
                <w:rFonts w:ascii="Consolas" w:cs="Consolas" w:eastAsia="Consolas" w:hAnsi="Consolas"/>
                <w:color w:val="2a4b6b"/>
                <w:sz w:val="17"/>
                <w:szCs w:val="17"/>
              </w:rPr>
              <w:t xml:space="preserve">train.py</w:t>
            </w:r>
            <w:r>
              <w:rPr>
                <w:rFonts w:ascii="Arial" w:cs="Arial" w:eastAsia="Arial" w:hAnsi="Arial"/>
                <w:sz w:val="19"/>
                <w:szCs w:val="19"/>
              </w:rPr>
              <w:t xml:space="preserve">, </w:t>
            </w:r>
            <w:r>
              <w:rPr>
                <w:rFonts w:ascii="Consolas" w:cs="Consolas" w:eastAsia="Consolas" w:hAnsi="Consolas"/>
                <w:color w:val="2a4b6b"/>
                <w:sz w:val="17"/>
                <w:szCs w:val="17"/>
              </w:rPr>
              <w:t xml:space="preserve">evaluate.py</w:t>
            </w:r>
            <w:r>
              <w:rPr>
                <w:rFonts w:ascii="Arial" w:cs="Arial" w:eastAsia="Arial" w:hAnsi="Arial"/>
                <w:sz w:val="19"/>
                <w:szCs w:val="19"/>
              </w:rPr>
              <w:t xml:space="preserve">, </w:t>
            </w:r>
            <w:r>
              <w:rPr>
                <w:rFonts w:ascii="Consolas" w:cs="Consolas" w:eastAsia="Consolas" w:hAnsi="Consolas"/>
                <w:color w:val="2a4b6b"/>
                <w:sz w:val="17"/>
                <w:szCs w:val="17"/>
              </w:rPr>
              <w:t xml:space="preserve">export_onnx.py</w:t>
            </w:r>
            <w:r>
              <w:rPr>
                <w:rFonts w:ascii="Arial" w:cs="Arial" w:eastAsia="Arial" w:hAnsi="Arial"/>
                <w:sz w:val="19"/>
                <w:szCs w:val="19"/>
              </w:rPr>
              <w:t xml:space="preserve">, </w:t>
            </w:r>
            <w:r>
              <w:rPr>
                <w:rFonts w:ascii="Consolas" w:cs="Consolas" w:eastAsia="Consolas" w:hAnsi="Consolas"/>
                <w:color w:val="2a4b6b"/>
                <w:sz w:val="17"/>
                <w:szCs w:val="17"/>
              </w:rPr>
              <w:t xml:space="preserve">register_model.py</w:t>
            </w:r>
          </w:p>
        </w:tc>
      </w:tr>
      <w:tr>
        <w:tc>
          <w:tcPr>
            <w:tcW w:type="dxa" w:w="4062"/>
            <w:shd w:fill="ffffff" w:color="auto" w:val="clear"/>
            <w:tcMar>
              <w:top w:type="dxa" w:w="70"/>
              <w:left w:type="dxa" w:w="110"/>
              <w:bottom w:type="dxa" w:w="70"/>
              <w:right w:type="dxa" w:w="110"/>
            </w:tcMar>
          </w:tcPr>
          <w:p>
            <w:pPr>
              <w:spacing w:after="0"/>
              <w:jc w:val="left"/>
            </w:pPr>
            <w:r>
              <w:rPr>
                <w:rFonts w:ascii="Consolas" w:cs="Consolas" w:eastAsia="Consolas" w:hAnsi="Consolas"/>
                <w:color w:val="2a4b6b"/>
                <w:sz w:val="17"/>
                <w:szCs w:val="17"/>
              </w:rPr>
              <w:t xml:space="preserve">backend/db/seed/05_seafood_cv_expansion.sql</w:t>
            </w:r>
          </w:p>
        </w:tc>
        <w:tc>
          <w:tcPr>
            <w:tcW w:type="dxa" w:w="5298"/>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SF006–SF012 + aliases; flags SF003/4/5 unscannable</w:t>
            </w:r>
          </w:p>
        </w:tc>
      </w:tr>
      <w:tr>
        <w:tc>
          <w:tcPr>
            <w:tcW w:type="dxa" w:w="4062"/>
            <w:shd w:fill="ffffff" w:color="auto" w:val="clear"/>
            <w:tcMar>
              <w:top w:type="dxa" w:w="70"/>
              <w:left w:type="dxa" w:w="110"/>
              <w:bottom w:type="dxa" w:w="70"/>
              <w:right w:type="dxa" w:w="110"/>
            </w:tcMar>
          </w:tcPr>
          <w:p>
            <w:pPr>
              <w:spacing w:after="0"/>
              <w:jc w:val="left"/>
            </w:pPr>
            <w:r>
              <w:rPr>
                <w:rFonts w:ascii="Consolas" w:cs="Consolas" w:eastAsia="Consolas" w:hAnsi="Consolas"/>
                <w:color w:val="2a4b6b"/>
                <w:sz w:val="17"/>
                <w:szCs w:val="17"/>
              </w:rPr>
              <w:t xml:space="preserve">backend/db/seed/06_cv_model_registration.sql</w:t>
            </w:r>
          </w:p>
        </w:tc>
        <w:tc>
          <w:tcPr>
            <w:tcW w:type="dxa" w:w="5298"/>
            <w:shd w:fill="ffffff" w:color="auto" w:val="clear"/>
            <w:tcMar>
              <w:top w:type="dxa" w:w="70"/>
              <w:left w:type="dxa" w:w="110"/>
              <w:bottom w:type="dxa" w:w="70"/>
              <w:right w:type="dxa" w:w="110"/>
            </w:tcMar>
          </w:tcPr>
          <w:p>
            <w:pPr>
              <w:spacing w:after="0"/>
              <w:jc w:val="left"/>
            </w:pPr>
            <w:r>
              <w:rPr>
                <w:rFonts w:ascii="Arial" w:cs="Arial" w:eastAsia="Arial" w:hAnsi="Arial"/>
                <w:b/>
                <w:bCs/>
                <w:sz w:val="19"/>
                <w:szCs w:val="19"/>
              </w:rPr>
              <w:t xml:space="preserve">Generated.</w:t>
            </w:r>
            <w:r>
              <w:rPr>
                <w:rFonts w:ascii="Arial" w:cs="Arial" w:eastAsia="Arial" w:hAnsi="Arial"/>
                <w:sz w:val="19"/>
                <w:szCs w:val="19"/>
              </w:rPr>
              <w:t xml:space="preserve"> Model version + class map + guard rails</w:t>
            </w:r>
          </w:p>
        </w:tc>
      </w:tr>
      <w:tr>
        <w:tc>
          <w:tcPr>
            <w:tcW w:type="dxa" w:w="4062"/>
            <w:shd w:fill="ffffff" w:color="auto" w:val="clear"/>
            <w:tcMar>
              <w:top w:type="dxa" w:w="70"/>
              <w:left w:type="dxa" w:w="110"/>
              <w:bottom w:type="dxa" w:w="70"/>
              <w:right w:type="dxa" w:w="110"/>
            </w:tcMar>
          </w:tcPr>
          <w:p>
            <w:pPr>
              <w:spacing w:after="0"/>
              <w:jc w:val="left"/>
            </w:pPr>
            <w:r>
              <w:rPr>
                <w:rFonts w:ascii="Consolas" w:cs="Consolas" w:eastAsia="Consolas" w:hAnsi="Consolas"/>
                <w:color w:val="2a4b6b"/>
                <w:sz w:val="17"/>
                <w:szCs w:val="17"/>
              </w:rPr>
              <w:t xml:space="preserve">backend/db/seed/07_cooking_cv_expansion.sql</w:t>
            </w:r>
          </w:p>
        </w:tc>
        <w:tc>
          <w:tcPr>
            <w:tcW w:type="dxa" w:w="5298"/>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Cooking suitability for the seven new species</w:t>
            </w:r>
          </w:p>
        </w:tc>
      </w:tr>
      <w:tr>
        <w:tc>
          <w:tcPr>
            <w:tcW w:type="dxa" w:w="4062"/>
            <w:shd w:fill="ffffff" w:color="auto" w:val="clear"/>
            <w:tcMar>
              <w:top w:type="dxa" w:w="70"/>
              <w:left w:type="dxa" w:w="110"/>
              <w:bottom w:type="dxa" w:w="70"/>
              <w:right w:type="dxa" w:w="110"/>
            </w:tcMar>
          </w:tcPr>
          <w:p>
            <w:pPr>
              <w:spacing w:after="0"/>
              <w:jc w:val="left"/>
            </w:pPr>
            <w:r>
              <w:rPr>
                <w:rFonts w:ascii="Consolas" w:cs="Consolas" w:eastAsia="Consolas" w:hAnsi="Consolas"/>
                <w:color w:val="2a4b6b"/>
                <w:sz w:val="17"/>
                <w:szCs w:val="17"/>
              </w:rPr>
              <w:t xml:space="preserve">backend/app/services/cv.py</w:t>
            </w:r>
          </w:p>
        </w:tc>
        <w:tc>
          <w:tcPr>
            <w:tcW w:type="dxa" w:w="5298"/>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Adapter lifecycle + </w:t>
            </w:r>
            <w:r>
              <w:rPr>
                <w:rFonts w:ascii="Consolas" w:cs="Consolas" w:eastAsia="Consolas" w:hAnsi="Consolas"/>
                <w:color w:val="2a4b6b"/>
                <w:sz w:val="17"/>
                <w:szCs w:val="17"/>
              </w:rPr>
              <w:t xml:space="preserve">class_code</w:t>
            </w:r>
            <w:r>
              <w:rPr>
                <w:rFonts w:ascii="Arial" w:cs="Arial" w:eastAsia="Arial" w:hAnsi="Arial"/>
                <w:sz w:val="19"/>
                <w:szCs w:val="19"/>
              </w:rPr>
              <w:t xml:space="preserve"> → </w:t>
            </w:r>
            <w:r>
              <w:rPr>
                <w:rFonts w:ascii="Consolas" w:cs="Consolas" w:eastAsia="Consolas" w:hAnsi="Consolas"/>
                <w:color w:val="2a4b6b"/>
                <w:sz w:val="17"/>
                <w:szCs w:val="17"/>
              </w:rPr>
              <w:t xml:space="preserve">seafood_item_id</w:t>
            </w:r>
            <w:r>
              <w:rPr>
                <w:rFonts w:ascii="Arial" w:cs="Arial" w:eastAsia="Arial" w:hAnsi="Arial"/>
                <w:sz w:val="19"/>
                <w:szCs w:val="19"/>
              </w:rPr>
              <w:t xml:space="preserve"> resolution</w:t>
            </w:r>
          </w:p>
        </w:tc>
      </w:tr>
      <w:tr>
        <w:tc>
          <w:tcPr>
            <w:tcW w:type="dxa" w:w="4062"/>
            <w:shd w:fill="ffffff" w:color="auto" w:val="clear"/>
            <w:tcMar>
              <w:top w:type="dxa" w:w="70"/>
              <w:left w:type="dxa" w:w="110"/>
              <w:bottom w:type="dxa" w:w="70"/>
              <w:right w:type="dxa" w:w="110"/>
            </w:tcMar>
          </w:tcPr>
          <w:p>
            <w:pPr>
              <w:spacing w:after="0"/>
              <w:jc w:val="left"/>
            </w:pPr>
            <w:r>
              <w:rPr>
                <w:rFonts w:ascii="Consolas" w:cs="Consolas" w:eastAsia="Consolas" w:hAnsi="Consolas"/>
                <w:color w:val="2a4b6b"/>
                <w:sz w:val="17"/>
                <w:szCs w:val="17"/>
              </w:rPr>
              <w:t xml:space="preserve">backend/app/api/routes.py</w:t>
            </w:r>
          </w:p>
        </w:tc>
        <w:tc>
          <w:tcPr>
            <w:tcW w:type="dxa" w:w="5298"/>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The </w:t>
            </w:r>
            <w:r>
              <w:rPr>
                <w:rFonts w:ascii="Consolas" w:cs="Consolas" w:eastAsia="Consolas" w:hAnsi="Consolas"/>
                <w:color w:val="2a4b6b"/>
                <w:sz w:val="17"/>
                <w:szCs w:val="17"/>
              </w:rPr>
              <w:t xml:space="preserve">/identify</w:t>
            </w:r>
            <w:r>
              <w:rPr>
                <w:rFonts w:ascii="Arial" w:cs="Arial" w:eastAsia="Arial" w:hAnsi="Arial"/>
                <w:sz w:val="19"/>
                <w:szCs w:val="19"/>
              </w:rPr>
              <w:t xml:space="preserve"> route and its error matrix</w:t>
            </w:r>
          </w:p>
        </w:tc>
      </w:tr>
      <w:tr>
        <w:tc>
          <w:tcPr>
            <w:tcW w:type="dxa" w:w="4062"/>
            <w:shd w:fill="ffffff" w:color="auto" w:val="clear"/>
            <w:tcMar>
              <w:top w:type="dxa" w:w="70"/>
              <w:left w:type="dxa" w:w="110"/>
              <w:bottom w:type="dxa" w:w="70"/>
              <w:right w:type="dxa" w:w="110"/>
            </w:tcMar>
          </w:tcPr>
          <w:p>
            <w:pPr>
              <w:spacing w:after="0"/>
              <w:jc w:val="left"/>
            </w:pPr>
            <w:r>
              <w:rPr>
                <w:rFonts w:ascii="Consolas" w:cs="Consolas" w:eastAsia="Consolas" w:hAnsi="Consolas"/>
                <w:color w:val="2a4b6b"/>
                <w:sz w:val="17"/>
                <w:szCs w:val="17"/>
              </w:rPr>
              <w:t xml:space="preserve">backend/tests/test_api.py</w:t>
            </w:r>
          </w:p>
        </w:tc>
        <w:tc>
          <w:tcPr>
            <w:tcW w:type="dxa" w:w="5298"/>
            <w:shd w:fill="ffffff" w:color="auto" w:val="clear"/>
            <w:tcMar>
              <w:top w:type="dxa" w:w="70"/>
              <w:left w:type="dxa" w:w="110"/>
              <w:bottom w:type="dxa" w:w="70"/>
              <w:right w:type="dxa" w:w="110"/>
            </w:tcMar>
          </w:tcPr>
          <w:p>
            <w:pPr>
              <w:spacing w:after="0"/>
              <w:jc w:val="left"/>
            </w:pPr>
            <w:r>
              <w:rPr>
                <w:rFonts w:ascii="Arial" w:cs="Arial" w:eastAsia="Arial" w:hAnsi="Arial"/>
                <w:sz w:val="19"/>
                <w:szCs w:val="19"/>
              </w:rPr>
              <w:t xml:space="preserve">The 36 tests described above</w:t>
            </w:r>
          </w:p>
        </w:tc>
      </w:tr>
    </w:tbl>
    <w:p>
      <w:pPr>
        <w:spacing w:after="140"/>
      </w:pPr>
      <w:r>
        <w:rPr>
          <w:sz w:val="8"/>
          <w:szCs w:val="8"/>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rFonts w:ascii="Arial" w:cs="Arial" w:eastAsia="Arial" w:hAnsi="Arial"/>
        <w:sz w:val="21"/>
        <w:szCs w:val="21"/>
      </w:rPr>
    </w:lvl>
    <w:lvl w:ilvl="1" w15:tentative="1">
      <w:start w:val="1"/>
      <w:numFmt w:val="bullet"/>
      <w:lvlText w:val="◦"/>
      <w:lvlJc w:val="left"/>
      <w:pPr>
        <w:ind w:left="760" w:hanging="220"/>
      </w:pPr>
      <w:rPr>
        <w:rFonts w:ascii="Arial" w:cs="Arial" w:eastAsia="Arial" w:hAnsi="Arial"/>
        <w:sz w:val="21"/>
        <w:szCs w:val="21"/>
      </w:rPr>
    </w:lvl>
  </w:abstractNum>
  <w:abstractNum w:abstractNumId="3" w15:restartNumberingAfterBreak="0">
    <w:multiLevelType w:val="hybridMultilevel"/>
    <w:lvl w:ilvl="0" w15:tentative="1">
      <w:start w:val="1"/>
      <w:numFmt w:val="decimal"/>
      <w:lvlText w:val="%1."/>
      <w:lvlJc w:val="left"/>
      <w:pPr>
        <w:ind w:left="400" w:hanging="26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Iteration 1 CV Scanner Handoff</dc:title>
  <dc:creator>SukaSeafood I1</dc:creator>
  <dc:description>Trained nine-class fish scanner: results, limits and integration</dc:description>
  <cp:lastModifiedBy>Un-named</cp:lastModifiedBy>
  <cp:revision>1</cp:revision>
  <dcterms:created xsi:type="dcterms:W3CDTF">2026-08-30T13:46:25.352Z</dcterms:created>
  <dcterms:modified xsi:type="dcterms:W3CDTF">2026-08-30T13:46:25.363Z</dcterms:modified>
</cp:coreProperties>
</file>

<file path=docProps/custom.xml><?xml version="1.0" encoding="utf-8"?>
<Properties xmlns="http://schemas.openxmlformats.org/officeDocument/2006/custom-properties" xmlns:vt="http://schemas.openxmlformats.org/officeDocument/2006/docPropsVTypes"/>
</file>