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325880" cy="1244485"/>
            <wp:docPr id="1" name="Picture 1"/>
            <wp:cNvGraphicFramePr>
              <a:graphicFrameLocks noChangeAspect="1"/>
            </wp:cNvGraphicFramePr>
            <a:graphic>
              <a:graphicData uri="http://schemas.openxmlformats.org/drawingml/2006/picture">
                <pic:pic>
                  <pic:nvPicPr>
                    <pic:cNvPr id="0" name="Aegis Icon.png"/>
                    <pic:cNvPicPr/>
                  </pic:nvPicPr>
                  <pic:blipFill>
                    <a:blip r:embed="rId9"/>
                    <a:stretch>
                      <a:fillRect/>
                    </a:stretch>
                  </pic:blipFill>
                  <pic:spPr>
                    <a:xfrm>
                      <a:off x="0" y="0"/>
                      <a:ext cx="1325880" cy="1244485"/>
                    </a:xfrm>
                    <a:prstGeom prst="rect"/>
                  </pic:spPr>
                </pic:pic>
              </a:graphicData>
            </a:graphic>
          </wp:inline>
        </w:drawing>
      </w:r>
    </w:p>
    <w:p>
      <w:pPr>
        <w:spacing w:after="40"/>
        <w:jc w:val="center"/>
      </w:pPr>
      <w:r>
        <w:rPr>
          <w:rFonts w:ascii="Aptos Display" w:hAnsi="Aptos Display"/>
          <w:b/>
          <w:color w:val="061B2E"/>
          <w:sz w:val="60"/>
        </w:rPr>
        <w:t>AEGIS FLOW</w:t>
      </w:r>
    </w:p>
    <w:p>
      <w:pPr>
        <w:spacing w:after="160"/>
        <w:jc w:val="center"/>
      </w:pPr>
      <w:r>
        <w:rPr>
          <w:rFonts w:ascii="Aptos Display" w:hAnsi="Aptos Display"/>
          <w:b/>
          <w:color w:val="0A8FA3"/>
          <w:sz w:val="40"/>
        </w:rPr>
        <w:t>Market-Ready Product Implementation Specification</w:t>
      </w:r>
    </w:p>
    <w:p>
      <w:pPr>
        <w:spacing w:after="280"/>
        <w:jc w:val="center"/>
      </w:pPr>
      <w:r>
        <w:rPr>
          <w:rFonts w:ascii="Aptos" w:hAnsi="Aptos"/>
          <w:b w:val="0"/>
          <w:color w:val="5B6B76"/>
          <w:sz w:val="23"/>
        </w:rPr>
        <w:t>Headless monitoring, governed diagnosis, proactive user assistance, and evidence-rich escalation for Salesforce</w:t>
      </w:r>
    </w:p>
    <w:tbl>
      <w:tblPr>
        <w:tblW w:type="auto" w:w="0"/>
        <w:jc w:val="center"/>
        <w:tblLayout w:type="fixed"/>
        <w:tblLook w:firstColumn="1" w:firstRow="1" w:lastColumn="0" w:lastRow="0" w:noHBand="0" w:noVBand="1" w:val="04A0"/>
        <w:tblBorders>
          <w:top w:val="single" w:sz="0" w:space="0" w:color="EDF9FB"/>
          <w:start w:val="single" w:sz="0" w:space="0" w:color="EDF9FB"/>
          <w:bottom w:val="single" w:sz="0" w:space="0" w:color="EDF9FB"/>
          <w:end w:val="single" w:sz="0" w:space="0" w:color="EDF9FB"/>
          <w:insideH w:val="single" w:sz="0" w:space="0" w:color="EDF9FB"/>
          <w:insideV w:val="single" w:sz="0" w:space="0" w:color="EDF9FB"/>
        </w:tblBorders>
      </w:tblPr>
      <w:tblGrid>
        <w:gridCol w:w="115"/>
        <w:gridCol w:w="9504"/>
      </w:tblGrid>
      <w:tr>
        <w:tc>
          <w:tcPr>
            <w:tcW w:type="dxa" w:w="5040"/>
            <w:shd w:fill="13C6D8"/>
          </w:tcPr>
          <w:p/>
        </w:tc>
        <w:tc>
          <w:tcPr>
            <w:tcW w:type="dxa" w:w="5040"/>
            <w:shd w:fill="EDF9FB"/>
            <w:tcMar>
              <w:top w:w="150" w:type="dxa"/>
              <w:start w:w="180" w:type="dxa"/>
              <w:bottom w:w="150" w:type="dxa"/>
              <w:end w:w="180" w:type="dxa"/>
            </w:tcMar>
          </w:tcPr>
          <w:p>
            <w:pPr>
              <w:spacing w:line="269" w:lineRule="auto" w:after="0"/>
            </w:pPr>
            <w:r>
              <w:rPr>
                <w:rFonts w:ascii="Aptos" w:hAnsi="Aptos"/>
                <w:b/>
                <w:color w:val="061B2E"/>
                <w:sz w:val="22"/>
              </w:rPr>
              <w:t>Product promise</w:t>
            </w:r>
            <w:r>
              <w:rPr>
                <w:rFonts w:ascii="Aptos" w:hAnsi="Aptos"/>
                <w:b w:val="0"/>
                <w:color w:val="102A3A"/>
                <w:sz w:val="21"/>
              </w:rPr>
              <w:br/>
              <w:t>Detect Salesforce process failures, explain what happened, assist the affected user, and deliver complete technical evidence to the right team - without disrupting normal work or giving AI uncontrolled access.</w:t>
            </w:r>
          </w:p>
        </w:tc>
      </w:tr>
    </w:tbl>
    <w:p>
      <w:pPr>
        <w:spacing w:after="20"/>
      </w:pP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376"/>
            <w:shd w:fill="061B2E"/>
            <w:tcMar>
              <w:top w:w="110" w:type="dxa"/>
              <w:start w:w="120" w:type="dxa"/>
              <w:bottom w:w="110" w:type="dxa"/>
              <w:end w:w="120" w:type="dxa"/>
            </w:tcMar>
            <w:vAlign w:val="center"/>
          </w:tcPr>
          <w:p>
            <w:pPr>
              <w:jc w:val="center"/>
            </w:pPr>
            <w:r>
              <w:rPr>
                <w:rFonts w:ascii="Aptos" w:hAnsi="Aptos"/>
                <w:b/>
                <w:color w:val="FFFFFF"/>
                <w:sz w:val="19"/>
              </w:rPr>
              <w:t>Document Attribute</w:t>
            </w:r>
          </w:p>
        </w:tc>
        <w:tc>
          <w:tcPr>
            <w:tcW w:type="dxa" w:w="7272"/>
            <w:shd w:fill="061B2E"/>
            <w:tcMar>
              <w:top w:w="110" w:type="dxa"/>
              <w:start w:w="120" w:type="dxa"/>
              <w:bottom w:w="110" w:type="dxa"/>
              <w:end w:w="120" w:type="dxa"/>
            </w:tcMar>
            <w:vAlign w:val="center"/>
          </w:tcPr>
          <w:p>
            <w:pPr>
              <w:jc w:val="center"/>
            </w:pPr>
            <w:r>
              <w:rPr>
                <w:rFonts w:ascii="Aptos" w:hAnsi="Aptos"/>
                <w:b/>
                <w:color w:val="FFFFFF"/>
                <w:sz w:val="19"/>
              </w:rPr>
              <w:t>Value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9"/>
              </w:rPr>
              <w:t>Purpose</w:t>
            </w:r>
          </w:p>
        </w:tc>
        <w:tc>
          <w:tcPr>
            <w:tcW w:type="dxa" w:w="7272"/>
            <w:tcMar>
              <w:top w:w="95" w:type="dxa"/>
              <w:start w:w="110" w:type="dxa"/>
              <w:bottom w:w="95" w:type="dxa"/>
              <w:end w:w="110" w:type="dxa"/>
            </w:tcMar>
            <w:vAlign w:val="center"/>
          </w:tcPr>
          <w:p>
            <w:pPr>
              <w:spacing w:after="0" w:line="252" w:lineRule="auto"/>
            </w:pPr>
            <w:r>
              <w:rPr>
                <w:rFonts w:ascii="Aptos" w:hAnsi="Aptos"/>
                <w:b w:val="0"/>
                <w:color w:val="102A3A"/>
                <w:sz w:val="19"/>
              </w:rPr>
              <w:t>Implementation-ready specification that can be assigned directly to a delivery or coding agent.</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9"/>
              </w:rPr>
              <w:t>Product</w:t>
            </w:r>
          </w:p>
        </w:tc>
        <w:tc>
          <w:tcPr>
            <w:tcW w:type="dxa" w:w="7272"/>
            <w:tcMar>
              <w:top w:w="95" w:type="dxa"/>
              <w:start w:w="110" w:type="dxa"/>
              <w:bottom w:w="95" w:type="dxa"/>
              <w:end w:w="110" w:type="dxa"/>
            </w:tcMar>
            <w:vAlign w:val="center"/>
          </w:tcPr>
          <w:p>
            <w:pPr>
              <w:spacing w:after="0" w:line="252" w:lineRule="auto"/>
            </w:pPr>
            <w:r>
              <w:rPr>
                <w:rFonts w:ascii="Aptos" w:hAnsi="Aptos"/>
                <w:b w:val="0"/>
                <w:color w:val="102A3A"/>
                <w:sz w:val="19"/>
              </w:rPr>
              <w:t>Aegis Flow</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9"/>
              </w:rPr>
              <w:t>Target release</w:t>
            </w:r>
          </w:p>
        </w:tc>
        <w:tc>
          <w:tcPr>
            <w:tcW w:type="dxa" w:w="7272"/>
            <w:tcMar>
              <w:top w:w="95" w:type="dxa"/>
              <w:start w:w="110" w:type="dxa"/>
              <w:bottom w:w="95" w:type="dxa"/>
              <w:end w:w="110" w:type="dxa"/>
            </w:tcMar>
            <w:vAlign w:val="center"/>
          </w:tcPr>
          <w:p>
            <w:pPr>
              <w:spacing w:after="0" w:line="252" w:lineRule="auto"/>
            </w:pPr>
            <w:r>
              <w:rPr>
                <w:rFonts w:ascii="Aptos" w:hAnsi="Aptos"/>
                <w:b w:val="0"/>
                <w:color w:val="102A3A"/>
                <w:sz w:val="19"/>
              </w:rPr>
              <w:t>Marketable MVP followed by Intelligence and Governed Recovery releases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9"/>
              </w:rPr>
              <w:t>Primary platform</w:t>
            </w:r>
          </w:p>
        </w:tc>
        <w:tc>
          <w:tcPr>
            <w:tcW w:type="dxa" w:w="7272"/>
            <w:tcMar>
              <w:top w:w="95" w:type="dxa"/>
              <w:start w:w="110" w:type="dxa"/>
              <w:bottom w:w="95" w:type="dxa"/>
              <w:end w:w="110" w:type="dxa"/>
            </w:tcMar>
            <w:vAlign w:val="center"/>
          </w:tcPr>
          <w:p>
            <w:pPr>
              <w:spacing w:after="0" w:line="252" w:lineRule="auto"/>
            </w:pPr>
            <w:r>
              <w:rPr>
                <w:rFonts w:ascii="Aptos" w:hAnsi="Aptos"/>
                <w:b w:val="0"/>
                <w:color w:val="102A3A"/>
                <w:sz w:val="19"/>
              </w:rPr>
              <w:t>Salesforce Lightning Platform, Agentforce, Apex, Flow, LWC, Platform Events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9"/>
              </w:rPr>
              <w:t>Packaging target</w:t>
            </w:r>
          </w:p>
        </w:tc>
        <w:tc>
          <w:tcPr>
            <w:tcW w:type="dxa" w:w="7272"/>
            <w:tcMar>
              <w:top w:w="95" w:type="dxa"/>
              <w:start w:w="110" w:type="dxa"/>
              <w:bottom w:w="95" w:type="dxa"/>
              <w:end w:w="110" w:type="dxa"/>
            </w:tcMar>
            <w:vAlign w:val="center"/>
          </w:tcPr>
          <w:p>
            <w:pPr>
              <w:spacing w:after="0" w:line="252" w:lineRule="auto"/>
            </w:pPr>
            <w:r>
              <w:rPr>
                <w:rFonts w:ascii="Aptos" w:hAnsi="Aptos"/>
                <w:b w:val="0"/>
                <w:color w:val="102A3A"/>
                <w:sz w:val="19"/>
              </w:rPr>
              <w:t>Second-Generation Managed Package (2GP)</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9"/>
              </w:rPr>
              <w:t>Prepared for</w:t>
            </w:r>
          </w:p>
        </w:tc>
        <w:tc>
          <w:tcPr>
            <w:tcW w:type="dxa" w:w="7272"/>
            <w:tcMar>
              <w:top w:w="95" w:type="dxa"/>
              <w:start w:w="110" w:type="dxa"/>
              <w:bottom w:w="95" w:type="dxa"/>
              <w:end w:w="110" w:type="dxa"/>
            </w:tcMar>
            <w:vAlign w:val="center"/>
          </w:tcPr>
          <w:p>
            <w:pPr>
              <w:spacing w:after="0" w:line="252" w:lineRule="auto"/>
            </w:pPr>
            <w:r>
              <w:rPr>
                <w:rFonts w:ascii="Aptos" w:hAnsi="Aptos"/>
                <w:b w:val="0"/>
                <w:color w:val="102A3A"/>
                <w:sz w:val="19"/>
              </w:rPr>
              <w:t>Product engineering, Salesforce architecture, development, QA, security, and release teams</w:t>
            </w:r>
          </w:p>
        </w:tc>
      </w:tr>
    </w:tbl>
    <w:p>
      <w:pPr>
        <w:spacing w:after="40"/>
      </w:pPr>
    </w:p>
    <w:p>
      <w:pPr>
        <w:spacing w:before="120"/>
        <w:jc w:val="center"/>
      </w:pPr>
      <w:r>
        <w:rPr>
          <w:rFonts w:ascii="Aptos" w:hAnsi="Aptos"/>
          <w:b/>
          <w:color w:val="0A8FA3"/>
          <w:sz w:val="22"/>
        </w:rPr>
        <w:t>Smart Diagnostics. Bounded AI. Absolute Governance.</w:t>
      </w:r>
    </w:p>
    <w:p>
      <w:r>
        <w:br w:type="page"/>
      </w:r>
    </w:p>
    <w:p>
      <w:pPr>
        <w:pStyle w:val="Heading1"/>
        <w:keepNext/>
      </w:pPr>
      <w:r>
        <w:t>1. Executive Product Direction</w:t>
      </w:r>
    </w:p>
    <w:p>
      <w:pPr>
        <w:keepNext w:val="0"/>
        <w:spacing w:after="120" w:before="0" w:line="269" w:lineRule="auto"/>
      </w:pPr>
      <w:r>
        <w:rPr>
          <w:rFonts w:ascii="Aptos" w:hAnsi="Aptos"/>
          <w:b w:val="0"/>
          <w:color w:val="102A3A"/>
          <w:sz w:val="21"/>
        </w:rPr>
        <w:t>Aegis Flow will be delivered as a Salesforce-native observability, diagnostic, assistance, and governed recovery product. It must operate independently of Agentforce for core capture and evidence preservation, while using Agentforce as a bounded diagnosis and guidance layer when available.</w:t>
      </w:r>
    </w:p>
    <w:tbl>
      <w:tblPr>
        <w:tblW w:type="auto" w:w="0"/>
        <w:jc w:val="center"/>
        <w:tblLayout w:type="fixed"/>
        <w:tblLook w:firstColumn="1" w:firstRow="1" w:lastColumn="0" w:lastRow="0" w:noHBand="0" w:noVBand="1" w:val="04A0"/>
        <w:tblBorders>
          <w:top w:val="single" w:sz="0" w:space="0" w:color="F0F7FA"/>
          <w:start w:val="single" w:sz="0" w:space="0" w:color="F0F7FA"/>
          <w:bottom w:val="single" w:sz="0" w:space="0" w:color="F0F7FA"/>
          <w:end w:val="single" w:sz="0" w:space="0" w:color="F0F7FA"/>
          <w:insideH w:val="single" w:sz="0" w:space="0" w:color="F0F7FA"/>
          <w:insideV w:val="single" w:sz="0" w:space="0" w:color="F0F7FA"/>
        </w:tblBorders>
      </w:tblPr>
      <w:tblGrid>
        <w:gridCol w:w="115"/>
        <w:gridCol w:w="9504"/>
      </w:tblGrid>
      <w:tr>
        <w:tc>
          <w:tcPr>
            <w:tcW w:type="dxa" w:w="5040"/>
            <w:shd w:fill="0A8FA3"/>
          </w:tcPr>
          <w:p/>
        </w:tc>
        <w:tc>
          <w:tcPr>
            <w:tcW w:type="dxa" w:w="5040"/>
            <w:shd w:fill="F0F7FA"/>
            <w:tcMar>
              <w:top w:w="150" w:type="dxa"/>
              <w:start w:w="180" w:type="dxa"/>
              <w:bottom w:w="150" w:type="dxa"/>
              <w:end w:w="180" w:type="dxa"/>
            </w:tcMar>
          </w:tcPr>
          <w:p>
            <w:pPr>
              <w:spacing w:line="269" w:lineRule="auto" w:after="0"/>
            </w:pPr>
            <w:r>
              <w:rPr>
                <w:rFonts w:ascii="Aptos" w:hAnsi="Aptos"/>
                <w:b/>
                <w:color w:val="061B2E"/>
                <w:sz w:val="22"/>
              </w:rPr>
              <w:t>Positioning boundary</w:t>
            </w:r>
            <w:r>
              <w:rPr>
                <w:rFonts w:ascii="Aptos" w:hAnsi="Aptos"/>
                <w:b w:val="0"/>
                <w:color w:val="102A3A"/>
                <w:sz w:val="21"/>
              </w:rPr>
              <w:br/>
              <w:t>Aegis Flow is not an unrestricted AI bug-fixing tool. It is a governed platform that captures failures first, applies deterministic rules, invokes AI with structured context, proposes only registered actions, and escalates with evidence when remediation is unsafe or uncertain.</w:t>
            </w:r>
          </w:p>
        </w:tc>
      </w:tr>
    </w:tbl>
    <w:p>
      <w:pPr>
        <w:spacing w:after="20"/>
      </w:pPr>
    </w:p>
    <w:p>
      <w:pPr>
        <w:pStyle w:val="Heading2"/>
        <w:keepNext/>
      </w:pPr>
      <w:r>
        <w:t>1.1 Commercial Product Modules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3360"/>
        <w:gridCol w:w="3360"/>
        <w:gridCol w:w="3360"/>
      </w:tblGrid>
      <w:tr>
        <w:trPr>
          <w:tblHeader w:val="true"/>
        </w:trPr>
        <w:tc>
          <w:tcPr>
            <w:tcW w:type="dxa" w:w="1800"/>
            <w:shd w:fill="061B2E"/>
            <w:tcMar>
              <w:top w:w="110" w:type="dxa"/>
              <w:start w:w="120" w:type="dxa"/>
              <w:bottom w:w="110" w:type="dxa"/>
              <w:end w:w="120" w:type="dxa"/>
            </w:tcMar>
            <w:vAlign w:val="center"/>
          </w:tcPr>
          <w:p>
            <w:pPr>
              <w:jc w:val="center"/>
            </w:pPr>
            <w:r>
              <w:rPr>
                <w:rFonts w:ascii="Aptos" w:hAnsi="Aptos"/>
                <w:b/>
                <w:color w:val="FFFFFF"/>
                <w:sz w:val="18"/>
              </w:rPr>
              <w:t>Module</w:t>
            </w:r>
          </w:p>
        </w:tc>
        <w:tc>
          <w:tcPr>
            <w:tcW w:type="dxa" w:w="4680"/>
            <w:shd w:fill="061B2E"/>
            <w:tcMar>
              <w:top w:w="110" w:type="dxa"/>
              <w:start w:w="120" w:type="dxa"/>
              <w:bottom w:w="110" w:type="dxa"/>
              <w:end w:w="120" w:type="dxa"/>
            </w:tcMar>
            <w:vAlign w:val="center"/>
          </w:tcPr>
          <w:p>
            <w:pPr>
              <w:jc w:val="center"/>
            </w:pPr>
            <w:r>
              <w:rPr>
                <w:rFonts w:ascii="Aptos" w:hAnsi="Aptos"/>
                <w:b/>
                <w:color w:val="FFFFFF"/>
                <w:sz w:val="18"/>
              </w:rPr>
              <w:t>Purpose</w:t>
            </w:r>
          </w:p>
        </w:tc>
        <w:tc>
          <w:tcPr>
            <w:tcW w:type="dxa" w:w="3168"/>
            <w:shd w:fill="061B2E"/>
            <w:tcMar>
              <w:top w:w="110" w:type="dxa"/>
              <w:start w:w="120" w:type="dxa"/>
              <w:bottom w:w="110" w:type="dxa"/>
              <w:end w:w="120" w:type="dxa"/>
            </w:tcMar>
            <w:vAlign w:val="center"/>
          </w:tcPr>
          <w:p>
            <w:pPr>
              <w:jc w:val="center"/>
            </w:pPr>
            <w:r>
              <w:rPr>
                <w:rFonts w:ascii="Aptos" w:hAnsi="Aptos"/>
                <w:b/>
                <w:color w:val="FFFFFF"/>
                <w:sz w:val="18"/>
              </w:rPr>
              <w:t>Primary Outcome</w:t>
            </w:r>
          </w:p>
        </w:tc>
      </w:tr>
      <w:tr>
        <w:trPr>
          <w:cantSplit/>
        </w:trPr>
        <w:tc>
          <w:tcPr>
            <w:tcW w:type="dxa" w:w="1800"/>
            <w:tcMar>
              <w:top w:w="95" w:type="dxa"/>
              <w:start w:w="110" w:type="dxa"/>
              <w:bottom w:w="95" w:type="dxa"/>
              <w:end w:w="110" w:type="dxa"/>
            </w:tcMar>
            <w:vAlign w:val="center"/>
          </w:tcPr>
          <w:p>
            <w:pPr>
              <w:spacing w:after="0" w:line="252" w:lineRule="auto"/>
            </w:pPr>
            <w:r>
              <w:rPr>
                <w:rFonts w:ascii="Aptos" w:hAnsi="Aptos"/>
                <w:b/>
                <w:color w:val="061B2E"/>
                <w:sz w:val="18"/>
              </w:rPr>
              <w:t>Aegis Capture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Collect failures from Flow, Apex, async jobs, integrations, API processes, and custom UI.</w:t>
            </w:r>
          </w:p>
        </w:tc>
        <w:tc>
          <w:tcPr>
            <w:tcW w:type="dxa" w:w="3168"/>
            <w:tcMar>
              <w:top w:w="95" w:type="dxa"/>
              <w:start w:w="110" w:type="dxa"/>
              <w:bottom w:w="95" w:type="dxa"/>
              <w:end w:w="110" w:type="dxa"/>
            </w:tcMar>
            <w:vAlign w:val="center"/>
          </w:tcPr>
          <w:p>
            <w:pPr>
              <w:spacing w:after="0" w:line="252" w:lineRule="auto"/>
            </w:pPr>
            <w:r>
              <w:rPr>
                <w:rFonts w:ascii="Aptos" w:hAnsi="Aptos"/>
                <w:b w:val="0"/>
                <w:color w:val="102A3A"/>
                <w:sz w:val="18"/>
              </w:rPr>
              <w:t>Durable, normalized evidence with correlation IDs.</w:t>
            </w:r>
          </w:p>
        </w:tc>
      </w:tr>
      <w:tr>
        <w:trPr>
          <w:cantSplit/>
        </w:trPr>
        <w:tc>
          <w:tcPr>
            <w:tcW w:type="dxa" w:w="1800"/>
            <w:tcMar>
              <w:top w:w="95" w:type="dxa"/>
              <w:start w:w="110" w:type="dxa"/>
              <w:bottom w:w="95" w:type="dxa"/>
              <w:end w:w="110" w:type="dxa"/>
            </w:tcMar>
            <w:vAlign w:val="center"/>
          </w:tcPr>
          <w:p>
            <w:pPr>
              <w:spacing w:after="0" w:line="252" w:lineRule="auto"/>
            </w:pPr>
            <w:r>
              <w:rPr>
                <w:rFonts w:ascii="Aptos" w:hAnsi="Aptos"/>
                <w:b/>
                <w:color w:val="061B2E"/>
                <w:sz w:val="18"/>
              </w:rPr>
              <w:t>Aegis Intelligence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Classify errors, enrich context, apply rules, and invoke bounded Agentforce diagnosis.</w:t>
            </w:r>
          </w:p>
        </w:tc>
        <w:tc>
          <w:tcPr>
            <w:tcW w:type="dxa" w:w="3168"/>
            <w:tcMar>
              <w:top w:w="95" w:type="dxa"/>
              <w:start w:w="110" w:type="dxa"/>
              <w:bottom w:w="95" w:type="dxa"/>
              <w:end w:w="110" w:type="dxa"/>
            </w:tcMar>
            <w:vAlign w:val="center"/>
          </w:tcPr>
          <w:p>
            <w:pPr>
              <w:spacing w:after="0" w:line="252" w:lineRule="auto"/>
            </w:pPr>
            <w:r>
              <w:rPr>
                <w:rFonts w:ascii="Aptos" w:hAnsi="Aptos"/>
                <w:b w:val="0"/>
                <w:color w:val="102A3A"/>
                <w:sz w:val="18"/>
              </w:rPr>
              <w:t>Root-cause hypothesis, confidence, severity, and fixability.</w:t>
            </w:r>
          </w:p>
        </w:tc>
      </w:tr>
      <w:tr>
        <w:trPr>
          <w:cantSplit/>
        </w:trPr>
        <w:tc>
          <w:tcPr>
            <w:tcW w:type="dxa" w:w="1800"/>
            <w:tcMar>
              <w:top w:w="95" w:type="dxa"/>
              <w:start w:w="110" w:type="dxa"/>
              <w:bottom w:w="95" w:type="dxa"/>
              <w:end w:w="110" w:type="dxa"/>
            </w:tcMar>
            <w:vAlign w:val="center"/>
          </w:tcPr>
          <w:p>
            <w:pPr>
              <w:spacing w:after="0" w:line="252" w:lineRule="auto"/>
            </w:pPr>
            <w:r>
              <w:rPr>
                <w:rFonts w:ascii="Aptos" w:hAnsi="Aptos"/>
                <w:b/>
                <w:color w:val="061B2E"/>
                <w:sz w:val="18"/>
              </w:rPr>
              <w:t>Aegis Assist</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Provide subtle user notifications, contextual details, and a manual Get Help experience.</w:t>
            </w:r>
          </w:p>
        </w:tc>
        <w:tc>
          <w:tcPr>
            <w:tcW w:type="dxa" w:w="3168"/>
            <w:tcMar>
              <w:top w:w="95" w:type="dxa"/>
              <w:start w:w="110" w:type="dxa"/>
              <w:bottom w:w="95" w:type="dxa"/>
              <w:end w:w="110" w:type="dxa"/>
            </w:tcMar>
            <w:vAlign w:val="center"/>
          </w:tcPr>
          <w:p>
            <w:pPr>
              <w:spacing w:after="0" w:line="252" w:lineRule="auto"/>
            </w:pPr>
            <w:r>
              <w:rPr>
                <w:rFonts w:ascii="Aptos" w:hAnsi="Aptos"/>
                <w:b w:val="0"/>
                <w:color w:val="102A3A"/>
                <w:sz w:val="18"/>
              </w:rPr>
              <w:t>Non-intrusive support at the point of failure.</w:t>
            </w:r>
          </w:p>
        </w:tc>
      </w:tr>
      <w:tr>
        <w:trPr>
          <w:cantSplit/>
        </w:trPr>
        <w:tc>
          <w:tcPr>
            <w:tcW w:type="dxa" w:w="1800"/>
            <w:tcMar>
              <w:top w:w="95" w:type="dxa"/>
              <w:start w:w="110" w:type="dxa"/>
              <w:bottom w:w="95" w:type="dxa"/>
              <w:end w:w="110" w:type="dxa"/>
            </w:tcMar>
            <w:vAlign w:val="center"/>
          </w:tcPr>
          <w:p>
            <w:pPr>
              <w:spacing w:after="0" w:line="252" w:lineRule="auto"/>
            </w:pPr>
            <w:r>
              <w:rPr>
                <w:rFonts w:ascii="Aptos" w:hAnsi="Aptos"/>
                <w:b/>
                <w:color w:val="061B2E"/>
                <w:sz w:val="18"/>
              </w:rPr>
              <w:t>Aegis Recovery</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Execute only approved, auditable remediation and idempotent retry handlers.</w:t>
            </w:r>
          </w:p>
        </w:tc>
        <w:tc>
          <w:tcPr>
            <w:tcW w:type="dxa" w:w="3168"/>
            <w:tcMar>
              <w:top w:w="95" w:type="dxa"/>
              <w:start w:w="110" w:type="dxa"/>
              <w:bottom w:w="95" w:type="dxa"/>
              <w:end w:w="110" w:type="dxa"/>
            </w:tcMar>
            <w:vAlign w:val="center"/>
          </w:tcPr>
          <w:p>
            <w:pPr>
              <w:spacing w:after="0" w:line="252" w:lineRule="auto"/>
            </w:pPr>
            <w:r>
              <w:rPr>
                <w:rFonts w:ascii="Aptos" w:hAnsi="Aptos"/>
                <w:b w:val="0"/>
                <w:color w:val="102A3A"/>
                <w:sz w:val="18"/>
              </w:rPr>
              <w:t>Safe correction with confirmation and verification.</w:t>
            </w:r>
          </w:p>
        </w:tc>
      </w:tr>
      <w:tr>
        <w:trPr>
          <w:cantSplit/>
        </w:trPr>
        <w:tc>
          <w:tcPr>
            <w:tcW w:type="dxa" w:w="1800"/>
            <w:tcMar>
              <w:top w:w="95" w:type="dxa"/>
              <w:start w:w="110" w:type="dxa"/>
              <w:bottom w:w="95" w:type="dxa"/>
              <w:end w:w="110" w:type="dxa"/>
            </w:tcMar>
            <w:vAlign w:val="center"/>
          </w:tcPr>
          <w:p>
            <w:pPr>
              <w:spacing w:after="0" w:line="252" w:lineRule="auto"/>
            </w:pPr>
            <w:r>
              <w:rPr>
                <w:rFonts w:ascii="Aptos" w:hAnsi="Aptos"/>
                <w:b/>
                <w:color w:val="061B2E"/>
                <w:sz w:val="18"/>
              </w:rPr>
              <w:t>Aegis Escalate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Route complete diagnostic packages to Case, email, Jira, Slack, Teams, GitHub, or webhooks.</w:t>
            </w:r>
          </w:p>
        </w:tc>
        <w:tc>
          <w:tcPr>
            <w:tcW w:type="dxa" w:w="3168"/>
            <w:tcMar>
              <w:top w:w="95" w:type="dxa"/>
              <w:start w:w="110" w:type="dxa"/>
              <w:bottom w:w="95" w:type="dxa"/>
              <w:end w:w="110" w:type="dxa"/>
            </w:tcMar>
            <w:vAlign w:val="center"/>
          </w:tcPr>
          <w:p>
            <w:pPr>
              <w:spacing w:after="0" w:line="252" w:lineRule="auto"/>
            </w:pPr>
            <w:r>
              <w:rPr>
                <w:rFonts w:ascii="Aptos" w:hAnsi="Aptos"/>
                <w:b w:val="0"/>
                <w:color w:val="102A3A"/>
                <w:sz w:val="18"/>
              </w:rPr>
              <w:t>Faster developer and administrator resolution.</w:t>
            </w:r>
          </w:p>
        </w:tc>
      </w:tr>
      <w:tr>
        <w:trPr>
          <w:cantSplit/>
        </w:trPr>
        <w:tc>
          <w:tcPr>
            <w:tcW w:type="dxa" w:w="1800"/>
            <w:tcMar>
              <w:top w:w="95" w:type="dxa"/>
              <w:start w:w="110" w:type="dxa"/>
              <w:bottom w:w="95" w:type="dxa"/>
              <w:end w:w="110" w:type="dxa"/>
            </w:tcMar>
            <w:vAlign w:val="center"/>
          </w:tcPr>
          <w:p>
            <w:pPr>
              <w:spacing w:after="0" w:line="252" w:lineRule="auto"/>
            </w:pPr>
            <w:r>
              <w:rPr>
                <w:rFonts w:ascii="Aptos" w:hAnsi="Aptos"/>
                <w:b/>
                <w:color w:val="061B2E"/>
                <w:sz w:val="18"/>
              </w:rPr>
              <w:t>Aegis Command Center</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Centralize incidents, automation health, rules, notifications, SLAs, and setup.</w:t>
            </w:r>
          </w:p>
        </w:tc>
        <w:tc>
          <w:tcPr>
            <w:tcW w:type="dxa" w:w="3168"/>
            <w:tcMar>
              <w:top w:w="95" w:type="dxa"/>
              <w:start w:w="110" w:type="dxa"/>
              <w:bottom w:w="95" w:type="dxa"/>
              <w:end w:w="110" w:type="dxa"/>
            </w:tcMar>
            <w:vAlign w:val="center"/>
          </w:tcPr>
          <w:p>
            <w:pPr>
              <w:spacing w:after="0" w:line="252" w:lineRule="auto"/>
            </w:pPr>
            <w:r>
              <w:rPr>
                <w:rFonts w:ascii="Aptos" w:hAnsi="Aptos"/>
                <w:b w:val="0"/>
                <w:color w:val="102A3A"/>
                <w:sz w:val="18"/>
              </w:rPr>
              <w:t>Operational visibility and product administration.</w:t>
            </w:r>
          </w:p>
        </w:tc>
      </w:tr>
    </w:tbl>
    <w:p>
      <w:pPr>
        <w:spacing w:after="40"/>
      </w:pPr>
    </w:p>
    <w:p>
      <w:pPr>
        <w:pStyle w:val="Heading2"/>
        <w:keepNext/>
      </w:pPr>
      <w:r>
        <w:t>1.2 Marketable MVP Promise</w:t>
      </w:r>
    </w:p>
    <w:p>
      <w:pPr>
        <w:pStyle w:val="ListBullet"/>
        <w:spacing w:after="60" w:line="259" w:lineRule="auto"/>
      </w:pPr>
      <w:r>
        <w:rPr>
          <w:rFonts w:ascii="Aptos" w:hAnsi="Aptos"/>
          <w:b w:val="0"/>
          <w:color w:val="102A3A"/>
          <w:sz w:val="21"/>
        </w:rPr>
        <w:t>Capture Flow, Apex, Queueable, Batch, integration, and custom LWC failures.</w:t>
      </w:r>
    </w:p>
    <w:p>
      <w:pPr>
        <w:pStyle w:val="ListBullet"/>
        <w:spacing w:after="60" w:line="259" w:lineRule="auto"/>
      </w:pPr>
      <w:r>
        <w:rPr>
          <w:rFonts w:ascii="Aptos" w:hAnsi="Aptos"/>
          <w:b w:val="0"/>
          <w:color w:val="102A3A"/>
          <w:sz w:val="21"/>
        </w:rPr>
        <w:t>Persist normalized error records even when diagnosis or notification services are unavailable.</w:t>
      </w:r>
    </w:p>
    <w:p>
      <w:pPr>
        <w:pStyle w:val="ListBullet"/>
        <w:spacing w:after="60" w:line="259" w:lineRule="auto"/>
      </w:pPr>
      <w:r>
        <w:rPr>
          <w:rFonts w:ascii="Aptos" w:hAnsi="Aptos"/>
          <w:b w:val="0"/>
          <w:color w:val="102A3A"/>
          <w:sz w:val="21"/>
        </w:rPr>
        <w:t>Notify the affected user with a subtle message such as "I have identified the issue."</w:t>
      </w:r>
    </w:p>
    <w:p>
      <w:pPr>
        <w:pStyle w:val="ListBullet"/>
        <w:spacing w:after="60" w:line="259" w:lineRule="auto"/>
      </w:pPr>
      <w:r>
        <w:rPr>
          <w:rFonts w:ascii="Aptos" w:hAnsi="Aptos"/>
          <w:b w:val="0"/>
          <w:color w:val="102A3A"/>
          <w:sz w:val="21"/>
        </w:rPr>
        <w:t>Allow the user to view details, dismiss, request help, or submit an escalation.</w:t>
      </w:r>
    </w:p>
    <w:p>
      <w:pPr>
        <w:pStyle w:val="ListBullet"/>
        <w:spacing w:after="60" w:line="259" w:lineRule="auto"/>
      </w:pPr>
      <w:r>
        <w:rPr>
          <w:rFonts w:ascii="Aptos" w:hAnsi="Aptos"/>
          <w:b w:val="0"/>
          <w:color w:val="102A3A"/>
          <w:sz w:val="21"/>
        </w:rPr>
        <w:t>Provide deterministic diagnosis and optionally Agentforce-generated explanation.</w:t>
      </w:r>
    </w:p>
    <w:p>
      <w:pPr>
        <w:pStyle w:val="ListBullet"/>
        <w:spacing w:after="60" w:line="259" w:lineRule="auto"/>
      </w:pPr>
      <w:r>
        <w:rPr>
          <w:rFonts w:ascii="Aptos" w:hAnsi="Aptos"/>
          <w:b w:val="0"/>
          <w:color w:val="102A3A"/>
          <w:sz w:val="21"/>
        </w:rPr>
        <w:t>Create a complete developer escalation package with sanitized technical evidence.</w:t>
      </w:r>
    </w:p>
    <w:p>
      <w:pPr>
        <w:pStyle w:val="ListBullet"/>
        <w:spacing w:after="60" w:line="259" w:lineRule="auto"/>
      </w:pPr>
      <w:r>
        <w:rPr>
          <w:rFonts w:ascii="Aptos" w:hAnsi="Aptos"/>
          <w:b w:val="0"/>
          <w:color w:val="102A3A"/>
          <w:sz w:val="21"/>
        </w:rPr>
        <w:t>Provide an admin command center, setup wizard, notification policy, routing, security, and retention controls.</w:t>
      </w:r>
    </w:p>
    <w:p>
      <w:pPr>
        <w:pStyle w:val="Heading1"/>
        <w:keepNext/>
      </w:pPr>
      <w:r>
        <w:t>2. Target Product Editions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3360"/>
        <w:gridCol w:w="3360"/>
        <w:gridCol w:w="3360"/>
      </w:tblGrid>
      <w:tr>
        <w:trPr>
          <w:tblHeader w:val="true"/>
        </w:trPr>
        <w:tc>
          <w:tcPr>
            <w:tcW w:type="dxa" w:w="1656"/>
            <w:shd w:fill="061B2E"/>
            <w:tcMar>
              <w:top w:w="110" w:type="dxa"/>
              <w:start w:w="120" w:type="dxa"/>
              <w:bottom w:w="110" w:type="dxa"/>
              <w:end w:w="120" w:type="dxa"/>
            </w:tcMar>
            <w:vAlign w:val="center"/>
          </w:tcPr>
          <w:p>
            <w:pPr>
              <w:jc w:val="center"/>
            </w:pPr>
            <w:r>
              <w:rPr>
                <w:rFonts w:ascii="Aptos" w:hAnsi="Aptos"/>
                <w:b/>
                <w:color w:val="FFFFFF"/>
                <w:sz w:val="18"/>
              </w:rPr>
              <w:t>Edition</w:t>
            </w:r>
          </w:p>
        </w:tc>
        <w:tc>
          <w:tcPr>
            <w:tcW w:type="dxa" w:w="6696"/>
            <w:shd w:fill="061B2E"/>
            <w:tcMar>
              <w:top w:w="110" w:type="dxa"/>
              <w:start w:w="120" w:type="dxa"/>
              <w:bottom w:w="110" w:type="dxa"/>
              <w:end w:w="120" w:type="dxa"/>
            </w:tcMar>
            <w:vAlign w:val="center"/>
          </w:tcPr>
          <w:p>
            <w:pPr>
              <w:jc w:val="center"/>
            </w:pPr>
            <w:r>
              <w:rPr>
                <w:rFonts w:ascii="Aptos" w:hAnsi="Aptos"/>
                <w:b/>
                <w:color w:val="FFFFFF"/>
                <w:sz w:val="18"/>
              </w:rPr>
              <w:t>Included Capabilities</w:t>
            </w:r>
          </w:p>
        </w:tc>
        <w:tc>
          <w:tcPr>
            <w:tcW w:type="dxa" w:w="1800"/>
            <w:shd w:fill="061B2E"/>
            <w:tcMar>
              <w:top w:w="110" w:type="dxa"/>
              <w:start w:w="120" w:type="dxa"/>
              <w:bottom w:w="110" w:type="dxa"/>
              <w:end w:w="120" w:type="dxa"/>
            </w:tcMar>
            <w:vAlign w:val="center"/>
          </w:tcPr>
          <w:p>
            <w:pPr>
              <w:jc w:val="center"/>
            </w:pPr>
            <w:r>
              <w:rPr>
                <w:rFonts w:ascii="Aptos" w:hAnsi="Aptos"/>
                <w:b/>
                <w:color w:val="FFFFFF"/>
                <w:sz w:val="18"/>
              </w:rPr>
              <w:t>Recommended Release</w:t>
            </w:r>
          </w:p>
        </w:tc>
      </w:tr>
      <w:tr>
        <w:trPr>
          <w:cantSplit/>
        </w:trPr>
        <w:tc>
          <w:tcPr>
            <w:tcW w:type="dxa" w:w="1656"/>
            <w:tcMar>
              <w:top w:w="95" w:type="dxa"/>
              <w:start w:w="110" w:type="dxa"/>
              <w:bottom w:w="95" w:type="dxa"/>
              <w:end w:w="110" w:type="dxa"/>
            </w:tcMar>
            <w:vAlign w:val="center"/>
          </w:tcPr>
          <w:p>
            <w:pPr>
              <w:spacing w:after="0" w:line="252" w:lineRule="auto"/>
            </w:pPr>
            <w:r>
              <w:rPr>
                <w:rFonts w:ascii="Aptos" w:hAnsi="Aptos"/>
                <w:b/>
                <w:color w:val="061B2E"/>
                <w:sz w:val="18"/>
              </w:rPr>
              <w:t>Essentials</w:t>
            </w:r>
          </w:p>
        </w:tc>
        <w:tc>
          <w:tcPr>
            <w:tcW w:type="dxa" w:w="6696"/>
            <w:tcMar>
              <w:top w:w="95" w:type="dxa"/>
              <w:start w:w="110" w:type="dxa"/>
              <w:bottom w:w="95" w:type="dxa"/>
              <w:end w:w="110" w:type="dxa"/>
            </w:tcMar>
            <w:vAlign w:val="center"/>
          </w:tcPr>
          <w:p>
            <w:pPr>
              <w:spacing w:after="0" w:line="252" w:lineRule="auto"/>
            </w:pPr>
            <w:r>
              <w:rPr>
                <w:rFonts w:ascii="Aptos" w:hAnsi="Aptos"/>
                <w:b w:val="0"/>
                <w:color w:val="102A3A"/>
                <w:sz w:val="18"/>
              </w:rPr>
              <w:t>Flow and Apex capture, central error log, user notifications, manual Get Help, email/Case escalation, basic dashboards, deterministic rule library, retention settings.</w:t>
            </w:r>
          </w:p>
        </w:tc>
        <w:tc>
          <w:tcPr>
            <w:tcW w:type="dxa" w:w="1800"/>
            <w:tcMar>
              <w:top w:w="95" w:type="dxa"/>
              <w:start w:w="110" w:type="dxa"/>
              <w:bottom w:w="95" w:type="dxa"/>
              <w:end w:w="110" w:type="dxa"/>
            </w:tcMar>
            <w:vAlign w:val="center"/>
          </w:tcPr>
          <w:p>
            <w:pPr>
              <w:spacing w:after="0" w:line="252" w:lineRule="auto"/>
            </w:pPr>
            <w:r>
              <w:rPr>
                <w:rFonts w:ascii="Aptos" w:hAnsi="Aptos"/>
                <w:b w:val="0"/>
                <w:color w:val="102A3A"/>
                <w:sz w:val="18"/>
              </w:rPr>
              <w:t>Initial commercial release</w:t>
            </w:r>
          </w:p>
        </w:tc>
      </w:tr>
      <w:tr>
        <w:trPr>
          <w:cantSplit/>
        </w:trPr>
        <w:tc>
          <w:tcPr>
            <w:tcW w:type="dxa" w:w="1656"/>
            <w:tcMar>
              <w:top w:w="95" w:type="dxa"/>
              <w:start w:w="110" w:type="dxa"/>
              <w:bottom w:w="95" w:type="dxa"/>
              <w:end w:w="110" w:type="dxa"/>
            </w:tcMar>
            <w:vAlign w:val="center"/>
          </w:tcPr>
          <w:p>
            <w:pPr>
              <w:spacing w:after="0" w:line="252" w:lineRule="auto"/>
            </w:pPr>
            <w:r>
              <w:rPr>
                <w:rFonts w:ascii="Aptos" w:hAnsi="Aptos"/>
                <w:b/>
                <w:color w:val="061B2E"/>
                <w:sz w:val="18"/>
              </w:rPr>
              <w:t>Intelligence</w:t>
            </w:r>
          </w:p>
        </w:tc>
        <w:tc>
          <w:tcPr>
            <w:tcW w:type="dxa" w:w="6696"/>
            <w:tcMar>
              <w:top w:w="95" w:type="dxa"/>
              <w:start w:w="110" w:type="dxa"/>
              <w:bottom w:w="95" w:type="dxa"/>
              <w:end w:w="110" w:type="dxa"/>
            </w:tcMar>
            <w:vAlign w:val="center"/>
          </w:tcPr>
          <w:p>
            <w:pPr>
              <w:spacing w:after="0" w:line="252" w:lineRule="auto"/>
            </w:pPr>
            <w:r>
              <w:rPr>
                <w:rFonts w:ascii="Aptos" w:hAnsi="Aptos"/>
                <w:b w:val="0"/>
                <w:color w:val="102A3A"/>
                <w:sz w:val="18"/>
              </w:rPr>
              <w:t>Everything in Essentials plus Agentforce diagnosis, confidence scoring, context enrichment, incident grouping, advanced analytics, Jira/Slack/Teams/GitHub connectors.</w:t>
            </w:r>
          </w:p>
        </w:tc>
        <w:tc>
          <w:tcPr>
            <w:tcW w:type="dxa" w:w="1800"/>
            <w:tcMar>
              <w:top w:w="95" w:type="dxa"/>
              <w:start w:w="110" w:type="dxa"/>
              <w:bottom w:w="95" w:type="dxa"/>
              <w:end w:w="110" w:type="dxa"/>
            </w:tcMar>
            <w:vAlign w:val="center"/>
          </w:tcPr>
          <w:p>
            <w:pPr>
              <w:spacing w:after="0" w:line="252" w:lineRule="auto"/>
            </w:pPr>
            <w:r>
              <w:rPr>
                <w:rFonts w:ascii="Aptos" w:hAnsi="Aptos"/>
                <w:b w:val="0"/>
                <w:color w:val="102A3A"/>
                <w:sz w:val="18"/>
              </w:rPr>
              <w:t>Release 1.1</w:t>
            </w:r>
          </w:p>
        </w:tc>
      </w:tr>
      <w:tr>
        <w:trPr>
          <w:cantSplit/>
        </w:trPr>
        <w:tc>
          <w:tcPr>
            <w:tcW w:type="dxa" w:w="1656"/>
            <w:tcMar>
              <w:top w:w="95" w:type="dxa"/>
              <w:start w:w="110" w:type="dxa"/>
              <w:bottom w:w="95" w:type="dxa"/>
              <w:end w:w="110" w:type="dxa"/>
            </w:tcMar>
            <w:vAlign w:val="center"/>
          </w:tcPr>
          <w:p>
            <w:pPr>
              <w:spacing w:after="0" w:line="252" w:lineRule="auto"/>
            </w:pPr>
            <w:r>
              <w:rPr>
                <w:rFonts w:ascii="Aptos" w:hAnsi="Aptos"/>
                <w:b/>
                <w:color w:val="061B2E"/>
                <w:sz w:val="18"/>
              </w:rPr>
              <w:t>Enterprise</w:t>
            </w:r>
          </w:p>
        </w:tc>
        <w:tc>
          <w:tcPr>
            <w:tcW w:type="dxa" w:w="6696"/>
            <w:tcMar>
              <w:top w:w="95" w:type="dxa"/>
              <w:start w:w="110" w:type="dxa"/>
              <w:bottom w:w="95" w:type="dxa"/>
              <w:end w:w="110" w:type="dxa"/>
            </w:tcMar>
            <w:vAlign w:val="center"/>
          </w:tcPr>
          <w:p>
            <w:pPr>
              <w:spacing w:after="0" w:line="252" w:lineRule="auto"/>
            </w:pPr>
            <w:r>
              <w:rPr>
                <w:rFonts w:ascii="Aptos" w:hAnsi="Aptos"/>
                <w:b w:val="0"/>
                <w:color w:val="102A3A"/>
                <w:sz w:val="18"/>
              </w:rPr>
              <w:t>Everything in Intelligence plus governed remediation, retry orchestration, advanced masking, headless APIs, multi-business-unit routing, extended audit, and enterprise webhooks.</w:t>
            </w:r>
          </w:p>
        </w:tc>
        <w:tc>
          <w:tcPr>
            <w:tcW w:type="dxa" w:w="1800"/>
            <w:tcMar>
              <w:top w:w="95" w:type="dxa"/>
              <w:start w:w="110" w:type="dxa"/>
              <w:bottom w:w="95" w:type="dxa"/>
              <w:end w:w="110" w:type="dxa"/>
            </w:tcMar>
            <w:vAlign w:val="center"/>
          </w:tcPr>
          <w:p>
            <w:pPr>
              <w:spacing w:after="0" w:line="252" w:lineRule="auto"/>
            </w:pPr>
            <w:r>
              <w:rPr>
                <w:rFonts w:ascii="Aptos" w:hAnsi="Aptos"/>
                <w:b w:val="0"/>
                <w:color w:val="102A3A"/>
                <w:sz w:val="18"/>
              </w:rPr>
              <w:t>Release 1.2+</w:t>
            </w:r>
          </w:p>
        </w:tc>
      </w:tr>
    </w:tbl>
    <w:p>
      <w:pPr>
        <w:spacing w:after="40"/>
      </w:pPr>
    </w:p>
    <w:tbl>
      <w:tblPr>
        <w:tblW w:type="auto" w:w="0"/>
        <w:jc w:val="center"/>
        <w:tblLayout w:type="fixed"/>
        <w:tblLook w:firstColumn="1" w:firstRow="1" w:lastColumn="0" w:lastRow="0" w:noHBand="0" w:noVBand="1" w:val="04A0"/>
        <w:tblBorders>
          <w:top w:val="single" w:sz="0" w:space="0" w:color="FFF8EC"/>
          <w:start w:val="single" w:sz="0" w:space="0" w:color="FFF8EC"/>
          <w:bottom w:val="single" w:sz="0" w:space="0" w:color="FFF8EC"/>
          <w:end w:val="single" w:sz="0" w:space="0" w:color="FFF8EC"/>
          <w:insideH w:val="single" w:sz="0" w:space="0" w:color="FFF8EC"/>
          <w:insideV w:val="single" w:sz="0" w:space="0" w:color="FFF8EC"/>
        </w:tblBorders>
      </w:tblPr>
      <w:tblGrid>
        <w:gridCol w:w="115"/>
        <w:gridCol w:w="9504"/>
      </w:tblGrid>
      <w:tr>
        <w:tc>
          <w:tcPr>
            <w:tcW w:type="dxa" w:w="5040"/>
            <w:shd w:fill="F0A23A"/>
          </w:tcPr>
          <w:p/>
        </w:tc>
        <w:tc>
          <w:tcPr>
            <w:tcW w:type="dxa" w:w="5040"/>
            <w:shd w:fill="FFF8EC"/>
            <w:tcMar>
              <w:top w:w="150" w:type="dxa"/>
              <w:start w:w="180" w:type="dxa"/>
              <w:bottom w:w="150" w:type="dxa"/>
              <w:end w:w="180" w:type="dxa"/>
            </w:tcMar>
          </w:tcPr>
          <w:p>
            <w:pPr>
              <w:spacing w:line="269" w:lineRule="auto" w:after="0"/>
            </w:pPr>
            <w:r>
              <w:rPr>
                <w:rFonts w:ascii="Aptos" w:hAnsi="Aptos"/>
                <w:b/>
                <w:color w:val="061B2E"/>
                <w:sz w:val="22"/>
              </w:rPr>
              <w:t>Release recommendation</w:t>
            </w:r>
            <w:r>
              <w:rPr>
                <w:rFonts w:ascii="Aptos" w:hAnsi="Aptos"/>
                <w:b w:val="0"/>
                <w:color w:val="102A3A"/>
                <w:sz w:val="21"/>
              </w:rPr>
              <w:br/>
              <w:t>Launch Essentials and Intelligence first. Keep autonomous remediation limited to explicit low-risk actions or a controlled Enterprise beta until the security model and operational evidence are mature.</w:t>
            </w:r>
          </w:p>
        </w:tc>
      </w:tr>
    </w:tbl>
    <w:p>
      <w:pPr>
        <w:spacing w:after="20"/>
      </w:pPr>
    </w:p>
    <w:p>
      <w:pPr>
        <w:spacing w:after="40"/>
      </w:pPr>
    </w:p>
    <w:p>
      <w:pPr>
        <w:pStyle w:val="Heading1"/>
        <w:keepNext/>
      </w:pPr>
      <w:r>
        <w:t>3. End-to-End Headless Architecture</w:t>
      </w:r>
    </w:p>
    <w:p>
      <w:pPr>
        <w:keepNext w:val="0"/>
        <w:spacing w:after="120" w:before="0" w:line="269" w:lineRule="auto"/>
      </w:pPr>
      <w:r>
        <w:rPr>
          <w:rFonts w:ascii="Aptos" w:hAnsi="Aptos"/>
          <w:b w:val="0"/>
          <w:color w:val="102A3A"/>
          <w:sz w:val="21"/>
        </w:rPr>
        <w:t>The architecture uses separate capture, normalization, diagnosis, notification, assistance, recovery, and escalation layers. Each layer must remain independently testable and resilient.</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3360"/>
        <w:gridCol w:w="3360"/>
        <w:gridCol w:w="3360"/>
      </w:tblGrid>
      <w:tr>
        <w:trPr>
          <w:tblHeader w:val="true"/>
        </w:trPr>
        <w:tc>
          <w:tcPr>
            <w:tcW w:type="dxa" w:w="1440"/>
            <w:shd w:fill="061B2E"/>
            <w:tcMar>
              <w:top w:w="110" w:type="dxa"/>
              <w:start w:w="120" w:type="dxa"/>
              <w:bottom w:w="110" w:type="dxa"/>
              <w:end w:w="120" w:type="dxa"/>
            </w:tcMar>
            <w:vAlign w:val="center"/>
          </w:tcPr>
          <w:p>
            <w:pPr>
              <w:jc w:val="center"/>
            </w:pPr>
            <w:r>
              <w:rPr>
                <w:rFonts w:ascii="Aptos" w:hAnsi="Aptos"/>
                <w:b/>
                <w:color w:val="FFFFFF"/>
                <w:sz w:val="18"/>
              </w:rPr>
              <w:t>Layer</w:t>
            </w:r>
          </w:p>
        </w:tc>
        <w:tc>
          <w:tcPr>
            <w:tcW w:type="dxa" w:w="4176"/>
            <w:shd w:fill="061B2E"/>
            <w:tcMar>
              <w:top w:w="110" w:type="dxa"/>
              <w:start w:w="120" w:type="dxa"/>
              <w:bottom w:w="110" w:type="dxa"/>
              <w:end w:w="120" w:type="dxa"/>
            </w:tcMar>
            <w:vAlign w:val="center"/>
          </w:tcPr>
          <w:p>
            <w:pPr>
              <w:jc w:val="center"/>
            </w:pPr>
            <w:r>
              <w:rPr>
                <w:rFonts w:ascii="Aptos" w:hAnsi="Aptos"/>
                <w:b/>
                <w:color w:val="FFFFFF"/>
                <w:sz w:val="18"/>
              </w:rPr>
              <w:t>Responsibilities</w:t>
            </w:r>
          </w:p>
        </w:tc>
        <w:tc>
          <w:tcPr>
            <w:tcW w:type="dxa" w:w="4464"/>
            <w:shd w:fill="061B2E"/>
            <w:tcMar>
              <w:top w:w="110" w:type="dxa"/>
              <w:start w:w="120" w:type="dxa"/>
              <w:bottom w:w="110" w:type="dxa"/>
              <w:end w:w="120" w:type="dxa"/>
            </w:tcMar>
            <w:vAlign w:val="center"/>
          </w:tcPr>
          <w:p>
            <w:pPr>
              <w:jc w:val="center"/>
            </w:pPr>
            <w:r>
              <w:rPr>
                <w:rFonts w:ascii="Aptos" w:hAnsi="Aptos"/>
                <w:b/>
                <w:color w:val="FFFFFF"/>
                <w:sz w:val="18"/>
              </w:rPr>
              <w:t>Key Components</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Execution</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Business automation and user processes that may fail.</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Flow, Apex, Queueable, Batch, Scheduled Apex, integrations, API, custom LWC, Experience Cloud.</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Capture</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Preserve raw failure facts and generate a correlation ID.</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Flow fault subflow, Flow error event adapter, ErrorCaptureService, Queueable finalizer, BatchApexErrorEvent subscriber, integration wrapper.</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Normalization</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Sanitize, classify, deduplicate, and enrich context.</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ErrorNormalizationService, SecuritySanitizerService, IncidentAggregationService, ContextSnapshotService.</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Diagnosis</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Apply deterministic rules and bounded AI reasoning.</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Error_Rule__mdt, DiagnosisOrchestrator, AgentforceGatewayService, AI_Diagnosis__c.</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Notification</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Create durable and real-time user alerts.</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User_Notification__c, Aegis_User_Alert__e, UserNotificationService.</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Assist</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Show details and gather user feedback without disrupting work.</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aegisHeadlessMonitor, aegisDiagnosticPanel, aegisGetHelpPanel.</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Recovery</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Execute approved updates and idempotent retries.</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RemediationOrchestrator, Remediation_Definition__mdt, RetryOrchestrationService, Retry_Handler__mdt.</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Escalation</w:t>
            </w:r>
          </w:p>
        </w:tc>
        <w:tc>
          <w:tcPr>
            <w:tcW w:type="dxa" w:w="4176"/>
            <w:tcMar>
              <w:top w:w="95" w:type="dxa"/>
              <w:start w:w="110" w:type="dxa"/>
              <w:bottom w:w="95" w:type="dxa"/>
              <w:end w:w="110" w:type="dxa"/>
            </w:tcMar>
            <w:vAlign w:val="center"/>
          </w:tcPr>
          <w:p>
            <w:pPr>
              <w:spacing w:after="0" w:line="252" w:lineRule="auto"/>
            </w:pPr>
            <w:r>
              <w:rPr>
                <w:rFonts w:ascii="Aptos" w:hAnsi="Aptos"/>
                <w:b w:val="0"/>
                <w:color w:val="102A3A"/>
                <w:sz w:val="18"/>
              </w:rPr>
              <w:t>Build and route complete technical evidence.</w:t>
            </w:r>
          </w:p>
        </w:tc>
        <w:tc>
          <w:tcPr>
            <w:tcW w:type="dxa" w:w="4464"/>
            <w:tcMar>
              <w:top w:w="95" w:type="dxa"/>
              <w:start w:w="110" w:type="dxa"/>
              <w:bottom w:w="95" w:type="dxa"/>
              <w:end w:w="110" w:type="dxa"/>
            </w:tcMar>
            <w:vAlign w:val="center"/>
          </w:tcPr>
          <w:p>
            <w:pPr>
              <w:spacing w:after="0" w:line="252" w:lineRule="auto"/>
            </w:pPr>
            <w:r>
              <w:rPr>
                <w:rFonts w:ascii="Aptos" w:hAnsi="Aptos"/>
                <w:b w:val="0"/>
                <w:color w:val="102A3A"/>
                <w:sz w:val="18"/>
              </w:rPr>
              <w:t>EscalationService, Developer_Escalation__c, Delivery_Attempt__c, connector extensions.</w:t>
            </w:r>
          </w:p>
        </w:tc>
      </w:tr>
    </w:tbl>
    <w:p>
      <w:pPr>
        <w:spacing w:after="40"/>
      </w:pPr>
    </w:p>
    <w:p>
      <w:pPr>
        <w:pStyle w:val="Heading2"/>
        <w:keepNext/>
      </w:pPr>
      <w:r>
        <w:t>3.1 Runtime Sequence</w:t>
      </w:r>
    </w:p>
    <w:p>
      <w:pPr>
        <w:pStyle w:val="ListNumber"/>
        <w:spacing w:after="60"/>
      </w:pPr>
      <w:r>
        <w:rPr>
          <w:rFonts w:ascii="Aptos" w:hAnsi="Aptos"/>
          <w:b w:val="0"/>
          <w:color w:val="102A3A"/>
          <w:sz w:val="21"/>
        </w:rPr>
        <w:t>A Flow, Apex transaction, asynchronous process, integration, API operation, or custom user interface fails.</w:t>
      </w:r>
    </w:p>
    <w:p>
      <w:pPr>
        <w:pStyle w:val="ListNumber"/>
        <w:spacing w:after="60"/>
      </w:pPr>
      <w:r>
        <w:rPr>
          <w:rFonts w:ascii="Aptos" w:hAnsi="Aptos"/>
          <w:b w:val="0"/>
          <w:color w:val="102A3A"/>
          <w:sz w:val="21"/>
        </w:rPr>
        <w:t>The source-specific adapter generates or reuses a correlation ID and publishes Error_Captured__e. Normal DML may be used only where rollback behavior is understood.</w:t>
      </w:r>
    </w:p>
    <w:p>
      <w:pPr>
        <w:pStyle w:val="ListNumber"/>
        <w:spacing w:after="60"/>
      </w:pPr>
      <w:r>
        <w:rPr>
          <w:rFonts w:ascii="Aptos" w:hAnsi="Aptos"/>
          <w:b w:val="0"/>
          <w:color w:val="102A3A"/>
          <w:sz w:val="21"/>
        </w:rPr>
        <w:t>A subscriber creates or updates Error_Log__c and Error_Context__c, sanitizes sensitive values, and calculates an incident grouping key.</w:t>
      </w:r>
    </w:p>
    <w:p>
      <w:pPr>
        <w:pStyle w:val="ListNumber"/>
        <w:spacing w:after="60"/>
      </w:pPr>
      <w:r>
        <w:rPr>
          <w:rFonts w:ascii="Aptos" w:hAnsi="Aptos"/>
          <w:b w:val="0"/>
          <w:color w:val="102A3A"/>
          <w:sz w:val="21"/>
        </w:rPr>
        <w:t>Deterministic error rules classify the issue and determine whether more context is needed.</w:t>
      </w:r>
    </w:p>
    <w:p>
      <w:pPr>
        <w:pStyle w:val="ListNumber"/>
        <w:spacing w:after="60"/>
      </w:pPr>
      <w:r>
        <w:rPr>
          <w:rFonts w:ascii="Aptos" w:hAnsi="Aptos"/>
          <w:b w:val="0"/>
          <w:color w:val="102A3A"/>
          <w:sz w:val="21"/>
        </w:rPr>
        <w:t>DiagnosisOrchestrator optionally invokes Agentforce with a compact structured payload and stores AI_Diagnosis__c.</w:t>
      </w:r>
    </w:p>
    <w:p>
      <w:pPr>
        <w:pStyle w:val="ListNumber"/>
        <w:spacing w:after="60"/>
      </w:pPr>
      <w:r>
        <w:rPr>
          <w:rFonts w:ascii="Aptos" w:hAnsi="Aptos"/>
          <w:b w:val="0"/>
          <w:color w:val="102A3A"/>
          <w:sz w:val="21"/>
        </w:rPr>
        <w:t>Notification policy determines whether the affected user, record owner, support route, or administrator should be notified.</w:t>
      </w:r>
    </w:p>
    <w:p>
      <w:pPr>
        <w:pStyle w:val="ListNumber"/>
        <w:spacing w:after="60"/>
      </w:pPr>
      <w:r>
        <w:rPr>
          <w:rFonts w:ascii="Aptos" w:hAnsi="Aptos"/>
          <w:b w:val="0"/>
          <w:color w:val="102A3A"/>
          <w:sz w:val="21"/>
        </w:rPr>
        <w:t>UserNotificationService creates User_Notification__c and publishes Aegis_User_Alert__e with a minimal browser-safe payload.</w:t>
      </w:r>
    </w:p>
    <w:p>
      <w:pPr>
        <w:pStyle w:val="ListNumber"/>
        <w:spacing w:after="60"/>
      </w:pPr>
      <w:r>
        <w:rPr>
          <w:rFonts w:ascii="Aptos" w:hAnsi="Aptos"/>
          <w:b w:val="0"/>
          <w:color w:val="102A3A"/>
          <w:sz w:val="21"/>
        </w:rPr>
        <w:t>The dormant utility LWC receives the event, filters by current user, prevents duplicate notifications, and shows a subtle alert.</w:t>
      </w:r>
    </w:p>
    <w:p>
      <w:pPr>
        <w:pStyle w:val="ListNumber"/>
        <w:spacing w:after="60"/>
      </w:pPr>
      <w:r>
        <w:rPr>
          <w:rFonts w:ascii="Aptos" w:hAnsi="Aptos"/>
          <w:b w:val="0"/>
          <w:color w:val="102A3A"/>
          <w:sz w:val="21"/>
        </w:rPr>
        <w:t>The user can view details, dismiss the alert, open Get Help, approve a registered remediation, request a safe retry, or escalate.</w:t>
      </w:r>
    </w:p>
    <w:p>
      <w:pPr>
        <w:pStyle w:val="ListNumber"/>
        <w:spacing w:after="60"/>
      </w:pPr>
      <w:r>
        <w:rPr>
          <w:rFonts w:ascii="Aptos" w:hAnsi="Aptos"/>
          <w:b w:val="0"/>
          <w:color w:val="102A3A"/>
          <w:sz w:val="21"/>
        </w:rPr>
        <w:t>Every decision and action is audited against the same correlation ID.</w:t>
      </w:r>
    </w:p>
    <w:p>
      <w:pPr>
        <w:pStyle w:val="Heading1"/>
        <w:keepNext/>
      </w:pPr>
      <w:r>
        <w:t>4. Failure Capture Architecture</w:t>
      </w:r>
    </w:p>
    <w:p>
      <w:pPr>
        <w:pStyle w:val="Heading2"/>
        <w:keepNext/>
      </w:pPr>
      <w:r>
        <w:t>4.1 Reusable Flow Fault Subflow</w:t>
      </w:r>
    </w:p>
    <w:p>
      <w:pPr>
        <w:keepNext w:val="0"/>
        <w:spacing w:after="120" w:before="0" w:line="269" w:lineRule="auto"/>
      </w:pPr>
      <w:r>
        <w:rPr>
          <w:rFonts w:ascii="Aptos" w:hAnsi="Aptos"/>
          <w:b w:val="0"/>
          <w:color w:val="102A3A"/>
          <w:sz w:val="22"/>
        </w:rPr>
        <w:t>Create and package an autolaunched subflow named Aegis_Error_Capture_Fault_Subflow. Customer Flows must connect fault paths from DML, actions, subflows, callouts, and other failure-capable elements to this subflow.</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3360"/>
        <w:gridCol w:w="3360"/>
        <w:gridCol w:w="3360"/>
      </w:tblGrid>
      <w:tr>
        <w:trPr>
          <w:tblHeader w:val="true"/>
        </w:trPr>
        <w:tc>
          <w:tcPr>
            <w:tcW w:type="dxa" w:w="2664"/>
            <w:shd w:fill="061B2E"/>
            <w:tcMar>
              <w:top w:w="110" w:type="dxa"/>
              <w:start w:w="120" w:type="dxa"/>
              <w:bottom w:w="110" w:type="dxa"/>
              <w:end w:w="120" w:type="dxa"/>
            </w:tcMar>
            <w:vAlign w:val="center"/>
          </w:tcPr>
          <w:p>
            <w:pPr>
              <w:jc w:val="center"/>
            </w:pPr>
            <w:r>
              <w:rPr>
                <w:rFonts w:ascii="Aptos" w:hAnsi="Aptos"/>
                <w:b/>
                <w:color w:val="FFFFFF"/>
                <w:sz w:val="18"/>
              </w:rPr>
              <w:t>Input Variable</w:t>
            </w:r>
          </w:p>
        </w:tc>
        <w:tc>
          <w:tcPr>
            <w:tcW w:type="dxa" w:w="1440"/>
            <w:shd w:fill="061B2E"/>
            <w:tcMar>
              <w:top w:w="110" w:type="dxa"/>
              <w:start w:w="120" w:type="dxa"/>
              <w:bottom w:w="110" w:type="dxa"/>
              <w:end w:w="120" w:type="dxa"/>
            </w:tcMar>
            <w:vAlign w:val="center"/>
          </w:tcPr>
          <w:p>
            <w:pPr>
              <w:jc w:val="center"/>
            </w:pPr>
            <w:r>
              <w:rPr>
                <w:rFonts w:ascii="Aptos" w:hAnsi="Aptos"/>
                <w:b/>
                <w:color w:val="FFFFFF"/>
                <w:sz w:val="18"/>
              </w:rPr>
              <w:t>Type</w:t>
            </w:r>
          </w:p>
        </w:tc>
        <w:tc>
          <w:tcPr>
            <w:tcW w:type="dxa" w:w="5976"/>
            <w:shd w:fill="061B2E"/>
            <w:tcMar>
              <w:top w:w="110" w:type="dxa"/>
              <w:start w:w="120" w:type="dxa"/>
              <w:bottom w:w="110" w:type="dxa"/>
              <w:end w:w="120" w:type="dxa"/>
            </w:tcMar>
            <w:vAlign w:val="center"/>
          </w:tcPr>
          <w:p>
            <w:pPr>
              <w:jc w:val="center"/>
            </w:pPr>
            <w:r>
              <w:rPr>
                <w:rFonts w:ascii="Aptos" w:hAnsi="Aptos"/>
                <w:b/>
                <w:color w:val="FFFFFF"/>
                <w:sz w:val="18"/>
              </w:rPr>
              <w:t>Purpose</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varCorrelationId</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Optional ID supplied by the parent process.</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varFlowApiName</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Flow API name.</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varFlowVersion</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Number/Text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Activated Flow version.</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varFlowInterviewGuid</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Flow interview identifier when available.</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varFailedElementApiName</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API name or label of the failing element.</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varFaultMessage</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Sanitized $Flow.FaultMessage.</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varRecordId</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Primary business record.</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varObjectApiName</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Primary object API name.</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varInitiatingUserId</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Business user who initiated the process, when known.</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varUserAction</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Action being attempted.</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varExecutionType</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SCREEN, RECORD_TRIGGERED, AUTOLAUNCHED, SCHEDULED, or ORCHESTRATION.</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varPageUrl</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Current page URL when available.</w:t>
            </w:r>
          </w:p>
        </w:tc>
      </w:tr>
      <w:tr>
        <w:trPr>
          <w:cantSplit/>
        </w:trPr>
        <w:tc>
          <w:tcPr>
            <w:tcW w:type="dxa" w:w="2664"/>
            <w:tcMar>
              <w:top w:w="95" w:type="dxa"/>
              <w:start w:w="110" w:type="dxa"/>
              <w:bottom w:w="95" w:type="dxa"/>
              <w:end w:w="110" w:type="dxa"/>
            </w:tcMar>
            <w:vAlign w:val="center"/>
          </w:tcPr>
          <w:p>
            <w:pPr>
              <w:spacing w:after="0" w:line="252" w:lineRule="auto"/>
            </w:pPr>
            <w:r>
              <w:rPr>
                <w:rFonts w:ascii="Aptos" w:hAnsi="Aptos"/>
                <w:b/>
                <w:color w:val="061B2E"/>
                <w:sz w:val="18"/>
              </w:rPr>
              <w:t>varContextJson</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Text</w:t>
            </w:r>
          </w:p>
        </w:tc>
        <w:tc>
          <w:tcPr>
            <w:tcW w:type="dxa" w:w="5976"/>
            <w:tcMar>
              <w:top w:w="95" w:type="dxa"/>
              <w:start w:w="110" w:type="dxa"/>
              <w:bottom w:w="95" w:type="dxa"/>
              <w:end w:w="110" w:type="dxa"/>
            </w:tcMar>
            <w:vAlign w:val="center"/>
          </w:tcPr>
          <w:p>
            <w:pPr>
              <w:spacing w:after="0" w:line="252" w:lineRule="auto"/>
            </w:pPr>
            <w:r>
              <w:rPr>
                <w:rFonts w:ascii="Aptos" w:hAnsi="Aptos"/>
                <w:b w:val="0"/>
                <w:color w:val="102A3A"/>
                <w:sz w:val="18"/>
              </w:rPr>
              <w:t>Size-limited, sanitized context.</w:t>
            </w:r>
          </w:p>
        </w:tc>
      </w:tr>
    </w:tbl>
    <w:p>
      <w:pPr>
        <w:spacing w:after="40"/>
      </w:pPr>
    </w:p>
    <w:p>
      <w:pPr>
        <w:pStyle w:val="ListBullet"/>
        <w:spacing w:after="60" w:line="259" w:lineRule="auto"/>
      </w:pPr>
      <w:r>
        <w:rPr>
          <w:rFonts w:ascii="Aptos" w:hAnsi="Aptos"/>
          <w:b w:val="0"/>
          <w:color w:val="102A3A"/>
          <w:sz w:val="21"/>
        </w:rPr>
        <w:t>The subflow must publish Error_Captured__e and must not perform full AI diagnosis inside the failing transaction.</w:t>
      </w:r>
    </w:p>
    <w:p>
      <w:pPr>
        <w:pStyle w:val="ListBullet"/>
        <w:spacing w:after="60" w:line="259" w:lineRule="auto"/>
      </w:pPr>
      <w:r>
        <w:rPr>
          <w:rFonts w:ascii="Aptos" w:hAnsi="Aptos"/>
          <w:b w:val="0"/>
          <w:color w:val="102A3A"/>
          <w:sz w:val="21"/>
        </w:rPr>
        <w:t>Screen Flows may show a friendly message with an Aegis reference number; background Flows must fail gracefully without requiring user interaction.</w:t>
      </w:r>
    </w:p>
    <w:p>
      <w:pPr>
        <w:pStyle w:val="ListBullet"/>
        <w:spacing w:after="60" w:line="259" w:lineRule="auto"/>
      </w:pPr>
      <w:r>
        <w:rPr>
          <w:rFonts w:ascii="Aptos" w:hAnsi="Aptos"/>
          <w:b w:val="0"/>
          <w:color w:val="102A3A"/>
          <w:sz w:val="21"/>
        </w:rPr>
        <w:t>The subflow must never expose raw stack traces, tokens, credentials, or unrestricted payloads to end users.</w:t>
      </w:r>
    </w:p>
    <w:p>
      <w:pPr>
        <w:pStyle w:val="ListBullet"/>
        <w:spacing w:after="60" w:line="259" w:lineRule="auto"/>
      </w:pPr>
      <w:r>
        <w:rPr>
          <w:rFonts w:ascii="Aptos" w:hAnsi="Aptos"/>
          <w:b w:val="0"/>
          <w:color w:val="102A3A"/>
          <w:sz w:val="21"/>
        </w:rPr>
        <w:t>The package setup wizard must report customer Flows that do not contain fault paths.</w:t>
      </w:r>
    </w:p>
    <w:p>
      <w:pPr>
        <w:pStyle w:val="Heading2"/>
        <w:keepNext/>
      </w:pPr>
      <w:r>
        <w:t>4.2 Fallback Capture Sources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3360"/>
        <w:gridCol w:w="3360"/>
        <w:gridCol w:w="3360"/>
      </w:tblGrid>
      <w:tr>
        <w:trPr>
          <w:tblHeader w:val="true"/>
        </w:trPr>
        <w:tc>
          <w:tcPr>
            <w:tcW w:type="dxa" w:w="1872"/>
            <w:shd w:fill="061B2E"/>
            <w:tcMar>
              <w:top w:w="110" w:type="dxa"/>
              <w:start w:w="120" w:type="dxa"/>
              <w:bottom w:w="110" w:type="dxa"/>
              <w:end w:w="120" w:type="dxa"/>
            </w:tcMar>
            <w:vAlign w:val="center"/>
          </w:tcPr>
          <w:p>
            <w:pPr>
              <w:jc w:val="center"/>
            </w:pPr>
            <w:r>
              <w:rPr>
                <w:rFonts w:ascii="Aptos" w:hAnsi="Aptos"/>
                <w:b/>
                <w:color w:val="FFFFFF"/>
                <w:sz w:val="18"/>
              </w:rPr>
              <w:t>Failure Source</w:t>
            </w:r>
          </w:p>
        </w:tc>
        <w:tc>
          <w:tcPr>
            <w:tcW w:type="dxa" w:w="3528"/>
            <w:shd w:fill="061B2E"/>
            <w:tcMar>
              <w:top w:w="110" w:type="dxa"/>
              <w:start w:w="120" w:type="dxa"/>
              <w:bottom w:w="110" w:type="dxa"/>
              <w:end w:w="120" w:type="dxa"/>
            </w:tcMar>
            <w:vAlign w:val="center"/>
          </w:tcPr>
          <w:p>
            <w:pPr>
              <w:jc w:val="center"/>
            </w:pPr>
            <w:r>
              <w:rPr>
                <w:rFonts w:ascii="Aptos" w:hAnsi="Aptos"/>
                <w:b/>
                <w:color w:val="FFFFFF"/>
                <w:sz w:val="18"/>
              </w:rPr>
              <w:t>Capture Pattern</w:t>
            </w:r>
          </w:p>
        </w:tc>
        <w:tc>
          <w:tcPr>
            <w:tcW w:type="dxa" w:w="4680"/>
            <w:shd w:fill="061B2E"/>
            <w:tcMar>
              <w:top w:w="110" w:type="dxa"/>
              <w:start w:w="120" w:type="dxa"/>
              <w:bottom w:w="110" w:type="dxa"/>
              <w:end w:w="120" w:type="dxa"/>
            </w:tcMar>
            <w:vAlign w:val="center"/>
          </w:tcPr>
          <w:p>
            <w:pPr>
              <w:jc w:val="center"/>
            </w:pPr>
            <w:r>
              <w:rPr>
                <w:rFonts w:ascii="Aptos" w:hAnsi="Aptos"/>
                <w:b/>
                <w:color w:val="FFFFFF"/>
                <w:sz w:val="18"/>
              </w:rPr>
              <w:t>Required Evidence</w:t>
            </w:r>
          </w:p>
        </w:tc>
      </w:tr>
      <w:tr>
        <w:trPr>
          <w:cantSplit/>
        </w:trPr>
        <w:tc>
          <w:tcPr>
            <w:tcW w:type="dxa" w:w="1872"/>
            <w:tcMar>
              <w:top w:w="95" w:type="dxa"/>
              <w:start w:w="110" w:type="dxa"/>
              <w:bottom w:w="95" w:type="dxa"/>
              <w:end w:w="110" w:type="dxa"/>
            </w:tcMar>
            <w:vAlign w:val="center"/>
          </w:tcPr>
          <w:p>
            <w:pPr>
              <w:spacing w:after="0" w:line="252" w:lineRule="auto"/>
            </w:pPr>
            <w:r>
              <w:rPr>
                <w:rFonts w:ascii="Aptos" w:hAnsi="Aptos"/>
                <w:b/>
                <w:color w:val="061B2E"/>
                <w:sz w:val="18"/>
              </w:rPr>
              <w:t>Unhandled screen Flow</w:t>
            </w:r>
          </w:p>
        </w:tc>
        <w:tc>
          <w:tcPr>
            <w:tcW w:type="dxa" w:w="3528"/>
            <w:tcMar>
              <w:top w:w="95" w:type="dxa"/>
              <w:start w:w="110" w:type="dxa"/>
              <w:bottom w:w="95" w:type="dxa"/>
              <w:end w:w="110" w:type="dxa"/>
            </w:tcMar>
            <w:vAlign w:val="center"/>
          </w:tcPr>
          <w:p>
            <w:pPr>
              <w:spacing w:after="0" w:line="252" w:lineRule="auto"/>
            </w:pPr>
            <w:r>
              <w:rPr>
                <w:rFonts w:ascii="Aptos" w:hAnsi="Aptos"/>
                <w:b w:val="0"/>
                <w:color w:val="102A3A"/>
                <w:sz w:val="18"/>
              </w:rPr>
              <w:t>Subscribe to supported Flow execution error events and normalize into Error_Captured__e.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Flow identity, error message, user, timestamp, available interview context.</w:t>
            </w:r>
          </w:p>
        </w:tc>
      </w:tr>
      <w:tr>
        <w:trPr>
          <w:cantSplit/>
        </w:trPr>
        <w:tc>
          <w:tcPr>
            <w:tcW w:type="dxa" w:w="1872"/>
            <w:tcMar>
              <w:top w:w="95" w:type="dxa"/>
              <w:start w:w="110" w:type="dxa"/>
              <w:bottom w:w="95" w:type="dxa"/>
              <w:end w:w="110" w:type="dxa"/>
            </w:tcMar>
            <w:vAlign w:val="center"/>
          </w:tcPr>
          <w:p>
            <w:pPr>
              <w:spacing w:after="0" w:line="252" w:lineRule="auto"/>
            </w:pPr>
            <w:r>
              <w:rPr>
                <w:rFonts w:ascii="Aptos" w:hAnsi="Aptos"/>
                <w:b/>
                <w:color w:val="061B2E"/>
                <w:sz w:val="18"/>
              </w:rPr>
              <w:t>Apex service or trigger</w:t>
            </w:r>
          </w:p>
        </w:tc>
        <w:tc>
          <w:tcPr>
            <w:tcW w:type="dxa" w:w="3528"/>
            <w:tcMar>
              <w:top w:w="95" w:type="dxa"/>
              <w:start w:w="110" w:type="dxa"/>
              <w:bottom w:w="95" w:type="dxa"/>
              <w:end w:w="110" w:type="dxa"/>
            </w:tcMar>
            <w:vAlign w:val="center"/>
          </w:tcPr>
          <w:p>
            <w:pPr>
              <w:spacing w:after="0" w:line="252" w:lineRule="auto"/>
            </w:pPr>
            <w:r>
              <w:rPr>
                <w:rFonts w:ascii="Aptos" w:hAnsi="Aptos"/>
                <w:b w:val="0"/>
                <w:color w:val="102A3A"/>
                <w:sz w:val="18"/>
              </w:rPr>
              <w:t>Catch at the process boundary and call ErrorCaptureService.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Class, method, line, DML status, record, stack trace, action.</w:t>
            </w:r>
          </w:p>
        </w:tc>
      </w:tr>
      <w:tr>
        <w:trPr>
          <w:cantSplit/>
        </w:trPr>
        <w:tc>
          <w:tcPr>
            <w:tcW w:type="dxa" w:w="1872"/>
            <w:tcMar>
              <w:top w:w="95" w:type="dxa"/>
              <w:start w:w="110" w:type="dxa"/>
              <w:bottom w:w="95" w:type="dxa"/>
              <w:end w:w="110" w:type="dxa"/>
            </w:tcMar>
            <w:vAlign w:val="center"/>
          </w:tcPr>
          <w:p>
            <w:pPr>
              <w:spacing w:after="0" w:line="252" w:lineRule="auto"/>
            </w:pPr>
            <w:r>
              <w:rPr>
                <w:rFonts w:ascii="Aptos" w:hAnsi="Aptos"/>
                <w:b/>
                <w:color w:val="061B2E"/>
                <w:sz w:val="18"/>
              </w:rPr>
              <w:t>Queueable</w:t>
            </w:r>
          </w:p>
        </w:tc>
        <w:tc>
          <w:tcPr>
            <w:tcW w:type="dxa" w:w="3528"/>
            <w:tcMar>
              <w:top w:w="95" w:type="dxa"/>
              <w:start w:w="110" w:type="dxa"/>
              <w:bottom w:w="95" w:type="dxa"/>
              <w:end w:w="110" w:type="dxa"/>
            </w:tcMar>
            <w:vAlign w:val="center"/>
          </w:tcPr>
          <w:p>
            <w:pPr>
              <w:spacing w:after="0" w:line="252" w:lineRule="auto"/>
            </w:pPr>
            <w:r>
              <w:rPr>
                <w:rFonts w:ascii="Aptos" w:hAnsi="Aptos"/>
                <w:b w:val="0"/>
                <w:color w:val="102A3A"/>
                <w:sz w:val="18"/>
              </w:rPr>
              <w:t>Attach a Queueable finalizer.</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Job ID, class, finalizer state, serialized safe context, exception.</w:t>
            </w:r>
          </w:p>
        </w:tc>
      </w:tr>
      <w:tr>
        <w:trPr>
          <w:cantSplit/>
        </w:trPr>
        <w:tc>
          <w:tcPr>
            <w:tcW w:type="dxa" w:w="1872"/>
            <w:tcMar>
              <w:top w:w="95" w:type="dxa"/>
              <w:start w:w="110" w:type="dxa"/>
              <w:bottom w:w="95" w:type="dxa"/>
              <w:end w:w="110" w:type="dxa"/>
            </w:tcMar>
            <w:vAlign w:val="center"/>
          </w:tcPr>
          <w:p>
            <w:pPr>
              <w:spacing w:after="0" w:line="252" w:lineRule="auto"/>
            </w:pPr>
            <w:r>
              <w:rPr>
                <w:rFonts w:ascii="Aptos" w:hAnsi="Aptos"/>
                <w:b/>
                <w:color w:val="061B2E"/>
                <w:sz w:val="18"/>
              </w:rPr>
              <w:t>Batch Apex</w:t>
            </w:r>
          </w:p>
        </w:tc>
        <w:tc>
          <w:tcPr>
            <w:tcW w:type="dxa" w:w="3528"/>
            <w:tcMar>
              <w:top w:w="95" w:type="dxa"/>
              <w:start w:w="110" w:type="dxa"/>
              <w:bottom w:w="95" w:type="dxa"/>
              <w:end w:w="110" w:type="dxa"/>
            </w:tcMar>
            <w:vAlign w:val="center"/>
          </w:tcPr>
          <w:p>
            <w:pPr>
              <w:spacing w:after="0" w:line="252" w:lineRule="auto"/>
            </w:pPr>
            <w:r>
              <w:rPr>
                <w:rFonts w:ascii="Aptos" w:hAnsi="Aptos"/>
                <w:b w:val="0"/>
                <w:color w:val="102A3A"/>
                <w:sz w:val="18"/>
              </w:rPr>
              <w:t>Implement Database.RaisesPlatformEvents and subscribe to BatchApexErrorEvent.</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Batch job ID, scope, failed record IDs, exception.</w:t>
            </w:r>
          </w:p>
        </w:tc>
      </w:tr>
      <w:tr>
        <w:trPr>
          <w:cantSplit/>
        </w:trPr>
        <w:tc>
          <w:tcPr>
            <w:tcW w:type="dxa" w:w="1872"/>
            <w:tcMar>
              <w:top w:w="95" w:type="dxa"/>
              <w:start w:w="110" w:type="dxa"/>
              <w:bottom w:w="95" w:type="dxa"/>
              <w:end w:w="110" w:type="dxa"/>
            </w:tcMar>
            <w:vAlign w:val="center"/>
          </w:tcPr>
          <w:p>
            <w:pPr>
              <w:spacing w:after="0" w:line="252" w:lineRule="auto"/>
            </w:pPr>
            <w:r>
              <w:rPr>
                <w:rFonts w:ascii="Aptos" w:hAnsi="Aptos"/>
                <w:b/>
                <w:color w:val="061B2E"/>
                <w:sz w:val="18"/>
              </w:rPr>
              <w:t>Scheduled Apex</w:t>
            </w:r>
          </w:p>
        </w:tc>
        <w:tc>
          <w:tcPr>
            <w:tcW w:type="dxa" w:w="3528"/>
            <w:tcMar>
              <w:top w:w="95" w:type="dxa"/>
              <w:start w:w="110" w:type="dxa"/>
              <w:bottom w:w="95" w:type="dxa"/>
              <w:end w:w="110" w:type="dxa"/>
            </w:tcMar>
            <w:vAlign w:val="center"/>
          </w:tcPr>
          <w:p>
            <w:pPr>
              <w:spacing w:after="0" w:line="252" w:lineRule="auto"/>
            </w:pPr>
            <w:r>
              <w:rPr>
                <w:rFonts w:ascii="Aptos" w:hAnsi="Aptos"/>
                <w:b w:val="0"/>
                <w:color w:val="102A3A"/>
                <w:sz w:val="18"/>
              </w:rPr>
              <w:t>Catch at scheduled execution boundary and reconcile AsyncApexJob failures.</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Job ID, class, status, exception, execution time.</w:t>
            </w:r>
          </w:p>
        </w:tc>
      </w:tr>
      <w:tr>
        <w:trPr>
          <w:cantSplit/>
        </w:trPr>
        <w:tc>
          <w:tcPr>
            <w:tcW w:type="dxa" w:w="1872"/>
            <w:tcMar>
              <w:top w:w="95" w:type="dxa"/>
              <w:start w:w="110" w:type="dxa"/>
              <w:bottom w:w="95" w:type="dxa"/>
              <w:end w:w="110" w:type="dxa"/>
            </w:tcMar>
            <w:vAlign w:val="center"/>
          </w:tcPr>
          <w:p>
            <w:pPr>
              <w:spacing w:after="0" w:line="252" w:lineRule="auto"/>
            </w:pPr>
            <w:r>
              <w:rPr>
                <w:rFonts w:ascii="Aptos" w:hAnsi="Aptos"/>
                <w:b/>
                <w:color w:val="061B2E"/>
                <w:sz w:val="18"/>
              </w:rPr>
              <w:t>Integration/API</w:t>
            </w:r>
          </w:p>
        </w:tc>
        <w:tc>
          <w:tcPr>
            <w:tcW w:type="dxa" w:w="3528"/>
            <w:tcMar>
              <w:top w:w="95" w:type="dxa"/>
              <w:start w:w="110" w:type="dxa"/>
              <w:bottom w:w="95" w:type="dxa"/>
              <w:end w:w="110" w:type="dxa"/>
            </w:tcMar>
            <w:vAlign w:val="center"/>
          </w:tcPr>
          <w:p>
            <w:pPr>
              <w:spacing w:after="0" w:line="252" w:lineRule="auto"/>
            </w:pPr>
            <w:r>
              <w:rPr>
                <w:rFonts w:ascii="Aptos" w:hAnsi="Aptos"/>
                <w:b w:val="0"/>
                <w:color w:val="102A3A"/>
                <w:sz w:val="18"/>
              </w:rPr>
              <w:t>Use Named Credential wrapper and authenticated capture REST endpoint.</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Endpoint alias, HTTP status, correlation ID, sanitized body hash/snippet.</w:t>
            </w:r>
          </w:p>
        </w:tc>
      </w:tr>
      <w:tr>
        <w:trPr>
          <w:cantSplit/>
        </w:trPr>
        <w:tc>
          <w:tcPr>
            <w:tcW w:type="dxa" w:w="1872"/>
            <w:tcMar>
              <w:top w:w="95" w:type="dxa"/>
              <w:start w:w="110" w:type="dxa"/>
              <w:bottom w:w="95" w:type="dxa"/>
              <w:end w:w="110" w:type="dxa"/>
            </w:tcMar>
            <w:vAlign w:val="center"/>
          </w:tcPr>
          <w:p>
            <w:pPr>
              <w:spacing w:after="0" w:line="252" w:lineRule="auto"/>
            </w:pPr>
            <w:r>
              <w:rPr>
                <w:rFonts w:ascii="Aptos" w:hAnsi="Aptos"/>
                <w:b/>
                <w:color w:val="061B2E"/>
                <w:sz w:val="18"/>
              </w:rPr>
              <w:t>Custom LWC</w:t>
            </w:r>
          </w:p>
        </w:tc>
        <w:tc>
          <w:tcPr>
            <w:tcW w:type="dxa" w:w="3528"/>
            <w:tcMar>
              <w:top w:w="95" w:type="dxa"/>
              <w:start w:w="110" w:type="dxa"/>
              <w:bottom w:w="95" w:type="dxa"/>
              <w:end w:w="110" w:type="dxa"/>
            </w:tcMar>
            <w:vAlign w:val="center"/>
          </w:tcPr>
          <w:p>
            <w:pPr>
              <w:spacing w:after="0" w:line="252" w:lineRule="auto"/>
            </w:pPr>
            <w:r>
              <w:rPr>
                <w:rFonts w:ascii="Aptos" w:hAnsi="Aptos"/>
                <w:b w:val="0"/>
                <w:color w:val="102A3A"/>
                <w:sz w:val="18"/>
              </w:rPr>
              <w:t>Use errorCallback and server-side capture.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Component name, page reference, browser context, message, stack.</w:t>
            </w:r>
          </w:p>
        </w:tc>
      </w:tr>
    </w:tbl>
    <w:p>
      <w:pPr>
        <w:spacing w:after="40"/>
      </w:pPr>
    </w:p>
    <w:p>
      <w:pPr>
        <w:spacing w:after="40"/>
      </w:pPr>
    </w:p>
    <w:p>
      <w:pPr>
        <w:pStyle w:val="Heading1"/>
        <w:keepNext/>
      </w:pPr>
      <w:r>
        <w:t>5. Platform Event and Communication Contracts</w:t>
      </w:r>
    </w:p>
    <w:p>
      <w:pPr>
        <w:pStyle w:val="Heading2"/>
        <w:keepNext/>
      </w:pPr>
      <w:r>
        <w:t>5.1 Error_Captured__e</w:t>
      </w:r>
    </w:p>
    <w:p>
      <w:pPr>
        <w:keepNext w:val="0"/>
        <w:spacing w:after="120" w:before="0" w:line="269" w:lineRule="auto"/>
      </w:pPr>
      <w:r>
        <w:rPr>
          <w:rFonts w:ascii="Aptos" w:hAnsi="Aptos"/>
          <w:b w:val="0"/>
          <w:color w:val="102A3A"/>
          <w:sz w:val="22"/>
        </w:rPr>
        <w:t>Internal event used as the durable handoff from source capture to asynchronous processing.</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880"/>
            <w:shd w:fill="061B2E"/>
            <w:tcMar>
              <w:top w:w="110" w:type="dxa"/>
              <w:start w:w="120" w:type="dxa"/>
              <w:bottom w:w="110" w:type="dxa"/>
              <w:end w:w="120" w:type="dxa"/>
            </w:tcMar>
            <w:vAlign w:val="center"/>
          </w:tcPr>
          <w:p>
            <w:pPr>
              <w:jc w:val="center"/>
            </w:pPr>
            <w:r>
              <w:rPr>
                <w:rFonts w:ascii="Aptos" w:hAnsi="Aptos"/>
                <w:b/>
                <w:color w:val="FFFFFF"/>
                <w:sz w:val="18"/>
              </w:rPr>
              <w:t>Field</w:t>
            </w:r>
          </w:p>
        </w:tc>
        <w:tc>
          <w:tcPr>
            <w:tcW w:type="dxa" w:w="7200"/>
            <w:shd w:fill="061B2E"/>
            <w:tcMar>
              <w:top w:w="110" w:type="dxa"/>
              <w:start w:w="120" w:type="dxa"/>
              <w:bottom w:w="110" w:type="dxa"/>
              <w:end w:w="120" w:type="dxa"/>
            </w:tcMar>
            <w:vAlign w:val="center"/>
          </w:tcPr>
          <w:p>
            <w:pPr>
              <w:jc w:val="center"/>
            </w:pPr>
            <w:r>
              <w:rPr>
                <w:rFonts w:ascii="Aptos" w:hAnsi="Aptos"/>
                <w:b/>
                <w:color w:val="FFFFFF"/>
                <w:sz w:val="18"/>
              </w:rPr>
              <w:t>Purpose</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Correlation_Id__c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Required cross-layer identifier.</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Source_Type__c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Flow, Apex, Queueable, Batch, Integration, API, LWC, Manual.</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Source_Name__c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Flow API name, Apex class, component, integration alias, or job.</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Flow_Version__c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Flow version when relevant.</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Failed_Element__c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Flow element or process stage.</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Error_Message__c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Sanitized failure message.</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Record_Id__c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Affected Salesforce or external record identifier.</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Object_API_Name__c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Object context.</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Affected_User_Id__c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User whose work was affected.</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Execution_User_Id__c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Actual execution identity such as Automated Process.</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Context_JSON__c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Compact, sanitized context only.</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Occurred_At__c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Failure timestamp.</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Severity_Hint__c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Optional source-provided severity hint.</w:t>
            </w:r>
          </w:p>
        </w:tc>
      </w:tr>
    </w:tbl>
    <w:p>
      <w:pPr>
        <w:spacing w:after="40"/>
      </w:pPr>
    </w:p>
    <w:p>
      <w:pPr>
        <w:pStyle w:val="Heading2"/>
        <w:keepNext/>
      </w:pPr>
      <w:r>
        <w:t>5.2 Aegis_User_Alert__e</w:t>
      </w:r>
    </w:p>
    <w:p>
      <w:pPr>
        <w:keepNext w:val="0"/>
        <w:spacing w:after="120" w:before="0" w:line="269" w:lineRule="auto"/>
      </w:pPr>
      <w:r>
        <w:rPr>
          <w:rFonts w:ascii="Aptos" w:hAnsi="Aptos"/>
          <w:b w:val="0"/>
          <w:color w:val="102A3A"/>
          <w:sz w:val="22"/>
        </w:rPr>
        <w:t>Minimal browser-facing event. It must not contain raw logs, stack traces, private record values, access tokens, session IDs, or full diagnostic payloads.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880"/>
            <w:shd w:fill="061B2E"/>
            <w:tcMar>
              <w:top w:w="110" w:type="dxa"/>
              <w:start w:w="120" w:type="dxa"/>
              <w:bottom w:w="110" w:type="dxa"/>
              <w:end w:w="120" w:type="dxa"/>
            </w:tcMar>
            <w:vAlign w:val="center"/>
          </w:tcPr>
          <w:p>
            <w:pPr>
              <w:jc w:val="center"/>
            </w:pPr>
            <w:r>
              <w:rPr>
                <w:rFonts w:ascii="Aptos" w:hAnsi="Aptos"/>
                <w:b/>
                <w:color w:val="FFFFFF"/>
                <w:sz w:val="18"/>
              </w:rPr>
              <w:t>Field</w:t>
            </w:r>
          </w:p>
        </w:tc>
        <w:tc>
          <w:tcPr>
            <w:tcW w:type="dxa" w:w="7200"/>
            <w:shd w:fill="061B2E"/>
            <w:tcMar>
              <w:top w:w="110" w:type="dxa"/>
              <w:start w:w="120" w:type="dxa"/>
              <w:bottom w:w="110" w:type="dxa"/>
              <w:end w:w="120" w:type="dxa"/>
            </w:tcMar>
            <w:vAlign w:val="center"/>
          </w:tcPr>
          <w:p>
            <w:pPr>
              <w:jc w:val="center"/>
            </w:pPr>
            <w:r>
              <w:rPr>
                <w:rFonts w:ascii="Aptos" w:hAnsi="Aptos"/>
                <w:b/>
                <w:color w:val="FFFFFF"/>
                <w:sz w:val="18"/>
              </w:rPr>
              <w:t>Purpose</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Correlation_Id__c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Lookup key for secure server-side retrieval.</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Target_User_Id__c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Intended Salesforce user.</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Error_Log_Id__c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Related error record, used only after authorization.</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Notification_Type__c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Detected, Diagnosed, Retry Available, Escalated, Resolved.</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Severity__c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Low, Medium, High, Critical.</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Headline__c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Short message such as "I have identified the issue."</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Short_Message__c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One or two lines of user-safe context.</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Action_Available__c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VIEW, HELP, RETRY, FIX, ESCALATE, or NONE.</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Occurred_At__c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Creation timestamp.</w:t>
            </w:r>
          </w:p>
        </w:tc>
      </w:tr>
      <w:tr>
        <w:trPr>
          <w:cantSplit/>
        </w:trPr>
        <w:tc>
          <w:tcPr>
            <w:tcW w:type="dxa" w:w="2880"/>
            <w:tcMar>
              <w:top w:w="95" w:type="dxa"/>
              <w:start w:w="110" w:type="dxa"/>
              <w:bottom w:w="95" w:type="dxa"/>
              <w:end w:w="110" w:type="dxa"/>
            </w:tcMar>
            <w:vAlign w:val="center"/>
          </w:tcPr>
          <w:p>
            <w:pPr>
              <w:spacing w:after="0" w:line="252" w:lineRule="auto"/>
            </w:pPr>
            <w:r>
              <w:rPr>
                <w:rFonts w:ascii="Aptos" w:hAnsi="Aptos"/>
                <w:b/>
                <w:color w:val="061B2E"/>
                <w:sz w:val="18"/>
              </w:rPr>
              <w:t>Expires_At__c</w:t>
            </w:r>
          </w:p>
        </w:tc>
        <w:tc>
          <w:tcPr>
            <w:tcW w:type="dxa" w:w="7200"/>
            <w:tcMar>
              <w:top w:w="95" w:type="dxa"/>
              <w:start w:w="110" w:type="dxa"/>
              <w:bottom w:w="95" w:type="dxa"/>
              <w:end w:w="110" w:type="dxa"/>
            </w:tcMar>
            <w:vAlign w:val="center"/>
          </w:tcPr>
          <w:p>
            <w:pPr>
              <w:spacing w:after="0" w:line="252" w:lineRule="auto"/>
            </w:pPr>
            <w:r>
              <w:rPr>
                <w:rFonts w:ascii="Aptos" w:hAnsi="Aptos"/>
                <w:b w:val="0"/>
                <w:color w:val="102A3A"/>
                <w:sz w:val="18"/>
              </w:rPr>
              <w:t>Alert expiration time.</w:t>
            </w:r>
          </w:p>
        </w:tc>
      </w:tr>
    </w:tbl>
    <w:p>
      <w:pPr>
        <w:spacing w:after="40"/>
      </w:pPr>
    </w:p>
    <w:p>
      <w:pPr>
        <w:pStyle w:val="Heading2"/>
        <w:keepNext/>
      </w:pPr>
      <w:r>
        <w:t>5.3 Event Processing Requirements</w:t>
      </w:r>
    </w:p>
    <w:p>
      <w:pPr>
        <w:pStyle w:val="ListBullet"/>
        <w:spacing w:after="60" w:line="259" w:lineRule="auto"/>
      </w:pPr>
      <w:r>
        <w:rPr>
          <w:rFonts w:ascii="Aptos" w:hAnsi="Aptos"/>
          <w:b w:val="0"/>
          <w:color w:val="102A3A"/>
          <w:sz w:val="21"/>
        </w:rPr>
        <w:t>Every event must contain Correlation_Id__c.</w:t>
      </w:r>
    </w:p>
    <w:p>
      <w:pPr>
        <w:pStyle w:val="ListBullet"/>
        <w:spacing w:after="60" w:line="259" w:lineRule="auto"/>
      </w:pPr>
      <w:r>
        <w:rPr>
          <w:rFonts w:ascii="Aptos" w:hAnsi="Aptos"/>
          <w:b w:val="0"/>
          <w:color w:val="102A3A"/>
          <w:sz w:val="21"/>
        </w:rPr>
        <w:t>Subscribers must be bulk-safe and idempotent.</w:t>
      </w:r>
    </w:p>
    <w:p>
      <w:pPr>
        <w:pStyle w:val="ListBullet"/>
        <w:spacing w:after="60" w:line="259" w:lineRule="auto"/>
      </w:pPr>
      <w:r>
        <w:rPr>
          <w:rFonts w:ascii="Aptos" w:hAnsi="Aptos"/>
          <w:b w:val="0"/>
          <w:color w:val="102A3A"/>
          <w:sz w:val="21"/>
        </w:rPr>
        <w:t>Duplicate events must not create duplicate incidents, notifications, escalations, or remediation actions.</w:t>
      </w:r>
    </w:p>
    <w:p>
      <w:pPr>
        <w:pStyle w:val="ListBullet"/>
        <w:spacing w:after="60" w:line="259" w:lineRule="auto"/>
      </w:pPr>
      <w:r>
        <w:rPr>
          <w:rFonts w:ascii="Aptos" w:hAnsi="Aptos"/>
          <w:b w:val="0"/>
          <w:color w:val="102A3A"/>
          <w:sz w:val="21"/>
        </w:rPr>
        <w:t>Large payloads must be stored as Salesforce Files or child records and referenced from the event.</w:t>
      </w:r>
    </w:p>
    <w:p>
      <w:pPr>
        <w:pStyle w:val="ListBullet"/>
        <w:spacing w:after="60" w:line="259" w:lineRule="auto"/>
      </w:pPr>
      <w:r>
        <w:rPr>
          <w:rFonts w:ascii="Aptos" w:hAnsi="Aptos"/>
          <w:b w:val="0"/>
          <w:color w:val="102A3A"/>
          <w:sz w:val="21"/>
        </w:rPr>
        <w:t>Event publishing and subscriber failures must be recorded in Delivery_Attempt__c or equivalent operational telemetry.</w:t>
      </w:r>
    </w:p>
    <w:p>
      <w:pPr>
        <w:pStyle w:val="ListBullet"/>
        <w:spacing w:after="60" w:line="259" w:lineRule="auto"/>
      </w:pPr>
      <w:r>
        <w:rPr>
          <w:rFonts w:ascii="Aptos" w:hAnsi="Aptos"/>
          <w:b w:val="0"/>
          <w:color w:val="102A3A"/>
          <w:sz w:val="21"/>
        </w:rPr>
        <w:t>Event access must be granted through dedicated permission sets.</w:t>
      </w:r>
    </w:p>
    <w:p>
      <w:pPr>
        <w:pStyle w:val="Heading1"/>
        <w:keepNext/>
      </w:pPr>
      <w:r>
        <w:t>6. Headless LWC and User Experience</w:t>
      </w:r>
    </w:p>
    <w:p>
      <w:pPr>
        <w:pStyle w:val="Heading2"/>
        <w:keepNext/>
      </w:pPr>
      <w:r>
        <w:t>6.1 Deployment Model</w:t>
      </w:r>
    </w:p>
    <w:p>
      <w:pPr>
        <w:keepNext w:val="0"/>
        <w:spacing w:after="120" w:before="0" w:line="269" w:lineRule="auto"/>
      </w:pPr>
      <w:r>
        <w:rPr>
          <w:rFonts w:ascii="Aptos" w:hAnsi="Aptos"/>
          <w:b w:val="0"/>
          <w:color w:val="102A3A"/>
          <w:sz w:val="22"/>
        </w:rPr>
        <w:t>Implement the global experience as a minimized Lightning Utility Bar LWC named aegisHeadlessMonitor. Do not require customers to place a visual component on every record page. The utility must be added to each supported Lightning application through setup guidance or deployment metadata.</w:t>
      </w:r>
    </w:p>
    <w:tbl>
      <w:tblPr>
        <w:tblW w:type="auto" w:w="0"/>
        <w:jc w:val="center"/>
        <w:tblLayout w:type="fixed"/>
        <w:tblLook w:firstColumn="1" w:firstRow="1" w:lastColumn="0" w:lastRow="0" w:noHBand="0" w:noVBand="1" w:val="04A0"/>
        <w:tblBorders>
          <w:top w:val="single" w:sz="0" w:space="0" w:color="EDF9FB"/>
          <w:start w:val="single" w:sz="0" w:space="0" w:color="EDF9FB"/>
          <w:bottom w:val="single" w:sz="0" w:space="0" w:color="EDF9FB"/>
          <w:end w:val="single" w:sz="0" w:space="0" w:color="EDF9FB"/>
          <w:insideH w:val="single" w:sz="0" w:space="0" w:color="EDF9FB"/>
          <w:insideV w:val="single" w:sz="0" w:space="0" w:color="EDF9FB"/>
        </w:tblBorders>
      </w:tblPr>
      <w:tblGrid>
        <w:gridCol w:w="115"/>
        <w:gridCol w:w="9504"/>
      </w:tblGrid>
      <w:tr>
        <w:tc>
          <w:tcPr>
            <w:tcW w:type="dxa" w:w="5040"/>
            <w:shd w:fill="13C6D8"/>
          </w:tcPr>
          <w:p/>
        </w:tc>
        <w:tc>
          <w:tcPr>
            <w:tcW w:type="dxa" w:w="5040"/>
            <w:shd w:fill="EDF9FB"/>
            <w:tcMar>
              <w:top w:w="150" w:type="dxa"/>
              <w:start w:w="180" w:type="dxa"/>
              <w:bottom w:w="150" w:type="dxa"/>
              <w:end w:w="180" w:type="dxa"/>
            </w:tcMar>
          </w:tcPr>
          <w:p>
            <w:pPr>
              <w:spacing w:line="269" w:lineRule="auto" w:after="0"/>
            </w:pPr>
            <w:r>
              <w:rPr>
                <w:rFonts w:ascii="Aptos" w:hAnsi="Aptos"/>
                <w:b/>
                <w:color w:val="061B2E"/>
                <w:sz w:val="22"/>
              </w:rPr>
              <w:t>Why Utility Bar</w:t>
            </w:r>
            <w:r>
              <w:rPr>
                <w:rFonts w:ascii="Aptos" w:hAnsi="Aptos"/>
                <w:b w:val="0"/>
                <w:color w:val="102A3A"/>
                <w:sz w:val="21"/>
              </w:rPr>
              <w:br/>
              <w:t>A utility item persists across application navigation, avoids occupying page content, reduces duplicate subscriptions, and provides a consistent location for proactive notifications and manual Get Help.</w:t>
            </w:r>
          </w:p>
        </w:tc>
      </w:tr>
    </w:tbl>
    <w:p>
      <w:pPr>
        <w:spacing w:after="20"/>
      </w:pPr>
    </w:p>
    <w:p>
      <w:pPr>
        <w:pStyle w:val="Heading2"/>
        <w:keepNext/>
      </w:pPr>
      <w:r>
        <w:t>6.2 Runtime Behavior</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3360"/>
        <w:gridCol w:w="3360"/>
        <w:gridCol w:w="3360"/>
      </w:tblGrid>
      <w:tr>
        <w:trPr>
          <w:tblHeader w:val="true"/>
        </w:trPr>
        <w:tc>
          <w:tcPr>
            <w:tcW w:type="dxa" w:w="1440"/>
            <w:shd w:fill="061B2E"/>
            <w:tcMar>
              <w:top w:w="110" w:type="dxa"/>
              <w:start w:w="120" w:type="dxa"/>
              <w:bottom w:w="110" w:type="dxa"/>
              <w:end w:w="120" w:type="dxa"/>
            </w:tcMar>
            <w:vAlign w:val="center"/>
          </w:tcPr>
          <w:p>
            <w:pPr>
              <w:jc w:val="center"/>
            </w:pPr>
            <w:r>
              <w:rPr>
                <w:rFonts w:ascii="Aptos" w:hAnsi="Aptos"/>
                <w:b/>
                <w:color w:val="FFFFFF"/>
                <w:sz w:val="18"/>
              </w:rPr>
              <w:t>State</w:t>
            </w:r>
          </w:p>
        </w:tc>
        <w:tc>
          <w:tcPr>
            <w:tcW w:type="dxa" w:w="3960"/>
            <w:shd w:fill="061B2E"/>
            <w:tcMar>
              <w:top w:w="110" w:type="dxa"/>
              <w:start w:w="120" w:type="dxa"/>
              <w:bottom w:w="110" w:type="dxa"/>
              <w:end w:w="120" w:type="dxa"/>
            </w:tcMar>
            <w:vAlign w:val="center"/>
          </w:tcPr>
          <w:p>
            <w:pPr>
              <w:jc w:val="center"/>
            </w:pPr>
            <w:r>
              <w:rPr>
                <w:rFonts w:ascii="Aptos" w:hAnsi="Aptos"/>
                <w:b/>
                <w:color w:val="FFFFFF"/>
                <w:sz w:val="18"/>
              </w:rPr>
              <w:t>Visible Behavior</w:t>
            </w:r>
          </w:p>
        </w:tc>
        <w:tc>
          <w:tcPr>
            <w:tcW w:type="dxa" w:w="4680"/>
            <w:shd w:fill="061B2E"/>
            <w:tcMar>
              <w:top w:w="110" w:type="dxa"/>
              <w:start w:w="120" w:type="dxa"/>
              <w:bottom w:w="110" w:type="dxa"/>
              <w:end w:w="120" w:type="dxa"/>
            </w:tcMar>
            <w:vAlign w:val="center"/>
          </w:tcPr>
          <w:p>
            <w:pPr>
              <w:jc w:val="center"/>
            </w:pPr>
            <w:r>
              <w:rPr>
                <w:rFonts w:ascii="Aptos" w:hAnsi="Aptos"/>
                <w:b/>
                <w:color w:val="FFFFFF"/>
                <w:sz w:val="18"/>
              </w:rPr>
              <w:t>Implementation</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Dormant</w:t>
            </w:r>
          </w:p>
        </w:tc>
        <w:tc>
          <w:tcPr>
            <w:tcW w:type="dxa" w:w="3960"/>
            <w:tcMar>
              <w:top w:w="95" w:type="dxa"/>
              <w:start w:w="110" w:type="dxa"/>
              <w:bottom w:w="95" w:type="dxa"/>
              <w:end w:w="110" w:type="dxa"/>
            </w:tcMar>
            <w:vAlign w:val="center"/>
          </w:tcPr>
          <w:p>
            <w:pPr>
              <w:spacing w:after="0" w:line="252" w:lineRule="auto"/>
            </w:pPr>
            <w:r>
              <w:rPr>
                <w:rFonts w:ascii="Aptos" w:hAnsi="Aptos"/>
                <w:b w:val="0"/>
                <w:color w:val="102A3A"/>
                <w:sz w:val="18"/>
              </w:rPr>
              <w:t>No panel, no overlay, no badge.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One empApi subscription and lightweight initialization only.</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Detected</w:t>
            </w:r>
          </w:p>
        </w:tc>
        <w:tc>
          <w:tcPr>
            <w:tcW w:type="dxa" w:w="3960"/>
            <w:tcMar>
              <w:top w:w="95" w:type="dxa"/>
              <w:start w:w="110" w:type="dxa"/>
              <w:bottom w:w="95" w:type="dxa"/>
              <w:end w:w="110" w:type="dxa"/>
            </w:tcMar>
            <w:vAlign w:val="center"/>
          </w:tcPr>
          <w:p>
            <w:pPr>
              <w:spacing w:after="0" w:line="252" w:lineRule="auto"/>
            </w:pPr>
            <w:r>
              <w:rPr>
                <w:rFonts w:ascii="Aptos" w:hAnsi="Aptos"/>
                <w:b w:val="0"/>
                <w:color w:val="102A3A"/>
                <w:sz w:val="18"/>
              </w:rPr>
              <w:t>Small toast or utility badge: "I have identified an issue."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Filter event by Target_User_Id__c, expiration, permission, and dedupe cache.</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Details</w:t>
            </w:r>
          </w:p>
        </w:tc>
        <w:tc>
          <w:tcPr>
            <w:tcW w:type="dxa" w:w="3960"/>
            <w:tcMar>
              <w:top w:w="95" w:type="dxa"/>
              <w:start w:w="110" w:type="dxa"/>
              <w:bottom w:w="95" w:type="dxa"/>
              <w:end w:w="110" w:type="dxa"/>
            </w:tcMar>
            <w:vAlign w:val="center"/>
          </w:tcPr>
          <w:p>
            <w:pPr>
              <w:spacing w:after="0" w:line="252" w:lineRule="auto"/>
            </w:pPr>
            <w:r>
              <w:rPr>
                <w:rFonts w:ascii="Aptos" w:hAnsi="Aptos"/>
                <w:b w:val="0"/>
                <w:color w:val="102A3A"/>
                <w:sz w:val="18"/>
              </w:rPr>
              <w:t>User opens a compact panel with what happened, likely cause, impact, and next step.</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Retrieve details through secure Apex using correlation ID.</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Action</w:t>
            </w:r>
          </w:p>
        </w:tc>
        <w:tc>
          <w:tcPr>
            <w:tcW w:type="dxa" w:w="3960"/>
            <w:tcMar>
              <w:top w:w="95" w:type="dxa"/>
              <w:start w:w="110" w:type="dxa"/>
              <w:bottom w:w="95" w:type="dxa"/>
              <w:end w:w="110" w:type="dxa"/>
            </w:tcMar>
            <w:vAlign w:val="center"/>
          </w:tcPr>
          <w:p>
            <w:pPr>
              <w:spacing w:after="0" w:line="252" w:lineRule="auto"/>
            </w:pPr>
            <w:r>
              <w:rPr>
                <w:rFonts w:ascii="Aptos" w:hAnsi="Aptos"/>
                <w:b w:val="0"/>
                <w:color w:val="102A3A"/>
                <w:sz w:val="18"/>
              </w:rPr>
              <w:t>Show Fix, Retry, Get Help, Report Issue, Dismiss, or Escalate only when applicable.</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Render only policy-approved actions returned from the server.</w:t>
            </w:r>
          </w:p>
        </w:tc>
      </w:tr>
      <w:tr>
        <w:trPr>
          <w:cantSplit/>
        </w:trPr>
        <w:tc>
          <w:tcPr>
            <w:tcW w:type="dxa" w:w="1440"/>
            <w:tcMar>
              <w:top w:w="95" w:type="dxa"/>
              <w:start w:w="110" w:type="dxa"/>
              <w:bottom w:w="95" w:type="dxa"/>
              <w:end w:w="110" w:type="dxa"/>
            </w:tcMar>
            <w:vAlign w:val="center"/>
          </w:tcPr>
          <w:p>
            <w:pPr>
              <w:spacing w:after="0" w:line="252" w:lineRule="auto"/>
            </w:pPr>
            <w:r>
              <w:rPr>
                <w:rFonts w:ascii="Aptos" w:hAnsi="Aptos"/>
                <w:b/>
                <w:color w:val="061B2E"/>
                <w:sz w:val="18"/>
              </w:rPr>
              <w:t>Resolved</w:t>
            </w:r>
          </w:p>
        </w:tc>
        <w:tc>
          <w:tcPr>
            <w:tcW w:type="dxa" w:w="3960"/>
            <w:tcMar>
              <w:top w:w="95" w:type="dxa"/>
              <w:start w:w="110" w:type="dxa"/>
              <w:bottom w:w="95" w:type="dxa"/>
              <w:end w:w="110" w:type="dxa"/>
            </w:tcMar>
            <w:vAlign w:val="center"/>
          </w:tcPr>
          <w:p>
            <w:pPr>
              <w:spacing w:after="0" w:line="252" w:lineRule="auto"/>
            </w:pPr>
            <w:r>
              <w:rPr>
                <w:rFonts w:ascii="Aptos" w:hAnsi="Aptos"/>
                <w:b w:val="0"/>
                <w:color w:val="102A3A"/>
                <w:sz w:val="18"/>
              </w:rPr>
              <w:t>Optional confirmation and outcome summary.</w:t>
            </w:r>
          </w:p>
        </w:tc>
        <w:tc>
          <w:tcPr>
            <w:tcW w:type="dxa" w:w="4680"/>
            <w:tcMar>
              <w:top w:w="95" w:type="dxa"/>
              <w:start w:w="110" w:type="dxa"/>
              <w:bottom w:w="95" w:type="dxa"/>
              <w:end w:w="110" w:type="dxa"/>
            </w:tcMar>
            <w:vAlign w:val="center"/>
          </w:tcPr>
          <w:p>
            <w:pPr>
              <w:spacing w:after="0" w:line="252" w:lineRule="auto"/>
            </w:pPr>
            <w:r>
              <w:rPr>
                <w:rFonts w:ascii="Aptos" w:hAnsi="Aptos"/>
                <w:b w:val="0"/>
                <w:color w:val="102A3A"/>
                <w:sz w:val="18"/>
              </w:rPr>
              <w:t>Verify execution result before claiming success.</w:t>
            </w:r>
          </w:p>
        </w:tc>
      </w:tr>
    </w:tbl>
    <w:p>
      <w:pPr>
        <w:spacing w:after="40"/>
      </w:pPr>
    </w:p>
    <w:p>
      <w:pPr>
        <w:pStyle w:val="Heading2"/>
        <w:keepNext/>
      </w:pPr>
      <w:r>
        <w:t>6.3 LWC Component Set</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952"/>
            <w:shd w:fill="061B2E"/>
            <w:tcMar>
              <w:top w:w="110" w:type="dxa"/>
              <w:start w:w="120" w:type="dxa"/>
              <w:bottom w:w="110" w:type="dxa"/>
              <w:end w:w="120" w:type="dxa"/>
            </w:tcMar>
            <w:vAlign w:val="center"/>
          </w:tcPr>
          <w:p>
            <w:pPr>
              <w:jc w:val="center"/>
            </w:pPr>
            <w:r>
              <w:rPr>
                <w:rFonts w:ascii="Aptos" w:hAnsi="Aptos"/>
                <w:b/>
                <w:color w:val="FFFFFF"/>
                <w:sz w:val="18"/>
              </w:rPr>
              <w:t>Component</w:t>
            </w:r>
          </w:p>
        </w:tc>
        <w:tc>
          <w:tcPr>
            <w:tcW w:type="dxa" w:w="7128"/>
            <w:shd w:fill="061B2E"/>
            <w:tcMar>
              <w:top w:w="110" w:type="dxa"/>
              <w:start w:w="120" w:type="dxa"/>
              <w:bottom w:w="110" w:type="dxa"/>
              <w:end w:w="120" w:type="dxa"/>
            </w:tcMar>
            <w:vAlign w:val="center"/>
          </w:tcPr>
          <w:p>
            <w:pPr>
              <w:jc w:val="center"/>
            </w:pPr>
            <w:r>
              <w:rPr>
                <w:rFonts w:ascii="Aptos" w:hAnsi="Aptos"/>
                <w:b/>
                <w:color w:val="FFFFFF"/>
                <w:sz w:val="18"/>
              </w:rPr>
              <w:t>Responsibility</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aegisHeadlessMonitor</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Utility-bar host, event subscription, alert filtering, deduplication, and panel orchestration.</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aegisNotificationCard</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Compact user-safe alert with progressive disclosure.</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aegisDiagnosticPanel</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Displays authorized diagnosis, impact, reference ID, and next steps.</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aegisGetHelpPanel</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Captures task description, links recent errors, and creates Diagnostic_Session__c.</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aegisRemediationConfirmation</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Displays exact proposed object, field, current value, new value, risk, and confirmation.</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aegisEscalationConfirmation</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Shows the information that will be sent and the destination route.</w:t>
            </w:r>
          </w:p>
        </w:tc>
      </w:tr>
    </w:tbl>
    <w:p>
      <w:pPr>
        <w:spacing w:after="40"/>
      </w:pPr>
    </w:p>
    <w:p>
      <w:pPr>
        <w:pStyle w:val="Heading2"/>
        <w:keepNext/>
      </w:pPr>
      <w:r>
        <w:t>6.4 Desktop and Mobile Behavior</w:t>
      </w:r>
    </w:p>
    <w:p>
      <w:pPr>
        <w:pStyle w:val="ListBullet"/>
        <w:spacing w:after="60" w:line="259" w:lineRule="auto"/>
      </w:pPr>
      <w:r>
        <w:rPr>
          <w:rFonts w:ascii="Aptos" w:hAnsi="Aptos"/>
          <w:b w:val="0"/>
          <w:color w:val="102A3A"/>
          <w:sz w:val="21"/>
        </w:rPr>
        <w:t>Desktop Lightning Experience: subscribe to /event/Aegis_User_Alert__e through lightning/empApi.</w:t>
      </w:r>
    </w:p>
    <w:p>
      <w:pPr>
        <w:pStyle w:val="ListBullet"/>
        <w:spacing w:after="60" w:line="259" w:lineRule="auto"/>
      </w:pPr>
      <w:r>
        <w:rPr>
          <w:rFonts w:ascii="Aptos" w:hAnsi="Aptos"/>
          <w:b w:val="0"/>
          <w:color w:val="102A3A"/>
          <w:sz w:val="21"/>
        </w:rPr>
        <w:t>Salesforce mobile and unsupported surfaces: query unresolved User_Notification__c records on initialization and app resume; use conservative polling only while active.</w:t>
      </w:r>
    </w:p>
    <w:p>
      <w:pPr>
        <w:pStyle w:val="ListBullet"/>
        <w:spacing w:after="60" w:line="259" w:lineRule="auto"/>
      </w:pPr>
      <w:r>
        <w:rPr>
          <w:rFonts w:ascii="Aptos" w:hAnsi="Aptos"/>
          <w:b w:val="0"/>
          <w:color w:val="102A3A"/>
          <w:sz w:val="21"/>
        </w:rPr>
        <w:t>Do not poll continuously at short intervals.</w:t>
      </w:r>
    </w:p>
    <w:p>
      <w:pPr>
        <w:pStyle w:val="ListBullet"/>
        <w:spacing w:after="60" w:line="259" w:lineRule="auto"/>
      </w:pPr>
      <w:r>
        <w:rPr>
          <w:rFonts w:ascii="Aptos" w:hAnsi="Aptos"/>
          <w:b w:val="0"/>
          <w:color w:val="102A3A"/>
          <w:sz w:val="21"/>
        </w:rPr>
        <w:t>Manual Get Help must remain available through a utility item, mobile navigation item, quick action, or embedded Experience Cloud component.</w:t>
      </w:r>
    </w:p>
    <w:p>
      <w:pPr>
        <w:pStyle w:val="Heading2"/>
        <w:keepNext/>
      </w:pPr>
      <w:r>
        <w:t>6.5 Notification Language</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448"/>
            <w:shd w:fill="061B2E"/>
            <w:tcMar>
              <w:top w:w="110" w:type="dxa"/>
              <w:start w:w="120" w:type="dxa"/>
              <w:bottom w:w="110" w:type="dxa"/>
              <w:end w:w="120" w:type="dxa"/>
            </w:tcMar>
            <w:vAlign w:val="center"/>
          </w:tcPr>
          <w:p>
            <w:pPr>
              <w:jc w:val="center"/>
            </w:pPr>
            <w:r>
              <w:rPr>
                <w:rFonts w:ascii="Aptos" w:hAnsi="Aptos"/>
                <w:b/>
                <w:color w:val="FFFFFF"/>
                <w:sz w:val="18"/>
              </w:rPr>
              <w:t>State</w:t>
            </w:r>
          </w:p>
        </w:tc>
        <w:tc>
          <w:tcPr>
            <w:tcW w:type="dxa" w:w="7632"/>
            <w:shd w:fill="061B2E"/>
            <w:tcMar>
              <w:top w:w="110" w:type="dxa"/>
              <w:start w:w="120" w:type="dxa"/>
              <w:bottom w:w="110" w:type="dxa"/>
              <w:end w:w="120" w:type="dxa"/>
            </w:tcMar>
            <w:vAlign w:val="center"/>
          </w:tcPr>
          <w:p>
            <w:pPr>
              <w:jc w:val="center"/>
            </w:pPr>
            <w:r>
              <w:rPr>
                <w:rFonts w:ascii="Aptos" w:hAnsi="Aptos"/>
                <w:b/>
                <w:color w:val="FFFFFF"/>
                <w:sz w:val="18"/>
              </w:rPr>
              <w:t>Recommended Message</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Diagnosis complete</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I have identified the issue. The process was blocked because a required value is missing.</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Diagnosis running</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A background process encountered an issue. Aegis Flow is analyzing it now.</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Developer-only</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I found the issue, but it requires technical assistance. A diagnostic package is ready.</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Retry available</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A temporary issue interrupted the process. A safe retry is available.</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Resolution verified</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The approved action completed successfully.</w:t>
            </w:r>
          </w:p>
        </w:tc>
      </w:tr>
    </w:tbl>
    <w:p>
      <w:pPr>
        <w:spacing w:after="40"/>
      </w:pPr>
    </w:p>
    <w:p>
      <w:pPr>
        <w:spacing w:after="40"/>
      </w:pPr>
    </w:p>
    <w:p>
      <w:pPr>
        <w:pStyle w:val="Heading1"/>
        <w:keepNext/>
      </w:pPr>
      <w:r>
        <w:t>7. Get Help Feedback Loop</w:t>
      </w:r>
    </w:p>
    <w:p>
      <w:pPr>
        <w:pStyle w:val="Heading2"/>
        <w:keepNext/>
      </w:pPr>
      <w:r>
        <w:t>7.1 Detected-Failure Path</w:t>
      </w:r>
    </w:p>
    <w:p>
      <w:pPr>
        <w:pStyle w:val="ListNumber"/>
        <w:spacing w:after="60"/>
      </w:pPr>
      <w:r>
        <w:rPr>
          <w:rFonts w:ascii="Aptos" w:hAnsi="Aptos"/>
          <w:b w:val="0"/>
          <w:color w:val="102A3A"/>
          <w:sz w:val="21"/>
        </w:rPr>
        <w:t>The user selects Get Help from an Aegis notification.</w:t>
      </w:r>
    </w:p>
    <w:p>
      <w:pPr>
        <w:pStyle w:val="ListNumber"/>
        <w:spacing w:after="60"/>
      </w:pPr>
      <w:r>
        <w:rPr>
          <w:rFonts w:ascii="Aptos" w:hAnsi="Aptos"/>
          <w:b w:val="0"/>
          <w:color w:val="102A3A"/>
          <w:sz w:val="21"/>
        </w:rPr>
        <w:t>The system creates or reuses Diagnostic_Session__c and links it to Error_Log__c and User_Notification__c.</w:t>
      </w:r>
    </w:p>
    <w:p>
      <w:pPr>
        <w:pStyle w:val="ListNumber"/>
        <w:spacing w:after="60"/>
      </w:pPr>
      <w:r>
        <w:rPr>
          <w:rFonts w:ascii="Aptos" w:hAnsi="Aptos"/>
          <w:b w:val="0"/>
          <w:color w:val="102A3A"/>
          <w:sz w:val="21"/>
        </w:rPr>
        <w:t>The panel preloads known context instead of asking the user to repeat technical information.</w:t>
      </w:r>
    </w:p>
    <w:p>
      <w:pPr>
        <w:pStyle w:val="ListNumber"/>
        <w:spacing w:after="60"/>
      </w:pPr>
      <w:r>
        <w:rPr>
          <w:rFonts w:ascii="Aptos" w:hAnsi="Aptos"/>
          <w:b w:val="0"/>
          <w:color w:val="102A3A"/>
          <w:sz w:val="21"/>
        </w:rPr>
        <w:t>The first question confirms the user intent, for example: "Were you attempting to update products on this Opportunity?"</w:t>
      </w:r>
    </w:p>
    <w:p>
      <w:pPr>
        <w:pStyle w:val="ListNumber"/>
        <w:spacing w:after="60"/>
      </w:pPr>
      <w:r>
        <w:rPr>
          <w:rFonts w:ascii="Aptos" w:hAnsi="Aptos"/>
          <w:b w:val="0"/>
          <w:color w:val="102A3A"/>
          <w:sz w:val="21"/>
        </w:rPr>
        <w:t>Aegis provides guidance, proposes a registered action, offers a retry, or prepares an escalation.</w:t>
      </w:r>
    </w:p>
    <w:p>
      <w:pPr>
        <w:pStyle w:val="ListNumber"/>
        <w:spacing w:after="60"/>
      </w:pPr>
      <w:r>
        <w:rPr>
          <w:rFonts w:ascii="Aptos" w:hAnsi="Aptos"/>
          <w:b w:val="0"/>
          <w:color w:val="102A3A"/>
          <w:sz w:val="21"/>
        </w:rPr>
        <w:t>The session stores the user decision, feedback, and final outcome.</w:t>
      </w:r>
    </w:p>
    <w:p>
      <w:pPr>
        <w:pStyle w:val="Heading2"/>
        <w:keepNext/>
      </w:pPr>
      <w:r>
        <w:t>7.2 Manual Help Path</w:t>
      </w:r>
    </w:p>
    <w:p>
      <w:pPr>
        <w:keepNext w:val="0"/>
        <w:spacing w:after="120" w:before="0" w:line="269" w:lineRule="auto"/>
      </w:pPr>
      <w:r>
        <w:rPr>
          <w:rFonts w:ascii="Aptos" w:hAnsi="Aptos"/>
          <w:b w:val="0"/>
          <w:color w:val="102A3A"/>
          <w:sz w:val="22"/>
        </w:rPr>
        <w:t>When no recent error is available, the utility asks: "What were you trying to do?" It captures the current page reference, URL, application, object, record, user, timestamp, browser context, user description, and recent related Aegis errors.</w:t>
      </w:r>
    </w:p>
    <w:p>
      <w:pPr>
        <w:pStyle w:val="Heading2"/>
        <w:keepNext/>
      </w:pPr>
      <w:r>
        <w:t>7.3 Diagnostic Session State Model</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3168"/>
            <w:shd w:fill="061B2E"/>
            <w:tcMar>
              <w:top w:w="110" w:type="dxa"/>
              <w:start w:w="120" w:type="dxa"/>
              <w:bottom w:w="110" w:type="dxa"/>
              <w:end w:w="120" w:type="dxa"/>
            </w:tcMar>
            <w:vAlign w:val="center"/>
          </w:tcPr>
          <w:p>
            <w:pPr>
              <w:jc w:val="center"/>
            </w:pPr>
            <w:r>
              <w:rPr>
                <w:rFonts w:ascii="Aptos" w:hAnsi="Aptos"/>
                <w:b/>
                <w:color w:val="FFFFFF"/>
                <w:sz w:val="18"/>
              </w:rPr>
              <w:t>State</w:t>
            </w:r>
          </w:p>
        </w:tc>
        <w:tc>
          <w:tcPr>
            <w:tcW w:type="dxa" w:w="6912"/>
            <w:shd w:fill="061B2E"/>
            <w:tcMar>
              <w:top w:w="110" w:type="dxa"/>
              <w:start w:w="120" w:type="dxa"/>
              <w:bottom w:w="110" w:type="dxa"/>
              <w:end w:w="120" w:type="dxa"/>
            </w:tcMar>
            <w:vAlign w:val="center"/>
          </w:tcPr>
          <w:p>
            <w:pPr>
              <w:jc w:val="center"/>
            </w:pPr>
            <w:r>
              <w:rPr>
                <w:rFonts w:ascii="Aptos" w:hAnsi="Aptos"/>
                <w:b/>
                <w:color w:val="FFFFFF"/>
                <w:sz w:val="18"/>
              </w:rPr>
              <w:t>Meaning</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OPEN</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Session created.</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CONTEXT_CAPTURED</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Page, user, record, and related error context stored.</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DIAGNOSING</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Rules and optional Agentforce diagnosis in progress.</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GUIDANCE_PROVIDED</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Read-only guidance returned.</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REMEDIATION_PROPOSED</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Registered write action prepared.</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RETRY_PROPOSED</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Registered idempotent retry prepared.</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ESCALATION_PROPOSED</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Developer/admin package prepared.</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USER_CONFIRMED</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User approved action or escalation.</w:t>
            </w:r>
          </w:p>
        </w:tc>
      </w:tr>
      <w:tr>
        <w:trPr>
          <w:cantSplit/>
        </w:trPr>
        <w:tc>
          <w:tcPr>
            <w:tcW w:type="dxa" w:w="3168"/>
            <w:tcMar>
              <w:top w:w="95" w:type="dxa"/>
              <w:start w:w="110" w:type="dxa"/>
              <w:bottom w:w="95" w:type="dxa"/>
              <w:end w:w="110" w:type="dxa"/>
            </w:tcMar>
            <w:vAlign w:val="center"/>
          </w:tcPr>
          <w:p>
            <w:pPr>
              <w:spacing w:after="0" w:line="252" w:lineRule="auto"/>
            </w:pPr>
            <w:r>
              <w:rPr>
                <w:rFonts w:ascii="Aptos" w:hAnsi="Aptos"/>
                <w:b/>
                <w:color w:val="061B2E"/>
                <w:sz w:val="18"/>
              </w:rPr>
              <w:t>RESOLVED / ESCALATED / CLOSED</w:t>
            </w:r>
          </w:p>
        </w:tc>
        <w:tc>
          <w:tcPr>
            <w:tcW w:type="dxa" w:w="6912"/>
            <w:tcMar>
              <w:top w:w="95" w:type="dxa"/>
              <w:start w:w="110" w:type="dxa"/>
              <w:bottom w:w="95" w:type="dxa"/>
              <w:end w:w="110" w:type="dxa"/>
            </w:tcMar>
            <w:vAlign w:val="center"/>
          </w:tcPr>
          <w:p>
            <w:pPr>
              <w:spacing w:after="0" w:line="252" w:lineRule="auto"/>
            </w:pPr>
            <w:r>
              <w:rPr>
                <w:rFonts w:ascii="Aptos" w:hAnsi="Aptos"/>
                <w:b w:val="0"/>
                <w:color w:val="102A3A"/>
                <w:sz w:val="18"/>
              </w:rPr>
              <w:t>Terminal outcome with audit details.</w:t>
            </w:r>
          </w:p>
        </w:tc>
      </w:tr>
    </w:tbl>
    <w:p>
      <w:pPr>
        <w:spacing w:after="40"/>
      </w:pPr>
    </w:p>
    <w:p>
      <w:pPr>
        <w:pStyle w:val="Heading2"/>
        <w:keepNext/>
      </w:pPr>
      <w:r>
        <w:t>7.4 Feedback Questions</w:t>
      </w:r>
    </w:p>
    <w:p>
      <w:pPr>
        <w:pStyle w:val="ListBullet"/>
        <w:spacing w:after="60" w:line="259" w:lineRule="auto"/>
      </w:pPr>
      <w:r>
        <w:rPr>
          <w:rFonts w:ascii="Aptos" w:hAnsi="Aptos"/>
          <w:b w:val="0"/>
          <w:color w:val="102A3A"/>
          <w:sz w:val="21"/>
        </w:rPr>
        <w:t>Did this explanation help?</w:t>
      </w:r>
    </w:p>
    <w:p>
      <w:pPr>
        <w:pStyle w:val="ListBullet"/>
        <w:spacing w:after="60" w:line="259" w:lineRule="auto"/>
      </w:pPr>
      <w:r>
        <w:rPr>
          <w:rFonts w:ascii="Aptos" w:hAnsi="Aptos"/>
          <w:b w:val="0"/>
          <w:color w:val="102A3A"/>
          <w:sz w:val="21"/>
        </w:rPr>
        <w:t>Did the recommended action resolve the issue?</w:t>
      </w:r>
    </w:p>
    <w:p>
      <w:pPr>
        <w:pStyle w:val="ListBullet"/>
        <w:spacing w:after="60" w:line="259" w:lineRule="auto"/>
      </w:pPr>
      <w:r>
        <w:rPr>
          <w:rFonts w:ascii="Aptos" w:hAnsi="Aptos"/>
          <w:b w:val="0"/>
          <w:color w:val="102A3A"/>
          <w:sz w:val="21"/>
        </w:rPr>
        <w:t>Was the detected issue related to what you were doing?</w:t>
      </w:r>
    </w:p>
    <w:p>
      <w:pPr>
        <w:pStyle w:val="ListBullet"/>
        <w:spacing w:after="60" w:line="259" w:lineRule="auto"/>
      </w:pPr>
      <w:r>
        <w:rPr>
          <w:rFonts w:ascii="Aptos" w:hAnsi="Aptos"/>
          <w:b w:val="0"/>
          <w:color w:val="102A3A"/>
          <w:sz w:val="21"/>
        </w:rPr>
        <w:t>Would you like this sent to support?</w:t>
      </w:r>
    </w:p>
    <w:p>
      <w:pPr>
        <w:pStyle w:val="ListBullet"/>
        <w:spacing w:after="60" w:line="259" w:lineRule="auto"/>
      </w:pPr>
      <w:r>
        <w:rPr>
          <w:rFonts w:ascii="Aptos" w:hAnsi="Aptos"/>
          <w:b w:val="0"/>
          <w:color w:val="102A3A"/>
          <w:sz w:val="21"/>
        </w:rPr>
        <w:t>Was any information incorrect or missing?</w:t>
      </w:r>
    </w:p>
    <w:p>
      <w:pPr>
        <w:pStyle w:val="Heading1"/>
        <w:keepNext/>
      </w:pPr>
      <w:r>
        <w:t>8. Data Model</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952"/>
            <w:shd w:fill="061B2E"/>
            <w:tcMar>
              <w:top w:w="110" w:type="dxa"/>
              <w:start w:w="120" w:type="dxa"/>
              <w:bottom w:w="110" w:type="dxa"/>
              <w:end w:w="120" w:type="dxa"/>
            </w:tcMar>
            <w:vAlign w:val="center"/>
          </w:tcPr>
          <w:p>
            <w:pPr>
              <w:jc w:val="center"/>
            </w:pPr>
            <w:r>
              <w:rPr>
                <w:rFonts w:ascii="Aptos" w:hAnsi="Aptos"/>
                <w:b/>
                <w:color w:val="FFFFFF"/>
                <w:sz w:val="18"/>
              </w:rPr>
              <w:t>Object</w:t>
            </w:r>
          </w:p>
        </w:tc>
        <w:tc>
          <w:tcPr>
            <w:tcW w:type="dxa" w:w="7128"/>
            <w:shd w:fill="061B2E"/>
            <w:tcMar>
              <w:top w:w="110" w:type="dxa"/>
              <w:start w:w="120" w:type="dxa"/>
              <w:bottom w:w="110" w:type="dxa"/>
              <w:end w:w="120" w:type="dxa"/>
            </w:tcMar>
            <w:vAlign w:val="center"/>
          </w:tcPr>
          <w:p>
            <w:pPr>
              <w:jc w:val="center"/>
            </w:pPr>
            <w:r>
              <w:rPr>
                <w:rFonts w:ascii="Aptos" w:hAnsi="Aptos"/>
                <w:b/>
                <w:color w:val="FFFFFF"/>
                <w:sz w:val="18"/>
              </w:rPr>
              <w:t>Purpose</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Error_Log__c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Primary immutable/append-oriented error record.</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Error_Context__c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Page, record, changed-field, input, and related-record context.</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Incident__c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Grouped recurring failures and operational status.</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AI_Diagnosis__c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Agentforce explanation, confidence, fixability, and recommendation.</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Diagnostic_Session__c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Automatic or manual user-assistance session.</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User_Notification__c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Durable user alert for missed events, mobile fallback, acknowledgement, and audit.</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Remediation_Action__c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Proposed, approved, executed, failed, or cancelled corrective action.</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Retry_Attempt__c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Idempotent retry request and outcome history.</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Developer_Escalation__c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Escalation package and routing state.</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Delivery_Attempt__c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Email, Case, connector, webhook, or notification delivery attempt.</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Error_Feedback__c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User/admin feedback on diagnosis and resolution.</w:t>
            </w:r>
          </w:p>
        </w:tc>
      </w:tr>
      <w:tr>
        <w:trPr>
          <w:cantSplit/>
        </w:trPr>
        <w:tc>
          <w:tcPr>
            <w:tcW w:type="dxa" w:w="2952"/>
            <w:tcMar>
              <w:top w:w="95" w:type="dxa"/>
              <w:start w:w="110" w:type="dxa"/>
              <w:bottom w:w="95" w:type="dxa"/>
              <w:end w:w="110" w:type="dxa"/>
            </w:tcMar>
            <w:vAlign w:val="center"/>
          </w:tcPr>
          <w:p>
            <w:pPr>
              <w:spacing w:after="0" w:line="252" w:lineRule="auto"/>
            </w:pPr>
            <w:r>
              <w:rPr>
                <w:rFonts w:ascii="Aptos" w:hAnsi="Aptos"/>
                <w:b/>
                <w:color w:val="061B2E"/>
                <w:sz w:val="18"/>
              </w:rPr>
              <w:t>Error_Attachment__c</w:t>
            </w:r>
          </w:p>
        </w:tc>
        <w:tc>
          <w:tcPr>
            <w:tcW w:type="dxa" w:w="7128"/>
            <w:tcMar>
              <w:top w:w="95" w:type="dxa"/>
              <w:start w:w="110" w:type="dxa"/>
              <w:bottom w:w="95" w:type="dxa"/>
              <w:end w:w="110" w:type="dxa"/>
            </w:tcMar>
            <w:vAlign w:val="center"/>
          </w:tcPr>
          <w:p>
            <w:pPr>
              <w:spacing w:after="0" w:line="252" w:lineRule="auto"/>
            </w:pPr>
            <w:r>
              <w:rPr>
                <w:rFonts w:ascii="Aptos" w:hAnsi="Aptos"/>
                <w:b w:val="0"/>
                <w:color w:val="102A3A"/>
                <w:sz w:val="18"/>
              </w:rPr>
              <w:t>Metadata and links for Salesforce Files containing logs, screenshots, or payloads.</w:t>
            </w:r>
          </w:p>
        </w:tc>
      </w:tr>
    </w:tbl>
    <w:p>
      <w:pPr>
        <w:spacing w:after="40"/>
      </w:pPr>
    </w:p>
    <w:p>
      <w:pPr>
        <w:pStyle w:val="Heading2"/>
        <w:keepNext/>
      </w:pPr>
      <w:r>
        <w:t>8.1 Required Incident Fields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3456"/>
            <w:shd w:fill="061B2E"/>
            <w:tcMar>
              <w:top w:w="110" w:type="dxa"/>
              <w:start w:w="120" w:type="dxa"/>
              <w:bottom w:w="110" w:type="dxa"/>
              <w:end w:w="120" w:type="dxa"/>
            </w:tcMar>
            <w:vAlign w:val="center"/>
          </w:tcPr>
          <w:p>
            <w:pPr>
              <w:jc w:val="center"/>
            </w:pPr>
            <w:r>
              <w:rPr>
                <w:rFonts w:ascii="Aptos" w:hAnsi="Aptos"/>
                <w:b/>
                <w:color w:val="FFFFFF"/>
                <w:sz w:val="18"/>
              </w:rPr>
              <w:t>Field</w:t>
            </w:r>
          </w:p>
        </w:tc>
        <w:tc>
          <w:tcPr>
            <w:tcW w:type="dxa" w:w="6624"/>
            <w:shd w:fill="061B2E"/>
            <w:tcMar>
              <w:top w:w="110" w:type="dxa"/>
              <w:start w:w="120" w:type="dxa"/>
              <w:bottom w:w="110" w:type="dxa"/>
              <w:end w:w="120" w:type="dxa"/>
            </w:tcMar>
            <w:vAlign w:val="center"/>
          </w:tcPr>
          <w:p>
            <w:pPr>
              <w:jc w:val="center"/>
            </w:pPr>
            <w:r>
              <w:rPr>
                <w:rFonts w:ascii="Aptos" w:hAnsi="Aptos"/>
                <w:b/>
                <w:color w:val="FFFFFF"/>
                <w:sz w:val="18"/>
              </w:rPr>
              <w:t>Purpose</w:t>
            </w:r>
          </w:p>
        </w:tc>
      </w:tr>
      <w:tr>
        <w:trPr>
          <w:cantSplit/>
        </w:trPr>
        <w:tc>
          <w:tcPr>
            <w:tcW w:type="dxa" w:w="3456"/>
            <w:tcMar>
              <w:top w:w="95" w:type="dxa"/>
              <w:start w:w="110" w:type="dxa"/>
              <w:bottom w:w="95" w:type="dxa"/>
              <w:end w:w="110" w:type="dxa"/>
            </w:tcMar>
            <w:vAlign w:val="center"/>
          </w:tcPr>
          <w:p>
            <w:pPr>
              <w:spacing w:after="0" w:line="252" w:lineRule="auto"/>
            </w:pPr>
            <w:r>
              <w:rPr>
                <w:rFonts w:ascii="Aptos" w:hAnsi="Aptos"/>
                <w:b/>
                <w:color w:val="061B2E"/>
                <w:sz w:val="18"/>
              </w:rPr>
              <w:t>Incident_Key__c</w:t>
            </w:r>
          </w:p>
        </w:tc>
        <w:tc>
          <w:tcPr>
            <w:tcW w:type="dxa" w:w="6624"/>
            <w:tcMar>
              <w:top w:w="95" w:type="dxa"/>
              <w:start w:w="110" w:type="dxa"/>
              <w:bottom w:w="95" w:type="dxa"/>
              <w:end w:w="110" w:type="dxa"/>
            </w:tcMar>
            <w:vAlign w:val="center"/>
          </w:tcPr>
          <w:p>
            <w:pPr>
              <w:spacing w:after="0" w:line="252" w:lineRule="auto"/>
            </w:pPr>
            <w:r>
              <w:rPr>
                <w:rFonts w:ascii="Aptos" w:hAnsi="Aptos"/>
                <w:b w:val="0"/>
                <w:color w:val="102A3A"/>
                <w:sz w:val="18"/>
              </w:rPr>
              <w:t>External ID derived from source, normalized category, failed element, record, and time bucket.</w:t>
            </w:r>
          </w:p>
        </w:tc>
      </w:tr>
      <w:tr>
        <w:trPr>
          <w:cantSplit/>
        </w:trPr>
        <w:tc>
          <w:tcPr>
            <w:tcW w:type="dxa" w:w="3456"/>
            <w:tcMar>
              <w:top w:w="95" w:type="dxa"/>
              <w:start w:w="110" w:type="dxa"/>
              <w:bottom w:w="95" w:type="dxa"/>
              <w:end w:w="110" w:type="dxa"/>
            </w:tcMar>
            <w:vAlign w:val="center"/>
          </w:tcPr>
          <w:p>
            <w:pPr>
              <w:spacing w:after="0" w:line="252" w:lineRule="auto"/>
            </w:pPr>
            <w:r>
              <w:rPr>
                <w:rFonts w:ascii="Aptos" w:hAnsi="Aptos"/>
                <w:b/>
                <w:color w:val="061B2E"/>
                <w:sz w:val="18"/>
              </w:rPr>
              <w:t>First_Seen_At__c / Last_Seen_At__c</w:t>
            </w:r>
          </w:p>
        </w:tc>
        <w:tc>
          <w:tcPr>
            <w:tcW w:type="dxa" w:w="6624"/>
            <w:tcMar>
              <w:top w:w="95" w:type="dxa"/>
              <w:start w:w="110" w:type="dxa"/>
              <w:bottom w:w="95" w:type="dxa"/>
              <w:end w:w="110" w:type="dxa"/>
            </w:tcMar>
            <w:vAlign w:val="center"/>
          </w:tcPr>
          <w:p>
            <w:pPr>
              <w:spacing w:after="0" w:line="252" w:lineRule="auto"/>
            </w:pPr>
            <w:r>
              <w:rPr>
                <w:rFonts w:ascii="Aptos" w:hAnsi="Aptos"/>
                <w:b w:val="0"/>
                <w:color w:val="102A3A"/>
                <w:sz w:val="18"/>
              </w:rPr>
              <w:t>Occurrence time range.</w:t>
            </w:r>
          </w:p>
        </w:tc>
      </w:tr>
      <w:tr>
        <w:trPr>
          <w:cantSplit/>
        </w:trPr>
        <w:tc>
          <w:tcPr>
            <w:tcW w:type="dxa" w:w="3456"/>
            <w:tcMar>
              <w:top w:w="95" w:type="dxa"/>
              <w:start w:w="110" w:type="dxa"/>
              <w:bottom w:w="95" w:type="dxa"/>
              <w:end w:w="110" w:type="dxa"/>
            </w:tcMar>
            <w:vAlign w:val="center"/>
          </w:tcPr>
          <w:p>
            <w:pPr>
              <w:spacing w:after="0" w:line="252" w:lineRule="auto"/>
            </w:pPr>
            <w:r>
              <w:rPr>
                <w:rFonts w:ascii="Aptos" w:hAnsi="Aptos"/>
                <w:b/>
                <w:color w:val="061B2E"/>
                <w:sz w:val="18"/>
              </w:rPr>
              <w:t>Occurrence_Count__c</w:t>
            </w:r>
          </w:p>
        </w:tc>
        <w:tc>
          <w:tcPr>
            <w:tcW w:type="dxa" w:w="6624"/>
            <w:tcMar>
              <w:top w:w="95" w:type="dxa"/>
              <w:start w:w="110" w:type="dxa"/>
              <w:bottom w:w="95" w:type="dxa"/>
              <w:end w:w="110" w:type="dxa"/>
            </w:tcMar>
            <w:vAlign w:val="center"/>
          </w:tcPr>
          <w:p>
            <w:pPr>
              <w:spacing w:after="0" w:line="252" w:lineRule="auto"/>
            </w:pPr>
            <w:r>
              <w:rPr>
                <w:rFonts w:ascii="Aptos" w:hAnsi="Aptos"/>
                <w:b w:val="0"/>
                <w:color w:val="102A3A"/>
                <w:sz w:val="18"/>
              </w:rPr>
              <w:t>Total grouped occurrences.</w:t>
            </w:r>
          </w:p>
        </w:tc>
      </w:tr>
      <w:tr>
        <w:trPr>
          <w:cantSplit/>
        </w:trPr>
        <w:tc>
          <w:tcPr>
            <w:tcW w:type="dxa" w:w="3456"/>
            <w:tcMar>
              <w:top w:w="95" w:type="dxa"/>
              <w:start w:w="110" w:type="dxa"/>
              <w:bottom w:w="95" w:type="dxa"/>
              <w:end w:w="110" w:type="dxa"/>
            </w:tcMar>
            <w:vAlign w:val="center"/>
          </w:tcPr>
          <w:p>
            <w:pPr>
              <w:spacing w:after="0" w:line="252" w:lineRule="auto"/>
            </w:pPr>
            <w:r>
              <w:rPr>
                <w:rFonts w:ascii="Aptos" w:hAnsi="Aptos"/>
                <w:b/>
                <w:color w:val="061B2E"/>
                <w:sz w:val="18"/>
              </w:rPr>
              <w:t>Affected_Record_Count__c</w:t>
            </w:r>
          </w:p>
        </w:tc>
        <w:tc>
          <w:tcPr>
            <w:tcW w:type="dxa" w:w="6624"/>
            <w:tcMar>
              <w:top w:w="95" w:type="dxa"/>
              <w:start w:w="110" w:type="dxa"/>
              <w:bottom w:w="95" w:type="dxa"/>
              <w:end w:w="110" w:type="dxa"/>
            </w:tcMar>
            <w:vAlign w:val="center"/>
          </w:tcPr>
          <w:p>
            <w:pPr>
              <w:spacing w:after="0" w:line="252" w:lineRule="auto"/>
            </w:pPr>
            <w:r>
              <w:rPr>
                <w:rFonts w:ascii="Aptos" w:hAnsi="Aptos"/>
                <w:b w:val="0"/>
                <w:color w:val="102A3A"/>
                <w:sz w:val="18"/>
              </w:rPr>
              <w:t>Distinct business records.</w:t>
            </w:r>
          </w:p>
        </w:tc>
      </w:tr>
      <w:tr>
        <w:trPr>
          <w:cantSplit/>
        </w:trPr>
        <w:tc>
          <w:tcPr>
            <w:tcW w:type="dxa" w:w="3456"/>
            <w:tcMar>
              <w:top w:w="95" w:type="dxa"/>
              <w:start w:w="110" w:type="dxa"/>
              <w:bottom w:w="95" w:type="dxa"/>
              <w:end w:w="110" w:type="dxa"/>
            </w:tcMar>
            <w:vAlign w:val="center"/>
          </w:tcPr>
          <w:p>
            <w:pPr>
              <w:spacing w:after="0" w:line="252" w:lineRule="auto"/>
            </w:pPr>
            <w:r>
              <w:rPr>
                <w:rFonts w:ascii="Aptos" w:hAnsi="Aptos"/>
                <w:b/>
                <w:color w:val="061B2E"/>
                <w:sz w:val="18"/>
              </w:rPr>
              <w:t>Affected_User_Count__c</w:t>
            </w:r>
          </w:p>
        </w:tc>
        <w:tc>
          <w:tcPr>
            <w:tcW w:type="dxa" w:w="6624"/>
            <w:tcMar>
              <w:top w:w="95" w:type="dxa"/>
              <w:start w:w="110" w:type="dxa"/>
              <w:bottom w:w="95" w:type="dxa"/>
              <w:end w:w="110" w:type="dxa"/>
            </w:tcMar>
            <w:vAlign w:val="center"/>
          </w:tcPr>
          <w:p>
            <w:pPr>
              <w:spacing w:after="0" w:line="252" w:lineRule="auto"/>
            </w:pPr>
            <w:r>
              <w:rPr>
                <w:rFonts w:ascii="Aptos" w:hAnsi="Aptos"/>
                <w:b w:val="0"/>
                <w:color w:val="102A3A"/>
                <w:sz w:val="18"/>
              </w:rPr>
              <w:t>Distinct affected users.</w:t>
            </w:r>
          </w:p>
        </w:tc>
      </w:tr>
      <w:tr>
        <w:trPr>
          <w:cantSplit/>
        </w:trPr>
        <w:tc>
          <w:tcPr>
            <w:tcW w:type="dxa" w:w="3456"/>
            <w:tcMar>
              <w:top w:w="95" w:type="dxa"/>
              <w:start w:w="110" w:type="dxa"/>
              <w:bottom w:w="95" w:type="dxa"/>
              <w:end w:w="110" w:type="dxa"/>
            </w:tcMar>
            <w:vAlign w:val="center"/>
          </w:tcPr>
          <w:p>
            <w:pPr>
              <w:spacing w:after="0" w:line="252" w:lineRule="auto"/>
            </w:pPr>
            <w:r>
              <w:rPr>
                <w:rFonts w:ascii="Aptos" w:hAnsi="Aptos"/>
                <w:b/>
                <w:color w:val="061B2E"/>
                <w:sz w:val="18"/>
              </w:rPr>
              <w:t>Highest_Severity__c</w:t>
            </w:r>
          </w:p>
        </w:tc>
        <w:tc>
          <w:tcPr>
            <w:tcW w:type="dxa" w:w="6624"/>
            <w:tcMar>
              <w:top w:w="95" w:type="dxa"/>
              <w:start w:w="110" w:type="dxa"/>
              <w:bottom w:w="95" w:type="dxa"/>
              <w:end w:w="110" w:type="dxa"/>
            </w:tcMar>
            <w:vAlign w:val="center"/>
          </w:tcPr>
          <w:p>
            <w:pPr>
              <w:spacing w:after="0" w:line="252" w:lineRule="auto"/>
            </w:pPr>
            <w:r>
              <w:rPr>
                <w:rFonts w:ascii="Aptos" w:hAnsi="Aptos"/>
                <w:b w:val="0"/>
                <w:color w:val="102A3A"/>
                <w:sz w:val="18"/>
              </w:rPr>
              <w:t>Maximum severity observed.</w:t>
            </w:r>
          </w:p>
        </w:tc>
      </w:tr>
      <w:tr>
        <w:trPr>
          <w:cantSplit/>
        </w:trPr>
        <w:tc>
          <w:tcPr>
            <w:tcW w:type="dxa" w:w="3456"/>
            <w:tcMar>
              <w:top w:w="95" w:type="dxa"/>
              <w:start w:w="110" w:type="dxa"/>
              <w:bottom w:w="95" w:type="dxa"/>
              <w:end w:w="110" w:type="dxa"/>
            </w:tcMar>
            <w:vAlign w:val="center"/>
          </w:tcPr>
          <w:p>
            <w:pPr>
              <w:spacing w:after="0" w:line="252" w:lineRule="auto"/>
            </w:pPr>
            <w:r>
              <w:rPr>
                <w:rFonts w:ascii="Aptos" w:hAnsi="Aptos"/>
                <w:b/>
                <w:color w:val="061B2E"/>
                <w:sz w:val="18"/>
              </w:rPr>
              <w:t>Status__c</w:t>
            </w:r>
          </w:p>
        </w:tc>
        <w:tc>
          <w:tcPr>
            <w:tcW w:type="dxa" w:w="6624"/>
            <w:tcMar>
              <w:top w:w="95" w:type="dxa"/>
              <w:start w:w="110" w:type="dxa"/>
              <w:bottom w:w="95" w:type="dxa"/>
              <w:end w:w="110" w:type="dxa"/>
            </w:tcMar>
            <w:vAlign w:val="center"/>
          </w:tcPr>
          <w:p>
            <w:pPr>
              <w:spacing w:after="0" w:line="252" w:lineRule="auto"/>
            </w:pPr>
            <w:r>
              <w:rPr>
                <w:rFonts w:ascii="Aptos" w:hAnsi="Aptos"/>
                <w:b w:val="0"/>
                <w:color w:val="102A3A"/>
                <w:sz w:val="18"/>
              </w:rPr>
              <w:t>Open, Monitoring, Resolved, Known Issue, Suppressed.</w:t>
            </w:r>
          </w:p>
        </w:tc>
      </w:tr>
    </w:tbl>
    <w:p>
      <w:pPr>
        <w:spacing w:after="40"/>
      </w:pPr>
    </w:p>
    <w:p>
      <w:pPr>
        <w:pStyle w:val="Heading1"/>
        <w:keepNext/>
      </w:pPr>
      <w:r>
        <w:t>9. Configuration and Custom Metadata</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3240"/>
            <w:shd w:fill="061B2E"/>
            <w:tcMar>
              <w:top w:w="110" w:type="dxa"/>
              <w:start w:w="120" w:type="dxa"/>
              <w:bottom w:w="110" w:type="dxa"/>
              <w:end w:w="120" w:type="dxa"/>
            </w:tcMar>
            <w:vAlign w:val="center"/>
          </w:tcPr>
          <w:p>
            <w:pPr>
              <w:jc w:val="center"/>
            </w:pPr>
            <w:r>
              <w:rPr>
                <w:rFonts w:ascii="Aptos" w:hAnsi="Aptos"/>
                <w:b/>
                <w:color w:val="FFFFFF"/>
                <w:sz w:val="18"/>
              </w:rPr>
              <w:t>Custom Metadata</w:t>
            </w:r>
          </w:p>
        </w:tc>
        <w:tc>
          <w:tcPr>
            <w:tcW w:type="dxa" w:w="6840"/>
            <w:shd w:fill="061B2E"/>
            <w:tcMar>
              <w:top w:w="110" w:type="dxa"/>
              <w:start w:w="120" w:type="dxa"/>
              <w:bottom w:w="110" w:type="dxa"/>
              <w:end w:w="120" w:type="dxa"/>
            </w:tcMar>
            <w:vAlign w:val="center"/>
          </w:tcPr>
          <w:p>
            <w:pPr>
              <w:jc w:val="center"/>
            </w:pPr>
            <w:r>
              <w:rPr>
                <w:rFonts w:ascii="Aptos" w:hAnsi="Aptos"/>
                <w:b/>
                <w:color w:val="FFFFFF"/>
                <w:sz w:val="18"/>
              </w:rPr>
              <w:t>Purpose</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Error_Rule__mdt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Known patterns, categories, explanations, fixability, severity, and next actions.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Notification_Policy__mdt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Recipient, severity threshold, confidence threshold, cooldown, grouping, and alert limits.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Escalation_Route__mdt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Team/channel selection based on source, severity, object, application, or business unit.</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Sensitive_Field__mdt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Sensitive fields and masking patterns.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Retention_Policy__mdt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Retention, purge, archive, and attachment rules.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Remediation_Definition__mdt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Registered object/field/action, implementation type, risk, and confirmation requirement.</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Retry_Handler__mdt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Registered retry handler, maximum attempts, idempotency strategy, and backoff.</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Context_Field_Setting__mdt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Whitelisted objects, fields, and related-record snapshots.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Severity_Rule__mdt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Impact and routing calculation.</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SLA_Policy__mdt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Response targets and escalation timers.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Feature_Flag__mdt</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Customer-controlled enablement for AI, notifications, connectors, remediation, and beta features.</w:t>
            </w:r>
          </w:p>
        </w:tc>
      </w:tr>
    </w:tbl>
    <w:p>
      <w:pPr>
        <w:spacing w:after="40"/>
      </w:pPr>
    </w:p>
    <w:p>
      <w:pPr>
        <w:pStyle w:val="Heading2"/>
        <w:keepNext/>
      </w:pPr>
      <w:r>
        <w:t>9.1 Notification Policy Defaults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4320"/>
            <w:shd w:fill="061B2E"/>
            <w:tcMar>
              <w:top w:w="110" w:type="dxa"/>
              <w:start w:w="120" w:type="dxa"/>
              <w:bottom w:w="110" w:type="dxa"/>
              <w:end w:w="120" w:type="dxa"/>
            </w:tcMar>
            <w:vAlign w:val="center"/>
          </w:tcPr>
          <w:p>
            <w:pPr>
              <w:jc w:val="center"/>
            </w:pPr>
            <w:r>
              <w:rPr>
                <w:rFonts w:ascii="Aptos" w:hAnsi="Aptos"/>
                <w:b/>
                <w:color w:val="FFFFFF"/>
                <w:sz w:val="18"/>
              </w:rPr>
              <w:t>Setting</w:t>
            </w:r>
          </w:p>
        </w:tc>
        <w:tc>
          <w:tcPr>
            <w:tcW w:type="dxa" w:w="5760"/>
            <w:shd w:fill="061B2E"/>
            <w:tcMar>
              <w:top w:w="110" w:type="dxa"/>
              <w:start w:w="120" w:type="dxa"/>
              <w:bottom w:w="110" w:type="dxa"/>
              <w:end w:w="120" w:type="dxa"/>
            </w:tcMar>
            <w:vAlign w:val="center"/>
          </w:tcPr>
          <w:p>
            <w:pPr>
              <w:jc w:val="center"/>
            </w:pPr>
            <w:r>
              <w:rPr>
                <w:rFonts w:ascii="Aptos" w:hAnsi="Aptos"/>
                <w:b/>
                <w:color w:val="FFFFFF"/>
                <w:sz w:val="18"/>
              </w:rPr>
              <w:t>Default</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Auto_Open_Utility__c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False</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Maximum_Alerts_Per_Hour__c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3 per user</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Cooldown_Minutes__c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15</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Minimum_Severity__c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Medium</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Minimum_Confidence__c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Configured threshold for diagnosis claims</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Notify_Affected_User__c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True when the user is materially affected</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Notify_Admin__c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True for High/Critical or unidentified user</w:t>
            </w:r>
          </w:p>
        </w:tc>
      </w:tr>
      <w:tr>
        <w:trPr>
          <w:cantSplit/>
        </w:trPr>
        <w:tc>
          <w:tcPr>
            <w:tcW w:type="dxa" w:w="4320"/>
            <w:tcMar>
              <w:top w:w="95" w:type="dxa"/>
              <w:start w:w="110" w:type="dxa"/>
              <w:bottom w:w="95" w:type="dxa"/>
              <w:end w:w="110" w:type="dxa"/>
            </w:tcMar>
            <w:vAlign w:val="center"/>
          </w:tcPr>
          <w:p>
            <w:pPr>
              <w:spacing w:after="0" w:line="252" w:lineRule="auto"/>
            </w:pPr>
            <w:r>
              <w:rPr>
                <w:rFonts w:ascii="Aptos" w:hAnsi="Aptos"/>
                <w:b/>
                <w:color w:val="061B2E"/>
                <w:sz w:val="18"/>
              </w:rPr>
              <w:t>Group_By_Key__c</w:t>
            </w:r>
          </w:p>
        </w:tc>
        <w:tc>
          <w:tcPr>
            <w:tcW w:type="dxa" w:w="5760"/>
            <w:tcMar>
              <w:top w:w="95" w:type="dxa"/>
              <w:start w:w="110" w:type="dxa"/>
              <w:bottom w:w="95" w:type="dxa"/>
              <w:end w:w="110" w:type="dxa"/>
            </w:tcMar>
            <w:vAlign w:val="center"/>
          </w:tcPr>
          <w:p>
            <w:pPr>
              <w:spacing w:after="0" w:line="252" w:lineRule="auto"/>
            </w:pPr>
            <w:r>
              <w:rPr>
                <w:rFonts w:ascii="Aptos" w:hAnsi="Aptos"/>
                <w:b w:val="0"/>
                <w:color w:val="102A3A"/>
                <w:sz w:val="18"/>
              </w:rPr>
              <w:t>Incident key</w:t>
            </w:r>
          </w:p>
        </w:tc>
      </w:tr>
    </w:tbl>
    <w:p>
      <w:pPr>
        <w:spacing w:after="40"/>
      </w:pPr>
    </w:p>
    <w:p>
      <w:pPr>
        <w:spacing w:after="40"/>
      </w:pPr>
    </w:p>
    <w:p>
      <w:pPr>
        <w:pStyle w:val="Heading1"/>
        <w:keepNext/>
      </w:pPr>
      <w:r>
        <w:t>10. Agentforce and Diagnosis Governance</w:t>
      </w:r>
    </w:p>
    <w:p>
      <w:pPr>
        <w:pStyle w:val="Heading2"/>
        <w:keepNext/>
      </w:pPr>
      <w:r>
        <w:t>10.1 Decision Order</w:t>
      </w:r>
    </w:p>
    <w:p>
      <w:pPr>
        <w:pStyle w:val="ListNumber"/>
        <w:spacing w:after="60"/>
      </w:pPr>
      <w:r>
        <w:rPr>
          <w:rFonts w:ascii="Aptos" w:hAnsi="Aptos"/>
          <w:b w:val="0"/>
          <w:color w:val="102A3A"/>
          <w:sz w:val="21"/>
        </w:rPr>
        <w:t>Apply deterministic error rules before generative reasoning.</w:t>
      </w:r>
    </w:p>
    <w:p>
      <w:pPr>
        <w:pStyle w:val="ListNumber"/>
        <w:spacing w:after="60"/>
      </w:pPr>
      <w:r>
        <w:rPr>
          <w:rFonts w:ascii="Aptos" w:hAnsi="Aptos"/>
          <w:b w:val="0"/>
          <w:color w:val="102A3A"/>
          <w:sz w:val="21"/>
        </w:rPr>
        <w:t>Identify whether the issue is user-fixable, administrator-fixable, developer-only, retryable, or unknown.</w:t>
      </w:r>
    </w:p>
    <w:p>
      <w:pPr>
        <w:pStyle w:val="ListNumber"/>
        <w:spacing w:after="60"/>
      </w:pPr>
      <w:r>
        <w:rPr>
          <w:rFonts w:ascii="Aptos" w:hAnsi="Aptos"/>
          <w:b w:val="0"/>
          <w:color w:val="102A3A"/>
          <w:sz w:val="21"/>
        </w:rPr>
        <w:t>Use only structured and sanitized context supplied by server-side services.</w:t>
      </w:r>
    </w:p>
    <w:p>
      <w:pPr>
        <w:pStyle w:val="ListNumber"/>
        <w:spacing w:after="60"/>
      </w:pPr>
      <w:r>
        <w:rPr>
          <w:rFonts w:ascii="Aptos" w:hAnsi="Aptos"/>
          <w:b w:val="0"/>
          <w:color w:val="102A3A"/>
          <w:sz w:val="21"/>
        </w:rPr>
        <w:t>Do not invent field values, record IDs, Apex classes, Flow names, or execution outcomes.</w:t>
      </w:r>
    </w:p>
    <w:p>
      <w:pPr>
        <w:pStyle w:val="ListNumber"/>
        <w:spacing w:after="60"/>
      </w:pPr>
      <w:r>
        <w:rPr>
          <w:rFonts w:ascii="Aptos" w:hAnsi="Aptos"/>
          <w:b w:val="0"/>
          <w:color w:val="102A3A"/>
          <w:sz w:val="21"/>
        </w:rPr>
        <w:t>Before any write, return the exact registered action key and require server-side eligibility checks.</w:t>
      </w:r>
    </w:p>
    <w:p>
      <w:pPr>
        <w:pStyle w:val="ListNumber"/>
        <w:spacing w:after="60"/>
      </w:pPr>
      <w:r>
        <w:rPr>
          <w:rFonts w:ascii="Aptos" w:hAnsi="Aptos"/>
          <w:b w:val="0"/>
          <w:color w:val="102A3A"/>
          <w:sz w:val="21"/>
        </w:rPr>
        <w:t>Escalate when confidence is low, context is incomplete, or the issue is developer-only.</w:t>
      </w:r>
    </w:p>
    <w:p>
      <w:pPr>
        <w:pStyle w:val="Heading2"/>
        <w:keepNext/>
      </w:pPr>
      <w:r>
        <w:t>10.2 Approved Agent Actions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2520"/>
        <w:gridCol w:w="2520"/>
        <w:gridCol w:w="2520"/>
        <w:gridCol w:w="2520"/>
      </w:tblGrid>
      <w:tr>
        <w:trPr>
          <w:tblHeader w:val="true"/>
        </w:trPr>
        <w:tc>
          <w:tcPr>
            <w:tcW w:type="dxa" w:w="2376"/>
            <w:shd w:fill="061B2E"/>
            <w:tcMar>
              <w:top w:w="110" w:type="dxa"/>
              <w:start w:w="120" w:type="dxa"/>
              <w:bottom w:w="110" w:type="dxa"/>
              <w:end w:w="120" w:type="dxa"/>
            </w:tcMar>
            <w:vAlign w:val="center"/>
          </w:tcPr>
          <w:p>
            <w:pPr>
              <w:jc w:val="center"/>
            </w:pPr>
            <w:r>
              <w:rPr>
                <w:rFonts w:ascii="Aptos" w:hAnsi="Aptos"/>
                <w:b/>
                <w:color w:val="FFFFFF"/>
                <w:sz w:val="18"/>
              </w:rPr>
              <w:t>Action</w:t>
            </w:r>
          </w:p>
        </w:tc>
        <w:tc>
          <w:tcPr>
            <w:tcW w:type="dxa" w:w="1440"/>
            <w:shd w:fill="061B2E"/>
            <w:tcMar>
              <w:top w:w="110" w:type="dxa"/>
              <w:start w:w="120" w:type="dxa"/>
              <w:bottom w:w="110" w:type="dxa"/>
              <w:end w:w="120" w:type="dxa"/>
            </w:tcMar>
            <w:vAlign w:val="center"/>
          </w:tcPr>
          <w:p>
            <w:pPr>
              <w:jc w:val="center"/>
            </w:pPr>
            <w:r>
              <w:rPr>
                <w:rFonts w:ascii="Aptos" w:hAnsi="Aptos"/>
                <w:b/>
                <w:color w:val="FFFFFF"/>
                <w:sz w:val="18"/>
              </w:rPr>
              <w:t>Type</w:t>
            </w:r>
          </w:p>
        </w:tc>
        <w:tc>
          <w:tcPr>
            <w:tcW w:type="dxa" w:w="1152"/>
            <w:shd w:fill="061B2E"/>
            <w:tcMar>
              <w:top w:w="110" w:type="dxa"/>
              <w:start w:w="120" w:type="dxa"/>
              <w:bottom w:w="110" w:type="dxa"/>
              <w:end w:w="120" w:type="dxa"/>
            </w:tcMar>
            <w:vAlign w:val="center"/>
          </w:tcPr>
          <w:p>
            <w:pPr>
              <w:jc w:val="center"/>
            </w:pPr>
            <w:r>
              <w:rPr>
                <w:rFonts w:ascii="Aptos" w:hAnsi="Aptos"/>
                <w:b/>
                <w:color w:val="FFFFFF"/>
                <w:sz w:val="18"/>
              </w:rPr>
              <w:t>Risk</w:t>
            </w:r>
          </w:p>
        </w:tc>
        <w:tc>
          <w:tcPr>
            <w:tcW w:type="dxa" w:w="5112"/>
            <w:shd w:fill="061B2E"/>
            <w:tcMar>
              <w:top w:w="110" w:type="dxa"/>
              <w:start w:w="120" w:type="dxa"/>
              <w:bottom w:w="110" w:type="dxa"/>
              <w:end w:w="120" w:type="dxa"/>
            </w:tcMar>
            <w:vAlign w:val="center"/>
          </w:tcPr>
          <w:p>
            <w:pPr>
              <w:jc w:val="center"/>
            </w:pPr>
            <w:r>
              <w:rPr>
                <w:rFonts w:ascii="Aptos" w:hAnsi="Aptos"/>
                <w:b/>
                <w:color w:val="FFFFFF"/>
                <w:sz w:val="18"/>
              </w:rPr>
              <w:t>Behavior</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Get Error Context</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Apex</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Read only</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Return authorized, sanitized error and incident context.</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Find Recent Errors</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Apex</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Read only</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Search by user, record, object, source, and time.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Get Record Snapshot</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Apex</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Read only</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Return whitelisted fields only.</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Update Missing Field</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Apex/Flow</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Medium</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Execute registered field update after confirmation and FLS/sharing checks.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Execute Retry Handler</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Apex</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High</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Call registered idempotent handler only.</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Create Developer Escalation</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Apex/Flow</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Medium</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Create package and route through configured channel.</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Create Salesforce Case</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Flow/Apex</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Medium</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Create Case linked to diagnostic evidence.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Send Diagnostic Email</w:t>
            </w:r>
          </w:p>
        </w:tc>
        <w:tc>
          <w:tcPr>
            <w:tcW w:type="dxa" w:w="1440"/>
            <w:tcMar>
              <w:top w:w="95" w:type="dxa"/>
              <w:start w:w="110" w:type="dxa"/>
              <w:bottom w:w="95" w:type="dxa"/>
              <w:end w:w="110" w:type="dxa"/>
            </w:tcMar>
            <w:vAlign w:val="center"/>
          </w:tcPr>
          <w:p>
            <w:pPr>
              <w:spacing w:after="0" w:line="252" w:lineRule="auto"/>
            </w:pPr>
            <w:r>
              <w:rPr>
                <w:rFonts w:ascii="Aptos" w:hAnsi="Aptos"/>
                <w:b w:val="0"/>
                <w:color w:val="102A3A"/>
                <w:sz w:val="18"/>
              </w:rPr>
              <w:t>Apex</w:t>
            </w:r>
          </w:p>
        </w:tc>
        <w:tc>
          <w:tcPr>
            <w:tcW w:type="dxa" w:w="1152"/>
            <w:tcMar>
              <w:top w:w="95" w:type="dxa"/>
              <w:start w:w="110" w:type="dxa"/>
              <w:bottom w:w="95" w:type="dxa"/>
              <w:end w:w="110" w:type="dxa"/>
            </w:tcMar>
            <w:vAlign w:val="center"/>
          </w:tcPr>
          <w:p>
            <w:pPr>
              <w:spacing w:after="0" w:line="252" w:lineRule="auto"/>
            </w:pPr>
            <w:r>
              <w:rPr>
                <w:rFonts w:ascii="Aptos" w:hAnsi="Aptos"/>
                <w:b w:val="0"/>
                <w:color w:val="102A3A"/>
                <w:sz w:val="18"/>
              </w:rPr>
              <w:t>Medium</w:t>
            </w:r>
          </w:p>
        </w:tc>
        <w:tc>
          <w:tcPr>
            <w:tcW w:type="dxa" w:w="5112"/>
            <w:tcMar>
              <w:top w:w="95" w:type="dxa"/>
              <w:start w:w="110" w:type="dxa"/>
              <w:bottom w:w="95" w:type="dxa"/>
              <w:end w:w="110" w:type="dxa"/>
            </w:tcMar>
            <w:vAlign w:val="center"/>
          </w:tcPr>
          <w:p>
            <w:pPr>
              <w:spacing w:after="0" w:line="252" w:lineRule="auto"/>
            </w:pPr>
            <w:r>
              <w:rPr>
                <w:rFonts w:ascii="Aptos" w:hAnsi="Aptos"/>
                <w:b w:val="0"/>
                <w:color w:val="102A3A"/>
                <w:sz w:val="18"/>
              </w:rPr>
              <w:t>Send structured summary with secure links.</w:t>
            </w:r>
          </w:p>
        </w:tc>
      </w:tr>
    </w:tbl>
    <w:p>
      <w:pPr>
        <w:spacing w:after="40"/>
      </w:pPr>
    </w:p>
    <w:p>
      <w:pPr>
        <w:pStyle w:val="Heading2"/>
        <w:keepNext/>
      </w:pPr>
      <w:r>
        <w:t>10.3 AI Output Contract</w:t>
      </w:r>
    </w:p>
    <w:tbl>
      <w:tblPr>
        <w:tblW w:type="auto" w:w="0"/>
        <w:jc w:val="center"/>
        <w:tblLayout w:type="fixed"/>
        <w:tblLook w:firstColumn="1" w:firstRow="1" w:lastColumn="0" w:lastRow="0" w:noHBand="0" w:noVBand="1" w:val="04A0"/>
        <w:tblBorders>
          <w:top w:val="single" w:sz="0" w:space="0" w:color="F2F7F9"/>
          <w:start w:val="single" w:sz="0" w:space="0" w:color="F2F7F9"/>
          <w:bottom w:val="single" w:sz="0" w:space="0" w:color="F2F7F9"/>
          <w:end w:val="single" w:sz="0" w:space="0" w:color="F2F7F9"/>
          <w:insideH w:val="single" w:sz="0" w:space="0" w:color="F2F7F9"/>
          <w:insideV w:val="single" w:sz="0" w:space="0" w:color="F2F7F9"/>
        </w:tblBorders>
      </w:tblPr>
      <w:tblGrid>
        <w:gridCol w:w="115"/>
        <w:gridCol w:w="9504"/>
      </w:tblGrid>
      <w:tr>
        <w:tc>
          <w:tcPr>
            <w:tcW w:type="dxa" w:w="5040"/>
            <w:shd w:fill="0A8FA3"/>
          </w:tcPr>
          <w:p/>
        </w:tc>
        <w:tc>
          <w:tcPr>
            <w:tcW w:type="dxa" w:w="5040"/>
            <w:shd w:fill="F2F7F9"/>
            <w:tcMar>
              <w:top w:w="150" w:type="dxa"/>
              <w:start w:w="180" w:type="dxa"/>
              <w:bottom w:w="150" w:type="dxa"/>
              <w:end w:w="180" w:type="dxa"/>
            </w:tcMar>
          </w:tcPr>
          <w:p>
            <w:pPr>
              <w:spacing w:line="269" w:lineRule="auto" w:after="0"/>
            </w:pPr>
            <w:r>
              <w:rPr>
                <w:rFonts w:ascii="Aptos" w:hAnsi="Aptos"/>
                <w:b/>
                <w:color w:val="061B2E"/>
                <w:sz w:val="22"/>
              </w:rPr>
              <w:t>Required structured response</w:t>
            </w:r>
            <w:r>
              <w:rPr>
                <w:rFonts w:ascii="Aptos" w:hAnsi="Aptos"/>
                <w:b w:val="0"/>
                <w:color w:val="102A3A"/>
                <w:sz w:val="21"/>
              </w:rPr>
              <w:br/>
              <w:t>summary; rootCause; fixability; confidence; recommendedAction; needsUserInput; escalationRequired; safeRemediationActionKey. The server must reject unknown action keys or malformed output.</w:t>
            </w:r>
          </w:p>
        </w:tc>
      </w:tr>
    </w:tbl>
    <w:p>
      <w:pPr>
        <w:spacing w:after="20"/>
      </w:pPr>
    </w:p>
    <w:p>
      <w:pPr>
        <w:pStyle w:val="Heading1"/>
        <w:keepNext/>
      </w:pPr>
      <w:r>
        <w:t>11. Governed Remediation and Retry</w:t>
      </w:r>
    </w:p>
    <w:p>
      <w:pPr>
        <w:pStyle w:val="Heading2"/>
        <w:keepNext/>
      </w:pPr>
      <w:r>
        <w:t>11.1 Remediation Eligibility</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376"/>
            <w:shd w:fill="061B2E"/>
            <w:tcMar>
              <w:top w:w="110" w:type="dxa"/>
              <w:start w:w="120" w:type="dxa"/>
              <w:bottom w:w="110" w:type="dxa"/>
              <w:end w:w="120" w:type="dxa"/>
            </w:tcMar>
            <w:vAlign w:val="center"/>
          </w:tcPr>
          <w:p>
            <w:pPr>
              <w:jc w:val="center"/>
            </w:pPr>
            <w:r>
              <w:rPr>
                <w:rFonts w:ascii="Aptos" w:hAnsi="Aptos"/>
                <w:b/>
                <w:color w:val="FFFFFF"/>
                <w:sz w:val="18"/>
              </w:rPr>
              <w:t>Rule</w:t>
            </w:r>
          </w:p>
        </w:tc>
        <w:tc>
          <w:tcPr>
            <w:tcW w:type="dxa" w:w="7704"/>
            <w:shd w:fill="061B2E"/>
            <w:tcMar>
              <w:top w:w="110" w:type="dxa"/>
              <w:start w:w="120" w:type="dxa"/>
              <w:bottom w:w="110" w:type="dxa"/>
              <w:end w:w="120" w:type="dxa"/>
            </w:tcMar>
            <w:vAlign w:val="center"/>
          </w:tcPr>
          <w:p>
            <w:pPr>
              <w:jc w:val="center"/>
            </w:pPr>
            <w:r>
              <w:rPr>
                <w:rFonts w:ascii="Aptos" w:hAnsi="Aptos"/>
                <w:b/>
                <w:color w:val="FFFFFF"/>
                <w:sz w:val="18"/>
              </w:rPr>
              <w:t>Required Condition</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Known pattern</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A deterministic rule maps the error to a supported remediation type.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Registered action</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Remediation_Definition__mdt contains the action key and implementation.</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Whitelisted target</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Object, field, and operation are explicitly allowed.</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User confirmation</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The exact change is confirmed unless explicitly system-safe.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Authorization</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CRUD, FLS, sharing, and custom permission checks pass.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Input validation</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Type, length, picklist, reference, and business validation pass where checkable.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Audit ready</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Before/after values and actor details can be stored.</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Verification</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Post-action state can be checked before claiming success.</w:t>
            </w:r>
          </w:p>
        </w:tc>
      </w:tr>
    </w:tbl>
    <w:p>
      <w:pPr>
        <w:spacing w:after="40"/>
      </w:pPr>
    </w:p>
    <w:p>
      <w:pPr>
        <w:pStyle w:val="Heading2"/>
        <w:keepNext/>
      </w:pPr>
      <w:r>
        <w:t>11.2 Retry Requirements</w:t>
      </w:r>
    </w:p>
    <w:p>
      <w:pPr>
        <w:pStyle w:val="ListBullet"/>
        <w:spacing w:after="60" w:line="259" w:lineRule="auto"/>
      </w:pPr>
      <w:r>
        <w:rPr>
          <w:rFonts w:ascii="Aptos" w:hAnsi="Aptos"/>
          <w:b w:val="0"/>
          <w:color w:val="102A3A"/>
          <w:sz w:val="21"/>
        </w:rPr>
        <w:t>Retries are allowed only through Retry_Handler__mdt.</w:t>
      </w:r>
    </w:p>
    <w:p>
      <w:pPr>
        <w:pStyle w:val="ListBullet"/>
        <w:spacing w:after="60" w:line="259" w:lineRule="auto"/>
      </w:pPr>
      <w:r>
        <w:rPr>
          <w:rFonts w:ascii="Aptos" w:hAnsi="Aptos"/>
          <w:b w:val="0"/>
          <w:color w:val="102A3A"/>
          <w:sz w:val="21"/>
        </w:rPr>
        <w:t>Every handler must declare an idempotency strategy and duplicate-prevention key.</w:t>
      </w:r>
    </w:p>
    <w:p>
      <w:pPr>
        <w:pStyle w:val="ListBullet"/>
        <w:spacing w:after="60" w:line="259" w:lineRule="auto"/>
      </w:pPr>
      <w:r>
        <w:rPr>
          <w:rFonts w:ascii="Aptos" w:hAnsi="Aptos"/>
          <w:b w:val="0"/>
          <w:color w:val="102A3A"/>
          <w:sz w:val="21"/>
        </w:rPr>
        <w:t>The system must enforce maximum attempts and backoff.</w:t>
      </w:r>
    </w:p>
    <w:p>
      <w:pPr>
        <w:pStyle w:val="ListBullet"/>
        <w:spacing w:after="60" w:line="259" w:lineRule="auto"/>
      </w:pPr>
      <w:r>
        <w:rPr>
          <w:rFonts w:ascii="Aptos" w:hAnsi="Aptos"/>
          <w:b w:val="0"/>
          <w:color w:val="102A3A"/>
          <w:sz w:val="21"/>
        </w:rPr>
        <w:t>The user or administrator must see pending, succeeded, failed, and exhausted states.</w:t>
      </w:r>
    </w:p>
    <w:p>
      <w:pPr>
        <w:pStyle w:val="ListBullet"/>
        <w:spacing w:after="60" w:line="259" w:lineRule="auto"/>
      </w:pPr>
      <w:r>
        <w:rPr>
          <w:rFonts w:ascii="Aptos" w:hAnsi="Aptos"/>
          <w:b w:val="0"/>
          <w:color w:val="102A3A"/>
          <w:sz w:val="21"/>
        </w:rPr>
        <w:t>A retry must never be initiated from an arbitrary class name or payload supplied by AI or the browser.</w:t>
      </w:r>
    </w:p>
    <w:p>
      <w:pPr>
        <w:pStyle w:val="Heading1"/>
        <w:keepNext/>
      </w:pPr>
      <w:r>
        <w:t>12. Developer Escalation Package</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376"/>
            <w:shd w:fill="061B2E"/>
            <w:tcMar>
              <w:top w:w="110" w:type="dxa"/>
              <w:start w:w="120" w:type="dxa"/>
              <w:bottom w:w="110" w:type="dxa"/>
              <w:end w:w="120" w:type="dxa"/>
            </w:tcMar>
            <w:vAlign w:val="center"/>
          </w:tcPr>
          <w:p>
            <w:pPr>
              <w:jc w:val="center"/>
            </w:pPr>
            <w:r>
              <w:rPr>
                <w:rFonts w:ascii="Aptos" w:hAnsi="Aptos"/>
                <w:b/>
                <w:color w:val="FFFFFF"/>
                <w:sz w:val="18"/>
              </w:rPr>
              <w:t>Section</w:t>
            </w:r>
          </w:p>
        </w:tc>
        <w:tc>
          <w:tcPr>
            <w:tcW w:type="dxa" w:w="7704"/>
            <w:shd w:fill="061B2E"/>
            <w:tcMar>
              <w:top w:w="110" w:type="dxa"/>
              <w:start w:w="120" w:type="dxa"/>
              <w:bottom w:w="110" w:type="dxa"/>
              <w:end w:w="120" w:type="dxa"/>
            </w:tcMar>
            <w:vAlign w:val="center"/>
          </w:tcPr>
          <w:p>
            <w:pPr>
              <w:jc w:val="center"/>
            </w:pPr>
            <w:r>
              <w:rPr>
                <w:rFonts w:ascii="Aptos" w:hAnsi="Aptos"/>
                <w:b/>
                <w:color w:val="FFFFFF"/>
                <w:sz w:val="18"/>
              </w:rPr>
              <w:t>Included Information</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Summary</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Plain-language summary and technical root-cause hypothesis.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User Context</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Affected user, profile/role, app context, and relevant authorization details.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Screen Context</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Page URL/reference, object, record, current record name, browser/device.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User Action</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Attempted action, manual description, and changed fields where capturable.</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Technical Error</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Original sanitized message, category, stack trace, source, and line/element.</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Automation Details</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Flow version/element, Apex class/method, async job ID, integration alias.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Record Snapshot</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Whitelisted primary and related record values.</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Debug Evidence</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ApexLog link/file, client stack, async job details, or explicit unavailable reason.</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Diagnosis</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Fixability, confidence, recommendation, and reason remediation was blocked.</w:t>
            </w:r>
          </w:p>
        </w:tc>
      </w:tr>
      <w:tr>
        <w:trPr>
          <w:cantSplit/>
        </w:trPr>
        <w:tc>
          <w:tcPr>
            <w:tcW w:type="dxa" w:w="2376"/>
            <w:tcMar>
              <w:top w:w="95" w:type="dxa"/>
              <w:start w:w="110" w:type="dxa"/>
              <w:bottom w:w="95" w:type="dxa"/>
              <w:end w:w="110" w:type="dxa"/>
            </w:tcMar>
            <w:vAlign w:val="center"/>
          </w:tcPr>
          <w:p>
            <w:pPr>
              <w:spacing w:after="0" w:line="252" w:lineRule="auto"/>
            </w:pPr>
            <w:r>
              <w:rPr>
                <w:rFonts w:ascii="Aptos" w:hAnsi="Aptos"/>
                <w:b/>
                <w:color w:val="061B2E"/>
                <w:sz w:val="18"/>
              </w:rPr>
              <w:t>Routing/SLA</w:t>
            </w:r>
          </w:p>
        </w:tc>
        <w:tc>
          <w:tcPr>
            <w:tcW w:type="dxa" w:w="7704"/>
            <w:tcMar>
              <w:top w:w="95" w:type="dxa"/>
              <w:start w:w="110" w:type="dxa"/>
              <w:bottom w:w="95" w:type="dxa"/>
              <w:end w:w="110" w:type="dxa"/>
            </w:tcMar>
            <w:vAlign w:val="center"/>
          </w:tcPr>
          <w:p>
            <w:pPr>
              <w:spacing w:after="0" w:line="252" w:lineRule="auto"/>
            </w:pPr>
            <w:r>
              <w:rPr>
                <w:rFonts w:ascii="Aptos" w:hAnsi="Aptos"/>
                <w:b w:val="0"/>
                <w:color w:val="102A3A"/>
                <w:sz w:val="18"/>
              </w:rPr>
              <w:t>Severity, route, owner, due date, delivery attempts, and external ticket ID.</w:t>
            </w:r>
          </w:p>
        </w:tc>
      </w:tr>
    </w:tbl>
    <w:p>
      <w:pPr>
        <w:spacing w:after="40"/>
      </w:pPr>
    </w:p>
    <w:p>
      <w:pPr>
        <w:pStyle w:val="Heading2"/>
        <w:keepNext/>
      </w:pPr>
      <w:r>
        <w:t>12.1 Supported Routes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088"/>
            <w:shd w:fill="061B2E"/>
            <w:tcMar>
              <w:top w:w="110" w:type="dxa"/>
              <w:start w:w="120" w:type="dxa"/>
              <w:bottom w:w="110" w:type="dxa"/>
              <w:end w:w="120" w:type="dxa"/>
            </w:tcMar>
            <w:vAlign w:val="center"/>
          </w:tcPr>
          <w:p>
            <w:pPr>
              <w:jc w:val="center"/>
            </w:pPr>
            <w:r>
              <w:rPr>
                <w:rFonts w:ascii="Aptos" w:hAnsi="Aptos"/>
                <w:b/>
                <w:color w:val="FFFFFF"/>
                <w:sz w:val="18"/>
              </w:rPr>
              <w:t>Route</w:t>
            </w:r>
          </w:p>
        </w:tc>
        <w:tc>
          <w:tcPr>
            <w:tcW w:type="dxa" w:w="7992"/>
            <w:shd w:fill="061B2E"/>
            <w:tcMar>
              <w:top w:w="110" w:type="dxa"/>
              <w:start w:w="120" w:type="dxa"/>
              <w:bottom w:w="110" w:type="dxa"/>
              <w:end w:w="120" w:type="dxa"/>
            </w:tcMar>
            <w:vAlign w:val="center"/>
          </w:tcPr>
          <w:p>
            <w:pPr>
              <w:jc w:val="center"/>
            </w:pPr>
            <w:r>
              <w:rPr>
                <w:rFonts w:ascii="Aptos" w:hAnsi="Aptos"/>
                <w:b/>
                <w:color w:val="FFFFFF"/>
                <w:sz w:val="18"/>
              </w:rPr>
              <w:t>Implementation</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Salesforce Case</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Create Case linked to Error_Log__c and attach or link diagnostic evidence.</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Email</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Use org-wide email and a structured template; include secure links rather than full raw logs.</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Jira</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Named Credential REST connector; store external issue key and delivery history.</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Slack / Teams</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Post concise notification with secure Salesforce link; do not send sensitive payloads.</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GitHub Issue</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Create labeled issue with sanitized summary and Salesforce evidence link.</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Webhook</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Signed outbound request with retry, idempotency, and delivery audit.</w:t>
            </w:r>
          </w:p>
        </w:tc>
      </w:tr>
    </w:tbl>
    <w:p>
      <w:pPr>
        <w:spacing w:after="40"/>
      </w:pPr>
    </w:p>
    <w:p>
      <w:pPr>
        <w:spacing w:after="40"/>
      </w:pPr>
    </w:p>
    <w:p>
      <w:pPr>
        <w:pStyle w:val="Heading1"/>
        <w:keepNext/>
      </w:pPr>
      <w:r>
        <w:t>13. Aegis Command Center</w:t>
      </w:r>
    </w:p>
    <w:p>
      <w:pPr>
        <w:pStyle w:val="Heading2"/>
        <w:keepNext/>
      </w:pPr>
      <w:r>
        <w:t>13.1 Navigation</w:t>
      </w:r>
    </w:p>
    <w:p>
      <w:pPr>
        <w:pStyle w:val="ListBullet"/>
        <w:spacing w:after="60" w:line="259" w:lineRule="auto"/>
      </w:pPr>
      <w:r>
        <w:rPr>
          <w:rFonts w:ascii="Aptos" w:hAnsi="Aptos"/>
          <w:b w:val="0"/>
          <w:color w:val="102A3A"/>
          <w:sz w:val="21"/>
        </w:rPr>
        <w:t>Overview</w:t>
      </w:r>
    </w:p>
    <w:p>
      <w:pPr>
        <w:pStyle w:val="ListBullet"/>
        <w:spacing w:after="60" w:line="259" w:lineRule="auto"/>
      </w:pPr>
      <w:r>
        <w:rPr>
          <w:rFonts w:ascii="Aptos" w:hAnsi="Aptos"/>
          <w:b w:val="0"/>
          <w:color w:val="102A3A"/>
          <w:sz w:val="21"/>
        </w:rPr>
        <w:t>Active Incidents</w:t>
      </w:r>
    </w:p>
    <w:p>
      <w:pPr>
        <w:pStyle w:val="ListBullet"/>
        <w:spacing w:after="60" w:line="259" w:lineRule="auto"/>
      </w:pPr>
      <w:r>
        <w:rPr>
          <w:rFonts w:ascii="Aptos" w:hAnsi="Aptos"/>
          <w:b w:val="0"/>
          <w:color w:val="102A3A"/>
          <w:sz w:val="21"/>
        </w:rPr>
        <w:t>Error Logs</w:t>
      </w:r>
    </w:p>
    <w:p>
      <w:pPr>
        <w:pStyle w:val="ListBullet"/>
        <w:spacing w:after="60" w:line="259" w:lineRule="auto"/>
      </w:pPr>
      <w:r>
        <w:rPr>
          <w:rFonts w:ascii="Aptos" w:hAnsi="Aptos"/>
          <w:b w:val="0"/>
          <w:color w:val="102A3A"/>
          <w:sz w:val="21"/>
        </w:rPr>
        <w:t>Diagnostic Sessions</w:t>
      </w:r>
    </w:p>
    <w:p>
      <w:pPr>
        <w:pStyle w:val="ListBullet"/>
        <w:spacing w:after="60" w:line="259" w:lineRule="auto"/>
      </w:pPr>
      <w:r>
        <w:rPr>
          <w:rFonts w:ascii="Aptos" w:hAnsi="Aptos"/>
          <w:b w:val="0"/>
          <w:color w:val="102A3A"/>
          <w:sz w:val="21"/>
        </w:rPr>
        <w:t>Remediation Actions</w:t>
      </w:r>
    </w:p>
    <w:p>
      <w:pPr>
        <w:pStyle w:val="ListBullet"/>
        <w:spacing w:after="60" w:line="259" w:lineRule="auto"/>
      </w:pPr>
      <w:r>
        <w:rPr>
          <w:rFonts w:ascii="Aptos" w:hAnsi="Aptos"/>
          <w:b w:val="0"/>
          <w:color w:val="102A3A"/>
          <w:sz w:val="21"/>
        </w:rPr>
        <w:t>Escalations</w:t>
      </w:r>
    </w:p>
    <w:p>
      <w:pPr>
        <w:pStyle w:val="ListBullet"/>
        <w:spacing w:after="60" w:line="259" w:lineRule="auto"/>
      </w:pPr>
      <w:r>
        <w:rPr>
          <w:rFonts w:ascii="Aptos" w:hAnsi="Aptos"/>
          <w:b w:val="0"/>
          <w:color w:val="102A3A"/>
          <w:sz w:val="21"/>
        </w:rPr>
        <w:t>Automation Health</w:t>
      </w:r>
    </w:p>
    <w:p>
      <w:pPr>
        <w:pStyle w:val="ListBullet"/>
        <w:spacing w:after="60" w:line="259" w:lineRule="auto"/>
      </w:pPr>
      <w:r>
        <w:rPr>
          <w:rFonts w:ascii="Aptos" w:hAnsi="Aptos"/>
          <w:b w:val="0"/>
          <w:color w:val="102A3A"/>
          <w:sz w:val="21"/>
        </w:rPr>
        <w:t>Rules and Knowledge</w:t>
      </w:r>
    </w:p>
    <w:p>
      <w:pPr>
        <w:pStyle w:val="ListBullet"/>
        <w:spacing w:after="60" w:line="259" w:lineRule="auto"/>
      </w:pPr>
      <w:r>
        <w:rPr>
          <w:rFonts w:ascii="Aptos" w:hAnsi="Aptos"/>
          <w:b w:val="0"/>
          <w:color w:val="102A3A"/>
          <w:sz w:val="21"/>
        </w:rPr>
        <w:t>Notification Policies</w:t>
      </w:r>
    </w:p>
    <w:p>
      <w:pPr>
        <w:pStyle w:val="ListBullet"/>
        <w:spacing w:after="60" w:line="259" w:lineRule="auto"/>
      </w:pPr>
      <w:r>
        <w:rPr>
          <w:rFonts w:ascii="Aptos" w:hAnsi="Aptos"/>
          <w:b w:val="0"/>
          <w:color w:val="102A3A"/>
          <w:sz w:val="21"/>
        </w:rPr>
        <w:t>Routing</w:t>
      </w:r>
    </w:p>
    <w:p>
      <w:pPr>
        <w:pStyle w:val="ListBullet"/>
        <w:spacing w:after="60" w:line="259" w:lineRule="auto"/>
      </w:pPr>
      <w:r>
        <w:rPr>
          <w:rFonts w:ascii="Aptos" w:hAnsi="Aptos"/>
          <w:b w:val="0"/>
          <w:color w:val="102A3A"/>
          <w:sz w:val="21"/>
        </w:rPr>
        <w:t>Security and Retention</w:t>
      </w:r>
    </w:p>
    <w:p>
      <w:pPr>
        <w:pStyle w:val="ListBullet"/>
        <w:spacing w:after="60" w:line="259" w:lineRule="auto"/>
      </w:pPr>
      <w:r>
        <w:rPr>
          <w:rFonts w:ascii="Aptos" w:hAnsi="Aptos"/>
          <w:b w:val="0"/>
          <w:color w:val="102A3A"/>
          <w:sz w:val="21"/>
        </w:rPr>
        <w:t>Setup and Health Check</w:t>
      </w:r>
    </w:p>
    <w:p>
      <w:pPr>
        <w:pStyle w:val="Heading2"/>
        <w:keepNext/>
      </w:pPr>
      <w:r>
        <w:t>13.2 Dashboard Metrics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3240"/>
            <w:shd w:fill="061B2E"/>
            <w:tcMar>
              <w:top w:w="110" w:type="dxa"/>
              <w:start w:w="120" w:type="dxa"/>
              <w:bottom w:w="110" w:type="dxa"/>
              <w:end w:w="120" w:type="dxa"/>
            </w:tcMar>
            <w:vAlign w:val="center"/>
          </w:tcPr>
          <w:p>
            <w:pPr>
              <w:jc w:val="center"/>
            </w:pPr>
            <w:r>
              <w:rPr>
                <w:rFonts w:ascii="Aptos" w:hAnsi="Aptos"/>
                <w:b/>
                <w:color w:val="FFFFFF"/>
                <w:sz w:val="18"/>
              </w:rPr>
              <w:t>Metric</w:t>
            </w:r>
          </w:p>
        </w:tc>
        <w:tc>
          <w:tcPr>
            <w:tcW w:type="dxa" w:w="6840"/>
            <w:shd w:fill="061B2E"/>
            <w:tcMar>
              <w:top w:w="110" w:type="dxa"/>
              <w:start w:w="120" w:type="dxa"/>
              <w:bottom w:w="110" w:type="dxa"/>
              <w:end w:w="120" w:type="dxa"/>
            </w:tcMar>
            <w:vAlign w:val="center"/>
          </w:tcPr>
          <w:p>
            <w:pPr>
              <w:jc w:val="center"/>
            </w:pPr>
            <w:r>
              <w:rPr>
                <w:rFonts w:ascii="Aptos" w:hAnsi="Aptos"/>
                <w:b/>
                <w:color w:val="FFFFFF"/>
                <w:sz w:val="18"/>
              </w:rPr>
              <w:t>Definition</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Errors detected today</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Total new normalized error occurrences.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Affected users</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Distinct users materially impacted.</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Unresolved critical incidents</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Open Critical incidents.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Recurring incidents</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Grouped incidents above recurrence threshold.</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Mean time to diagnosis</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Capture to diagnosis completion.</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Mean time to resolution</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Capture to verified resolution or closure.</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Automatically resolved</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Verified low-risk system-safe remediations.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Assisted resolutions</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User-confirmed guided fixes.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Escalations created</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Technical packages routed.</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Retry success rate</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Succeeded retries divided by executed retries.</w:t>
            </w:r>
          </w:p>
        </w:tc>
      </w:tr>
      <w:tr>
        <w:trPr>
          <w:cantSplit/>
        </w:trPr>
        <w:tc>
          <w:tcPr>
            <w:tcW w:type="dxa" w:w="3240"/>
            <w:tcMar>
              <w:top w:w="95" w:type="dxa"/>
              <w:start w:w="110" w:type="dxa"/>
              <w:bottom w:w="95" w:type="dxa"/>
              <w:end w:w="110" w:type="dxa"/>
            </w:tcMar>
            <w:vAlign w:val="center"/>
          </w:tcPr>
          <w:p>
            <w:pPr>
              <w:spacing w:after="0" w:line="252" w:lineRule="auto"/>
            </w:pPr>
            <w:r>
              <w:rPr>
                <w:rFonts w:ascii="Aptos" w:hAnsi="Aptos"/>
                <w:b/>
                <w:color w:val="061B2E"/>
                <w:sz w:val="18"/>
              </w:rPr>
              <w:t>Top failing Flows</w:t>
            </w:r>
          </w:p>
        </w:tc>
        <w:tc>
          <w:tcPr>
            <w:tcW w:type="dxa" w:w="6840"/>
            <w:tcMar>
              <w:top w:w="95" w:type="dxa"/>
              <w:start w:w="110" w:type="dxa"/>
              <w:bottom w:w="95" w:type="dxa"/>
              <w:end w:w="110" w:type="dxa"/>
            </w:tcMar>
            <w:vAlign w:val="center"/>
          </w:tcPr>
          <w:p>
            <w:pPr>
              <w:spacing w:after="0" w:line="252" w:lineRule="auto"/>
            </w:pPr>
            <w:r>
              <w:rPr>
                <w:rFonts w:ascii="Aptos" w:hAnsi="Aptos"/>
                <w:b w:val="0"/>
                <w:color w:val="102A3A"/>
                <w:sz w:val="18"/>
              </w:rPr>
              <w:t>Ranked sources by occurrence and business impact.</w:t>
            </w:r>
          </w:p>
        </w:tc>
      </w:tr>
    </w:tbl>
    <w:p>
      <w:pPr>
        <w:spacing w:after="40"/>
      </w:pPr>
    </w:p>
    <w:p>
      <w:pPr>
        <w:pStyle w:val="Heading1"/>
        <w:keepNext/>
      </w:pPr>
      <w:r>
        <w:t>14. Setup Wizard and Onboarding</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736"/>
            <w:shd w:fill="061B2E"/>
            <w:tcMar>
              <w:top w:w="110" w:type="dxa"/>
              <w:start w:w="120" w:type="dxa"/>
              <w:bottom w:w="110" w:type="dxa"/>
              <w:end w:w="120" w:type="dxa"/>
            </w:tcMar>
            <w:vAlign w:val="center"/>
          </w:tcPr>
          <w:p>
            <w:pPr>
              <w:jc w:val="center"/>
            </w:pPr>
            <w:r>
              <w:rPr>
                <w:rFonts w:ascii="Aptos" w:hAnsi="Aptos"/>
                <w:b/>
                <w:color w:val="FFFFFF"/>
                <w:sz w:val="18"/>
              </w:rPr>
              <w:t>Step</w:t>
            </w:r>
          </w:p>
        </w:tc>
        <w:tc>
          <w:tcPr>
            <w:tcW w:type="dxa" w:w="7344"/>
            <w:shd w:fill="061B2E"/>
            <w:tcMar>
              <w:top w:w="110" w:type="dxa"/>
              <w:start w:w="120" w:type="dxa"/>
              <w:bottom w:w="110" w:type="dxa"/>
              <w:end w:w="120" w:type="dxa"/>
            </w:tcMar>
            <w:vAlign w:val="center"/>
          </w:tcPr>
          <w:p>
            <w:pPr>
              <w:jc w:val="center"/>
            </w:pPr>
            <w:r>
              <w:rPr>
                <w:rFonts w:ascii="Aptos" w:hAnsi="Aptos"/>
                <w:b/>
                <w:color w:val="FFFFFF"/>
                <w:sz w:val="18"/>
              </w:rPr>
              <w:t>Required Capability</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1. Organization Readiness</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Check Salesforce edition, Platform Event access, Agentforce availability, email, permissions, and external connector prerequisites.</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2. Select Monitored Surfaces</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Enable Flow, Apex, Queueable, Batch, integrations, custom LWC, Experience Cloud, and APIs.</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3. Install Flow Monitoring</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Deploy fault subflow, scan Flows, report missing fault paths, and provide guided remediation.</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4. Configure Notifications</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Recipients, severity, confidence, cooldown, grouping, and alert limits.</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5. Configure Escalation</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Email, Case, Jira, Slack, Teams, GitHub, webhook.</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6. Configure Security</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Permission sets, sensitive fields, exclusions, masking, retention, and log access.</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7. Enable Lightning Apps</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Add Aegis utility item to selected Lightning apps.</w:t>
            </w:r>
          </w:p>
        </w:tc>
      </w:tr>
      <w:tr>
        <w:trPr>
          <w:cantSplit/>
        </w:trPr>
        <w:tc>
          <w:tcPr>
            <w:tcW w:type="dxa" w:w="2736"/>
            <w:tcMar>
              <w:top w:w="95" w:type="dxa"/>
              <w:start w:w="110" w:type="dxa"/>
              <w:bottom w:w="95" w:type="dxa"/>
              <w:end w:w="110" w:type="dxa"/>
            </w:tcMar>
            <w:vAlign w:val="center"/>
          </w:tcPr>
          <w:p>
            <w:pPr>
              <w:spacing w:after="0" w:line="252" w:lineRule="auto"/>
            </w:pPr>
            <w:r>
              <w:rPr>
                <w:rFonts w:ascii="Aptos" w:hAnsi="Aptos"/>
                <w:b/>
                <w:color w:val="061B2E"/>
                <w:sz w:val="18"/>
              </w:rPr>
              <w:t>8. Run Health Check</w:t>
            </w:r>
          </w:p>
        </w:tc>
        <w:tc>
          <w:tcPr>
            <w:tcW w:type="dxa" w:w="7344"/>
            <w:tcMar>
              <w:top w:w="95" w:type="dxa"/>
              <w:start w:w="110" w:type="dxa"/>
              <w:bottom w:w="95" w:type="dxa"/>
              <w:end w:w="110" w:type="dxa"/>
            </w:tcMar>
            <w:vAlign w:val="center"/>
          </w:tcPr>
          <w:p>
            <w:pPr>
              <w:spacing w:after="0" w:line="252" w:lineRule="auto"/>
            </w:pPr>
            <w:r>
              <w:rPr>
                <w:rFonts w:ascii="Aptos" w:hAnsi="Aptos"/>
                <w:b w:val="0"/>
                <w:color w:val="102A3A"/>
                <w:sz w:val="18"/>
              </w:rPr>
              <w:t>Publish test event, create log, diagnose, notify, retrieve details, and verify escalation.</w:t>
            </w:r>
          </w:p>
        </w:tc>
      </w:tr>
    </w:tbl>
    <w:p>
      <w:pPr>
        <w:spacing w:after="40"/>
      </w:pPr>
    </w:p>
    <w:p>
      <w:pPr>
        <w:pStyle w:val="Heading2"/>
        <w:keepNext/>
      </w:pPr>
      <w:r>
        <w:t>14.1 Health Check Results</w:t>
      </w:r>
    </w:p>
    <w:p>
      <w:pPr>
        <w:pStyle w:val="ListBullet"/>
        <w:spacing w:after="60" w:line="259" w:lineRule="auto"/>
      </w:pPr>
      <w:r>
        <w:rPr>
          <w:rFonts w:ascii="Aptos" w:hAnsi="Aptos"/>
          <w:b w:val="0"/>
          <w:color w:val="102A3A"/>
          <w:sz w:val="21"/>
        </w:rPr>
        <w:t>PASS / WARNING / FAIL for each prerequisite.</w:t>
      </w:r>
    </w:p>
    <w:p>
      <w:pPr>
        <w:pStyle w:val="ListBullet"/>
        <w:spacing w:after="60" w:line="259" w:lineRule="auto"/>
      </w:pPr>
      <w:r>
        <w:rPr>
          <w:rFonts w:ascii="Aptos" w:hAnsi="Aptos"/>
          <w:b w:val="0"/>
          <w:color w:val="102A3A"/>
          <w:sz w:val="21"/>
        </w:rPr>
        <w:t>Direct remediation instructions for every failed check.</w:t>
      </w:r>
    </w:p>
    <w:p>
      <w:pPr>
        <w:pStyle w:val="ListBullet"/>
        <w:spacing w:after="60" w:line="259" w:lineRule="auto"/>
      </w:pPr>
      <w:r>
        <w:rPr>
          <w:rFonts w:ascii="Aptos" w:hAnsi="Aptos"/>
          <w:b w:val="0"/>
          <w:color w:val="102A3A"/>
          <w:sz w:val="21"/>
        </w:rPr>
        <w:t>Test correlation ID and links to generated diagnostic records.</w:t>
      </w:r>
    </w:p>
    <w:p>
      <w:pPr>
        <w:pStyle w:val="ListBullet"/>
        <w:spacing w:after="60" w:line="259" w:lineRule="auto"/>
      </w:pPr>
      <w:r>
        <w:rPr>
          <w:rFonts w:ascii="Aptos" w:hAnsi="Aptos"/>
          <w:b w:val="0"/>
          <w:color w:val="102A3A"/>
          <w:sz w:val="21"/>
        </w:rPr>
        <w:t>No production data mutation during the health check.</w:t>
      </w:r>
    </w:p>
    <w:p>
      <w:pPr>
        <w:pStyle w:val="Heading1"/>
        <w:keepNext/>
      </w:pPr>
      <w:r>
        <w:t>15. Security, Privacy, and Governance</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448"/>
            <w:shd w:fill="061B2E"/>
            <w:tcMar>
              <w:top w:w="110" w:type="dxa"/>
              <w:start w:w="120" w:type="dxa"/>
              <w:bottom w:w="110" w:type="dxa"/>
              <w:end w:w="120" w:type="dxa"/>
            </w:tcMar>
            <w:vAlign w:val="center"/>
          </w:tcPr>
          <w:p>
            <w:pPr>
              <w:jc w:val="center"/>
            </w:pPr>
            <w:r>
              <w:rPr>
                <w:rFonts w:ascii="Aptos" w:hAnsi="Aptos"/>
                <w:b/>
                <w:color w:val="FFFFFF"/>
                <w:sz w:val="18"/>
              </w:rPr>
              <w:t>Control Area</w:t>
            </w:r>
          </w:p>
        </w:tc>
        <w:tc>
          <w:tcPr>
            <w:tcW w:type="dxa" w:w="7632"/>
            <w:shd w:fill="061B2E"/>
            <w:tcMar>
              <w:top w:w="110" w:type="dxa"/>
              <w:start w:w="120" w:type="dxa"/>
              <w:bottom w:w="110" w:type="dxa"/>
              <w:end w:w="120" w:type="dxa"/>
            </w:tcMar>
            <w:vAlign w:val="center"/>
          </w:tcPr>
          <w:p>
            <w:pPr>
              <w:jc w:val="center"/>
            </w:pPr>
            <w:r>
              <w:rPr>
                <w:rFonts w:ascii="Aptos" w:hAnsi="Aptos"/>
                <w:b/>
                <w:color w:val="FFFFFF"/>
                <w:sz w:val="18"/>
              </w:rPr>
              <w:t>Requirement</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Sharing</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Private sharing for diagnostic, notification, remediation, and escalation objects.</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Apex</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Use with sharing by default; justify and isolate any system-context infrastructure.</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CRUD/FLS</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Enforce on all user-accessible read and write paths.</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Authorization</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Custom permissions for details, technical evidence, remediation, routing, and administration.</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Sensitive Data</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Allowlist context fields and mask before storage, AI invocation, events, and outbound delivery.</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Credentials</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Use External Credentials and Named Credentials; never store secrets in custom metadata or settings.</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Browser Events</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Minimal payload and server-side authorization on detail retrieval.</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Retention</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Scheduled purge/archive governed by Retention_Policy__mdt.</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Audit</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Track diagnosis, view, dismiss, confirmation, write, retry, escalation, and delivery.</w:t>
            </w:r>
          </w:p>
        </w:tc>
      </w:tr>
      <w:tr>
        <w:trPr>
          <w:cantSplit/>
        </w:trPr>
        <w:tc>
          <w:tcPr>
            <w:tcW w:type="dxa" w:w="2448"/>
            <w:tcMar>
              <w:top w:w="95" w:type="dxa"/>
              <w:start w:w="110" w:type="dxa"/>
              <w:bottom w:w="95" w:type="dxa"/>
              <w:end w:w="110" w:type="dxa"/>
            </w:tcMar>
            <w:vAlign w:val="center"/>
          </w:tcPr>
          <w:p>
            <w:pPr>
              <w:spacing w:after="0" w:line="252" w:lineRule="auto"/>
            </w:pPr>
            <w:r>
              <w:rPr>
                <w:rFonts w:ascii="Aptos" w:hAnsi="Aptos"/>
                <w:b/>
                <w:color w:val="061B2E"/>
                <w:sz w:val="18"/>
              </w:rPr>
              <w:t>AI Governance</w:t>
            </w:r>
          </w:p>
        </w:tc>
        <w:tc>
          <w:tcPr>
            <w:tcW w:type="dxa" w:w="7632"/>
            <w:tcMar>
              <w:top w:w="95" w:type="dxa"/>
              <w:start w:w="110" w:type="dxa"/>
              <w:bottom w:w="95" w:type="dxa"/>
              <w:end w:w="110" w:type="dxa"/>
            </w:tcMar>
            <w:vAlign w:val="center"/>
          </w:tcPr>
          <w:p>
            <w:pPr>
              <w:spacing w:after="0" w:line="252" w:lineRule="auto"/>
            </w:pPr>
            <w:r>
              <w:rPr>
                <w:rFonts w:ascii="Aptos" w:hAnsi="Aptos"/>
                <w:b w:val="0"/>
                <w:color w:val="102A3A"/>
                <w:sz w:val="18"/>
              </w:rPr>
              <w:t>Explicit topics, structured payloads, registered actions, confidence thresholds, and no arbitrary execution.</w:t>
            </w:r>
          </w:p>
        </w:tc>
      </w:tr>
    </w:tbl>
    <w:p>
      <w:pPr>
        <w:spacing w:after="40"/>
      </w:pPr>
    </w:p>
    <w:p>
      <w:pPr>
        <w:pStyle w:val="Heading2"/>
        <w:keepNext/>
      </w:pPr>
      <w:r>
        <w:t>15.1 Permission Model</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3888"/>
            <w:shd w:fill="061B2E"/>
            <w:tcMar>
              <w:top w:w="110" w:type="dxa"/>
              <w:start w:w="120" w:type="dxa"/>
              <w:bottom w:w="110" w:type="dxa"/>
              <w:end w:w="120" w:type="dxa"/>
            </w:tcMar>
            <w:vAlign w:val="center"/>
          </w:tcPr>
          <w:p>
            <w:pPr>
              <w:jc w:val="center"/>
            </w:pPr>
            <w:r>
              <w:rPr>
                <w:rFonts w:ascii="Aptos" w:hAnsi="Aptos"/>
                <w:b/>
                <w:color w:val="FFFFFF"/>
                <w:sz w:val="18"/>
              </w:rPr>
              <w:t>Permission Set / Custom Permission</w:t>
            </w:r>
          </w:p>
        </w:tc>
        <w:tc>
          <w:tcPr>
            <w:tcW w:type="dxa" w:w="6192"/>
            <w:shd w:fill="061B2E"/>
            <w:tcMar>
              <w:top w:w="110" w:type="dxa"/>
              <w:start w:w="120" w:type="dxa"/>
              <w:bottom w:w="110" w:type="dxa"/>
              <w:end w:w="120" w:type="dxa"/>
            </w:tcMar>
            <w:vAlign w:val="center"/>
          </w:tcPr>
          <w:p>
            <w:pPr>
              <w:jc w:val="center"/>
            </w:pPr>
            <w:r>
              <w:rPr>
                <w:rFonts w:ascii="Aptos" w:hAnsi="Aptos"/>
                <w:b/>
                <w:color w:val="FFFFFF"/>
                <w:sz w:val="18"/>
              </w:rPr>
              <w:t>Audience and Capability</w:t>
            </w:r>
          </w:p>
        </w:tc>
      </w:tr>
      <w:tr>
        <w:trPr>
          <w:cantSplit/>
        </w:trPr>
        <w:tc>
          <w:tcPr>
            <w:tcW w:type="dxa" w:w="3888"/>
            <w:tcMar>
              <w:top w:w="95" w:type="dxa"/>
              <w:start w:w="110" w:type="dxa"/>
              <w:bottom w:w="95" w:type="dxa"/>
              <w:end w:w="110" w:type="dxa"/>
            </w:tcMar>
            <w:vAlign w:val="center"/>
          </w:tcPr>
          <w:p>
            <w:pPr>
              <w:spacing w:after="0" w:line="252" w:lineRule="auto"/>
            </w:pPr>
            <w:r>
              <w:rPr>
                <w:rFonts w:ascii="Aptos" w:hAnsi="Aptos"/>
                <w:b/>
                <w:color w:val="061B2E"/>
                <w:sz w:val="18"/>
              </w:rPr>
              <w:t>Aegis End User</w:t>
            </w:r>
          </w:p>
        </w:tc>
        <w:tc>
          <w:tcPr>
            <w:tcW w:type="dxa" w:w="6192"/>
            <w:tcMar>
              <w:top w:w="95" w:type="dxa"/>
              <w:start w:w="110" w:type="dxa"/>
              <w:bottom w:w="95" w:type="dxa"/>
              <w:end w:w="110" w:type="dxa"/>
            </w:tcMar>
            <w:vAlign w:val="center"/>
          </w:tcPr>
          <w:p>
            <w:pPr>
              <w:spacing w:after="0" w:line="252" w:lineRule="auto"/>
            </w:pPr>
            <w:r>
              <w:rPr>
                <w:rFonts w:ascii="Aptos" w:hAnsi="Aptos"/>
                <w:b w:val="0"/>
                <w:color w:val="102A3A"/>
                <w:sz w:val="18"/>
              </w:rPr>
              <w:t>Use Get Help, receive notifications, view own sessions.</w:t>
            </w:r>
          </w:p>
        </w:tc>
      </w:tr>
      <w:tr>
        <w:trPr>
          <w:cantSplit/>
        </w:trPr>
        <w:tc>
          <w:tcPr>
            <w:tcW w:type="dxa" w:w="3888"/>
            <w:tcMar>
              <w:top w:w="95" w:type="dxa"/>
              <w:start w:w="110" w:type="dxa"/>
              <w:bottom w:w="95" w:type="dxa"/>
              <w:end w:w="110" w:type="dxa"/>
            </w:tcMar>
            <w:vAlign w:val="center"/>
          </w:tcPr>
          <w:p>
            <w:pPr>
              <w:spacing w:after="0" w:line="252" w:lineRule="auto"/>
            </w:pPr>
            <w:r>
              <w:rPr>
                <w:rFonts w:ascii="Aptos" w:hAnsi="Aptos"/>
                <w:b/>
                <w:color w:val="061B2E"/>
                <w:sz w:val="18"/>
              </w:rPr>
              <w:t>Aegis Support Analyst</w:t>
            </w:r>
          </w:p>
        </w:tc>
        <w:tc>
          <w:tcPr>
            <w:tcW w:type="dxa" w:w="6192"/>
            <w:tcMar>
              <w:top w:w="95" w:type="dxa"/>
              <w:start w:w="110" w:type="dxa"/>
              <w:bottom w:w="95" w:type="dxa"/>
              <w:end w:w="110" w:type="dxa"/>
            </w:tcMar>
            <w:vAlign w:val="center"/>
          </w:tcPr>
          <w:p>
            <w:pPr>
              <w:spacing w:after="0" w:line="252" w:lineRule="auto"/>
            </w:pPr>
            <w:r>
              <w:rPr>
                <w:rFonts w:ascii="Aptos" w:hAnsi="Aptos"/>
                <w:b w:val="0"/>
                <w:color w:val="102A3A"/>
                <w:sz w:val="18"/>
              </w:rPr>
              <w:t>View operational context and manage assigned incidents.</w:t>
            </w:r>
          </w:p>
        </w:tc>
      </w:tr>
      <w:tr>
        <w:trPr>
          <w:cantSplit/>
        </w:trPr>
        <w:tc>
          <w:tcPr>
            <w:tcW w:type="dxa" w:w="3888"/>
            <w:tcMar>
              <w:top w:w="95" w:type="dxa"/>
              <w:start w:w="110" w:type="dxa"/>
              <w:bottom w:w="95" w:type="dxa"/>
              <w:end w:w="110" w:type="dxa"/>
            </w:tcMar>
            <w:vAlign w:val="center"/>
          </w:tcPr>
          <w:p>
            <w:pPr>
              <w:spacing w:after="0" w:line="252" w:lineRule="auto"/>
            </w:pPr>
            <w:r>
              <w:rPr>
                <w:rFonts w:ascii="Aptos" w:hAnsi="Aptos"/>
                <w:b/>
                <w:color w:val="061B2E"/>
                <w:sz w:val="18"/>
              </w:rPr>
              <w:t>Aegis Developer Viewer</w:t>
            </w:r>
          </w:p>
        </w:tc>
        <w:tc>
          <w:tcPr>
            <w:tcW w:type="dxa" w:w="6192"/>
            <w:tcMar>
              <w:top w:w="95" w:type="dxa"/>
              <w:start w:w="110" w:type="dxa"/>
              <w:bottom w:w="95" w:type="dxa"/>
              <w:end w:w="110" w:type="dxa"/>
            </w:tcMar>
            <w:vAlign w:val="center"/>
          </w:tcPr>
          <w:p>
            <w:pPr>
              <w:spacing w:after="0" w:line="252" w:lineRule="auto"/>
            </w:pPr>
            <w:r>
              <w:rPr>
                <w:rFonts w:ascii="Aptos" w:hAnsi="Aptos"/>
                <w:b w:val="0"/>
                <w:color w:val="102A3A"/>
                <w:sz w:val="18"/>
              </w:rPr>
              <w:t>View stack traces, logs, source details, and developer escalations.</w:t>
            </w:r>
          </w:p>
        </w:tc>
      </w:tr>
      <w:tr>
        <w:trPr>
          <w:cantSplit/>
        </w:trPr>
        <w:tc>
          <w:tcPr>
            <w:tcW w:type="dxa" w:w="3888"/>
            <w:tcMar>
              <w:top w:w="95" w:type="dxa"/>
              <w:start w:w="110" w:type="dxa"/>
              <w:bottom w:w="95" w:type="dxa"/>
              <w:end w:w="110" w:type="dxa"/>
            </w:tcMar>
            <w:vAlign w:val="center"/>
          </w:tcPr>
          <w:p>
            <w:pPr>
              <w:spacing w:after="0" w:line="252" w:lineRule="auto"/>
            </w:pPr>
            <w:r>
              <w:rPr>
                <w:rFonts w:ascii="Aptos" w:hAnsi="Aptos"/>
                <w:b/>
                <w:color w:val="061B2E"/>
                <w:sz w:val="18"/>
              </w:rPr>
              <w:t>Aegis Product Admin</w:t>
            </w:r>
          </w:p>
        </w:tc>
        <w:tc>
          <w:tcPr>
            <w:tcW w:type="dxa" w:w="6192"/>
            <w:tcMar>
              <w:top w:w="95" w:type="dxa"/>
              <w:start w:w="110" w:type="dxa"/>
              <w:bottom w:w="95" w:type="dxa"/>
              <w:end w:w="110" w:type="dxa"/>
            </w:tcMar>
            <w:vAlign w:val="center"/>
          </w:tcPr>
          <w:p>
            <w:pPr>
              <w:spacing w:after="0" w:line="252" w:lineRule="auto"/>
            </w:pPr>
            <w:r>
              <w:rPr>
                <w:rFonts w:ascii="Aptos" w:hAnsi="Aptos"/>
                <w:b w:val="0"/>
                <w:color w:val="102A3A"/>
                <w:sz w:val="18"/>
              </w:rPr>
              <w:t>Configure rules, routes, policies, surfaces, masking, and retention.</w:t>
            </w:r>
          </w:p>
        </w:tc>
      </w:tr>
      <w:tr>
        <w:trPr>
          <w:cantSplit/>
        </w:trPr>
        <w:tc>
          <w:tcPr>
            <w:tcW w:type="dxa" w:w="3888"/>
            <w:tcMar>
              <w:top w:w="95" w:type="dxa"/>
              <w:start w:w="110" w:type="dxa"/>
              <w:bottom w:w="95" w:type="dxa"/>
              <w:end w:w="110" w:type="dxa"/>
            </w:tcMar>
            <w:vAlign w:val="center"/>
          </w:tcPr>
          <w:p>
            <w:pPr>
              <w:spacing w:after="0" w:line="252" w:lineRule="auto"/>
            </w:pPr>
            <w:r>
              <w:rPr>
                <w:rFonts w:ascii="Aptos" w:hAnsi="Aptos"/>
                <w:b/>
                <w:color w:val="061B2E"/>
                <w:sz w:val="18"/>
              </w:rPr>
              <w:t>Aegis Integration User</w:t>
            </w:r>
          </w:p>
        </w:tc>
        <w:tc>
          <w:tcPr>
            <w:tcW w:type="dxa" w:w="6192"/>
            <w:tcMar>
              <w:top w:w="95" w:type="dxa"/>
              <w:start w:w="110" w:type="dxa"/>
              <w:bottom w:w="95" w:type="dxa"/>
              <w:end w:w="110" w:type="dxa"/>
            </w:tcMar>
            <w:vAlign w:val="center"/>
          </w:tcPr>
          <w:p>
            <w:pPr>
              <w:spacing w:after="0" w:line="252" w:lineRule="auto"/>
            </w:pPr>
            <w:r>
              <w:rPr>
                <w:rFonts w:ascii="Aptos" w:hAnsi="Aptos"/>
                <w:b w:val="0"/>
                <w:color w:val="102A3A"/>
                <w:sz w:val="18"/>
              </w:rPr>
              <w:t>Execute package-level connector and background operations.</w:t>
            </w:r>
          </w:p>
        </w:tc>
      </w:tr>
      <w:tr>
        <w:trPr>
          <w:cantSplit/>
        </w:trPr>
        <w:tc>
          <w:tcPr>
            <w:tcW w:type="dxa" w:w="3888"/>
            <w:tcMar>
              <w:top w:w="95" w:type="dxa"/>
              <w:start w:w="110" w:type="dxa"/>
              <w:bottom w:w="95" w:type="dxa"/>
              <w:end w:w="110" w:type="dxa"/>
            </w:tcMar>
            <w:vAlign w:val="center"/>
          </w:tcPr>
          <w:p>
            <w:pPr>
              <w:spacing w:after="0" w:line="252" w:lineRule="auto"/>
            </w:pPr>
            <w:r>
              <w:rPr>
                <w:rFonts w:ascii="Aptos" w:hAnsi="Aptos"/>
                <w:b/>
                <w:color w:val="061B2E"/>
                <w:sz w:val="18"/>
              </w:rPr>
              <w:t>Aegis Execute Remediation</w:t>
            </w:r>
          </w:p>
        </w:tc>
        <w:tc>
          <w:tcPr>
            <w:tcW w:type="dxa" w:w="6192"/>
            <w:tcMar>
              <w:top w:w="95" w:type="dxa"/>
              <w:start w:w="110" w:type="dxa"/>
              <w:bottom w:w="95" w:type="dxa"/>
              <w:end w:w="110" w:type="dxa"/>
            </w:tcMar>
            <w:vAlign w:val="center"/>
          </w:tcPr>
          <w:p>
            <w:pPr>
              <w:spacing w:after="0" w:line="252" w:lineRule="auto"/>
            </w:pPr>
            <w:r>
              <w:rPr>
                <w:rFonts w:ascii="Aptos" w:hAnsi="Aptos"/>
                <w:b w:val="0"/>
                <w:color w:val="102A3A"/>
                <w:sz w:val="18"/>
              </w:rPr>
              <w:t>Approve and execute registered corrective actions.</w:t>
            </w:r>
          </w:p>
        </w:tc>
      </w:tr>
      <w:tr>
        <w:trPr>
          <w:cantSplit/>
        </w:trPr>
        <w:tc>
          <w:tcPr>
            <w:tcW w:type="dxa" w:w="3888"/>
            <w:tcMar>
              <w:top w:w="95" w:type="dxa"/>
              <w:start w:w="110" w:type="dxa"/>
              <w:bottom w:w="95" w:type="dxa"/>
              <w:end w:w="110" w:type="dxa"/>
            </w:tcMar>
            <w:vAlign w:val="center"/>
          </w:tcPr>
          <w:p>
            <w:pPr>
              <w:spacing w:after="0" w:line="252" w:lineRule="auto"/>
            </w:pPr>
            <w:r>
              <w:rPr>
                <w:rFonts w:ascii="Aptos" w:hAnsi="Aptos"/>
                <w:b/>
                <w:color w:val="061B2E"/>
                <w:sz w:val="18"/>
              </w:rPr>
              <w:t>Aegis View Sensitive Context</w:t>
            </w:r>
          </w:p>
        </w:tc>
        <w:tc>
          <w:tcPr>
            <w:tcW w:type="dxa" w:w="6192"/>
            <w:tcMar>
              <w:top w:w="95" w:type="dxa"/>
              <w:start w:w="110" w:type="dxa"/>
              <w:bottom w:w="95" w:type="dxa"/>
              <w:end w:w="110" w:type="dxa"/>
            </w:tcMar>
            <w:vAlign w:val="center"/>
          </w:tcPr>
          <w:p>
            <w:pPr>
              <w:spacing w:after="0" w:line="252" w:lineRule="auto"/>
            </w:pPr>
            <w:r>
              <w:rPr>
                <w:rFonts w:ascii="Aptos" w:hAnsi="Aptos"/>
                <w:b w:val="0"/>
                <w:color w:val="102A3A"/>
                <w:sz w:val="18"/>
              </w:rPr>
              <w:t>Explicit access to unmasked fields where policy permits.</w:t>
            </w:r>
          </w:p>
        </w:tc>
      </w:tr>
    </w:tbl>
    <w:p>
      <w:pPr>
        <w:spacing w:after="40"/>
      </w:pPr>
    </w:p>
    <w:p>
      <w:pPr>
        <w:spacing w:after="40"/>
      </w:pPr>
    </w:p>
    <w:p>
      <w:pPr>
        <w:pStyle w:val="Heading1"/>
        <w:keepNext/>
      </w:pPr>
      <w:r>
        <w:t>16. Managed Package Architecture</w:t>
      </w:r>
    </w:p>
    <w:p>
      <w:pPr>
        <w:keepNext w:val="0"/>
        <w:spacing w:after="120" w:before="0" w:line="269" w:lineRule="auto"/>
      </w:pPr>
      <w:r>
        <w:rPr>
          <w:rFonts w:ascii="Aptos" w:hAnsi="Aptos"/>
          <w:b w:val="0"/>
          <w:color w:val="102A3A"/>
          <w:sz w:val="22"/>
        </w:rPr>
        <w:t>Use a Second-Generation Managed Package for the commercial product. Use unlocked packaging only for internal prototyping. Keep optional AI and connector dependencies in extension packages where practical.</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3384"/>
            <w:shd w:fill="061B2E"/>
            <w:tcMar>
              <w:top w:w="110" w:type="dxa"/>
              <w:start w:w="120" w:type="dxa"/>
              <w:bottom w:w="110" w:type="dxa"/>
              <w:end w:w="120" w:type="dxa"/>
            </w:tcMar>
            <w:vAlign w:val="center"/>
          </w:tcPr>
          <w:p>
            <w:pPr>
              <w:jc w:val="center"/>
            </w:pPr>
            <w:r>
              <w:rPr>
                <w:rFonts w:ascii="Aptos" w:hAnsi="Aptos"/>
                <w:b/>
                <w:color w:val="FFFFFF"/>
                <w:sz w:val="18"/>
              </w:rPr>
              <w:t>Package</w:t>
            </w:r>
          </w:p>
        </w:tc>
        <w:tc>
          <w:tcPr>
            <w:tcW w:type="dxa" w:w="6696"/>
            <w:shd w:fill="061B2E"/>
            <w:tcMar>
              <w:top w:w="110" w:type="dxa"/>
              <w:start w:w="120" w:type="dxa"/>
              <w:bottom w:w="110" w:type="dxa"/>
              <w:end w:w="120" w:type="dxa"/>
            </w:tcMar>
            <w:vAlign w:val="center"/>
          </w:tcPr>
          <w:p>
            <w:pPr>
              <w:jc w:val="center"/>
            </w:pPr>
            <w:r>
              <w:rPr>
                <w:rFonts w:ascii="Aptos" w:hAnsi="Aptos"/>
                <w:b/>
                <w:color w:val="FFFFFF"/>
                <w:sz w:val="18"/>
              </w:rPr>
              <w:t>Contents</w:t>
            </w:r>
          </w:p>
        </w:tc>
      </w:tr>
      <w:tr>
        <w:trPr>
          <w:cantSplit/>
        </w:trPr>
        <w:tc>
          <w:tcPr>
            <w:tcW w:type="dxa" w:w="3384"/>
            <w:tcMar>
              <w:top w:w="95" w:type="dxa"/>
              <w:start w:w="110" w:type="dxa"/>
              <w:bottom w:w="95" w:type="dxa"/>
              <w:end w:w="110" w:type="dxa"/>
            </w:tcMar>
            <w:vAlign w:val="center"/>
          </w:tcPr>
          <w:p>
            <w:pPr>
              <w:spacing w:after="0" w:line="252" w:lineRule="auto"/>
            </w:pPr>
            <w:r>
              <w:rPr>
                <w:rFonts w:ascii="Aptos" w:hAnsi="Aptos"/>
                <w:b/>
                <w:color w:val="061B2E"/>
                <w:sz w:val="18"/>
              </w:rPr>
              <w:t>Aegis Flow Core</w:t>
            </w:r>
          </w:p>
        </w:tc>
        <w:tc>
          <w:tcPr>
            <w:tcW w:type="dxa" w:w="6696"/>
            <w:tcMar>
              <w:top w:w="95" w:type="dxa"/>
              <w:start w:w="110" w:type="dxa"/>
              <w:bottom w:w="95" w:type="dxa"/>
              <w:end w:w="110" w:type="dxa"/>
            </w:tcMar>
            <w:vAlign w:val="center"/>
          </w:tcPr>
          <w:p>
            <w:pPr>
              <w:spacing w:after="0" w:line="252" w:lineRule="auto"/>
            </w:pPr>
            <w:r>
              <w:rPr>
                <w:rFonts w:ascii="Aptos" w:hAnsi="Aptos"/>
                <w:b w:val="0"/>
                <w:color w:val="102A3A"/>
                <w:sz w:val="18"/>
              </w:rPr>
              <w:t>Capture, normalization, incidents, notifications, Get Help, Command Center, email/Case routing, security, setup wizard.</w:t>
            </w:r>
          </w:p>
        </w:tc>
      </w:tr>
      <w:tr>
        <w:trPr>
          <w:cantSplit/>
        </w:trPr>
        <w:tc>
          <w:tcPr>
            <w:tcW w:type="dxa" w:w="3384"/>
            <w:tcMar>
              <w:top w:w="95" w:type="dxa"/>
              <w:start w:w="110" w:type="dxa"/>
              <w:bottom w:w="95" w:type="dxa"/>
              <w:end w:w="110" w:type="dxa"/>
            </w:tcMar>
            <w:vAlign w:val="center"/>
          </w:tcPr>
          <w:p>
            <w:pPr>
              <w:spacing w:after="0" w:line="252" w:lineRule="auto"/>
            </w:pPr>
            <w:r>
              <w:rPr>
                <w:rFonts w:ascii="Aptos" w:hAnsi="Aptos"/>
                <w:b/>
                <w:color w:val="061B2E"/>
                <w:sz w:val="18"/>
              </w:rPr>
              <w:t>Aegis Flow Agentforce Extension</w:t>
            </w:r>
          </w:p>
        </w:tc>
        <w:tc>
          <w:tcPr>
            <w:tcW w:type="dxa" w:w="6696"/>
            <w:tcMar>
              <w:top w:w="95" w:type="dxa"/>
              <w:start w:w="110" w:type="dxa"/>
              <w:bottom w:w="95" w:type="dxa"/>
              <w:end w:w="110" w:type="dxa"/>
            </w:tcMar>
            <w:vAlign w:val="center"/>
          </w:tcPr>
          <w:p>
            <w:pPr>
              <w:spacing w:after="0" w:line="252" w:lineRule="auto"/>
            </w:pPr>
            <w:r>
              <w:rPr>
                <w:rFonts w:ascii="Aptos" w:hAnsi="Aptos"/>
                <w:b w:val="0"/>
                <w:color w:val="102A3A"/>
                <w:sz w:val="18"/>
              </w:rPr>
              <w:t>Agent topics, actions, prompt templates, AI diagnosis, confidence, and trust configuration.</w:t>
            </w:r>
          </w:p>
        </w:tc>
      </w:tr>
      <w:tr>
        <w:trPr>
          <w:cantSplit/>
        </w:trPr>
        <w:tc>
          <w:tcPr>
            <w:tcW w:type="dxa" w:w="3384"/>
            <w:tcMar>
              <w:top w:w="95" w:type="dxa"/>
              <w:start w:w="110" w:type="dxa"/>
              <w:bottom w:w="95" w:type="dxa"/>
              <w:end w:w="110" w:type="dxa"/>
            </w:tcMar>
            <w:vAlign w:val="center"/>
          </w:tcPr>
          <w:p>
            <w:pPr>
              <w:spacing w:after="0" w:line="252" w:lineRule="auto"/>
            </w:pPr>
            <w:r>
              <w:rPr>
                <w:rFonts w:ascii="Aptos" w:hAnsi="Aptos"/>
                <w:b/>
                <w:color w:val="061B2E"/>
                <w:sz w:val="18"/>
              </w:rPr>
              <w:t>Aegis Flow Connector Extensions</w:t>
            </w:r>
          </w:p>
        </w:tc>
        <w:tc>
          <w:tcPr>
            <w:tcW w:type="dxa" w:w="6696"/>
            <w:tcMar>
              <w:top w:w="95" w:type="dxa"/>
              <w:start w:w="110" w:type="dxa"/>
              <w:bottom w:w="95" w:type="dxa"/>
              <w:end w:w="110" w:type="dxa"/>
            </w:tcMar>
            <w:vAlign w:val="center"/>
          </w:tcPr>
          <w:p>
            <w:pPr>
              <w:spacing w:after="0" w:line="252" w:lineRule="auto"/>
            </w:pPr>
            <w:r>
              <w:rPr>
                <w:rFonts w:ascii="Aptos" w:hAnsi="Aptos"/>
                <w:b w:val="0"/>
                <w:color w:val="102A3A"/>
                <w:sz w:val="18"/>
              </w:rPr>
              <w:t>Jira, Slack, Teams, GitHub, and enterprise webhook connectors.</w:t>
            </w:r>
          </w:p>
        </w:tc>
      </w:tr>
      <w:tr>
        <w:trPr>
          <w:cantSplit/>
        </w:trPr>
        <w:tc>
          <w:tcPr>
            <w:tcW w:type="dxa" w:w="3384"/>
            <w:tcMar>
              <w:top w:w="95" w:type="dxa"/>
              <w:start w:w="110" w:type="dxa"/>
              <w:bottom w:w="95" w:type="dxa"/>
              <w:end w:w="110" w:type="dxa"/>
            </w:tcMar>
            <w:vAlign w:val="center"/>
          </w:tcPr>
          <w:p>
            <w:pPr>
              <w:spacing w:after="0" w:line="252" w:lineRule="auto"/>
            </w:pPr>
            <w:r>
              <w:rPr>
                <w:rFonts w:ascii="Aptos" w:hAnsi="Aptos"/>
                <w:b/>
                <w:color w:val="061B2E"/>
                <w:sz w:val="18"/>
              </w:rPr>
              <w:t>Aegis Flow Industry Rules</w:t>
            </w:r>
          </w:p>
        </w:tc>
        <w:tc>
          <w:tcPr>
            <w:tcW w:type="dxa" w:w="6696"/>
            <w:tcMar>
              <w:top w:w="95" w:type="dxa"/>
              <w:start w:w="110" w:type="dxa"/>
              <w:bottom w:w="95" w:type="dxa"/>
              <w:end w:w="110" w:type="dxa"/>
            </w:tcMar>
            <w:vAlign w:val="center"/>
          </w:tcPr>
          <w:p>
            <w:pPr>
              <w:spacing w:after="0" w:line="252" w:lineRule="auto"/>
            </w:pPr>
            <w:r>
              <w:rPr>
                <w:rFonts w:ascii="Aptos" w:hAnsi="Aptos"/>
                <w:b w:val="0"/>
                <w:color w:val="102A3A"/>
                <w:sz w:val="18"/>
              </w:rPr>
              <w:t>Optional domain-specific known-error and remediation rule packs.</w:t>
            </w:r>
          </w:p>
        </w:tc>
      </w:tr>
    </w:tbl>
    <w:p>
      <w:pPr>
        <w:spacing w:after="40"/>
      </w:pPr>
    </w:p>
    <w:p>
      <w:pPr>
        <w:pStyle w:val="Heading2"/>
        <w:keepNext/>
      </w:pPr>
      <w:r>
        <w:t>16.1 Metadata Structure</w:t>
      </w:r>
    </w:p>
    <w:tbl>
      <w:tblPr>
        <w:tblW w:type="auto" w:w="0"/>
        <w:jc w:val="center"/>
        <w:tblLayout w:type="fixed"/>
        <w:tblLook w:firstColumn="1" w:firstRow="1" w:lastColumn="0" w:lastRow="0" w:noHBand="0" w:noVBand="1" w:val="04A0"/>
        <w:tblBorders>
          <w:top w:val="single" w:sz="0" w:space="0" w:color="F3F8FA"/>
          <w:start w:val="single" w:sz="0" w:space="0" w:color="F3F8FA"/>
          <w:bottom w:val="single" w:sz="0" w:space="0" w:color="F3F8FA"/>
          <w:end w:val="single" w:sz="0" w:space="0" w:color="F3F8FA"/>
          <w:insideH w:val="single" w:sz="0" w:space="0" w:color="F3F8FA"/>
          <w:insideV w:val="single" w:sz="0" w:space="0" w:color="F3F8FA"/>
        </w:tblBorders>
      </w:tblPr>
      <w:tblGrid>
        <w:gridCol w:w="115"/>
        <w:gridCol w:w="9504"/>
      </w:tblGrid>
      <w:tr>
        <w:tc>
          <w:tcPr>
            <w:tcW w:type="dxa" w:w="5040"/>
            <w:shd w:fill="0A8FA3"/>
          </w:tcPr>
          <w:p/>
        </w:tc>
        <w:tc>
          <w:tcPr>
            <w:tcW w:type="dxa" w:w="5040"/>
            <w:shd w:fill="F3F8FA"/>
            <w:tcMar>
              <w:top w:w="150" w:type="dxa"/>
              <w:start w:w="180" w:type="dxa"/>
              <w:bottom w:w="150" w:type="dxa"/>
              <w:end w:w="180" w:type="dxa"/>
            </w:tcMar>
          </w:tcPr>
          <w:p>
            <w:pPr>
              <w:spacing w:line="269" w:lineRule="auto" w:after="0"/>
            </w:pPr>
            <w:r>
              <w:rPr>
                <w:rFonts w:ascii="Aptos" w:hAnsi="Aptos"/>
                <w:b/>
                <w:color w:val="061B2E"/>
                <w:sz w:val="22"/>
              </w:rPr>
              <w:t>Target Salesforce DX layout</w:t>
            </w:r>
            <w:r>
              <w:rPr>
                <w:rFonts w:ascii="Aptos" w:hAnsi="Aptos"/>
                <w:b w:val="0"/>
                <w:color w:val="102A3A"/>
                <w:sz w:val="21"/>
              </w:rPr>
              <w:br/>
              <w:t>classes, lwc, objects, platformEvents, customMetadata, customPermissions, permissionsets, permissionSetGroups, flows, triggers, namedCredentials, externalCredentials, applications, tabs, flexipages, layouts, quickActions, notificationtypes, staticresources, reports, dashboards, and post-install assets.</w:t>
            </w:r>
          </w:p>
        </w:tc>
      </w:tr>
    </w:tbl>
    <w:p>
      <w:pPr>
        <w:spacing w:after="20"/>
      </w:pPr>
    </w:p>
    <w:p>
      <w:pPr>
        <w:pStyle w:val="Heading2"/>
        <w:keepNext/>
      </w:pPr>
      <w:r>
        <w:t>16.2 Namespace and API Stability</w:t>
      </w:r>
    </w:p>
    <w:p>
      <w:pPr>
        <w:pStyle w:val="ListBullet"/>
        <w:spacing w:after="60" w:line="259" w:lineRule="auto"/>
      </w:pPr>
      <w:r>
        <w:rPr>
          <w:rFonts w:ascii="Aptos" w:hAnsi="Aptos"/>
          <w:b w:val="0"/>
          <w:color w:val="102A3A"/>
          <w:sz w:val="21"/>
        </w:rPr>
        <w:t>Select and reserve a permanent namespace before customer-facing beta distribution.</w:t>
      </w:r>
    </w:p>
    <w:p>
      <w:pPr>
        <w:pStyle w:val="ListBullet"/>
        <w:spacing w:after="60" w:line="259" w:lineRule="auto"/>
      </w:pPr>
      <w:r>
        <w:rPr>
          <w:rFonts w:ascii="Aptos" w:hAnsi="Aptos"/>
          <w:b w:val="0"/>
          <w:color w:val="102A3A"/>
          <w:sz w:val="21"/>
        </w:rPr>
        <w:t>Expose only intentional global interfaces; keep internal implementation private or public within the namespace.</w:t>
      </w:r>
    </w:p>
    <w:p>
      <w:pPr>
        <w:pStyle w:val="ListBullet"/>
        <w:spacing w:after="60" w:line="259" w:lineRule="auto"/>
      </w:pPr>
      <w:r>
        <w:rPr>
          <w:rFonts w:ascii="Aptos" w:hAnsi="Aptos"/>
          <w:b w:val="0"/>
          <w:color w:val="102A3A"/>
          <w:sz w:val="21"/>
        </w:rPr>
        <w:t>Use versioned event and REST contracts when backward compatibility cannot be guaranteed.</w:t>
      </w:r>
    </w:p>
    <w:p>
      <w:pPr>
        <w:pStyle w:val="ListBullet"/>
        <w:spacing w:after="60" w:line="259" w:lineRule="auto"/>
      </w:pPr>
      <w:r>
        <w:rPr>
          <w:rFonts w:ascii="Aptos" w:hAnsi="Aptos"/>
          <w:b w:val="0"/>
          <w:color w:val="102A3A"/>
          <w:sz w:val="21"/>
        </w:rPr>
        <w:t>Do not rename packaged custom metadata keys or public action keys after release without a migration strategy.</w:t>
      </w:r>
    </w:p>
    <w:p>
      <w:pPr>
        <w:pStyle w:val="Heading1"/>
        <w:keepNext/>
      </w:pPr>
      <w:r>
        <w:t>17. Implementation Workstreams</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3096"/>
            <w:shd w:fill="061B2E"/>
            <w:tcMar>
              <w:top w:w="110" w:type="dxa"/>
              <w:start w:w="120" w:type="dxa"/>
              <w:bottom w:w="110" w:type="dxa"/>
              <w:end w:w="120" w:type="dxa"/>
            </w:tcMar>
            <w:vAlign w:val="center"/>
          </w:tcPr>
          <w:p>
            <w:pPr>
              <w:jc w:val="center"/>
            </w:pPr>
            <w:r>
              <w:rPr>
                <w:rFonts w:ascii="Aptos" w:hAnsi="Aptos"/>
                <w:b/>
                <w:color w:val="FFFFFF"/>
                <w:sz w:val="18"/>
              </w:rPr>
              <w:t>Workstream</w:t>
            </w:r>
          </w:p>
        </w:tc>
        <w:tc>
          <w:tcPr>
            <w:tcW w:type="dxa" w:w="6984"/>
            <w:shd w:fill="061B2E"/>
            <w:tcMar>
              <w:top w:w="110" w:type="dxa"/>
              <w:start w:w="120" w:type="dxa"/>
              <w:bottom w:w="110" w:type="dxa"/>
              <w:end w:w="120" w:type="dxa"/>
            </w:tcMar>
            <w:vAlign w:val="center"/>
          </w:tcPr>
          <w:p>
            <w:pPr>
              <w:jc w:val="center"/>
            </w:pPr>
            <w:r>
              <w:rPr>
                <w:rFonts w:ascii="Aptos" w:hAnsi="Aptos"/>
                <w:b/>
                <w:color w:val="FFFFFF"/>
                <w:sz w:val="18"/>
              </w:rPr>
              <w:t>Scope</w:t>
            </w:r>
          </w:p>
        </w:tc>
      </w:tr>
      <w:tr>
        <w:trPr>
          <w:cantSplit/>
        </w:trPr>
        <w:tc>
          <w:tcPr>
            <w:tcW w:type="dxa" w:w="3096"/>
            <w:tcMar>
              <w:top w:w="95" w:type="dxa"/>
              <w:start w:w="110" w:type="dxa"/>
              <w:bottom w:w="95" w:type="dxa"/>
              <w:end w:w="110" w:type="dxa"/>
            </w:tcMar>
            <w:vAlign w:val="center"/>
          </w:tcPr>
          <w:p>
            <w:pPr>
              <w:spacing w:after="0" w:line="252" w:lineRule="auto"/>
            </w:pPr>
            <w:r>
              <w:rPr>
                <w:rFonts w:ascii="Aptos" w:hAnsi="Aptos"/>
                <w:b/>
                <w:color w:val="061B2E"/>
                <w:sz w:val="18"/>
              </w:rPr>
              <w:t>Core Platform Engineering</w:t>
            </w:r>
          </w:p>
        </w:tc>
        <w:tc>
          <w:tcPr>
            <w:tcW w:type="dxa" w:w="6984"/>
            <w:tcMar>
              <w:top w:w="95" w:type="dxa"/>
              <w:start w:w="110" w:type="dxa"/>
              <w:bottom w:w="95" w:type="dxa"/>
              <w:end w:w="110" w:type="dxa"/>
            </w:tcMar>
            <w:vAlign w:val="center"/>
          </w:tcPr>
          <w:p>
            <w:pPr>
              <w:spacing w:after="0" w:line="252" w:lineRule="auto"/>
            </w:pPr>
            <w:r>
              <w:rPr>
                <w:rFonts w:ascii="Aptos" w:hAnsi="Aptos"/>
                <w:b w:val="0"/>
                <w:color w:val="102A3A"/>
                <w:sz w:val="18"/>
              </w:rPr>
              <w:t>Events, data model, capture adapters, normalization, incidents, security, and retention.</w:t>
            </w:r>
          </w:p>
        </w:tc>
      </w:tr>
      <w:tr>
        <w:trPr>
          <w:cantSplit/>
        </w:trPr>
        <w:tc>
          <w:tcPr>
            <w:tcW w:type="dxa" w:w="3096"/>
            <w:tcMar>
              <w:top w:w="95" w:type="dxa"/>
              <w:start w:w="110" w:type="dxa"/>
              <w:bottom w:w="95" w:type="dxa"/>
              <w:end w:w="110" w:type="dxa"/>
            </w:tcMar>
            <w:vAlign w:val="center"/>
          </w:tcPr>
          <w:p>
            <w:pPr>
              <w:spacing w:after="0" w:line="252" w:lineRule="auto"/>
            </w:pPr>
            <w:r>
              <w:rPr>
                <w:rFonts w:ascii="Aptos" w:hAnsi="Aptos"/>
                <w:b/>
                <w:color w:val="061B2E"/>
                <w:sz w:val="18"/>
              </w:rPr>
              <w:t>Agentforce and Intelligence</w:t>
            </w:r>
          </w:p>
        </w:tc>
        <w:tc>
          <w:tcPr>
            <w:tcW w:type="dxa" w:w="6984"/>
            <w:tcMar>
              <w:top w:w="95" w:type="dxa"/>
              <w:start w:w="110" w:type="dxa"/>
              <w:bottom w:w="95" w:type="dxa"/>
              <w:end w:w="110" w:type="dxa"/>
            </w:tcMar>
            <w:vAlign w:val="center"/>
          </w:tcPr>
          <w:p>
            <w:pPr>
              <w:spacing w:after="0" w:line="252" w:lineRule="auto"/>
            </w:pPr>
            <w:r>
              <w:rPr>
                <w:rFonts w:ascii="Aptos" w:hAnsi="Aptos"/>
                <w:b w:val="0"/>
                <w:color w:val="102A3A"/>
                <w:sz w:val="18"/>
              </w:rPr>
              <w:t>Rule engine, prompt contract, topics, actions, confidence, and diagnosis governance.</w:t>
            </w:r>
          </w:p>
        </w:tc>
      </w:tr>
      <w:tr>
        <w:trPr>
          <w:cantSplit/>
        </w:trPr>
        <w:tc>
          <w:tcPr>
            <w:tcW w:type="dxa" w:w="3096"/>
            <w:tcMar>
              <w:top w:w="95" w:type="dxa"/>
              <w:start w:w="110" w:type="dxa"/>
              <w:bottom w:w="95" w:type="dxa"/>
              <w:end w:w="110" w:type="dxa"/>
            </w:tcMar>
            <w:vAlign w:val="center"/>
          </w:tcPr>
          <w:p>
            <w:pPr>
              <w:spacing w:after="0" w:line="252" w:lineRule="auto"/>
            </w:pPr>
            <w:r>
              <w:rPr>
                <w:rFonts w:ascii="Aptos" w:hAnsi="Aptos"/>
                <w:b/>
                <w:color w:val="061B2E"/>
                <w:sz w:val="18"/>
              </w:rPr>
              <w:t>User Experience</w:t>
            </w:r>
          </w:p>
        </w:tc>
        <w:tc>
          <w:tcPr>
            <w:tcW w:type="dxa" w:w="6984"/>
            <w:tcMar>
              <w:top w:w="95" w:type="dxa"/>
              <w:start w:w="110" w:type="dxa"/>
              <w:bottom w:w="95" w:type="dxa"/>
              <w:end w:w="110" w:type="dxa"/>
            </w:tcMar>
            <w:vAlign w:val="center"/>
          </w:tcPr>
          <w:p>
            <w:pPr>
              <w:spacing w:after="0" w:line="252" w:lineRule="auto"/>
            </w:pPr>
            <w:r>
              <w:rPr>
                <w:rFonts w:ascii="Aptos" w:hAnsi="Aptos"/>
                <w:b w:val="0"/>
                <w:color w:val="102A3A"/>
                <w:sz w:val="18"/>
              </w:rPr>
              <w:t>Headless utility, Get Help, notifications, Command Center, setup wizard.</w:t>
            </w:r>
          </w:p>
        </w:tc>
      </w:tr>
      <w:tr>
        <w:trPr>
          <w:cantSplit/>
        </w:trPr>
        <w:tc>
          <w:tcPr>
            <w:tcW w:type="dxa" w:w="3096"/>
            <w:tcMar>
              <w:top w:w="95" w:type="dxa"/>
              <w:start w:w="110" w:type="dxa"/>
              <w:bottom w:w="95" w:type="dxa"/>
              <w:end w:w="110" w:type="dxa"/>
            </w:tcMar>
            <w:vAlign w:val="center"/>
          </w:tcPr>
          <w:p>
            <w:pPr>
              <w:spacing w:after="0" w:line="252" w:lineRule="auto"/>
            </w:pPr>
            <w:r>
              <w:rPr>
                <w:rFonts w:ascii="Aptos" w:hAnsi="Aptos"/>
                <w:b/>
                <w:color w:val="061B2E"/>
                <w:sz w:val="18"/>
              </w:rPr>
              <w:t>Integrations</w:t>
            </w:r>
          </w:p>
        </w:tc>
        <w:tc>
          <w:tcPr>
            <w:tcW w:type="dxa" w:w="6984"/>
            <w:tcMar>
              <w:top w:w="95" w:type="dxa"/>
              <w:start w:w="110" w:type="dxa"/>
              <w:bottom w:w="95" w:type="dxa"/>
              <w:end w:w="110" w:type="dxa"/>
            </w:tcMar>
            <w:vAlign w:val="center"/>
          </w:tcPr>
          <w:p>
            <w:pPr>
              <w:spacing w:after="0" w:line="252" w:lineRule="auto"/>
            </w:pPr>
            <w:r>
              <w:rPr>
                <w:rFonts w:ascii="Aptos" w:hAnsi="Aptos"/>
                <w:b w:val="0"/>
                <w:color w:val="102A3A"/>
                <w:sz w:val="18"/>
              </w:rPr>
              <w:t>Case, email, Jira, Slack, Teams, GitHub, and webhook delivery.</w:t>
            </w:r>
          </w:p>
        </w:tc>
      </w:tr>
      <w:tr>
        <w:trPr>
          <w:cantSplit/>
        </w:trPr>
        <w:tc>
          <w:tcPr>
            <w:tcW w:type="dxa" w:w="3096"/>
            <w:tcMar>
              <w:top w:w="95" w:type="dxa"/>
              <w:start w:w="110" w:type="dxa"/>
              <w:bottom w:w="95" w:type="dxa"/>
              <w:end w:w="110" w:type="dxa"/>
            </w:tcMar>
            <w:vAlign w:val="center"/>
          </w:tcPr>
          <w:p>
            <w:pPr>
              <w:spacing w:after="0" w:line="252" w:lineRule="auto"/>
            </w:pPr>
            <w:r>
              <w:rPr>
                <w:rFonts w:ascii="Aptos" w:hAnsi="Aptos"/>
                <w:b/>
                <w:color w:val="061B2E"/>
                <w:sz w:val="18"/>
              </w:rPr>
              <w:t>Quality and Compliance</w:t>
            </w:r>
          </w:p>
        </w:tc>
        <w:tc>
          <w:tcPr>
            <w:tcW w:type="dxa" w:w="6984"/>
            <w:tcMar>
              <w:top w:w="95" w:type="dxa"/>
              <w:start w:w="110" w:type="dxa"/>
              <w:bottom w:w="95" w:type="dxa"/>
              <w:end w:w="110" w:type="dxa"/>
            </w:tcMar>
            <w:vAlign w:val="center"/>
          </w:tcPr>
          <w:p>
            <w:pPr>
              <w:spacing w:after="0" w:line="252" w:lineRule="auto"/>
            </w:pPr>
            <w:r>
              <w:rPr>
                <w:rFonts w:ascii="Aptos" w:hAnsi="Aptos"/>
                <w:b w:val="0"/>
                <w:color w:val="102A3A"/>
                <w:sz w:val="18"/>
              </w:rPr>
              <w:t>Apex/Jest tests, performance, security, package upgrade, privacy, and AppExchange readiness.</w:t>
            </w:r>
          </w:p>
        </w:tc>
      </w:tr>
      <w:tr>
        <w:trPr>
          <w:cantSplit/>
        </w:trPr>
        <w:tc>
          <w:tcPr>
            <w:tcW w:type="dxa" w:w="3096"/>
            <w:tcMar>
              <w:top w:w="95" w:type="dxa"/>
              <w:start w:w="110" w:type="dxa"/>
              <w:bottom w:w="95" w:type="dxa"/>
              <w:end w:w="110" w:type="dxa"/>
            </w:tcMar>
            <w:vAlign w:val="center"/>
          </w:tcPr>
          <w:p>
            <w:pPr>
              <w:spacing w:after="0" w:line="252" w:lineRule="auto"/>
            </w:pPr>
            <w:r>
              <w:rPr>
                <w:rFonts w:ascii="Aptos" w:hAnsi="Aptos"/>
                <w:b/>
                <w:color w:val="061B2E"/>
                <w:sz w:val="18"/>
              </w:rPr>
              <w:t>Commercial Enablement</w:t>
            </w:r>
          </w:p>
        </w:tc>
        <w:tc>
          <w:tcPr>
            <w:tcW w:type="dxa" w:w="6984"/>
            <w:tcMar>
              <w:top w:w="95" w:type="dxa"/>
              <w:start w:w="110" w:type="dxa"/>
              <w:bottom w:w="95" w:type="dxa"/>
              <w:end w:w="110" w:type="dxa"/>
            </w:tcMar>
            <w:vAlign w:val="center"/>
          </w:tcPr>
          <w:p>
            <w:pPr>
              <w:spacing w:after="0" w:line="252" w:lineRule="auto"/>
            </w:pPr>
            <w:r>
              <w:rPr>
                <w:rFonts w:ascii="Aptos" w:hAnsi="Aptos"/>
                <w:b w:val="0"/>
                <w:color w:val="102A3A"/>
                <w:sz w:val="18"/>
              </w:rPr>
              <w:t>Editions, licensing, trial, documentation, demo org, listing assets, and support operations.</w:t>
            </w:r>
          </w:p>
        </w:tc>
      </w:tr>
    </w:tbl>
    <w:p>
      <w:pPr>
        <w:spacing w:after="40"/>
      </w:pPr>
    </w:p>
    <w:p>
      <w:pPr>
        <w:pStyle w:val="Heading1"/>
        <w:keepNext/>
      </w:pPr>
      <w:r>
        <w:t>18. Delivery Roadmap</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3360"/>
        <w:gridCol w:w="3360"/>
        <w:gridCol w:w="3360"/>
      </w:tblGrid>
      <w:tr>
        <w:trPr>
          <w:tblHeader w:val="true"/>
        </w:trPr>
        <w:tc>
          <w:tcPr>
            <w:tcW w:type="dxa" w:w="1944"/>
            <w:shd w:fill="061B2E"/>
            <w:tcMar>
              <w:top w:w="110" w:type="dxa"/>
              <w:start w:w="120" w:type="dxa"/>
              <w:bottom w:w="110" w:type="dxa"/>
              <w:end w:w="120" w:type="dxa"/>
            </w:tcMar>
            <w:vAlign w:val="center"/>
          </w:tcPr>
          <w:p>
            <w:pPr>
              <w:jc w:val="center"/>
            </w:pPr>
            <w:r>
              <w:rPr>
                <w:rFonts w:ascii="Aptos" w:hAnsi="Aptos"/>
                <w:b/>
                <w:color w:val="FFFFFF"/>
                <w:sz w:val="18"/>
              </w:rPr>
              <w:t>Release</w:t>
            </w:r>
          </w:p>
        </w:tc>
        <w:tc>
          <w:tcPr>
            <w:tcW w:type="dxa" w:w="5472"/>
            <w:shd w:fill="061B2E"/>
            <w:tcMar>
              <w:top w:w="110" w:type="dxa"/>
              <w:start w:w="120" w:type="dxa"/>
              <w:bottom w:w="110" w:type="dxa"/>
              <w:end w:w="120" w:type="dxa"/>
            </w:tcMar>
            <w:vAlign w:val="center"/>
          </w:tcPr>
          <w:p>
            <w:pPr>
              <w:jc w:val="center"/>
            </w:pPr>
            <w:r>
              <w:rPr>
                <w:rFonts w:ascii="Aptos" w:hAnsi="Aptos"/>
                <w:b/>
                <w:color w:val="FFFFFF"/>
                <w:sz w:val="18"/>
              </w:rPr>
              <w:t>Scope</w:t>
            </w:r>
          </w:p>
        </w:tc>
        <w:tc>
          <w:tcPr>
            <w:tcW w:type="dxa" w:w="2664"/>
            <w:shd w:fill="061B2E"/>
            <w:tcMar>
              <w:top w:w="110" w:type="dxa"/>
              <w:start w:w="120" w:type="dxa"/>
              <w:bottom w:w="110" w:type="dxa"/>
              <w:end w:w="120" w:type="dxa"/>
            </w:tcMar>
            <w:vAlign w:val="center"/>
          </w:tcPr>
          <w:p>
            <w:pPr>
              <w:jc w:val="center"/>
            </w:pPr>
            <w:r>
              <w:rPr>
                <w:rFonts w:ascii="Aptos" w:hAnsi="Aptos"/>
                <w:b/>
                <w:color w:val="FFFFFF"/>
                <w:sz w:val="18"/>
              </w:rPr>
              <w:t>Exit Condition</w:t>
            </w:r>
          </w:p>
        </w:tc>
      </w:tr>
      <w:tr>
        <w:trPr>
          <w:cantSplit/>
        </w:trPr>
        <w:tc>
          <w:tcPr>
            <w:tcW w:type="dxa" w:w="1944"/>
            <w:tcMar>
              <w:top w:w="95" w:type="dxa"/>
              <w:start w:w="110" w:type="dxa"/>
              <w:bottom w:w="95" w:type="dxa"/>
              <w:end w:w="110" w:type="dxa"/>
            </w:tcMar>
            <w:vAlign w:val="center"/>
          </w:tcPr>
          <w:p>
            <w:pPr>
              <w:spacing w:after="0" w:line="252" w:lineRule="auto"/>
            </w:pPr>
            <w:r>
              <w:rPr>
                <w:rFonts w:ascii="Aptos" w:hAnsi="Aptos"/>
                <w:b/>
                <w:color w:val="061B2E"/>
                <w:sz w:val="18"/>
              </w:rPr>
              <w:t>Release 1 - Marketable MVP</w:t>
            </w:r>
          </w:p>
        </w:tc>
        <w:tc>
          <w:tcPr>
            <w:tcW w:type="dxa" w:w="5472"/>
            <w:tcMar>
              <w:top w:w="95" w:type="dxa"/>
              <w:start w:w="110" w:type="dxa"/>
              <w:bottom w:w="95" w:type="dxa"/>
              <w:end w:w="110" w:type="dxa"/>
            </w:tcMar>
            <w:vAlign w:val="center"/>
          </w:tcPr>
          <w:p>
            <w:pPr>
              <w:spacing w:after="0" w:line="252" w:lineRule="auto"/>
            </w:pPr>
            <w:r>
              <w:rPr>
                <w:rFonts w:ascii="Aptos" w:hAnsi="Aptos"/>
                <w:b w:val="0"/>
                <w:color w:val="102A3A"/>
                <w:sz w:val="18"/>
              </w:rPr>
              <w:t>Reliable capture, normalized logs, deterministic diagnosis, subtle utility notification, Get Help, evidence-rich escalation, email/Case routing, Command Center, setup wizard, security and retention.</w:t>
            </w:r>
          </w:p>
        </w:tc>
        <w:tc>
          <w:tcPr>
            <w:tcW w:type="dxa" w:w="2664"/>
            <w:tcMar>
              <w:top w:w="95" w:type="dxa"/>
              <w:start w:w="110" w:type="dxa"/>
              <w:bottom w:w="95" w:type="dxa"/>
              <w:end w:w="110" w:type="dxa"/>
            </w:tcMar>
            <w:vAlign w:val="center"/>
          </w:tcPr>
          <w:p>
            <w:pPr>
              <w:spacing w:after="0" w:line="252" w:lineRule="auto"/>
            </w:pPr>
            <w:r>
              <w:rPr>
                <w:rFonts w:ascii="Aptos" w:hAnsi="Aptos"/>
                <w:b w:val="0"/>
                <w:color w:val="102A3A"/>
                <w:sz w:val="18"/>
              </w:rPr>
              <w:t>Installable 2GP package validated in clean orgs and ready for pilot customers.</w:t>
            </w:r>
          </w:p>
        </w:tc>
      </w:tr>
      <w:tr>
        <w:trPr>
          <w:cantSplit/>
        </w:trPr>
        <w:tc>
          <w:tcPr>
            <w:tcW w:type="dxa" w:w="1944"/>
            <w:tcMar>
              <w:top w:w="95" w:type="dxa"/>
              <w:start w:w="110" w:type="dxa"/>
              <w:bottom w:w="95" w:type="dxa"/>
              <w:end w:w="110" w:type="dxa"/>
            </w:tcMar>
            <w:vAlign w:val="center"/>
          </w:tcPr>
          <w:p>
            <w:pPr>
              <w:spacing w:after="0" w:line="252" w:lineRule="auto"/>
            </w:pPr>
            <w:r>
              <w:rPr>
                <w:rFonts w:ascii="Aptos" w:hAnsi="Aptos"/>
                <w:b/>
                <w:color w:val="061B2E"/>
                <w:sz w:val="18"/>
              </w:rPr>
              <w:t>Release 1.1 - Intelligence</w:t>
            </w:r>
          </w:p>
        </w:tc>
        <w:tc>
          <w:tcPr>
            <w:tcW w:type="dxa" w:w="5472"/>
            <w:tcMar>
              <w:top w:w="95" w:type="dxa"/>
              <w:start w:w="110" w:type="dxa"/>
              <w:bottom w:w="95" w:type="dxa"/>
              <w:end w:w="110" w:type="dxa"/>
            </w:tcMar>
            <w:vAlign w:val="center"/>
          </w:tcPr>
          <w:p>
            <w:pPr>
              <w:spacing w:after="0" w:line="252" w:lineRule="auto"/>
            </w:pPr>
            <w:r>
              <w:rPr>
                <w:rFonts w:ascii="Aptos" w:hAnsi="Aptos"/>
                <w:b w:val="0"/>
                <w:color w:val="102A3A"/>
                <w:sz w:val="18"/>
              </w:rPr>
              <w:t>Agentforce diagnosis, confidence, context enrichment, incident grouping, feedback, analytics, Jira/Slack/Teams/GitHub.</w:t>
            </w:r>
          </w:p>
        </w:tc>
        <w:tc>
          <w:tcPr>
            <w:tcW w:type="dxa" w:w="2664"/>
            <w:tcMar>
              <w:top w:w="95" w:type="dxa"/>
              <w:start w:w="110" w:type="dxa"/>
              <w:bottom w:w="95" w:type="dxa"/>
              <w:end w:w="110" w:type="dxa"/>
            </w:tcMar>
            <w:vAlign w:val="center"/>
          </w:tcPr>
          <w:p>
            <w:pPr>
              <w:spacing w:after="0" w:line="252" w:lineRule="auto"/>
            </w:pPr>
            <w:r>
              <w:rPr>
                <w:rFonts w:ascii="Aptos" w:hAnsi="Aptos"/>
                <w:b w:val="0"/>
                <w:color w:val="102A3A"/>
                <w:sz w:val="18"/>
              </w:rPr>
              <w:t>Bounded AI evaluation and connector reliability meet release thresholds.</w:t>
            </w:r>
          </w:p>
        </w:tc>
      </w:tr>
      <w:tr>
        <w:trPr>
          <w:cantSplit/>
        </w:trPr>
        <w:tc>
          <w:tcPr>
            <w:tcW w:type="dxa" w:w="1944"/>
            <w:tcMar>
              <w:top w:w="95" w:type="dxa"/>
              <w:start w:w="110" w:type="dxa"/>
              <w:bottom w:w="95" w:type="dxa"/>
              <w:end w:w="110" w:type="dxa"/>
            </w:tcMar>
            <w:vAlign w:val="center"/>
          </w:tcPr>
          <w:p>
            <w:pPr>
              <w:spacing w:after="0" w:line="252" w:lineRule="auto"/>
            </w:pPr>
            <w:r>
              <w:rPr>
                <w:rFonts w:ascii="Aptos" w:hAnsi="Aptos"/>
                <w:b/>
                <w:color w:val="061B2E"/>
                <w:sz w:val="18"/>
              </w:rPr>
              <w:t>Release 1.2 - Governed Recovery</w:t>
            </w:r>
          </w:p>
        </w:tc>
        <w:tc>
          <w:tcPr>
            <w:tcW w:type="dxa" w:w="5472"/>
            <w:tcMar>
              <w:top w:w="95" w:type="dxa"/>
              <w:start w:w="110" w:type="dxa"/>
              <w:bottom w:w="95" w:type="dxa"/>
              <w:end w:w="110" w:type="dxa"/>
            </w:tcMar>
            <w:vAlign w:val="center"/>
          </w:tcPr>
          <w:p>
            <w:pPr>
              <w:spacing w:after="0" w:line="252" w:lineRule="auto"/>
            </w:pPr>
            <w:r>
              <w:rPr>
                <w:rFonts w:ascii="Aptos" w:hAnsi="Aptos"/>
                <w:b w:val="0"/>
                <w:color w:val="102A3A"/>
                <w:sz w:val="18"/>
              </w:rPr>
              <w:t>Registered remediation, idempotent retries, before/after verification, controlled low-risk auto-remediation.</w:t>
            </w:r>
          </w:p>
        </w:tc>
        <w:tc>
          <w:tcPr>
            <w:tcW w:type="dxa" w:w="2664"/>
            <w:tcMar>
              <w:top w:w="95" w:type="dxa"/>
              <w:start w:w="110" w:type="dxa"/>
              <w:bottom w:w="95" w:type="dxa"/>
              <w:end w:w="110" w:type="dxa"/>
            </w:tcMar>
            <w:vAlign w:val="center"/>
          </w:tcPr>
          <w:p>
            <w:pPr>
              <w:spacing w:after="0" w:line="252" w:lineRule="auto"/>
            </w:pPr>
            <w:r>
              <w:rPr>
                <w:rFonts w:ascii="Aptos" w:hAnsi="Aptos"/>
                <w:b w:val="0"/>
                <w:color w:val="102A3A"/>
                <w:sz w:val="18"/>
              </w:rPr>
              <w:t>Security and operational evidence support production enablement.</w:t>
            </w:r>
          </w:p>
        </w:tc>
      </w:tr>
      <w:tr>
        <w:trPr>
          <w:cantSplit/>
        </w:trPr>
        <w:tc>
          <w:tcPr>
            <w:tcW w:type="dxa" w:w="1944"/>
            <w:tcMar>
              <w:top w:w="95" w:type="dxa"/>
              <w:start w:w="110" w:type="dxa"/>
              <w:bottom w:w="95" w:type="dxa"/>
              <w:end w:w="110" w:type="dxa"/>
            </w:tcMar>
            <w:vAlign w:val="center"/>
          </w:tcPr>
          <w:p>
            <w:pPr>
              <w:spacing w:after="0" w:line="252" w:lineRule="auto"/>
            </w:pPr>
            <w:r>
              <w:rPr>
                <w:rFonts w:ascii="Aptos" w:hAnsi="Aptos"/>
                <w:b/>
                <w:color w:val="061B2E"/>
                <w:sz w:val="18"/>
              </w:rPr>
              <w:t>Release 2 - Enterprise Observability</w:t>
            </w:r>
          </w:p>
        </w:tc>
        <w:tc>
          <w:tcPr>
            <w:tcW w:type="dxa" w:w="5472"/>
            <w:tcMar>
              <w:top w:w="95" w:type="dxa"/>
              <w:start w:w="110" w:type="dxa"/>
              <w:bottom w:w="95" w:type="dxa"/>
              <w:end w:w="110" w:type="dxa"/>
            </w:tcMar>
            <w:vAlign w:val="center"/>
          </w:tcPr>
          <w:p>
            <w:pPr>
              <w:spacing w:after="0" w:line="252" w:lineRule="auto"/>
            </w:pPr>
            <w:r>
              <w:rPr>
                <w:rFonts w:ascii="Aptos" w:hAnsi="Aptos"/>
                <w:b w:val="0"/>
                <w:color w:val="102A3A"/>
                <w:sz w:val="18"/>
              </w:rPr>
              <w:t>Multi-org analytics, external telemetry, advanced SLA, industry packs, partner SDK.</w:t>
            </w:r>
          </w:p>
        </w:tc>
        <w:tc>
          <w:tcPr>
            <w:tcW w:type="dxa" w:w="2664"/>
            <w:tcMar>
              <w:top w:w="95" w:type="dxa"/>
              <w:start w:w="110" w:type="dxa"/>
              <w:bottom w:w="95" w:type="dxa"/>
              <w:end w:w="110" w:type="dxa"/>
            </w:tcMar>
            <w:vAlign w:val="center"/>
          </w:tcPr>
          <w:p>
            <w:pPr>
              <w:spacing w:after="0" w:line="252" w:lineRule="auto"/>
            </w:pPr>
            <w:r>
              <w:rPr>
                <w:rFonts w:ascii="Aptos" w:hAnsi="Aptos"/>
                <w:b w:val="0"/>
                <w:color w:val="102A3A"/>
                <w:sz w:val="18"/>
              </w:rPr>
              <w:t>Enterprise reference customers and scalable operations established.</w:t>
            </w:r>
          </w:p>
        </w:tc>
      </w:tr>
    </w:tbl>
    <w:p>
      <w:pPr>
        <w:spacing w:after="40"/>
      </w:pPr>
    </w:p>
    <w:p>
      <w:pPr>
        <w:pStyle w:val="Heading1"/>
        <w:keepNext/>
      </w:pPr>
      <w:r>
        <w:t>19. Detailed Agent Backlog</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2520"/>
        <w:gridCol w:w="2520"/>
        <w:gridCol w:w="2520"/>
        <w:gridCol w:w="2520"/>
      </w:tblGrid>
      <w:tr>
        <w:trPr>
          <w:tblHeader w:val="true"/>
        </w:trPr>
        <w:tc>
          <w:tcPr>
            <w:tcW w:type="dxa" w:w="936"/>
            <w:shd w:fill="061B2E"/>
            <w:tcMar>
              <w:top w:w="110" w:type="dxa"/>
              <w:start w:w="120" w:type="dxa"/>
              <w:bottom w:w="110" w:type="dxa"/>
              <w:end w:w="120" w:type="dxa"/>
            </w:tcMar>
            <w:vAlign w:val="center"/>
          </w:tcPr>
          <w:p>
            <w:pPr>
              <w:jc w:val="center"/>
            </w:pPr>
            <w:r>
              <w:rPr>
                <w:rFonts w:ascii="Aptos" w:hAnsi="Aptos"/>
                <w:b/>
                <w:color w:val="FFFFFF"/>
                <w:sz w:val="16"/>
              </w:rPr>
              <w:t>ID</w:t>
            </w:r>
          </w:p>
        </w:tc>
        <w:tc>
          <w:tcPr>
            <w:tcW w:type="dxa" w:w="2088"/>
            <w:shd w:fill="061B2E"/>
            <w:tcMar>
              <w:top w:w="110" w:type="dxa"/>
              <w:start w:w="120" w:type="dxa"/>
              <w:bottom w:w="110" w:type="dxa"/>
              <w:end w:w="120" w:type="dxa"/>
            </w:tcMar>
            <w:vAlign w:val="center"/>
          </w:tcPr>
          <w:p>
            <w:pPr>
              <w:jc w:val="center"/>
            </w:pPr>
            <w:r>
              <w:rPr>
                <w:rFonts w:ascii="Aptos" w:hAnsi="Aptos"/>
                <w:b/>
                <w:color w:val="FFFFFF"/>
                <w:sz w:val="16"/>
              </w:rPr>
              <w:t>Epic</w:t>
            </w:r>
          </w:p>
        </w:tc>
        <w:tc>
          <w:tcPr>
            <w:tcW w:type="dxa" w:w="4248"/>
            <w:shd w:fill="061B2E"/>
            <w:tcMar>
              <w:top w:w="110" w:type="dxa"/>
              <w:start w:w="120" w:type="dxa"/>
              <w:bottom w:w="110" w:type="dxa"/>
              <w:end w:w="120" w:type="dxa"/>
            </w:tcMar>
            <w:vAlign w:val="center"/>
          </w:tcPr>
          <w:p>
            <w:pPr>
              <w:jc w:val="center"/>
            </w:pPr>
            <w:r>
              <w:rPr>
                <w:rFonts w:ascii="Aptos" w:hAnsi="Aptos"/>
                <w:b/>
                <w:color w:val="FFFFFF"/>
                <w:sz w:val="16"/>
              </w:rPr>
              <w:t>Implementation Scope</w:t>
            </w:r>
          </w:p>
        </w:tc>
        <w:tc>
          <w:tcPr>
            <w:tcW w:type="dxa" w:w="2952"/>
            <w:shd w:fill="061B2E"/>
            <w:tcMar>
              <w:top w:w="110" w:type="dxa"/>
              <w:start w:w="120" w:type="dxa"/>
              <w:bottom w:w="110" w:type="dxa"/>
              <w:end w:w="120" w:type="dxa"/>
            </w:tcMar>
            <w:vAlign w:val="center"/>
          </w:tcPr>
          <w:p>
            <w:pPr>
              <w:jc w:val="center"/>
            </w:pPr>
            <w:r>
              <w:rPr>
                <w:rFonts w:ascii="Aptos" w:hAnsi="Aptos"/>
                <w:b/>
                <w:color w:val="FFFFFF"/>
                <w:sz w:val="16"/>
              </w:rPr>
              <w:t>Acceptance Summary</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EPIC-01</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Core Data Model</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Create all core objects, fields, indexes, sharing, layouts, tabs, and retention fields.</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Metadata deploys; relationships and sharing verified; no duplicate object models.</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EPIC-02</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Capture Event Contracts</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Create Error_Captured__e and related internal events with sanitization and size rules.</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Bulk publish/subscription tests pass; invalid payloads rejected.</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EPIC-03</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Flow Fault Framework</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Build Aegis_Error_Capture_Fault_Subflow and documentation/scanner support.</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Instrumented sample Flows create normalized logs with failed element and correlation ID.</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EPIC-04</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Apex/Async Capture</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Implement ErrorCaptureService, Queueable finalizer, Batch subscriber, AsyncApexJob reconciliation.</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Failure simulations produce one incident without duplicate records.</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EPIC-05</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Normalization and Incident Grouping</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Sanitize, classify, calculate severity, group repeats, and maintain counts.</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Known patterns classify correctly; storm tests generate grouped incidents.</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EPIC-06</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Durable Notifications</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Create User_Notification__c and UserNotificationService.</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Alerts persist, expire, acknowledge, dismiss, and respect ownership.</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EPIC-07</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Headless Utility LWC</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Build empApi subscriber, filtering, badge/toast, details panel, and mobile fallback.</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No visible footprint while idle; correct user receives one alert; unauthorized access blocked.</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EPIC-08</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Get Help</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Create Diagnostic_Session__c workflow, context capture, recent-error linking, and feedback.</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Manual and detected paths complete without duplicate sessions.</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EPIC-09</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Deterministic Rule Engine</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Implement Error_Rule__mdt matching and explanation output.</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Rules can be configured without code and are evaluated before AI.</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EPIC-10</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Agentforce Extension</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Implement topics, actions, prompt templates, structured output, and validation.</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AI cannot invoke unregistered actions; low-confidence cases escalate.</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EPIC-11</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Escalation Package</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Build evidence package and email/Case routes with delivery audit.</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One-click escalation creates complete, sanitized package.</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EPIC-12</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Connector Extensions</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Implement Jira, Slack, Teams, GitHub, webhook connectors.</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Authentication, retry, idempotency, and delivery history validated.</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EPIC-13</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Governed Remediation</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Create action registry, confirmation, execution, verification, and audit.</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Unauthorized or unknown actions are rejected; before/after values stored.</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EPIC-14</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Retry Orchestration</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Implement registered idempotent handlers, attempts, backoff, and status.</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Duplicate retry requests do not duplicate business transactions.</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EPIC-15</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Command Center</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Build dashboards, incident views, policies, routes, rules, security, and automation health.</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Support analyst can operate product without Setup access where appropriate.</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EPIC-16</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Setup Wizard</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Readiness, monitored surfaces, Flow scan, notifications, routes, security, apps, health check.</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New org can complete guided setup and test end-to-end.</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EPIC-17</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Packaging and Licensing</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Create namespace, 2GP packages, extension packages, license controls, upgrade scripts.</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Fresh install and upgrade paths pass in clean orgs.</w:t>
            </w:r>
          </w:p>
        </w:tc>
      </w:tr>
      <w:tr>
        <w:trPr>
          <w:cantSplit/>
        </w:trPr>
        <w:tc>
          <w:tcPr>
            <w:tcW w:type="dxa" w:w="936"/>
            <w:tcMar>
              <w:top w:w="95" w:type="dxa"/>
              <w:start w:w="110" w:type="dxa"/>
              <w:bottom w:w="95" w:type="dxa"/>
              <w:end w:w="110" w:type="dxa"/>
            </w:tcMar>
            <w:vAlign w:val="center"/>
          </w:tcPr>
          <w:p>
            <w:pPr>
              <w:spacing w:after="0" w:line="252" w:lineRule="auto"/>
            </w:pPr>
            <w:r>
              <w:rPr>
                <w:rFonts w:ascii="Aptos" w:hAnsi="Aptos"/>
                <w:b/>
                <w:color w:val="061B2E"/>
                <w:sz w:val="16"/>
              </w:rPr>
              <w:t>EPIC-18</w:t>
            </w:r>
          </w:p>
        </w:tc>
        <w:tc>
          <w:tcPr>
            <w:tcW w:type="dxa" w:w="2088"/>
            <w:tcMar>
              <w:top w:w="95" w:type="dxa"/>
              <w:start w:w="110" w:type="dxa"/>
              <w:bottom w:w="95" w:type="dxa"/>
              <w:end w:w="110" w:type="dxa"/>
            </w:tcMar>
            <w:vAlign w:val="center"/>
          </w:tcPr>
          <w:p>
            <w:pPr>
              <w:spacing w:after="0" w:line="252" w:lineRule="auto"/>
            </w:pPr>
            <w:r>
              <w:rPr>
                <w:rFonts w:ascii="Aptos" w:hAnsi="Aptos"/>
                <w:b w:val="0"/>
                <w:color w:val="102A3A"/>
                <w:sz w:val="16"/>
              </w:rPr>
              <w:t>Quality and AppExchange</w:t>
            </w:r>
          </w:p>
        </w:tc>
        <w:tc>
          <w:tcPr>
            <w:tcW w:type="dxa" w:w="4248"/>
            <w:tcMar>
              <w:top w:w="95" w:type="dxa"/>
              <w:start w:w="110" w:type="dxa"/>
              <w:bottom w:w="95" w:type="dxa"/>
              <w:end w:w="110" w:type="dxa"/>
            </w:tcMar>
            <w:vAlign w:val="center"/>
          </w:tcPr>
          <w:p>
            <w:pPr>
              <w:spacing w:after="0" w:line="252" w:lineRule="auto"/>
            </w:pPr>
            <w:r>
              <w:rPr>
                <w:rFonts w:ascii="Aptos" w:hAnsi="Aptos"/>
                <w:b w:val="0"/>
                <w:color w:val="102A3A"/>
                <w:sz w:val="16"/>
              </w:rPr>
              <w:t>Automated tests, performance, security review package, docs, privacy, support.</w:t>
            </w:r>
          </w:p>
        </w:tc>
        <w:tc>
          <w:tcPr>
            <w:tcW w:type="dxa" w:w="2952"/>
            <w:tcMar>
              <w:top w:w="95" w:type="dxa"/>
              <w:start w:w="110" w:type="dxa"/>
              <w:bottom w:w="95" w:type="dxa"/>
              <w:end w:w="110" w:type="dxa"/>
            </w:tcMar>
            <w:vAlign w:val="center"/>
          </w:tcPr>
          <w:p>
            <w:pPr>
              <w:spacing w:after="0" w:line="252" w:lineRule="auto"/>
            </w:pPr>
            <w:r>
              <w:rPr>
                <w:rFonts w:ascii="Aptos" w:hAnsi="Aptos"/>
                <w:b w:val="0"/>
                <w:color w:val="102A3A"/>
                <w:sz w:val="16"/>
              </w:rPr>
              <w:t>Release candidate satisfies security, test, documentation, and operational gates.</w:t>
            </w:r>
          </w:p>
        </w:tc>
      </w:tr>
    </w:tbl>
    <w:p>
      <w:pPr>
        <w:spacing w:after="40"/>
      </w:pPr>
    </w:p>
    <w:p>
      <w:pPr>
        <w:spacing w:after="40"/>
      </w:pPr>
    </w:p>
    <w:p>
      <w:pPr>
        <w:pStyle w:val="Heading1"/>
        <w:keepNext/>
      </w:pPr>
      <w:r>
        <w:t>20. Testing Strategy</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232"/>
            <w:shd w:fill="061B2E"/>
            <w:tcMar>
              <w:top w:w="110" w:type="dxa"/>
              <w:start w:w="120" w:type="dxa"/>
              <w:bottom w:w="110" w:type="dxa"/>
              <w:end w:w="120" w:type="dxa"/>
            </w:tcMar>
            <w:vAlign w:val="center"/>
          </w:tcPr>
          <w:p>
            <w:pPr>
              <w:jc w:val="center"/>
            </w:pPr>
            <w:r>
              <w:rPr>
                <w:rFonts w:ascii="Aptos" w:hAnsi="Aptos"/>
                <w:b/>
                <w:color w:val="FFFFFF"/>
                <w:sz w:val="18"/>
              </w:rPr>
              <w:t>Test Layer</w:t>
            </w:r>
          </w:p>
        </w:tc>
        <w:tc>
          <w:tcPr>
            <w:tcW w:type="dxa" w:w="7848"/>
            <w:shd w:fill="061B2E"/>
            <w:tcMar>
              <w:top w:w="110" w:type="dxa"/>
              <w:start w:w="120" w:type="dxa"/>
              <w:bottom w:w="110" w:type="dxa"/>
              <w:end w:w="120" w:type="dxa"/>
            </w:tcMar>
            <w:vAlign w:val="center"/>
          </w:tcPr>
          <w:p>
            <w:pPr>
              <w:jc w:val="center"/>
            </w:pPr>
            <w:r>
              <w:rPr>
                <w:rFonts w:ascii="Aptos" w:hAnsi="Aptos"/>
                <w:b/>
                <w:color w:val="FFFFFF"/>
                <w:sz w:val="18"/>
              </w:rPr>
              <w:t>Required Coverage</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Apex Unit</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Positive, negative, bulk, sharing, CRUD/FLS, idempotency, retry, masking, and connector error paths.</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LWC Jest</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Dormant state, event filtering, duplicate suppression, expiration, badge/toast, detail retrieval, Get Help, confirmation, accessibility.</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Flow</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Fault subflow from screen, record-triggered, autolaunched, scheduled, and orchestration scenarios.</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Agentforce Evaluation</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Known errors, insufficient context, prompt injection resistance, unsupported actions, confidence calibration, escalation behavior.</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Security</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Horizontal access, privilege escalation, payload leakage, event access, Named Credential boundaries, guest/Experience Cloud restrictions.</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Performance</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High-volume event processing, incident grouping, concurrent browser subscriptions, large-org data volumes, cleanup jobs.</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Packaging</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Fresh install, upgrade, uninstall behavior, namespace references, extension dependency handling.</w:t>
            </w:r>
          </w:p>
        </w:tc>
      </w:tr>
      <w:tr>
        <w:trPr>
          <w:cantSplit/>
        </w:trPr>
        <w:tc>
          <w:tcPr>
            <w:tcW w:type="dxa" w:w="2232"/>
            <w:tcMar>
              <w:top w:w="95" w:type="dxa"/>
              <w:start w:w="110" w:type="dxa"/>
              <w:bottom w:w="95" w:type="dxa"/>
              <w:end w:w="110" w:type="dxa"/>
            </w:tcMar>
            <w:vAlign w:val="center"/>
          </w:tcPr>
          <w:p>
            <w:pPr>
              <w:spacing w:after="0" w:line="252" w:lineRule="auto"/>
            </w:pPr>
            <w:r>
              <w:rPr>
                <w:rFonts w:ascii="Aptos" w:hAnsi="Aptos"/>
                <w:b/>
                <w:color w:val="061B2E"/>
                <w:sz w:val="18"/>
              </w:rPr>
              <w:t>End-to-End</w:t>
            </w:r>
          </w:p>
        </w:tc>
        <w:tc>
          <w:tcPr>
            <w:tcW w:type="dxa" w:w="7848"/>
            <w:tcMar>
              <w:top w:w="95" w:type="dxa"/>
              <w:start w:w="110" w:type="dxa"/>
              <w:bottom w:w="95" w:type="dxa"/>
              <w:end w:w="110" w:type="dxa"/>
            </w:tcMar>
            <w:vAlign w:val="center"/>
          </w:tcPr>
          <w:p>
            <w:pPr>
              <w:spacing w:after="0" w:line="252" w:lineRule="auto"/>
            </w:pPr>
            <w:r>
              <w:rPr>
                <w:rFonts w:ascii="Aptos" w:hAnsi="Aptos"/>
                <w:b w:val="0"/>
                <w:color w:val="102A3A"/>
                <w:sz w:val="18"/>
              </w:rPr>
              <w:t>Failure capture through diagnosis, notification, Get Help, action/escalation, feedback, and dashboard metrics.</w:t>
            </w:r>
          </w:p>
        </w:tc>
      </w:tr>
    </w:tbl>
    <w:p>
      <w:pPr>
        <w:spacing w:after="40"/>
      </w:pPr>
    </w:p>
    <w:p>
      <w:pPr>
        <w:pStyle w:val="Heading2"/>
        <w:keepNext/>
      </w:pPr>
      <w:r>
        <w:t>20.1 Mandatory Scenario Matrix</w:t>
      </w:r>
    </w:p>
    <w:p>
      <w:pPr>
        <w:pStyle w:val="ListBullet"/>
        <w:spacing w:after="60" w:line="259" w:lineRule="auto"/>
      </w:pPr>
      <w:r>
        <w:rPr>
          <w:rFonts w:ascii="Aptos" w:hAnsi="Aptos"/>
          <w:b w:val="0"/>
          <w:color w:val="102A3A"/>
          <w:sz w:val="21"/>
        </w:rPr>
        <w:t>Flow DML failure with affected user identified.</w:t>
      </w:r>
    </w:p>
    <w:p>
      <w:pPr>
        <w:pStyle w:val="ListBullet"/>
        <w:spacing w:after="60" w:line="259" w:lineRule="auto"/>
      </w:pPr>
      <w:r>
        <w:rPr>
          <w:rFonts w:ascii="Aptos" w:hAnsi="Aptos"/>
          <w:b w:val="0"/>
          <w:color w:val="102A3A"/>
          <w:sz w:val="21"/>
        </w:rPr>
        <w:t>Background Flow executed by Automated Process with business user inferred.</w:t>
      </w:r>
    </w:p>
    <w:p>
      <w:pPr>
        <w:pStyle w:val="ListBullet"/>
        <w:spacing w:after="60" w:line="259" w:lineRule="auto"/>
      </w:pPr>
      <w:r>
        <w:rPr>
          <w:rFonts w:ascii="Aptos" w:hAnsi="Aptos"/>
          <w:b w:val="0"/>
          <w:color w:val="102A3A"/>
          <w:sz w:val="21"/>
        </w:rPr>
        <w:t>Queueable failure captured through finalizer.</w:t>
      </w:r>
    </w:p>
    <w:p>
      <w:pPr>
        <w:pStyle w:val="ListBullet"/>
        <w:spacing w:after="60" w:line="259" w:lineRule="auto"/>
      </w:pPr>
      <w:r>
        <w:rPr>
          <w:rFonts w:ascii="Aptos" w:hAnsi="Aptos"/>
          <w:b w:val="0"/>
          <w:color w:val="102A3A"/>
          <w:sz w:val="21"/>
        </w:rPr>
        <w:t>Batch failure with multiple failed records grouped correctly.</w:t>
      </w:r>
    </w:p>
    <w:p>
      <w:pPr>
        <w:pStyle w:val="ListBullet"/>
        <w:spacing w:after="60" w:line="259" w:lineRule="auto"/>
      </w:pPr>
      <w:r>
        <w:rPr>
          <w:rFonts w:ascii="Aptos" w:hAnsi="Aptos"/>
          <w:b w:val="0"/>
          <w:color w:val="102A3A"/>
          <w:sz w:val="21"/>
        </w:rPr>
        <w:t>Integration timeout classified as retryable.</w:t>
      </w:r>
    </w:p>
    <w:p>
      <w:pPr>
        <w:pStyle w:val="ListBullet"/>
        <w:spacing w:after="60" w:line="259" w:lineRule="auto"/>
      </w:pPr>
      <w:r>
        <w:rPr>
          <w:rFonts w:ascii="Aptos" w:hAnsi="Aptos"/>
          <w:b w:val="0"/>
          <w:color w:val="102A3A"/>
          <w:sz w:val="21"/>
        </w:rPr>
        <w:t>Permission failure escalated to administrator route.</w:t>
      </w:r>
    </w:p>
    <w:p>
      <w:pPr>
        <w:pStyle w:val="ListBullet"/>
        <w:spacing w:after="60" w:line="259" w:lineRule="auto"/>
      </w:pPr>
      <w:r>
        <w:rPr>
          <w:rFonts w:ascii="Aptos" w:hAnsi="Aptos"/>
          <w:b w:val="0"/>
          <w:color w:val="102A3A"/>
          <w:sz w:val="21"/>
        </w:rPr>
        <w:t>Custom LWC error linked to page and record context.</w:t>
      </w:r>
    </w:p>
    <w:p>
      <w:pPr>
        <w:pStyle w:val="ListBullet"/>
        <w:spacing w:after="60" w:line="259" w:lineRule="auto"/>
      </w:pPr>
      <w:r>
        <w:rPr>
          <w:rFonts w:ascii="Aptos" w:hAnsi="Aptos"/>
          <w:b w:val="0"/>
          <w:color w:val="102A3A"/>
          <w:sz w:val="21"/>
        </w:rPr>
        <w:t>Notification received by intended user only.</w:t>
      </w:r>
    </w:p>
    <w:p>
      <w:pPr>
        <w:pStyle w:val="ListBullet"/>
        <w:spacing w:after="60" w:line="259" w:lineRule="auto"/>
      </w:pPr>
      <w:r>
        <w:rPr>
          <w:rFonts w:ascii="Aptos" w:hAnsi="Aptos"/>
          <w:b w:val="0"/>
          <w:color w:val="102A3A"/>
          <w:sz w:val="21"/>
        </w:rPr>
        <w:t>User dismisses an alert and does not receive repeated alerts during cooldown.</w:t>
      </w:r>
    </w:p>
    <w:p>
      <w:pPr>
        <w:pStyle w:val="ListBullet"/>
        <w:spacing w:after="60" w:line="259" w:lineRule="auto"/>
      </w:pPr>
      <w:r>
        <w:rPr>
          <w:rFonts w:ascii="Aptos" w:hAnsi="Aptos"/>
          <w:b w:val="0"/>
          <w:color w:val="102A3A"/>
          <w:sz w:val="21"/>
        </w:rPr>
        <w:t>Manual Get Help with no technical error.</w:t>
      </w:r>
    </w:p>
    <w:p>
      <w:pPr>
        <w:pStyle w:val="ListBullet"/>
        <w:spacing w:after="60" w:line="259" w:lineRule="auto"/>
      </w:pPr>
      <w:r>
        <w:rPr>
          <w:rFonts w:ascii="Aptos" w:hAnsi="Aptos"/>
          <w:b w:val="0"/>
          <w:color w:val="102A3A"/>
          <w:sz w:val="21"/>
        </w:rPr>
        <w:t>Agentforce unavailable; capture, deterministic diagnosis, and escalation still work.</w:t>
      </w:r>
    </w:p>
    <w:p>
      <w:pPr>
        <w:pStyle w:val="ListBullet"/>
        <w:spacing w:after="60" w:line="259" w:lineRule="auto"/>
      </w:pPr>
      <w:r>
        <w:rPr>
          <w:rFonts w:ascii="Aptos" w:hAnsi="Aptos"/>
          <w:b w:val="0"/>
          <w:color w:val="102A3A"/>
          <w:sz w:val="21"/>
        </w:rPr>
        <w:t>Unknown remediation key rejected.</w:t>
      </w:r>
    </w:p>
    <w:p>
      <w:pPr>
        <w:pStyle w:val="ListBullet"/>
        <w:spacing w:after="60" w:line="259" w:lineRule="auto"/>
      </w:pPr>
      <w:r>
        <w:rPr>
          <w:rFonts w:ascii="Aptos" w:hAnsi="Aptos"/>
          <w:b w:val="0"/>
          <w:color w:val="102A3A"/>
          <w:sz w:val="21"/>
        </w:rPr>
        <w:t>Retry duplicate prevented.</w:t>
      </w:r>
    </w:p>
    <w:p>
      <w:pPr>
        <w:pStyle w:val="ListBullet"/>
        <w:spacing w:after="60" w:line="259" w:lineRule="auto"/>
      </w:pPr>
      <w:r>
        <w:rPr>
          <w:rFonts w:ascii="Aptos" w:hAnsi="Aptos"/>
          <w:b w:val="0"/>
          <w:color w:val="102A3A"/>
          <w:sz w:val="21"/>
        </w:rPr>
        <w:t>Sensitive field masked in storage, AI payload, event, and outbound delivery.</w:t>
      </w:r>
    </w:p>
    <w:p>
      <w:pPr>
        <w:pStyle w:val="Heading1"/>
        <w:keepNext/>
      </w:pPr>
      <w:r>
        <w:t>21. Definition of Done</w:t>
      </w:r>
    </w:p>
    <w:tbl>
      <w:tblPr>
        <w:tblW w:type="auto" w:w="0"/>
        <w:jc w:val="center"/>
        <w:tblLayout w:type="fixed"/>
        <w:tblLook w:firstColumn="1" w:firstRow="1" w:lastColumn="0" w:lastRow="0" w:noHBand="0" w:noVBand="1" w:val="04A0"/>
        <w:tblBorders>
          <w:top w:val="single" w:sz="4" w:space="0" w:color="C7D8DE"/>
          <w:start w:val="single" w:sz="4" w:space="0" w:color="C7D8DE"/>
          <w:bottom w:val="single" w:sz="4" w:space="0" w:color="C7D8DE"/>
          <w:end w:val="single" w:sz="4" w:space="0" w:color="C7D8DE"/>
          <w:insideH w:val="single" w:sz="4" w:space="0" w:color="C7D8DE"/>
          <w:insideV w:val="single" w:sz="4" w:space="0" w:color="C7D8DE"/>
        </w:tblBorders>
      </w:tblPr>
      <w:tblGrid>
        <w:gridCol w:w="5040"/>
        <w:gridCol w:w="5040"/>
      </w:tblGrid>
      <w:tr>
        <w:trPr>
          <w:tblHeader w:val="true"/>
        </w:trPr>
        <w:tc>
          <w:tcPr>
            <w:tcW w:type="dxa" w:w="2088"/>
            <w:shd w:fill="061B2E"/>
            <w:tcMar>
              <w:top w:w="110" w:type="dxa"/>
              <w:start w:w="120" w:type="dxa"/>
              <w:bottom w:w="110" w:type="dxa"/>
              <w:end w:w="120" w:type="dxa"/>
            </w:tcMar>
            <w:vAlign w:val="center"/>
          </w:tcPr>
          <w:p>
            <w:pPr>
              <w:jc w:val="center"/>
            </w:pPr>
            <w:r>
              <w:rPr>
                <w:rFonts w:ascii="Aptos" w:hAnsi="Aptos"/>
                <w:b/>
                <w:color w:val="FFFFFF"/>
                <w:sz w:val="18"/>
              </w:rPr>
              <w:t>Area</w:t>
            </w:r>
          </w:p>
        </w:tc>
        <w:tc>
          <w:tcPr>
            <w:tcW w:type="dxa" w:w="7992"/>
            <w:shd w:fill="061B2E"/>
            <w:tcMar>
              <w:top w:w="110" w:type="dxa"/>
              <w:start w:w="120" w:type="dxa"/>
              <w:bottom w:w="110" w:type="dxa"/>
              <w:end w:w="120" w:type="dxa"/>
            </w:tcMar>
            <w:vAlign w:val="center"/>
          </w:tcPr>
          <w:p>
            <w:pPr>
              <w:jc w:val="center"/>
            </w:pPr>
            <w:r>
              <w:rPr>
                <w:rFonts w:ascii="Aptos" w:hAnsi="Aptos"/>
                <w:b/>
                <w:color w:val="FFFFFF"/>
                <w:sz w:val="18"/>
              </w:rPr>
              <w:t>Release Gate</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Functionality</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All MVP epics complete and acceptance tests passing.</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Reliability</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Capture survives diagnosis/notification outages; missed notifications are recoverable.</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Security</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No critical/high findings; sharing, CRUD/FLS, masking, and credentials verified.</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Performance</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Volume tests meet documented limits without notification storms or trigger failures.</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Packaging</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2GP install and upgrade pass in clean scratch orgs and supported editions.</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Usability</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Utility remains non-intrusive; standard user can understand and act without technical knowledge.</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Documentation</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Admin, implementation, end-user, API, connector, security, and release documentation complete.</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Operations</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Support ownership, telemetry, incident response, and upgrade policy defined.</w:t>
            </w:r>
          </w:p>
        </w:tc>
      </w:tr>
      <w:tr>
        <w:trPr>
          <w:cantSplit/>
        </w:trPr>
        <w:tc>
          <w:tcPr>
            <w:tcW w:type="dxa" w:w="2088"/>
            <w:tcMar>
              <w:top w:w="95" w:type="dxa"/>
              <w:start w:w="110" w:type="dxa"/>
              <w:bottom w:w="95" w:type="dxa"/>
              <w:end w:w="110" w:type="dxa"/>
            </w:tcMar>
            <w:vAlign w:val="center"/>
          </w:tcPr>
          <w:p>
            <w:pPr>
              <w:spacing w:after="0" w:line="252" w:lineRule="auto"/>
            </w:pPr>
            <w:r>
              <w:rPr>
                <w:rFonts w:ascii="Aptos" w:hAnsi="Aptos"/>
                <w:b/>
                <w:color w:val="061B2E"/>
                <w:sz w:val="18"/>
              </w:rPr>
              <w:t>Commercial</w:t>
            </w:r>
          </w:p>
        </w:tc>
        <w:tc>
          <w:tcPr>
            <w:tcW w:type="dxa" w:w="7992"/>
            <w:tcMar>
              <w:top w:w="95" w:type="dxa"/>
              <w:start w:w="110" w:type="dxa"/>
              <w:bottom w:w="95" w:type="dxa"/>
              <w:end w:w="110" w:type="dxa"/>
            </w:tcMar>
            <w:vAlign w:val="center"/>
          </w:tcPr>
          <w:p>
            <w:pPr>
              <w:spacing w:after="0" w:line="252" w:lineRule="auto"/>
            </w:pPr>
            <w:r>
              <w:rPr>
                <w:rFonts w:ascii="Aptos" w:hAnsi="Aptos"/>
                <w:b w:val="0"/>
                <w:color w:val="102A3A"/>
                <w:sz w:val="18"/>
              </w:rPr>
              <w:t>Edition entitlements, licensing, trial/demo, pricing inputs, and listing assets approved.</w:t>
            </w:r>
          </w:p>
        </w:tc>
      </w:tr>
    </w:tbl>
    <w:p>
      <w:pPr>
        <w:spacing w:after="40"/>
      </w:pPr>
    </w:p>
    <w:p>
      <w:pPr>
        <w:pStyle w:val="Heading1"/>
        <w:keepNext/>
      </w:pPr>
      <w:r>
        <w:t>22. AppExchange and Go-to-Market Readiness</w:t>
      </w:r>
    </w:p>
    <w:p>
      <w:pPr>
        <w:pStyle w:val="ListBullet"/>
        <w:spacing w:after="60" w:line="259" w:lineRule="auto"/>
      </w:pPr>
      <w:r>
        <w:rPr>
          <w:rFonts w:ascii="Aptos" w:hAnsi="Aptos"/>
          <w:b w:val="0"/>
          <w:color w:val="102A3A"/>
          <w:sz w:val="21"/>
        </w:rPr>
        <w:t>Salesforce Security Review preparation with secure-coding evidence.</w:t>
      </w:r>
    </w:p>
    <w:p>
      <w:pPr>
        <w:pStyle w:val="ListBullet"/>
        <w:spacing w:after="60" w:line="259" w:lineRule="auto"/>
      </w:pPr>
      <w:r>
        <w:rPr>
          <w:rFonts w:ascii="Aptos" w:hAnsi="Aptos"/>
          <w:b w:val="0"/>
          <w:color w:val="102A3A"/>
          <w:sz w:val="21"/>
        </w:rPr>
        <w:t>Privacy policy, terms of service, data handling, and subprocessors documentation.</w:t>
      </w:r>
    </w:p>
    <w:p>
      <w:pPr>
        <w:pStyle w:val="ListBullet"/>
        <w:spacing w:after="60" w:line="259" w:lineRule="auto"/>
      </w:pPr>
      <w:r>
        <w:rPr>
          <w:rFonts w:ascii="Aptos" w:hAnsi="Aptos"/>
          <w:b w:val="0"/>
          <w:color w:val="102A3A"/>
          <w:sz w:val="21"/>
        </w:rPr>
        <w:t>Installation, configuration, upgrade, troubleshooting, and uninstall guides.</w:t>
      </w:r>
    </w:p>
    <w:p>
      <w:pPr>
        <w:pStyle w:val="ListBullet"/>
        <w:spacing w:after="60" w:line="259" w:lineRule="auto"/>
      </w:pPr>
      <w:r>
        <w:rPr>
          <w:rFonts w:ascii="Aptos" w:hAnsi="Aptos"/>
          <w:b w:val="0"/>
          <w:color w:val="102A3A"/>
          <w:sz w:val="21"/>
        </w:rPr>
        <w:t>Demo org and guided trial experience.</w:t>
      </w:r>
    </w:p>
    <w:p>
      <w:pPr>
        <w:pStyle w:val="ListBullet"/>
        <w:spacing w:after="60" w:line="259" w:lineRule="auto"/>
      </w:pPr>
      <w:r>
        <w:rPr>
          <w:rFonts w:ascii="Aptos" w:hAnsi="Aptos"/>
          <w:b w:val="0"/>
          <w:color w:val="102A3A"/>
          <w:sz w:val="21"/>
        </w:rPr>
        <w:t>Support process, severity definitions, response targets, and escalation path.</w:t>
      </w:r>
    </w:p>
    <w:p>
      <w:pPr>
        <w:pStyle w:val="ListBullet"/>
        <w:spacing w:after="60" w:line="259" w:lineRule="auto"/>
      </w:pPr>
      <w:r>
        <w:rPr>
          <w:rFonts w:ascii="Aptos" w:hAnsi="Aptos"/>
          <w:b w:val="0"/>
          <w:color w:val="102A3A"/>
          <w:sz w:val="21"/>
        </w:rPr>
        <w:t>AppExchange listing assets, product screenshots, architecture diagram, feature comparison, and FAQ.</w:t>
      </w:r>
    </w:p>
    <w:p>
      <w:pPr>
        <w:pStyle w:val="ListBullet"/>
        <w:spacing w:after="60" w:line="259" w:lineRule="auto"/>
      </w:pPr>
      <w:r>
        <w:rPr>
          <w:rFonts w:ascii="Aptos" w:hAnsi="Aptos"/>
          <w:b w:val="0"/>
          <w:color w:val="102A3A"/>
          <w:sz w:val="21"/>
        </w:rPr>
        <w:t>Customer-facing statement of AI boundaries, data usage, and remediation controls.</w:t>
      </w:r>
    </w:p>
    <w:p>
      <w:pPr>
        <w:pStyle w:val="ListBullet"/>
        <w:spacing w:after="60" w:line="259" w:lineRule="auto"/>
      </w:pPr>
      <w:r>
        <w:rPr>
          <w:rFonts w:ascii="Aptos" w:hAnsi="Aptos"/>
          <w:b w:val="0"/>
          <w:color w:val="102A3A"/>
          <w:sz w:val="21"/>
        </w:rPr>
        <w:t>Release notes and backward-compatibility policy.</w:t>
      </w:r>
    </w:p>
    <w:p>
      <w:pPr>
        <w:pStyle w:val="Heading1"/>
        <w:keepNext/>
      </w:pPr>
      <w:r>
        <w:t>23. Agent Execution Instructions</w:t>
      </w:r>
    </w:p>
    <w:tbl>
      <w:tblPr>
        <w:tblW w:type="auto" w:w="0"/>
        <w:jc w:val="center"/>
        <w:tblLayout w:type="fixed"/>
        <w:tblLook w:firstColumn="1" w:firstRow="1" w:lastColumn="0" w:lastRow="0" w:noHBand="0" w:noVBand="1" w:val="04A0"/>
        <w:tblBorders>
          <w:top w:val="single" w:sz="0" w:space="0" w:color="EDF9FB"/>
          <w:start w:val="single" w:sz="0" w:space="0" w:color="EDF9FB"/>
          <w:bottom w:val="single" w:sz="0" w:space="0" w:color="EDF9FB"/>
          <w:end w:val="single" w:sz="0" w:space="0" w:color="EDF9FB"/>
          <w:insideH w:val="single" w:sz="0" w:space="0" w:color="EDF9FB"/>
          <w:insideV w:val="single" w:sz="0" w:space="0" w:color="EDF9FB"/>
        </w:tblBorders>
      </w:tblPr>
      <w:tblGrid>
        <w:gridCol w:w="115"/>
        <w:gridCol w:w="9504"/>
      </w:tblGrid>
      <w:tr>
        <w:tc>
          <w:tcPr>
            <w:tcW w:type="dxa" w:w="5040"/>
            <w:shd w:fill="13C6D8"/>
          </w:tcPr>
          <w:p/>
        </w:tc>
        <w:tc>
          <w:tcPr>
            <w:tcW w:type="dxa" w:w="5040"/>
            <w:shd w:fill="EDF9FB"/>
            <w:tcMar>
              <w:top w:w="150" w:type="dxa"/>
              <w:start w:w="180" w:type="dxa"/>
              <w:bottom w:w="150" w:type="dxa"/>
              <w:end w:w="180" w:type="dxa"/>
            </w:tcMar>
          </w:tcPr>
          <w:p>
            <w:pPr>
              <w:spacing w:line="269" w:lineRule="auto" w:after="0"/>
            </w:pPr>
            <w:r>
              <w:rPr>
                <w:rFonts w:ascii="Aptos" w:hAnsi="Aptos"/>
                <w:b/>
                <w:color w:val="061B2E"/>
                <w:sz w:val="22"/>
              </w:rPr>
              <w:t>Primary instruction</w:t>
            </w:r>
            <w:r>
              <w:rPr>
                <w:rFonts w:ascii="Aptos" w:hAnsi="Aptos"/>
                <w:b w:val="0"/>
                <w:color w:val="102A3A"/>
                <w:sz w:val="21"/>
              </w:rPr>
              <w:br/>
              <w:t>Implement the Marketable MVP first. Do not begin autonomous remediation or optional connectors until the core capture, normalization, notification, Get Help, escalation, security, setup, and packaging foundations are complete and validated.</w:t>
            </w:r>
          </w:p>
        </w:tc>
      </w:tr>
    </w:tbl>
    <w:p>
      <w:pPr>
        <w:spacing w:after="20"/>
      </w:pPr>
    </w:p>
    <w:p>
      <w:pPr>
        <w:pStyle w:val="ListNumber"/>
        <w:spacing w:after="60"/>
      </w:pPr>
      <w:r>
        <w:rPr>
          <w:rFonts w:ascii="Aptos" w:hAnsi="Aptos"/>
          <w:b w:val="0"/>
          <w:color w:val="102A3A"/>
          <w:sz w:val="21"/>
        </w:rPr>
        <w:t>Use the reconciled Salesforce DX repository as the baseline and preserve one consistent object/API naming model.</w:t>
      </w:r>
    </w:p>
    <w:p>
      <w:pPr>
        <w:pStyle w:val="ListNumber"/>
        <w:spacing w:after="60"/>
      </w:pPr>
      <w:r>
        <w:rPr>
          <w:rFonts w:ascii="Aptos" w:hAnsi="Aptos"/>
          <w:b w:val="0"/>
          <w:color w:val="102A3A"/>
          <w:sz w:val="21"/>
        </w:rPr>
        <w:t>Create a feature branch for each epic and provide a concise implementation summary, changed metadata list, test evidence, and known limitations.</w:t>
      </w:r>
    </w:p>
    <w:p>
      <w:pPr>
        <w:pStyle w:val="ListNumber"/>
        <w:spacing w:after="60"/>
      </w:pPr>
      <w:r>
        <w:rPr>
          <w:rFonts w:ascii="Aptos" w:hAnsi="Aptos"/>
          <w:b w:val="0"/>
          <w:color w:val="102A3A"/>
          <w:sz w:val="21"/>
        </w:rPr>
        <w:t>Do not introduce duplicate custom objects, platform events, or services that represent the same business concept.</w:t>
      </w:r>
    </w:p>
    <w:p>
      <w:pPr>
        <w:pStyle w:val="ListNumber"/>
        <w:spacing w:after="60"/>
      </w:pPr>
      <w:r>
        <w:rPr>
          <w:rFonts w:ascii="Aptos" w:hAnsi="Aptos"/>
          <w:b w:val="0"/>
          <w:color w:val="102A3A"/>
          <w:sz w:val="21"/>
        </w:rPr>
        <w:t>Do not hard-code customer IDs, routes, recipients, object names, field names, credentials, or retry classes.</w:t>
      </w:r>
    </w:p>
    <w:p>
      <w:pPr>
        <w:pStyle w:val="ListNumber"/>
        <w:spacing w:after="60"/>
      </w:pPr>
      <w:r>
        <w:rPr>
          <w:rFonts w:ascii="Aptos" w:hAnsi="Aptos"/>
          <w:b w:val="0"/>
          <w:color w:val="102A3A"/>
          <w:sz w:val="21"/>
        </w:rPr>
        <w:t>Prefer custom metadata and registered strategies for configurable behavior.</w:t>
      </w:r>
    </w:p>
    <w:p>
      <w:pPr>
        <w:pStyle w:val="ListNumber"/>
        <w:spacing w:after="60"/>
      </w:pPr>
      <w:r>
        <w:rPr>
          <w:rFonts w:ascii="Aptos" w:hAnsi="Aptos"/>
          <w:b w:val="0"/>
          <w:color w:val="102A3A"/>
          <w:sz w:val="21"/>
        </w:rPr>
        <w:t>Enforce sharing, CRUD/FLS, masking, and custom permissions at server boundaries.</w:t>
      </w:r>
    </w:p>
    <w:p>
      <w:pPr>
        <w:pStyle w:val="ListNumber"/>
        <w:spacing w:after="60"/>
      </w:pPr>
      <w:r>
        <w:rPr>
          <w:rFonts w:ascii="Aptos" w:hAnsi="Aptos"/>
          <w:b w:val="0"/>
          <w:color w:val="102A3A"/>
          <w:sz w:val="21"/>
        </w:rPr>
        <w:t>Keep Platform Event payloads minimal and size-safe.</w:t>
      </w:r>
    </w:p>
    <w:p>
      <w:pPr>
        <w:pStyle w:val="ListNumber"/>
        <w:spacing w:after="60"/>
      </w:pPr>
      <w:r>
        <w:rPr>
          <w:rFonts w:ascii="Aptos" w:hAnsi="Aptos"/>
          <w:b w:val="0"/>
          <w:color w:val="102A3A"/>
          <w:sz w:val="21"/>
        </w:rPr>
        <w:t>Write bulk-safe Apex and avoid synchronous Agentforce invocation from failing transactions.</w:t>
      </w:r>
    </w:p>
    <w:p>
      <w:pPr>
        <w:pStyle w:val="ListNumber"/>
        <w:spacing w:after="60"/>
      </w:pPr>
      <w:r>
        <w:rPr>
          <w:rFonts w:ascii="Aptos" w:hAnsi="Aptos"/>
          <w:b w:val="0"/>
          <w:color w:val="102A3A"/>
          <w:sz w:val="21"/>
        </w:rPr>
        <w:t>Add or update Apex tests and LWC Jest tests with every implementation change.</w:t>
      </w:r>
    </w:p>
    <w:p>
      <w:pPr>
        <w:pStyle w:val="ListNumber"/>
        <w:spacing w:after="60"/>
      </w:pPr>
      <w:r>
        <w:rPr>
          <w:rFonts w:ascii="Aptos" w:hAnsi="Aptos"/>
          <w:b w:val="0"/>
          <w:color w:val="102A3A"/>
          <w:sz w:val="21"/>
        </w:rPr>
        <w:t>Run metadata validation, unit tests, static analysis, and a scratch-org deployment before marking an epic complete.</w:t>
      </w:r>
    </w:p>
    <w:p>
      <w:pPr>
        <w:pStyle w:val="ListNumber"/>
        <w:spacing w:after="60"/>
      </w:pPr>
      <w:r>
        <w:rPr>
          <w:rFonts w:ascii="Aptos" w:hAnsi="Aptos"/>
          <w:b w:val="0"/>
          <w:color w:val="102A3A"/>
          <w:sz w:val="21"/>
        </w:rPr>
        <w:t>Update the technical documentation and release notes when public contracts, metadata, setup, or behavior changes.</w:t>
      </w:r>
    </w:p>
    <w:p>
      <w:pPr>
        <w:pStyle w:val="ListNumber"/>
        <w:spacing w:after="60"/>
      </w:pPr>
      <w:r>
        <w:rPr>
          <w:rFonts w:ascii="Aptos" w:hAnsi="Aptos"/>
          <w:b w:val="0"/>
          <w:color w:val="102A3A"/>
          <w:sz w:val="21"/>
        </w:rPr>
        <w:t>Stop and report a blocker when implementation would require unsupported platform behavior, unrestricted AI execution, or security compromise.</w:t>
      </w:r>
    </w:p>
    <w:p>
      <w:pPr>
        <w:pStyle w:val="Heading1"/>
        <w:keepNext/>
      </w:pPr>
      <w:r>
        <w:t>24. Final Product Acceptance Statement</w:t>
      </w:r>
    </w:p>
    <w:p>
      <w:pPr>
        <w:keepNext w:val="0"/>
        <w:spacing w:after="120" w:before="0" w:line="269" w:lineRule="auto"/>
      </w:pPr>
      <w:r>
        <w:rPr>
          <w:rFonts w:ascii="Aptos" w:hAnsi="Aptos"/>
          <w:b/>
          <w:color w:val="061B2E"/>
          <w:sz w:val="22"/>
        </w:rPr>
        <w:t>Aegis Flow is ready for pilot release when a clean Salesforce organization can install the managed package, complete guided setup, instrument priority automations, detect representative background failures, notify only the correct affected users without disrupting normal work, provide secure contextual assistance, escalate complete evidence, and demonstrate that all write or retry actions remain explicitly registered, authorized, auditable, and verifiable.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B76"/>
        <w:sz w:val="16"/>
      </w:rPr>
      <w:t>Aegis Flow | Market-Ready Product Implementation Specification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0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61B2E"/>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A8FA3"/>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61B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