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2000000">
      <w:pPr>
        <w:spacing w:after="0" w:line="240" w:lineRule="auto"/>
        <w:ind w:firstLine="540" w:left="0"/>
        <w:jc w:val="center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sz w:val="36"/>
        </w:rPr>
        <w:t>Уровень 1</w:t>
      </w:r>
    </w:p>
    <w:p w14:paraId="03000000">
      <w:pPr>
        <w:spacing w:after="0" w:line="240" w:lineRule="auto"/>
        <w:ind w:firstLine="540" w:left="0"/>
        <w:jc w:val="center"/>
        <w:rPr>
          <w:rFonts w:ascii="Times New Roman" w:hAnsi="Times New Roman"/>
          <w:sz w:val="28"/>
        </w:rPr>
      </w:pPr>
    </w:p>
    <w:p w14:paraId="04000000">
      <w:pPr>
        <w:spacing w:after="0" w:line="240" w:lineRule="auto"/>
        <w:ind w:firstLine="54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Диаграмма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графическое представление данных, позволяющее быстро оценить соотношение нескольких величин. Представляет собой геометрическое символьное изображение информации с применением различных приёмов техники визуализации.</w:t>
      </w:r>
    </w:p>
    <w:p w14:paraId="05000000">
      <w:pPr>
        <w:spacing w:after="0" w:line="240" w:lineRule="auto"/>
        <w:ind w:firstLine="54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Диаграммы в основном состоят из геометрических объектов (точек, линий, фигур различной формы и цвета) и вспомогательных элементов (осей координат, условных обозначений, заголовков и т. п.). Также диаграммы делятся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z w:val="28"/>
        </w:rPr>
        <w:t xml:space="preserve"> плоскостные (двумерные) и пространственные (трёхмерные или объёмные).</w:t>
      </w:r>
    </w:p>
    <w:p w14:paraId="06000000">
      <w:pPr>
        <w:spacing w:after="0" w:line="240" w:lineRule="auto"/>
        <w:ind w:firstLine="540" w:left="0"/>
        <w:jc w:val="both"/>
        <w:rPr>
          <w:rFonts w:ascii="Times New Roman" w:hAnsi="Times New Roman"/>
          <w:sz w:val="28"/>
        </w:rPr>
      </w:pPr>
    </w:p>
    <w:p w14:paraId="07000000">
      <w:pPr>
        <w:spacing w:after="0" w:line="240" w:lineRule="auto"/>
        <w:ind w:firstLine="54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Диаграммы-линии или графики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это тип диаграмм, на которых полученные данные изображаются в виде точек, соединённых прямыми линиями. Точки могут быть как видимыми, так и невидимыми (ломаные линии). Также могут изображаться точки без линий (точечные диаграммы). Для построения диаграмм-линий применяют прямоугольную систему координат. Обычно по оси абсцисс откладывается время (годы, месяцы и т. д.), а по оси ординат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размеры изображаемых явлений или процессов. На осях наносят масштабы.</w:t>
      </w:r>
    </w:p>
    <w:p w14:paraId="08000000">
      <w:pPr>
        <w:spacing w:after="0" w:line="240" w:lineRule="auto"/>
        <w:ind w:firstLine="540" w:left="0"/>
        <w:jc w:val="both"/>
        <w:rPr>
          <w:rFonts w:ascii="Times New Roman" w:hAnsi="Times New Roman"/>
          <w:sz w:val="28"/>
        </w:rPr>
      </w:pPr>
    </w:p>
    <w:p w14:paraId="09000000">
      <w:pPr>
        <w:spacing w:after="0" w:line="240" w:lineRule="auto"/>
        <w:ind w:firstLine="540" w:left="0"/>
        <w:jc w:val="both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Столбчатые и линейные диаграммы (гистограммы)</w:t>
      </w:r>
    </w:p>
    <w:p w14:paraId="0A000000">
      <w:pPr>
        <w:spacing w:after="0" w:line="240" w:lineRule="auto"/>
        <w:ind w:firstLine="54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Классическими диаграммами являются столбчатые и линейные (полосовые) диаграммы. Также они называются гистограммами. Столбчатые диаграммы в основном используются для наглядного сравнения полученных статистических данных или для анализа их изменения за определённый промежуток времени. Построение столбчатой диаграммы заключается в изображении статистических данных в виде вертикальных прямоугольников или трёхмерных прямоугольных столбиков. Каждый столбик изображает величину уровня данного статистического ряда. Все сравниваемые показатели выражены одной единицей измерения, поэтому удаётся сравнить статистические показатели данного процесса.</w:t>
      </w:r>
    </w:p>
    <w:p w14:paraId="0B000000">
      <w:pPr>
        <w:spacing w:after="0" w:line="240" w:lineRule="auto"/>
        <w:ind w:firstLine="540" w:left="0"/>
        <w:jc w:val="both"/>
        <w:rPr>
          <w:rFonts w:ascii="Times New Roman" w:hAnsi="Times New Roman"/>
          <w:sz w:val="28"/>
        </w:rPr>
      </w:pPr>
    </w:p>
    <w:p w14:paraId="0C000000">
      <w:pPr>
        <w:spacing w:after="0" w:line="240" w:lineRule="auto"/>
        <w:ind w:firstLine="540" w:left="0"/>
        <w:jc w:val="both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Круговые (секторные) диаграммы</w:t>
      </w:r>
    </w:p>
    <w:p w14:paraId="0D000000">
      <w:pPr>
        <w:spacing w:after="0" w:line="240" w:lineRule="auto"/>
        <w:ind w:firstLine="54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Этот вид графиков удобно использовать, когда нужно показать долю каждой величины в общем объёме. Сектора могут изображаться как в общем круге, так и отдельно, расположенными на небольшом удалении друг от друга.</w:t>
      </w:r>
    </w:p>
    <w:p w14:paraId="0E000000">
      <w:pPr>
        <w:spacing w:after="0" w:line="240" w:lineRule="auto"/>
        <w:ind w:firstLine="54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Круговая диаграмма сохраняет наглядность только в том случае, если количество частей совокупности диаграммы небольшое. Если частей диаграммы слишком много, её применение неэффективно по причине несущественного различия сравниваемых структур.</w:t>
      </w:r>
    </w:p>
    <w:p w14:paraId="0F000000">
      <w:pPr>
        <w:spacing w:after="0" w:line="240" w:lineRule="auto"/>
        <w:ind w:firstLine="540" w:left="0"/>
        <w:jc w:val="both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Радиальные (сетчатые) диаграммы</w:t>
      </w:r>
    </w:p>
    <w:p w14:paraId="10000000">
      <w:pPr>
        <w:spacing w:after="0" w:line="240" w:lineRule="auto"/>
        <w:ind w:firstLine="54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отличие от линейных диаграмм, в радиальных или сетчатых диаграммах более двух осей. По каждой из них производится отсчёт от начала координат, находящегося в центре. Для каждого типа полученных значений создаётся своя собственная ось, которая исходит из центра диаграммы. </w:t>
      </w:r>
    </w:p>
    <w:p w14:paraId="11000000">
      <w:pPr>
        <w:spacing w:after="0" w:line="240" w:lineRule="auto"/>
        <w:ind w:firstLine="54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Таблица</w:t>
      </w:r>
      <w:r>
        <w:rPr>
          <w:rFonts w:ascii="Times New Roman" w:hAnsi="Times New Roman"/>
          <w:sz w:val="28"/>
        </w:rPr>
        <w:t xml:space="preserve"> (из лат. </w:t>
      </w:r>
      <w:r>
        <w:rPr>
          <w:rFonts w:ascii="Times New Roman" w:hAnsi="Times New Roman"/>
          <w:sz w:val="28"/>
        </w:rPr>
        <w:t>tabula</w:t>
      </w:r>
      <w:r>
        <w:rPr>
          <w:rFonts w:ascii="Times New Roman" w:hAnsi="Times New Roman"/>
          <w:sz w:val="28"/>
        </w:rPr>
        <w:t xml:space="preserve"> «доска») 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способ передачи содержания, заключающийся в организации структуры данных, в которой отдельные элементы помещены в ячейки, каждой из которых сопоставлена пара значений 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номер строки и номер колонки. Таким образом, устанавливается смысловая связь между элементами, принадлежащими одному столбцу или одной строке.</w:t>
      </w:r>
    </w:p>
    <w:p w14:paraId="12000000">
      <w:pPr>
        <w:spacing w:after="0" w:line="240" w:lineRule="auto"/>
        <w:ind w:firstLine="540" w:left="0"/>
        <w:jc w:val="both"/>
        <w:rPr>
          <w:rFonts w:ascii="Times New Roman" w:hAnsi="Times New Roman"/>
          <w:sz w:val="28"/>
        </w:rPr>
      </w:pPr>
      <w:r>
        <w:rPr>
          <w:rFonts w:ascii="Segoe UI" w:hAnsi="Segoe UI"/>
          <w:color w:val="0366D6"/>
          <w:sz w:val="24"/>
        </w:rPr>
        <w:drawing>
          <wp:inline>
            <wp:extent cx="5731510" cy="4428977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rcRect b="0" l="0" r="0" t="0"/>
                    <a:stretch/>
                  </pic:blipFill>
                  <pic:spPr>
                    <a:xfrm flipH="false" flipV="false" rot="0">
                      <a:ext cx="5731510" cy="44289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00000">
      <w:pPr>
        <w:pStyle w:val="Style_1"/>
      </w:pPr>
    </w:p>
    <w:p w14:paraId="14000000">
      <w:pPr>
        <w:pStyle w:val="Style_1"/>
      </w:pPr>
    </w:p>
    <w:p w14:paraId="15000000">
      <w:pPr>
        <w:pStyle w:val="Style_1"/>
      </w:pPr>
    </w:p>
    <w:p w14:paraId="16000000">
      <w:pPr>
        <w:pStyle w:val="Style_1"/>
      </w:pPr>
    </w:p>
    <w:p w14:paraId="17000000">
      <w:pPr>
        <w:pStyle w:val="Style_1"/>
      </w:pPr>
    </w:p>
    <w:p w14:paraId="18000000">
      <w:pPr>
        <w:pStyle w:val="Style_1"/>
      </w:pPr>
    </w:p>
    <w:p w14:paraId="19000000">
      <w:pPr>
        <w:pStyle w:val="Style_1"/>
      </w:pPr>
      <w:r>
        <w:t>World cloud</w:t>
      </w:r>
      <w:r>
        <w:drawing>
          <wp:inline>
            <wp:extent cx="5724524" cy="5724524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724524" cy="57245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A000000">
      <w:pPr>
        <w:pStyle w:val="Style_1"/>
        <w:spacing w:after="160" w:before="0" w:line="276" w:lineRule="auto"/>
        <w:ind w:firstLine="0" w:left="0" w:right="0"/>
        <w:jc w:val="left"/>
      </w:pPr>
    </w:p>
    <w:p w14:paraId="1B000000">
      <w:pPr>
        <w:pStyle w:val="Style_1"/>
        <w:spacing w:after="160" w:before="0" w:line="276" w:lineRule="auto"/>
        <w:ind w:firstLine="0" w:left="0" w:right="0"/>
        <w:jc w:val="left"/>
      </w:pPr>
    </w:p>
    <w:p w14:paraId="1C000000">
      <w:pPr>
        <w:pStyle w:val="Style_1"/>
        <w:spacing w:after="160" w:before="0" w:line="276" w:lineRule="auto"/>
        <w:ind w:firstLine="0" w:left="0" w:right="0"/>
        <w:jc w:val="left"/>
      </w:pPr>
    </w:p>
    <w:p w14:paraId="1D000000">
      <w:pPr>
        <w:pStyle w:val="Style_1"/>
        <w:spacing w:after="160" w:before="0" w:line="276" w:lineRule="auto"/>
        <w:ind w:firstLine="0" w:left="0" w:right="0"/>
        <w:jc w:val="left"/>
      </w:pPr>
    </w:p>
    <w:p w14:paraId="1E000000">
      <w:pPr>
        <w:pStyle w:val="Style_1"/>
        <w:spacing w:after="160" w:before="0" w:line="276" w:lineRule="auto"/>
        <w:ind w:firstLine="0" w:left="0" w:right="0"/>
        <w:jc w:val="left"/>
      </w:pPr>
    </w:p>
    <w:p w14:paraId="1F000000">
      <w:pPr>
        <w:pStyle w:val="Style_1"/>
        <w:spacing w:after="160" w:before="0" w:line="276" w:lineRule="auto"/>
        <w:ind w:firstLine="0" w:left="0" w:right="0"/>
        <w:jc w:val="left"/>
      </w:pPr>
    </w:p>
    <w:p w14:paraId="20000000">
      <w:pPr>
        <w:pStyle w:val="Style_1"/>
        <w:spacing w:after="160" w:before="0" w:line="276" w:lineRule="auto"/>
        <w:ind w:firstLine="0" w:left="0" w:right="0"/>
        <w:jc w:val="left"/>
      </w:pPr>
    </w:p>
    <w:p w14:paraId="21000000">
      <w:pPr>
        <w:pStyle w:val="Style_1"/>
        <w:spacing w:after="160" w:before="0" w:line="276" w:lineRule="auto"/>
        <w:ind w:firstLine="0" w:left="0" w:right="0"/>
        <w:jc w:val="left"/>
      </w:pPr>
    </w:p>
    <w:p w14:paraId="22000000">
      <w:pPr>
        <w:pStyle w:val="Style_1"/>
        <w:spacing w:after="160" w:before="0" w:line="276" w:lineRule="auto"/>
        <w:ind w:firstLine="0" w:left="0" w:right="0"/>
        <w:jc w:val="left"/>
      </w:pPr>
      <w:r>
        <w:t>Wordle</w:t>
      </w:r>
      <w:r>
        <w:drawing>
          <wp:inline>
            <wp:extent cx="5724524" cy="285750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724524" cy="28575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3000000">
      <w:pPr>
        <w:pStyle w:val="Style_1"/>
      </w:pPr>
    </w:p>
    <w:p w14:paraId="24000000">
      <w:pPr>
        <w:pStyle w:val="Style_1"/>
      </w:pPr>
    </w:p>
    <w:p w14:paraId="25000000">
      <w:pPr>
        <w:pStyle w:val="Style_1"/>
      </w:pPr>
    </w:p>
    <w:p w14:paraId="26000000">
      <w:pPr>
        <w:pStyle w:val="Style_1"/>
      </w:pPr>
      <w:r>
        <w:t xml:space="preserve">Word </w:t>
      </w:r>
      <w:r>
        <w:t>it</w:t>
      </w:r>
      <w:r>
        <w:t xml:space="preserve"> out</w:t>
      </w:r>
      <w:r>
        <w:tab/>
      </w:r>
      <w:r>
        <w:drawing>
          <wp:inline>
            <wp:extent cx="5724524" cy="3571875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724524" cy="35718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7000000">
      <w:pPr>
        <w:pStyle w:val="Style_1"/>
      </w:pPr>
    </w:p>
    <w:p w14:paraId="28000000">
      <w:pPr>
        <w:pStyle w:val="Style_1"/>
      </w:pPr>
    </w:p>
    <w:p w14:paraId="29000000">
      <w:pPr>
        <w:pStyle w:val="Style_1"/>
      </w:pPr>
    </w:p>
    <w:p w14:paraId="2A000000">
      <w:pPr>
        <w:pStyle w:val="Style_1"/>
      </w:pPr>
    </w:p>
    <w:p w14:paraId="2B000000">
      <w:pPr>
        <w:pStyle w:val="Style_1"/>
      </w:pPr>
    </w:p>
    <w:p w14:paraId="2C000000">
      <w:pPr>
        <w:pStyle w:val="Style_1"/>
      </w:pPr>
    </w:p>
    <w:p w14:paraId="2D000000">
      <w:pPr>
        <w:pStyle w:val="Style_1"/>
      </w:pPr>
      <w:r>
        <w:t xml:space="preserve">Word </w:t>
      </w:r>
      <w:r>
        <w:t>cloud</w:t>
      </w:r>
      <w:r>
        <w:t xml:space="preserve"> </w:t>
      </w:r>
      <w:r>
        <w:t>by</w:t>
      </w:r>
      <w:r>
        <w:t xml:space="preserve"> Jason Davies</w:t>
      </w:r>
      <w:r>
        <w:drawing>
          <wp:inline>
            <wp:extent cx="5724524" cy="4200525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724524" cy="42005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E000000">
      <w:pPr>
        <w:pStyle w:val="Style_1"/>
      </w:pPr>
    </w:p>
    <w:p w14:paraId="2F000000">
      <w:pPr>
        <w:pStyle w:val="Style_1"/>
      </w:pPr>
      <w:r>
        <w:t>Аналоги:</w:t>
      </w:r>
    </w:p>
    <w:p w14:paraId="30000000">
      <w:pPr>
        <w:pStyle w:val="Style_1"/>
        <w:numPr>
          <w:numId w:val="1"/>
        </w:numPr>
      </w:pPr>
      <w:r>
        <w:rPr>
          <w:rStyle w:val="Style_2_ch"/>
        </w:rPr>
        <w:fldChar w:fldCharType="begin"/>
      </w:r>
      <w:r>
        <w:rPr>
          <w:rStyle w:val="Style_2_ch"/>
        </w:rPr>
        <w:instrText>HYPERLINK "https://wordscloud.pythonanywhere.com/"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https://wordscloud.pythonanywhere.com/</w:t>
      </w:r>
      <w:r>
        <w:rPr>
          <w:rStyle w:val="Style_2_ch"/>
        </w:rPr>
        <w:fldChar w:fldCharType="end"/>
      </w:r>
    </w:p>
    <w:p w14:paraId="31000000">
      <w:pPr>
        <w:pStyle w:val="Style_1"/>
        <w:numPr>
          <w:numId w:val="1"/>
        </w:numPr>
      </w:pPr>
      <w:r>
        <w:rPr>
          <w:rStyle w:val="Style_2_ch"/>
        </w:rPr>
        <w:fldChar w:fldCharType="begin"/>
      </w:r>
      <w:r>
        <w:rPr>
          <w:rStyle w:val="Style_2_ch"/>
        </w:rPr>
        <w:instrText>HYPERLINK "https://wordart.com/?ref=vc.ru"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https://wordart.com/?ref=vc.ru</w:t>
      </w:r>
      <w:r>
        <w:rPr>
          <w:rStyle w:val="Style_2_ch"/>
        </w:rPr>
        <w:fldChar w:fldCharType="end"/>
      </w:r>
    </w:p>
    <w:p w14:paraId="32000000">
      <w:pPr>
        <w:pStyle w:val="Style_1"/>
        <w:numPr>
          <w:numId w:val="1"/>
        </w:numPr>
      </w:pPr>
      <w:r>
        <w:rPr>
          <w:rStyle w:val="Style_2_ch"/>
        </w:rPr>
        <w:fldChar w:fldCharType="begin"/>
      </w:r>
      <w:r>
        <w:rPr>
          <w:rStyle w:val="Style_2_ch"/>
        </w:rPr>
        <w:instrText>HYPERLINK "https://www.wordclouds.com/"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https://www.wordclouds.com/</w:t>
      </w:r>
      <w:r>
        <w:rPr>
          <w:rStyle w:val="Style_2_ch"/>
        </w:rPr>
        <w:fldChar w:fldCharType="end"/>
      </w:r>
    </w:p>
    <w:p w14:paraId="33000000">
      <w:pPr>
        <w:pStyle w:val="Style_1"/>
      </w:pPr>
      <w:r>
        <w:t xml:space="preserve"> </w:t>
      </w:r>
    </w:p>
    <w:p w14:paraId="34000000">
      <w:pPr>
        <w:pStyle w:val="Style_1"/>
      </w:pPr>
    </w:p>
    <w:p w14:paraId="35000000">
      <w:pPr>
        <w:pStyle w:val="Style_1"/>
        <w:ind/>
        <w:jc w:val="center"/>
      </w:pPr>
    </w:p>
    <w:p w14:paraId="36000000">
      <w:pPr>
        <w:pStyle w:val="Style_1"/>
        <w:ind/>
        <w:jc w:val="center"/>
      </w:pPr>
    </w:p>
    <w:p w14:paraId="37000000">
      <w:pPr>
        <w:pStyle w:val="Style_1"/>
        <w:ind/>
        <w:jc w:val="center"/>
      </w:pPr>
      <w:r>
        <w:rPr>
          <w:rFonts w:ascii="Times New Roman" w:hAnsi="Times New Roman"/>
          <w:b w:val="1"/>
          <w:sz w:val="28"/>
        </w:rPr>
        <w:t>Файл "</w:t>
      </w:r>
      <w:r>
        <w:rPr>
          <w:rFonts w:ascii="Times New Roman" w:hAnsi="Times New Roman"/>
          <w:b w:val="1"/>
          <w:sz w:val="28"/>
        </w:rPr>
        <w:t>14. Стилеметрия и тематическое моделирование</w:t>
      </w:r>
      <w:r>
        <w:rPr>
          <w:rFonts w:ascii="Times New Roman" w:hAnsi="Times New Roman"/>
          <w:b w:val="1"/>
          <w:sz w:val="28"/>
        </w:rPr>
        <w:t>"</w:t>
      </w:r>
    </w:p>
    <w:p w14:paraId="38000000">
      <w:pPr>
        <w:pStyle w:val="Style_1"/>
        <w:ind/>
        <w:jc w:val="left"/>
        <w:rPr>
          <w:rFonts w:ascii="Arial" w:hAnsi="Arial"/>
          <w:sz w:val="28"/>
        </w:rPr>
      </w:pPr>
      <w:r>
        <w:rPr>
          <w:rFonts w:ascii="Arial" w:hAnsi="Arial"/>
          <w:sz w:val="28"/>
        </w:rPr>
        <w:t>Я взял файлы с гугл диска</w:t>
      </w:r>
      <w:r>
        <w:rPr>
          <w:rFonts w:ascii="Arial" w:hAnsi="Arial"/>
          <w:sz w:val="28"/>
        </w:rPr>
        <w:t xml:space="preserve"> (</w:t>
      </w:r>
      <w:r>
        <w:rPr>
          <w:rFonts w:ascii="Arial" w:hAnsi="Arial"/>
          <w:color w:val="1155CC"/>
          <w:sz w:val="28"/>
          <w:u w:val="single"/>
        </w:rPr>
        <w:fldChar w:fldCharType="begin"/>
      </w:r>
      <w:r>
        <w:rPr>
          <w:rFonts w:ascii="Arial" w:hAnsi="Arial"/>
          <w:color w:val="1155CC"/>
          <w:sz w:val="28"/>
          <w:u w:val="single"/>
        </w:rPr>
        <w:instrText>HYPERLINK "https://drive.google.com/drive/folders/1rc0CzioBpZpud7Re8e_XZHCvN9cUhDW5"</w:instrText>
      </w:r>
      <w:r>
        <w:rPr>
          <w:rFonts w:ascii="Arial" w:hAnsi="Arial"/>
          <w:color w:val="1155CC"/>
          <w:sz w:val="28"/>
          <w:u w:val="single"/>
        </w:rPr>
        <w:fldChar w:fldCharType="separate"/>
      </w:r>
      <w:r>
        <w:rPr>
          <w:rFonts w:ascii="Arial" w:hAnsi="Arial"/>
          <w:color w:val="1155CC"/>
          <w:sz w:val="28"/>
          <w:u w:val="single"/>
        </w:rPr>
        <w:t>https://drive.google.com/drive/folders/1rc0CzioBpZpud7Re8e_XZHCvN9cUhDW5</w:t>
      </w:r>
      <w:r>
        <w:rPr>
          <w:rFonts w:ascii="Arial" w:hAnsi="Arial"/>
          <w:color w:val="1155CC"/>
          <w:sz w:val="28"/>
          <w:u w:val="single"/>
        </w:rPr>
        <w:fldChar w:fldCharType="end"/>
      </w:r>
      <w:r>
        <w:rPr>
          <w:rFonts w:ascii="Arial" w:hAnsi="Arial"/>
          <w:sz w:val="28"/>
        </w:rPr>
        <w:t>)</w:t>
      </w:r>
      <w:r>
        <w:rPr>
          <w:rFonts w:ascii="Arial" w:hAnsi="Arial"/>
          <w:sz w:val="28"/>
        </w:rPr>
        <w:t xml:space="preserve"> </w:t>
      </w:r>
      <w:r>
        <w:rPr>
          <w:rFonts w:ascii="Arial" w:hAnsi="Arial"/>
          <w:sz w:val="28"/>
        </w:rPr>
        <w:t>2_fourteen_russian_novels.zip.</w:t>
      </w:r>
    </w:p>
    <w:p w14:paraId="39000000">
      <w:pPr>
        <w:pStyle w:val="Style_1"/>
        <w:ind/>
        <w:jc w:val="center"/>
      </w:pPr>
      <w:r>
        <w:rPr>
          <w:rFonts w:ascii="Times New Roman" w:hAnsi="Times New Roman"/>
          <w:sz w:val="28"/>
        </w:rPr>
        <w:drawing>
          <wp:inline>
            <wp:extent cx="5731200" cy="2273300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rcRect b="0" l="0" r="0" t="0"/>
                    <a:stretch/>
                  </pic:blipFill>
                  <pic:spPr>
                    <a:xfrm flipH="false" flipV="false" rot="0">
                      <a:ext cx="5731200" cy="2273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A000000">
      <w:pPr>
        <w:pStyle w:val="Style_1"/>
      </w:pPr>
    </w:p>
    <w:p w14:paraId="3B000000">
      <w:pPr>
        <w:pStyle w:val="Style_1"/>
      </w:pPr>
    </w:p>
    <w:p w14:paraId="3C000000">
      <w:pPr>
        <w:pStyle w:val="Style_1"/>
      </w:pPr>
    </w:p>
    <w:p w14:paraId="3D000000">
      <w:pPr>
        <w:pStyle w:val="Style_1"/>
        <w:ind/>
        <w:jc w:val="center"/>
      </w:pPr>
    </w:p>
    <w:p w14:paraId="3E000000">
      <w:pPr>
        <w:pStyle w:val="Style_1"/>
        <w:ind/>
        <w:jc w:val="center"/>
      </w:pPr>
    </w:p>
    <w:p w14:paraId="3F000000">
      <w:pPr>
        <w:pStyle w:val="Style_1"/>
        <w:ind/>
        <w:jc w:val="center"/>
      </w:pPr>
    </w:p>
    <w:p w14:paraId="40000000">
      <w:pPr>
        <w:pStyle w:val="Style_1"/>
        <w:ind/>
        <w:jc w:val="center"/>
      </w:pPr>
    </w:p>
    <w:p w14:paraId="41000000">
      <w:pPr>
        <w:pStyle w:val="Style_1"/>
        <w:ind/>
        <w:jc w:val="center"/>
      </w:pPr>
    </w:p>
    <w:p w14:paraId="42000000">
      <w:pPr>
        <w:pStyle w:val="Style_1"/>
        <w:ind/>
        <w:jc w:val="center"/>
      </w:pPr>
    </w:p>
    <w:p w14:paraId="43000000">
      <w:pPr>
        <w:pStyle w:val="Style_1"/>
        <w:ind/>
        <w:jc w:val="center"/>
      </w:pPr>
    </w:p>
    <w:p w14:paraId="44000000">
      <w:pPr>
        <w:pStyle w:val="Style_1"/>
        <w:ind/>
        <w:jc w:val="center"/>
      </w:pPr>
    </w:p>
    <w:p w14:paraId="45000000">
      <w:pPr>
        <w:pStyle w:val="Style_1"/>
        <w:ind/>
        <w:jc w:val="center"/>
      </w:pPr>
    </w:p>
    <w:p w14:paraId="46000000">
      <w:pPr>
        <w:pStyle w:val="Style_1"/>
        <w:ind/>
        <w:jc w:val="center"/>
      </w:pPr>
    </w:p>
    <w:p w14:paraId="47000000">
      <w:pPr>
        <w:pStyle w:val="Style_1"/>
        <w:ind/>
        <w:jc w:val="center"/>
      </w:pPr>
    </w:p>
    <w:p w14:paraId="48000000">
      <w:pPr>
        <w:pStyle w:val="Style_1"/>
        <w:ind/>
        <w:jc w:val="center"/>
      </w:pPr>
    </w:p>
    <w:p w14:paraId="49000000">
      <w:pPr>
        <w:pStyle w:val="Style_1"/>
        <w:ind/>
        <w:jc w:val="center"/>
      </w:pPr>
    </w:p>
    <w:p w14:paraId="4A000000">
      <w:pPr>
        <w:pStyle w:val="Style_1"/>
        <w:ind/>
        <w:jc w:val="center"/>
      </w:pPr>
      <w:r>
        <w:rPr>
          <w:rFonts w:ascii="Times New Roman" w:hAnsi="Times New Roman"/>
          <w:b w:val="1"/>
          <w:sz w:val="28"/>
        </w:rPr>
        <w:t>Файл “</w:t>
      </w:r>
      <w:r>
        <w:rPr>
          <w:rFonts w:ascii="Times New Roman" w:hAnsi="Times New Roman"/>
          <w:b w:val="1"/>
          <w:sz w:val="28"/>
        </w:rPr>
        <w:t>11 Сетевой анализ”</w:t>
      </w:r>
    </w:p>
    <w:p w14:paraId="4B000000">
      <w:pPr>
        <w:pStyle w:val="Style_1"/>
      </w:pPr>
      <w:r>
        <w:drawing>
          <wp:inline>
            <wp:extent cx="5731510" cy="5082882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731510" cy="50828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pStyle w:val="Style_1"/>
      </w:pPr>
    </w:p>
    <w:sectPr>
      <w:footerReference r:id="rId1" w:type="default"/>
      <w:pgSz w:h="16838" w:orient="portrait" w:w="11906"/>
      <w:pgMar w:bottom="1440" w:footer="720" w:gutter="0" w:header="720" w:left="1440" w:right="1440" w:top="144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/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4"/>
      </w:rPr>
    </w:rPrDefault>
    <w:pPrDefault>
      <w:pPr>
        <w:spacing w:after="160" w:before="0" w:line="276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3" w:type="paragraph">
    <w:name w:val="toc 2"/>
    <w:next w:val="Style_1"/>
    <w:link w:val="Style_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3_ch" w:type="character">
    <w:name w:val="toc 2"/>
    <w:link w:val="Style_3"/>
    <w:rPr>
      <w:rFonts w:ascii="XO Thames" w:hAnsi="XO Thames"/>
      <w:sz w:val="28"/>
    </w:rPr>
  </w:style>
  <w:style w:styleId="Style_4" w:type="paragraph">
    <w:name w:val="toc 4"/>
    <w:next w:val="Style_1"/>
    <w:link w:val="Style_4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4_ch" w:type="character">
    <w:name w:val="toc 4"/>
    <w:link w:val="Style_4"/>
    <w:rPr>
      <w:rFonts w:ascii="XO Thames" w:hAnsi="XO Thames"/>
      <w:sz w:val="28"/>
    </w:rPr>
  </w:style>
  <w:style w:styleId="Style_5" w:type="paragraph">
    <w:name w:val="toc 6"/>
    <w:next w:val="Style_1"/>
    <w:link w:val="Style_5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5_ch" w:type="character">
    <w:name w:val="toc 6"/>
    <w:link w:val="Style_5"/>
    <w:rPr>
      <w:rFonts w:ascii="XO Thames" w:hAnsi="XO Thames"/>
      <w:sz w:val="28"/>
    </w:rPr>
  </w:style>
  <w:style w:styleId="Style_6" w:type="paragraph">
    <w:name w:val="toc 7"/>
    <w:next w:val="Style_1"/>
    <w:link w:val="Style_6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6_ch" w:type="character">
    <w:name w:val="toc 7"/>
    <w:link w:val="Style_6"/>
    <w:rPr>
      <w:rFonts w:ascii="XO Thames" w:hAnsi="XO Thames"/>
      <w:sz w:val="28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2" w:type="paragraph">
    <w:name w:val="Hyperlink"/>
    <w:link w:val="Style_2_ch"/>
    <w:rPr>
      <w:color w:val="0000FF"/>
      <w:u w:val="single"/>
    </w:rPr>
  </w:style>
  <w:style w:styleId="Style_2_ch" w:type="character">
    <w:name w:val="Hyperlink"/>
    <w:link w:val="Style_2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Default Paragraph Font"/>
    <w:link w:val="Style_15_ch"/>
  </w:style>
  <w:style w:styleId="Style_15_ch" w:type="character">
    <w:name w:val="Default Paragraph Font"/>
    <w:link w:val="Style_15"/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1" w:type="paragraph">
    <w:name w:val="heading 2"/>
    <w:next w:val="Style_1"/>
    <w:link w:val="Style_2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1_ch" w:type="character">
    <w:name w:val="heading 2"/>
    <w:link w:val="Style_21"/>
    <w:rPr>
      <w:rFonts w:ascii="XO Thames" w:hAnsi="XO Thames"/>
      <w:b w:val="1"/>
      <w:sz w:val="28"/>
    </w:rPr>
  </w:style>
  <w:style w:default="1" w:styleId="Style_22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webSettings.xml" Type="http://schemas.openxmlformats.org/officeDocument/2006/relationships/webSettings"/>
  <Relationship Id="rId11" Target="styles.xml" Type="http://schemas.openxmlformats.org/officeDocument/2006/relationships/styles"/>
  <Relationship Id="rId10" Target="settings.xml" Type="http://schemas.openxmlformats.org/officeDocument/2006/relationships/settings"/>
  <Relationship Id="rId15" Target="numbering.xml" Type="http://schemas.openxmlformats.org/officeDocument/2006/relationships/numbering"/>
  <Relationship Id="rId9" Target="fontTable.xml" Type="http://schemas.openxmlformats.org/officeDocument/2006/relationships/fontTable"/>
  <Relationship Id="rId8" Target="media/7.png" Type="http://schemas.openxmlformats.org/officeDocument/2006/relationships/image"/>
  <Relationship Id="rId7" Target="media/6.png" Type="http://schemas.openxmlformats.org/officeDocument/2006/relationships/image"/>
  <Relationship Id="rId14" Target="theme/theme1.xml" Type="http://schemas.openxmlformats.org/officeDocument/2006/relationships/theme"/>
  <Relationship Id="rId6" Target="media/5.png" Type="http://schemas.openxmlformats.org/officeDocument/2006/relationships/image"/>
  <Relationship Id="rId5" Target="media/4.png" Type="http://schemas.openxmlformats.org/officeDocument/2006/relationships/image"/>
  <Relationship Id="rId4" Target="media/3.png" Type="http://schemas.openxmlformats.org/officeDocument/2006/relationships/image"/>
  <Relationship Id="rId12" Target="stylesWithEffects.xml" Type="http://schemas.microsoft.com/office/2007/relationships/stylesWithEffects"/>
  <Relationship Id="rId3" Target="media/2.png" Type="http://schemas.openxmlformats.org/officeDocument/2006/relationships/image"/>
  <Relationship Id="rId2" Target="media/1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</a:majorFont>
      <a:minorFont>
        <a:latin typeface="Apto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2024-05-02T14:29:56Z</dcterms:modified>
</cp:coreProperties>
</file>