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rPr>
          <w:rFonts w:ascii="Arial" w:cs="Arial" w:eastAsia="Arial" w:hAnsi="Arial"/>
          <w:b/>
          <w:bCs/>
          <w:color w:val="1B2A4A"/>
          <w:sz w:val="56"/>
          <w:szCs w:val="56"/>
        </w:rPr>
        <w:t xml:space="preserve">VERNEN™</w:t>
      </w:r>
    </w:p>
    <w:p>
      <w:pPr>
        <w:spacing w:after="100"/>
        <w:jc w:val="center"/>
      </w:pPr>
      <w:r>
        <w:rPr>
          <w:rFonts w:ascii="Arial" w:cs="Arial" w:eastAsia="Arial" w:hAnsi="Arial"/>
          <w:color w:val="1B2A4A"/>
          <w:sz w:val="22"/>
          <w:szCs w:val="22"/>
        </w:rPr>
        <w:t xml:space="preserve">________________________________________</w:t>
      </w:r>
    </w:p>
    <w:p>
      <w:pPr>
        <w:spacing w:after="200"/>
        <w:jc w:val="center"/>
      </w:pPr>
      <w:r>
        <w:rPr>
          <w:rFonts w:ascii="Arial" w:cs="Arial" w:eastAsia="Arial" w:hAnsi="Arial"/>
          <w:b/>
          <w:bCs/>
          <w:color w:val="1B2A4A"/>
          <w:sz w:val="36"/>
          <w:szCs w:val="36"/>
        </w:rPr>
        <w:t xml:space="preserve">DECLARATION OF AUTHORSHIP</w:t>
      </w:r>
    </w:p>
    <w:p>
      <w:pPr>
        <w:spacing w:after="100"/>
        <w:jc w:val="center"/>
      </w:pPr>
      <w:r>
        <w:rPr>
          <w:rFonts w:ascii="Arial" w:cs="Arial" w:eastAsia="Arial" w:hAnsi="Arial"/>
          <w:color w:val="666666"/>
          <w:sz w:val="24"/>
          <w:szCs w:val="24"/>
        </w:rPr>
        <w:t xml:space="preserve">&amp;</w:t>
      </w:r>
    </w:p>
    <w:p>
      <w:pPr>
        <w:spacing w:after="300"/>
        <w:jc w:val="center"/>
      </w:pPr>
      <w:r>
        <w:rPr>
          <w:rFonts w:ascii="Arial" w:cs="Arial" w:eastAsia="Arial" w:hAnsi="Arial"/>
          <w:b/>
          <w:bCs/>
          <w:color w:val="1B2A4A"/>
          <w:sz w:val="36"/>
          <w:szCs w:val="36"/>
        </w:rPr>
        <w:t xml:space="preserve">INTELLECTUAL PROPERTY MANIFEST</w:t>
      </w:r>
    </w:p>
    <w:p>
      <w:pPr>
        <w:spacing w:after="80"/>
        <w:jc w:val="center"/>
      </w:pPr>
      <w:r>
        <w:rPr>
          <w:rFonts w:ascii="Arial" w:cs="Arial" w:eastAsia="Arial" w:hAnsi="Arial"/>
          <w:i/>
          <w:iCs/>
          <w:color w:val="444444"/>
          <w:sz w:val="22"/>
          <w:szCs w:val="22"/>
        </w:rPr>
        <w:t xml:space="preserve">An Integrated AI-Assisted Legal Analysis &amp; Compliance Audit Platform</w:t>
      </w:r>
    </w:p>
    <w:p>
      <w:pPr>
        <w:spacing w:before="500"/>
        <w:jc w:val="center"/>
      </w:pPr>
      <w:r>
        <w:rPr>
          <w:rFonts w:ascii="Arial" w:cs="Arial" w:eastAsia="Arial" w:hAnsi="Arial"/>
          <w:b/>
          <w:bCs/>
          <w:sz w:val="24"/>
          <w:szCs w:val="24"/>
        </w:rPr>
        <w:t xml:space="preserve">Author &amp; Sole Creator:</w:t>
      </w:r>
    </w:p>
    <w:p>
      <w:pPr>
        <w:spacing w:after="100"/>
        <w:jc w:val="center"/>
      </w:pPr>
      <w:r>
        <w:rPr>
          <w:rFonts w:ascii="Arial" w:cs="Arial" w:eastAsia="Arial" w:hAnsi="Arial"/>
          <w:b/>
          <w:bCs/>
          <w:color w:val="1B2A4A"/>
          <w:sz w:val="28"/>
          <w:szCs w:val="28"/>
        </w:rPr>
        <w:t xml:space="preserve">Michael Vernen Thomas Hartmann</w:t>
      </w:r>
    </w:p>
    <w:p>
      <w:pPr>
        <w:spacing w:before="400"/>
        <w:jc w:val="center"/>
      </w:pPr>
      <w:r>
        <w:rPr>
          <w:rFonts w:ascii="Arial" w:cs="Arial" w:eastAsia="Arial" w:hAnsi="Arial"/>
          <w:sz w:val="22"/>
          <w:szCs w:val="22"/>
        </w:rPr>
        <w:t xml:space="preserve">Date of Declaration: February 2, 2026</w:t>
      </w:r>
    </w:p>
    <w:p>
      <w:pPr>
        <w:jc w:val="center"/>
      </w:pPr>
      <w:r>
        <w:rPr>
          <w:rFonts w:ascii="Arial" w:cs="Arial" w:eastAsia="Arial" w:hAnsi="Arial"/>
          <w:sz w:val="22"/>
          <w:szCs w:val="22"/>
        </w:rPr>
        <w:t xml:space="preserve">Development Period: November 2024 – February 2026</w:t>
      </w:r>
    </w:p>
    <w:p>
      <w:pPr>
        <w:spacing w:before="600"/>
        <w:jc w:val="center"/>
      </w:pPr>
      <w:r>
        <w:rPr>
          <w:rFonts w:ascii="Arial" w:cs="Arial" w:eastAsia="Arial" w:hAnsi="Arial"/>
          <w:b/>
          <w:bCs/>
          <w:sz w:val="22"/>
          <w:szCs w:val="22"/>
        </w:rPr>
        <w:t xml:space="preserve">© 2024–2026 Michael Vernen Thomas Hartmann. All Rights Reserved.</w:t>
      </w:r>
    </w:p>
    <w:p>
      <w:pPr>
        <w:spacing w:before="80"/>
        <w:jc w:val="center"/>
      </w:pPr>
      <w:r>
        <w:rPr>
          <w:rFonts w:ascii="Arial" w:cs="Arial" w:eastAsia="Arial" w:hAnsi="Arial"/>
          <w:i/>
          <w:iCs/>
          <w:color w:val="555555"/>
          <w:sz w:val="20"/>
          <w:szCs w:val="20"/>
        </w:rPr>
        <w:t xml:space="preserve">VERNEN is a trademark of Michael Vernen Thomas Hartmann.</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b/>
          <w:bCs/>
          <w:sz w:val="32"/>
          <w:szCs w:val="32"/>
        </w:rPr>
        <w:t xml:space="preserve">1. DECLARATION OF SOLE AUTHORSHIP</w:t>
      </w:r>
    </w:p>
    <w:p>
      <w:pPr>
        <w:spacing w:after="120"/>
        <w:jc w:val="left"/>
      </w:pPr>
      <w:r>
        <w:rPr>
          <w:rFonts w:ascii="Arial" w:cs="Arial" w:eastAsia="Arial" w:hAnsi="Arial"/>
          <w:sz w:val="22"/>
          <w:szCs w:val="22"/>
        </w:rPr>
        <w:t xml:space="preserve">I, Michael Vernen Thomas Hartmann, hereby declare that I am the sole author, creator, designer, and developer of VERNEN™, the integrated legal analysis and compliance audit platform described in this manifest. This work was conceived, designed, directed, and iteratively developed by me over the period from November 2024 through February 2026.</w:t>
      </w:r>
    </w:p>
    <w:p>
      <w:pPr>
        <w:spacing w:after="120"/>
        <w:jc w:val="left"/>
      </w:pPr>
      <w:r>
        <w:rPr>
          <w:rFonts w:ascii="Arial" w:cs="Arial" w:eastAsia="Arial" w:hAnsi="Arial"/>
          <w:sz w:val="22"/>
          <w:szCs w:val="22"/>
        </w:rPr>
        <w:t xml:space="preserve">VERNEN™ was built using Anthropic’s Claude AI as the development environment, operating within the Claude.ai consumer interface with custom skill creation, MCP (Model Context Protocol) server integration, and project-based workflow architecture. While Claude served as the tool through which these components were created, all conceptual design, architectural decisions, skill specifications, audit methodologies, domain expertise, and iterative refinement were directed and controlled exclusively by me.</w:t>
      </w:r>
    </w:p>
    <w:p>
      <w:pPr>
        <w:spacing w:after="120"/>
        <w:jc w:val="left"/>
      </w:pPr>
      <w:r>
        <w:rPr>
          <w:rFonts w:ascii="Arial" w:cs="Arial" w:eastAsia="Arial" w:hAnsi="Arial"/>
          <w:sz w:val="22"/>
          <w:szCs w:val="22"/>
        </w:rPr>
        <w:t xml:space="preserve">No other individual contributed to the design, development, testing, or refinement of any component described herein.</w:t>
      </w:r>
    </w:p>
    <w:p>
      <w:pPr>
        <w:pStyle w:val="Heading1"/>
        <w:spacing w:before="300" w:after="150"/>
      </w:pPr>
      <w:r>
        <w:rPr>
          <w:rFonts w:ascii="Arial" w:cs="Arial" w:eastAsia="Arial" w:hAnsi="Arial"/>
          <w:b/>
          <w:bCs/>
          <w:sz w:val="32"/>
          <w:szCs w:val="32"/>
        </w:rPr>
        <w:t xml:space="preserve">2. SCOPE OF ORIGINAL WORK</w:t>
      </w:r>
    </w:p>
    <w:p>
      <w:pPr>
        <w:spacing w:after="120"/>
        <w:jc w:val="left"/>
      </w:pPr>
      <w:r>
        <w:rPr>
          <w:rFonts w:ascii="Arial" w:cs="Arial" w:eastAsia="Arial" w:hAnsi="Arial"/>
          <w:sz w:val="22"/>
          <w:szCs w:val="22"/>
        </w:rPr>
        <w:t xml:space="preserve">VERNEN™ comprises three integrated layers of original intellectual property:</w:t>
      </w:r>
    </w:p>
    <w:p>
      <w:pPr>
        <w:pStyle w:val="Heading2"/>
        <w:spacing w:before="300" w:after="150"/>
      </w:pPr>
      <w:r>
        <w:rPr>
          <w:rFonts w:ascii="Arial" w:cs="Arial" w:eastAsia="Arial" w:hAnsi="Arial"/>
          <w:b/>
          <w:bCs/>
          <w:sz w:val="26"/>
          <w:szCs w:val="26"/>
        </w:rPr>
        <w:t xml:space="preserve">2.1 Domain-Specific Compliance Audit Skills (14 Skills)</w:t>
      </w:r>
    </w:p>
    <w:p>
      <w:pPr>
        <w:spacing w:after="120"/>
        <w:jc w:val="left"/>
      </w:pPr>
      <w:r>
        <w:rPr>
          <w:rFonts w:ascii="Arial" w:cs="Arial" w:eastAsia="Arial" w:hAnsi="Arial"/>
          <w:sz w:val="22"/>
          <w:szCs w:val="22"/>
        </w:rPr>
        <w:t xml:space="preserve">Each skill below is an original, purpose-built audit framework containing governing standards identification, compliance checklists, procedural violation detection criteria, and standardized output protocols. These were designed from direct experience navigating the legal, regulatory, and institutional systems they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Skill Name</w:t>
            </w:r>
          </w:p>
        </w:tc>
        <w:tc>
          <w:tcPr>
            <w:tcW w:type="dxa" w:w="35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0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Governing Standards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 POST Law Enforcement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law enforcement conduct issues against California POST standards and statutory duties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 POST Regulations (CCR Title 11), Penal Code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FBI/Federal Law Enforcement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FBI and federal law enforcement conduct issues against DOJ policies and federal standards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DOJ Policies, 28 CFR, FBI DIOG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Constitutional &amp; Civil Rights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potential constitutional and federal civil rights violations by government/state actors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 USC §1983, 42 USC §1985, 18 USC §241-242, 1st-14th Amendments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California CPS/Child Welfare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CPS conduct and determination issues against California WIC and CDSS standards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WIC §300 et seq., CDSS Manual, CCR Title 22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FCS Child Custody Recommending Counselor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Family Court Services mediator/counselor conduct issues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CRC 5.210, 5.215, 5.220, 5.225, Family Code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California Court Order Compliance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court order deficiencies against CRC, CCP, Family Code, Judicial Council forms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CRC, CCP, Family Code, Judicial Council Requirements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State Bar of California Attorney Conduct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attorney ethical violations against California Rules of Professional Conduct</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 Rules of Professional Conduct, BPC §6068</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ABPN Psychiatry &amp; Neurology Standards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psychiatrist/neurologist conduct issues against professional standards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ABPN Standards, APA Ethics, CA Medical Board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California State Agency Correspondence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state agency correspondence deficiencies against SAM, Plain Language, accessibility</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State Administrative Manual, Plain Language Act, ADA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FCRA/ChexSystems Consumer Report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FCRA and California CCRAA violations in consumer reports and disputes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 USC §1681 (FCRA), CA Civil Code §1785 (CCRAA)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SSA/DDS Disability Determination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disability determination deficiencies against federal standards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 CFR, POMS, HALLEX</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Marsy’s Law Victim Rights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Marsy’s Law and CA victim rights violations in DA/court proceedings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 Constitution Art. I §28, Penal Code §679 et seq.</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California Labor &amp; Employment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CA Labor Code, NLRA, and union-related violations in employment documents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 Labor Code, NLRA (29 USC §151), ERISA, OSHA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USMC Military Standards Audit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Flags USMC personnel conduct issues against UCMJ and Marine Corps regulations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UCMJ, Marine Corps Manual, SECNAVINST</w:t>
            </w:r>
          </w:p>
        </w:tc>
      </w:tr>
    </w:tbl>
    <w:p>
      <w:r>
        <w:br w:type="page"/>
      </w:r>
    </w:p>
    <w:p>
      <w:pPr>
        <w:pStyle w:val="Heading2"/>
        <w:spacing w:before="300" w:after="150"/>
      </w:pPr>
      <w:r>
        <w:rPr>
          <w:rFonts w:ascii="Arial" w:cs="Arial" w:eastAsia="Arial" w:hAnsi="Arial"/>
          <w:b/>
          <w:bCs/>
          <w:sz w:val="26"/>
          <w:szCs w:val="26"/>
        </w:rPr>
        <w:t xml:space="preserve">2.2 Framework &amp; Infrastructure Skills (7 Skills)</w:t>
      </w:r>
    </w:p>
    <w:p>
      <w:pPr>
        <w:spacing w:after="120"/>
        <w:jc w:val="left"/>
      </w:pPr>
      <w:r>
        <w:rPr>
          <w:rFonts w:ascii="Arial" w:cs="Arial" w:eastAsia="Arial" w:hAnsi="Arial"/>
          <w:sz w:val="22"/>
          <w:szCs w:val="22"/>
        </w:rPr>
        <w:t xml:space="preserve">These skills constitute the operational backbone of the platform — controlling how documents are ingested, analyzed, verified, formatted, and maintained across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Skill Name</w:t>
            </w:r>
          </w:p>
        </w:tc>
        <w:tc>
          <w:tcPr>
            <w:tcW w:type="dxa" w:w="3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System Role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Master Project Intake Audit &amp; Triage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Mandatory first-trigger skill mapping all entities, document types, governing standards, and execution sequence before any analysis begins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Orchestration &amp; Sequencing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Legal Bias &amp; Fraud Auditor</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Identifies Legal Standard of Creation (S.o.C.) and flags one-sided bias, non-compliance, or potential fraud deviating from that standard</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 Analytical Engine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Automated Structuring Input Refiner</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Processes, structures, and refines user inputs into standardized auditable formats for legal/technical precision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Input Processing &amp; Standardization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Cross-Verifying AI Outputs for Best Results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Multi-source verification and compliance checks on all generated content for factual accuracy, logical consistency, and S.o.C. adherence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Quality Assurance &amp; Verification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California Code Citation Validator</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Validates California statutory citations for accuracy, proper formatting, and legal precision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Citation Integrity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Executive Style Enforcer</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Enforces mandatory Executive Communication Standards: tone, conciseness, required headings, data-first structure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Output Formatting &amp; Standards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Project Context &amp; Guardrails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Establishes and maintains project context across conversations while enforcing operational guardrails for legal compliance, ethical boundaries, scope management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Session Continuity &amp; Compliance</w:t>
            </w:r>
          </w:p>
        </w:tc>
      </w:tr>
    </w:tbl>
    <w:p>
      <w:pPr>
        <w:pStyle w:val="Heading2"/>
        <w:spacing w:before="300" w:after="150"/>
      </w:pPr>
      <w:r>
        <w:rPr>
          <w:rFonts w:ascii="Arial" w:cs="Arial" w:eastAsia="Arial" w:hAnsi="Arial"/>
          <w:b/>
          <w:bCs/>
          <w:sz w:val="26"/>
          <w:szCs w:val="26"/>
        </w:rPr>
        <w:t xml:space="preserve">2.3 Integrated Architecture &amp; Methodology</w:t>
      </w:r>
    </w:p>
    <w:p>
      <w:pPr>
        <w:spacing w:after="120"/>
        <w:jc w:val="left"/>
      </w:pPr>
      <w:r>
        <w:rPr>
          <w:rFonts w:ascii="Arial" w:cs="Arial" w:eastAsia="Arial" w:hAnsi="Arial"/>
          <w:sz w:val="22"/>
          <w:szCs w:val="22"/>
        </w:rPr>
        <w:t xml:space="preserve">Beyond the individual skills, the platform’s value lies in its integrated architecture — the way skills interact, trigger sequentially, and cross-reference verified legal sources in real time. This architecture includes:</w:t>
      </w:r>
    </w:p>
    <w:p>
      <w:pPr>
        <w:spacing w:after="120"/>
        <w:jc w:val="left"/>
      </w:pPr>
      <w:r>
        <w:rPr>
          <w:rFonts w:ascii="Arial" w:cs="Arial" w:eastAsia="Arial" w:hAnsi="Arial"/>
          <w:sz w:val="22"/>
          <w:szCs w:val="22"/>
        </w:rPr>
        <w:t xml:space="preserve">Live MCP server connections to official California legal databases (California Legislative Information for statutes, California Courts for Rules of Court, California Code of Regulations via Westlaw, and Cornell LII for United States Code), enabling real-time statutory verification against primary sources rather than reliance on training data.</w:t>
      </w:r>
    </w:p>
    <w:p>
      <w:pPr>
        <w:spacing w:after="120"/>
        <w:jc w:val="left"/>
      </w:pPr>
      <w:r>
        <w:rPr>
          <w:rFonts w:ascii="Arial" w:cs="Arial" w:eastAsia="Arial" w:hAnsi="Arial"/>
          <w:sz w:val="22"/>
          <w:szCs w:val="22"/>
        </w:rPr>
        <w:t xml:space="preserve">A mandatory intake-triage-audit-verify-output pipeline that enforces consistent analytical rigor across all document types and subject matters.</w:t>
      </w:r>
    </w:p>
    <w:p>
      <w:pPr>
        <w:spacing w:after="120"/>
        <w:jc w:val="left"/>
      </w:pPr>
      <w:r>
        <w:rPr>
          <w:rFonts w:ascii="Arial" w:cs="Arial" w:eastAsia="Arial" w:hAnsi="Arial"/>
          <w:sz w:val="22"/>
          <w:szCs w:val="22"/>
        </w:rPr>
        <w:t xml:space="preserve">The “Legal Standard of Creation” (S.o.C.) methodology — an original analytical framework requiring identification of the specific legal standard governing any document before any compliance assessment begins, ensuring all findings are traceable to verified authority.</w:t>
      </w:r>
    </w:p>
    <w:p>
      <w:pPr>
        <w:spacing w:after="120"/>
        <w:jc w:val="left"/>
      </w:pPr>
      <w:r>
        <w:rPr>
          <w:rFonts w:ascii="Arial" w:cs="Arial" w:eastAsia="Arial" w:hAnsi="Arial"/>
          <w:sz w:val="22"/>
          <w:szCs w:val="22"/>
        </w:rPr>
        <w:t xml:space="preserve">Cross-domain audit capability allowing simultaneous analysis of a single document or case against multiple regulatory frameworks (e.g., a custody proceeding audited simultaneously for Family Code compliance, CRC procedural requirements, civil rights implications, and CPS regulatory adherence).</w:t>
      </w:r>
    </w:p>
    <w:p>
      <w:pPr>
        <w:pStyle w:val="Heading1"/>
        <w:spacing w:before="300" w:after="150"/>
      </w:pPr>
      <w:r>
        <w:rPr>
          <w:rFonts w:ascii="Arial" w:cs="Arial" w:eastAsia="Arial" w:hAnsi="Arial"/>
          <w:b/>
          <w:bCs/>
          <w:sz w:val="32"/>
          <w:szCs w:val="32"/>
        </w:rPr>
        <w:t xml:space="preserve">3. COPYRIGHT NOTICE</w:t>
      </w:r>
    </w:p>
    <w:p>
      <w:pPr>
        <w:spacing w:after="120"/>
        <w:jc w:val="left"/>
      </w:pPr>
      <w:r>
        <w:rPr>
          <w:rFonts w:ascii="Arial" w:cs="Arial" w:eastAsia="Arial" w:hAnsi="Arial"/>
          <w:b/>
          <w:bCs/>
          <w:sz w:val="22"/>
          <w:szCs w:val="22"/>
        </w:rPr>
        <w:t xml:space="preserve">© 2024–2026 Michael Vernen Thomas Hartmann. All Rights Reserved.</w:t>
      </w:r>
    </w:p>
    <w:p>
      <w:pPr>
        <w:spacing w:after="120"/>
        <w:jc w:val="left"/>
      </w:pPr>
      <w:r>
        <w:rPr>
          <w:rFonts w:ascii="Arial" w:cs="Arial" w:eastAsia="Arial" w:hAnsi="Arial"/>
          <w:sz w:val="22"/>
          <w:szCs w:val="22"/>
        </w:rPr>
        <w:t xml:space="preserve">VERNEN™ is protected under United States copyright law (17 U.S.C. § 101 et seq.). Copyright attaches automatically upon creation to all original works of authorship fixed in a tangible medium of expression, including literary works, compilations, and computer programs.</w:t>
      </w:r>
    </w:p>
    <w:p>
      <w:pPr>
        <w:spacing w:after="120"/>
        <w:jc w:val="left"/>
      </w:pPr>
      <w:r>
        <w:rPr>
          <w:rFonts w:ascii="Arial" w:cs="Arial" w:eastAsia="Arial" w:hAnsi="Arial"/>
          <w:sz w:val="22"/>
          <w:szCs w:val="22"/>
        </w:rPr>
        <w:t xml:space="preserve">The following components are claimed as original copyrightable works:</w:t>
      </w:r>
    </w:p>
    <w:p>
      <w:pPr>
        <w:spacing w:after="120"/>
        <w:jc w:val="left"/>
      </w:pPr>
      <w:r>
        <w:rPr>
          <w:rFonts w:ascii="Arial" w:cs="Arial" w:eastAsia="Arial" w:hAnsi="Arial"/>
          <w:sz w:val="22"/>
          <w:szCs w:val="22"/>
        </w:rPr>
        <w:t xml:space="preserve">All 21 skill definition files (SKILL.md), including their structure, audit criteria, compliance checklists, output templates, and governing standards mappings.</w:t>
      </w:r>
    </w:p>
    <w:p>
      <w:pPr>
        <w:spacing w:after="120"/>
        <w:jc w:val="left"/>
      </w:pPr>
      <w:r>
        <w:rPr>
          <w:rFonts w:ascii="Arial" w:cs="Arial" w:eastAsia="Arial" w:hAnsi="Arial"/>
          <w:sz w:val="22"/>
          <w:szCs w:val="22"/>
        </w:rPr>
        <w:t xml:space="preserve">The integrated system architecture and skill interaction design.</w:t>
      </w:r>
    </w:p>
    <w:p>
      <w:pPr>
        <w:spacing w:after="120"/>
        <w:jc w:val="left"/>
      </w:pPr>
      <w:r>
        <w:rPr>
          <w:rFonts w:ascii="Arial" w:cs="Arial" w:eastAsia="Arial" w:hAnsi="Arial"/>
          <w:sz w:val="22"/>
          <w:szCs w:val="22"/>
        </w:rPr>
        <w:t xml:space="preserve">The Legal Standard of Creation (S.o.C.) analytical methodology.</w:t>
      </w:r>
    </w:p>
    <w:p>
      <w:pPr>
        <w:spacing w:after="120"/>
        <w:jc w:val="left"/>
      </w:pPr>
      <w:r>
        <w:rPr>
          <w:rFonts w:ascii="Arial" w:cs="Arial" w:eastAsia="Arial" w:hAnsi="Arial"/>
          <w:sz w:val="22"/>
          <w:szCs w:val="22"/>
        </w:rPr>
        <w:t xml:space="preserve">All project documentation, manifests, and descriptive materials.</w:t>
      </w:r>
    </w:p>
    <w:p>
      <w:pPr>
        <w:spacing w:after="120"/>
        <w:jc w:val="left"/>
      </w:pPr>
      <w:r>
        <w:rPr>
          <w:rFonts w:ascii="Arial" w:cs="Arial" w:eastAsia="Arial" w:hAnsi="Arial"/>
          <w:sz w:val="22"/>
          <w:szCs w:val="22"/>
        </w:rPr>
        <w:t xml:space="preserve">Registration with the United States Copyright Office is recommended to establish a public record and enable statutory damages and attorney’s fees in enforcement actions. This declaration serves as contemporaneous documentation of authorship and creation dates pending formal registration.</w:t>
      </w:r>
    </w:p>
    <w:p>
      <w:pPr>
        <w:pStyle w:val="Heading1"/>
        <w:spacing w:before="300" w:after="150"/>
      </w:pPr>
      <w:r>
        <w:rPr>
          <w:rFonts w:ascii="Arial" w:cs="Arial" w:eastAsia="Arial" w:hAnsi="Arial"/>
          <w:b/>
          <w:bCs/>
          <w:sz w:val="32"/>
          <w:szCs w:val="32"/>
        </w:rPr>
        <w:t xml:space="preserve">4. TRADEMARK NOTICE</w:t>
      </w:r>
    </w:p>
    <w:p>
      <w:pPr>
        <w:spacing w:after="120"/>
        <w:jc w:val="left"/>
      </w:pPr>
      <w:r>
        <w:rPr>
          <w:rFonts w:ascii="Arial" w:cs="Arial" w:eastAsia="Arial" w:hAnsi="Arial"/>
          <w:b/>
          <w:bCs/>
          <w:sz w:val="22"/>
          <w:szCs w:val="22"/>
        </w:rPr>
        <w:t xml:space="preserve">VERNEN™ is a trademark of Michael Vernen Thomas Hartmann.</w:t>
      </w:r>
    </w:p>
    <w:p>
      <w:pPr>
        <w:spacing w:after="120"/>
        <w:jc w:val="left"/>
      </w:pPr>
      <w:r>
        <w:rPr>
          <w:rFonts w:ascii="Arial" w:cs="Arial" w:eastAsia="Arial" w:hAnsi="Arial"/>
          <w:sz w:val="22"/>
          <w:szCs w:val="22"/>
        </w:rPr>
        <w:t xml:space="preserve">The name “VERNEN” is claimed as an unregistered trademark under common law, effective as of the date of first use in commerce: February 2, 2026. Use of the ™ designation establishes common-law trademark rights under the Lanham Act (15 U.S.C. § 1051 et seq.).</w:t>
      </w:r>
    </w:p>
    <w:p>
      <w:pPr>
        <w:spacing w:after="120"/>
        <w:jc w:val="left"/>
      </w:pPr>
      <w:r>
        <w:rPr>
          <w:rFonts w:ascii="Arial" w:cs="Arial" w:eastAsia="Arial" w:hAnsi="Arial"/>
          <w:sz w:val="22"/>
          <w:szCs w:val="22"/>
        </w:rPr>
        <w:t xml:space="preserve">Federal trademark registration with the United States Patent and Trademark Office (USPTO) is intended. Upon registration, the ™ designation will be replaced with the ® symbol.</w:t>
      </w:r>
    </w:p>
    <w:p>
      <w:pPr>
        <w:spacing w:after="120"/>
        <w:jc w:val="left"/>
      </w:pPr>
      <w:r>
        <w:rPr>
          <w:rFonts w:ascii="Arial" w:cs="Arial" w:eastAsia="Arial" w:hAnsi="Arial"/>
          <w:sz w:val="22"/>
          <w:szCs w:val="22"/>
        </w:rPr>
        <w:t xml:space="preserve">No party other than Michael Vernen Thomas Hartmann is authorized to use the name “VERNEN” or any confusingly similar name in connection with legal analysis, compliance auditing, AI-assisted legal platforms, or related goods and services.</w:t>
      </w:r>
    </w:p>
    <w:p>
      <w:pPr>
        <w:pStyle w:val="Heading1"/>
        <w:spacing w:before="300" w:after="150"/>
      </w:pPr>
      <w:r>
        <w:rPr>
          <w:rFonts w:ascii="Arial" w:cs="Arial" w:eastAsia="Arial" w:hAnsi="Arial"/>
          <w:b/>
          <w:bCs/>
          <w:sz w:val="32"/>
          <w:szCs w:val="32"/>
        </w:rPr>
        <w:t xml:space="preserve">5. RIGHTS &amp; RESTRICTIONS</w:t>
      </w:r>
    </w:p>
    <w:p>
      <w:pPr>
        <w:spacing w:after="120"/>
        <w:jc w:val="left"/>
      </w:pPr>
      <w:r>
        <w:rPr>
          <w:rFonts w:ascii="Arial" w:cs="Arial" w:eastAsia="Arial" w:hAnsi="Arial"/>
          <w:sz w:val="22"/>
          <w:szCs w:val="22"/>
        </w:rPr>
        <w:t xml:space="preserve">No part of VERNEN™ — including but not limited to skill files, methodology, architecture design, audit frameworks, or documentation — may be reproduced, distributed, modified, reverse-engineered, or used to create derivative works without the express written permission of Michael Vernen Thomas Hartmann.</w:t>
      </w:r>
    </w:p>
    <w:p>
      <w:pPr>
        <w:spacing w:after="120"/>
        <w:jc w:val="left"/>
      </w:pPr>
      <w:r>
        <w:rPr>
          <w:rFonts w:ascii="Arial" w:cs="Arial" w:eastAsia="Arial" w:hAnsi="Arial"/>
          <w:sz w:val="22"/>
          <w:szCs w:val="22"/>
        </w:rPr>
        <w:t xml:space="preserve">This restriction applies to all parties, including but not limited to: individuals, corporations, academic institutions, government agencies, and artificial intelligence companies or their employees.</w:t>
      </w:r>
    </w:p>
    <w:p>
      <w:pPr>
        <w:spacing w:after="120"/>
        <w:jc w:val="left"/>
      </w:pPr>
      <w:r>
        <w:rPr>
          <w:rFonts w:ascii="Arial" w:cs="Arial" w:eastAsia="Arial" w:hAnsi="Arial"/>
          <w:sz w:val="22"/>
          <w:szCs w:val="22"/>
        </w:rPr>
        <w:t xml:space="preserve">Any unauthorized use, reproduction, or distribution of this work may constitute copyright infringement under 17 U.S.C. § 501 and trademark infringement under 15 U.S.C. § 1114, and may be subject to civil and criminal penalties.</w:t>
      </w:r>
    </w:p>
    <w:p>
      <w:pPr>
        <w:pStyle w:val="Heading1"/>
        <w:spacing w:before="300" w:after="150"/>
      </w:pPr>
      <w:r>
        <w:rPr>
          <w:rFonts w:ascii="Arial" w:cs="Arial" w:eastAsia="Arial" w:hAnsi="Arial"/>
          <w:b/>
          <w:bCs/>
          <w:sz w:val="32"/>
          <w:szCs w:val="32"/>
        </w:rPr>
        <w:t xml:space="preserve">6. DEVELOPMENT ENVIRONMENT</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Anthropic Claude.ai (Consumer Interface)</w:t>
      </w:r>
    </w:p>
    <w:p>
      <w:pPr>
        <w:spacing w:after="100"/>
      </w:pPr>
      <w:r>
        <w:rPr>
          <w:rFonts w:ascii="Arial" w:cs="Arial" w:eastAsia="Arial" w:hAnsi="Arial"/>
          <w:b/>
          <w:bCs/>
          <w:sz w:val="22"/>
          <w:szCs w:val="22"/>
        </w:rPr>
        <w:t xml:space="preserve">AI Model: </w:t>
      </w:r>
      <w:r>
        <w:rPr>
          <w:rFonts w:ascii="Arial" w:cs="Arial" w:eastAsia="Arial" w:hAnsi="Arial"/>
          <w:sz w:val="22"/>
          <w:szCs w:val="22"/>
        </w:rPr>
        <w:t xml:space="preserve">Claude (Anthropic) — used as development tool under author direction</w:t>
      </w:r>
    </w:p>
    <w:p>
      <w:pPr>
        <w:spacing w:after="100"/>
      </w:pPr>
      <w:r>
        <w:rPr>
          <w:rFonts w:ascii="Arial" w:cs="Arial" w:eastAsia="Arial" w:hAnsi="Arial"/>
          <w:b/>
          <w:bCs/>
          <w:sz w:val="22"/>
          <w:szCs w:val="22"/>
        </w:rPr>
        <w:t xml:space="preserve">Skill Framework: </w:t>
      </w:r>
      <w:r>
        <w:rPr>
          <w:rFonts w:ascii="Arial" w:cs="Arial" w:eastAsia="Arial" w:hAnsi="Arial"/>
          <w:sz w:val="22"/>
          <w:szCs w:val="22"/>
        </w:rPr>
        <w:t xml:space="preserve">Claude.ai Custom Skills (SKILL.md format)</w:t>
      </w:r>
    </w:p>
    <w:p>
      <w:pPr>
        <w:spacing w:after="100"/>
      </w:pPr>
      <w:r>
        <w:rPr>
          <w:rFonts w:ascii="Arial" w:cs="Arial" w:eastAsia="Arial" w:hAnsi="Arial"/>
          <w:b/>
          <w:bCs/>
          <w:sz w:val="22"/>
          <w:szCs w:val="22"/>
        </w:rPr>
        <w:t xml:space="preserve">MCP Servers: </w:t>
      </w:r>
      <w:r>
        <w:rPr>
          <w:rFonts w:ascii="Arial" w:cs="Arial" w:eastAsia="Arial" w:hAnsi="Arial"/>
          <w:sz w:val="22"/>
          <w:szCs w:val="22"/>
        </w:rPr>
        <w:t xml:space="preserve">California Legislative Information, California Courts (CRC), California Code of Regulations, Cornell LII (USC), ClinicalTrials.gov, NPI Registry, ICD-10 Codes, PopHIVE Public Health Data</w:t>
      </w:r>
    </w:p>
    <w:p>
      <w:pPr>
        <w:spacing w:after="100"/>
      </w:pPr>
      <w:r>
        <w:rPr>
          <w:rFonts w:ascii="Arial" w:cs="Arial" w:eastAsia="Arial" w:hAnsi="Arial"/>
          <w:b/>
          <w:bCs/>
          <w:sz w:val="22"/>
          <w:szCs w:val="22"/>
        </w:rPr>
        <w:t xml:space="preserve">Additional Integrations: </w:t>
      </w:r>
      <w:r>
        <w:rPr>
          <w:rFonts w:ascii="Arial" w:cs="Arial" w:eastAsia="Arial" w:hAnsi="Arial"/>
          <w:sz w:val="22"/>
          <w:szCs w:val="22"/>
        </w:rPr>
        <w:t xml:space="preserve">Google Drive, Desktop Commander, PDF Viewer, PDF Tools</w:t>
      </w:r>
    </w:p>
    <w:p>
      <w:pPr>
        <w:spacing w:after="100"/>
      </w:pPr>
      <w:r>
        <w:rPr>
          <w:rFonts w:ascii="Arial" w:cs="Arial" w:eastAsia="Arial" w:hAnsi="Arial"/>
          <w:b/>
          <w:bCs/>
          <w:sz w:val="22"/>
          <w:szCs w:val="22"/>
        </w:rPr>
        <w:t xml:space="preserve">File Management: </w:t>
      </w:r>
      <w:r>
        <w:rPr>
          <w:rFonts w:ascii="Arial" w:cs="Arial" w:eastAsia="Arial" w:hAnsi="Arial"/>
          <w:sz w:val="22"/>
          <w:szCs w:val="22"/>
        </w:rPr>
        <w:t xml:space="preserve">Local device organization with structured audit folder architecture</w:t>
      </w:r>
    </w:p>
    <w:p>
      <w:r>
        <w:br w:type="page"/>
      </w:r>
    </w:p>
    <w:p>
      <w:pPr>
        <w:pStyle w:val="Heading1"/>
        <w:spacing w:before="300" w:after="150"/>
      </w:pPr>
      <w:r>
        <w:rPr>
          <w:rFonts w:ascii="Arial" w:cs="Arial" w:eastAsia="Arial" w:hAnsi="Arial"/>
          <w:b/>
          <w:bCs/>
          <w:sz w:val="32"/>
          <w:szCs w:val="32"/>
        </w:rPr>
        <w:t xml:space="preserve">7. ATTESTATION</w:t>
      </w:r>
    </w:p>
    <w:p>
      <w:pPr>
        <w:spacing w:after="120"/>
        <w:jc w:val="left"/>
      </w:pPr>
      <w:r>
        <w:rPr>
          <w:rFonts w:ascii="Arial" w:cs="Arial" w:eastAsia="Arial" w:hAnsi="Arial"/>
          <w:sz w:val="22"/>
          <w:szCs w:val="22"/>
        </w:rPr>
        <w:t xml:space="preserve">I, Michael Vernen Thomas Hartmann, attest under penalty of perjury under the laws of the State of California and the United States of America that the foregoing statements are true and correct to the best of my knowledge. I am the sole author and creator of VERNEN™ as described in this manifest.</w:t>
      </w:r>
    </w:p>
    <w:p>
      <w:pPr>
        <w:spacing w:before="600"/>
      </w:pPr>
    </w:p>
    <w:p>
      <w:r>
        <w:rPr>
          <w:rFonts w:ascii="Arial" w:cs="Arial" w:eastAsia="Arial" w:hAnsi="Arial"/>
          <w:sz w:val="22"/>
          <w:szCs w:val="22"/>
        </w:rPr>
        <w:t xml:space="preserve">________________________________________</w:t>
      </w:r>
    </w:p>
    <w:p>
      <w:pPr>
        <w:spacing w:after="100"/>
      </w:pPr>
      <w:r>
        <w:rPr>
          <w:rFonts w:ascii="Arial" w:cs="Arial" w:eastAsia="Arial" w:hAnsi="Arial"/>
          <w:b/>
          <w:bCs/>
          <w:sz w:val="22"/>
          <w:szCs w:val="22"/>
        </w:rPr>
        <w:t xml:space="preserve">Signature: </w:t>
      </w:r>
      <w:r>
        <w:rPr>
          <w:rFonts w:ascii="Arial" w:cs="Arial" w:eastAsia="Arial" w:hAnsi="Arial"/>
          <w:sz w:val="22"/>
          <w:szCs w:val="22"/>
        </w:rPr>
        <w:t xml:space="preserve">Michael Vernen Thomas Hartmann</w:t>
      </w:r>
    </w:p>
    <w:p>
      <w:pPr>
        <w:spacing w:before="200"/>
      </w:pPr>
    </w:p>
    <w:p>
      <w:pPr>
        <w:spacing w:after="100"/>
      </w:pPr>
      <w:r>
        <w:rPr>
          <w:rFonts w:ascii="Arial" w:cs="Arial" w:eastAsia="Arial" w:hAnsi="Arial"/>
          <w:b/>
          <w:bCs/>
          <w:sz w:val="22"/>
          <w:szCs w:val="22"/>
        </w:rPr>
        <w:t xml:space="preserve">Date: </w:t>
      </w:r>
      <w:r>
        <w:rPr>
          <w:rFonts w:ascii="Arial" w:cs="Arial" w:eastAsia="Arial" w:hAnsi="Arial"/>
          <w:sz w:val="22"/>
          <w:szCs w:val="22"/>
        </w:rPr>
        <w:t xml:space="preserve">______________________</w:t>
      </w:r>
    </w:p>
    <w:p>
      <w:pPr>
        <w:spacing w:before="200"/>
      </w:pPr>
    </w:p>
    <w:p>
      <w:pPr>
        <w:spacing w:after="100"/>
      </w:pPr>
      <w:r>
        <w:rPr>
          <w:rFonts w:ascii="Arial" w:cs="Arial" w:eastAsia="Arial" w:hAnsi="Arial"/>
          <w:b/>
          <w:bCs/>
          <w:sz w:val="22"/>
          <w:szCs w:val="22"/>
        </w:rPr>
        <w:t xml:space="preserve">Location: </w:t>
      </w:r>
      <w:r>
        <w:rPr>
          <w:rFonts w:ascii="Arial" w:cs="Arial" w:eastAsia="Arial" w:hAnsi="Arial"/>
          <w:sz w:val="22"/>
          <w:szCs w:val="22"/>
        </w:rPr>
        <w:t xml:space="preserve">Solano County, California</w:t>
      </w:r>
    </w:p>
    <w:p>
      <w:pPr>
        <w:spacing w:before="800"/>
      </w:pPr>
    </w:p>
    <w:p>
      <w:pPr>
        <w:jc w:val="center"/>
      </w:pPr>
      <w:r>
        <w:rPr>
          <w:rFonts w:ascii="Arial" w:cs="Arial" w:eastAsia="Arial" w:hAnsi="Arial"/>
          <w:b/>
          <w:bCs/>
          <w:color w:val="1B2A4A"/>
          <w:sz w:val="22"/>
          <w:szCs w:val="22"/>
        </w:rPr>
        <w:t xml:space="preserve">— END OF VERNEN™ MANIFEST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VERNEN™ — © 2024–2026 Michael Vernen Thomas Hartmann — All Rights Reserved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2C3E6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529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2026-02-03T05:31:16.354Z</dcterms:created>
  <dcterms:modified xsi:type="dcterms:W3CDTF">2026-02-03T05:31:16.355Z</dcterms:modified>
</cp:coreProperties>
</file>

<file path=docProps/custom.xml><?xml version="1.0" encoding="utf-8"?>
<Properties xmlns="http://schemas.openxmlformats.org/officeDocument/2006/custom-properties" xmlns:vt="http://schemas.openxmlformats.org/officeDocument/2006/docPropsVTypes"/>
</file>