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8"/>
          <w:szCs w:val="48"/>
        </w:rPr>
        <w:t xml:space="preserve">CALIFORNIA LEGAL ANALYSIS TOOLKIT</w:t>
      </w:r>
    </w:p>
    <w:p>
      <w:pPr>
        <w:spacing w:after="100"/>
        <w:jc w:val="center"/>
      </w:pPr>
      <w:r>
        <w:rPr>
          <w:rFonts w:ascii="Arial" w:cs="Arial" w:eastAsia="Arial" w:hAnsi="Arial"/>
          <w:color w:val="2C4A7C"/>
          <w:sz w:val="32"/>
          <w:szCs w:val="32"/>
        </w:rPr>
        <w:t xml:space="preserve">Project Scope &amp; Product Roadmap</w:t>
      </w:r>
    </w:p>
    <w:p>
      <w:pPr>
        <w:spacing w:after="600"/>
        <w:jc w:val="center"/>
      </w:pPr>
      <w:r>
        <w:rPr>
          <w:rFonts w:ascii="Arial" w:cs="Arial" w:eastAsia="Arial" w:hAnsi="Arial"/>
          <w:color w:val="666666"/>
          <w:sz w:val="22"/>
          <w:szCs w:val="22"/>
        </w:rPr>
        <w:t xml:space="preserve">Version 1.0  |  February 2, 2026</w:t>
      </w:r>
    </w:p>
    <w:p>
      <w:pPr>
        <w:spacing w:after="100"/>
        <w:jc w:val="center"/>
      </w:pPr>
      <w:r>
        <w:rPr>
          <w:rFonts w:ascii="Arial" w:cs="Arial" w:eastAsia="Arial" w:hAnsi="Arial"/>
          <w:b/>
          <w:bCs/>
          <w:color w:val="CC0000"/>
          <w:sz w:val="24"/>
          <w:szCs w:val="24"/>
        </w:rPr>
        <w:t xml:space="preserve">CONFIDENTIAL</w:t>
      </w:r>
    </w:p>
    <w:p>
      <w:pPr>
        <w:spacing w:after="2000"/>
        <w:jc w:val="center"/>
      </w:pPr>
      <w:r>
        <w:rPr>
          <w:rFonts w:ascii="Arial" w:cs="Arial" w:eastAsia="Arial" w:hAnsi="Arial"/>
          <w:i/>
          <w:iCs/>
          <w:color w:val="666666"/>
          <w:sz w:val="20"/>
          <w:szCs w:val="20"/>
        </w:rPr>
        <w:t xml:space="preserve">Architecture Documentation, Gap Analysis, Enhancement Plan &amp; Distribution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Technical Architecture &amp; Product Scope</w:t>
            </w:r>
          </w:p>
        </w:tc>
      </w:tr>
      <w:tr>
        <w:tc>
          <w:tcPr>
            <w:tcW w:type="dxa" w:w="31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Confidential - Business Proprietary</w:t>
            </w:r>
          </w:p>
        </w:tc>
      </w:tr>
      <w:tr>
        <w:tc>
          <w:tcPr>
            <w:tcW w:type="dxa" w:w="31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Claude AI / Anthropic Platform</w:t>
            </w:r>
          </w:p>
        </w:tc>
      </w:tr>
      <w:tr>
        <w:tc>
          <w:tcPr>
            <w:tcW w:type="dxa" w:w="312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Prepared For</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 (Project Owner)</w:t>
            </w:r>
          </w:p>
        </w:tc>
      </w:tr>
    </w:tbl>
    <w:p>
      <w:r>
        <w:br w:type="page"/>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TABLE OF CONTENTS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PART I:     CURRENT ARCHITECTURE INVENTORY</w:t>
      </w:r>
    </w:p>
    <w:p>
      <w:pPr>
        <w:spacing w:after="120"/>
      </w:pPr>
      <w:r>
        <w:rPr>
          <w:rFonts w:ascii="Arial" w:cs="Arial" w:eastAsia="Arial" w:hAnsi="Arial"/>
          <w:sz w:val="22"/>
          <w:szCs w:val="22"/>
        </w:rPr>
        <w:t xml:space="preserve">            1.1  MCP Server Connections (Live Data Sources)</w:t>
      </w:r>
    </w:p>
    <w:p>
      <w:pPr>
        <w:spacing w:after="120"/>
      </w:pPr>
      <w:r>
        <w:rPr>
          <w:rFonts w:ascii="Arial" w:cs="Arial" w:eastAsia="Arial" w:hAnsi="Arial"/>
          <w:sz w:val="22"/>
          <w:szCs w:val="22"/>
        </w:rPr>
        <w:t xml:space="preserve">            1.2  User Skill Set (Audit Frameworks)</w:t>
      </w:r>
    </w:p>
    <w:p>
      <w:pPr>
        <w:spacing w:after="120"/>
      </w:pPr>
      <w:r>
        <w:rPr>
          <w:rFonts w:ascii="Arial" w:cs="Arial" w:eastAsia="Arial" w:hAnsi="Arial"/>
          <w:sz w:val="22"/>
          <w:szCs w:val="22"/>
        </w:rPr>
        <w:t xml:space="preserve">            1.3  Infrastructure Skills (Processing Layer)</w:t>
      </w:r>
    </w:p>
    <w:p>
      <w:pPr>
        <w:spacing w:after="120"/>
      </w:pPr>
      <w:r>
        <w:rPr>
          <w:rFonts w:ascii="Arial" w:cs="Arial" w:eastAsia="Arial" w:hAnsi="Arial"/>
          <w:sz w:val="22"/>
          <w:szCs w:val="22"/>
        </w:rPr>
        <w:t xml:space="preserve">            1.4  Platform Tools (Built-in Capabilities)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PART II:    GAP ANALYSIS &amp; ENHANCEMENTS</w:t>
      </w:r>
    </w:p>
    <w:p>
      <w:pPr>
        <w:spacing w:after="120"/>
      </w:pPr>
      <w:r>
        <w:rPr>
          <w:rFonts w:ascii="Arial" w:cs="Arial" w:eastAsia="Arial" w:hAnsi="Arial"/>
          <w:sz w:val="22"/>
          <w:szCs w:val="22"/>
        </w:rPr>
        <w:t xml:space="preserve">            2.1  Priority 1: CourtListener Case Law MCP</w:t>
      </w:r>
    </w:p>
    <w:p>
      <w:pPr>
        <w:spacing w:after="120"/>
      </w:pPr>
      <w:r>
        <w:rPr>
          <w:rFonts w:ascii="Arial" w:cs="Arial" w:eastAsia="Arial" w:hAnsi="Arial"/>
          <w:sz w:val="22"/>
          <w:szCs w:val="22"/>
        </w:rPr>
        <w:t xml:space="preserve">            2.2  Priority 2: Judicial Council Forms Skill</w:t>
      </w:r>
    </w:p>
    <w:p>
      <w:pPr>
        <w:spacing w:after="120"/>
      </w:pPr>
      <w:r>
        <w:rPr>
          <w:rFonts w:ascii="Arial" w:cs="Arial" w:eastAsia="Arial" w:hAnsi="Arial"/>
          <w:sz w:val="22"/>
          <w:szCs w:val="22"/>
        </w:rPr>
        <w:t xml:space="preserve">            2.3  Priority 3: Filing Deadline Calculator</w:t>
      </w:r>
    </w:p>
    <w:p>
      <w:pPr>
        <w:spacing w:after="120"/>
      </w:pPr>
      <w:r>
        <w:rPr>
          <w:rFonts w:ascii="Arial" w:cs="Arial" w:eastAsia="Arial" w:hAnsi="Arial"/>
          <w:sz w:val="22"/>
          <w:szCs w:val="22"/>
        </w:rPr>
        <w:t xml:space="preserve">            2.4  Priority 4: Entity Relationship Mapper</w:t>
      </w:r>
    </w:p>
    <w:p>
      <w:pPr>
        <w:spacing w:after="120"/>
      </w:pPr>
      <w:r>
        <w:rPr>
          <w:rFonts w:ascii="Arial" w:cs="Arial" w:eastAsia="Arial" w:hAnsi="Arial"/>
          <w:sz w:val="22"/>
          <w:szCs w:val="22"/>
        </w:rPr>
        <w:t xml:space="preserve">            2.5  Priority 5: Evidence Provenance Tracker</w:t>
      </w:r>
    </w:p>
    <w:p>
      <w:pPr>
        <w:spacing w:after="120"/>
      </w:pPr>
      <w:r>
        <w:rPr>
          <w:rFonts w:ascii="Arial" w:cs="Arial" w:eastAsia="Arial" w:hAnsi="Arial"/>
          <w:sz w:val="22"/>
          <w:szCs w:val="22"/>
        </w:rPr>
        <w:t xml:space="preserve">            2.6  Priority 6: Citation Formatter (Cal. Style Manual)</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PART III:   DISTRIBUTABLE PRODUCT STRATEGY</w:t>
      </w:r>
    </w:p>
    <w:p>
      <w:pPr>
        <w:spacing w:after="120"/>
      </w:pPr>
      <w:r>
        <w:rPr>
          <w:rFonts w:ascii="Arial" w:cs="Arial" w:eastAsia="Arial" w:hAnsi="Arial"/>
          <w:sz w:val="22"/>
          <w:szCs w:val="22"/>
        </w:rPr>
        <w:t xml:space="preserve">            3.1  Market Analysis</w:t>
      </w:r>
    </w:p>
    <w:p>
      <w:pPr>
        <w:spacing w:after="120"/>
      </w:pPr>
      <w:r>
        <w:rPr>
          <w:rFonts w:ascii="Arial" w:cs="Arial" w:eastAsia="Arial" w:hAnsi="Arial"/>
          <w:sz w:val="22"/>
          <w:szCs w:val="22"/>
        </w:rPr>
        <w:t xml:space="preserve">            3.2  Product Tiers</w:t>
      </w:r>
    </w:p>
    <w:p>
      <w:pPr>
        <w:spacing w:after="120"/>
      </w:pPr>
      <w:r>
        <w:rPr>
          <w:rFonts w:ascii="Arial" w:cs="Arial" w:eastAsia="Arial" w:hAnsi="Arial"/>
          <w:sz w:val="22"/>
          <w:szCs w:val="22"/>
        </w:rPr>
        <w:t xml:space="preserve">            3.3  Distribution Channels</w:t>
      </w:r>
    </w:p>
    <w:p>
      <w:pPr>
        <w:spacing w:after="120"/>
      </w:pPr>
      <w:r>
        <w:rPr>
          <w:rFonts w:ascii="Arial" w:cs="Arial" w:eastAsia="Arial" w:hAnsi="Arial"/>
          <w:sz w:val="22"/>
          <w:szCs w:val="22"/>
        </w:rPr>
        <w:t xml:space="preserve">            3.4  Revenue Model Options</w:t>
      </w:r>
    </w:p>
    <w:p>
      <w:pPr>
        <w:spacing w:after="120"/>
      </w:pPr>
      <w:r>
        <w:rPr>
          <w:rFonts w:ascii="Arial" w:cs="Arial" w:eastAsia="Arial" w:hAnsi="Arial"/>
          <w:sz w:val="22"/>
          <w:szCs w:val="22"/>
        </w:rPr>
        <w:t xml:space="preserve">            3.5  Legal &amp; Ethical Considerations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PART IV:    IMPLEMENTATION ROADMAP</w:t>
      </w:r>
    </w:p>
    <w:p>
      <w:pPr>
        <w:spacing w:after="120"/>
      </w:pPr>
      <w:r>
        <w:rPr>
          <w:rFonts w:ascii="Arial" w:cs="Arial" w:eastAsia="Arial" w:hAnsi="Arial"/>
          <w:sz w:val="22"/>
          <w:szCs w:val="22"/>
        </w:rPr>
        <w:t xml:space="preserve">            4.1  Phase 1: Internal Completion (Weeks 1-3)</w:t>
      </w:r>
    </w:p>
    <w:p>
      <w:pPr>
        <w:spacing w:after="120"/>
      </w:pPr>
      <w:r>
        <w:rPr>
          <w:rFonts w:ascii="Arial" w:cs="Arial" w:eastAsia="Arial" w:hAnsi="Arial"/>
          <w:sz w:val="22"/>
          <w:szCs w:val="22"/>
        </w:rPr>
        <w:t xml:space="preserve">            4.2  Phase 2: Package &amp; Document (Weeks 4-6)</w:t>
      </w:r>
    </w:p>
    <w:p>
      <w:pPr>
        <w:spacing w:after="120"/>
      </w:pPr>
      <w:r>
        <w:rPr>
          <w:rFonts w:ascii="Arial" w:cs="Arial" w:eastAsia="Arial" w:hAnsi="Arial"/>
          <w:sz w:val="22"/>
          <w:szCs w:val="22"/>
        </w:rPr>
        <w:t xml:space="preserve">            4.3  Phase 3: Beta Distribution (Weeks 7-10)</w:t>
      </w:r>
    </w:p>
    <w:p>
      <w:pPr>
        <w:spacing w:after="120"/>
      </w:pPr>
      <w:r>
        <w:rPr>
          <w:rFonts w:ascii="Arial" w:cs="Arial" w:eastAsia="Arial" w:hAnsi="Arial"/>
          <w:sz w:val="22"/>
          <w:szCs w:val="22"/>
        </w:rPr>
        <w:t xml:space="preserve">            4.4  Phase 4: Public Launch (Weeks 11-16)</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APPENDIX:   Technical Specifications</w:t>
      </w:r>
    </w:p>
    <w:p>
      <w:r>
        <w:br w:type="page"/>
      </w:r>
    </w:p>
    <w:p>
      <w:pPr>
        <w:pStyle w:val="Heading1"/>
        <w:spacing w:before="300" w:after="150"/>
      </w:pPr>
      <w:r>
        <w:rPr>
          <w:rFonts w:ascii="Arial" w:cs="Arial" w:eastAsia="Arial" w:hAnsi="Arial"/>
        </w:rPr>
        <w:t xml:space="preserve">PART I: CURRENT ARCHITECTURE INVENTORY</w:t>
      </w:r>
    </w:p>
    <w:p>
      <w:pPr>
        <w:spacing w:after="120"/>
      </w:pPr>
      <w:r>
        <w:rPr>
          <w:rFonts w:ascii="Arial" w:cs="Arial" w:eastAsia="Arial" w:hAnsi="Arial"/>
          <w:sz w:val="22"/>
          <w:szCs w:val="22"/>
        </w:rPr>
        <w:t xml:space="preserve">This section documents every component currently deployed in the California Legal Analysis Toolkit as of February 2, 2026. This inventory serves as the baseline for gap analysis and the foundation for the distributable product.</w:t>
      </w:r>
    </w:p>
    <w:p>
      <w:pPr>
        <w:pStyle w:val="Heading2"/>
        <w:spacing w:before="300" w:after="150"/>
      </w:pPr>
      <w:r>
        <w:rPr>
          <w:rFonts w:ascii="Arial" w:cs="Arial" w:eastAsia="Arial" w:hAnsi="Arial"/>
        </w:rPr>
        <w:t xml:space="preserve">1.1 MCP Server Connections (Live Data Sources)</w:t>
      </w:r>
    </w:p>
    <w:p>
      <w:pPr>
        <w:spacing w:after="120"/>
      </w:pPr>
      <w:r>
        <w:rPr>
          <w:rFonts w:ascii="Arial" w:cs="Arial" w:eastAsia="Arial" w:hAnsi="Arial"/>
          <w:sz w:val="22"/>
          <w:szCs w:val="22"/>
        </w:rPr>
        <w:t xml:space="preserve">These are live, real-time connections to verified legal databases. Each MCP server pulls official statutory text, rules, or regulations directly from authoritative government sources. No caching, no stale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19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california-law</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leginfo.legislature.ca.gov</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All 30 CA Codes</w:t>
            </w:r>
          </w:p>
        </w:tc>
        <w:tc>
          <w:tcPr>
            <w:tcW w:type="dxa" w:w="19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california-rules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courts.ca.gov</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All CRC Titles</w:t>
            </w:r>
          </w:p>
        </w:tc>
        <w:tc>
          <w:tcPr>
            <w:tcW w:type="dxa" w:w="19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california-regulations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Westlaw/CCR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All CCR Titles</w:t>
            </w:r>
          </w:p>
        </w:tc>
        <w:tc>
          <w:tcPr>
            <w:tcW w:type="dxa" w:w="19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us-code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Cornell Law LII</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All USC Titles</w:t>
            </w:r>
          </w:p>
        </w:tc>
        <w:tc>
          <w:tcPr>
            <w:tcW w:type="dxa" w:w="19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CourtListener (NEW)</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courtlistener.com API v4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Federal + State case law</w:t>
            </w:r>
          </w:p>
        </w:tc>
        <w:tc>
          <w:tcPr>
            <w:tcW w:type="dxa" w:w="1960"/>
            <w:tcBorders>
              <w:top w:val="single" w:color="999999" w:sz="1"/>
              <w:left w:val="single" w:color="999999" w:sz="1"/>
              <w:bottom w:val="single" w:color="999999" w:sz="1"/>
              <w:right w:val="single" w:color="999999"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 ADD</w:t>
            </w:r>
          </w:p>
        </w:tc>
      </w:tr>
    </w:tbl>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Key differentiator: </w:t>
      </w:r>
      <w:r>
        <w:rPr>
          <w:rFonts w:ascii="Arial" w:cs="Arial" w:eastAsia="Arial" w:hAnsi="Arial"/>
          <w:sz w:val="22"/>
          <w:szCs w:val="22"/>
        </w:rPr>
        <w:t xml:space="preserve">These connections pull verified text directly from official government sources. Most AI legal tools either hallucinate citations or rely on pre-trained knowledge that may be outdated. This architecture guarantees current, authoritative statutory text.</w:t>
      </w:r>
    </w:p>
    <w:p>
      <w:pPr>
        <w:pStyle w:val="Heading2"/>
        <w:spacing w:before="300" w:after="150"/>
      </w:pPr>
      <w:r>
        <w:rPr>
          <w:rFonts w:ascii="Arial" w:cs="Arial" w:eastAsia="Arial" w:hAnsi="Arial"/>
        </w:rPr>
        <w:t xml:space="preserve">1.2 User Skill Set (Audit Frameworks)</w:t>
      </w:r>
    </w:p>
    <w:p>
      <w:pPr>
        <w:spacing w:after="120"/>
      </w:pPr>
      <w:r>
        <w:rPr>
          <w:rFonts w:ascii="Arial" w:cs="Arial" w:eastAsia="Arial" w:hAnsi="Arial"/>
          <w:sz w:val="22"/>
          <w:szCs w:val="22"/>
        </w:rPr>
        <w:t xml:space="preserve">Each audit skill operates as a passive compliance layer. When triggered by document analysis or user description of events, the skill automatically cross-references conduct against the governing professional or legal standard and flags deviations.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gridCol w:w="1560"/>
      </w:tblGrid>
      <w:tr>
        <w:tc>
          <w:tcPr>
            <w:tcW w:type="dxa" w:w="36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Audit Skill</w:t>
            </w:r>
          </w:p>
        </w:tc>
        <w:tc>
          <w:tcPr>
            <w:tcW w:type="dxa" w:w="24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Governing Standards</w:t>
            </w:r>
          </w:p>
        </w:tc>
        <w:tc>
          <w:tcPr>
            <w:tcW w:type="dxa" w:w="18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5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constitutional-and-civil-rights-audit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USC, Constitution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Civil Rights</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ca-post-law-enforcement-audit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 POST / CCR Title 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Law Enforcement</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california-cps-child-welfare-audit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WIC / CDSS / CCR Title 22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Child Welfare</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fcs-child-custody-recommending-counselor-audit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CRC 5.210-5.230 / Fam Code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Family Court</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california-court-order-compliance-audit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CRC / CCP / Fam Code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Court Orders</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state-bar-of-california-attorney-conduct-audit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 Rules Prof. Conduct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Attorney Ethics</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abpn-psychiatry-and-neurology-standards-audit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ABPN / APA / Med Board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Psych/Neuro</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california-state-agency-correspondence-audit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SAM / Plain Language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Agency Comms</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marsys-law-victim-rights-audit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 Constitution Art. I §36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Victim Rights</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california-labor-employment-audit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 Labor Code / NLRA</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Employment</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fbi-federal-law-enforcement-audit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DOJ Policies / Federal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Federal LE</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fcra-chexsystems-consumer-report-audit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FCRA / CA CCRAA</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Consumer Reports</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ssa-dds-disability-determination-audit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 CFR / POMS / HALLEX</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Disability</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usmc-military-standards-audit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UCMJ / Marine Corps Regs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Military</w:t>
            </w:r>
          </w:p>
        </w:tc>
        <w:tc>
          <w:tcPr>
            <w:tcW w:type="dxa" w:w="15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bl>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Total active audit skills: </w:t>
      </w:r>
      <w:r>
        <w:rPr>
          <w:rFonts w:ascii="Arial" w:cs="Arial" w:eastAsia="Arial" w:hAnsi="Arial"/>
          <w:sz w:val="22"/>
          <w:szCs w:val="22"/>
        </w:rPr>
        <w:t xml:space="preserve">14 specialized compliance frameworks covering law enforcement, courts, agencies, attorneys, medical professionals, military, employment, consumer protection, disability, and victim rights.</w:t>
      </w:r>
    </w:p>
    <w:p>
      <w:pPr>
        <w:pStyle w:val="Heading2"/>
        <w:spacing w:before="300" w:after="150"/>
      </w:pPr>
      <w:r>
        <w:rPr>
          <w:rFonts w:ascii="Arial" w:cs="Arial" w:eastAsia="Arial" w:hAnsi="Arial"/>
        </w:rPr>
        <w:t xml:space="preserve">1.3 Infrastructure Skills (Processing Layer)</w:t>
      </w:r>
    </w:p>
    <w:p>
      <w:pPr>
        <w:spacing w:after="120"/>
      </w:pPr>
      <w:r>
        <w:rPr>
          <w:rFonts w:ascii="Arial" w:cs="Arial" w:eastAsia="Arial" w:hAnsi="Arial"/>
          <w:sz w:val="22"/>
          <w:szCs w:val="22"/>
        </w:rPr>
        <w:t xml:space="preserve">These skills manage workflow, quality control, and output standards across all audit and analysis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Infrastructure Skill</w:t>
            </w:r>
          </w:p>
        </w:tc>
        <w:tc>
          <w:tcPr>
            <w:tcW w:type="dxa" w:w="36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16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master-project-intake-audit-triage</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Maps entities, doc types, standards, and required audits before any analysis begins</w:t>
            </w:r>
          </w:p>
        </w:tc>
        <w:tc>
          <w:tcPr>
            <w:tcW w:type="dxa" w:w="21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project-context-and-guardrails</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Maintains project context across sessions; enforces legal practice boundaries and ethical guardrails</w:t>
            </w:r>
          </w:p>
        </w:tc>
        <w:tc>
          <w:tcPr>
            <w:tcW w:type="dxa" w:w="21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automated-structuring-input-refiner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Processes unstructured inputs into standardized, auditable formats</w:t>
            </w:r>
          </w:p>
        </w:tc>
        <w:tc>
          <w:tcPr>
            <w:tcW w:type="dxa" w:w="21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california-code-citation-validator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Validates CA statutory citations for accuracy, format, and legal precision</w:t>
            </w:r>
          </w:p>
        </w:tc>
        <w:tc>
          <w:tcPr>
            <w:tcW w:type="dxa" w:w="21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cross-verifying-ai-outputs-for-best-results</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Multi-source verification of all generated content for factual accuracy</w:t>
            </w:r>
          </w:p>
        </w:tc>
        <w:tc>
          <w:tcPr>
            <w:tcW w:type="dxa" w:w="21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legal-bias-and-fraud-auditor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Identifies Standard of Creation and flags one-sided bias, non-compliance, or fraud</w:t>
            </w:r>
          </w:p>
        </w:tc>
        <w:tc>
          <w:tcPr>
            <w:tcW w:type="dxa" w:w="21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executive-style-enforcer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Enforces professional formatting, tone, and structure standards</w:t>
            </w:r>
          </w:p>
        </w:tc>
        <w:tc>
          <w:tcPr>
            <w:tcW w:type="dxa" w:w="2160"/>
            <w:tcBorders>
              <w:top w:val="single" w:color="999999" w:sz="1"/>
              <w:left w:val="single" w:color="999999" w:sz="1"/>
              <w:bottom w:val="single" w:color="999999" w:sz="1"/>
              <w:right w:val="single" w:color="999999"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w:t>
            </w:r>
          </w:p>
        </w:tc>
      </w:tr>
    </w:tbl>
    <w:p>
      <w:pPr>
        <w:pStyle w:val="Heading2"/>
        <w:spacing w:before="300" w:after="150"/>
      </w:pPr>
      <w:r>
        <w:rPr>
          <w:rFonts w:ascii="Arial" w:cs="Arial" w:eastAsia="Arial" w:hAnsi="Arial"/>
        </w:rPr>
        <w:t xml:space="preserve">1.4 Platform Tools (Built-in Capabilities)</w:t>
      </w:r>
    </w:p>
    <w:p>
      <w:pPr>
        <w:spacing w:after="120"/>
      </w:pPr>
      <w:r>
        <w:rPr>
          <w:rFonts w:ascii="Arial" w:cs="Arial" w:eastAsia="Arial" w:hAnsi="Arial"/>
          <w:sz w:val="22"/>
          <w:szCs w:val="22"/>
        </w:rPr>
        <w:t xml:space="preserve">Beyond custom skills and MCP servers, the platform provides native tools that integrate with the legal analysis workflow.</w:t>
      </w:r>
    </w:p>
    <w:p>
      <w:pPr>
        <w:pStyle w:val="ListParagraph"/>
        <w:numPr>
          <w:ilvl w:val="0"/>
          <w:numId w:val="2"/>
        </w:numPr>
        <w:spacing w:after="60"/>
      </w:pPr>
      <w:r>
        <w:rPr>
          <w:rFonts w:ascii="Arial" w:cs="Arial" w:eastAsia="Arial" w:hAnsi="Arial"/>
          <w:sz w:val="22"/>
          <w:szCs w:val="22"/>
        </w:rPr>
        <w:t xml:space="preserve">Web search with citation support for current events, recent case developments, and news</w:t>
      </w:r>
    </w:p>
    <w:p>
      <w:pPr>
        <w:pStyle w:val="ListParagraph"/>
        <w:numPr>
          <w:ilvl w:val="0"/>
          <w:numId w:val="2"/>
        </w:numPr>
        <w:spacing w:after="60"/>
      </w:pPr>
      <w:r>
        <w:rPr>
          <w:rFonts w:ascii="Arial" w:cs="Arial" w:eastAsia="Arial" w:hAnsi="Arial"/>
          <w:sz w:val="22"/>
          <w:szCs w:val="22"/>
        </w:rPr>
        <w:t xml:space="preserve">Google Drive integration for accessing personal documents and case files</w:t>
      </w:r>
    </w:p>
    <w:p>
      <w:pPr>
        <w:pStyle w:val="ListParagraph"/>
        <w:numPr>
          <w:ilvl w:val="0"/>
          <w:numId w:val="2"/>
        </w:numPr>
        <w:spacing w:after="60"/>
      </w:pPr>
      <w:r>
        <w:rPr>
          <w:rFonts w:ascii="Arial" w:cs="Arial" w:eastAsia="Arial" w:hAnsi="Arial"/>
          <w:sz w:val="22"/>
          <w:szCs w:val="22"/>
        </w:rPr>
        <w:t xml:space="preserve">Document creation tools: DOCX, PDF, PPTX, XLSX generation and editing</w:t>
      </w:r>
    </w:p>
    <w:p>
      <w:pPr>
        <w:pStyle w:val="ListParagraph"/>
        <w:numPr>
          <w:ilvl w:val="0"/>
          <w:numId w:val="2"/>
        </w:numPr>
        <w:spacing w:after="60"/>
      </w:pPr>
      <w:r>
        <w:rPr>
          <w:rFonts w:ascii="Arial" w:cs="Arial" w:eastAsia="Arial" w:hAnsi="Arial"/>
          <w:sz w:val="22"/>
          <w:szCs w:val="22"/>
        </w:rPr>
        <w:t xml:space="preserve">File upload processing: PDF extraction, image analysis, text file processing</w:t>
      </w:r>
    </w:p>
    <w:p>
      <w:pPr>
        <w:pStyle w:val="ListParagraph"/>
        <w:numPr>
          <w:ilvl w:val="0"/>
          <w:numId w:val="2"/>
        </w:numPr>
        <w:spacing w:after="60"/>
      </w:pPr>
      <w:r>
        <w:rPr>
          <w:rFonts w:ascii="Arial" w:cs="Arial" w:eastAsia="Arial" w:hAnsi="Arial"/>
          <w:sz w:val="22"/>
          <w:szCs w:val="22"/>
        </w:rPr>
        <w:t xml:space="preserve">Clinical Trials, NPI Registry, ICD-10 search (medical-legal crossover)</w:t>
      </w:r>
    </w:p>
    <w:p>
      <w:pPr>
        <w:pStyle w:val="ListParagraph"/>
        <w:numPr>
          <w:ilvl w:val="0"/>
          <w:numId w:val="2"/>
        </w:numPr>
        <w:spacing w:after="60"/>
      </w:pPr>
      <w:r>
        <w:rPr>
          <w:rFonts w:ascii="Arial" w:cs="Arial" w:eastAsia="Arial" w:hAnsi="Arial"/>
          <w:sz w:val="22"/>
          <w:szCs w:val="22"/>
        </w:rPr>
        <w:t xml:space="preserve">PopHIVE public health data (relevant for health-related legal matters)</w:t>
      </w:r>
    </w:p>
    <w:p>
      <w:pPr>
        <w:pStyle w:val="ListParagraph"/>
        <w:numPr>
          <w:ilvl w:val="0"/>
          <w:numId w:val="2"/>
        </w:numPr>
        <w:spacing w:after="60"/>
      </w:pPr>
      <w:r>
        <w:rPr>
          <w:rFonts w:ascii="Arial" w:cs="Arial" w:eastAsia="Arial" w:hAnsi="Arial"/>
          <w:sz w:val="22"/>
          <w:szCs w:val="22"/>
        </w:rPr>
        <w:t xml:space="preserve">Past conversation search and memory system for case continuity</w:t>
      </w:r>
    </w:p>
    <w:p>
      <w:r>
        <w:br w:type="page"/>
      </w:r>
    </w:p>
    <w:p>
      <w:pPr>
        <w:pStyle w:val="Heading1"/>
        <w:spacing w:before="300" w:after="150"/>
      </w:pPr>
      <w:r>
        <w:rPr>
          <w:rFonts w:ascii="Arial" w:cs="Arial" w:eastAsia="Arial" w:hAnsi="Arial"/>
        </w:rPr>
        <w:t xml:space="preserve">PART II: GAP ANALYSIS &amp; ENHANCEMENTS</w:t>
      </w:r>
    </w:p>
    <w:p>
      <w:pPr>
        <w:spacing w:after="120"/>
      </w:pPr>
      <w:r>
        <w:rPr>
          <w:rFonts w:ascii="Arial" w:cs="Arial" w:eastAsia="Arial" w:hAnsi="Arial"/>
          <w:sz w:val="22"/>
          <w:szCs w:val="22"/>
        </w:rPr>
        <w:t xml:space="preserve">The following enhancements address identified gaps in the current architecture. Each is prioritized by impact on legal analysis capability and feasibility of implementation.</w:t>
      </w:r>
    </w:p>
    <w:p>
      <w:pPr>
        <w:pStyle w:val="Heading2"/>
        <w:spacing w:before="300" w:after="150"/>
      </w:pPr>
      <w:r>
        <w:rPr>
          <w:rFonts w:ascii="Arial" w:cs="Arial" w:eastAsia="Arial" w:hAnsi="Arial"/>
        </w:rPr>
        <w:t xml:space="preserve">2.1 Priority 1: CourtListener Case Law MCP</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No structured case law search capability. Currently relying on web search for judicial opinions, which is imprecise and unreliable for citation verification.</w:t>
      </w:r>
    </w:p>
    <w:p>
      <w:pPr>
        <w:spacing w:after="100"/>
      </w:pPr>
      <w:r>
        <w:rPr>
          <w:rFonts w:ascii="Arial" w:cs="Arial" w:eastAsia="Arial" w:hAnsi="Arial"/>
          <w:b/>
          <w:bCs/>
          <w:sz w:val="22"/>
          <w:szCs w:val="22"/>
        </w:rPr>
        <w:t xml:space="preserve">Solution: </w:t>
      </w:r>
      <w:r>
        <w:rPr>
          <w:rFonts w:ascii="Arial" w:cs="Arial" w:eastAsia="Arial" w:hAnsi="Arial"/>
          <w:sz w:val="22"/>
          <w:szCs w:val="22"/>
        </w:rPr>
        <w:t xml:space="preserve">Integrate the existing @us-legal-tools/courtlistener-sdk npm package, which provides a ready-made MCP server for the CourtListener API v4.</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Capabilities gained:</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Search millions of federal and state court opinions by keyword, citation, court, date</w:t>
      </w:r>
    </w:p>
    <w:p>
      <w:pPr>
        <w:pStyle w:val="ListParagraph"/>
        <w:numPr>
          <w:ilvl w:val="0"/>
          <w:numId w:val="2"/>
        </w:numPr>
        <w:spacing w:after="60"/>
      </w:pPr>
      <w:r>
        <w:rPr>
          <w:rFonts w:ascii="Arial" w:cs="Arial" w:eastAsia="Arial" w:hAnsi="Arial"/>
          <w:sz w:val="22"/>
          <w:szCs w:val="22"/>
        </w:rPr>
        <w:t xml:space="preserve">Access PACER docket data (federal filings, docket entries, parties, attorneys)</w:t>
      </w:r>
    </w:p>
    <w:p>
      <w:pPr>
        <w:pStyle w:val="ListParagraph"/>
        <w:numPr>
          <w:ilvl w:val="0"/>
          <w:numId w:val="2"/>
        </w:numPr>
        <w:spacing w:after="60"/>
      </w:pPr>
      <w:r>
        <w:rPr>
          <w:rFonts w:ascii="Arial" w:cs="Arial" w:eastAsia="Arial" w:hAnsi="Arial"/>
          <w:sz w:val="22"/>
          <w:szCs w:val="22"/>
        </w:rPr>
        <w:t xml:space="preserve">Judge profiles and biographical data</w:t>
      </w:r>
    </w:p>
    <w:p>
      <w:pPr>
        <w:pStyle w:val="ListParagraph"/>
        <w:numPr>
          <w:ilvl w:val="0"/>
          <w:numId w:val="2"/>
        </w:numPr>
        <w:spacing w:after="60"/>
      </w:pPr>
      <w:r>
        <w:rPr>
          <w:rFonts w:ascii="Arial" w:cs="Arial" w:eastAsia="Arial" w:hAnsi="Arial"/>
          <w:sz w:val="22"/>
          <w:szCs w:val="22"/>
        </w:rPr>
        <w:t xml:space="preserve">Oral argument audio recordings with metadata</w:t>
      </w:r>
    </w:p>
    <w:p>
      <w:pPr>
        <w:pStyle w:val="ListParagraph"/>
        <w:numPr>
          <w:ilvl w:val="0"/>
          <w:numId w:val="2"/>
        </w:numPr>
        <w:spacing w:after="60"/>
      </w:pPr>
      <w:r>
        <w:rPr>
          <w:rFonts w:ascii="Arial" w:cs="Arial" w:eastAsia="Arial" w:hAnsi="Arial"/>
          <w:sz w:val="22"/>
          <w:szCs w:val="22"/>
        </w:rPr>
        <w:t xml:space="preserve">Citation lookup and normalization</w:t>
      </w:r>
    </w:p>
    <w:p>
      <w:pPr>
        <w:pStyle w:val="ListParagraph"/>
        <w:numPr>
          <w:ilvl w:val="0"/>
          <w:numId w:val="2"/>
        </w:numPr>
        <w:spacing w:after="60"/>
      </w:pPr>
      <w:r>
        <w:rPr>
          <w:rFonts w:ascii="Arial" w:cs="Arial" w:eastAsia="Arial" w:hAnsi="Arial"/>
          <w:sz w:val="22"/>
          <w:szCs w:val="22"/>
        </w:rPr>
        <w:t xml:space="preserve">Real-time alerts for case updates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Implementation: </w:t>
      </w:r>
      <w:r>
        <w:rPr>
          <w:rFonts w:ascii="Arial" w:cs="Arial" w:eastAsia="Arial" w:hAnsi="Arial"/>
          <w:sz w:val="22"/>
          <w:szCs w:val="22"/>
        </w:rPr>
        <w:t xml:space="preserve">The npm package already exists. Setup requires a CourtListener API token (free tier: 5,000 requests/day). Configuration is straightforward MCP server registration.</w:t>
      </w:r>
    </w:p>
    <w:p>
      <w:pPr>
        <w:spacing w:after="100"/>
      </w:pPr>
      <w:r>
        <w:rPr>
          <w:rFonts w:ascii="Arial" w:cs="Arial" w:eastAsia="Arial" w:hAnsi="Arial"/>
          <w:b/>
          <w:bCs/>
          <w:sz w:val="22"/>
          <w:szCs w:val="22"/>
        </w:rPr>
        <w:t xml:space="preserve">Estimated effort: </w:t>
      </w:r>
      <w:r>
        <w:rPr>
          <w:rFonts w:ascii="Arial" w:cs="Arial" w:eastAsia="Arial" w:hAnsi="Arial"/>
          <w:sz w:val="22"/>
          <w:szCs w:val="22"/>
        </w:rPr>
        <w:t xml:space="preserve">2-4 hours for integration and testing.</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CRITICAL. This fills the single largest gap in the current architecture.</w:t>
      </w:r>
    </w:p>
    <w:p>
      <w:pPr>
        <w:pStyle w:val="Heading2"/>
        <w:spacing w:before="300" w:after="150"/>
      </w:pPr>
      <w:r>
        <w:rPr>
          <w:rFonts w:ascii="Arial" w:cs="Arial" w:eastAsia="Arial" w:hAnsi="Arial"/>
        </w:rPr>
        <w:t xml:space="preserve">2.2 Priority 2: Judicial Council Forms Skill</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No automated system for identifying required Judicial Council forms for a given filing type, or for assisting with form completion.</w:t>
      </w:r>
    </w:p>
    <w:p>
      <w:pPr>
        <w:spacing w:after="100"/>
      </w:pPr>
      <w:r>
        <w:rPr>
          <w:rFonts w:ascii="Arial" w:cs="Arial" w:eastAsia="Arial" w:hAnsi="Arial"/>
          <w:b/>
          <w:bCs/>
          <w:sz w:val="22"/>
          <w:szCs w:val="22"/>
        </w:rPr>
        <w:t xml:space="preserve">Solution: </w:t>
      </w:r>
      <w:r>
        <w:rPr>
          <w:rFonts w:ascii="Arial" w:cs="Arial" w:eastAsia="Arial" w:hAnsi="Arial"/>
          <w:sz w:val="22"/>
          <w:szCs w:val="22"/>
        </w:rPr>
        <w:t xml:space="preserve">Create a new skill containing a reference database of all Judicial Council forms organized by case type, with mandatory vs. optional status, form numbers, and filing requirements.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Skill components: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references/family-law-forms.md: All FL-xxx forms with descriptions, mandatory/optional status, and triggering events</w:t>
      </w:r>
    </w:p>
    <w:p>
      <w:pPr>
        <w:pStyle w:val="ListParagraph"/>
        <w:numPr>
          <w:ilvl w:val="0"/>
          <w:numId w:val="2"/>
        </w:numPr>
        <w:spacing w:after="60"/>
      </w:pPr>
      <w:r>
        <w:rPr>
          <w:rFonts w:ascii="Arial" w:cs="Arial" w:eastAsia="Arial" w:hAnsi="Arial"/>
          <w:sz w:val="22"/>
          <w:szCs w:val="22"/>
        </w:rPr>
        <w:t xml:space="preserve">references/civil-forms.md: All CM/CIV forms</w:t>
      </w:r>
    </w:p>
    <w:p>
      <w:pPr>
        <w:pStyle w:val="ListParagraph"/>
        <w:numPr>
          <w:ilvl w:val="0"/>
          <w:numId w:val="2"/>
        </w:numPr>
        <w:spacing w:after="60"/>
      </w:pPr>
      <w:r>
        <w:rPr>
          <w:rFonts w:ascii="Arial" w:cs="Arial" w:eastAsia="Arial" w:hAnsi="Arial"/>
          <w:sz w:val="22"/>
          <w:szCs w:val="22"/>
        </w:rPr>
        <w:t xml:space="preserve">references/domestic-violence-forms.md: All DV-xxx forms</w:t>
      </w:r>
    </w:p>
    <w:p>
      <w:pPr>
        <w:pStyle w:val="ListParagraph"/>
        <w:numPr>
          <w:ilvl w:val="0"/>
          <w:numId w:val="2"/>
        </w:numPr>
        <w:spacing w:after="60"/>
      </w:pPr>
      <w:r>
        <w:rPr>
          <w:rFonts w:ascii="Arial" w:cs="Arial" w:eastAsia="Arial" w:hAnsi="Arial"/>
          <w:sz w:val="22"/>
          <w:szCs w:val="22"/>
        </w:rPr>
        <w:t xml:space="preserve">references/custody-forms.md: All CCRC/FL custody-specific forms</w:t>
      </w:r>
    </w:p>
    <w:p>
      <w:pPr>
        <w:pStyle w:val="ListParagraph"/>
        <w:numPr>
          <w:ilvl w:val="0"/>
          <w:numId w:val="2"/>
        </w:numPr>
        <w:spacing w:after="60"/>
      </w:pPr>
      <w:r>
        <w:rPr>
          <w:rFonts w:ascii="Arial" w:cs="Arial" w:eastAsia="Arial" w:hAnsi="Arial"/>
          <w:sz w:val="22"/>
          <w:szCs w:val="22"/>
        </w:rPr>
        <w:t xml:space="preserve">SKILL.md: Workflow for identifying required forms based on case type, filing type, and jurisdiction</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Integration with PDF tools: </w:t>
      </w:r>
      <w:r>
        <w:rPr>
          <w:rFonts w:ascii="Arial" w:cs="Arial" w:eastAsia="Arial" w:hAnsi="Arial"/>
          <w:sz w:val="22"/>
          <w:szCs w:val="22"/>
        </w:rPr>
        <w:t xml:space="preserve">Once the correct forms are identified, the existing PDF fill capability can pre-populate fields from case context.</w:t>
      </w:r>
    </w:p>
    <w:p>
      <w:pPr>
        <w:spacing w:after="100"/>
      </w:pPr>
      <w:r>
        <w:rPr>
          <w:rFonts w:ascii="Arial" w:cs="Arial" w:eastAsia="Arial" w:hAnsi="Arial"/>
          <w:b/>
          <w:bCs/>
          <w:sz w:val="22"/>
          <w:szCs w:val="22"/>
        </w:rPr>
        <w:t xml:space="preserve">Estimated effort: </w:t>
      </w:r>
      <w:r>
        <w:rPr>
          <w:rFonts w:ascii="Arial" w:cs="Arial" w:eastAsia="Arial" w:hAnsi="Arial"/>
          <w:sz w:val="22"/>
          <w:szCs w:val="22"/>
        </w:rPr>
        <w:t xml:space="preserve">8-12 hours for research, compilation, and skill creation.</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HIGH. Directly reduces pro se filing errors and missed forms.</w:t>
      </w:r>
    </w:p>
    <w:p>
      <w:pPr>
        <w:pStyle w:val="Heading2"/>
        <w:spacing w:before="300" w:after="150"/>
      </w:pPr>
      <w:r>
        <w:rPr>
          <w:rFonts w:ascii="Arial" w:cs="Arial" w:eastAsia="Arial" w:hAnsi="Arial"/>
        </w:rPr>
        <w:t xml:space="preserve">2.3 Priority 3: Filing Deadline Calculator</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No automated calculation of filing deadlines, statute of limitations, or service time requirements.</w:t>
      </w:r>
    </w:p>
    <w:p>
      <w:pPr>
        <w:spacing w:after="100"/>
      </w:pPr>
      <w:r>
        <w:rPr>
          <w:rFonts w:ascii="Arial" w:cs="Arial" w:eastAsia="Arial" w:hAnsi="Arial"/>
          <w:b/>
          <w:bCs/>
          <w:sz w:val="22"/>
          <w:szCs w:val="22"/>
        </w:rPr>
        <w:t xml:space="preserve">Solution: </w:t>
      </w:r>
      <w:r>
        <w:rPr>
          <w:rFonts w:ascii="Arial" w:cs="Arial" w:eastAsia="Arial" w:hAnsi="Arial"/>
          <w:sz w:val="22"/>
          <w:szCs w:val="22"/>
        </w:rPr>
        <w:t xml:space="preserve">Create a skill with a scripts/ component that computes deadlines based on CCP timing rules, court holidays, and service method extensions.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Calculations supported:</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Statute of limitations from triggering event (with tolling analysis)</w:t>
      </w:r>
    </w:p>
    <w:p>
      <w:pPr>
        <w:pStyle w:val="ListParagraph"/>
        <w:numPr>
          <w:ilvl w:val="0"/>
          <w:numId w:val="2"/>
        </w:numPr>
        <w:spacing w:after="60"/>
      </w:pPr>
      <w:r>
        <w:rPr>
          <w:rFonts w:ascii="Arial" w:cs="Arial" w:eastAsia="Arial" w:hAnsi="Arial"/>
          <w:sz w:val="22"/>
          <w:szCs w:val="22"/>
        </w:rPr>
        <w:t xml:space="preserve">Response deadlines after service (CCP 1005, 1013, 1013a)</w:t>
      </w:r>
    </w:p>
    <w:p>
      <w:pPr>
        <w:pStyle w:val="ListParagraph"/>
        <w:numPr>
          <w:ilvl w:val="0"/>
          <w:numId w:val="2"/>
        </w:numPr>
        <w:spacing w:after="60"/>
      </w:pPr>
      <w:r>
        <w:rPr>
          <w:rFonts w:ascii="Arial" w:cs="Arial" w:eastAsia="Arial" w:hAnsi="Arial"/>
          <w:sz w:val="22"/>
          <w:szCs w:val="22"/>
        </w:rPr>
        <w:t xml:space="preserve">Notice periods for motions by hearing date</w:t>
      </w:r>
    </w:p>
    <w:p>
      <w:pPr>
        <w:pStyle w:val="ListParagraph"/>
        <w:numPr>
          <w:ilvl w:val="0"/>
          <w:numId w:val="2"/>
        </w:numPr>
        <w:spacing w:after="60"/>
      </w:pPr>
      <w:r>
        <w:rPr>
          <w:rFonts w:ascii="Arial" w:cs="Arial" w:eastAsia="Arial" w:hAnsi="Arial"/>
          <w:sz w:val="22"/>
          <w:szCs w:val="22"/>
        </w:rPr>
        <w:t xml:space="preserve">Court holiday exclusions (state and county-specific)</w:t>
      </w:r>
    </w:p>
    <w:p>
      <w:pPr>
        <w:pStyle w:val="ListParagraph"/>
        <w:numPr>
          <w:ilvl w:val="0"/>
          <w:numId w:val="2"/>
        </w:numPr>
        <w:spacing w:after="60"/>
      </w:pPr>
      <w:r>
        <w:rPr>
          <w:rFonts w:ascii="Arial" w:cs="Arial" w:eastAsia="Arial" w:hAnsi="Arial"/>
          <w:sz w:val="22"/>
          <w:szCs w:val="22"/>
        </w:rPr>
        <w:t xml:space="preserve">Extensions for mail, electronic, and personal service</w:t>
      </w:r>
    </w:p>
    <w:p>
      <w:pPr>
        <w:pStyle w:val="ListParagraph"/>
        <w:numPr>
          <w:ilvl w:val="0"/>
          <w:numId w:val="2"/>
        </w:numPr>
        <w:spacing w:after="60"/>
      </w:pPr>
      <w:r>
        <w:rPr>
          <w:rFonts w:ascii="Arial" w:cs="Arial" w:eastAsia="Arial" w:hAnsi="Arial"/>
          <w:sz w:val="22"/>
          <w:szCs w:val="22"/>
        </w:rPr>
        <w:t xml:space="preserve">UCCJEA timing requirements for interstate custody</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Estimated effort: </w:t>
      </w:r>
      <w:r>
        <w:rPr>
          <w:rFonts w:ascii="Arial" w:cs="Arial" w:eastAsia="Arial" w:hAnsi="Arial"/>
          <w:sz w:val="22"/>
          <w:szCs w:val="22"/>
        </w:rPr>
        <w:t xml:space="preserve">6-10 hours.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HIGH. Missed deadlines are the number one pro se litigation failure.</w:t>
      </w:r>
    </w:p>
    <w:p>
      <w:pPr>
        <w:pStyle w:val="Heading2"/>
        <w:spacing w:before="300" w:after="150"/>
      </w:pPr>
      <w:r>
        <w:rPr>
          <w:rFonts w:ascii="Arial" w:cs="Arial" w:eastAsia="Arial" w:hAnsi="Arial"/>
        </w:rPr>
        <w:t xml:space="preserve">2.4 Priority 4: Entity Relationship Mapper</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Complex multi-party cases involving numerous actors across agencies, courts, and jurisdictions have no structured way to document and visualize connections.</w:t>
      </w:r>
    </w:p>
    <w:p>
      <w:pPr>
        <w:spacing w:after="100"/>
      </w:pPr>
      <w:r>
        <w:rPr>
          <w:rFonts w:ascii="Arial" w:cs="Arial" w:eastAsia="Arial" w:hAnsi="Arial"/>
          <w:b/>
          <w:bCs/>
          <w:sz w:val="22"/>
          <w:szCs w:val="22"/>
        </w:rPr>
        <w:t xml:space="preserve">Solution: </w:t>
      </w:r>
      <w:r>
        <w:rPr>
          <w:rFonts w:ascii="Arial" w:cs="Arial" w:eastAsia="Arial" w:hAnsi="Arial"/>
          <w:sz w:val="22"/>
          <w:szCs w:val="22"/>
        </w:rPr>
        <w:t xml:space="preserve">Create a skill that generates structured relationship maps (Mermaid diagrams, JSON data structures) from case descriptions, identifying actors, their roles, institutional affiliations, and documented interactions.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Estimated effort: </w:t>
      </w:r>
      <w:r>
        <w:rPr>
          <w:rFonts w:ascii="Arial" w:cs="Arial" w:eastAsia="Arial" w:hAnsi="Arial"/>
          <w:sz w:val="22"/>
          <w:szCs w:val="22"/>
        </w:rPr>
        <w:t xml:space="preserve">4-6 hours.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MEDIUM-HIGH. Essential for conspiracy/coordination claims and complex family law.</w:t>
      </w:r>
    </w:p>
    <w:p>
      <w:pPr>
        <w:pStyle w:val="Heading2"/>
        <w:spacing w:before="300" w:after="150"/>
      </w:pPr>
      <w:r>
        <w:rPr>
          <w:rFonts w:ascii="Arial" w:cs="Arial" w:eastAsia="Arial" w:hAnsi="Arial"/>
        </w:rPr>
        <w:t xml:space="preserve">2.5 Priority 5: Evidence Provenance Tracker</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No structured system for documenting evidence chain of custody, digital forensics provenance, or authentication requirements for court submission.</w:t>
      </w:r>
    </w:p>
    <w:p>
      <w:pPr>
        <w:spacing w:after="100"/>
      </w:pPr>
      <w:r>
        <w:rPr>
          <w:rFonts w:ascii="Arial" w:cs="Arial" w:eastAsia="Arial" w:hAnsi="Arial"/>
          <w:b/>
          <w:bCs/>
          <w:sz w:val="22"/>
          <w:szCs w:val="22"/>
        </w:rPr>
        <w:t xml:space="preserve">Solution: </w:t>
      </w:r>
      <w:r>
        <w:rPr>
          <w:rFonts w:ascii="Arial" w:cs="Arial" w:eastAsia="Arial" w:hAnsi="Arial"/>
          <w:sz w:val="22"/>
          <w:szCs w:val="22"/>
        </w:rPr>
        <w:t xml:space="preserve">Create a skill that generates evidence logs with metadata (source, date obtained, format, hash if digital, authentication method, custodian, and admissibility analysis).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Estimated effort: </w:t>
      </w:r>
      <w:r>
        <w:rPr>
          <w:rFonts w:ascii="Arial" w:cs="Arial" w:eastAsia="Arial" w:hAnsi="Arial"/>
          <w:sz w:val="22"/>
          <w:szCs w:val="22"/>
        </w:rPr>
        <w:t xml:space="preserve">4-6 hours.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MEDIUM. Important for evidentiary hearings and trial preparation.</w:t>
      </w:r>
    </w:p>
    <w:p>
      <w:pPr>
        <w:pStyle w:val="Heading2"/>
        <w:spacing w:before="300" w:after="150"/>
      </w:pPr>
      <w:r>
        <w:rPr>
          <w:rFonts w:ascii="Arial" w:cs="Arial" w:eastAsia="Arial" w:hAnsi="Arial"/>
        </w:rPr>
        <w:t xml:space="preserve">2.6 Priority 6: Citation Formatter (California Style Manual)</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Citation validation exists but does not enforce California Style Manual formatting conventions for court filings.</w:t>
      </w:r>
    </w:p>
    <w:p>
      <w:pPr>
        <w:spacing w:after="100"/>
      </w:pPr>
      <w:r>
        <w:rPr>
          <w:rFonts w:ascii="Arial" w:cs="Arial" w:eastAsia="Arial" w:hAnsi="Arial"/>
          <w:b/>
          <w:bCs/>
          <w:sz w:val="22"/>
          <w:szCs w:val="22"/>
        </w:rPr>
        <w:t xml:space="preserve">Solution: </w:t>
      </w:r>
      <w:r>
        <w:rPr>
          <w:rFonts w:ascii="Arial" w:cs="Arial" w:eastAsia="Arial" w:hAnsi="Arial"/>
          <w:sz w:val="22"/>
          <w:szCs w:val="22"/>
        </w:rPr>
        <w:t xml:space="preserve">Extend the existing california-code-citation-validator skill with California Style Manual and Bluebook formatting rules, generating properly formatted citations for all document types.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Estimated effort: </w:t>
      </w:r>
      <w:r>
        <w:rPr>
          <w:rFonts w:ascii="Arial" w:cs="Arial" w:eastAsia="Arial" w:hAnsi="Arial"/>
          <w:sz w:val="22"/>
          <w:szCs w:val="22"/>
        </w:rPr>
        <w:t xml:space="preserve">3-5 hours.</w:t>
      </w:r>
    </w:p>
    <w:p>
      <w:pPr>
        <w:spacing w:after="100"/>
      </w:pPr>
      <w:r>
        <w:rPr>
          <w:rFonts w:ascii="Arial" w:cs="Arial" w:eastAsia="Arial" w:hAnsi="Arial"/>
          <w:b/>
          <w:bCs/>
          <w:sz w:val="22"/>
          <w:szCs w:val="22"/>
        </w:rPr>
        <w:t xml:space="preserve">Impact: </w:t>
      </w:r>
      <w:r>
        <w:rPr>
          <w:rFonts w:ascii="Arial" w:cs="Arial" w:eastAsia="Arial" w:hAnsi="Arial"/>
          <w:sz w:val="22"/>
          <w:szCs w:val="22"/>
        </w:rPr>
        <w:t xml:space="preserve">MEDIUM. Professional formatting increases credibility, especially for pro se filings.</w:t>
      </w:r>
    </w:p>
    <w:p>
      <w:r>
        <w:br w:type="page"/>
      </w:r>
    </w:p>
    <w:p>
      <w:pPr>
        <w:pStyle w:val="Heading1"/>
        <w:spacing w:before="300" w:after="150"/>
      </w:pPr>
      <w:r>
        <w:rPr>
          <w:rFonts w:ascii="Arial" w:cs="Arial" w:eastAsia="Arial" w:hAnsi="Arial"/>
        </w:rPr>
        <w:t xml:space="preserve">PART III: DISTRIBUTABLE PRODUCT STRATEGY</w:t>
      </w:r>
    </w:p>
    <w:p>
      <w:pPr>
        <w:pStyle w:val="Heading2"/>
        <w:spacing w:before="300" w:after="150"/>
      </w:pPr>
      <w:r>
        <w:rPr>
          <w:rFonts w:ascii="Arial" w:cs="Arial" w:eastAsia="Arial" w:hAnsi="Arial"/>
        </w:rPr>
        <w:t xml:space="preserve">3.1 Market Analysis</w:t>
      </w:r>
    </w:p>
    <w:p>
      <w:pPr>
        <w:spacing w:after="120"/>
      </w:pPr>
      <w:r>
        <w:rPr>
          <w:rFonts w:ascii="Arial" w:cs="Arial" w:eastAsia="Arial" w:hAnsi="Arial"/>
          <w:sz w:val="22"/>
          <w:szCs w:val="22"/>
        </w:rPr>
        <w:t xml:space="preserve">The legal AI market currently has a significant gap between enterprise tools and consumer chatbots. There is no product that combines verified statutory sources, specialized compliance auditing, and practical filing assistance for the audiences that need it most.</w:t>
      </w:r>
    </w:p>
    <w:p>
      <w:pPr>
        <w:spacing w:after="100"/>
      </w:pPr>
      <w:r>
        <w:rPr>
          <w:rFonts w:ascii="Arial" w:cs="Arial" w:eastAsia="Arial" w:hAnsi="Arial"/>
          <w:b/>
          <w:bCs/>
          <w:sz w:val="22"/>
          <w:szCs w:val="22"/>
        </w:rPr>
        <w:t xml:space="preserve">Underserved audiences: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Pro se litigants (estimated 4.3 million self-represented parties annually in California alone)</w:t>
      </w:r>
    </w:p>
    <w:p>
      <w:pPr>
        <w:pStyle w:val="ListParagraph"/>
        <w:numPr>
          <w:ilvl w:val="0"/>
          <w:numId w:val="2"/>
        </w:numPr>
        <w:spacing w:after="60"/>
      </w:pPr>
      <w:r>
        <w:rPr>
          <w:rFonts w:ascii="Arial" w:cs="Arial" w:eastAsia="Arial" w:hAnsi="Arial"/>
          <w:sz w:val="22"/>
          <w:szCs w:val="22"/>
        </w:rPr>
        <w:t xml:space="preserve">Solo practitioners and small firm attorneys (120,000+ in California)</w:t>
      </w:r>
    </w:p>
    <w:p>
      <w:pPr>
        <w:pStyle w:val="ListParagraph"/>
        <w:numPr>
          <w:ilvl w:val="0"/>
          <w:numId w:val="2"/>
        </w:numPr>
        <w:spacing w:after="60"/>
      </w:pPr>
      <w:r>
        <w:rPr>
          <w:rFonts w:ascii="Arial" w:cs="Arial" w:eastAsia="Arial" w:hAnsi="Arial"/>
          <w:sz w:val="22"/>
          <w:szCs w:val="22"/>
        </w:rPr>
        <w:t xml:space="preserve">Legal aid organizations and nonprofit legal services</w:t>
      </w:r>
    </w:p>
    <w:p>
      <w:pPr>
        <w:pStyle w:val="ListParagraph"/>
        <w:numPr>
          <w:ilvl w:val="0"/>
          <w:numId w:val="2"/>
        </w:numPr>
        <w:spacing w:after="60"/>
      </w:pPr>
      <w:r>
        <w:rPr>
          <w:rFonts w:ascii="Arial" w:cs="Arial" w:eastAsia="Arial" w:hAnsi="Arial"/>
          <w:sz w:val="22"/>
          <w:szCs w:val="22"/>
        </w:rPr>
        <w:t xml:space="preserve">Paralegals performing substantive case analysis</w:t>
      </w:r>
    </w:p>
    <w:p>
      <w:pPr>
        <w:pStyle w:val="ListParagraph"/>
        <w:numPr>
          <w:ilvl w:val="0"/>
          <w:numId w:val="2"/>
        </w:numPr>
        <w:spacing w:after="60"/>
      </w:pPr>
      <w:r>
        <w:rPr>
          <w:rFonts w:ascii="Arial" w:cs="Arial" w:eastAsia="Arial" w:hAnsi="Arial"/>
          <w:sz w:val="22"/>
          <w:szCs w:val="22"/>
        </w:rPr>
        <w:t xml:space="preserve">Law students learning California practice</w:t>
      </w:r>
    </w:p>
    <w:p>
      <w:pPr>
        <w:pStyle w:val="ListParagraph"/>
        <w:numPr>
          <w:ilvl w:val="0"/>
          <w:numId w:val="2"/>
        </w:numPr>
        <w:spacing w:after="60"/>
      </w:pPr>
      <w:r>
        <w:rPr>
          <w:rFonts w:ascii="Arial" w:cs="Arial" w:eastAsia="Arial" w:hAnsi="Arial"/>
          <w:sz w:val="22"/>
          <w:szCs w:val="22"/>
        </w:rPr>
        <w:t xml:space="preserve">Journalists and investigators analyzing government conduct</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Competitive landscape:</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Westlaw AI / Lexis+ AI: $200-500+/month, enterprise-focused, require legal training to use effectively</w:t>
      </w:r>
    </w:p>
    <w:p>
      <w:pPr>
        <w:pStyle w:val="ListParagraph"/>
        <w:numPr>
          <w:ilvl w:val="0"/>
          <w:numId w:val="2"/>
        </w:numPr>
        <w:spacing w:after="60"/>
      </w:pPr>
      <w:r>
        <w:rPr>
          <w:rFonts w:ascii="Arial" w:cs="Arial" w:eastAsia="Arial" w:hAnsi="Arial"/>
          <w:sz w:val="22"/>
          <w:szCs w:val="22"/>
        </w:rPr>
        <w:t xml:space="preserve">Harvey AI: Firm-focused, not available to individuals, $$$</w:t>
      </w:r>
    </w:p>
    <w:p>
      <w:pPr>
        <w:pStyle w:val="ListParagraph"/>
        <w:numPr>
          <w:ilvl w:val="0"/>
          <w:numId w:val="2"/>
        </w:numPr>
        <w:spacing w:after="60"/>
      </w:pPr>
      <w:r>
        <w:rPr>
          <w:rFonts w:ascii="Arial" w:cs="Arial" w:eastAsia="Arial" w:hAnsi="Arial"/>
          <w:sz w:val="22"/>
          <w:szCs w:val="22"/>
        </w:rPr>
        <w:t xml:space="preserve">CoCounsel (Thomson Reuters): Enterprise only</w:t>
      </w:r>
    </w:p>
    <w:p>
      <w:pPr>
        <w:pStyle w:val="ListParagraph"/>
        <w:numPr>
          <w:ilvl w:val="0"/>
          <w:numId w:val="2"/>
        </w:numPr>
        <w:spacing w:after="60"/>
      </w:pPr>
      <w:r>
        <w:rPr>
          <w:rFonts w:ascii="Arial" w:cs="Arial" w:eastAsia="Arial" w:hAnsi="Arial"/>
          <w:sz w:val="22"/>
          <w:szCs w:val="22"/>
        </w:rPr>
        <w:t xml:space="preserve">Generic chatbots (ChatGPT, Gemini): Hallucinate citations, no verified sources, no audit frameworks</w:t>
      </w:r>
    </w:p>
    <w:p>
      <w:pPr>
        <w:pStyle w:val="ListParagraph"/>
        <w:numPr>
          <w:ilvl w:val="0"/>
          <w:numId w:val="2"/>
        </w:numPr>
        <w:spacing w:after="60"/>
      </w:pPr>
      <w:r>
        <w:rPr>
          <w:rFonts w:ascii="Arial" w:cs="Arial" w:eastAsia="Arial" w:hAnsi="Arial"/>
          <w:sz w:val="22"/>
          <w:szCs w:val="22"/>
        </w:rPr>
        <w:t xml:space="preserve">THIS PRODUCT: Verified sources + audit frameworks + practical tools at accessible price points</w:t>
      </w:r>
    </w:p>
    <w:p>
      <w:pPr>
        <w:pStyle w:val="Heading2"/>
        <w:spacing w:before="300" w:after="150"/>
      </w:pPr>
      <w:r>
        <w:rPr>
          <w:rFonts w:ascii="Arial" w:cs="Arial" w:eastAsia="Arial" w:hAnsi="Arial"/>
        </w:rPr>
        <w:t xml:space="preserve">3.2 Product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40"/>
        <w:gridCol w:w="1840"/>
      </w:tblGrid>
      <w:tr>
        <w:tc>
          <w:tcPr>
            <w:tcW w:type="dxa" w:w="200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8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18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Price Point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Open Source Core</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MCP server configs (CA law, CRC, CCR, USC), basic audit skills (civil rights, court order compliance), documentation</w:t>
            </w:r>
          </w:p>
        </w:tc>
        <w:tc>
          <w:tcPr>
            <w:tcW w:type="dxa" w:w="18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Everyone</w:t>
            </w:r>
          </w:p>
        </w:tc>
        <w:tc>
          <w:tcPr>
            <w:tcW w:type="dxa" w:w="18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Free (MIT/Apache)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Pro Se Toolkit</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All audit skills, forms library, deadline calculator, entity mapper, evidence tracker, citation formatter, setup guide</w:t>
            </w:r>
          </w:p>
        </w:tc>
        <w:tc>
          <w:tcPr>
            <w:tcW w:type="dxa" w:w="18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Self-represented litigants</w:t>
            </w:r>
          </w:p>
        </w:tc>
        <w:tc>
          <w:tcPr>
            <w:tcW w:type="dxa" w:w="18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$29-49/month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Professional Suite</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Everything in Pro Se + CourtListener integration, advanced workflow skills, custom audit skill builder, priority support</w:t>
            </w:r>
          </w:p>
        </w:tc>
        <w:tc>
          <w:tcPr>
            <w:tcW w:type="dxa" w:w="18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Attorneys, paralegals, legal aid</w:t>
            </w:r>
          </w:p>
        </w:tc>
        <w:tc>
          <w:tcPr>
            <w:tcW w:type="dxa" w:w="18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$79-149/month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Legal Aid License</w:t>
            </w:r>
          </w:p>
        </w:tc>
        <w:tc>
          <w:tcPr>
            <w:tcW w:type="dxa" w:w="3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Full Professional Suite at reduced or zero cost for qualifying 501(c)(3) legal aid organizations</w:t>
            </w:r>
          </w:p>
        </w:tc>
        <w:tc>
          <w:tcPr>
            <w:tcW w:type="dxa" w:w="18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Nonprofits</w:t>
            </w:r>
          </w:p>
        </w:tc>
        <w:tc>
          <w:tcPr>
            <w:tcW w:type="dxa" w:w="18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Free / Subsidized</w:t>
            </w:r>
          </w:p>
        </w:tc>
      </w:tr>
    </w:tbl>
    <w:p>
      <w:pPr>
        <w:pStyle w:val="Heading2"/>
        <w:spacing w:before="300" w:after="150"/>
      </w:pPr>
      <w:r>
        <w:rPr>
          <w:rFonts w:ascii="Arial" w:cs="Arial" w:eastAsia="Arial" w:hAnsi="Arial"/>
        </w:rPr>
        <w:t xml:space="preserve">3.3 Distribution Channels</w:t>
      </w:r>
    </w:p>
    <w:p>
      <w:pPr>
        <w:spacing w:after="100"/>
      </w:pPr>
      <w:r>
        <w:rPr>
          <w:rFonts w:ascii="Arial" w:cs="Arial" w:eastAsia="Arial" w:hAnsi="Arial"/>
          <w:b/>
          <w:bCs/>
          <w:sz w:val="22"/>
          <w:szCs w:val="22"/>
        </w:rPr>
        <w:t xml:space="preserve">Channel 1: Claude Project Skill Packages (.skill files)</w:t>
      </w:r>
      <w:r>
        <w:rPr>
          <w:rFonts w:ascii="Arial" w:cs="Arial" w:eastAsia="Arial" w:hAnsi="Arial"/>
          <w:sz w:val="22"/>
          <w:szCs w:val="22"/>
        </w:rPr>
        <w:t xml:space="preserve"/>
      </w:r>
    </w:p>
    <w:p>
      <w:pPr>
        <w:spacing w:after="120"/>
      </w:pPr>
      <w:r>
        <w:rPr>
          <w:rFonts w:ascii="Arial" w:cs="Arial" w:eastAsia="Arial" w:hAnsi="Arial"/>
          <w:sz w:val="22"/>
          <w:szCs w:val="22"/>
        </w:rPr>
        <w:t xml:space="preserve">Users import .skill files directly into their Claude Projects. This is the lowest-friction distribution method. Users already have Claude subscriptions; they simply add the skills.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Channel 2: GitHub Repository</w:t>
      </w:r>
      <w:r>
        <w:rPr>
          <w:rFonts w:ascii="Arial" w:cs="Arial" w:eastAsia="Arial" w:hAnsi="Arial"/>
          <w:sz w:val="22"/>
          <w:szCs w:val="22"/>
        </w:rPr>
        <w:t xml:space="preserve"/>
      </w:r>
    </w:p>
    <w:p>
      <w:pPr>
        <w:spacing w:after="120"/>
      </w:pPr>
      <w:r>
        <w:rPr>
          <w:rFonts w:ascii="Arial" w:cs="Arial" w:eastAsia="Arial" w:hAnsi="Arial"/>
          <w:sz w:val="22"/>
          <w:szCs w:val="22"/>
        </w:rPr>
        <w:t xml:space="preserve">Open-source core published on GitHub. MCP server configurations, basic skills, and documentation freely available. This builds community trust and drives adoption of paid tiers.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Channel 3: Dedicated Web Application</w:t>
      </w:r>
      <w:r>
        <w:rPr>
          <w:rFonts w:ascii="Arial" w:cs="Arial" w:eastAsia="Arial" w:hAnsi="Arial"/>
          <w:sz w:val="22"/>
          <w:szCs w:val="22"/>
        </w:rPr>
        <w:t xml:space="preserve"/>
      </w:r>
    </w:p>
    <w:p>
      <w:pPr>
        <w:spacing w:after="120"/>
      </w:pPr>
      <w:r>
        <w:rPr>
          <w:rFonts w:ascii="Arial" w:cs="Arial" w:eastAsia="Arial" w:hAnsi="Arial"/>
          <w:sz w:val="22"/>
          <w:szCs w:val="22"/>
        </w:rPr>
        <w:t xml:space="preserve">Longer-term: A standalone web application built on the Claude API that wraps the entire toolkit into a user-friendly interface. Non-technical users interact through a guided workflow rather than raw Claude conversations.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Channel 4: Partnership with Legal Aid</w:t>
      </w:r>
      <w:r>
        <w:rPr>
          <w:rFonts w:ascii="Arial" w:cs="Arial" w:eastAsia="Arial" w:hAnsi="Arial"/>
          <w:sz w:val="22"/>
          <w:szCs w:val="22"/>
        </w:rPr>
        <w:t xml:space="preserve"/>
      </w:r>
    </w:p>
    <w:p>
      <w:pPr>
        <w:spacing w:after="120"/>
      </w:pPr>
      <w:r>
        <w:rPr>
          <w:rFonts w:ascii="Arial" w:cs="Arial" w:eastAsia="Arial" w:hAnsi="Arial"/>
          <w:sz w:val="22"/>
          <w:szCs w:val="22"/>
        </w:rPr>
        <w:t xml:space="preserve">Direct partnership with California legal aid organizations (e.g., Bay Area Legal Aid, Legal Aid Society) to deploy the toolkit for their clients and staff.</w:t>
      </w:r>
    </w:p>
    <w:p>
      <w:pPr>
        <w:pStyle w:val="Heading2"/>
        <w:spacing w:before="300" w:after="150"/>
      </w:pPr>
      <w:r>
        <w:rPr>
          <w:rFonts w:ascii="Arial" w:cs="Arial" w:eastAsia="Arial" w:hAnsi="Arial"/>
        </w:rPr>
        <w:t xml:space="preserve">3.4 Revenue Model Options</w:t>
      </w:r>
    </w:p>
    <w:p>
      <w:pPr>
        <w:pStyle w:val="ListParagraph"/>
        <w:numPr>
          <w:ilvl w:val="0"/>
          <w:numId w:val="2"/>
        </w:numPr>
        <w:spacing w:after="60"/>
      </w:pPr>
      <w:r>
        <w:rPr>
          <w:rFonts w:ascii="Arial" w:cs="Arial" w:eastAsia="Arial" w:hAnsi="Arial"/>
          <w:sz w:val="22"/>
          <w:szCs w:val="22"/>
        </w:rPr>
        <w:t xml:space="preserve">Subscription SaaS: Monthly/annual subscriptions for Pro Se and Professional tiers</w:t>
      </w:r>
    </w:p>
    <w:p>
      <w:pPr>
        <w:pStyle w:val="ListParagraph"/>
        <w:numPr>
          <w:ilvl w:val="0"/>
          <w:numId w:val="2"/>
        </w:numPr>
        <w:spacing w:after="60"/>
      </w:pPr>
      <w:r>
        <w:rPr>
          <w:rFonts w:ascii="Arial" w:cs="Arial" w:eastAsia="Arial" w:hAnsi="Arial"/>
          <w:sz w:val="22"/>
          <w:szCs w:val="22"/>
        </w:rPr>
        <w:t xml:space="preserve">Freemium + Premium: Free core with paid advanced features</w:t>
      </w:r>
    </w:p>
    <w:p>
      <w:pPr>
        <w:pStyle w:val="ListParagraph"/>
        <w:numPr>
          <w:ilvl w:val="0"/>
          <w:numId w:val="2"/>
        </w:numPr>
        <w:spacing w:after="60"/>
      </w:pPr>
      <w:r>
        <w:rPr>
          <w:rFonts w:ascii="Arial" w:cs="Arial" w:eastAsia="Arial" w:hAnsi="Arial"/>
          <w:sz w:val="22"/>
          <w:szCs w:val="22"/>
        </w:rPr>
        <w:t xml:space="preserve">Institutional Licensing: Bulk licenses for law firms, legal aid orgs, law schools</w:t>
      </w:r>
    </w:p>
    <w:p>
      <w:pPr>
        <w:pStyle w:val="ListParagraph"/>
        <w:numPr>
          <w:ilvl w:val="0"/>
          <w:numId w:val="2"/>
        </w:numPr>
        <w:spacing w:after="60"/>
      </w:pPr>
      <w:r>
        <w:rPr>
          <w:rFonts w:ascii="Arial" w:cs="Arial" w:eastAsia="Arial" w:hAnsi="Arial"/>
          <w:sz w:val="22"/>
          <w:szCs w:val="22"/>
        </w:rPr>
        <w:t xml:space="preserve">API Access: Developers building on top of the audit frameworks pay per-call</w:t>
      </w:r>
    </w:p>
    <w:p>
      <w:pPr>
        <w:pStyle w:val="ListParagraph"/>
        <w:numPr>
          <w:ilvl w:val="0"/>
          <w:numId w:val="2"/>
        </w:numPr>
        <w:spacing w:after="60"/>
      </w:pPr>
      <w:r>
        <w:rPr>
          <w:rFonts w:ascii="Arial" w:cs="Arial" w:eastAsia="Arial" w:hAnsi="Arial"/>
          <w:sz w:val="22"/>
          <w:szCs w:val="22"/>
        </w:rPr>
        <w:t xml:space="preserve">Consulting/Custom: Custom audit skill development for specific practice areas or jurisdictions</w:t>
      </w:r>
    </w:p>
    <w:p>
      <w:pPr>
        <w:pStyle w:val="Heading2"/>
        <w:spacing w:before="300" w:after="150"/>
      </w:pPr>
      <w:r>
        <w:rPr>
          <w:rFonts w:ascii="Arial" w:cs="Arial" w:eastAsia="Arial" w:hAnsi="Arial"/>
        </w:rPr>
        <w:t xml:space="preserve">3.5 Legal &amp; Ethical Considerations</w:t>
      </w:r>
    </w:p>
    <w:p>
      <w:pPr>
        <w:spacing w:after="100"/>
      </w:pPr>
      <w:r>
        <w:rPr>
          <w:rFonts w:ascii="Arial" w:cs="Arial" w:eastAsia="Arial" w:hAnsi="Arial"/>
          <w:b/>
          <w:bCs/>
          <w:sz w:val="22"/>
          <w:szCs w:val="22"/>
        </w:rPr>
        <w:t xml:space="preserve">Unauthorized Practice of Law (UPL): </w:t>
      </w:r>
      <w:r>
        <w:rPr>
          <w:rFonts w:ascii="Arial" w:cs="Arial" w:eastAsia="Arial" w:hAnsi="Arial"/>
          <w:sz w:val="22"/>
          <w:szCs w:val="22"/>
        </w:rPr>
        <w:t xml:space="preserve">The product must be clearly positioned as a legal analysis and document preparation tool, not as providing legal advice. All guardrails from the project-context-and-guardrails skill must be built into any distributed version. Attorney consultation recommendations must be prominent.</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Disclaimer requirements: </w:t>
      </w:r>
      <w:r>
        <w:rPr>
          <w:rFonts w:ascii="Arial" w:cs="Arial" w:eastAsia="Arial" w:hAnsi="Arial"/>
          <w:sz w:val="22"/>
          <w:szCs w:val="22"/>
        </w:rPr>
        <w:t xml:space="preserve">Every output must carry clear disclaimers that the tool does not replace attorney representation, does not create attorney-client privilege, and that all outputs require professional review for legal sufficiency.</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Professional responsibility: </w:t>
      </w:r>
      <w:r>
        <w:rPr>
          <w:rFonts w:ascii="Arial" w:cs="Arial" w:eastAsia="Arial" w:hAnsi="Arial"/>
          <w:sz w:val="22"/>
          <w:szCs w:val="22"/>
        </w:rPr>
        <w:t xml:space="preserve">If distributed to attorneys, the tool must make clear that the attorney remains responsible for all work product. The tool assists analysis; it does not replace professional judgment.</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Data privacy: </w:t>
      </w:r>
      <w:r>
        <w:rPr>
          <w:rFonts w:ascii="Arial" w:cs="Arial" w:eastAsia="Arial" w:hAnsi="Arial"/>
          <w:sz w:val="22"/>
          <w:szCs w:val="22"/>
        </w:rPr>
        <w:t xml:space="preserve">Any web application version must ensure that user-uploaded documents (court filings, medical records, financial documents) are processed with end-to-end encryption and never stored beyond the session unless explicitly authorized.</w:t>
      </w:r>
    </w:p>
    <w:p>
      <w:r>
        <w:br w:type="page"/>
      </w:r>
    </w:p>
    <w:p>
      <w:pPr>
        <w:pStyle w:val="Heading1"/>
        <w:spacing w:before="300" w:after="150"/>
      </w:pPr>
      <w:r>
        <w:rPr>
          <w:rFonts w:ascii="Arial" w:cs="Arial" w:eastAsia="Arial" w:hAnsi="Arial"/>
        </w:rPr>
        <w:t xml:space="preserve">PART IV: IMPLEMENTATION ROADMAP</w:t>
      </w:r>
    </w:p>
    <w:p>
      <w:pPr>
        <w:pStyle w:val="Heading2"/>
        <w:spacing w:before="300" w:after="150"/>
      </w:pPr>
      <w:r>
        <w:rPr>
          <w:rFonts w:ascii="Arial" w:cs="Arial" w:eastAsia="Arial" w:hAnsi="Arial"/>
        </w:rPr>
        <w:t xml:space="preserve">4.1 Phase 1: Internal Completion (Weeks 1-3)</w:t>
      </w:r>
    </w:p>
    <w:p>
      <w:pPr>
        <w:spacing w:after="100"/>
      </w:pPr>
      <w:r>
        <w:rPr>
          <w:rFonts w:ascii="Arial" w:cs="Arial" w:eastAsia="Arial" w:hAnsi="Arial"/>
          <w:b/>
          <w:bCs/>
          <w:sz w:val="22"/>
          <w:szCs w:val="22"/>
        </w:rPr>
        <w:t xml:space="preserve">Objective: </w:t>
      </w:r>
      <w:r>
        <w:rPr>
          <w:rFonts w:ascii="Arial" w:cs="Arial" w:eastAsia="Arial" w:hAnsi="Arial"/>
          <w:sz w:val="22"/>
          <w:szCs w:val="22"/>
        </w:rPr>
        <w:t xml:space="preserve">Complete all identified enhancements for H’s own use.</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Week 1: CourtListener MCP integration (token setup, configuration, testing against live cases)</w:t>
      </w:r>
    </w:p>
    <w:p>
      <w:pPr>
        <w:pStyle w:val="ListParagraph"/>
        <w:numPr>
          <w:ilvl w:val="0"/>
          <w:numId w:val="2"/>
        </w:numPr>
        <w:spacing w:after="60"/>
      </w:pPr>
      <w:r>
        <w:rPr>
          <w:rFonts w:ascii="Arial" w:cs="Arial" w:eastAsia="Arial" w:hAnsi="Arial"/>
          <w:sz w:val="22"/>
          <w:szCs w:val="22"/>
        </w:rPr>
        <w:t xml:space="preserve">Week 1: Filing Deadline Calculator skill (CCP rules, court holidays, service extensions)</w:t>
      </w:r>
    </w:p>
    <w:p>
      <w:pPr>
        <w:pStyle w:val="ListParagraph"/>
        <w:numPr>
          <w:ilvl w:val="0"/>
          <w:numId w:val="2"/>
        </w:numPr>
        <w:spacing w:after="60"/>
      </w:pPr>
      <w:r>
        <w:rPr>
          <w:rFonts w:ascii="Arial" w:cs="Arial" w:eastAsia="Arial" w:hAnsi="Arial"/>
          <w:sz w:val="22"/>
          <w:szCs w:val="22"/>
        </w:rPr>
        <w:t xml:space="preserve">Week 2: Judicial Council Forms reference database (family law, DV, custody, civil)</w:t>
      </w:r>
    </w:p>
    <w:p>
      <w:pPr>
        <w:pStyle w:val="ListParagraph"/>
        <w:numPr>
          <w:ilvl w:val="0"/>
          <w:numId w:val="2"/>
        </w:numPr>
        <w:spacing w:after="60"/>
      </w:pPr>
      <w:r>
        <w:rPr>
          <w:rFonts w:ascii="Arial" w:cs="Arial" w:eastAsia="Arial" w:hAnsi="Arial"/>
          <w:sz w:val="22"/>
          <w:szCs w:val="22"/>
        </w:rPr>
        <w:t xml:space="preserve">Week 2: Entity Relationship Mapper skill</w:t>
      </w:r>
    </w:p>
    <w:p>
      <w:pPr>
        <w:pStyle w:val="ListParagraph"/>
        <w:numPr>
          <w:ilvl w:val="0"/>
          <w:numId w:val="2"/>
        </w:numPr>
        <w:spacing w:after="60"/>
      </w:pPr>
      <w:r>
        <w:rPr>
          <w:rFonts w:ascii="Arial" w:cs="Arial" w:eastAsia="Arial" w:hAnsi="Arial"/>
          <w:sz w:val="22"/>
          <w:szCs w:val="22"/>
        </w:rPr>
        <w:t xml:space="preserve">Week 3: Evidence Provenance Tracker skill</w:t>
      </w:r>
    </w:p>
    <w:p>
      <w:pPr>
        <w:pStyle w:val="ListParagraph"/>
        <w:numPr>
          <w:ilvl w:val="0"/>
          <w:numId w:val="2"/>
        </w:numPr>
        <w:spacing w:after="60"/>
      </w:pPr>
      <w:r>
        <w:rPr>
          <w:rFonts w:ascii="Arial" w:cs="Arial" w:eastAsia="Arial" w:hAnsi="Arial"/>
          <w:sz w:val="22"/>
          <w:szCs w:val="22"/>
        </w:rPr>
        <w:t xml:space="preserve">Week 3: California Style Manual citation formatter extension</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Deliverable: </w:t>
      </w:r>
      <w:r>
        <w:rPr>
          <w:rFonts w:ascii="Arial" w:cs="Arial" w:eastAsia="Arial" w:hAnsi="Arial"/>
          <w:sz w:val="22"/>
          <w:szCs w:val="22"/>
        </w:rPr>
        <w:t xml:space="preserve">Fully functional toolkit with all 6 enhancements operational.</w:t>
      </w:r>
    </w:p>
    <w:p>
      <w:pPr>
        <w:pStyle w:val="Heading2"/>
        <w:spacing w:before="300" w:after="150"/>
      </w:pPr>
      <w:r>
        <w:rPr>
          <w:rFonts w:ascii="Arial" w:cs="Arial" w:eastAsia="Arial" w:hAnsi="Arial"/>
        </w:rPr>
        <w:t xml:space="preserve">4.2 Phase 2: Package &amp; Document (Weeks 4-6)</w:t>
      </w:r>
    </w:p>
    <w:p>
      <w:pPr>
        <w:spacing w:after="100"/>
      </w:pPr>
      <w:r>
        <w:rPr>
          <w:rFonts w:ascii="Arial" w:cs="Arial" w:eastAsia="Arial" w:hAnsi="Arial"/>
          <w:b/>
          <w:bCs/>
          <w:sz w:val="22"/>
          <w:szCs w:val="22"/>
        </w:rPr>
        <w:t xml:space="preserve">Objective: </w:t>
      </w:r>
      <w:r>
        <w:rPr>
          <w:rFonts w:ascii="Arial" w:cs="Arial" w:eastAsia="Arial" w:hAnsi="Arial"/>
          <w:sz w:val="22"/>
          <w:szCs w:val="22"/>
        </w:rPr>
        <w:t xml:space="preserve">Prepare all components for distribution.</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Clean all skills for external consumption (remove case-specific examples, generalize)</w:t>
      </w:r>
    </w:p>
    <w:p>
      <w:pPr>
        <w:pStyle w:val="ListParagraph"/>
        <w:numPr>
          <w:ilvl w:val="0"/>
          <w:numId w:val="2"/>
        </w:numPr>
        <w:spacing w:after="60"/>
      </w:pPr>
      <w:r>
        <w:rPr>
          <w:rFonts w:ascii="Arial" w:cs="Arial" w:eastAsia="Arial" w:hAnsi="Arial"/>
          <w:sz w:val="22"/>
          <w:szCs w:val="22"/>
        </w:rPr>
        <w:t xml:space="preserve">Package each skill as .skill file using package_skill.py</w:t>
      </w:r>
    </w:p>
    <w:p>
      <w:pPr>
        <w:pStyle w:val="ListParagraph"/>
        <w:numPr>
          <w:ilvl w:val="0"/>
          <w:numId w:val="2"/>
        </w:numPr>
        <w:spacing w:after="60"/>
      </w:pPr>
      <w:r>
        <w:rPr>
          <w:rFonts w:ascii="Arial" w:cs="Arial" w:eastAsia="Arial" w:hAnsi="Arial"/>
          <w:sz w:val="22"/>
          <w:szCs w:val="22"/>
        </w:rPr>
        <w:t xml:space="preserve">Write setup documentation for each MCP server</w:t>
      </w:r>
    </w:p>
    <w:p>
      <w:pPr>
        <w:pStyle w:val="ListParagraph"/>
        <w:numPr>
          <w:ilvl w:val="0"/>
          <w:numId w:val="2"/>
        </w:numPr>
        <w:spacing w:after="60"/>
      </w:pPr>
      <w:r>
        <w:rPr>
          <w:rFonts w:ascii="Arial" w:cs="Arial" w:eastAsia="Arial" w:hAnsi="Arial"/>
          <w:sz w:val="22"/>
          <w:szCs w:val="22"/>
        </w:rPr>
        <w:t xml:space="preserve">Create user guides for each skill (audience-appropriate: pro se vs. attorney)</w:t>
      </w:r>
    </w:p>
    <w:p>
      <w:pPr>
        <w:pStyle w:val="ListParagraph"/>
        <w:numPr>
          <w:ilvl w:val="0"/>
          <w:numId w:val="2"/>
        </w:numPr>
        <w:spacing w:after="60"/>
      </w:pPr>
      <w:r>
        <w:rPr>
          <w:rFonts w:ascii="Arial" w:cs="Arial" w:eastAsia="Arial" w:hAnsi="Arial"/>
          <w:sz w:val="22"/>
          <w:szCs w:val="22"/>
        </w:rPr>
        <w:t xml:space="preserve">Build a demo video or walkthrough showing end-to-end workflow</w:t>
      </w:r>
    </w:p>
    <w:p>
      <w:pPr>
        <w:pStyle w:val="ListParagraph"/>
        <w:numPr>
          <w:ilvl w:val="0"/>
          <w:numId w:val="2"/>
        </w:numPr>
        <w:spacing w:after="60"/>
      </w:pPr>
      <w:r>
        <w:rPr>
          <w:rFonts w:ascii="Arial" w:cs="Arial" w:eastAsia="Arial" w:hAnsi="Arial"/>
          <w:sz w:val="22"/>
          <w:szCs w:val="22"/>
        </w:rPr>
        <w:t xml:space="preserve">Create the open-source GitHub repository with core components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Deliverable: </w:t>
      </w:r>
      <w:r>
        <w:rPr>
          <w:rFonts w:ascii="Arial" w:cs="Arial" w:eastAsia="Arial" w:hAnsi="Arial"/>
          <w:sz w:val="22"/>
          <w:szCs w:val="22"/>
        </w:rPr>
        <w:t xml:space="preserve">Complete distribution package ready for beta testing.</w:t>
      </w:r>
    </w:p>
    <w:p>
      <w:pPr>
        <w:pStyle w:val="Heading2"/>
        <w:spacing w:before="300" w:after="150"/>
      </w:pPr>
      <w:r>
        <w:rPr>
          <w:rFonts w:ascii="Arial" w:cs="Arial" w:eastAsia="Arial" w:hAnsi="Arial"/>
        </w:rPr>
        <w:t xml:space="preserve">4.3 Phase 3: Beta Distribution (Weeks 7-10)</w:t>
      </w:r>
    </w:p>
    <w:p>
      <w:pPr>
        <w:spacing w:after="100"/>
      </w:pPr>
      <w:r>
        <w:rPr>
          <w:rFonts w:ascii="Arial" w:cs="Arial" w:eastAsia="Arial" w:hAnsi="Arial"/>
          <w:b/>
          <w:bCs/>
          <w:sz w:val="22"/>
          <w:szCs w:val="22"/>
        </w:rPr>
        <w:t xml:space="preserve">Objective: </w:t>
      </w:r>
      <w:r>
        <w:rPr>
          <w:rFonts w:ascii="Arial" w:cs="Arial" w:eastAsia="Arial" w:hAnsi="Arial"/>
          <w:sz w:val="22"/>
          <w:szCs w:val="22"/>
        </w:rPr>
        <w:t xml:space="preserve">Get real-world feedback from target users.</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Recruit 10-20 beta testers across target audiences (pro se, solo attorneys, paralegals, legal aid staff)</w:t>
      </w:r>
    </w:p>
    <w:p>
      <w:pPr>
        <w:pStyle w:val="ListParagraph"/>
        <w:numPr>
          <w:ilvl w:val="0"/>
          <w:numId w:val="2"/>
        </w:numPr>
        <w:spacing w:after="60"/>
      </w:pPr>
      <w:r>
        <w:rPr>
          <w:rFonts w:ascii="Arial" w:cs="Arial" w:eastAsia="Arial" w:hAnsi="Arial"/>
          <w:sz w:val="22"/>
          <w:szCs w:val="22"/>
        </w:rPr>
        <w:t xml:space="preserve">Provide skills packages and MCP configs with setup support</w:t>
      </w:r>
    </w:p>
    <w:p>
      <w:pPr>
        <w:pStyle w:val="ListParagraph"/>
        <w:numPr>
          <w:ilvl w:val="0"/>
          <w:numId w:val="2"/>
        </w:numPr>
        <w:spacing w:after="60"/>
      </w:pPr>
      <w:r>
        <w:rPr>
          <w:rFonts w:ascii="Arial" w:cs="Arial" w:eastAsia="Arial" w:hAnsi="Arial"/>
          <w:sz w:val="22"/>
          <w:szCs w:val="22"/>
        </w:rPr>
        <w:t xml:space="preserve">Collect structured feedback on utility, accuracy, ease of setup</w:t>
      </w:r>
    </w:p>
    <w:p>
      <w:pPr>
        <w:pStyle w:val="ListParagraph"/>
        <w:numPr>
          <w:ilvl w:val="0"/>
          <w:numId w:val="2"/>
        </w:numPr>
        <w:spacing w:after="60"/>
      </w:pPr>
      <w:r>
        <w:rPr>
          <w:rFonts w:ascii="Arial" w:cs="Arial" w:eastAsia="Arial" w:hAnsi="Arial"/>
          <w:sz w:val="22"/>
          <w:szCs w:val="22"/>
        </w:rPr>
        <w:t xml:space="preserve">Iterate on skills based on feedback (2-3 revision cycles)</w:t>
      </w:r>
    </w:p>
    <w:p>
      <w:pPr>
        <w:pStyle w:val="ListParagraph"/>
        <w:numPr>
          <w:ilvl w:val="0"/>
          <w:numId w:val="2"/>
        </w:numPr>
        <w:spacing w:after="60"/>
      </w:pPr>
      <w:r>
        <w:rPr>
          <w:rFonts w:ascii="Arial" w:cs="Arial" w:eastAsia="Arial" w:hAnsi="Arial"/>
          <w:sz w:val="22"/>
          <w:szCs w:val="22"/>
        </w:rPr>
        <w:t xml:space="preserve">Identify additional audit skills needed by beta users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Deliverable: </w:t>
      </w:r>
      <w:r>
        <w:rPr>
          <w:rFonts w:ascii="Arial" w:cs="Arial" w:eastAsia="Arial" w:hAnsi="Arial"/>
          <w:sz w:val="22"/>
          <w:szCs w:val="22"/>
        </w:rPr>
        <w:t xml:space="preserve">Validated product with real-world testing data.</w:t>
      </w:r>
    </w:p>
    <w:p>
      <w:pPr>
        <w:pStyle w:val="Heading2"/>
        <w:spacing w:before="300" w:after="150"/>
      </w:pPr>
      <w:r>
        <w:rPr>
          <w:rFonts w:ascii="Arial" w:cs="Arial" w:eastAsia="Arial" w:hAnsi="Arial"/>
        </w:rPr>
        <w:t xml:space="preserve">4.4 Phase 4: Public Launch (Weeks 11-16)</w:t>
      </w:r>
    </w:p>
    <w:p>
      <w:pPr>
        <w:spacing w:after="100"/>
      </w:pPr>
      <w:r>
        <w:rPr>
          <w:rFonts w:ascii="Arial" w:cs="Arial" w:eastAsia="Arial" w:hAnsi="Arial"/>
          <w:b/>
          <w:bCs/>
          <w:sz w:val="22"/>
          <w:szCs w:val="22"/>
        </w:rPr>
        <w:t xml:space="preserve">Objective: </w:t>
      </w:r>
      <w:r>
        <w:rPr>
          <w:rFonts w:ascii="Arial" w:cs="Arial" w:eastAsia="Arial" w:hAnsi="Arial"/>
          <w:sz w:val="22"/>
          <w:szCs w:val="22"/>
        </w:rPr>
        <w:t xml:space="preserve">Public availability of the product.</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Launch open-source core on GitHub</w:t>
      </w:r>
    </w:p>
    <w:p>
      <w:pPr>
        <w:pStyle w:val="ListParagraph"/>
        <w:numPr>
          <w:ilvl w:val="0"/>
          <w:numId w:val="2"/>
        </w:numPr>
        <w:spacing w:after="60"/>
      </w:pPr>
      <w:r>
        <w:rPr>
          <w:rFonts w:ascii="Arial" w:cs="Arial" w:eastAsia="Arial" w:hAnsi="Arial"/>
          <w:sz w:val="22"/>
          <w:szCs w:val="22"/>
        </w:rPr>
        <w:t xml:space="preserve">Set up payment/subscription infrastructure for paid tiers</w:t>
      </w:r>
    </w:p>
    <w:p>
      <w:pPr>
        <w:pStyle w:val="ListParagraph"/>
        <w:numPr>
          <w:ilvl w:val="0"/>
          <w:numId w:val="2"/>
        </w:numPr>
        <w:spacing w:after="60"/>
      </w:pPr>
      <w:r>
        <w:rPr>
          <w:rFonts w:ascii="Arial" w:cs="Arial" w:eastAsia="Arial" w:hAnsi="Arial"/>
          <w:sz w:val="22"/>
          <w:szCs w:val="22"/>
        </w:rPr>
        <w:t xml:space="preserve">Publish on relevant platforms (legal tech forums, Reddit r/LawFirm, etc.)</w:t>
      </w:r>
    </w:p>
    <w:p>
      <w:pPr>
        <w:pStyle w:val="ListParagraph"/>
        <w:numPr>
          <w:ilvl w:val="0"/>
          <w:numId w:val="2"/>
        </w:numPr>
        <w:spacing w:after="60"/>
      </w:pPr>
      <w:r>
        <w:rPr>
          <w:rFonts w:ascii="Arial" w:cs="Arial" w:eastAsia="Arial" w:hAnsi="Arial"/>
          <w:sz w:val="22"/>
          <w:szCs w:val="22"/>
        </w:rPr>
        <w:t xml:space="preserve">Submit for coverage in legal technology publications (Above the Law, Law Technology Today)</w:t>
      </w:r>
    </w:p>
    <w:p>
      <w:pPr>
        <w:pStyle w:val="ListParagraph"/>
        <w:numPr>
          <w:ilvl w:val="0"/>
          <w:numId w:val="2"/>
        </w:numPr>
        <w:spacing w:after="60"/>
      </w:pPr>
      <w:r>
        <w:rPr>
          <w:rFonts w:ascii="Arial" w:cs="Arial" w:eastAsia="Arial" w:hAnsi="Arial"/>
          <w:sz w:val="22"/>
          <w:szCs w:val="22"/>
        </w:rPr>
        <w:t xml:space="preserve">Begin legal aid partnership outreach</w:t>
      </w:r>
    </w:p>
    <w:p>
      <w:pPr>
        <w:pStyle w:val="ListParagraph"/>
        <w:numPr>
          <w:ilvl w:val="0"/>
          <w:numId w:val="2"/>
        </w:numPr>
        <w:spacing w:after="60"/>
      </w:pPr>
      <w:r>
        <w:rPr>
          <w:rFonts w:ascii="Arial" w:cs="Arial" w:eastAsia="Arial" w:hAnsi="Arial"/>
          <w:sz w:val="22"/>
          <w:szCs w:val="22"/>
        </w:rPr>
        <w:t xml:space="preserve">Scope standalone web application for non-technical users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Deliverable: </w:t>
      </w:r>
      <w:r>
        <w:rPr>
          <w:rFonts w:ascii="Arial" w:cs="Arial" w:eastAsia="Arial" w:hAnsi="Arial"/>
          <w:sz w:val="22"/>
          <w:szCs w:val="22"/>
        </w:rPr>
        <w:t xml:space="preserve">Live product with paying customers and open-source community.</w:t>
      </w:r>
    </w:p>
    <w:p>
      <w:r>
        <w:br w:type="page"/>
      </w:r>
    </w:p>
    <w:p>
      <w:pPr>
        <w:pStyle w:val="Heading1"/>
        <w:spacing w:before="300" w:after="150"/>
      </w:pPr>
      <w:r>
        <w:rPr>
          <w:rFonts w:ascii="Arial" w:cs="Arial" w:eastAsia="Arial" w:hAnsi="Arial"/>
        </w:rPr>
        <w:t xml:space="preserve">APPENDIX: Technical Specifications</w:t>
      </w:r>
    </w:p>
    <w:p>
      <w:pPr>
        <w:pStyle w:val="Heading2"/>
        <w:spacing w:before="300" w:after="150"/>
      </w:pPr>
      <w:r>
        <w:rPr>
          <w:rFonts w:ascii="Arial" w:cs="Arial" w:eastAsia="Arial" w:hAnsi="Arial"/>
        </w:rPr>
        <w:t xml:space="preserve">A.1 Component Count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 Type</w:t>
            </w:r>
          </w:p>
        </w:tc>
        <w:tc>
          <w:tcPr>
            <w:tcW w:type="dxa" w:w="23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Count</w:t>
            </w:r>
          </w:p>
        </w:tc>
        <w:tc>
          <w:tcPr>
            <w:tcW w:type="dxa" w:w="2340"/>
            <w:tcBorders>
              <w:top w:val="single" w:color="999999" w:sz="1"/>
              <w:left w:val="single" w:color="999999" w:sz="1"/>
              <w:bottom w:val="single" w:color="999999" w:sz="1"/>
              <w:right w:val="single" w:color="99999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After Enhancements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MCP Server Connections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Audit Skills (Domain-Specific)</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Infrastructure Skills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Platform Tools (Built-in)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TOTAL COMPONENTS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32+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37+</w:t>
            </w:r>
          </w:p>
        </w:tc>
      </w:tr>
    </w:tbl>
    <w:p>
      <w:pPr>
        <w:pStyle w:val="Heading2"/>
        <w:spacing w:before="300" w:after="150"/>
      </w:pPr>
      <w:r>
        <w:rPr>
          <w:rFonts w:ascii="Arial" w:cs="Arial" w:eastAsia="Arial" w:hAnsi="Arial"/>
        </w:rPr>
        <w:t xml:space="preserve">A.2 CourtListener MCP Configuration</w:t>
      </w:r>
    </w:p>
    <w:p>
      <w:pPr>
        <w:spacing w:after="120"/>
      </w:pPr>
      <w:r>
        <w:rPr>
          <w:rFonts w:ascii="Arial" w:cs="Arial" w:eastAsia="Arial" w:hAnsi="Arial"/>
          <w:sz w:val="22"/>
          <w:szCs w:val="22"/>
        </w:rPr>
        <w:t xml:space="preserve">The existing npm package @us-legal-tools/courtlistener-sdk (v1.5.2) provides a complete MCP server. Configuration requires:</w:t>
      </w:r>
    </w:p>
    <w:p>
      <w:pPr>
        <w:pStyle w:val="ListParagraph"/>
        <w:numPr>
          <w:ilvl w:val="0"/>
          <w:numId w:val="2"/>
        </w:numPr>
        <w:spacing w:after="60"/>
      </w:pPr>
      <w:r>
        <w:rPr>
          <w:rFonts w:ascii="Arial" w:cs="Arial" w:eastAsia="Arial" w:hAnsi="Arial"/>
          <w:sz w:val="22"/>
          <w:szCs w:val="22"/>
        </w:rPr>
        <w:t xml:space="preserve">CourtListener API token (free registration at courtlistener.com)</w:t>
      </w:r>
    </w:p>
    <w:p>
      <w:pPr>
        <w:pStyle w:val="ListParagraph"/>
        <w:numPr>
          <w:ilvl w:val="0"/>
          <w:numId w:val="2"/>
        </w:numPr>
        <w:spacing w:after="60"/>
      </w:pPr>
      <w:r>
        <w:rPr>
          <w:rFonts w:ascii="Arial" w:cs="Arial" w:eastAsia="Arial" w:hAnsi="Arial"/>
          <w:sz w:val="22"/>
          <w:szCs w:val="22"/>
        </w:rPr>
        <w:t xml:space="preserve">npm install @us-legal-tools/courtlistener-sdk</w:t>
      </w:r>
    </w:p>
    <w:p>
      <w:pPr>
        <w:pStyle w:val="ListParagraph"/>
        <w:numPr>
          <w:ilvl w:val="0"/>
          <w:numId w:val="2"/>
        </w:numPr>
        <w:spacing w:after="60"/>
      </w:pPr>
      <w:r>
        <w:rPr>
          <w:rFonts w:ascii="Arial" w:cs="Arial" w:eastAsia="Arial" w:hAnsi="Arial"/>
          <w:sz w:val="22"/>
          <w:szCs w:val="22"/>
        </w:rPr>
        <w:t xml:space="preserve">MCP server registration in Claude desktop config or Claude.ai connector settings</w:t>
      </w:r>
    </w:p>
    <w:p>
      <w:pPr>
        <w:pStyle w:val="ListParagraph"/>
        <w:numPr>
          <w:ilvl w:val="0"/>
          <w:numId w:val="2"/>
        </w:numPr>
        <w:spacing w:after="60"/>
      </w:pPr>
      <w:r>
        <w:rPr>
          <w:rFonts w:ascii="Arial" w:cs="Arial" w:eastAsia="Arial" w:hAnsi="Arial"/>
          <w:sz w:val="22"/>
          <w:szCs w:val="22"/>
        </w:rPr>
        <w:t xml:space="preserve">Environment variable: COURTLISTENER_API_TOKEN=&lt;token&gt;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SDK provides tools for: opinion search, citation lookup, docket retrieval, judge data, oral arguments, PACER integration, and real-time alerts. Free tier supports 5,000 API requests per day.</w:t>
      </w:r>
    </w:p>
    <w:p>
      <w:pPr>
        <w:pStyle w:val="Heading2"/>
        <w:spacing w:before="300" w:after="150"/>
      </w:pPr>
      <w:r>
        <w:rPr>
          <w:rFonts w:ascii="Arial" w:cs="Arial" w:eastAsia="Arial" w:hAnsi="Arial"/>
        </w:rPr>
        <w:t xml:space="preserve">A.3 Skill Architecture Pattern</w:t>
      </w:r>
    </w:p>
    <w:p>
      <w:pPr>
        <w:spacing w:after="120"/>
      </w:pPr>
      <w:r>
        <w:rPr>
          <w:rFonts w:ascii="Arial" w:cs="Arial" w:eastAsia="Arial" w:hAnsi="Arial"/>
          <w:sz w:val="22"/>
          <w:szCs w:val="22"/>
        </w:rPr>
        <w:t xml:space="preserve">All audit skills follow a consistent architecture pattern:</w:t>
      </w:r>
    </w:p>
    <w:p>
      <w:pPr>
        <w:pStyle w:val="ListParagraph"/>
        <w:numPr>
          <w:ilvl w:val="0"/>
          <w:numId w:val="2"/>
        </w:numPr>
        <w:spacing w:after="60"/>
      </w:pPr>
      <w:r>
        <w:rPr>
          <w:rFonts w:ascii="Arial" w:cs="Arial" w:eastAsia="Arial" w:hAnsi="Arial"/>
          <w:sz w:val="22"/>
          <w:szCs w:val="22"/>
        </w:rPr>
        <w:t xml:space="preserve">SKILL.md with YAML frontmatter (name + description for triggering)</w:t>
      </w:r>
    </w:p>
    <w:p>
      <w:pPr>
        <w:pStyle w:val="ListParagraph"/>
        <w:numPr>
          <w:ilvl w:val="0"/>
          <w:numId w:val="2"/>
        </w:numPr>
        <w:spacing w:after="60"/>
      </w:pPr>
      <w:r>
        <w:rPr>
          <w:rFonts w:ascii="Arial" w:cs="Arial" w:eastAsia="Arial" w:hAnsi="Arial"/>
          <w:sz w:val="22"/>
          <w:szCs w:val="22"/>
        </w:rPr>
        <w:t xml:space="preserve">Passive activation model: Skills trigger automatically when relevant content is detected</w:t>
      </w:r>
    </w:p>
    <w:p>
      <w:pPr>
        <w:pStyle w:val="ListParagraph"/>
        <w:numPr>
          <w:ilvl w:val="0"/>
          <w:numId w:val="2"/>
        </w:numPr>
        <w:spacing w:after="60"/>
      </w:pPr>
      <w:r>
        <w:rPr>
          <w:rFonts w:ascii="Arial" w:cs="Arial" w:eastAsia="Arial" w:hAnsi="Arial"/>
          <w:sz w:val="22"/>
          <w:szCs w:val="22"/>
        </w:rPr>
        <w:t xml:space="preserve">Governing standards section: Cites specific statutes, rules, or regulations</w:t>
      </w:r>
    </w:p>
    <w:p>
      <w:pPr>
        <w:pStyle w:val="ListParagraph"/>
        <w:numPr>
          <w:ilvl w:val="0"/>
          <w:numId w:val="2"/>
        </w:numPr>
        <w:spacing w:after="60"/>
      </w:pPr>
      <w:r>
        <w:rPr>
          <w:rFonts w:ascii="Arial" w:cs="Arial" w:eastAsia="Arial" w:hAnsi="Arial"/>
          <w:sz w:val="22"/>
          <w:szCs w:val="22"/>
        </w:rPr>
        <w:t xml:space="preserve">Audit trigger conditions: Defines what user input or document content activates the skill</w:t>
      </w:r>
    </w:p>
    <w:p>
      <w:pPr>
        <w:pStyle w:val="ListParagraph"/>
        <w:numPr>
          <w:ilvl w:val="0"/>
          <w:numId w:val="2"/>
        </w:numPr>
        <w:spacing w:after="60"/>
      </w:pPr>
      <w:r>
        <w:rPr>
          <w:rFonts w:ascii="Arial" w:cs="Arial" w:eastAsia="Arial" w:hAnsi="Arial"/>
          <w:sz w:val="22"/>
          <w:szCs w:val="22"/>
        </w:rPr>
        <w:t xml:space="preserve">Assessment framework: Structured analytical process (5-step for most skills)</w:t>
      </w:r>
    </w:p>
    <w:p>
      <w:pPr>
        <w:pStyle w:val="ListParagraph"/>
        <w:numPr>
          <w:ilvl w:val="0"/>
          <w:numId w:val="2"/>
        </w:numPr>
        <w:spacing w:after="60"/>
      </w:pPr>
      <w:r>
        <w:rPr>
          <w:rFonts w:ascii="Arial" w:cs="Arial" w:eastAsia="Arial" w:hAnsi="Arial"/>
          <w:sz w:val="22"/>
          <w:szCs w:val="22"/>
        </w:rPr>
        <w:t xml:space="preserve">Output protocol: Standardized flag format for detected violations/deviations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pattern ensures consistency across all audit skills and allows new skills to be created rapidly by following the established template.</w:t>
      </w:r>
    </w:p>
    <w:p>
      <w:pPr>
        <w:pStyle w:val="Heading2"/>
        <w:spacing w:before="300" w:after="150"/>
      </w:pPr>
      <w:r>
        <w:rPr>
          <w:rFonts w:ascii="Arial" w:cs="Arial" w:eastAsia="Arial" w:hAnsi="Arial"/>
        </w:rPr>
        <w:t xml:space="preserve">A.4 Naming Convention</w:t>
      </w:r>
    </w:p>
    <w:p>
      <w:pPr>
        <w:spacing w:after="120"/>
      </w:pPr>
      <w:r>
        <w:rPr>
          <w:rFonts w:ascii="Arial" w:cs="Arial" w:eastAsia="Arial" w:hAnsi="Arial"/>
          <w:sz w:val="22"/>
          <w:szCs w:val="22"/>
        </w:rPr>
        <w:t xml:space="preserve">For the distributable product, a working name is needed. Candidates:</w:t>
      </w:r>
    </w:p>
    <w:p>
      <w:pPr>
        <w:pStyle w:val="ListParagraph"/>
        <w:numPr>
          <w:ilvl w:val="0"/>
          <w:numId w:val="2"/>
        </w:numPr>
        <w:spacing w:after="60"/>
      </w:pPr>
      <w:r>
        <w:rPr>
          <w:rFonts w:ascii="Arial" w:cs="Arial" w:eastAsia="Arial" w:hAnsi="Arial"/>
          <w:sz w:val="22"/>
          <w:szCs w:val="22"/>
        </w:rPr>
        <w:t xml:space="preserve">CalLegal Toolkit</w:t>
      </w:r>
    </w:p>
    <w:p>
      <w:pPr>
        <w:pStyle w:val="ListParagraph"/>
        <w:numPr>
          <w:ilvl w:val="0"/>
          <w:numId w:val="2"/>
        </w:numPr>
        <w:spacing w:after="60"/>
      </w:pPr>
      <w:r>
        <w:rPr>
          <w:rFonts w:ascii="Arial" w:cs="Arial" w:eastAsia="Arial" w:hAnsi="Arial"/>
          <w:sz w:val="22"/>
          <w:szCs w:val="22"/>
        </w:rPr>
        <w:t xml:space="preserve">LegalAudit.ai</w:t>
      </w:r>
    </w:p>
    <w:p>
      <w:pPr>
        <w:pStyle w:val="ListParagraph"/>
        <w:numPr>
          <w:ilvl w:val="0"/>
          <w:numId w:val="2"/>
        </w:numPr>
        <w:spacing w:after="60"/>
      </w:pPr>
      <w:r>
        <w:rPr>
          <w:rFonts w:ascii="Arial" w:cs="Arial" w:eastAsia="Arial" w:hAnsi="Arial"/>
          <w:sz w:val="22"/>
          <w:szCs w:val="22"/>
        </w:rPr>
        <w:t xml:space="preserve">ProSe Shield</w:t>
      </w:r>
    </w:p>
    <w:p>
      <w:pPr>
        <w:pStyle w:val="ListParagraph"/>
        <w:numPr>
          <w:ilvl w:val="0"/>
          <w:numId w:val="2"/>
        </w:numPr>
        <w:spacing w:after="60"/>
      </w:pPr>
      <w:r>
        <w:rPr>
          <w:rFonts w:ascii="Arial" w:cs="Arial" w:eastAsia="Arial" w:hAnsi="Arial"/>
          <w:sz w:val="22"/>
          <w:szCs w:val="22"/>
        </w:rPr>
        <w:t xml:space="preserve">JusticeKit</w:t>
      </w:r>
    </w:p>
    <w:p>
      <w:pPr>
        <w:pStyle w:val="ListParagraph"/>
        <w:numPr>
          <w:ilvl w:val="0"/>
          <w:numId w:val="2"/>
        </w:numPr>
        <w:spacing w:after="60"/>
      </w:pPr>
      <w:r>
        <w:rPr>
          <w:rFonts w:ascii="Arial" w:cs="Arial" w:eastAsia="Arial" w:hAnsi="Arial"/>
          <w:sz w:val="22"/>
          <w:szCs w:val="22"/>
        </w:rPr>
        <w:t xml:space="preserve">OpenCounsel</w:t>
      </w:r>
    </w:p>
    <w:p>
      <w:pPr>
        <w:pStyle w:val="ListParagraph"/>
        <w:numPr>
          <w:ilvl w:val="0"/>
          <w:numId w:val="2"/>
        </w:numPr>
        <w:spacing w:after="60"/>
      </w:pPr>
      <w:r>
        <w:rPr>
          <w:rFonts w:ascii="Arial" w:cs="Arial" w:eastAsia="Arial" w:hAnsi="Arial"/>
          <w:sz w:val="22"/>
          <w:szCs w:val="22"/>
        </w:rPr>
        <w:t xml:space="preserve">StatuteCheck</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Final naming should be validated for trademark availability and domain registration before public launch.</w:t>
      </w:r>
    </w:p>
    <w:p>
      <w:pPr>
        <w:spacing w:after="120"/>
      </w:pPr>
      <w:r>
        <w:rPr>
          <w:rFonts w:ascii="Arial" w:cs="Arial" w:eastAsia="Arial" w:hAnsi="Arial"/>
          <w:sz w:val="22"/>
          <w:szCs w:val="22"/>
        </w:rPr>
        <w:t xml:space="preserve"/>
      </w:r>
    </w:p>
    <w:p>
      <w:pPr>
        <w:spacing w:after="120"/>
      </w:pPr>
      <w:r>
        <w:rPr>
          <w:rFonts w:ascii="Arial" w:cs="Arial" w:eastAsia="Arial" w:hAnsi="Arial"/>
          <w:i/>
          <w:iCs/>
          <w:color w:val="999999"/>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California Legal Analysis Toolkit  |  Project Scope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60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2026-02-03T04:53:33.987Z</dcterms:created>
  <dcterms:modified xsi:type="dcterms:W3CDTF">2026-02-03T04:53:33.988Z</dcterms:modified>
</cp:coreProperties>
</file>

<file path=docProps/custom.xml><?xml version="1.0" encoding="utf-8"?>
<Properties xmlns="http://schemas.openxmlformats.org/officeDocument/2006/custom-properties" xmlns:vt="http://schemas.openxmlformats.org/officeDocument/2006/docPropsVTypes"/>
</file>