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28"/>
          <w:szCs w:val="28"/>
        </w:rPr>
        <w:t xml:space="preserve">ALAMEDA COUNTY SUPERIOR COURT</w:t>
      </w:r>
    </w:p>
    <w:p>
      <w:pPr>
        <w:spacing w:after="60"/>
        <w:jc w:val="center"/>
      </w:pPr>
      <w:r>
        <w:rPr>
          <w:rFonts w:ascii="Arial" w:cs="Arial" w:eastAsia="Arial" w:hAnsi="Arial"/>
          <w:b/>
          <w:bCs/>
          <w:color w:val="1a1a2e"/>
          <w:sz w:val="24"/>
          <w:szCs w:val="24"/>
        </w:rPr>
        <w:t xml:space="preserve">PARTY / PERSON INDEX — PROCEDURAL CHRONOLOGY</w:t>
      </w:r>
    </w:p>
    <w:p>
      <w:pPr>
        <w:spacing w:after="60"/>
        <w:jc w:val="center"/>
      </w:pPr>
      <w:r>
        <w:rPr>
          <w:rFonts w:ascii="Arial" w:cs="Arial" w:eastAsia="Arial" w:hAnsi="Arial"/>
          <w:b/>
          <w:bCs/>
          <w:color w:val="444466"/>
          <w:sz w:val="22"/>
          <w:szCs w:val="22"/>
        </w:rPr>
        <w:t xml:space="preserve">FILING PATTERN ANALYSIS &amp; ENFORCEMENT FAILURE DOCUMENTATION</w:t>
      </w:r>
    </w:p>
    <w:p>
      <w:pPr>
        <w:pBdr>
          <w:bottom w:val="single" w:color="1a1a2e" w:sz="3"/>
        </w:pBdr>
        <w:spacing w:after="200"/>
        <w:jc w:val="center"/>
      </w:pPr>
      <w:r>
        <w:rPr>
          <w:rFonts w:ascii="Arial" w:cs="Arial" w:eastAsia="Arial" w:hAnsi="Arial"/>
          <w:i/>
          <w:iCs/>
          <w:color w:val="666666"/>
          <w:sz w:val="18"/>
          <w:szCs w:val="18"/>
        </w:rPr>
        <w:t xml:space="preserve">Hayward Hall of Justice | Filter: Hartmann, Michael | FL Cases | 01/01/2005–08/26/2025 | 7 Results</w:t>
      </w:r>
    </w:p>
    <w:p>
      <w:pPr>
        <w:pStyle w:val="Heading1"/>
        <w:spacing w:before="300" w:after="150"/>
      </w:pPr>
      <w:r>
        <w:rPr>
          <w:rFonts w:ascii="Arial" w:cs="Arial" w:eastAsia="Arial" w:hAnsi="Arial"/>
          <w:b/>
          <w:bCs/>
        </w:rPr>
        <w:t xml:space="preserve">SOURCE DOCUMENT: CASE INDEX (7 RESULTS)</w:t>
      </w:r>
    </w:p>
    <w:p>
      <w:pPr>
        <w:spacing w:before="120" w:after="120"/>
        <w:jc w:val="left"/>
      </w:pPr>
      <w:r>
        <w:rPr>
          <w:rFonts w:ascii="Arial" w:cs="Arial" w:eastAsia="Arial" w:hAnsi="Arial"/>
          <w:b w:val="false"/>
          <w:bCs w:val="false"/>
          <w:i w:val="false"/>
          <w:iCs w:val="false"/>
          <w:color w:val="333333"/>
          <w:sz w:val="22"/>
          <w:szCs w:val="22"/>
        </w:rPr>
        <w:t xml:space="preserve">The following table reproduces the Alameda County Party/Person Index as displayed. This is the official record a reviewing judge, attorney, or agency would see when searching Michael Hartmann’s family law case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1100"/>
        <w:gridCol w:w="1860"/>
        <w:gridCol w:w="1100"/>
        <w:gridCol w:w="1100"/>
        <w:gridCol w:w="1100"/>
        <w:gridCol w:w="1200"/>
      </w:tblGrid>
      <w:tr>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Person Name</w:t>
            </w:r>
          </w:p>
        </w:tc>
        <w:tc>
          <w:tcPr>
            <w:tcW w:type="dxa" w:w="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Party</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Case #</w:t>
            </w:r>
          </w:p>
        </w:tc>
        <w:tc>
          <w:tcPr>
            <w:tcW w:type="dxa" w:w="18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 of Action</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Filed</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 Date</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 Type</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Self-Rep</w:t>
            </w:r>
          </w:p>
        </w:tc>
      </w:tr>
      <w:tr>
        <w:tc>
          <w:tcPr>
            <w:tcW w:type="dxa" w:w="13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PET</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RF0945</w:t>
            </w:r>
            <w:r>
              <w:rPr>
                <w:rFonts w:ascii="Arial" w:cs="Arial" w:eastAsia="Arial" w:hAnsi="Arial"/>
                <w:b/>
                <w:bCs/>
                <w:i w:val="false"/>
                <w:iCs w:val="false"/>
                <w:color w:val="000000"/>
                <w:sz w:val="20"/>
                <w:szCs w:val="20"/>
              </w:rPr>
              <w:t xml:space="preserve">6481</w:t>
            </w:r>
          </w:p>
        </w:tc>
        <w:tc>
          <w:tcPr>
            <w:tcW w:type="dxa" w:w="186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DVRO – DV Prevention</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06/08/09</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iCs/>
                <w:color w:val="cc0000"/>
                <w:sz w:val="20"/>
                <w:szCs w:val="20"/>
              </w:rPr>
              <w:t xml:space="preserve">—</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iCs/>
                <w:color w:val="cc0000"/>
                <w:sz w:val="20"/>
                <w:szCs w:val="20"/>
              </w:rPr>
              <w:t xml:space="preserve">—</w:t>
            </w:r>
          </w:p>
        </w:tc>
        <w:tc>
          <w:tcPr>
            <w:tcW w:type="dxa" w:w="12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Yes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RF09459897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DVRO – DV Prevention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06/26/09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07/02/09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Court Finding – After Court Trial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No</w:t>
            </w:r>
          </w:p>
        </w:tc>
      </w:tr>
      <w:tr>
        <w:tc>
          <w:tcPr>
            <w:tcW w:type="dxa" w:w="13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PET</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RF0947</w:t>
            </w:r>
            <w:r>
              <w:rPr>
                <w:rFonts w:ascii="Arial" w:cs="Arial" w:eastAsia="Arial" w:hAnsi="Arial"/>
                <w:b/>
                <w:bCs/>
                <w:i w:val="false"/>
                <w:iCs w:val="false"/>
                <w:color w:val="000000"/>
                <w:sz w:val="20"/>
                <w:szCs w:val="20"/>
              </w:rPr>
              <w:t xml:space="preserve">0833</w:t>
            </w:r>
          </w:p>
        </w:tc>
        <w:tc>
          <w:tcPr>
            <w:tcW w:type="dxa" w:w="186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Dissolution of Marriage</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08/26/09</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11/22/10</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cc0000"/>
                <w:sz w:val="20"/>
                <w:szCs w:val="20"/>
              </w:rPr>
              <w:t xml:space="preserve">Void</w:t>
            </w:r>
          </w:p>
        </w:tc>
        <w:tc>
          <w:tcPr>
            <w:tcW w:type="dxa" w:w="12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Yes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RF10508853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Dissolution of Marriage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04/09/10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Yes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RF10508859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Grandparent/Stepparent Visitation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04/09/10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No</w:t>
            </w:r>
          </w:p>
        </w:tc>
      </w:tr>
      <w:tr>
        <w:tc>
          <w:tcPr>
            <w:tcW w:type="dxa" w:w="13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PET</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25FL12</w:t>
            </w:r>
            <w:r>
              <w:rPr>
                <w:rFonts w:ascii="Arial" w:cs="Arial" w:eastAsia="Arial" w:hAnsi="Arial"/>
                <w:b/>
                <w:bCs/>
                <w:i w:val="false"/>
                <w:iCs w:val="false"/>
                <w:color w:val="000000"/>
                <w:sz w:val="20"/>
                <w:szCs w:val="20"/>
              </w:rPr>
              <w:t xml:space="preserve">2591</w:t>
            </w:r>
          </w:p>
        </w:tc>
        <w:tc>
          <w:tcPr>
            <w:tcW w:type="dxa" w:w="186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DVRO – DV Prevention</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05/15/25</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06/25/25</w:t>
            </w:r>
          </w:p>
        </w:tc>
        <w:tc>
          <w:tcPr>
            <w:tcW w:type="dxa" w:w="11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Court-Ordered Dismissal</w:t>
            </w:r>
          </w:p>
        </w:tc>
        <w:tc>
          <w:tcPr>
            <w:tcW w:type="dxa" w:w="12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Yes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Hartmann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25FL125059</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DVRO – DV Prevention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06/04/25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06/25/25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Court-Ordered Dismissal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w:t>
            </w:r>
          </w:p>
        </w:tc>
      </w:tr>
    </w:tbl>
    <w:p>
      <w:pPr>
        <w:spacing w:before="80" w:after="120"/>
        <w:jc w:val="left"/>
      </w:pPr>
      <w:r>
        <w:rPr>
          <w:rFonts w:ascii="Arial" w:cs="Arial" w:eastAsia="Arial" w:hAnsi="Arial"/>
          <w:b w:val="false"/>
          <w:bCs w:val="false"/>
          <w:i/>
          <w:iCs/>
          <w:color w:val="666666"/>
          <w:sz w:val="22"/>
          <w:szCs w:val="22"/>
        </w:rPr>
        <w:t xml:space="preserve">Highlighted rows </w:t>
      </w:r>
      <w:r>
        <w:rPr>
          <w:rFonts w:ascii="Arial" w:cs="Arial" w:eastAsia="Arial" w:hAnsi="Arial"/>
          <w:b w:val="false"/>
          <w:bCs w:val="false"/>
          <w:i/>
          <w:iCs/>
          <w:color w:val="666666"/>
          <w:sz w:val="22"/>
          <w:szCs w:val="22"/>
        </w:rPr>
        <w:t xml:space="preserve">indicate Michael’s original filings as Petitioner.</w:t>
      </w:r>
    </w:p>
    <w:p>
      <w:r>
        <w:t xml:space="preserve"/>
      </w:r>
      <w:r>
        <w:br w:type="page"/>
      </w:r>
    </w:p>
    <w:p>
      <w:pPr>
        <w:pStyle w:val="Heading1"/>
        <w:spacing w:before="300" w:after="150"/>
      </w:pPr>
      <w:r>
        <w:rPr>
          <w:rFonts w:ascii="Arial" w:cs="Arial" w:eastAsia="Arial" w:hAnsi="Arial"/>
          <w:b/>
          <w:bCs/>
        </w:rPr>
        <w:t xml:space="preserve">I. MISATTRIBUTION OF 07/02/2009 DISPOSITION</w:t>
      </w:r>
    </w:p>
    <w:p>
      <w:pPr>
        <w:spacing w:before="120" w:after="120"/>
        <w:jc w:val="left"/>
      </w:pPr>
      <w:r>
        <w:rPr>
          <w:rFonts w:ascii="Arial" w:cs="Arial" w:eastAsia="Arial" w:hAnsi="Arial"/>
          <w:b w:val="false"/>
          <w:bCs w:val="false"/>
          <w:i w:val="false"/>
          <w:iCs w:val="false"/>
          <w:color w:val="333333"/>
          <w:sz w:val="22"/>
          <w:szCs w:val="22"/>
        </w:rPr>
        <w:t xml:space="preserve">Michael Hartmann filed RF09456481 on June 8, 2009 — eighteen days before Christina Cerretani filed RF09459897 on June 26, 2009. The July 2, 2009 court trial and resulting orders were the adjudication of Michael’s petition. The court awarded Michael: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Court Order (07/02/2009)</w:t>
            </w:r>
          </w:p>
        </w:tc>
        <w:tc>
          <w:tcPr>
            <w:tcW w:type="dxa" w:w="46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Duration / Detail</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100% Sole Legal &amp; Physical Custody</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Awarded to Michael Hartmann (Petitioner)</w:t>
            </w:r>
          </w:p>
        </w:tc>
      </w:tr>
      <w:tr>
        <w:tc>
          <w:tcPr>
            <w:tcW w:type="dxa" w:w="468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Christina Restrained</w:t>
            </w:r>
          </w:p>
        </w:tc>
        <w:tc>
          <w:tcPr>
            <w:tcW w:type="dxa" w:w="468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3-Year Restraining Order</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0% Custody to Christina</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Zero custodial time awarded</w:t>
            </w:r>
          </w:p>
        </w:tc>
      </w:tr>
      <w:tr>
        <w:tc>
          <w:tcPr>
            <w:tcW w:type="dxa" w:w="468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Supervised Visitation Only</w:t>
            </w:r>
          </w:p>
        </w:tc>
        <w:tc>
          <w:tcPr>
            <w:tcW w:type="dxa" w:w="468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Christina prohibited from unsupervised contact with minor</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Psychiatric Treatment Ordered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Christina ordered to obtain psychiatric treatment and report each session to the court until resolution</w:t>
            </w:r>
          </w:p>
        </w:tc>
      </w:tr>
    </w:tbl>
    <w:p>
      <w:pPr>
        <w:spacing w:before="120" w:after="120"/>
        <w:jc w:val="left"/>
      </w:pPr>
      <w:r>
        <w:rPr>
          <w:rFonts w:ascii="Arial" w:cs="Arial" w:eastAsia="Arial" w:hAnsi="Arial"/>
          <w:b/>
          <w:bCs/>
          <w:i w:val="false"/>
          <w:iCs w:val="false"/>
          <w:color w:val="cc0000"/>
          <w:sz w:val="22"/>
          <w:szCs w:val="22"/>
        </w:rPr>
        <w:t xml:space="preserve">Index Defect: </w:t>
      </w:r>
      <w:r>
        <w:rPr>
          <w:rFonts w:ascii="Arial" w:cs="Arial" w:eastAsia="Arial" w:hAnsi="Arial"/>
          <w:b w:val="false"/>
          <w:bCs w:val="false"/>
          <w:i w:val="false"/>
          <w:iCs w:val="false"/>
          <w:color w:val="333333"/>
          <w:sz w:val="22"/>
          <w:szCs w:val="22"/>
        </w:rPr>
        <w:t xml:space="preserve">The case index displays </w:t>
      </w:r>
      <w:r>
        <w:rPr>
          <w:rFonts w:ascii="Arial" w:cs="Arial" w:eastAsia="Arial" w:hAnsi="Arial"/>
          <w:b/>
          <w:bCs/>
          <w:i w:val="false"/>
          <w:iCs w:val="false"/>
          <w:color w:val="333333"/>
          <w:sz w:val="22"/>
          <w:szCs w:val="22"/>
        </w:rPr>
        <w:t xml:space="preserve">no disposition</w:t>
      </w:r>
      <w:r>
        <w:rPr>
          <w:rFonts w:ascii="Arial" w:cs="Arial" w:eastAsia="Arial" w:hAnsi="Arial"/>
          <w:b w:val="false"/>
          <w:bCs w:val="false"/>
          <w:i w:val="false"/>
          <w:iCs w:val="false"/>
          <w:color w:val="333333"/>
          <w:sz w:val="22"/>
          <w:szCs w:val="22"/>
        </w:rPr>
        <w:t xml:space="preserve"> under Michael’s case number RF09456481 and instead attributes the 07/02/2009 “Court Finding – After Court Trial” entirely to Christina’s responsive filing RF09459897. Any reviewing party would see Michael’s petition as having no recorded outcome, and Christina’s counter-filing as the operative case of record.</w:t>
      </w:r>
    </w:p>
    <w:p>
      <w:pPr>
        <w:pStyle w:val="Heading1"/>
        <w:spacing w:before="300" w:after="150"/>
      </w:pPr>
      <w:r>
        <w:rPr>
          <w:rFonts w:ascii="Arial" w:cs="Arial" w:eastAsia="Arial" w:hAnsi="Arial"/>
          <w:b/>
          <w:bCs/>
        </w:rPr>
        <w:t xml:space="preserve">II. APRIL 9, 2010: COORDINATED FILINGS IN VIOLATION OF OPERATIVE COURT ORDERS</w:t>
      </w:r>
    </w:p>
    <w:p>
      <w:pPr>
        <w:pStyle w:val="Heading2"/>
        <w:spacing w:before="300" w:after="150"/>
      </w:pPr>
      <w:r>
        <w:rPr>
          <w:rFonts w:ascii="Arial" w:cs="Arial" w:eastAsia="Arial" w:hAnsi="Arial"/>
          <w:b/>
          <w:bCs/>
        </w:rPr>
        <w:t xml:space="preserve">A. Three Filings on a Single Day</w:t>
      </w:r>
    </w:p>
    <w:p>
      <w:pPr>
        <w:spacing w:before="120" w:after="120"/>
        <w:jc w:val="left"/>
      </w:pPr>
      <w:r>
        <w:rPr>
          <w:rFonts w:ascii="Arial" w:cs="Arial" w:eastAsia="Arial" w:hAnsi="Arial"/>
          <w:b w:val="false"/>
          <w:bCs w:val="false"/>
          <w:i w:val="false"/>
          <w:iCs w:val="false"/>
          <w:color w:val="333333"/>
          <w:sz w:val="22"/>
          <w:szCs w:val="22"/>
        </w:rPr>
        <w:t xml:space="preserve">On April 9, 2010, three separate actions were filed in Alameda County Superior Court on the same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1600"/>
        <w:gridCol w:w="2600"/>
      </w:tblGrid>
      <w:tr>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Filed</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Case #</w:t>
            </w:r>
          </w:p>
        </w:tc>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Filer</w:t>
            </w:r>
          </w:p>
        </w:tc>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Party Type (Michael)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04/09/10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RF10508853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Dissolution of Marriage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Christina Cerretani</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Respondent</w:t>
            </w:r>
          </w:p>
        </w:tc>
      </w:tr>
      <w:tr>
        <w:tc>
          <w:tcPr>
            <w:tcW w:type="dxa" w:w="12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04/09/10</w:t>
            </w:r>
          </w:p>
        </w:tc>
        <w:tc>
          <w:tcPr>
            <w:tcW w:type="dxa" w:w="156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RF10508859</w:t>
            </w:r>
          </w:p>
        </w:tc>
        <w:tc>
          <w:tcPr>
            <w:tcW w:type="dxa" w:w="24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Grandparent Visitation</w:t>
            </w:r>
          </w:p>
        </w:tc>
        <w:tc>
          <w:tcPr>
            <w:tcW w:type="dxa" w:w="16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Ann Marie Packard</w:t>
            </w:r>
          </w:p>
        </w:tc>
        <w:tc>
          <w:tcPr>
            <w:tcW w:type="dxa" w:w="26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Respondent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04/09/10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iCs/>
                <w:color w:val="cc0000"/>
                <w:sz w:val="20"/>
                <w:szCs w:val="20"/>
              </w:rPr>
              <w:t xml:space="preserve">Not on index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c0000"/>
                <w:sz w:val="20"/>
                <w:szCs w:val="20"/>
              </w:rPr>
              <w:t xml:space="preserve">Ex Parte Application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Christina Cerretani</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Respondent</w:t>
            </w:r>
          </w:p>
        </w:tc>
      </w:tr>
    </w:tbl>
    <w:p>
      <w:pPr>
        <w:spacing w:before="120" w:after="120"/>
        <w:jc w:val="left"/>
      </w:pPr>
      <w:r>
        <w:rPr>
          <w:rFonts w:ascii="Arial" w:cs="Arial" w:eastAsia="Arial" w:hAnsi="Arial"/>
          <w:b/>
          <w:bCs/>
          <w:i w:val="false"/>
          <w:iCs w:val="false"/>
          <w:color w:val="333333"/>
          <w:sz w:val="22"/>
          <w:szCs w:val="22"/>
        </w:rPr>
        <w:t xml:space="preserve">Critical Context: </w:t>
      </w:r>
      <w:r>
        <w:rPr>
          <w:rFonts w:ascii="Arial" w:cs="Arial" w:eastAsia="Arial" w:hAnsi="Arial"/>
          <w:b w:val="false"/>
          <w:bCs w:val="false"/>
          <w:i w:val="false"/>
          <w:iCs w:val="false"/>
          <w:color w:val="333333"/>
          <w:sz w:val="22"/>
          <w:szCs w:val="22"/>
        </w:rPr>
        <w:t xml:space="preserve">These three filings were made while the following court orders from 07/02/2009 remained in full force and effect:</w:t>
      </w:r>
    </w:p>
    <w:p>
      <w:pPr>
        <w:spacing w:before="120" w:after="120"/>
        <w:ind w:left="360"/>
        <w:jc w:val="left"/>
      </w:pPr>
      <w:r>
        <w:rPr>
          <w:rFonts w:ascii="Arial" w:cs="Arial" w:eastAsia="Arial" w:hAnsi="Arial"/>
          <w:b/>
          <w:bCs/>
          <w:i w:val="false"/>
          <w:iCs w:val="false"/>
          <w:color w:val="333333"/>
          <w:sz w:val="22"/>
          <w:szCs w:val="22"/>
        </w:rPr>
        <w:t xml:space="preserve">•  Christina restrained for 3 years </w:t>
      </w:r>
      <w:r>
        <w:rPr>
          <w:rFonts w:ascii="Arial" w:cs="Arial" w:eastAsia="Arial" w:hAnsi="Arial"/>
          <w:b w:val="false"/>
          <w:bCs w:val="false"/>
          <w:i w:val="false"/>
          <w:iCs w:val="false"/>
          <w:color w:val="333333"/>
          <w:sz w:val="22"/>
          <w:szCs w:val="22"/>
        </w:rPr>
        <w:t xml:space="preserve">(active through approximately July 2012)</w:t>
      </w:r>
    </w:p>
    <w:p>
      <w:pPr>
        <w:spacing w:before="120" w:after="120"/>
        <w:ind w:left="360"/>
        <w:jc w:val="left"/>
      </w:pPr>
      <w:r>
        <w:rPr>
          <w:rFonts w:ascii="Arial" w:cs="Arial" w:eastAsia="Arial" w:hAnsi="Arial"/>
          <w:b/>
          <w:bCs/>
          <w:i w:val="false"/>
          <w:iCs w:val="false"/>
          <w:color w:val="333333"/>
          <w:sz w:val="22"/>
          <w:szCs w:val="22"/>
        </w:rPr>
        <w:t xml:space="preserve">•  0% custody </w:t>
      </w:r>
      <w:r>
        <w:rPr>
          <w:rFonts w:ascii="Arial" w:cs="Arial" w:eastAsia="Arial" w:hAnsi="Arial"/>
          <w:b w:val="false"/>
          <w:bCs w:val="false"/>
          <w:i w:val="false"/>
          <w:iCs w:val="false"/>
          <w:color w:val="333333"/>
          <w:sz w:val="22"/>
          <w:szCs w:val="22"/>
        </w:rPr>
        <w:t xml:space="preserve">to Christina</w:t>
      </w:r>
    </w:p>
    <w:p>
      <w:pPr>
        <w:spacing w:before="120" w:after="120"/>
        <w:ind w:left="360"/>
        <w:jc w:val="left"/>
      </w:pPr>
      <w:r>
        <w:rPr>
          <w:rFonts w:ascii="Arial" w:cs="Arial" w:eastAsia="Arial" w:hAnsi="Arial"/>
          <w:b/>
          <w:bCs/>
          <w:i w:val="false"/>
          <w:iCs w:val="false"/>
          <w:color w:val="333333"/>
          <w:sz w:val="22"/>
          <w:szCs w:val="22"/>
        </w:rPr>
        <w:t xml:space="preserve">•  Supervised visitation only</w:t>
      </w:r>
    </w:p>
    <w:p>
      <w:pPr>
        <w:spacing w:before="120" w:after="120"/>
        <w:ind w:left="360"/>
        <w:jc w:val="left"/>
      </w:pPr>
      <w:r>
        <w:rPr>
          <w:rFonts w:ascii="Arial" w:cs="Arial" w:eastAsia="Arial" w:hAnsi="Arial"/>
          <w:b/>
          <w:bCs/>
          <w:i w:val="false"/>
          <w:iCs w:val="false"/>
          <w:color w:val="333333"/>
          <w:sz w:val="22"/>
          <w:szCs w:val="22"/>
        </w:rPr>
        <w:t xml:space="preserve">•  Court-ordered psychiatric treatment </w:t>
      </w:r>
      <w:r>
        <w:rPr>
          <w:rFonts w:ascii="Arial" w:cs="Arial" w:eastAsia="Arial" w:hAnsi="Arial"/>
          <w:b w:val="false"/>
          <w:bCs w:val="false"/>
          <w:i w:val="false"/>
          <w:iCs w:val="false"/>
          <w:color w:val="333333"/>
          <w:sz w:val="22"/>
          <w:szCs w:val="22"/>
        </w:rPr>
        <w:t xml:space="preserve">with mandatory reporting of sessions to the court</w:t>
      </w:r>
    </w:p>
    <w:p>
      <w:pPr>
        <w:pStyle w:val="Heading2"/>
        <w:spacing w:before="300" w:after="150"/>
      </w:pPr>
      <w:r>
        <w:rPr>
          <w:rFonts w:ascii="Arial" w:cs="Arial" w:eastAsia="Arial" w:hAnsi="Arial"/>
          <w:b/>
          <w:bCs/>
        </w:rPr>
        <w:t xml:space="preserve">B. Ex Parte Approved — Officers Removed Cole from Custodial Parent</w:t>
      </w:r>
    </w:p>
    <w:p>
      <w:pPr>
        <w:spacing w:before="120" w:after="120"/>
        <w:jc w:val="left"/>
      </w:pPr>
      <w:r>
        <w:rPr>
          <w:rFonts w:ascii="Arial" w:cs="Arial" w:eastAsia="Arial" w:hAnsi="Arial"/>
          <w:b/>
          <w:bCs/>
          <w:i w:val="false"/>
          <w:iCs w:val="false"/>
          <w:color w:val="333333"/>
          <w:sz w:val="22"/>
          <w:szCs w:val="22"/>
        </w:rPr>
        <w:t xml:space="preserve">The ex parte application was granted. </w:t>
      </w:r>
      <w:r>
        <w:rPr>
          <w:rFonts w:ascii="Arial" w:cs="Arial" w:eastAsia="Arial" w:hAnsi="Arial"/>
          <w:b w:val="false"/>
          <w:bCs w:val="false"/>
          <w:i w:val="false"/>
          <w:iCs w:val="false"/>
          <w:color w:val="333333"/>
          <w:sz w:val="22"/>
          <w:szCs w:val="22"/>
        </w:rPr>
        <w:t xml:space="preserve">Law enforcement officers arrived to enforce the order and remove Cole (then approximately 18 months old) from Michael’s physical custody.</w:t>
      </w:r>
    </w:p>
    <w:p>
      <w:pPr>
        <w:spacing w:before="120" w:after="120"/>
        <w:jc w:val="left"/>
      </w:pPr>
      <w:r>
        <w:rPr>
          <w:rFonts w:ascii="Arial" w:cs="Arial" w:eastAsia="Arial" w:hAnsi="Arial"/>
          <w:b w:val="false"/>
          <w:bCs w:val="false"/>
          <w:i w:val="false"/>
          <w:iCs w:val="false"/>
          <w:color w:val="333333"/>
          <w:sz w:val="22"/>
          <w:szCs w:val="22"/>
        </w:rPr>
        <w:t xml:space="preserve">Michael provided the responding officers with a detailed explanation of the operative court orders, including:</w:t>
      </w:r>
    </w:p>
    <w:p>
      <w:pPr>
        <w:spacing w:before="120" w:after="120"/>
        <w:ind w:left="360"/>
        <w:jc w:val="left"/>
      </w:pPr>
      <w:r>
        <w:rPr>
          <w:rFonts w:ascii="Arial" w:cs="Arial" w:eastAsia="Arial" w:hAnsi="Arial"/>
          <w:b w:val="false"/>
          <w:bCs w:val="false"/>
          <w:i w:val="false"/>
          <w:iCs w:val="false"/>
          <w:color w:val="333333"/>
          <w:sz w:val="22"/>
          <w:szCs w:val="22"/>
        </w:rPr>
        <w:t xml:space="preserve">•  His sole legal and physical custody since July 2, 2009</w:t>
      </w:r>
    </w:p>
    <w:p>
      <w:pPr>
        <w:spacing w:before="120" w:after="120"/>
        <w:ind w:left="360"/>
        <w:jc w:val="left"/>
      </w:pPr>
      <w:r>
        <w:rPr>
          <w:rFonts w:ascii="Arial" w:cs="Arial" w:eastAsia="Arial" w:hAnsi="Arial"/>
          <w:b w:val="false"/>
          <w:bCs w:val="false"/>
          <w:i w:val="false"/>
          <w:iCs w:val="false"/>
          <w:color w:val="333333"/>
          <w:sz w:val="22"/>
          <w:szCs w:val="22"/>
        </w:rPr>
        <w:t xml:space="preserve">•  The 3-year restraining order against Christina</w:t>
      </w:r>
    </w:p>
    <w:p>
      <w:pPr>
        <w:spacing w:before="120" w:after="120"/>
        <w:ind w:left="360"/>
        <w:jc w:val="left"/>
      </w:pPr>
      <w:r>
        <w:rPr>
          <w:rFonts w:ascii="Arial" w:cs="Arial" w:eastAsia="Arial" w:hAnsi="Arial"/>
          <w:b w:val="false"/>
          <w:bCs w:val="false"/>
          <w:i w:val="false"/>
          <w:iCs w:val="false"/>
          <w:color w:val="333333"/>
          <w:sz w:val="22"/>
          <w:szCs w:val="22"/>
        </w:rPr>
        <w:t xml:space="preserve">•  Christina’s 0% custody and supervised-visitation-only status</w:t>
      </w:r>
    </w:p>
    <w:p>
      <w:pPr>
        <w:spacing w:before="120" w:after="120"/>
        <w:ind w:left="360"/>
        <w:jc w:val="left"/>
      </w:pPr>
      <w:r>
        <w:rPr>
          <w:rFonts w:ascii="Arial" w:cs="Arial" w:eastAsia="Arial" w:hAnsi="Arial"/>
          <w:b w:val="false"/>
          <w:bCs w:val="false"/>
          <w:i w:val="false"/>
          <w:iCs w:val="false"/>
          <w:color w:val="333333"/>
          <w:sz w:val="22"/>
          <w:szCs w:val="22"/>
        </w:rPr>
        <w:t xml:space="preserve">•  Christina’s court-ordered psychiatric treatment obligations</w:t>
      </w:r>
    </w:p>
    <w:p>
      <w:pPr>
        <w:spacing w:before="120" w:after="120"/>
        <w:ind w:left="360"/>
        <w:jc w:val="left"/>
      </w:pPr>
      <w:r>
        <w:rPr>
          <w:rFonts w:ascii="Arial" w:cs="Arial" w:eastAsia="Arial" w:hAnsi="Arial"/>
          <w:b w:val="false"/>
          <w:bCs w:val="false"/>
          <w:i w:val="false"/>
          <w:iCs w:val="false"/>
          <w:color w:val="333333"/>
          <w:sz w:val="22"/>
          <w:szCs w:val="22"/>
        </w:rPr>
        <w:t xml:space="preserve">•  The basis for the original orders (psychiatric hold, knife incident, threat to infant)</w:t>
      </w:r>
    </w:p>
    <w:p>
      <w:pPr>
        <w:spacing w:before="120" w:after="120"/>
        <w:jc w:val="left"/>
      </w:pPr>
      <w:r>
        <w:rPr>
          <w:rFonts w:ascii="Arial" w:cs="Arial" w:eastAsia="Arial" w:hAnsi="Arial"/>
          <w:b/>
          <w:bCs/>
          <w:i w:val="false"/>
          <w:iCs w:val="false"/>
          <w:color w:val="cc0000"/>
          <w:sz w:val="22"/>
          <w:szCs w:val="22"/>
        </w:rPr>
        <w:t xml:space="preserve">The officers acknowledged Michael’s statements, showed no concern, and ordered him to hand over his son.</w:t>
      </w:r>
    </w:p>
    <w:p>
      <w:pPr>
        <w:pBdr>
          <w:bottom w:val="single" w:color="cc0000" w:sz="2"/>
        </w:pBdr>
        <w:spacing w:before="200" w:after="80"/>
      </w:pPr>
      <w:r>
        <w:rPr>
          <w:rFonts w:ascii="Arial" w:cs="Arial" w:eastAsia="Arial" w:hAnsi="Arial"/>
          <w:b/>
          <w:bCs/>
          <w:color w:val="cc0000"/>
          <w:sz w:val="22"/>
          <w:szCs w:val="22"/>
        </w:rPr>
        <w:t xml:space="preserve">ENFORCEMENT FAILURE — APRIL 2010</w:t>
      </w:r>
    </w:p>
    <w:p>
      <w:pPr>
        <w:spacing w:before="120" w:after="120"/>
        <w:jc w:val="left"/>
      </w:pPr>
      <w:r>
        <w:rPr>
          <w:rFonts w:ascii="Arial" w:cs="Arial" w:eastAsia="Arial" w:hAnsi="Arial"/>
          <w:b w:val="false"/>
          <w:bCs w:val="false"/>
          <w:i w:val="false"/>
          <w:iCs w:val="false"/>
          <w:color w:val="333333"/>
          <w:sz w:val="22"/>
          <w:szCs w:val="22"/>
        </w:rPr>
        <w:t xml:space="preserve">Officers enforced an ex parte order that directly contradicted standing court orders awarding Michael sole custody since 07/02/2009. No officer verified the validity of the ex parte against existing orders. No officer investigated whether Christina had complied with court-ordered psychiatric treatment. No officer assessed whether placement with Christina — a person under a restraining order, with 0% custody and supervised-visitation-only status — was safe for the child. The child was removed from the sole custodial parent and placed with a parent the court had previously determined required supervision for child safety.</w:t>
      </w:r>
    </w:p>
    <w:p>
      <w:pPr>
        <w:pStyle w:val="Heading2"/>
        <w:spacing w:before="300" w:after="150"/>
      </w:pPr>
      <w:r>
        <w:rPr>
          <w:rFonts w:ascii="Arial" w:cs="Arial" w:eastAsia="Arial" w:hAnsi="Arial"/>
          <w:b/>
          <w:bCs/>
        </w:rPr>
        <w:t xml:space="preserve">C. Dissolution Supersession</w:t>
      </w:r>
    </w:p>
    <w:p>
      <w:pPr>
        <w:spacing w:before="120" w:after="120"/>
        <w:jc w:val="left"/>
      </w:pPr>
      <w:r>
        <w:rPr>
          <w:rFonts w:ascii="Arial" w:cs="Arial" w:eastAsia="Arial" w:hAnsi="Arial"/>
          <w:b/>
          <w:bCs/>
          <w:i w:val="false"/>
          <w:iCs w:val="false"/>
          <w:color w:val="333333"/>
          <w:sz w:val="22"/>
          <w:szCs w:val="22"/>
        </w:rPr>
        <w:t xml:space="preserve">Michael filed for dissolution on August 26, 2009 </w:t>
      </w:r>
      <w:r>
        <w:rPr>
          <w:rFonts w:ascii="Arial" w:cs="Arial" w:eastAsia="Arial" w:hAnsi="Arial"/>
          <w:b w:val="false"/>
          <w:bCs w:val="false"/>
          <w:i w:val="false"/>
          <w:iCs w:val="false"/>
          <w:color w:val="333333"/>
          <w:sz w:val="22"/>
          <w:szCs w:val="22"/>
        </w:rPr>
        <w:t xml:space="preserve">as Petitioner (RF09470833, self-represented). Christina took no responsive action for </w:t>
      </w:r>
      <w:r>
        <w:rPr>
          <w:rFonts w:ascii="Arial" w:cs="Arial" w:eastAsia="Arial" w:hAnsi="Arial"/>
          <w:b/>
          <w:bCs/>
          <w:i w:val="false"/>
          <w:iCs w:val="false"/>
          <w:color w:val="333333"/>
          <w:sz w:val="22"/>
          <w:szCs w:val="22"/>
        </w:rPr>
        <w:t xml:space="preserve">eight months. </w:t>
      </w:r>
      <w:r>
        <w:rPr>
          <w:rFonts w:ascii="Arial" w:cs="Arial" w:eastAsia="Arial" w:hAnsi="Arial"/>
          <w:b w:val="false"/>
          <w:bCs w:val="false"/>
          <w:i w:val="false"/>
          <w:iCs w:val="false"/>
          <w:color w:val="333333"/>
          <w:sz w:val="22"/>
          <w:szCs w:val="22"/>
        </w:rPr>
        <w:t xml:space="preserve">Then on April 9, 2010 — the same day as the ex parte and grandparent visitation filings — Christina filed her own separate dissolution action under a </w:t>
      </w:r>
      <w:r>
        <w:rPr>
          <w:rFonts w:ascii="Arial" w:cs="Arial" w:eastAsia="Arial" w:hAnsi="Arial"/>
          <w:b/>
          <w:bCs/>
          <w:i w:val="false"/>
          <w:iCs w:val="false"/>
          <w:color w:val="333333"/>
          <w:sz w:val="22"/>
          <w:szCs w:val="22"/>
        </w:rPr>
        <w:t xml:space="preserve">new case number </w:t>
      </w:r>
      <w:r>
        <w:rPr>
          <w:rFonts w:ascii="Arial" w:cs="Arial" w:eastAsia="Arial" w:hAnsi="Arial"/>
          <w:b w:val="false"/>
          <w:bCs w:val="false"/>
          <w:i w:val="false"/>
          <w:iCs w:val="false"/>
          <w:color w:val="333333"/>
          <w:sz w:val="22"/>
          <w:szCs w:val="22"/>
        </w:rPr>
        <w:t xml:space="preserve">(RF10508853) rather than responding within Michael’s existing case.</w:t>
      </w:r>
    </w:p>
    <w:p>
      <w:pPr>
        <w:spacing w:before="120" w:after="120"/>
        <w:jc w:val="left"/>
      </w:pPr>
      <w:r>
        <w:rPr>
          <w:rFonts w:ascii="Arial" w:cs="Arial" w:eastAsia="Arial" w:hAnsi="Arial"/>
          <w:b/>
          <w:bCs/>
          <w:i w:val="false"/>
          <w:iCs w:val="false"/>
          <w:color w:val="333333"/>
          <w:sz w:val="22"/>
          <w:szCs w:val="22"/>
        </w:rPr>
        <w:t xml:space="preserve">Result: </w:t>
      </w:r>
      <w:r>
        <w:rPr>
          <w:rFonts w:ascii="Arial" w:cs="Arial" w:eastAsia="Arial" w:hAnsi="Arial"/>
          <w:b w:val="false"/>
          <w:bCs w:val="false"/>
          <w:i w:val="false"/>
          <w:iCs w:val="false"/>
          <w:color w:val="333333"/>
          <w:sz w:val="22"/>
          <w:szCs w:val="22"/>
        </w:rPr>
        <w:t xml:space="preserve">Michael’s dissolution (RF09470833) was rendered </w:t>
      </w:r>
      <w:r>
        <w:rPr>
          <w:rFonts w:ascii="Arial" w:cs="Arial" w:eastAsia="Arial" w:hAnsi="Arial"/>
          <w:b/>
          <w:bCs/>
          <w:i w:val="false"/>
          <w:iCs w:val="false"/>
          <w:color w:val="cc0000"/>
          <w:sz w:val="22"/>
          <w:szCs w:val="22"/>
        </w:rPr>
        <w:t xml:space="preserve">Void </w:t>
      </w:r>
      <w:r>
        <w:rPr>
          <w:rFonts w:ascii="Arial" w:cs="Arial" w:eastAsia="Arial" w:hAnsi="Arial"/>
          <w:b w:val="false"/>
          <w:bCs w:val="false"/>
          <w:i w:val="false"/>
          <w:iCs w:val="false"/>
          <w:color w:val="333333"/>
          <w:sz w:val="22"/>
          <w:szCs w:val="22"/>
        </w:rPr>
        <w:t xml:space="preserve">on 11/22/2010. Christina’s later-filed action became the operative case, converting Michael from Petitioner to Respondent despite having originated the proceedings eight months earlier.</w:t>
      </w:r>
    </w:p>
    <w:p>
      <w:pPr>
        <w:pBdr>
          <w:bottom w:val="single" w:color="cc0000" w:sz="2"/>
        </w:pBdr>
        <w:spacing w:before="200" w:after="80"/>
      </w:pPr>
      <w:r>
        <w:rPr>
          <w:rFonts w:ascii="Arial" w:cs="Arial" w:eastAsia="Arial" w:hAnsi="Arial"/>
          <w:b/>
          <w:bCs/>
          <w:color w:val="cc0000"/>
          <w:sz w:val="22"/>
          <w:szCs w:val="22"/>
        </w:rPr>
        <w:t xml:space="preserve">COORDINATED STRATEGY INDICATOR</w:t>
      </w:r>
    </w:p>
    <w:p>
      <w:pPr>
        <w:spacing w:before="120" w:after="120"/>
        <w:jc w:val="left"/>
      </w:pPr>
      <w:r>
        <w:rPr>
          <w:rFonts w:ascii="Arial" w:cs="Arial" w:eastAsia="Arial" w:hAnsi="Arial"/>
          <w:b w:val="false"/>
          <w:bCs w:val="false"/>
          <w:i w:val="false"/>
          <w:iCs w:val="false"/>
          <w:color w:val="333333"/>
          <w:sz w:val="22"/>
          <w:szCs w:val="22"/>
        </w:rPr>
        <w:t xml:space="preserve">Three separate filings by two different parties (Christina and her mother Ann Marie Packard) on the identical date, combined with an ex parte that was enforced the same weekend, indicates coordinated legal strategy — not independent action. The net effect was: (1) Cole removed from custodial parent; (2) Michael’s dissolution voided; (3) Christina repositioned as primary filer in all subsequent proceedings.</w:t>
      </w:r>
    </w:p>
    <w:p>
      <w:r>
        <w:t xml:space="preserve"/>
      </w:r>
      <w:r>
        <w:br w:type="page"/>
      </w:r>
    </w:p>
    <w:p>
      <w:pPr>
        <w:pStyle w:val="Heading1"/>
        <w:spacing w:before="300" w:after="150"/>
      </w:pPr>
      <w:r>
        <w:rPr>
          <w:rFonts w:ascii="Arial" w:cs="Arial" w:eastAsia="Arial" w:hAnsi="Arial"/>
          <w:b/>
          <w:bCs/>
        </w:rPr>
        <w:t xml:space="preserve">III. JUNE 2023: ANTIOCH PD REMOVAL &amp; BENICIA PD REFUSAL TO ACT</w:t>
      </w:r>
    </w:p>
    <w:p>
      <w:pPr>
        <w:spacing w:before="120" w:after="120"/>
        <w:jc w:val="left"/>
      </w:pPr>
      <w:r>
        <w:rPr>
          <w:rFonts w:ascii="Arial" w:cs="Arial" w:eastAsia="Arial" w:hAnsi="Arial"/>
          <w:b/>
          <w:bCs/>
          <w:i w:val="false"/>
          <w:iCs w:val="false"/>
          <w:color w:val="333333"/>
          <w:sz w:val="22"/>
          <w:szCs w:val="22"/>
        </w:rPr>
        <w:t xml:space="preserve">The April 2010 enforcement pattern repeated thirteen years later. </w:t>
      </w:r>
      <w:r>
        <w:rPr>
          <w:rFonts w:ascii="Arial" w:cs="Arial" w:eastAsia="Arial" w:hAnsi="Arial"/>
          <w:b w:val="false"/>
          <w:bCs w:val="false"/>
          <w:i w:val="false"/>
          <w:iCs w:val="false"/>
          <w:color w:val="333333"/>
          <w:sz w:val="22"/>
          <w:szCs w:val="22"/>
        </w:rPr>
        <w:t xml:space="preserve">On June 16, 2023, Antioch Police Department responded to a call at Michael’s residence (2958 Honeysuckle Circle, Antioch, CA) made by Michael’s mother Ann Christine Hillberg. Three officers responded.</w:t>
      </w:r>
    </w:p>
    <w:p>
      <w:pPr>
        <w:pStyle w:val="Heading2"/>
        <w:spacing w:before="300" w:after="150"/>
      </w:pPr>
      <w:r>
        <w:rPr>
          <w:rFonts w:ascii="Arial" w:cs="Arial" w:eastAsia="Arial" w:hAnsi="Arial"/>
          <w:b/>
          <w:bCs/>
        </w:rPr>
        <w:t xml:space="preserve">A. Antioch PD — Custody Removal Without Verification</w:t>
      </w:r>
    </w:p>
    <w:p>
      <w:pPr>
        <w:spacing w:before="120" w:after="120"/>
        <w:jc w:val="left"/>
      </w:pPr>
      <w:r>
        <w:rPr>
          <w:rFonts w:ascii="Arial" w:cs="Arial" w:eastAsia="Arial" w:hAnsi="Arial"/>
          <w:b w:val="false"/>
          <w:bCs w:val="false"/>
          <w:i w:val="false"/>
          <w:iCs w:val="false"/>
          <w:color w:val="333333"/>
          <w:sz w:val="22"/>
          <w:szCs w:val="22"/>
        </w:rPr>
        <w:t xml:space="preserve">The Antioch officers:</w:t>
      </w:r>
    </w:p>
    <w:p>
      <w:pPr>
        <w:spacing w:before="120" w:after="120"/>
        <w:ind w:left="360"/>
        <w:jc w:val="left"/>
      </w:pPr>
      <w:r>
        <w:rPr>
          <w:rFonts w:ascii="Arial" w:cs="Arial" w:eastAsia="Arial" w:hAnsi="Arial"/>
          <w:b w:val="false"/>
          <w:bCs w:val="false"/>
          <w:i w:val="false"/>
          <w:iCs w:val="false"/>
          <w:color w:val="333333"/>
          <w:sz w:val="22"/>
          <w:szCs w:val="22"/>
        </w:rPr>
        <w:t xml:space="preserve">•  Never asked to see or verify Michael’s custody orders</w:t>
      </w:r>
    </w:p>
    <w:p>
      <w:pPr>
        <w:spacing w:before="120" w:after="120"/>
        <w:ind w:left="360"/>
        <w:jc w:val="left"/>
      </w:pPr>
      <w:r>
        <w:rPr>
          <w:rFonts w:ascii="Arial" w:cs="Arial" w:eastAsia="Arial" w:hAnsi="Arial"/>
          <w:b w:val="false"/>
          <w:bCs w:val="false"/>
          <w:i w:val="false"/>
          <w:iCs w:val="false"/>
          <w:color w:val="333333"/>
          <w:sz w:val="22"/>
          <w:szCs w:val="22"/>
        </w:rPr>
        <w:t xml:space="preserve">•  Never verified who held legal custody of Cole</w:t>
      </w:r>
    </w:p>
    <w:p>
      <w:pPr>
        <w:spacing w:before="120" w:after="120"/>
        <w:ind w:left="360"/>
        <w:jc w:val="left"/>
      </w:pPr>
      <w:r>
        <w:rPr>
          <w:rFonts w:ascii="Arial" w:cs="Arial" w:eastAsia="Arial" w:hAnsi="Arial"/>
          <w:b w:val="false"/>
          <w:bCs w:val="false"/>
          <w:i w:val="false"/>
          <w:iCs w:val="false"/>
          <w:color w:val="333333"/>
          <w:sz w:val="22"/>
          <w:szCs w:val="22"/>
        </w:rPr>
        <w:t xml:space="preserve">•  Asked Michael’s mother (not Michael, the custodial parent) where Cole should go</w:t>
      </w:r>
    </w:p>
    <w:p>
      <w:pPr>
        <w:spacing w:before="120" w:after="120"/>
        <w:ind w:left="360"/>
        <w:jc w:val="left"/>
      </w:pPr>
      <w:r>
        <w:rPr>
          <w:rFonts w:ascii="Arial" w:cs="Arial" w:eastAsia="Arial" w:hAnsi="Arial"/>
          <w:b w:val="false"/>
          <w:bCs w:val="false"/>
          <w:i w:val="false"/>
          <w:iCs w:val="false"/>
          <w:color w:val="333333"/>
          <w:sz w:val="22"/>
          <w:szCs w:val="22"/>
        </w:rPr>
        <w:t xml:space="preserve">•  Ignored Michael’s wife Butsaya (who had lived with Cole for approximately 10 years)</w:t>
      </w:r>
    </w:p>
    <w:p>
      <w:pPr>
        <w:spacing w:before="120" w:after="120"/>
        <w:ind w:left="360"/>
        <w:jc w:val="left"/>
      </w:pPr>
      <w:r>
        <w:rPr>
          <w:rFonts w:ascii="Arial" w:cs="Arial" w:eastAsia="Arial" w:hAnsi="Arial"/>
          <w:b w:val="false"/>
          <w:bCs w:val="false"/>
          <w:i w:val="false"/>
          <w:iCs w:val="false"/>
          <w:color w:val="333333"/>
          <w:sz w:val="22"/>
          <w:szCs w:val="22"/>
        </w:rPr>
        <w:t xml:space="preserve">•  Facilitated Christina taking Cole despite her having 0% custody and years of non-compliance with court-ordered psychiatric treatment</w:t>
      </w:r>
    </w:p>
    <w:p>
      <w:pPr>
        <w:spacing w:before="120" w:after="120"/>
        <w:ind w:left="360"/>
        <w:jc w:val="left"/>
      </w:pPr>
      <w:r>
        <w:rPr>
          <w:rFonts w:ascii="Arial" w:cs="Arial" w:eastAsia="Arial" w:hAnsi="Arial"/>
          <w:b/>
          <w:bCs/>
          <w:i w:val="false"/>
          <w:iCs w:val="false"/>
          <w:color w:val="333333"/>
          <w:sz w:val="22"/>
          <w:szCs w:val="22"/>
        </w:rPr>
        <w:t xml:space="preserve">•  Christina arrived in less than 20 minutes despite living 45+ minutes away, </w:t>
      </w:r>
      <w:r>
        <w:rPr>
          <w:rFonts w:ascii="Arial" w:cs="Arial" w:eastAsia="Arial" w:hAnsi="Arial"/>
          <w:b w:val="false"/>
          <w:bCs w:val="false"/>
          <w:i w:val="false"/>
          <w:iCs w:val="false"/>
          <w:color w:val="333333"/>
          <w:sz w:val="22"/>
          <w:szCs w:val="22"/>
        </w:rPr>
        <w:t xml:space="preserve">suggesting pre-coordination</w:t>
      </w:r>
    </w:p>
    <w:p>
      <w:pPr>
        <w:pStyle w:val="Heading2"/>
        <w:spacing w:before="300" w:after="150"/>
      </w:pPr>
      <w:r>
        <w:rPr>
          <w:rFonts w:ascii="Arial" w:cs="Arial" w:eastAsia="Arial" w:hAnsi="Arial"/>
          <w:b/>
          <w:bCs/>
        </w:rPr>
        <w:t xml:space="preserve">B. Officer Morris — June 22, 2023</w:t>
      </w:r>
    </w:p>
    <w:p>
      <w:pPr>
        <w:spacing w:before="120" w:after="120"/>
        <w:jc w:val="left"/>
      </w:pPr>
      <w:r>
        <w:rPr>
          <w:rFonts w:ascii="Arial" w:cs="Arial" w:eastAsia="Arial" w:hAnsi="Arial"/>
          <w:b w:val="false"/>
          <w:bCs w:val="false"/>
          <w:i w:val="false"/>
          <w:iCs w:val="false"/>
          <w:color w:val="333333"/>
          <w:sz w:val="22"/>
          <w:szCs w:val="22"/>
        </w:rPr>
        <w:t xml:space="preserve">Six days later, Michael went to Antioch Police Department to report that Christina had not returned Cole. Officer Morris — one of the three officers present at the June 16 call — responded:</w:t>
      </w:r>
    </w:p>
    <w:p>
      <w:pPr>
        <w:spacing w:before="120" w:after="120"/>
        <w:ind w:left="720"/>
        <w:jc w:val="left"/>
      </w:pPr>
      <w:r>
        <w:rPr>
          <w:rFonts w:ascii="Arial" w:cs="Arial" w:eastAsia="Arial" w:hAnsi="Arial"/>
          <w:b/>
          <w:bCs/>
          <w:i/>
          <w:iCs/>
          <w:color w:val="cc0000"/>
          <w:sz w:val="22"/>
          <w:szCs w:val="22"/>
        </w:rPr>
        <w:t xml:space="preserve">"I’M JUST GONNA SMOKE A BUNCH OF METH AND COME DOWN TO THE ANTIOCH P.D. AND FUCKING DEMAND MY KID BACK!"</w:t>
      </w:r>
    </w:p>
    <w:p>
      <w:pPr>
        <w:spacing w:before="120" w:after="120"/>
        <w:jc w:val="left"/>
      </w:pPr>
      <w:r>
        <w:rPr>
          <w:rFonts w:ascii="Arial" w:cs="Arial" w:eastAsia="Arial" w:hAnsi="Arial"/>
          <w:b w:val="false"/>
          <w:bCs w:val="false"/>
          <w:i w:val="false"/>
          <w:iCs w:val="false"/>
          <w:color w:val="333333"/>
          <w:sz w:val="22"/>
          <w:szCs w:val="22"/>
        </w:rPr>
        <w:t xml:space="preserve">Officer Morris then told Michael: "I don’t think there’s anything we can do for you." Antioch PD refused to enforce Michael’s custody rights or take any action to recover Cole.</w:t>
      </w:r>
    </w:p>
    <w:p>
      <w:pPr>
        <w:pStyle w:val="Heading2"/>
        <w:spacing w:before="300" w:after="150"/>
      </w:pPr>
      <w:r>
        <w:rPr>
          <w:rFonts w:ascii="Arial" w:cs="Arial" w:eastAsia="Arial" w:hAnsi="Arial"/>
          <w:b/>
          <w:bCs/>
        </w:rPr>
        <w:t xml:space="preserve">C. Benicia PD — Repeated Refusal to Act</w:t>
      </w:r>
    </w:p>
    <w:p>
      <w:pPr>
        <w:spacing w:before="120" w:after="120"/>
        <w:jc w:val="left"/>
      </w:pPr>
      <w:r>
        <w:rPr>
          <w:rFonts w:ascii="Arial" w:cs="Arial" w:eastAsia="Arial" w:hAnsi="Arial"/>
          <w:b w:val="false"/>
          <w:bCs w:val="false"/>
          <w:i w:val="false"/>
          <w:iCs w:val="false"/>
          <w:color w:val="333333"/>
          <w:sz w:val="22"/>
          <w:szCs w:val="22"/>
        </w:rPr>
        <w:t xml:space="preserve">Prior to and following the June 2023 incident, Michael made multiple contacts with Benicia Police Department (his jurisdiction of residence) requesting assistance with custody enforcement. </w:t>
      </w:r>
      <w:r>
        <w:rPr>
          <w:rFonts w:ascii="Arial" w:cs="Arial" w:eastAsia="Arial" w:hAnsi="Arial"/>
          <w:b/>
          <w:bCs/>
          <w:i w:val="false"/>
          <w:iCs w:val="false"/>
          <w:color w:val="333333"/>
          <w:sz w:val="22"/>
          <w:szCs w:val="22"/>
        </w:rPr>
        <w:t xml:space="preserve">Benicia PD repeatedly refused to act, </w:t>
      </w:r>
      <w:r>
        <w:rPr>
          <w:rFonts w:ascii="Arial" w:cs="Arial" w:eastAsia="Arial" w:hAnsi="Arial"/>
          <w:b w:val="false"/>
          <w:bCs w:val="false"/>
          <w:i w:val="false"/>
          <w:iCs w:val="false"/>
          <w:color w:val="333333"/>
          <w:sz w:val="22"/>
          <w:szCs w:val="22"/>
        </w:rPr>
        <w:t xml:space="preserve">characterizing the matter as “civil” despite Michael’s sole legal and physical custody. Multiple Computer Aided Dispatch (CAD) records document these contacts and refusals.</w:t>
      </w:r>
    </w:p>
    <w:p>
      <w:pPr>
        <w:pBdr>
          <w:bottom w:val="single" w:color="cc0000" w:sz="2"/>
        </w:pBdr>
        <w:spacing w:before="200" w:after="80"/>
      </w:pPr>
      <w:r>
        <w:rPr>
          <w:rFonts w:ascii="Arial" w:cs="Arial" w:eastAsia="Arial" w:hAnsi="Arial"/>
          <w:b/>
          <w:bCs/>
          <w:color w:val="cc0000"/>
          <w:sz w:val="22"/>
          <w:szCs w:val="22"/>
        </w:rPr>
        <w:t xml:space="preserve">LAW ENFORCEMENT PATTERN — 2010 vs. 2023</w:t>
      </w:r>
    </w:p>
    <w:p>
      <w:pPr>
        <w:spacing w:before="120" w:after="120"/>
        <w:jc w:val="left"/>
      </w:pPr>
      <w:r>
        <w:rPr>
          <w:rFonts w:ascii="Arial" w:cs="Arial" w:eastAsia="Arial" w:hAnsi="Arial"/>
          <w:b/>
          <w:bCs/>
          <w:i w:val="false"/>
          <w:iCs w:val="false"/>
          <w:color w:val="333333"/>
          <w:sz w:val="22"/>
          <w:szCs w:val="22"/>
        </w:rPr>
        <w:t xml:space="preserve">2010: </w:t>
      </w:r>
      <w:r>
        <w:rPr>
          <w:rFonts w:ascii="Arial" w:cs="Arial" w:eastAsia="Arial" w:hAnsi="Arial"/>
          <w:b w:val="false"/>
          <w:bCs w:val="false"/>
          <w:i w:val="false"/>
          <w:iCs w:val="false"/>
          <w:color w:val="333333"/>
          <w:sz w:val="22"/>
          <w:szCs w:val="22"/>
        </w:rPr>
        <w:t xml:space="preserve">Officers enforce ex parte removing Cole from custodial parent, ignore existing court orders.</w:t>
      </w:r>
    </w:p>
    <w:p>
      <w:pPr>
        <w:spacing w:before="120" w:after="120"/>
        <w:jc w:val="left"/>
      </w:pPr>
      <w:r>
        <w:rPr>
          <w:rFonts w:ascii="Arial" w:cs="Arial" w:eastAsia="Arial" w:hAnsi="Arial"/>
          <w:b/>
          <w:bCs/>
          <w:i w:val="false"/>
          <w:iCs w:val="false"/>
          <w:color w:val="333333"/>
          <w:sz w:val="22"/>
          <w:szCs w:val="22"/>
        </w:rPr>
        <w:t xml:space="preserve">2023: </w:t>
      </w:r>
      <w:r>
        <w:rPr>
          <w:rFonts w:ascii="Arial" w:cs="Arial" w:eastAsia="Arial" w:hAnsi="Arial"/>
          <w:b w:val="false"/>
          <w:bCs w:val="false"/>
          <w:i w:val="false"/>
          <w:iCs w:val="false"/>
          <w:color w:val="333333"/>
          <w:sz w:val="22"/>
          <w:szCs w:val="22"/>
        </w:rPr>
        <w:t xml:space="preserve">Officers facilitate non-custodial parent taking Cole, refuse to verify custody, refuse to recover child.</w:t>
      </w:r>
    </w:p>
    <w:p>
      <w:pPr>
        <w:spacing w:before="120" w:after="120"/>
        <w:jc w:val="left"/>
      </w:pPr>
      <w:r>
        <w:rPr>
          <w:rFonts w:ascii="Arial" w:cs="Arial" w:eastAsia="Arial" w:hAnsi="Arial"/>
          <w:b/>
          <w:bCs/>
          <w:i w:val="false"/>
          <w:iCs w:val="false"/>
          <w:color w:val="333333"/>
          <w:sz w:val="22"/>
          <w:szCs w:val="22"/>
        </w:rPr>
        <w:t xml:space="preserve">Common element: </w:t>
      </w:r>
      <w:r>
        <w:rPr>
          <w:rFonts w:ascii="Arial" w:cs="Arial" w:eastAsia="Arial" w:hAnsi="Arial"/>
          <w:b w:val="false"/>
          <w:bCs w:val="false"/>
          <w:i w:val="false"/>
          <w:iCs w:val="false"/>
          <w:color w:val="333333"/>
          <w:sz w:val="22"/>
          <w:szCs w:val="22"/>
        </w:rPr>
        <w:t xml:space="preserve">In both cycles, law enforcement acted contrary to Michael’s court-established custody rights while facilitating Christina’s access to Cole without legal authority.</w:t>
      </w:r>
    </w:p>
    <w:p>
      <w:r>
        <w:t xml:space="preserve"/>
      </w:r>
      <w:r>
        <w:br w:type="page"/>
      </w:r>
    </w:p>
    <w:p>
      <w:pPr>
        <w:pStyle w:val="Heading1"/>
        <w:spacing w:before="300" w:after="150"/>
      </w:pPr>
      <w:r>
        <w:rPr>
          <w:rFonts w:ascii="Arial" w:cs="Arial" w:eastAsia="Arial" w:hAnsi="Arial"/>
          <w:b/>
          <w:bCs/>
        </w:rPr>
        <w:t xml:space="preserve">IV. JULY 2025: POST-SATO KIDNAPPING &amp; MARIN COUNTY FILING</w:t>
      </w:r>
    </w:p>
    <w:p>
      <w:pPr>
        <w:pStyle w:val="Heading2"/>
        <w:spacing w:before="300" w:after="150"/>
      </w:pPr>
      <w:r>
        <w:rPr>
          <w:rFonts w:ascii="Arial" w:cs="Arial" w:eastAsia="Arial" w:hAnsi="Arial"/>
          <w:b/>
          <w:bCs/>
        </w:rPr>
        <w:t xml:space="preserve">A. Judge Sato’s Transfer Order — June 25, 2025</w:t>
      </w:r>
    </w:p>
    <w:p>
      <w:pPr>
        <w:spacing w:before="120" w:after="120"/>
        <w:jc w:val="left"/>
      </w:pPr>
      <w:r>
        <w:rPr>
          <w:rFonts w:ascii="Arial" w:cs="Arial" w:eastAsia="Arial" w:hAnsi="Arial"/>
          <w:b w:val="false"/>
          <w:bCs w:val="false"/>
          <w:i w:val="false"/>
          <w:iCs w:val="false"/>
          <w:color w:val="333333"/>
          <w:sz w:val="22"/>
          <w:szCs w:val="22"/>
        </w:rPr>
        <w:t xml:space="preserve">On June 25, 2025, Alameda County Superior Court Judge Sato issued findings and a transfer order in case RF10508853:</w:t>
      </w:r>
    </w:p>
    <w:p>
      <w:pPr>
        <w:spacing w:before="120" w:after="120"/>
        <w:ind w:left="360"/>
        <w:jc w:val="left"/>
      </w:pPr>
      <w:r>
        <w:rPr>
          <w:rFonts w:ascii="Arial" w:cs="Arial" w:eastAsia="Arial" w:hAnsi="Arial"/>
          <w:b w:val="false"/>
          <w:bCs w:val="false"/>
          <w:i w:val="false"/>
          <w:iCs w:val="false"/>
          <w:color w:val="333333"/>
          <w:sz w:val="22"/>
          <w:szCs w:val="22"/>
        </w:rPr>
        <w:t xml:space="preserve">•  </w:t>
      </w:r>
      <w:r>
        <w:rPr>
          <w:rFonts w:ascii="Arial" w:cs="Arial" w:eastAsia="Arial" w:hAnsi="Arial"/>
          <w:b/>
          <w:bCs/>
          <w:i w:val="false"/>
          <w:iCs w:val="false"/>
          <w:color w:val="333333"/>
          <w:sz w:val="22"/>
          <w:szCs w:val="22"/>
        </w:rPr>
        <w:t xml:space="preserve">Neither party lives in Alameda County</w:t>
      </w:r>
    </w:p>
    <w:p>
      <w:pPr>
        <w:spacing w:before="120" w:after="120"/>
        <w:ind w:left="360"/>
        <w:jc w:val="left"/>
      </w:pPr>
      <w:r>
        <w:rPr>
          <w:rFonts w:ascii="Arial" w:cs="Arial" w:eastAsia="Arial" w:hAnsi="Arial"/>
          <w:b w:val="false"/>
          <w:bCs w:val="false"/>
          <w:i w:val="false"/>
          <w:iCs w:val="false"/>
          <w:color w:val="333333"/>
          <w:sz w:val="22"/>
          <w:szCs w:val="22"/>
        </w:rPr>
        <w:t xml:space="preserve">•  </w:t>
      </w:r>
      <w:r>
        <w:rPr>
          <w:rFonts w:ascii="Arial" w:cs="Arial" w:eastAsia="Arial" w:hAnsi="Arial"/>
          <w:b/>
          <w:bCs/>
          <w:i w:val="false"/>
          <w:iCs w:val="false"/>
          <w:color w:val="333333"/>
          <w:sz w:val="22"/>
          <w:szCs w:val="22"/>
        </w:rPr>
        <w:t xml:space="preserve">The child has been living in Solano County with Father</w:t>
      </w:r>
    </w:p>
    <w:p>
      <w:pPr>
        <w:spacing w:before="120" w:after="120"/>
        <w:ind w:left="360"/>
        <w:jc w:val="left"/>
      </w:pPr>
      <w:r>
        <w:rPr>
          <w:rFonts w:ascii="Arial" w:cs="Arial" w:eastAsia="Arial" w:hAnsi="Arial"/>
          <w:b w:val="false"/>
          <w:bCs w:val="false"/>
          <w:i w:val="false"/>
          <w:iCs w:val="false"/>
          <w:color w:val="333333"/>
          <w:sz w:val="22"/>
          <w:szCs w:val="22"/>
        </w:rPr>
        <w:t xml:space="preserve">•  Venue is not proper pursuant to CCP § 397.5</w:t>
      </w:r>
    </w:p>
    <w:p>
      <w:pPr>
        <w:spacing w:before="120" w:after="120"/>
        <w:ind w:left="360"/>
        <w:jc w:val="left"/>
      </w:pPr>
      <w:r>
        <w:rPr>
          <w:rFonts w:ascii="Arial" w:cs="Arial" w:eastAsia="Arial" w:hAnsi="Arial"/>
          <w:b w:val="false"/>
          <w:bCs w:val="false"/>
          <w:i w:val="false"/>
          <w:iCs w:val="false"/>
          <w:color w:val="333333"/>
          <w:sz w:val="22"/>
          <w:szCs w:val="22"/>
        </w:rPr>
        <w:t xml:space="preserve">•  Case ordered transferred to Solano County upon payment of $50 transfer fee</w:t>
      </w:r>
    </w:p>
    <w:p>
      <w:pPr>
        <w:spacing w:before="120" w:after="120"/>
        <w:ind w:left="360"/>
        <w:jc w:val="left"/>
      </w:pPr>
      <w:r>
        <w:rPr>
          <w:rFonts w:ascii="Arial" w:cs="Arial" w:eastAsia="Arial" w:hAnsi="Arial"/>
          <w:b w:val="false"/>
          <w:bCs w:val="false"/>
          <w:i w:val="false"/>
          <w:iCs w:val="false"/>
          <w:color w:val="333333"/>
          <w:sz w:val="22"/>
          <w:szCs w:val="22"/>
        </w:rPr>
        <w:t xml:space="preserve">•  Both DVROs (25FL122591 and 25FL125059) dismissed</w:t>
      </w:r>
    </w:p>
    <w:p>
      <w:pPr>
        <w:pStyle w:val="Heading2"/>
        <w:spacing w:before="300" w:after="150"/>
      </w:pPr>
      <w:r>
        <w:rPr>
          <w:rFonts w:ascii="Arial" w:cs="Arial" w:eastAsia="Arial" w:hAnsi="Arial"/>
          <w:b/>
          <w:bCs/>
        </w:rPr>
        <w:t xml:space="preserve">B. Approximately 13 Days Post-Order: Kidnapping</w:t>
      </w:r>
    </w:p>
    <w:p>
      <w:pPr>
        <w:spacing w:before="120" w:after="120"/>
        <w:jc w:val="left"/>
      </w:pPr>
      <w:r>
        <w:rPr>
          <w:rFonts w:ascii="Arial" w:cs="Arial" w:eastAsia="Arial" w:hAnsi="Arial"/>
          <w:b/>
          <w:bCs/>
          <w:i w:val="false"/>
          <w:iCs w:val="false"/>
          <w:color w:val="333333"/>
          <w:sz w:val="22"/>
          <w:szCs w:val="22"/>
        </w:rPr>
        <w:t xml:space="preserve">Approximately thirteen days after Judge Sato’s transfer order, Christina removed Cole from Solano County in the middle of the night without authorization or court order. </w:t>
      </w:r>
      <w:r>
        <w:rPr>
          <w:rFonts w:ascii="Arial" w:cs="Arial" w:eastAsia="Arial" w:hAnsi="Arial"/>
          <w:b w:val="false"/>
          <w:bCs w:val="false"/>
          <w:i w:val="false"/>
          <w:iCs w:val="false"/>
          <w:color w:val="333333"/>
          <w:sz w:val="22"/>
          <w:szCs w:val="22"/>
        </w:rPr>
        <w:t xml:space="preserve">Michael’s mother Ann Christine Hillberg facilitated this removal. Christina then transported Cole to Marin County.</w:t>
      </w:r>
    </w:p>
    <w:p>
      <w:pPr>
        <w:spacing w:before="120" w:after="120"/>
        <w:jc w:val="left"/>
      </w:pPr>
      <w:r>
        <w:rPr>
          <w:rFonts w:ascii="Arial" w:cs="Arial" w:eastAsia="Arial" w:hAnsi="Arial"/>
          <w:b w:val="false"/>
          <w:bCs w:val="false"/>
          <w:i w:val="false"/>
          <w:iCs w:val="false"/>
          <w:color w:val="333333"/>
          <w:sz w:val="22"/>
          <w:szCs w:val="22"/>
        </w:rPr>
        <w:t xml:space="preserve">Benicia Police Department, Michael’s jurisdiction of residence, was contacted and again refused to act.</w:t>
      </w:r>
    </w:p>
    <w:p>
      <w:pPr>
        <w:pStyle w:val="Heading2"/>
        <w:spacing w:before="300" w:after="150"/>
      </w:pPr>
      <w:r>
        <w:rPr>
          <w:rFonts w:ascii="Arial" w:cs="Arial" w:eastAsia="Arial" w:hAnsi="Arial"/>
          <w:b/>
          <w:bCs/>
        </w:rPr>
        <w:t xml:space="preserve">C. Christina’s Marin County Filing — July 17, 2025</w:t>
      </w:r>
    </w:p>
    <w:p>
      <w:pPr>
        <w:spacing w:before="120" w:after="120"/>
        <w:jc w:val="left"/>
      </w:pPr>
      <w:r>
        <w:rPr>
          <w:rFonts w:ascii="Arial" w:cs="Arial" w:eastAsia="Arial" w:hAnsi="Arial"/>
          <w:b w:val="false"/>
          <w:bCs w:val="false"/>
          <w:i w:val="false"/>
          <w:iCs w:val="false"/>
          <w:color w:val="333333"/>
          <w:sz w:val="22"/>
          <w:szCs w:val="22"/>
        </w:rPr>
        <w:t xml:space="preserve">Christina filed a restraining order in Marin County Superior Court on July 17, 2025 — a court and county with </w:t>
      </w:r>
      <w:r>
        <w:rPr>
          <w:rFonts w:ascii="Arial" w:cs="Arial" w:eastAsia="Arial" w:hAnsi="Arial"/>
          <w:b/>
          <w:bCs/>
          <w:i w:val="false"/>
          <w:iCs w:val="false"/>
          <w:color w:val="333333"/>
          <w:sz w:val="22"/>
          <w:szCs w:val="22"/>
        </w:rPr>
        <w:t xml:space="preserve">no prior jurisdiction, no party residence, and no connection to the case</w:t>
      </w:r>
      <w:r>
        <w:rPr>
          <w:rFonts w:ascii="Arial" w:cs="Arial" w:eastAsia="Arial" w:hAnsi="Arial"/>
          <w:b w:val="false"/>
          <w:bCs w:val="false"/>
          <w:i w:val="false"/>
          <w:iCs w:val="false"/>
          <w:color w:val="333333"/>
          <w:sz w:val="22"/>
          <w:szCs w:val="22"/>
        </w:rPr>
        <w:t xml:space="preserve"> — in direct violation of Judge Sato’s transfer order directing the parties to file in Solano County.</w:t>
      </w:r>
    </w:p>
    <w:p>
      <w:pPr>
        <w:spacing w:before="120" w:after="120"/>
        <w:jc w:val="left"/>
      </w:pPr>
      <w:r>
        <w:rPr>
          <w:rFonts w:ascii="Arial" w:cs="Arial" w:eastAsia="Arial" w:hAnsi="Arial"/>
          <w:b w:val="false"/>
          <w:bCs w:val="false"/>
          <w:i w:val="false"/>
          <w:iCs w:val="false"/>
          <w:color w:val="333333"/>
          <w:sz w:val="22"/>
          <w:szCs w:val="22"/>
        </w:rPr>
        <w:t xml:space="preserve">Christina’s attorney represented to the Marin County court that Alameda County “refused to hear the case.” This was materially false. Alameda County heard the case and ordered it transferred to Solano County — the county where Cole was residing with Michael.</w:t>
      </w:r>
    </w:p>
    <w:p>
      <w:pPr>
        <w:pBdr>
          <w:bottom w:val="single" w:color="cc0000" w:sz="2"/>
        </w:pBdr>
        <w:spacing w:before="200" w:after="80"/>
      </w:pPr>
      <w:r>
        <w:rPr>
          <w:rFonts w:ascii="Arial" w:cs="Arial" w:eastAsia="Arial" w:hAnsi="Arial"/>
          <w:b/>
          <w:bCs/>
          <w:color w:val="cc0000"/>
          <w:sz w:val="22"/>
          <w:szCs w:val="22"/>
        </w:rPr>
        <w:t xml:space="preserve">JURISDICTIONAL FRAUD — MARIN COUNTY</w:t>
      </w:r>
    </w:p>
    <w:p>
      <w:pPr>
        <w:spacing w:before="120" w:after="120"/>
        <w:jc w:val="left"/>
      </w:pPr>
      <w:r>
        <w:rPr>
          <w:rFonts w:ascii="Arial" w:cs="Arial" w:eastAsia="Arial" w:hAnsi="Arial"/>
          <w:b/>
          <w:bCs/>
          <w:i w:val="false"/>
          <w:iCs w:val="false"/>
          <w:color w:val="333333"/>
          <w:sz w:val="22"/>
          <w:szCs w:val="22"/>
        </w:rPr>
        <w:t xml:space="preserve">Judge Sato ordered: </w:t>
      </w:r>
      <w:r>
        <w:rPr>
          <w:rFonts w:ascii="Arial" w:cs="Arial" w:eastAsia="Arial" w:hAnsi="Arial"/>
          <w:b w:val="false"/>
          <w:bCs w:val="false"/>
          <w:i w:val="false"/>
          <w:iCs w:val="false"/>
          <w:color w:val="333333"/>
          <w:sz w:val="22"/>
          <w:szCs w:val="22"/>
        </w:rPr>
        <w:t xml:space="preserve">Transfer to Solano County (where Cole resides with Father).</w:t>
      </w:r>
    </w:p>
    <w:p>
      <w:pPr>
        <w:spacing w:before="120" w:after="120"/>
        <w:jc w:val="left"/>
      </w:pPr>
      <w:r>
        <w:rPr>
          <w:rFonts w:ascii="Arial" w:cs="Arial" w:eastAsia="Arial" w:hAnsi="Arial"/>
          <w:b/>
          <w:bCs/>
          <w:i w:val="false"/>
          <w:iCs w:val="false"/>
          <w:color w:val="333333"/>
          <w:sz w:val="22"/>
          <w:szCs w:val="22"/>
        </w:rPr>
        <w:t xml:space="preserve">Christina filed: </w:t>
      </w:r>
      <w:r>
        <w:rPr>
          <w:rFonts w:ascii="Arial" w:cs="Arial" w:eastAsia="Arial" w:hAnsi="Arial"/>
          <w:b w:val="false"/>
          <w:bCs w:val="false"/>
          <w:i w:val="false"/>
          <w:iCs w:val="false"/>
          <w:color w:val="333333"/>
          <w:sz w:val="22"/>
          <w:szCs w:val="22"/>
        </w:rPr>
        <w:t xml:space="preserve">Marin County (no nexus to parties or child).</w:t>
      </w:r>
    </w:p>
    <w:p>
      <w:pPr>
        <w:spacing w:before="120" w:after="120"/>
        <w:jc w:val="left"/>
      </w:pPr>
      <w:r>
        <w:rPr>
          <w:rFonts w:ascii="Arial" w:cs="Arial" w:eastAsia="Arial" w:hAnsi="Arial"/>
          <w:b/>
          <w:bCs/>
          <w:i w:val="false"/>
          <w:iCs w:val="false"/>
          <w:color w:val="333333"/>
          <w:sz w:val="22"/>
          <w:szCs w:val="22"/>
        </w:rPr>
        <w:t xml:space="preserve">Attorney told Marin court: </w:t>
      </w:r>
      <w:r>
        <w:rPr>
          <w:rFonts w:ascii="Arial" w:cs="Arial" w:eastAsia="Arial" w:hAnsi="Arial"/>
          <w:b w:val="false"/>
          <w:bCs w:val="false"/>
          <w:i w:val="false"/>
          <w:iCs w:val="false"/>
          <w:color w:val="333333"/>
          <w:sz w:val="22"/>
          <w:szCs w:val="22"/>
        </w:rPr>
        <w:t xml:space="preserve">“Alameda refused to hear the case.”</w:t>
      </w:r>
    </w:p>
    <w:p>
      <w:pPr>
        <w:spacing w:before="120" w:after="120"/>
        <w:jc w:val="left"/>
      </w:pPr>
      <w:r>
        <w:rPr>
          <w:rFonts w:ascii="Arial" w:cs="Arial" w:eastAsia="Arial" w:hAnsi="Arial"/>
          <w:b/>
          <w:bCs/>
          <w:i w:val="false"/>
          <w:iCs w:val="false"/>
          <w:color w:val="333333"/>
          <w:sz w:val="22"/>
          <w:szCs w:val="22"/>
        </w:rPr>
        <w:t xml:space="preserve">Truth: </w:t>
      </w:r>
      <w:r>
        <w:rPr>
          <w:rFonts w:ascii="Arial" w:cs="Arial" w:eastAsia="Arial" w:hAnsi="Arial"/>
          <w:b w:val="false"/>
          <w:bCs w:val="false"/>
          <w:i w:val="false"/>
          <w:iCs w:val="false"/>
          <w:color w:val="333333"/>
          <w:sz w:val="22"/>
          <w:szCs w:val="22"/>
        </w:rPr>
        <w:t xml:space="preserve">Alameda heard the case and ordered transfer to Solano.</w:t>
      </w:r>
    </w:p>
    <w:p>
      <w:pPr>
        <w:spacing w:before="120" w:after="120"/>
        <w:jc w:val="left"/>
      </w:pPr>
      <w:r>
        <w:rPr>
          <w:rFonts w:ascii="Arial" w:cs="Arial" w:eastAsia="Arial" w:hAnsi="Arial"/>
          <w:b/>
          <w:bCs/>
          <w:i w:val="false"/>
          <w:iCs w:val="false"/>
          <w:color w:val="333333"/>
          <w:sz w:val="22"/>
          <w:szCs w:val="22"/>
        </w:rPr>
        <w:t xml:space="preserve">Result: </w:t>
      </w:r>
      <w:r>
        <w:rPr>
          <w:rFonts w:ascii="Arial" w:cs="Arial" w:eastAsia="Arial" w:hAnsi="Arial"/>
          <w:b w:val="false"/>
          <w:bCs w:val="false"/>
          <w:i w:val="false"/>
          <w:iCs w:val="false"/>
          <w:color w:val="333333"/>
          <w:sz w:val="22"/>
          <w:szCs w:val="22"/>
        </w:rPr>
        <w:t xml:space="preserve">Marin granted Christina sole custody on August 19, 2025, based on false representations, without reviewing Alameda case history, without drug testing, without Cole’s statement, and without verifying Christina’s claims.</w:t>
      </w:r>
    </w:p>
    <w:p>
      <w:pPr>
        <w:pStyle w:val="Heading1"/>
        <w:spacing w:before="300" w:after="150"/>
      </w:pPr>
      <w:r>
        <w:rPr>
          <w:rFonts w:ascii="Arial" w:cs="Arial" w:eastAsia="Arial" w:hAnsi="Arial"/>
          <w:b/>
          <w:bCs/>
        </w:rPr>
        <w:t xml:space="preserve">V. 2025 DUAL-PARTY MISCLASSIFICATION &amp; TRANSFER CHARGE ABUSE</w:t>
      </w:r>
    </w:p>
    <w:p>
      <w:pPr>
        <w:spacing w:before="120" w:after="120"/>
        <w:jc w:val="left"/>
      </w:pPr>
      <w:r>
        <w:rPr>
          <w:rFonts w:ascii="Arial" w:cs="Arial" w:eastAsia="Arial" w:hAnsi="Arial"/>
          <w:b w:val="false"/>
          <w:bCs w:val="false"/>
          <w:i w:val="false"/>
          <w:iCs w:val="false"/>
          <w:color w:val="333333"/>
          <w:sz w:val="22"/>
          <w:szCs w:val="22"/>
        </w:rPr>
        <w:t xml:space="preserve">When Christina filed her counter-DVRO (25FL125059) on June 4, 2025, she cross-referenced RF10508853 — her 2010 dissolution case. This introduced a 15-year-old case number into the 2025 proceedings and created systemic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Case #</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Michael’s Role</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Transfer Charges Assigned To</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Actual Initiator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25FL122591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PETITIONER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cc0000"/>
                <w:sz w:val="20"/>
                <w:szCs w:val="20"/>
              </w:rPr>
              <w:t xml:space="preserve">Michael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 (his filing)</w:t>
            </w:r>
          </w:p>
        </w:tc>
      </w:tr>
      <w:tr>
        <w:tc>
          <w:tcPr>
            <w:tcW w:type="dxa" w:w="23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25FL125059</w:t>
            </w:r>
          </w:p>
        </w:tc>
        <w:tc>
          <w:tcPr>
            <w:tcW w:type="dxa" w:w="23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RESPONDENT</w:t>
            </w:r>
          </w:p>
        </w:tc>
        <w:tc>
          <w:tcPr>
            <w:tcW w:type="dxa" w:w="23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cc0000"/>
                <w:sz w:val="20"/>
                <w:szCs w:val="20"/>
              </w:rPr>
              <w:t xml:space="preserve">Michael</w:t>
            </w:r>
          </w:p>
        </w:tc>
        <w:tc>
          <w:tcPr>
            <w:tcW w:type="dxa" w:w="23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Christina (her filing)</w:t>
            </w:r>
          </w:p>
        </w:tc>
      </w:tr>
    </w:tbl>
    <w:p>
      <w:pPr>
        <w:spacing w:before="120" w:after="120"/>
        <w:jc w:val="left"/>
      </w:pPr>
      <w:r>
        <w:rPr>
          <w:rFonts w:ascii="Arial" w:cs="Arial" w:eastAsia="Arial" w:hAnsi="Arial"/>
          <w:b/>
          <w:bCs/>
          <w:i w:val="false"/>
          <w:iCs w:val="false"/>
          <w:color w:val="333333"/>
          <w:sz w:val="22"/>
          <w:szCs w:val="22"/>
        </w:rPr>
        <w:t xml:space="preserve">In both positions — as the party seeking protection and as the party against whom protection was sought — the court’s administrative system assigned Michael financial responsibility for transfer-related charges. </w:t>
      </w:r>
      <w:r>
        <w:rPr>
          <w:rFonts w:ascii="Arial" w:cs="Arial" w:eastAsia="Arial" w:hAnsi="Arial"/>
          <w:b w:val="false"/>
          <w:bCs w:val="false"/>
          <w:i w:val="false"/>
          <w:iCs w:val="false"/>
          <w:color w:val="333333"/>
          <w:sz w:val="22"/>
          <w:szCs w:val="22"/>
        </w:rPr>
        <w:t xml:space="preserve">The same person was charged transfer fees regardless of which side of the case he occupied.</w:t>
      </w:r>
    </w:p>
    <w:p>
      <w:r>
        <w:t xml:space="preserve"/>
      </w:r>
      <w:r>
        <w:br w:type="page"/>
      </w:r>
    </w:p>
    <w:p>
      <w:pPr>
        <w:pStyle w:val="Heading1"/>
        <w:spacing w:before="300" w:after="150"/>
      </w:pPr>
      <w:r>
        <w:rPr>
          <w:rFonts w:ascii="Arial" w:cs="Arial" w:eastAsia="Arial" w:hAnsi="Arial"/>
          <w:b/>
          <w:bCs/>
        </w:rPr>
        <w:t xml:space="preserve">VI. STRUCTURAL PATTERN: FOUR CYCLES (2009–2025)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2060"/>
        <w:gridCol w:w="700"/>
        <w:gridCol w:w="3440"/>
      </w:tblGrid>
      <w:tr>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Cycle</w:t>
            </w:r>
          </w:p>
        </w:tc>
        <w:tc>
          <w:tcPr>
            <w:tcW w:type="dxa" w:w="20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Michael’s Filing</w:t>
            </w:r>
          </w:p>
        </w:tc>
        <w:tc>
          <w:tcPr>
            <w:tcW w:type="dxa" w:w="20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Christina’s Counter</w:t>
            </w:r>
          </w:p>
        </w:tc>
        <w:tc>
          <w:tcPr>
            <w:tcW w:type="dxa" w:w="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Lag</w:t>
            </w:r>
          </w:p>
        </w:tc>
        <w:tc>
          <w:tcPr>
            <w:tcW w:type="dxa" w:w="34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Procedural Effect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DVRO</w:t>
            </w:r>
            <w:r>
              <w:rPr>
                <w:rFonts w:ascii="Arial" w:cs="Arial" w:eastAsia="Arial" w:hAnsi="Arial"/>
                <w:b w:val="false"/>
                <w:bCs w:val="false"/>
                <w:i w:val="false"/>
                <w:iCs w:val="false"/>
                <w:color w:val="000000"/>
                <w:sz w:val="18"/>
                <w:szCs w:val="18"/>
              </w:rPr>
              <w:t xml:space="preserve">
2009</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RF09456481</w:t>
            </w:r>
            <w:r>
              <w:rPr>
                <w:rFonts w:ascii="Arial" w:cs="Arial" w:eastAsia="Arial" w:hAnsi="Arial"/>
                <w:b w:val="false"/>
                <w:bCs w:val="false"/>
                <w:i w:val="false"/>
                <w:iCs w:val="false"/>
                <w:color w:val="000000"/>
                <w:sz w:val="18"/>
                <w:szCs w:val="18"/>
              </w:rPr>
              <w:t xml:space="preserve">
06/08/09 (PET)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RF09459897</w:t>
            </w:r>
            <w:r>
              <w:rPr>
                <w:rFonts w:ascii="Arial" w:cs="Arial" w:eastAsia="Arial" w:hAnsi="Arial"/>
                <w:b w:val="false"/>
                <w:bCs w:val="false"/>
                <w:i w:val="false"/>
                <w:iCs w:val="false"/>
                <w:color w:val="000000"/>
                <w:sz w:val="18"/>
                <w:szCs w:val="18"/>
              </w:rPr>
              <w:t xml:space="preserve">
06/26/09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18 d</w:t>
            </w:r>
          </w:p>
        </w:tc>
        <w:tc>
          <w:tcPr>
            <w:tcW w:type="dxa" w:w="34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Disposition attributed to Christina’s case number; Michael’s petition shows no outcome</w:t>
            </w:r>
          </w:p>
        </w:tc>
      </w:tr>
      <w:tr>
        <w:tc>
          <w:tcPr>
            <w:tcW w:type="dxa" w:w="11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Dissolution</w:t>
            </w:r>
            <w:r>
              <w:rPr>
                <w:rFonts w:ascii="Arial" w:cs="Arial" w:eastAsia="Arial" w:hAnsi="Arial"/>
                <w:b w:val="false"/>
                <w:bCs w:val="false"/>
                <w:i w:val="false"/>
                <w:iCs w:val="false"/>
                <w:color w:val="000000"/>
                <w:sz w:val="18"/>
                <w:szCs w:val="18"/>
              </w:rPr>
              <w:t xml:space="preserve">
2009–10</w:t>
            </w:r>
          </w:p>
        </w:tc>
        <w:tc>
          <w:tcPr>
            <w:tcW w:type="dxa" w:w="206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RF09470833</w:t>
            </w:r>
            <w:r>
              <w:rPr>
                <w:rFonts w:ascii="Arial" w:cs="Arial" w:eastAsia="Arial" w:hAnsi="Arial"/>
                <w:b w:val="false"/>
                <w:bCs w:val="false"/>
                <w:i w:val="false"/>
                <w:iCs w:val="false"/>
                <w:color w:val="000000"/>
                <w:sz w:val="18"/>
                <w:szCs w:val="18"/>
              </w:rPr>
              <w:t xml:space="preserve">
08/26/09 (PET)</w:t>
            </w:r>
          </w:p>
        </w:tc>
        <w:tc>
          <w:tcPr>
            <w:tcW w:type="dxa" w:w="206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RF10508853 + Ex Parte</w:t>
            </w:r>
            <w:r>
              <w:rPr>
                <w:rFonts w:ascii="Arial" w:cs="Arial" w:eastAsia="Arial" w:hAnsi="Arial"/>
                <w:b w:val="false"/>
                <w:bCs w:val="false"/>
                <w:i w:val="false"/>
                <w:iCs w:val="false"/>
                <w:color w:val="000000"/>
                <w:sz w:val="16"/>
                <w:szCs w:val="16"/>
              </w:rPr>
              <w:t xml:space="preserve">
+ RF10508859 (Packard)</w:t>
            </w:r>
            <w:r>
              <w:rPr>
                <w:rFonts w:ascii="Arial" w:cs="Arial" w:eastAsia="Arial" w:hAnsi="Arial"/>
                <w:b w:val="false"/>
                <w:bCs w:val="false"/>
                <w:i w:val="false"/>
                <w:iCs w:val="false"/>
                <w:color w:val="000000"/>
                <w:sz w:val="18"/>
                <w:szCs w:val="18"/>
              </w:rPr>
              <w:t xml:space="preserve">
04/09/10</w:t>
            </w:r>
          </w:p>
        </w:tc>
        <w:tc>
          <w:tcPr>
            <w:tcW w:type="dxa" w:w="7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8 mo</w:t>
            </w:r>
          </w:p>
        </w:tc>
        <w:tc>
          <w:tcPr>
            <w:tcW w:type="dxa" w:w="34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Michael’s dissolution voided; ex parte enforced removing Cole from custody; Christina becomes primary filer</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Custody</w:t>
            </w:r>
            <w:r>
              <w:rPr>
                <w:rFonts w:ascii="Arial" w:cs="Arial" w:eastAsia="Arial" w:hAnsi="Arial"/>
                <w:b w:val="false"/>
                <w:bCs w:val="false"/>
                <w:i w:val="false"/>
                <w:iCs w:val="false"/>
                <w:color w:val="000000"/>
                <w:sz w:val="18"/>
                <w:szCs w:val="18"/>
              </w:rPr>
              <w:t xml:space="preserve">
2023</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Sole custody holder</w:t>
            </w:r>
            <w:r>
              <w:rPr>
                <w:rFonts w:ascii="Arial" w:cs="Arial" w:eastAsia="Arial" w:hAnsi="Arial"/>
                <w:b w:val="false"/>
                <w:bCs w:val="false"/>
                <w:i w:val="false"/>
                <w:iCs w:val="false"/>
                <w:color w:val="000000"/>
                <w:sz w:val="18"/>
                <w:szCs w:val="18"/>
              </w:rPr>
              <w:t xml:space="preserve">
(since 07/02/09)</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 filing — direct</w:t>
            </w:r>
            <w:r>
              <w:rPr>
                <w:rFonts w:ascii="Arial" w:cs="Arial" w:eastAsia="Arial" w:hAnsi="Arial"/>
                <w:b w:val="false"/>
                <w:bCs w:val="false"/>
                <w:i w:val="false"/>
                <w:iCs w:val="false"/>
                <w:color w:val="000000"/>
                <w:sz w:val="18"/>
                <w:szCs w:val="18"/>
              </w:rPr>
              <w:t xml:space="preserve">
removal via police</w:t>
            </w:r>
            <w:r>
              <w:rPr>
                <w:rFonts w:ascii="Arial" w:cs="Arial" w:eastAsia="Arial" w:hAnsi="Arial"/>
                <w:b w:val="false"/>
                <w:bCs w:val="false"/>
                <w:i w:val="false"/>
                <w:iCs w:val="false"/>
                <w:color w:val="000000"/>
                <w:sz w:val="18"/>
                <w:szCs w:val="18"/>
              </w:rPr>
              <w:t xml:space="preserve">
06/16/23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N/A</w:t>
            </w:r>
          </w:p>
        </w:tc>
        <w:tc>
          <w:tcPr>
            <w:tcW w:type="dxa" w:w="34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Antioch PD removed Cole without verifying custody; Benicia PD refused to act; Cole not returned for 11+ days</w:t>
            </w:r>
          </w:p>
        </w:tc>
      </w:tr>
      <w:tr>
        <w:tc>
          <w:tcPr>
            <w:tcW w:type="dxa" w:w="11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DVRO</w:t>
            </w:r>
            <w:r>
              <w:rPr>
                <w:rFonts w:ascii="Arial" w:cs="Arial" w:eastAsia="Arial" w:hAnsi="Arial"/>
                <w:b w:val="false"/>
                <w:bCs w:val="false"/>
                <w:i w:val="false"/>
                <w:iCs w:val="false"/>
                <w:color w:val="000000"/>
                <w:sz w:val="18"/>
                <w:szCs w:val="18"/>
              </w:rPr>
              <w:t xml:space="preserve">
2025</w:t>
            </w:r>
          </w:p>
        </w:tc>
        <w:tc>
          <w:tcPr>
            <w:tcW w:type="dxa" w:w="206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bCs/>
                <w:i w:val="false"/>
                <w:iCs w:val="false"/>
                <w:color w:val="000000"/>
                <w:sz w:val="20"/>
                <w:szCs w:val="20"/>
              </w:rPr>
              <w:t xml:space="preserve">25FL122591</w:t>
            </w:r>
            <w:r>
              <w:rPr>
                <w:rFonts w:ascii="Arial" w:cs="Arial" w:eastAsia="Arial" w:hAnsi="Arial"/>
                <w:b w:val="false"/>
                <w:bCs w:val="false"/>
                <w:i w:val="false"/>
                <w:iCs w:val="false"/>
                <w:color w:val="000000"/>
                <w:sz w:val="18"/>
                <w:szCs w:val="18"/>
              </w:rPr>
              <w:t xml:space="preserve">
05/15/25 (PET)</w:t>
            </w:r>
          </w:p>
        </w:tc>
        <w:tc>
          <w:tcPr>
            <w:tcW w:type="dxa" w:w="206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25FL125059</w:t>
            </w:r>
            <w:r>
              <w:rPr>
                <w:rFonts w:ascii="Arial" w:cs="Arial" w:eastAsia="Arial" w:hAnsi="Arial"/>
                <w:b w:val="false"/>
                <w:bCs w:val="false"/>
                <w:i w:val="false"/>
                <w:iCs w:val="false"/>
                <w:color w:val="000000"/>
                <w:sz w:val="18"/>
                <w:szCs w:val="18"/>
              </w:rPr>
              <w:t xml:space="preserve">
06/04/25</w:t>
            </w:r>
            <w:r>
              <w:rPr>
                <w:rFonts w:ascii="Arial" w:cs="Arial" w:eastAsia="Arial" w:hAnsi="Arial"/>
                <w:b w:val="false"/>
                <w:bCs w:val="false"/>
                <w:i w:val="false"/>
                <w:iCs w:val="false"/>
                <w:color w:val="000000"/>
                <w:sz w:val="16"/>
                <w:szCs w:val="16"/>
              </w:rPr>
              <w:t xml:space="preserve">
+ Marin DVRO 07/17/25</w:t>
            </w:r>
          </w:p>
        </w:tc>
        <w:tc>
          <w:tcPr>
            <w:tcW w:type="dxa" w:w="70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20 d</w:t>
            </w:r>
          </w:p>
        </w:tc>
        <w:tc>
          <w:tcPr>
            <w:tcW w:type="dxa" w:w="3440"/>
            <w:tcBorders>
              <w:top w:val="single" w:color="999999" w:sz="1"/>
              <w:left w:val="single" w:color="999999" w:sz="1"/>
              <w:bottom w:val="single" w:color="999999" w:sz="1"/>
              <w:right w:val="single" w:color="999999" w:sz="1"/>
            </w:tcBorders>
            <w:shd w:fill="f0f0f5"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Cross-reference creates dual-party confusion; both DVROs dismissed; Christina kidnaps Cole ~13 days post-Sato order; files in Marin based on false representations; obtains sole custody</w:t>
            </w:r>
          </w:p>
        </w:tc>
      </w:tr>
    </w:tbl>
    <w:p>
      <w:pPr>
        <w:pStyle w:val="Heading2"/>
        <w:spacing w:before="300" w:after="150"/>
      </w:pPr>
      <w:r>
        <w:rPr>
          <w:rFonts w:ascii="Arial" w:cs="Arial" w:eastAsia="Arial" w:hAnsi="Arial"/>
          <w:b/>
          <w:bCs/>
        </w:rPr>
        <w:t xml:space="preserve">Consistent Mechanism</w:t>
      </w:r>
    </w:p>
    <w:p>
      <w:pPr>
        <w:spacing w:before="120" w:after="120"/>
        <w:jc w:val="left"/>
      </w:pPr>
      <w:r>
        <w:rPr>
          <w:rFonts w:ascii="Arial" w:cs="Arial" w:eastAsia="Arial" w:hAnsi="Arial"/>
          <w:b w:val="false"/>
          <w:bCs w:val="false"/>
          <w:i w:val="false"/>
          <w:iCs w:val="false"/>
          <w:color w:val="333333"/>
          <w:sz w:val="22"/>
          <w:szCs w:val="22"/>
        </w:rPr>
        <w:t xml:space="preserve">In each cycle, the sequence follows an identifiable pattern:</w:t>
      </w:r>
    </w:p>
    <w:p>
      <w:pPr>
        <w:spacing w:before="120" w:after="120"/>
        <w:ind w:left="360"/>
        <w:jc w:val="left"/>
      </w:pPr>
      <w:r>
        <w:rPr>
          <w:rFonts w:ascii="Arial" w:cs="Arial" w:eastAsia="Arial" w:hAnsi="Arial"/>
          <w:b/>
          <w:bCs/>
          <w:i w:val="false"/>
          <w:iCs w:val="false"/>
          <w:color w:val="333333"/>
          <w:sz w:val="22"/>
          <w:szCs w:val="22"/>
        </w:rPr>
        <w:t xml:space="preserve">1. </w:t>
      </w:r>
      <w:r>
        <w:rPr>
          <w:rFonts w:ascii="Arial" w:cs="Arial" w:eastAsia="Arial" w:hAnsi="Arial"/>
          <w:b w:val="false"/>
          <w:bCs w:val="false"/>
          <w:i w:val="false"/>
          <w:iCs w:val="false"/>
          <w:color w:val="333333"/>
          <w:sz w:val="22"/>
          <w:szCs w:val="22"/>
        </w:rPr>
        <w:t xml:space="preserve">Michael initiates a protective filing or holds established custody.</w:t>
      </w:r>
    </w:p>
    <w:p>
      <w:pPr>
        <w:spacing w:before="120" w:after="120"/>
        <w:ind w:left="360"/>
        <w:jc w:val="left"/>
      </w:pPr>
      <w:r>
        <w:rPr>
          <w:rFonts w:ascii="Arial" w:cs="Arial" w:eastAsia="Arial" w:hAnsi="Arial"/>
          <w:b/>
          <w:bCs/>
          <w:i w:val="false"/>
          <w:iCs w:val="false"/>
          <w:color w:val="333333"/>
          <w:sz w:val="22"/>
          <w:szCs w:val="22"/>
        </w:rPr>
        <w:t xml:space="preserve">2. </w:t>
      </w:r>
      <w:r>
        <w:rPr>
          <w:rFonts w:ascii="Arial" w:cs="Arial" w:eastAsia="Arial" w:hAnsi="Arial"/>
          <w:b w:val="false"/>
          <w:bCs w:val="false"/>
          <w:i w:val="false"/>
          <w:iCs w:val="false"/>
          <w:color w:val="333333"/>
          <w:sz w:val="22"/>
          <w:szCs w:val="22"/>
        </w:rPr>
        <w:t xml:space="preserve">Christina does not respond within the existing case. Instead, she files a separate parallel action under a new case number, or bypasses the courts entirely through law enforcement facilitation.</w:t>
      </w:r>
    </w:p>
    <w:p>
      <w:pPr>
        <w:spacing w:before="120" w:after="120"/>
        <w:ind w:left="360"/>
        <w:jc w:val="left"/>
      </w:pPr>
      <w:r>
        <w:rPr>
          <w:rFonts w:ascii="Arial" w:cs="Arial" w:eastAsia="Arial" w:hAnsi="Arial"/>
          <w:b/>
          <w:bCs/>
          <w:i w:val="false"/>
          <w:iCs w:val="false"/>
          <w:color w:val="333333"/>
          <w:sz w:val="22"/>
          <w:szCs w:val="22"/>
        </w:rPr>
        <w:t xml:space="preserve">3. </w:t>
      </w:r>
      <w:r>
        <w:rPr>
          <w:rFonts w:ascii="Arial" w:cs="Arial" w:eastAsia="Arial" w:hAnsi="Arial"/>
          <w:b w:val="false"/>
          <w:bCs w:val="false"/>
          <w:i w:val="false"/>
          <w:iCs w:val="false"/>
          <w:color w:val="333333"/>
          <w:sz w:val="22"/>
          <w:szCs w:val="22"/>
        </w:rPr>
        <w:t xml:space="preserve">The parallel action either supersedes Michael’s filing, absorbs the operative disposition, introduces cross-referencing confusion, or results in physical removal of the child.</w:t>
      </w:r>
    </w:p>
    <w:p>
      <w:pPr>
        <w:spacing w:before="120" w:after="120"/>
        <w:ind w:left="360"/>
        <w:jc w:val="left"/>
      </w:pPr>
      <w:r>
        <w:rPr>
          <w:rFonts w:ascii="Arial" w:cs="Arial" w:eastAsia="Arial" w:hAnsi="Arial"/>
          <w:b/>
          <w:bCs/>
          <w:i w:val="false"/>
          <w:iCs w:val="false"/>
          <w:color w:val="333333"/>
          <w:sz w:val="22"/>
          <w:szCs w:val="22"/>
        </w:rPr>
        <w:t xml:space="preserve">4. </w:t>
      </w:r>
      <w:r>
        <w:rPr>
          <w:rFonts w:ascii="Arial" w:cs="Arial" w:eastAsia="Arial" w:hAnsi="Arial"/>
          <w:b w:val="false"/>
          <w:bCs w:val="false"/>
          <w:i w:val="false"/>
          <w:iCs w:val="false"/>
          <w:color w:val="333333"/>
          <w:sz w:val="22"/>
          <w:szCs w:val="22"/>
        </w:rPr>
        <w:t xml:space="preserve">Law enforcement enforces against Michael (or refuses to enforce for him) regardless of existing court orders.</w:t>
      </w:r>
    </w:p>
    <w:p>
      <w:pPr>
        <w:spacing w:before="120" w:after="120"/>
        <w:ind w:left="360"/>
        <w:jc w:val="left"/>
      </w:pPr>
      <w:r>
        <w:rPr>
          <w:rFonts w:ascii="Arial" w:cs="Arial" w:eastAsia="Arial" w:hAnsi="Arial"/>
          <w:b/>
          <w:bCs/>
          <w:i w:val="false"/>
          <w:iCs w:val="false"/>
          <w:color w:val="333333"/>
          <w:sz w:val="22"/>
          <w:szCs w:val="22"/>
        </w:rPr>
        <w:t xml:space="preserve">5. </w:t>
      </w:r>
      <w:r>
        <w:rPr>
          <w:rFonts w:ascii="Arial" w:cs="Arial" w:eastAsia="Arial" w:hAnsi="Arial"/>
          <w:b w:val="false"/>
          <w:bCs w:val="false"/>
          <w:i w:val="false"/>
          <w:iCs w:val="false"/>
          <w:color w:val="333333"/>
          <w:sz w:val="22"/>
          <w:szCs w:val="22"/>
        </w:rPr>
        <w:t xml:space="preserve">Michael’s status as the original petitioner and sole custodial parent is obscured, negated, or physically overridden.</w:t>
      </w:r>
    </w:p>
    <w:p>
      <w:pPr>
        <w:pStyle w:val="Heading2"/>
        <w:spacing w:before="300" w:after="150"/>
      </w:pPr>
      <w:r>
        <w:rPr>
          <w:rFonts w:ascii="Arial" w:cs="Arial" w:eastAsia="Arial" w:hAnsi="Arial"/>
          <w:b/>
          <w:bCs/>
        </w:rPr>
        <w:t xml:space="preserve">Facilitation by Third Parties</w:t>
      </w:r>
    </w:p>
    <w:p>
      <w:pPr>
        <w:spacing w:before="120" w:after="120"/>
        <w:jc w:val="left"/>
      </w:pPr>
      <w:r>
        <w:rPr>
          <w:rFonts w:ascii="Arial" w:cs="Arial" w:eastAsia="Arial" w:hAnsi="Arial"/>
          <w:b/>
          <w:bCs/>
          <w:i w:val="false"/>
          <w:iCs w:val="false"/>
          <w:color w:val="333333"/>
          <w:sz w:val="22"/>
          <w:szCs w:val="22"/>
        </w:rPr>
        <w:t xml:space="preserve">Ann Marie Packard </w:t>
      </w:r>
      <w:r>
        <w:rPr>
          <w:rFonts w:ascii="Arial" w:cs="Arial" w:eastAsia="Arial" w:hAnsi="Arial"/>
          <w:b w:val="false"/>
          <w:bCs w:val="false"/>
          <w:i w:val="false"/>
          <w:iCs w:val="false"/>
          <w:color w:val="333333"/>
          <w:sz w:val="22"/>
          <w:szCs w:val="22"/>
        </w:rPr>
        <w:t xml:space="preserve">(Christina’s mother) filed the grandparent visitation petition on 04/09/2010 — the same day as Christina’s dissolution and ex parte. </w:t>
      </w:r>
      <w:r>
        <w:rPr>
          <w:rFonts w:ascii="Arial" w:cs="Arial" w:eastAsia="Arial" w:hAnsi="Arial"/>
          <w:b/>
          <w:bCs/>
          <w:i w:val="false"/>
          <w:iCs w:val="false"/>
          <w:color w:val="333333"/>
          <w:sz w:val="22"/>
          <w:szCs w:val="22"/>
        </w:rPr>
        <w:t xml:space="preserve">Ann Christine Hillberg </w:t>
      </w:r>
      <w:r>
        <w:rPr>
          <w:rFonts w:ascii="Arial" w:cs="Arial" w:eastAsia="Arial" w:hAnsi="Arial"/>
          <w:b w:val="false"/>
          <w:bCs w:val="false"/>
          <w:i w:val="false"/>
          <w:iCs w:val="false"/>
          <w:color w:val="333333"/>
          <w:sz w:val="22"/>
          <w:szCs w:val="22"/>
        </w:rPr>
        <w:t xml:space="preserve">(Michael’s mother) directed Antioch officers to send Cole to Christina on 06/16/2023 and facilitated Christina’s removal of Cole from Solano County in approximately July 2025. In each cycle, a family member served as a coordination point enabling the circumvention of Michael’s custody rights.</w:t>
      </w:r>
    </w:p>
    <w:p>
      <w:pPr>
        <w:pStyle w:val="Heading1"/>
        <w:spacing w:before="300" w:after="150"/>
      </w:pPr>
      <w:r>
        <w:rPr>
          <w:rFonts w:ascii="Arial" w:cs="Arial" w:eastAsia="Arial" w:hAnsi="Arial"/>
          <w:b/>
          <w:bCs/>
        </w:rPr>
        <w:t xml:space="preserve">VII. WHAT THE CASE INDEX DOES NOT SHOW</w:t>
      </w:r>
    </w:p>
    <w:p>
      <w:pPr>
        <w:spacing w:before="120" w:after="120"/>
        <w:jc w:val="left"/>
      </w:pPr>
      <w:r>
        <w:rPr>
          <w:rFonts w:ascii="Arial" w:cs="Arial" w:eastAsia="Arial" w:hAnsi="Arial"/>
          <w:b w:val="false"/>
          <w:bCs w:val="false"/>
          <w:i w:val="false"/>
          <w:iCs w:val="false"/>
          <w:color w:val="333333"/>
          <w:sz w:val="22"/>
          <w:szCs w:val="22"/>
        </w:rPr>
        <w:t xml:space="preserve">The Alameda County Party/Person Index reproduced in this document is the official record visible to any reviewing party. It does not reflect:</w:t>
      </w:r>
    </w:p>
    <w:p>
      <w:pPr>
        <w:spacing w:before="120" w:after="120"/>
        <w:ind w:left="360"/>
        <w:jc w:val="left"/>
      </w:pPr>
      <w:r>
        <w:rPr>
          <w:rFonts w:ascii="Arial" w:cs="Arial" w:eastAsia="Arial" w:hAnsi="Arial"/>
          <w:b w:val="false"/>
          <w:bCs w:val="false"/>
          <w:i w:val="false"/>
          <w:iCs w:val="false"/>
          <w:color w:val="333333"/>
          <w:sz w:val="22"/>
          <w:szCs w:val="22"/>
        </w:rPr>
        <w:t xml:space="preserve">•  The operative court orders from 07/02/2009 (restraining order, 0% custody, supervised visitation, psychiatric treatment orders)</w:t>
      </w:r>
    </w:p>
    <w:p>
      <w:pPr>
        <w:spacing w:before="120" w:after="120"/>
        <w:ind w:left="360"/>
        <w:jc w:val="left"/>
      </w:pPr>
      <w:r>
        <w:rPr>
          <w:rFonts w:ascii="Arial" w:cs="Arial" w:eastAsia="Arial" w:hAnsi="Arial"/>
          <w:b w:val="false"/>
          <w:bCs w:val="false"/>
          <w:i w:val="false"/>
          <w:iCs w:val="false"/>
          <w:color w:val="333333"/>
          <w:sz w:val="22"/>
          <w:szCs w:val="22"/>
        </w:rPr>
        <w:t xml:space="preserve">•  Christina’s ex parte filing on 04/09/2010 or its enforcement</w:t>
      </w:r>
    </w:p>
    <w:p>
      <w:pPr>
        <w:spacing w:before="120" w:after="120"/>
        <w:ind w:left="360"/>
        <w:jc w:val="left"/>
      </w:pPr>
      <w:r>
        <w:rPr>
          <w:rFonts w:ascii="Arial" w:cs="Arial" w:eastAsia="Arial" w:hAnsi="Arial"/>
          <w:b w:val="false"/>
          <w:bCs w:val="false"/>
          <w:i w:val="false"/>
          <w:iCs w:val="false"/>
          <w:color w:val="333333"/>
          <w:sz w:val="22"/>
          <w:szCs w:val="22"/>
        </w:rPr>
        <w:t xml:space="preserve">•  That law enforcement removed Cole from the sole custodial parent in both 2010 and 2023</w:t>
      </w:r>
    </w:p>
    <w:p>
      <w:pPr>
        <w:spacing w:before="120" w:after="120"/>
        <w:ind w:left="360"/>
        <w:jc w:val="left"/>
      </w:pPr>
      <w:r>
        <w:rPr>
          <w:rFonts w:ascii="Arial" w:cs="Arial" w:eastAsia="Arial" w:hAnsi="Arial"/>
          <w:b w:val="false"/>
          <w:bCs w:val="false"/>
          <w:i w:val="false"/>
          <w:iCs w:val="false"/>
          <w:color w:val="333333"/>
          <w:sz w:val="22"/>
          <w:szCs w:val="22"/>
        </w:rPr>
        <w:t xml:space="preserve">•  That Benicia PD refused to act on multiple occasions despite Michael’s sole custody</w:t>
      </w:r>
    </w:p>
    <w:p>
      <w:pPr>
        <w:spacing w:before="120" w:after="120"/>
        <w:ind w:left="360"/>
        <w:jc w:val="left"/>
      </w:pPr>
      <w:r>
        <w:rPr>
          <w:rFonts w:ascii="Arial" w:cs="Arial" w:eastAsia="Arial" w:hAnsi="Arial"/>
          <w:b w:val="false"/>
          <w:bCs w:val="false"/>
          <w:i w:val="false"/>
          <w:iCs w:val="false"/>
          <w:color w:val="333333"/>
          <w:sz w:val="22"/>
          <w:szCs w:val="22"/>
        </w:rPr>
        <w:t xml:space="preserve">•  That Christina kidnapped Cole approximately 13 days after Judge Sato’s transfer order</w:t>
      </w:r>
    </w:p>
    <w:p>
      <w:pPr>
        <w:spacing w:before="120" w:after="120"/>
        <w:ind w:left="360"/>
        <w:jc w:val="left"/>
      </w:pPr>
      <w:r>
        <w:rPr>
          <w:rFonts w:ascii="Arial" w:cs="Arial" w:eastAsia="Arial" w:hAnsi="Arial"/>
          <w:b w:val="false"/>
          <w:bCs w:val="false"/>
          <w:i w:val="false"/>
          <w:iCs w:val="false"/>
          <w:color w:val="333333"/>
          <w:sz w:val="22"/>
          <w:szCs w:val="22"/>
        </w:rPr>
        <w:t xml:space="preserve">•  That Christina filed in Marin County in direct violation of the transfer order to Solano County</w:t>
      </w:r>
    </w:p>
    <w:p>
      <w:pPr>
        <w:spacing w:before="120" w:after="120"/>
        <w:ind w:left="360"/>
        <w:jc w:val="left"/>
      </w:pPr>
      <w:r>
        <w:rPr>
          <w:rFonts w:ascii="Arial" w:cs="Arial" w:eastAsia="Arial" w:hAnsi="Arial"/>
          <w:b w:val="false"/>
          <w:bCs w:val="false"/>
          <w:i w:val="false"/>
          <w:iCs w:val="false"/>
          <w:color w:val="333333"/>
          <w:sz w:val="22"/>
          <w:szCs w:val="22"/>
        </w:rPr>
        <w:t xml:space="preserve">•  That Christina’s attorney made materially false representations to the Marin County court</w:t>
      </w:r>
    </w:p>
    <w:p>
      <w:pPr>
        <w:spacing w:before="120" w:after="120"/>
        <w:ind w:left="360"/>
        <w:jc w:val="left"/>
      </w:pPr>
      <w:r>
        <w:rPr>
          <w:rFonts w:ascii="Arial" w:cs="Arial" w:eastAsia="Arial" w:hAnsi="Arial"/>
          <w:b w:val="false"/>
          <w:bCs w:val="false"/>
          <w:i w:val="false"/>
          <w:iCs w:val="false"/>
          <w:color w:val="333333"/>
          <w:sz w:val="22"/>
          <w:szCs w:val="22"/>
        </w:rPr>
        <w:t xml:space="preserve">•  That Michael was assigned transfer charges in both his Petitioner and Respondent positions</w:t>
      </w:r>
    </w:p>
    <w:p>
      <w:pPr>
        <w:spacing w:before="120" w:after="120"/>
        <w:ind w:left="360"/>
        <w:jc w:val="left"/>
      </w:pPr>
      <w:r>
        <w:rPr>
          <w:rFonts w:ascii="Arial" w:cs="Arial" w:eastAsia="Arial" w:hAnsi="Arial"/>
          <w:b w:val="false"/>
          <w:bCs w:val="false"/>
          <w:i w:val="false"/>
          <w:iCs w:val="false"/>
          <w:color w:val="333333"/>
          <w:sz w:val="22"/>
          <w:szCs w:val="22"/>
        </w:rPr>
        <w:t xml:space="preserve">•  Christina’s 16-year non-compliance with court-ordered psychiatric treatment</w:t>
      </w:r>
    </w:p>
    <w:p>
      <w:pPr>
        <w:spacing w:before="200" w:after="120"/>
        <w:jc w:val="left"/>
      </w:pPr>
      <w:r>
        <w:rPr>
          <w:rFonts w:ascii="Arial" w:cs="Arial" w:eastAsia="Arial" w:hAnsi="Arial"/>
          <w:b/>
          <w:bCs/>
          <w:i w:val="false"/>
          <w:iCs w:val="false"/>
          <w:color w:val="333333"/>
          <w:sz w:val="22"/>
          <w:szCs w:val="22"/>
        </w:rPr>
        <w:t xml:space="preserve">The case index presents a surface-level filing history that, without context, obscures a documented pattern of retaliatory filings, enforcement failures, jurisdictional manipulation, and systematic displacement of the original petitioner’s custodial rights.</w:t>
      </w:r>
    </w:p>
    <w:p>
      <w:r>
        <w:t xml:space="preserve"/>
      </w:r>
      <w:r>
        <w:br w:type="page"/>
      </w:r>
    </w:p>
    <w:p>
      <w:pPr>
        <w:pBdr>
          <w:top w:val="single" w:color="888888" w:sz="2"/>
          <w:bottom w:val="single" w:color="888888" w:sz="2"/>
        </w:pBdr>
        <w:spacing w:after="200"/>
        <w:jc w:val="center"/>
      </w:pPr>
      <w:r>
        <w:rPr>
          <w:rFonts w:ascii="Arial" w:cs="Arial" w:eastAsia="Arial" w:hAnsi="Arial"/>
          <w:b/>
          <w:bCs/>
          <w:color w:val="666666"/>
          <w:sz w:val="22"/>
          <w:szCs w:val="22"/>
        </w:rPr>
        <w:t xml:space="preserve">RISK ACKNOWLEDGMENT</w:t>
      </w:r>
    </w:p>
    <w:p>
      <w:pPr>
        <w:spacing w:before="120" w:after="120"/>
        <w:jc w:val="left"/>
      </w:pPr>
      <w:r>
        <w:rPr>
          <w:rFonts w:ascii="Arial" w:cs="Arial" w:eastAsia="Arial" w:hAnsi="Arial"/>
          <w:b w:val="false"/>
          <w:bCs w:val="false"/>
          <w:i/>
          <w:iCs/>
          <w:color w:val="666666"/>
          <w:sz w:val="20"/>
          <w:szCs w:val="20"/>
        </w:rPr>
        <w:t xml:space="preserve">This analysis identifies procedural patterns visible in the Alameda County case index supplemented by the author’s direct account. Whether these patterns constitute actionable procedural defects, due process violations, fraud on the court, or grounds for fee reallocation requires assessment by licensed counsel with access to the complete case files across all jurisdictions (Alameda, Solano, Marin, Contra Costa). This document is prepared as self-represented litigant work product and does not constitute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Prepared 02/04/2026 — Self-Represented Litigant Work Product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CASE INDEX ANALYSIS — HARTMANN v. HARTMANN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4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2026-02-04T10:06:27.715Z</dcterms:created>
  <dcterms:modified xsi:type="dcterms:W3CDTF">2026-02-04T10:06:27.716Z</dcterms:modified>
</cp:coreProperties>
</file>

<file path=docProps/custom.xml><?xml version="1.0" encoding="utf-8"?>
<Properties xmlns="http://schemas.openxmlformats.org/officeDocument/2006/custom-properties" xmlns:vt="http://schemas.openxmlformats.org/officeDocument/2006/docPropsVTypes"/>
</file>