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VERNEN™</w:t>
      </w:r>
    </w:p>
    <w:p>
      <w:pPr>
        <w:spacing w:after="200"/>
        <w:jc w:val="center"/>
      </w:pPr>
      <w:r>
        <w:rPr>
          <w:rFonts w:ascii="Arial" w:cs="Arial" w:eastAsia="Arial" w:hAnsi="Arial"/>
          <w:color w:val="2E5C8A"/>
          <w:sz w:val="36"/>
          <w:szCs w:val="36"/>
        </w:rPr>
        <w:t xml:space="preserve">Revenue Model &amp; Pricing Structure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Multilingual Legal Compliance Audit Platform</w:t>
      </w:r>
    </w:p>
    <w:p>
      <w:pPr>
        <w:spacing w:before="1200"/>
        <w:jc w:val="center"/>
      </w:pPr>
      <w:r>
        <w:rPr>
          <w:rFonts w:ascii="Arial" w:cs="Arial" w:eastAsia="Arial" w:hAnsi="Arial"/>
          <w:sz w:val="24"/>
          <w:szCs w:val="24"/>
        </w:rPr>
        <w:t xml:space="preserve">Michael Vernen Thomas Hartmann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IP Manifest Filed: February 2,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 Date: February 14, 2026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 — FOR INTERNAL USE ONLY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VERNEN™ is a multilingual legal compliance audit engine providing field-level guided document navigation and domain-specific legal analysis for pro se litigants across 13 languages. The platform combines structured form annotations, scenario-based routing, and passive audit skill files that enforce the Legal Standard of Creation (S.o.C.) against every document submitted.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revenue model targets a tiered subscription structure with blended average revenue per user (ARPU) of $79/month, achieving 70-80% gross margins through prompt caching and efficient API utilization. No direct competitor currently offers multilingual compliance auditing with field-level legal guidance integrated across California's Judicial Council form ecosystem.</w:t>
      </w:r>
    </w:p>
    <w:p>
      <w:pPr>
        <w:pStyle w:val="Heading1"/>
      </w:pPr>
      <w:r>
        <w:rPr>
          <w:rFonts w:ascii="Arial" w:cs="Arial" w:eastAsia="Arial" w:hAnsi="Arial"/>
        </w:rPr>
        <w:t xml:space="preserve">2. Market Analysis</w:t>
      </w:r>
    </w:p>
    <w:p>
      <w:pPr>
        <w:pStyle w:val="Heading2"/>
      </w:pPr>
      <w:r>
        <w:rPr>
          <w:rFonts w:ascii="Arial" w:cs="Arial" w:eastAsia="Arial" w:hAnsi="Arial"/>
        </w:rPr>
        <w:t xml:space="preserve">2.1 Total Addressable Market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global legaltech market is valued at $34-72 billion, with the U.S. self-represented litigant segment representing the primary initial target. Over 4.3 million Californians participate in civil court proceedings annually, with approximately 67% of family law litigants appearing without counsel. The multilingual segment is critically underserved — California courts report that 40% of self-represented litigants have limited English proficiency.</w:t>
      </w:r>
    </w:p>
    <w:p>
      <w:pPr>
        <w:pStyle w:val="Heading2"/>
      </w:pPr>
      <w:r>
        <w:rPr>
          <w:rFonts w:ascii="Arial" w:cs="Arial" w:eastAsia="Arial" w:hAnsi="Arial"/>
        </w:rPr>
        <w:t xml:space="preserve">2.2 Competitive Landscape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400"/>
        <w:gridCol w:w="1400"/>
        <w:gridCol w:w="1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Multilingual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S.o.C. Audit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Field-Level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LegalZoom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preparation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Rocket Lawyer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Attorney access + docs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Self-help guides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TurboTax (Legal)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interviews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VERNEN™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audit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languages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2.3 Competitive Advantages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 differentiators: (1) 13-language field-level compliance guidance with embedded statutory citations. (2) Passive audit skill files enforcing Legal Standard of Creation against submitted documents. (3) Scenario-based routing connecting real-life situations to exact form sequences and filing deadlines. (4) Domain-specific legal glossaries validated against California statutory definitions. No competitor offers this combination.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Pricing Model</w:t>
      </w:r>
    </w:p>
    <w:p>
      <w:pPr>
        <w:pStyle w:val="Heading2"/>
      </w:pPr>
      <w:r>
        <w:rPr>
          <w:rFonts w:ascii="Arial" w:cs="Arial" w:eastAsia="Arial" w:hAnsi="Arial"/>
        </w:rPr>
        <w:t xml:space="preserve">3.1 Subscription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Price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$290/yr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form audits/month, 3 languages, family law domain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$79/mo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$790/yr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audits/month, all 13 languages, all domains, scenario routing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$149/mo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$1,490/yr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audits, priority processing, API access, batch processing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White-label, custom domains, dedicated support, SLA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Blended ARPU Calculation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 distribution: Basic 30%, Standard 45%, Professional 20%, Enterprise 5%. Blended ARPU: (0.30 × $29) + (0.45 × $79) + (0.20 × $149) + (0.05 × $300) = $8.70 + $35.55 + $29.80 + $15.00 = $89.05/month. Conservative model uses $79/month blended ARPU.</w:t>
      </w:r>
    </w:p>
    <w:p>
      <w:pPr>
        <w:pStyle w:val="Heading2"/>
      </w:pPr>
      <w:r>
        <w:rPr>
          <w:rFonts w:ascii="Arial" w:cs="Arial" w:eastAsia="Arial" w:hAnsi="Arial"/>
        </w:rPr>
        <w:t xml:space="preserve">3.3 Per-Query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per Query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Input (prompt + form)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~3K tokens avg with caching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Output (analysis)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~1.5K tokens avg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Caching Savings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-$0.010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 cache hit rate on skill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Hosting, storage, CDN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Cost per 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$0.035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&lt;$0.05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25 queries/month (Standard tier), monthly API cost per user = $0.875. Revenue per user = $79. Gross margin per user = $78.13 (98.9%). At scale with overhead, target gross margin: 70-80%.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Scaling Projections</w:t>
      </w:r>
    </w:p>
    <w:p>
      <w:pPr>
        <w:pStyle w:val="Heading2"/>
      </w:pPr>
      <w:r>
        <w:rPr>
          <w:rFonts w:ascii="Arial" w:cs="Arial" w:eastAsia="Arial" w:hAnsi="Arial"/>
        </w:rPr>
        <w:t xml:space="preserve">4.1 User Growth Model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1800"/>
        <w:gridCol w:w="13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API 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 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$640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$3,950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$3,200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$15,800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$13,000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$39,500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$6,500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$33,000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$79,000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$67,000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$395,000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$345,000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$790,000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$700,000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89%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Margin improvement at scale driven by: increased prompt cache hit rates, batch API pricing, infrastructure amortization, and higher proportion of Professional/Enterprise tiers.</w:t>
      </w:r>
    </w:p>
    <w:p>
      <w:pPr>
        <w:pStyle w:val="Heading2"/>
      </w:pPr>
      <w:r>
        <w:rPr>
          <w:rFonts w:ascii="Arial" w:cs="Arial" w:eastAsia="Arial" w:hAnsi="Arial"/>
        </w:rPr>
        <w:t xml:space="preserve">4.2 Revenue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0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Run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1-3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$790-$1,975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$9.5K-$23.7K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launch, beta testing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4-6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$3,950-$7,900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$47K-$95K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launch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7-12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200-500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$15.8K-$39.5K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$190K-$474K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expansion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1,000-3,000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$79K-$237K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$948K-$2.8M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Multi-state expansion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3,000-7,000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$237K-$553K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$2.8M-$6.6M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+ API partnerships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Cost Structure</w:t>
      </w:r>
    </w:p>
    <w:p>
      <w:pPr>
        <w:pStyle w:val="Heading2"/>
      </w:pPr>
      <w:r>
        <w:rPr>
          <w:rFonts w:ascii="Arial" w:cs="Arial" w:eastAsia="Arial" w:hAnsi="Arial"/>
        </w:rPr>
        <w:t xml:space="preserve">5.1 Fixed Costs (Monthly)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53"/>
        <w:gridCol w:w="1953"/>
        <w:gridCol w:w="195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Pre-Revenue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 500 Users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 5,000 Users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Hosting (Render/Vercel)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Costs (Anthropic)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$6,500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/ SSL / CDN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(IP protection)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/ Outreach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Monthly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$8,250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$58,200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Break-Even Analysis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$79/month ARPU and $0.035/query variable cost with 25 queries/user: variable cost = $0.875/user/month. Fixed overhead at early stage: ~$500/month. Break-even: 500 / (79 - 0.875) = 7 users. Capital-light model achieves profitability at single-digit user counts.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scale (500 users), monthly fixed costs rise to ~$8,250. Break-even at that cost level: 8,250 / 78.13 = 106 users. With 500 active users generating $39,500/month, net operating margin = $31,250/month (79%).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Product Architecture — Revenue-Generating Components</w:t>
      </w:r>
    </w:p>
    <w:p>
      <w:pPr>
        <w:pStyle w:val="Heading2"/>
      </w:pPr>
      <w:r>
        <w:rPr>
          <w:rFonts w:ascii="Arial" w:cs="Arial" w:eastAsia="Arial" w:hAnsi="Arial"/>
        </w:rPr>
        <w:t xml:space="preserve">6.1 GDN Module (Core Revenue Driver)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28 California Judicial Council forms across 3 tiers, 26 litigation scenarios, field-level annotations in 13 languages. Delivered via JSON-driven UI consuming form_registry.json, scenario_index.json, and per-form annotation files. This is the primary subscription value proposition.</w:t>
      </w:r>
    </w:p>
    <w:p>
      <w:pPr>
        <w:pStyle w:val="Heading2"/>
      </w:pPr>
      <w:r>
        <w:rPr>
          <w:rFonts w:ascii="Arial" w:cs="Arial" w:eastAsia="Arial" w:hAnsi="Arial"/>
        </w:rPr>
        <w:t xml:space="preserve">6.2 Audit Skill Engine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24 passive audit skill files covering: family law, custody, domestic violence, child welfare, law enforcement, attorney conduct, court orders, labor/employment, insurance bad faith, real estate fraud, medical billing, constitutional rights, elder abuse, immigration, housing/eviction, and more. Each skill enforces domain-specific compliance standards against submitted documents.</w:t>
      </w:r>
    </w:p>
    <w:p>
      <w:pPr>
        <w:pStyle w:val="Heading2"/>
      </w:pPr>
      <w:r>
        <w:rPr>
          <w:rFonts w:ascii="Arial" w:cs="Arial" w:eastAsia="Arial" w:hAnsi="Arial"/>
        </w:rPr>
        <w:t xml:space="preserve">6.3 MCP Legal Research Server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VERNEN Legal MCP server providing real-time statutory lookup across California codes, California Rules of Court, California Code of Regulations, and federal statutes. Enables live citation validation during document auditing. Deployed at vernen-legal-mcp.onrender.com.</w:t>
      </w:r>
    </w:p>
    <w:p>
      <w:pPr>
        <w:pStyle w:val="Heading2"/>
      </w:pPr>
      <w:r>
        <w:rPr>
          <w:rFonts w:ascii="Arial" w:cs="Arial" w:eastAsia="Arial" w:hAnsi="Arial"/>
        </w:rPr>
        <w:t xml:space="preserve">6.4 Multilingual Legal Glossaries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12 domain-specific glossary files providing term definitions in 13 languages. Legal terms validated against California statutory definitions. Supports GDN field-level help text and audit finding explanations.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Go-to-Market Strategy</w:t>
      </w:r>
    </w:p>
    <w:p>
      <w:pPr>
        <w:pStyle w:val="Heading2"/>
      </w:pPr>
      <w:r>
        <w:rPr>
          <w:rFonts w:ascii="Arial" w:cs="Arial" w:eastAsia="Arial" w:hAnsi="Arial"/>
        </w:rPr>
        <w:t xml:space="preserve">7.1 Phase 1: California Family Law (Months 1-6)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Launch with family law domain — highest volume, highest pro se rate, most acute need for multilingual support. Target: self-help centers, legal aid organizations, family law facilitator offices, community organizations serving immigrant populations.</w:t>
      </w:r>
    </w:p>
    <w:p>
      <w:pPr>
        <w:pStyle w:val="Heading2"/>
      </w:pPr>
      <w:r>
        <w:rPr>
          <w:rFonts w:ascii="Arial" w:cs="Arial" w:eastAsia="Arial" w:hAnsi="Arial"/>
        </w:rPr>
        <w:t xml:space="preserve">7.2 Phase 2: Multi-Domain California (Months 7-12)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Expand to housing/eviction, small claims, civil harassment, and elder abuse domains. Target: tenant rights organizations, senior centers, domestic violence shelters, community legal clinics.</w:t>
      </w:r>
    </w:p>
    <w:p>
      <w:pPr>
        <w:pStyle w:val="Heading2"/>
      </w:pPr>
      <w:r>
        <w:rPr>
          <w:rFonts w:ascii="Arial" w:cs="Arial" w:eastAsia="Arial" w:hAnsi="Arial"/>
        </w:rPr>
        <w:t xml:space="preserve">7.3 Phase 3: Multi-State Expansion (Year 2)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Replicate California model in high-volume states: Texas, New York, Florida, Illinois. Each state requires new form registries, annotations, and jurisdiction-specific audit skills. Revenue multiplier: 5-10x on existing infrastructure.</w:t>
      </w:r>
    </w:p>
    <w:p>
      <w:pPr>
        <w:pStyle w:val="Heading2"/>
      </w:pPr>
      <w:r>
        <w:rPr>
          <w:rFonts w:ascii="Arial" w:cs="Arial" w:eastAsia="Arial" w:hAnsi="Arial"/>
        </w:rPr>
        <w:t xml:space="preserve">7.4 Phase 4: API &amp; Enterprise (Year 2-3)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License VERNEN™ engine to legal aid organizations, court self-help centers, and legaltech platforms via API. White-label deployments for institutional partners. Enterprise pricing based on volume and customization requirements.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Intellectual Property Portfolio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IP manifest filed February 2, 2026. Portfolio encompasses: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Guided Document Navigator (GDN) — form registry, scenario index, and field-level annotation architecture with multilingual translation framework.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Legal Standard of Creation (S.o.C.) Audit Engine — methodology for identifying the governing standard of a legal document and auditing compliance against that standard.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Passive Audit Skill File Architecture — domain-specific compliance checklists with embedded statutory citations, output protocols, and trigger conditions.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VERNEN Legal MCP Server — Model Context Protocol integration providing real-time statutory lookup during AI-assisted document analysis.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Multilingual Legal Glossary System — validated legal term definitions across 13 languages with domain-specific coverage.</w:t>
      </w:r>
    </w:p>
    <w:p>
      <w:pPr>
        <w:spacing w:before="12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© 2024–2026 Michael Vernen Thomas Hartmann. All Rights Reserved.</w:t>
      </w:r>
    </w:p>
    <w:p>
      <w:r>
        <w:rPr>
          <w:rFonts w:ascii="Arial" w:cs="Arial" w:eastAsia="Arial" w:hAnsi="Arial"/>
          <w:color w:val="999999"/>
          <w:sz w:val="18"/>
          <w:szCs w:val="18"/>
        </w:rPr>
        <w:t xml:space="preserve">VERNEN™ is a trademark of Michael Vernen Thomas Hartmann.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2026-02-14T14:04:18.438Z</dcterms:created>
  <dcterms:modified xsi:type="dcterms:W3CDTF">2026-02-14T14:04:18.439Z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