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6"/>
          <w:szCs w:val="56"/>
        </w:rPr>
        <w:t xml:space="preserve">VERNEN™</w:t>
      </w:r>
    </w:p>
    <w:p>
      <w:pPr>
        <w:spacing w:after="60"/>
        <w:jc w:val="center"/>
      </w:pPr>
      <w:r>
        <w:rPr>
          <w:rFonts w:ascii="Arial" w:cs="Arial" w:eastAsia="Arial" w:hAnsi="Arial"/>
          <w:color w:val="3B7DD8"/>
          <w:sz w:val="40"/>
          <w:szCs w:val="40"/>
        </w:rPr>
        <w:t xml:space="preserve">Domain Expansion Roadmap</w:t>
      </w:r>
    </w:p>
    <w:p>
      <w:pPr>
        <w:spacing w:after="200"/>
        <w:jc w:val="center"/>
      </w:pPr>
      <w:r>
        <w:rPr>
          <w:rFonts w:ascii="Arial" w:cs="Arial" w:eastAsia="Arial" w:hAnsi="Arial"/>
          <w:i/>
          <w:iCs/>
          <w:color w:val="2D2D2D"/>
          <w:sz w:val="26"/>
          <w:szCs w:val="26"/>
        </w:rPr>
        <w:t xml:space="preserve">Strategic Market Analysis &amp; Prioritization Framework</w:t>
      </w:r>
    </w:p>
    <w:p>
      <w:pPr>
        <w:spacing w:after="40"/>
        <w:jc w:val="center"/>
      </w:pPr>
      <w:r>
        <w:rPr>
          <w:rFonts w:ascii="Arial" w:cs="Arial" w:eastAsia="Arial" w:hAnsi="Arial"/>
          <w:color w:val="AAAAAA"/>
          <w:sz w:val="22"/>
          <w:szCs w:val="22"/>
        </w:rPr>
        <w:t xml:space="preserve">────────────────────────────────────────</w:t>
      </w:r>
    </w:p>
    <w:p>
      <w:pPr>
        <w:spacing w:after="60"/>
        <w:jc w:val="center"/>
      </w:pPr>
      <w:r>
        <w:rPr>
          <w:rFonts w:ascii="Arial" w:cs="Arial" w:eastAsia="Arial" w:hAnsi="Arial"/>
          <w:color w:val="2D2D2D"/>
          <w:sz w:val="22"/>
          <w:szCs w:val="22"/>
        </w:rPr>
        <w:t xml:space="preserve">Prepared for: Michael Vernen Thomas Hartmann</w:t>
      </w:r>
    </w:p>
    <w:p>
      <w:pPr>
        <w:spacing w:after="60"/>
        <w:jc w:val="center"/>
      </w:pPr>
      <w:r>
        <w:rPr>
          <w:rFonts w:ascii="Arial" w:cs="Arial" w:eastAsia="Arial" w:hAnsi="Arial"/>
          <w:color w:val="2D2D2D"/>
          <w:sz w:val="22"/>
          <w:szCs w:val="22"/>
        </w:rPr>
        <w:t xml:space="preserve">Date: February 3, 2026</w:t>
      </w:r>
    </w:p>
    <w:p>
      <w:pPr>
        <w:spacing w:after="60"/>
        <w:jc w:val="center"/>
      </w:pPr>
      <w:r>
        <w:rPr>
          <w:rFonts w:ascii="Arial" w:cs="Arial" w:eastAsia="Arial" w:hAnsi="Arial"/>
          <w:b/>
          <w:bCs/>
          <w:color w:val="CC0000"/>
          <w:sz w:val="22"/>
          <w:szCs w:val="22"/>
        </w:rPr>
        <w:t xml:space="preserve">Classification: CONFIDENTIAL — PROPRIETARY</w:t>
      </w:r>
    </w:p>
    <w:p>
      <w:pPr>
        <w:spacing w:after="60"/>
        <w:jc w:val="center"/>
      </w:pPr>
      <w:r>
        <w:rPr>
          <w:rFonts w:ascii="Arial" w:cs="Arial" w:eastAsia="Arial" w:hAnsi="Arial"/>
          <w:color w:val="666666"/>
          <w:sz w:val="20"/>
          <w:szCs w:val="20"/>
        </w:rPr>
        <w:t xml:space="preserve">© 2026 Michael V.T. Hartmann. All rights reserved.</w:t>
      </w:r>
    </w:p>
    <w:p>
      <w:r>
        <w:br w:type="page"/>
      </w:r>
    </w:p>
    <w:p>
      <w:pPr>
        <w:pStyle w:val="Heading1"/>
        <w:spacing w:before="300" w:after="150"/>
      </w:pPr>
      <w:r>
        <w:rPr>
          <w:rFonts w:ascii="Arial" w:cs="Arial" w:eastAsia="Arial" w:hAnsi="Arial"/>
          <w:b/>
          <w:bCs/>
          <w:color w:val="1B3A5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b/>
          <w:bCs/>
          <w:color w:val="1B3A5C"/>
        </w:rPr>
        <w:t xml:space="preserve">1. Executive Summary</w:t>
      </w:r>
    </w:p>
    <w:p>
      <w:pPr>
        <w:spacing w:after="120"/>
        <w:jc w:val="left"/>
      </w:pPr>
      <w:r>
        <w:rPr>
          <w:rFonts w:ascii="Arial" w:cs="Arial" w:eastAsia="Arial" w:hAnsi="Arial"/>
          <w:b w:val="false"/>
          <w:bCs w:val="false"/>
          <w:i w:val="false"/>
          <w:iCs w:val="false"/>
          <w:color w:val="2D2D2D"/>
          <w:sz w:val="22"/>
          <w:szCs w:val="22"/>
        </w:rPr>
        <w:t xml:space="preserve">VERNEN™ launched with 14 specialized audit domains built from real-world litigation needs. This roadmap identifies 50–60 additional auditable domains and prioritizes them by addressable market size, pro se litigation volume, bilingual advantage, and revenue potential.</w:t>
      </w:r>
    </w:p>
    <w:p>
      <w:pPr>
        <w:spacing w:after="120"/>
        <w:jc w:val="left"/>
      </w:pPr>
      <w:r>
        <w:rPr>
          <w:rFonts w:ascii="Arial" w:cs="Arial" w:eastAsia="Arial" w:hAnsi="Arial"/>
          <w:b/>
          <w:bCs/>
          <w:color w:val="2D2D2D"/>
          <w:sz w:val="22"/>
          <w:szCs w:val="22"/>
        </w:rPr>
        <w:t xml:space="preserve">Core finding: </w:t>
      </w:r>
      <w:r>
        <w:rPr>
          <w:rFonts w:ascii="Arial" w:cs="Arial" w:eastAsia="Arial" w:hAnsi="Arial"/>
          <w:color w:val="2D2D2D"/>
          <w:sz w:val="22"/>
          <w:szCs w:val="22"/>
        </w:rPr>
        <w:t xml:space="preserve">The pro se legal services market represents a $3–5 billion annual opportunity across Tier 1 domains alone. Pro se litigants lose 80–90% of cases—not because cases are weak, but because they lack procedural knowledge, legal research capacity, and evidentiary standards understanding. VERNEN™ directly addresses this gap at $0.05/query versus $300–500/hour attorney fees.</w:t>
      </w:r>
    </w:p>
    <w:p>
      <w:pPr>
        <w:spacing w:after="120"/>
        <w:jc w:val="left"/>
      </w:pPr>
      <w:r>
        <w:rPr>
          <w:rFonts w:ascii="Arial" w:cs="Arial" w:eastAsia="Arial" w:hAnsi="Arial"/>
          <w:b/>
          <w:bCs/>
          <w:color w:val="2D2D2D"/>
          <w:sz w:val="22"/>
          <w:szCs w:val="22"/>
        </w:rPr>
        <w:t xml:space="preserve">Recommended build sequence: </w:t>
      </w:r>
      <w:r>
        <w:rPr>
          <w:rFonts w:ascii="Arial" w:cs="Arial" w:eastAsia="Arial" w:hAnsi="Arial"/>
          <w:color w:val="2D2D2D"/>
          <w:sz w:val="22"/>
          <w:szCs w:val="22"/>
        </w:rPr>
        <w:t xml:space="preserve">Housing/Eviction → Family Law Expansion → Immigration → Employment (Tier 1, months 1–6), followed by Government Benefits → Criminal Defense → Elder Law → Healthcare (Tier 2, months 7–12).</w:t>
      </w:r>
    </w:p>
    <w:p>
      <w:r>
        <w:br w:type="page"/>
      </w:r>
    </w:p>
    <w:p>
      <w:pPr>
        <w:pStyle w:val="Heading1"/>
        <w:spacing w:before="300" w:after="150"/>
      </w:pPr>
      <w:r>
        <w:rPr>
          <w:rFonts w:ascii="Arial" w:cs="Arial" w:eastAsia="Arial" w:hAnsi="Arial"/>
          <w:b/>
          <w:bCs/>
          <w:color w:val="1B3A5C"/>
        </w:rPr>
        <w:t xml:space="preserve">2. Legal Technology Market Landscape</w:t>
      </w:r>
    </w:p>
    <w:p>
      <w:pPr>
        <w:pStyle w:val="Heading2"/>
        <w:spacing w:before="300" w:after="150"/>
      </w:pPr>
      <w:r>
        <w:rPr>
          <w:rFonts w:ascii="Arial" w:cs="Arial" w:eastAsia="Arial" w:hAnsi="Arial"/>
          <w:b/>
          <w:bCs/>
          <w:color w:val="1B3A5C"/>
        </w:rPr>
        <w:t xml:space="preserve">2.1 Global Market Size &amp; Growth</w:t>
      </w:r>
    </w:p>
    <w:p>
      <w:pPr>
        <w:spacing w:after="120"/>
        <w:jc w:val="left"/>
      </w:pPr>
      <w:r>
        <w:rPr>
          <w:rFonts w:ascii="Arial" w:cs="Arial" w:eastAsia="Arial" w:hAnsi="Arial"/>
          <w:b w:val="false"/>
          <w:bCs w:val="false"/>
          <w:i w:val="false"/>
          <w:iCs w:val="false"/>
          <w:color w:val="2D2D2D"/>
          <w:sz w:val="22"/>
          <w:szCs w:val="22"/>
        </w:rPr>
        <w:t xml:space="preserve">Multiple analyst firms confirm the legal tech market is in a sustained high-growth phase, driven by AI adoption, cloud migration, and regulatory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2024–25 Value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Projected Value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CAGR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Fortune Business Insights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$31.6B (2024)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$63.6B (2032)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9.4%</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Grand View Research</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$26.7B (2024)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$46.8B (2030)</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10.2%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Mordor Intelligence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$34.2B (2025)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$50.3B (2030)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~8%</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Market Research Future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$24.0B (2025)</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$58.9B (2035)</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9.4%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Future Market Insights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$35.4B (2025)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$72.5B (2035)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7.6%</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Coherent Market Insights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$7.3B U.S. (2024)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$13.1B U.S. (2033)</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7.0%</w:t>
            </w:r>
          </w:p>
        </w:tc>
      </w:tr>
    </w:tbl>
    <w:p>
      <w:pPr>
        <w:spacing w:after="120"/>
      </w:pPr>
    </w:p>
    <w:p>
      <w:pPr>
        <w:spacing w:after="120"/>
        <w:jc w:val="left"/>
      </w:pPr>
      <w:r>
        <w:rPr>
          <w:rFonts w:ascii="Arial" w:cs="Arial" w:eastAsia="Arial" w:hAnsi="Arial"/>
          <w:b/>
          <w:bCs/>
          <w:color w:val="2D2D2D"/>
          <w:sz w:val="22"/>
          <w:szCs w:val="22"/>
        </w:rPr>
        <w:t xml:space="preserve">Consensus range: </w:t>
      </w:r>
      <w:r>
        <w:rPr>
          <w:rFonts w:ascii="Arial" w:cs="Arial" w:eastAsia="Arial" w:hAnsi="Arial"/>
          <w:color w:val="2D2D2D"/>
          <w:sz w:val="22"/>
          <w:szCs w:val="22"/>
        </w:rPr>
        <w:t xml:space="preserve">Global TAM of $34–72B by 2030–35, with 7–14% CAGR. U.S. market represents approximately 47% of global revenue.</w:t>
      </w:r>
    </w:p>
    <w:p>
      <w:pPr>
        <w:pStyle w:val="Heading2"/>
        <w:spacing w:before="300" w:after="150"/>
      </w:pPr>
      <w:r>
        <w:rPr>
          <w:rFonts w:ascii="Arial" w:cs="Arial" w:eastAsia="Arial" w:hAnsi="Arial"/>
          <w:b/>
          <w:bCs/>
          <w:color w:val="1B3A5C"/>
        </w:rPr>
        <w:t xml:space="preserve">2.2 Fastest-Growing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Growth Rate</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Strategic Relevance to VERNEN™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Contract Lifecycle Mgmt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19.12% CAGR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 direct overlap; B2B enterprise focus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Legal Analytics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Fastest 2025–33</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HIGH—predictive insights, risk assessment align with S.o.C. methodology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Cloud-Based Solutions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65–70% adoption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VERNEN™ is cloud-native; aligns with market direction</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AI-Powered Tools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44% adoption</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VERNEN™ core architecture; first-mover in domain-specific AI audit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E-Discovery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Largest revenue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 overlap; enterprise litigation focus</w:t>
            </w:r>
          </w:p>
        </w:tc>
      </w:tr>
    </w:tbl>
    <w:p>
      <w:pPr>
        <w:spacing w:after="120"/>
      </w:pPr>
    </w:p>
    <w:p>
      <w:pPr>
        <w:pStyle w:val="Heading2"/>
        <w:spacing w:before="300" w:after="150"/>
      </w:pPr>
      <w:r>
        <w:rPr>
          <w:rFonts w:ascii="Arial" w:cs="Arial" w:eastAsia="Arial" w:hAnsi="Arial"/>
          <w:b/>
          <w:bCs/>
          <w:color w:val="1B3A5C"/>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Market Share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Moat Type</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VERNEN™ Overlap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Thomson Reuters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18–22%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Content moat (Westlaw, Practical Law)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NONE—different customer segment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LexisNexis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15–19%</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Content moat (case law database)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NONE—different delivery model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Clio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12–16%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Workflow integration (practice mgmt)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LOW—Clio serves attorneys, not pro 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Relativity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10–14%</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E-discovery specialization</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NONE—enterprise litigation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LegalZoom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N/A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Consumer brand (entity formation)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MEDIUM—overlapping consumer audience</w:t>
            </w:r>
          </w:p>
        </w:tc>
      </w:tr>
    </w:tbl>
    <w:p>
      <w:pPr>
        <w:spacing w:after="120"/>
      </w:pPr>
    </w:p>
    <w:p>
      <w:pPr>
        <w:spacing w:after="120"/>
        <w:jc w:val="left"/>
      </w:pPr>
      <w:r>
        <w:rPr>
          <w:rFonts w:ascii="Arial" w:cs="Arial" w:eastAsia="Arial" w:hAnsi="Arial"/>
          <w:b/>
          <w:bCs/>
          <w:color w:val="2D2D2D"/>
          <w:sz w:val="22"/>
          <w:szCs w:val="22"/>
        </w:rPr>
        <w:t xml:space="preserve">VERNEN™ competitive position: </w:t>
      </w:r>
      <w:r>
        <w:rPr>
          <w:rFonts w:ascii="Arial" w:cs="Arial" w:eastAsia="Arial" w:hAnsi="Arial"/>
          <w:color w:val="2D2D2D"/>
          <w:sz w:val="22"/>
          <w:szCs w:val="22"/>
        </w:rPr>
        <w:t xml:space="preserve">Not competing with incumbents for attorney workflows. Competing with $300–500/hour attorneys for DOCUMENT REVIEW and COMPLIANCE ANALYSIS in specific domains. Win condition: 80–90% cost reduction with equal or better accuracy through domain specialization (S.o.C. methodology + skill files).</w:t>
      </w:r>
    </w:p>
    <w:p>
      <w:r>
        <w:br w:type="page"/>
      </w:r>
    </w:p>
    <w:p>
      <w:pPr>
        <w:pStyle w:val="Heading1"/>
        <w:spacing w:before="300" w:after="150"/>
      </w:pPr>
      <w:r>
        <w:rPr>
          <w:rFonts w:ascii="Arial" w:cs="Arial" w:eastAsia="Arial" w:hAnsi="Arial"/>
          <w:b/>
          <w:bCs/>
          <w:color w:val="1B3A5C"/>
        </w:rPr>
        <w:t xml:space="preserve">3. Pro Se Litigation: The Underserved Market</w:t>
      </w:r>
    </w:p>
    <w:p>
      <w:pPr>
        <w:pStyle w:val="Heading2"/>
        <w:spacing w:before="300" w:after="150"/>
      </w:pPr>
      <w:r>
        <w:rPr>
          <w:rFonts w:ascii="Arial" w:cs="Arial" w:eastAsia="Arial" w:hAnsi="Arial"/>
          <w:b/>
          <w:bCs/>
          <w:color w:val="1B3A5C"/>
        </w:rPr>
        <w:t xml:space="preserve">3.1 Federal Court Statistics (2000–2019)</w:t>
      </w:r>
    </w:p>
    <w:p>
      <w:pPr>
        <w:spacing w:after="120"/>
        <w:jc w:val="left"/>
      </w:pPr>
      <w:r>
        <w:rPr>
          <w:rFonts w:ascii="Arial" w:cs="Arial" w:eastAsia="Arial" w:hAnsi="Arial"/>
          <w:b w:val="false"/>
          <w:bCs w:val="false"/>
          <w:i w:val="false"/>
          <w:iCs w:val="false"/>
          <w:color w:val="2D2D2D"/>
          <w:sz w:val="22"/>
          <w:szCs w:val="22"/>
        </w:rPr>
        <w:t xml:space="preserve">Data from the U.S. Courts Administrative Office, Cornell Law Review, and Cambridge University Press confirm a massive, persistent pro se population in federal courts.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Civil cases with ≥1 pro se party (2000–2019)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27% of all filings</w:t>
            </w:r>
          </w:p>
        </w:tc>
      </w:tr>
      <w:tr>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 se cases involving pro se plaintiffs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91% (25.4% of total filings)</w:t>
            </w:r>
          </w:p>
        </w:tc>
      </w:tr>
      <w:tr>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Employment civil rights cases with pro se party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w:t>
            </w:r>
          </w:p>
        </w:tc>
      </w:tr>
      <w:tr>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 se plaintiff win rate (final judgment)</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w:t>
            </w:r>
          </w:p>
        </w:tc>
      </w:tr>
      <w:tr>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 se defendant win rate (final judgment)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12%</w:t>
            </w:r>
          </w:p>
        </w:tc>
      </w:tr>
      <w:tr>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Win rate when both parties represented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~50/50</w:t>
            </w:r>
          </w:p>
        </w:tc>
      </w:tr>
      <w:tr>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 se claims failing on motion to dismiss (N.D. 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56%</w:t>
            </w:r>
          </w:p>
        </w:tc>
      </w:tr>
      <w:tr>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Representation improvement factor (meta-study)</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1.19x–13.79x better outcomes</w:t>
            </w:r>
          </w:p>
        </w:tc>
      </w:tr>
    </w:tbl>
    <w:p>
      <w:pPr>
        <w:spacing w:after="120"/>
      </w:pPr>
    </w:p>
    <w:p>
      <w:pPr>
        <w:spacing w:after="120"/>
        <w:jc w:val="left"/>
      </w:pPr>
      <w:r>
        <w:rPr>
          <w:rFonts w:ascii="Arial" w:cs="Arial" w:eastAsia="Arial" w:hAnsi="Arial"/>
          <w:b/>
          <w:bCs/>
          <w:color w:val="2D2D2D"/>
          <w:sz w:val="22"/>
          <w:szCs w:val="22"/>
        </w:rPr>
        <w:t xml:space="preserve">Key insight: </w:t>
      </w:r>
      <w:r>
        <w:rPr>
          <w:rFonts w:ascii="Arial" w:cs="Arial" w:eastAsia="Arial" w:hAnsi="Arial"/>
          <w:color w:val="2D2D2D"/>
          <w:sz w:val="22"/>
          <w:szCs w:val="22"/>
        </w:rPr>
        <w:t xml:space="preserve">Pro se litigants lose overwhelmingly NOT because cases are inherently weak, but due to procedural deficiency, unfamiliarity with governing standards, inability to identify legal issues, and failure to meet burden-of-proof requirements—precisely the gaps VERNEN™ audit technology addresses.</w:t>
      </w:r>
    </w:p>
    <w:p>
      <w:pPr>
        <w:pStyle w:val="Heading2"/>
        <w:spacing w:before="300" w:after="150"/>
      </w:pPr>
      <w:r>
        <w:rPr>
          <w:rFonts w:ascii="Arial" w:cs="Arial" w:eastAsia="Arial" w:hAnsi="Arial"/>
          <w:b/>
          <w:bCs/>
          <w:color w:val="1B3A5C"/>
        </w:rPr>
        <w:t xml:space="preserve">3.2 State Court Statistics (California Focus)</w:t>
      </w:r>
    </w:p>
    <w:p>
      <w:pPr>
        <w:spacing w:after="120"/>
        <w:jc w:val="left"/>
      </w:pPr>
      <w:r>
        <w:rPr>
          <w:rFonts w:ascii="Arial" w:cs="Arial" w:eastAsia="Arial" w:hAnsi="Arial"/>
          <w:b w:val="false"/>
          <w:bCs w:val="false"/>
          <w:i w:val="false"/>
          <w:iCs w:val="false"/>
          <w:color w:val="2D2D2D"/>
          <w:sz w:val="22"/>
          <w:szCs w:val="22"/>
        </w:rPr>
        <w:t xml:space="preserve">California Judicial Council data and national surveys reveal even higher pro se rates at the state level, particularly in case types directly relevant to VERNEN™ domain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Case Type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 Se Rate</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VERNEN™ Domain Alignment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Family law (divorce, custody, support)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70–85%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TIER 1: Family Law Expansion</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Housing (unlawful detainer)</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 landlords, 92% tenants</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TIER 1: Housing/Eviction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Domestic violence / protective orders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97%</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Existing DV domains + expansion</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Small claims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~100%</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Tier 3 (low revenue per case)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Probate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38% both sides unrepresented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TIER 2: Elder Law</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General civil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16% filed by pro se plaintiffs</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Cross-domain coverage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court users self-represented (2004)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4.3 million+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Total addressable population</w:t>
            </w:r>
          </w:p>
        </w:tc>
      </w:tr>
    </w:tbl>
    <w:p>
      <w:pPr>
        <w:spacing w:after="120"/>
      </w:pPr>
    </w:p>
    <w:p>
      <w:pPr>
        <w:pStyle w:val="Heading2"/>
        <w:spacing w:before="300" w:after="150"/>
      </w:pPr>
      <w:r>
        <w:rPr>
          <w:rFonts w:ascii="Arial" w:cs="Arial" w:eastAsia="Arial" w:hAnsi="Arial"/>
          <w:b/>
          <w:bCs/>
          <w:color w:val="1B3A5C"/>
        </w:rPr>
        <w:t xml:space="preserve">3.3 Why Pro Se Litigants Lose</w:t>
      </w:r>
    </w:p>
    <w:p>
      <w:pPr>
        <w:spacing w:after="120"/>
        <w:jc w:val="left"/>
      </w:pPr>
      <w:r>
        <w:rPr>
          <w:rFonts w:ascii="Arial" w:cs="Arial" w:eastAsia="Arial" w:hAnsi="Arial"/>
          <w:b w:val="false"/>
          <w:bCs w:val="false"/>
          <w:i w:val="false"/>
          <w:iCs w:val="false"/>
          <w:color w:val="2D2D2D"/>
          <w:sz w:val="22"/>
          <w:szCs w:val="22"/>
        </w:rPr>
        <w:t xml:space="preserve">Research identifies five systemic disadvantages that produce the 80–90% loss rate. Each maps directly to a VERNEN™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Disadvantage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VERNEN™ Solution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Procedural knowledge gaps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56% fail at motion to dismiss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Automated procedural compliance audit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Substantive law unfamiliarity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Cannot identify governing standards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S.o.C. identification engine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Evidentiary standard ignorance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Cannot meet burden of proof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Evidence sufficiency analysis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Courtroom inexperience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Cannot navigate hearings/filings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Filing requirement checklists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Legal writing deficiency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Imprecise arguments, missed issues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Document analysis with citation</w:t>
            </w:r>
          </w:p>
        </w:tc>
      </w:tr>
    </w:tbl>
    <w:p>
      <w:r>
        <w:br w:type="page"/>
      </w:r>
    </w:p>
    <w:p>
      <w:pPr>
        <w:pStyle w:val="Heading1"/>
        <w:spacing w:before="300" w:after="150"/>
      </w:pPr>
      <w:r>
        <w:rPr>
          <w:rFonts w:ascii="Arial" w:cs="Arial" w:eastAsia="Arial" w:hAnsi="Arial"/>
          <w:b/>
          <w:bCs/>
          <w:color w:val="1B3A5C"/>
        </w:rPr>
        <w:t xml:space="preserve">4. Domain Prioritization Framework</w:t>
      </w:r>
    </w:p>
    <w:p>
      <w:pPr>
        <w:spacing w:after="120"/>
        <w:jc w:val="left"/>
      </w:pPr>
      <w:r>
        <w:rPr>
          <w:rFonts w:ascii="Arial" w:cs="Arial" w:eastAsia="Arial" w:hAnsi="Arial"/>
          <w:b w:val="false"/>
          <w:bCs w:val="false"/>
          <w:i w:val="false"/>
          <w:iCs w:val="false"/>
          <w:color w:val="2D2D2D"/>
          <w:sz w:val="22"/>
          <w:szCs w:val="22"/>
        </w:rPr>
        <w:t xml:space="preserve">Domains are scored on four criteria: (1) Total Addressable Market size, (2) Pro se litigation rate, (3) Bilingual (EN/ES) advantage, and (4) Revenue potential per audit. Tiers reflect recommended build sequence.</w:t>
      </w:r>
    </w:p>
    <w:p>
      <w:pPr>
        <w:pStyle w:val="Heading2"/>
        <w:spacing w:before="300" w:after="150"/>
      </w:pPr>
      <w:r>
        <w:rPr>
          <w:rFonts w:ascii="Arial" w:cs="Arial" w:eastAsia="Arial" w:hAnsi="Arial"/>
          <w:b/>
          <w:bCs/>
          <w:color w:val="1B3A5C"/>
        </w:rPr>
        <w:t xml:space="preserve">4.1 Tier 1: Build First (Months 1–6)</w:t>
      </w:r>
    </w:p>
    <w:p>
      <w:pPr>
        <w:spacing w:after="120"/>
        <w:jc w:val="left"/>
      </w:pPr>
      <w:r>
        <w:rPr>
          <w:rFonts w:ascii="Arial" w:cs="Arial" w:eastAsia="Arial" w:hAnsi="Arial"/>
          <w:b w:val="false"/>
          <w:bCs w:val="false"/>
          <w:i w:val="false"/>
          <w:iCs w:val="false"/>
          <w:color w:val="2D2D2D"/>
          <w:sz w:val="22"/>
          <w:szCs w:val="22"/>
        </w:rPr>
        <w:t xml:space="preserve">Highest TAM, highest pro se rates, maximum bilingual advantage, immediate B2C revenue. Combined Tier 1 TAM: $3–5B.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400"/>
        <w:gridCol w:w="1800"/>
        <w:gridCol w:w="1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 Se %</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Est. TAM</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Bilingual</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Revenue Model</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Statute/Standard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Housing / Eviction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92% tenants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$500M–$1B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B2C $5–15; B2B $50–200/mo</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Civ. Code 1940–1954; FHA</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Family Law Expansion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70–85%</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$800M–$1.5B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HIGH</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B2C $10–25; B2B legal aid</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Fam. Code; CRC Title 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Immigration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$1–$2B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ESSENTIAL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B2C $15–50; B2B nonprofits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INA; 8 CFR; PBNDS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Employment Law</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 fed.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$600M–$1B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MED–HIGH</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B2C $10–30; B2B HR depts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Lab. Code; FEHA; Title VII</w:t>
            </w:r>
          </w:p>
        </w:tc>
      </w:tr>
    </w:tbl>
    <w:p>
      <w:pPr>
        <w:spacing w:after="120"/>
      </w:pPr>
    </w:p>
    <w:p>
      <w:pPr>
        <w:spacing w:after="120"/>
        <w:jc w:val="left"/>
      </w:pPr>
      <w:r>
        <w:rPr>
          <w:rFonts w:ascii="Arial" w:cs="Arial" w:eastAsia="Arial" w:hAnsi="Arial"/>
          <w:b/>
          <w:bCs/>
          <w:color w:val="2D2D2D"/>
          <w:sz w:val="24"/>
          <w:szCs w:val="24"/>
        </w:rPr>
        <w:t xml:space="preserve">Housing/Eviction Compliance</w:t>
      </w:r>
    </w:p>
    <w:p>
      <w:pPr>
        <w:spacing w:after="120"/>
        <w:jc w:val="left"/>
      </w:pPr>
      <w:r>
        <w:rPr>
          <w:rFonts w:ascii="Arial" w:cs="Arial" w:eastAsia="Arial" w:hAnsi="Arial"/>
          <w:b w:val="false"/>
          <w:bCs w:val="false"/>
          <w:i w:val="false"/>
          <w:iCs w:val="false"/>
          <w:color w:val="2D2D2D"/>
          <w:sz w:val="22"/>
          <w:szCs w:val="22"/>
        </w:rPr>
        <w:t xml:space="preserve">The single highest-impact Tier 1 domain. Post-pandemic eviction filings have surged while tenant representation remains at 8%. CA AB 1482 (Tenant Protection Act), local rent ordinances, and COVID moratoria compliance create a complex regulatory environment where tenants make critical procedural errors. VERNEN™ bilingual advantage is decisive: Spanish-speaking tenants are the most vulnerable population and the least served by existing legal tech.</w:t>
      </w:r>
    </w:p>
    <w:p>
      <w:pPr>
        <w:spacing w:after="120"/>
        <w:jc w:val="left"/>
      </w:pPr>
      <w:r>
        <w:rPr>
          <w:rFonts w:ascii="Arial" w:cs="Arial" w:eastAsia="Arial" w:hAnsi="Arial"/>
          <w:b/>
          <w:bCs/>
          <w:color w:val="2D2D2D"/>
          <w:sz w:val="24"/>
          <w:szCs w:val="24"/>
        </w:rPr>
        <w:t xml:space="preserve">Family Law Expansion</w:t>
      </w:r>
    </w:p>
    <w:p>
      <w:pPr>
        <w:spacing w:after="120"/>
        <w:jc w:val="left"/>
      </w:pPr>
      <w:r>
        <w:rPr>
          <w:rFonts w:ascii="Arial" w:cs="Arial" w:eastAsia="Arial" w:hAnsi="Arial"/>
          <w:b w:val="false"/>
          <w:bCs w:val="false"/>
          <w:i w:val="false"/>
          <w:iCs w:val="false"/>
          <w:color w:val="2D2D2D"/>
          <w:sz w:val="22"/>
          <w:szCs w:val="22"/>
        </w:rPr>
        <w:t xml:space="preserve">Current coverage addresses court orders only. Gaps include: divorce petition compliance, child support calculation audits (guideline vs. deviation), spousal support (Gavron warnings, Family Code §4320 factors), property division (community property characterization), and Judicial Council form completion audits. In San Diego alone, pro se rates in divorce rose from 46% (1992) to 77% (2000). Forms are free but 75% are filed incorrectly.</w:t>
      </w:r>
    </w:p>
    <w:p>
      <w:pPr>
        <w:spacing w:after="120"/>
        <w:jc w:val="left"/>
      </w:pPr>
      <w:r>
        <w:rPr>
          <w:rFonts w:ascii="Arial" w:cs="Arial" w:eastAsia="Arial" w:hAnsi="Arial"/>
          <w:b/>
          <w:bCs/>
          <w:color w:val="2D2D2D"/>
          <w:sz w:val="24"/>
          <w:szCs w:val="24"/>
        </w:rPr>
        <w:t xml:space="preserve">Immigration Compliance</w:t>
      </w:r>
    </w:p>
    <w:p>
      <w:pPr>
        <w:spacing w:after="120"/>
        <w:jc w:val="left"/>
      </w:pPr>
      <w:r>
        <w:rPr>
          <w:rFonts w:ascii="Arial" w:cs="Arial" w:eastAsia="Arial" w:hAnsi="Arial"/>
          <w:b w:val="false"/>
          <w:bCs w:val="false"/>
          <w:i w:val="false"/>
          <w:iCs w:val="false"/>
          <w:color w:val="2D2D2D"/>
          <w:sz w:val="22"/>
          <w:szCs w:val="22"/>
        </w:rPr>
        <w:t xml:space="preserve">Highest emotional stakes = highest willingness to pay despite low income. Form I-589 (asylum) rejection rate exceeds 65% due to errors. USCIS adjudication standards, country conditions analysis, and credible fear determination are auditable domains with clear governing standards. Spanish is the primary language for 70%+ of immigration clients. This domain alone may justify a dedicated product line.</w:t>
      </w:r>
    </w:p>
    <w:p>
      <w:pPr>
        <w:spacing w:after="120"/>
        <w:jc w:val="left"/>
      </w:pPr>
      <w:r>
        <w:rPr>
          <w:rFonts w:ascii="Arial" w:cs="Arial" w:eastAsia="Arial" w:hAnsi="Arial"/>
          <w:b/>
          <w:bCs/>
          <w:color w:val="2D2D2D"/>
          <w:sz w:val="24"/>
          <w:szCs w:val="24"/>
        </w:rPr>
        <w:t xml:space="preserve">Employment Law</w:t>
      </w:r>
    </w:p>
    <w:p>
      <w:pPr>
        <w:spacing w:after="120"/>
        <w:jc w:val="left"/>
      </w:pPr>
      <w:r>
        <w:rPr>
          <w:rFonts w:ascii="Arial" w:cs="Arial" w:eastAsia="Arial" w:hAnsi="Arial"/>
          <w:b w:val="false"/>
          <w:bCs w:val="false"/>
          <w:i w:val="false"/>
          <w:iCs w:val="false"/>
          <w:color w:val="2D2D2D"/>
          <w:sz w:val="22"/>
          <w:szCs w:val="22"/>
        </w:rPr>
        <w:t xml:space="preserve">EEOC charge filing, DFEH/CRD complaints, wage &amp; hour claims (Labor Code §§200–244), and wrongful termination demand letters are high-volume audit targets. Wage theft disproportionately affects Spanish-speaking workers. B2B opportunity for small businesses needing HR compliance audits is substantial.</w:t>
      </w:r>
    </w:p>
    <w:p>
      <w:r>
        <w:br w:type="page"/>
      </w:r>
    </w:p>
    <w:p>
      <w:pPr>
        <w:pStyle w:val="Heading2"/>
        <w:spacing w:before="300" w:after="150"/>
      </w:pPr>
      <w:r>
        <w:rPr>
          <w:rFonts w:ascii="Arial" w:cs="Arial" w:eastAsia="Arial" w:hAnsi="Arial"/>
          <w:b/>
          <w:bCs/>
          <w:color w:val="1B3A5C"/>
        </w:rPr>
        <w:t xml:space="preserve">4.2 Tier 2: Build Next (Months 7–12)</w:t>
      </w:r>
    </w:p>
    <w:p>
      <w:pPr>
        <w:spacing w:after="120"/>
        <w:jc w:val="left"/>
      </w:pPr>
      <w:r>
        <w:rPr>
          <w:rFonts w:ascii="Arial" w:cs="Arial" w:eastAsia="Arial" w:hAnsi="Arial"/>
          <w:b w:val="false"/>
          <w:bCs w:val="false"/>
          <w:i w:val="false"/>
          <w:iCs w:val="false"/>
          <w:color w:val="2D2D2D"/>
          <w:sz w:val="22"/>
          <w:szCs w:val="22"/>
        </w:rPr>
        <w:t xml:space="preserve">Strong market need, mix of B2C and B2B revenue, strategic positioning in underserved sectors. Combined Tier 2 TAM: $1.5–$2.8B.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400"/>
        <w:gridCol w:w="3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 Se %</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Est. TAM</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Bilingual</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Strategic 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Gov. Benefits Expansion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90%+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$300–500M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Extends existing SSA domain; UI, CalFresh, Medi-Cal appeals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Criminal Defense Support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60%+</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$400–700M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MED–HIGH</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PC 1203.4 expungement; certificate of rehab; reentry orgs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Elder Law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$300–600M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Aging population driver; conservatorship, elder abuse, LTC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Healthcare Compliance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B2B focus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$500M–$1B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HIPAA, informed consent, LPS Act; subscription model</w:t>
            </w:r>
          </w:p>
        </w:tc>
      </w:tr>
    </w:tbl>
    <w:p>
      <w:pPr>
        <w:spacing w:after="120"/>
      </w:pPr>
    </w:p>
    <w:p>
      <w:pPr>
        <w:pStyle w:val="Heading2"/>
        <w:spacing w:before="300" w:after="150"/>
      </w:pPr>
      <w:r>
        <w:rPr>
          <w:rFonts w:ascii="Arial" w:cs="Arial" w:eastAsia="Arial" w:hAnsi="Arial"/>
          <w:b/>
          <w:bCs/>
          <w:color w:val="1B3A5C"/>
        </w:rPr>
        <w:t xml:space="preserve">4.3 Tier 3: Build Later (Year 2+)</w:t>
      </w:r>
    </w:p>
    <w:p>
      <w:pPr>
        <w:spacing w:after="120"/>
        <w:jc w:val="left"/>
      </w:pPr>
      <w:r>
        <w:rPr>
          <w:rFonts w:ascii="Arial" w:cs="Arial" w:eastAsia="Arial" w:hAnsi="Arial"/>
          <w:b w:val="false"/>
          <w:bCs w:val="false"/>
          <w:i w:val="false"/>
          <w:iCs w:val="false"/>
          <w:color w:val="2D2D2D"/>
          <w:sz w:val="22"/>
          <w:szCs w:val="22"/>
        </w:rPr>
        <w:t xml:space="preserve">Niche markets, lower volume, or competitive landscapes requiring established market position before entry. Combined Tier 3 TAM: $1.5–$4.5B across 8–10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Est. TAM</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Education Law (IDEA, Title IX, FERPA)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$200–400M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70%+ pro se in special ed due process; high impact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Financial Services (FDCPA, FCRA)</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$300–500M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58% pro se defendants in contract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Business/Corporate (ADA, OSHA, Workers’ Comp)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$400–800M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B2B focus; competitive landscape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Probate/Estate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$200–400M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38% both sides unrepresented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Environmental/CEQA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$100–300M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Mostly B2B; lower volume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Privacy/Tech (CCPA, AI regulation)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$200–500M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Emerging; mostly B2B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Tax (IRS audit, FTB, property tax)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$300–600M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Competitive (TurboTax, H&amp;R Block)</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Tribal Law (ICWA, tribal jurisdiction)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$50–150M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Niche but severely underserved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Military (other branches, VA disability)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$200–400M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Extends existing USMC domain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Professional Licensing (all boards)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$100–300M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B2B; lower volume per board</w:t>
            </w:r>
          </w:p>
        </w:tc>
      </w:tr>
    </w:tbl>
    <w:p>
      <w:r>
        <w:br w:type="page"/>
      </w:r>
    </w:p>
    <w:p>
      <w:pPr>
        <w:pStyle w:val="Heading1"/>
        <w:spacing w:before="300" w:after="150"/>
      </w:pPr>
      <w:r>
        <w:rPr>
          <w:rFonts w:ascii="Arial" w:cs="Arial" w:eastAsia="Arial" w:hAnsi="Arial"/>
          <w:b/>
          <w:bCs/>
          <w:color w:val="1B3A5C"/>
        </w:rPr>
        <w:t xml:space="preserve">5. Revenue Projections</w:t>
      </w:r>
    </w:p>
    <w:p>
      <w:pPr>
        <w:pStyle w:val="Heading2"/>
        <w:spacing w:before="300" w:after="150"/>
      </w:pPr>
      <w:r>
        <w:rPr>
          <w:rFonts w:ascii="Arial" w:cs="Arial" w:eastAsia="Arial" w:hAnsi="Arial"/>
          <w:b/>
          <w:bCs/>
          <w:color w:val="1B3A5C"/>
        </w:rPr>
        <w:t xml:space="preserve">5.1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Price Range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Customer</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Volume Driver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B2C Single 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$5–$50/audit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 se litigants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Case volume (millions/year)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B2C Subscription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$15–$99/month</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Active litigants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Multi-month case duration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B2B Organization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$50–$500/month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Legal aid, nonprofits, HR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Institutional volume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B2B Enterprise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$500–$5,000/month</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Hospitals, property mgmt</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Compliance mandates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API Access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$0.01–$0.10/call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Developers, platforms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Integration partnerships</w:t>
            </w:r>
          </w:p>
        </w:tc>
      </w:tr>
    </w:tbl>
    <w:p>
      <w:pPr>
        <w:spacing w:after="120"/>
      </w:pPr>
    </w:p>
    <w:p>
      <w:pPr>
        <w:pStyle w:val="Heading2"/>
        <w:spacing w:before="300" w:after="150"/>
      </w:pPr>
      <w:r>
        <w:rPr>
          <w:rFonts w:ascii="Arial" w:cs="Arial" w:eastAsia="Arial" w:hAnsi="Arial"/>
          <w:b/>
          <w:bCs/>
          <w:color w:val="1B3A5C"/>
        </w:rPr>
        <w:t xml:space="preserve">5.2 Conservative Revenue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000"/>
        <w:gridCol w:w="2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Period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Users (Est.)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Avg. Revenue/User</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Revenue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Year 1 (Launch + Tier 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10K–25K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$200K–$500K</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Year 2 (+ Tier 2)</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22</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50K–100K</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$20–30</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$1M–$2.5M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Year 3 (+ Tier 3 partial)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28–30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150K–250K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$20–30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$3M–$7M</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Year 5 (Full portfolio)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40+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500K–1M</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$25–40</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$12M–$40M</w:t>
            </w:r>
          </w:p>
        </w:tc>
      </w:tr>
    </w:tbl>
    <w:p>
      <w:pPr>
        <w:spacing w:after="120"/>
      </w:pPr>
    </w:p>
    <w:p>
      <w:pPr>
        <w:spacing w:after="120"/>
        <w:jc w:val="left"/>
      </w:pPr>
      <w:r>
        <w:rPr>
          <w:rFonts w:ascii="Arial" w:cs="Arial" w:eastAsia="Arial" w:hAnsi="Arial"/>
          <w:b/>
          <w:bCs/>
          <w:color w:val="2D2D2D"/>
          <w:sz w:val="22"/>
          <w:szCs w:val="22"/>
        </w:rPr>
        <w:t xml:space="preserve">Assumptions: </w:t>
      </w:r>
      <w:r>
        <w:rPr>
          <w:rFonts w:ascii="Arial" w:cs="Arial" w:eastAsia="Arial" w:hAnsi="Arial"/>
          <w:color w:val="2D2D2D"/>
          <w:sz w:val="22"/>
          <w:szCs w:val="22"/>
        </w:rPr>
        <w:t xml:space="preserve">Conservative adoption rates (1–5% of addressable pro se population). No paid marketing spend in Year 1. Growth driven by organic search (bilingual SEO), legal aid partnerships, and word-of-mouth. Revenue accelerates as domain portfolio expands and B2B channel develops.</w:t>
      </w:r>
    </w:p>
    <w:p>
      <w:r>
        <w:br w:type="page"/>
      </w:r>
    </w:p>
    <w:p>
      <w:pPr>
        <w:pStyle w:val="Heading1"/>
        <w:spacing w:before="300" w:after="150"/>
      </w:pPr>
      <w:r>
        <w:rPr>
          <w:rFonts w:ascii="Arial" w:cs="Arial" w:eastAsia="Arial" w:hAnsi="Arial"/>
          <w:b/>
          <w:bCs/>
          <w:color w:val="1B3A5C"/>
        </w:rPr>
        <w:t xml:space="preserve">6. Strategic Architecture &amp; Moat</w:t>
      </w:r>
    </w:p>
    <w:p>
      <w:pPr>
        <w:pStyle w:val="Heading2"/>
        <w:spacing w:before="300" w:after="150"/>
      </w:pPr>
      <w:r>
        <w:rPr>
          <w:rFonts w:ascii="Arial" w:cs="Arial" w:eastAsia="Arial" w:hAnsi="Arial"/>
          <w:b/>
          <w:bCs/>
          <w:color w:val="1B3A5C"/>
        </w:rPr>
        <w:t xml:space="preserve">6.1 Defensible Competitive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Advantage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Why It’s Defensible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Domain Specialization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Each domain = skill file with governing standards, S.o.C. methodology, audit protocols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Knowledge moat; takes months to build each domain correctly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Bilingual Architecture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Full EN/ES parity from day one, not bolted 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2–3x addressable market in CA; structural advantage vs. English-only competitors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API-First Scalability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Each domain is a skill file, not a new product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Linear cost growth vs. exponential revenue growth per domain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S.o.C. Methodology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Standard of Creation framework for every audit</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Proprietary analytical framework; not replicable by general-purpose AI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 Se Focus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Purpose-built for self-represented litigants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Incumbents serve attorneys; no direct competitor in this segment</w:t>
            </w:r>
          </w:p>
        </w:tc>
      </w:tr>
    </w:tbl>
    <w:p>
      <w:pPr>
        <w:spacing w:after="120"/>
      </w:pPr>
    </w:p>
    <w:p>
      <w:pPr>
        <w:pStyle w:val="Heading2"/>
        <w:spacing w:before="300" w:after="150"/>
      </w:pPr>
      <w:r>
        <w:rPr>
          <w:rFonts w:ascii="Arial" w:cs="Arial" w:eastAsia="Arial" w:hAnsi="Arial"/>
          <w:b/>
          <w:bCs/>
          <w:color w:val="1B3A5C"/>
        </w:rPr>
        <w:t xml:space="preserve">6.2 Build Sequence Logic</w:t>
      </w:r>
    </w:p>
    <w:p>
      <w:pPr>
        <w:spacing w:after="120"/>
        <w:jc w:val="left"/>
      </w:pPr>
      <w:r>
        <w:rPr>
          <w:rFonts w:ascii="Arial" w:cs="Arial" w:eastAsia="Arial" w:hAnsi="Arial"/>
          <w:b w:val="false"/>
          <w:bCs w:val="false"/>
          <w:i w:val="false"/>
          <w:iCs w:val="false"/>
          <w:color w:val="2D2D2D"/>
          <w:sz w:val="22"/>
          <w:szCs w:val="22"/>
        </w:rPr>
        <w:t xml:space="preserve">Each tier builds on the previous, expanding the customer base while deepening the domain portfolio. The sequence is optimized for maximum revenue per engineering hour.</w:t>
      </w:r>
    </w:p>
    <w:p>
      <w:pPr>
        <w:spacing w:after="120"/>
        <w:jc w:val="left"/>
      </w:pPr>
      <w:r>
        <w:rPr>
          <w:rFonts w:ascii="Arial" w:cs="Arial" w:eastAsia="Arial" w:hAnsi="Arial"/>
          <w:b/>
          <w:bCs/>
          <w:color w:val="2D2D2D"/>
          <w:sz w:val="22"/>
          <w:szCs w:val="22"/>
        </w:rPr>
        <w:t xml:space="preserve">Phase 1 (Tier 1):</w:t>
      </w:r>
      <w:r>
        <w:rPr>
          <w:rFonts w:ascii="Arial" w:cs="Arial" w:eastAsia="Arial" w:hAnsi="Arial"/>
          <w:color w:val="2D2D2D"/>
          <w:sz w:val="22"/>
          <w:szCs w:val="22"/>
        </w:rPr>
        <w:t xml:space="preserve"> Capture the four largest pro se case types. These domains share overlapping legal frameworks (CA state law, federal civil rights), reducing skill file development time. Housing and Family Law establish the bilingual B2C channel. Immigration and Employment add B2B partnerships.</w:t>
      </w:r>
    </w:p>
    <w:p>
      <w:pPr>
        <w:spacing w:after="120"/>
        <w:jc w:val="left"/>
      </w:pPr>
      <w:r>
        <w:rPr>
          <w:rFonts w:ascii="Arial" w:cs="Arial" w:eastAsia="Arial" w:hAnsi="Arial"/>
          <w:b/>
          <w:bCs/>
          <w:color w:val="2D2D2D"/>
          <w:sz w:val="22"/>
          <w:szCs w:val="22"/>
        </w:rPr>
        <w:t xml:space="preserve">Phase 2 (Tier 2):</w:t>
      </w:r>
      <w:r>
        <w:rPr>
          <w:rFonts w:ascii="Arial" w:cs="Arial" w:eastAsia="Arial" w:hAnsi="Arial"/>
          <w:color w:val="2D2D2D"/>
          <w:sz w:val="22"/>
          <w:szCs w:val="22"/>
        </w:rPr>
        <w:t xml:space="preserve"> Expand into adjacent case types with strong institutional demand. Government Benefits extends existing SSA domain. Criminal Defense opens the reentry/expungement market. Elder Law captures the aging population demographic. Healthcare pivots to pure B2B subscription revenue.</w:t>
      </w:r>
    </w:p>
    <w:p>
      <w:pPr>
        <w:spacing w:after="120"/>
        <w:jc w:val="left"/>
      </w:pPr>
      <w:r>
        <w:rPr>
          <w:rFonts w:ascii="Arial" w:cs="Arial" w:eastAsia="Arial" w:hAnsi="Arial"/>
          <w:b/>
          <w:bCs/>
          <w:color w:val="2D2D2D"/>
          <w:sz w:val="22"/>
          <w:szCs w:val="22"/>
        </w:rPr>
        <w:t xml:space="preserve">Phase 3 (Tier 3):</w:t>
      </w:r>
      <w:r>
        <w:rPr>
          <w:rFonts w:ascii="Arial" w:cs="Arial" w:eastAsia="Arial" w:hAnsi="Arial"/>
          <w:color w:val="2D2D2D"/>
          <w:sz w:val="22"/>
          <w:szCs w:val="22"/>
        </w:rPr>
        <w:t xml:space="preserve"> Fill out the portfolio with niche domains. Each adds incremental revenue without changing the platform architecture. Education Law and Financial Services serve underpenetrated pro se markets. Business/Corporate and Privacy/Tech establish B2B enterprise positioning.</w:t>
      </w:r>
    </w:p>
    <w:p>
      <w:r>
        <w:br w:type="page"/>
      </w:r>
    </w:p>
    <w:p>
      <w:pPr>
        <w:pStyle w:val="Heading1"/>
        <w:spacing w:before="300" w:after="150"/>
      </w:pPr>
      <w:r>
        <w:rPr>
          <w:rFonts w:ascii="Arial" w:cs="Arial" w:eastAsia="Arial" w:hAnsi="Arial"/>
          <w:b/>
          <w:bCs/>
          <w:color w:val="1B3A5C"/>
        </w:rPr>
        <w:t xml:space="preserve">7. Current Domain Inventory (14 Launch Domains)</w:t>
      </w:r>
    </w:p>
    <w:p>
      <w:pPr>
        <w:spacing w:after="120"/>
        <w:jc w:val="left"/>
      </w:pPr>
      <w:r>
        <w:rPr>
          <w:rFonts w:ascii="Arial" w:cs="Arial" w:eastAsia="Arial" w:hAnsi="Arial"/>
          <w:b w:val="false"/>
          <w:bCs w:val="false"/>
          <w:i w:val="false"/>
          <w:iCs w:val="false"/>
          <w:color w:val="2D2D2D"/>
          <w:sz w:val="22"/>
          <w:szCs w:val="22"/>
        </w:rPr>
        <w:t xml:space="preserve">The following domains are fully built as skill files in the VERNEN™ platform, each with governing standards, audit protocols, and bilingual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Governing Standards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State Agency Correspondence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SAM, Plain Language Act, ADA accessibility</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Master Project Intake Audit &amp; Triage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Cross-domain intake; maps entities, doc types, standards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FCRA/ChexSystems Consumer Report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15 USC §1681; CA CCRAA</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4</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SSA/DDS Disability Determination Audit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20 CFR; POMS; HALLEX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Court Order Compliance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CRC; CCP; Family Code; Judicial Council forms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6</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Marsy’s Law Victim Rights Audit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Const. Art. I §28; Penal Code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Labor &amp; Employment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Labor Code; NLRA; union regulations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8</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FCS Child Custody Recommending Counselor Audit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CRC 5.210–5.230; Family Code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FBI/Federal Law Enforcement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DOJ policies; federal standards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10</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CPS/Child Welfare Audit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WIC; CDSS standards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ABPN Psychiatry &amp; Neurology Standards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ABPN; APA; CA Medical Board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12</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State Bar of CA Attorney Conduct Audit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Rules of Professional Conduct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POST Law Enforcement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POST standards; statutory duties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14</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Constitutional &amp; Civil Rights Audit</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1st–14th Amendments; 42 USC §1983</w:t>
            </w:r>
          </w:p>
        </w:tc>
      </w:tr>
    </w:tbl>
    <w:p>
      <w:pPr>
        <w:spacing w:after="120"/>
      </w:pPr>
    </w:p>
    <w:p>
      <w:pPr>
        <w:pStyle w:val="Heading2"/>
        <w:spacing w:before="300" w:after="150"/>
      </w:pPr>
      <w:r>
        <w:rPr>
          <w:rFonts w:ascii="Arial" w:cs="Arial" w:eastAsia="Arial" w:hAnsi="Arial"/>
          <w:b/>
          <w:bCs/>
          <w:color w:val="1B3A5C"/>
        </w:rPr>
        <w:t xml:space="preserve">7.1 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Project Context &amp; Guardrails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Maintains project context; enforces operational guardrails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B</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Automated Structuring/Input Refiner</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Processes unstructured inputs into auditable formats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CA Code Citation Validator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Validates statutory citations for accuracy</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D</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Cross-Verifying AI Outputs</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Multi-source verification and compliance checks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Executive Style Enforcer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Enforces corporate voice and structure standards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F</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Legal Bias &amp; Fraud Auditor</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Identifies S.o.C. deviations, bias, and potential fraud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USMC Military Standards Audit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UCMJ and Marine Corps regulations</w:t>
            </w:r>
          </w:p>
        </w:tc>
      </w:tr>
    </w:tbl>
    <w:p>
      <w:r>
        <w:br w:type="page"/>
      </w:r>
    </w:p>
    <w:p>
      <w:pPr>
        <w:pStyle w:val="Heading1"/>
        <w:spacing w:before="300" w:after="150"/>
      </w:pPr>
      <w:r>
        <w:rPr>
          <w:rFonts w:ascii="Arial" w:cs="Arial" w:eastAsia="Arial" w:hAnsi="Arial"/>
          <w:b/>
          <w:bCs/>
          <w:color w:val="1B3A5C"/>
        </w:rPr>
        <w:t xml:space="preserve">8. Risk Factors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UPL (Unauthorized Practice of Law)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Platform provides analysis, not legal advice; clear disclaimers; no attorney-client relationship</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AI hallucination / citation error</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HIGH</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Cross-verification skill; citation validator; human-in-loop for high-stakes audits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Market education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Most pro se litigants don’t know AI legal tools exist; requires targeted outreach</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Incumbent response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LOW</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Thomson Reuters/LexisNexis serve attorneys, not pro se; different market segment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Regulatory change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Domain skill files are modular; statute updates can be incorporated incrementally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Pricing sensitivity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MEDIUM</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val="function bold() { [native code] }"/>
                <w:bCs w:val="function bold() { [native code] }"/>
                <w:color w:val="2D2D2D"/>
                <w:sz w:val="20"/>
                <w:szCs w:val="20"/>
              </w:rPr>
              <w:t xml:space="preserve">Pro se population is price-sensitive; $5–15 B2C entry point addresses this</w:t>
            </w:r>
          </w:p>
        </w:tc>
      </w:tr>
    </w:tbl>
    <w:p>
      <w:r>
        <w:br w:type="page"/>
      </w:r>
    </w:p>
    <w:p>
      <w:pPr>
        <w:pStyle w:val="Heading1"/>
        <w:spacing w:before="300" w:after="150"/>
      </w:pPr>
      <w:r>
        <w:rPr>
          <w:rFonts w:ascii="Arial" w:cs="Arial" w:eastAsia="Arial" w:hAnsi="Arial"/>
          <w:b/>
          <w:bCs/>
          <w:color w:val="1B3A5C"/>
        </w:rPr>
        <w:t xml:space="preserve">9. Recommended Next Steps</w:t>
      </w:r>
    </w:p>
    <w:p>
      <w:pPr>
        <w:spacing w:after="120"/>
        <w:jc w:val="left"/>
      </w:pPr>
      <w:r>
        <w:rPr>
          <w:rFonts w:ascii="Arial" w:cs="Arial" w:eastAsia="Arial" w:hAnsi="Arial"/>
          <w:b/>
          <w:bCs/>
          <w:color w:val="2D2D2D"/>
          <w:sz w:val="22"/>
          <w:szCs w:val="22"/>
        </w:rPr>
        <w:t xml:space="preserve">Immediate (Week 1–2):</w:t>
      </w:r>
    </w:p>
    <w:p>
      <w:pPr>
        <w:pStyle w:val="ListParagraph"/>
        <w:numPr>
          <w:ilvl w:val="0"/>
          <w:numId w:val="2"/>
        </w:numPr>
        <w:spacing w:after="80"/>
      </w:pPr>
      <w:r>
        <w:rPr>
          <w:rFonts w:ascii="Arial" w:cs="Arial" w:eastAsia="Arial" w:hAnsi="Arial"/>
          <w:color w:val="2D2D2D"/>
          <w:sz w:val="22"/>
          <w:szCs w:val="22"/>
        </w:rPr>
        <w:t xml:space="preserve">Finalize Tier 1 build sequence: Housing → Family Law → Immigration → Employment</w:t>
      </w:r>
    </w:p>
    <w:p>
      <w:pPr>
        <w:pStyle w:val="ListParagraph"/>
        <w:numPr>
          <w:ilvl w:val="0"/>
          <w:numId w:val="2"/>
        </w:numPr>
        <w:spacing w:after="80"/>
      </w:pPr>
      <w:r>
        <w:rPr>
          <w:rFonts w:ascii="Arial" w:cs="Arial" w:eastAsia="Arial" w:hAnsi="Arial"/>
          <w:color w:val="2D2D2D"/>
          <w:sz w:val="22"/>
          <w:szCs w:val="22"/>
        </w:rPr>
        <w:t xml:space="preserve">Begin Housing/Eviction skill file development (CA Civil Code 1940–1954, unlawful detainer procedures, Fair Housing Act)</w:t>
      </w:r>
    </w:p>
    <w:p>
      <w:pPr>
        <w:pStyle w:val="ListParagraph"/>
        <w:numPr>
          <w:ilvl w:val="0"/>
          <w:numId w:val="2"/>
        </w:numPr>
        <w:spacing w:after="80"/>
      </w:pPr>
      <w:r>
        <w:rPr>
          <w:rFonts w:ascii="Arial" w:cs="Arial" w:eastAsia="Arial" w:hAnsi="Arial"/>
          <w:color w:val="2D2D2D"/>
          <w:sz w:val="22"/>
          <w:szCs w:val="22"/>
        </w:rPr>
        <w:t xml:space="preserve">Map Judicial Council forms for family law expansion (FL-100 through FL-195 series)</w:t>
      </w:r>
    </w:p>
    <w:p>
      <w:pPr>
        <w:spacing w:after="120"/>
        <w:jc w:val="left"/>
      </w:pPr>
      <w:r>
        <w:rPr>
          <w:rFonts w:ascii="Arial" w:cs="Arial" w:eastAsia="Arial" w:hAnsi="Arial"/>
          <w:b/>
          <w:bCs/>
          <w:color w:val="2D2D2D"/>
          <w:sz w:val="22"/>
          <w:szCs w:val="22"/>
        </w:rPr>
        <w:t xml:space="preserve">Short-term (Month 1–3):</w:t>
      </w:r>
    </w:p>
    <w:p>
      <w:pPr>
        <w:pStyle w:val="ListParagraph"/>
        <w:numPr>
          <w:ilvl w:val="0"/>
          <w:numId w:val="2"/>
        </w:numPr>
        <w:spacing w:after="80"/>
      </w:pPr>
      <w:r>
        <w:rPr>
          <w:rFonts w:ascii="Arial" w:cs="Arial" w:eastAsia="Arial" w:hAnsi="Arial"/>
          <w:color w:val="2D2D2D"/>
          <w:sz w:val="22"/>
          <w:szCs w:val="22"/>
        </w:rPr>
        <w:t xml:space="preserve">Complete 2 Tier 1 skill files (Housing + Family Law Expansion)</w:t>
      </w:r>
    </w:p>
    <w:p>
      <w:pPr>
        <w:pStyle w:val="ListParagraph"/>
        <w:numPr>
          <w:ilvl w:val="0"/>
          <w:numId w:val="2"/>
        </w:numPr>
        <w:spacing w:after="80"/>
      </w:pPr>
      <w:r>
        <w:rPr>
          <w:rFonts w:ascii="Arial" w:cs="Arial" w:eastAsia="Arial" w:hAnsi="Arial"/>
          <w:color w:val="2D2D2D"/>
          <w:sz w:val="22"/>
          <w:szCs w:val="22"/>
        </w:rPr>
        <w:t xml:space="preserve">Develop bilingual audit interface for new domains</w:t>
      </w:r>
    </w:p>
    <w:p>
      <w:pPr>
        <w:pStyle w:val="ListParagraph"/>
        <w:numPr>
          <w:ilvl w:val="0"/>
          <w:numId w:val="2"/>
        </w:numPr>
        <w:spacing w:after="80"/>
      </w:pPr>
      <w:r>
        <w:rPr>
          <w:rFonts w:ascii="Arial" w:cs="Arial" w:eastAsia="Arial" w:hAnsi="Arial"/>
          <w:color w:val="2D2D2D"/>
          <w:sz w:val="22"/>
          <w:szCs w:val="22"/>
        </w:rPr>
        <w:t xml:space="preserve">Identify 3–5 legal aid partnership targets for B2B pilot</w:t>
      </w:r>
    </w:p>
    <w:p>
      <w:pPr>
        <w:spacing w:after="120"/>
        <w:jc w:val="left"/>
      </w:pPr>
      <w:r>
        <w:rPr>
          <w:rFonts w:ascii="Arial" w:cs="Arial" w:eastAsia="Arial" w:hAnsi="Arial"/>
          <w:b/>
          <w:bCs/>
          <w:color w:val="2D2D2D"/>
          <w:sz w:val="22"/>
          <w:szCs w:val="22"/>
        </w:rPr>
        <w:t xml:space="preserve">Medium-term (Month 4–6):</w:t>
      </w:r>
    </w:p>
    <w:p>
      <w:pPr>
        <w:pStyle w:val="ListParagraph"/>
        <w:numPr>
          <w:ilvl w:val="0"/>
          <w:numId w:val="2"/>
        </w:numPr>
        <w:spacing w:after="80"/>
      </w:pPr>
      <w:r>
        <w:rPr>
          <w:rFonts w:ascii="Arial" w:cs="Arial" w:eastAsia="Arial" w:hAnsi="Arial"/>
          <w:color w:val="2D2D2D"/>
          <w:sz w:val="22"/>
          <w:szCs w:val="22"/>
        </w:rPr>
        <w:t xml:space="preserve">Complete remaining Tier 1 skill files (Immigration + Employment)</w:t>
      </w:r>
    </w:p>
    <w:p>
      <w:pPr>
        <w:pStyle w:val="ListParagraph"/>
        <w:numPr>
          <w:ilvl w:val="0"/>
          <w:numId w:val="2"/>
        </w:numPr>
        <w:spacing w:after="80"/>
      </w:pPr>
      <w:r>
        <w:rPr>
          <w:rFonts w:ascii="Arial" w:cs="Arial" w:eastAsia="Arial" w:hAnsi="Arial"/>
          <w:color w:val="2D2D2D"/>
          <w:sz w:val="22"/>
          <w:szCs w:val="22"/>
        </w:rPr>
        <w:t xml:space="preserve">Launch B2C pricing pilot ($5–15/audit for Housing and Family Law)</w:t>
      </w:r>
    </w:p>
    <w:p>
      <w:pPr>
        <w:pStyle w:val="ListParagraph"/>
        <w:numPr>
          <w:ilvl w:val="0"/>
          <w:numId w:val="2"/>
        </w:numPr>
        <w:spacing w:after="80"/>
      </w:pPr>
      <w:r>
        <w:rPr>
          <w:rFonts w:ascii="Arial" w:cs="Arial" w:eastAsia="Arial" w:hAnsi="Arial"/>
          <w:color w:val="2D2D2D"/>
          <w:sz w:val="22"/>
          <w:szCs w:val="22"/>
        </w:rPr>
        <w:t xml:space="preserve">Begin Tier 2 planning with market validation</w:t>
      </w:r>
    </w:p>
    <w:p>
      <w:pPr>
        <w:spacing w:after="120"/>
        <w:jc w:val="left"/>
      </w:pPr>
      <w:r>
        <w:rPr>
          <w:rFonts w:ascii="Arial" w:cs="Arial" w:eastAsia="Arial" w:hAnsi="Arial"/>
          <w:b/>
          <w:bCs/>
          <w:color w:val="2D2D2D"/>
          <w:sz w:val="22"/>
          <w:szCs w:val="22"/>
        </w:rPr>
        <w:t xml:space="preserve">Long-term (Month 7–12):</w:t>
      </w:r>
    </w:p>
    <w:p>
      <w:pPr>
        <w:pStyle w:val="ListParagraph"/>
        <w:numPr>
          <w:ilvl w:val="0"/>
          <w:numId w:val="2"/>
        </w:numPr>
        <w:spacing w:after="80"/>
      </w:pPr>
      <w:r>
        <w:rPr>
          <w:rFonts w:ascii="Arial" w:cs="Arial" w:eastAsia="Arial" w:hAnsi="Arial"/>
          <w:color w:val="2D2D2D"/>
          <w:sz w:val="22"/>
          <w:szCs w:val="22"/>
        </w:rPr>
        <w:t xml:space="preserve">Build Tier 2 domains (Government Benefits, Criminal Defense, Elder Law, Healthcare)</w:t>
      </w:r>
    </w:p>
    <w:p>
      <w:pPr>
        <w:pStyle w:val="ListParagraph"/>
        <w:numPr>
          <w:ilvl w:val="0"/>
          <w:numId w:val="2"/>
        </w:numPr>
        <w:spacing w:after="80"/>
      </w:pPr>
      <w:r>
        <w:rPr>
          <w:rFonts w:ascii="Arial" w:cs="Arial" w:eastAsia="Arial" w:hAnsi="Arial"/>
          <w:color w:val="2D2D2D"/>
          <w:sz w:val="22"/>
          <w:szCs w:val="22"/>
        </w:rPr>
        <w:t xml:space="preserve">Establish B2B subscription channel</w:t>
      </w:r>
    </w:p>
    <w:p>
      <w:pPr>
        <w:pStyle w:val="ListParagraph"/>
        <w:numPr>
          <w:ilvl w:val="0"/>
          <w:numId w:val="2"/>
        </w:numPr>
        <w:spacing w:after="80"/>
      </w:pPr>
      <w:r>
        <w:rPr>
          <w:rFonts w:ascii="Arial" w:cs="Arial" w:eastAsia="Arial" w:hAnsi="Arial"/>
          <w:color w:val="2D2D2D"/>
          <w:sz w:val="22"/>
          <w:szCs w:val="22"/>
        </w:rPr>
        <w:t xml:space="preserve">Target Year 1 revenue milestone: $200K–$500K</w:t>
      </w:r>
    </w:p>
    <w:p>
      <w:pPr>
        <w:spacing w:before="400"/>
      </w:pPr>
    </w:p>
    <w:p>
      <w:pPr>
        <w:spacing w:after="40"/>
        <w:jc w:val="center"/>
      </w:pPr>
      <w:r>
        <w:rPr>
          <w:rFonts w:ascii="Arial" w:cs="Arial" w:eastAsia="Arial" w:hAnsi="Arial"/>
          <w:color w:val="AAAAAA"/>
          <w:sz w:val="22"/>
          <w:szCs w:val="22"/>
        </w:rPr>
        <w:t xml:space="preserve">────────────────────────────────────────</w:t>
      </w:r>
    </w:p>
    <w:p>
      <w:pPr>
        <w:spacing w:after="60"/>
        <w:jc w:val="center"/>
      </w:pPr>
      <w:r>
        <w:rPr>
          <w:rFonts w:ascii="Arial" w:cs="Arial" w:eastAsia="Arial" w:hAnsi="Arial"/>
          <w:b/>
          <w:bCs/>
          <w:color w:val="999999"/>
          <w:sz w:val="20"/>
          <w:szCs w:val="20"/>
        </w:rPr>
        <w:t xml:space="preserve">END OF DOCUMENT</w:t>
      </w:r>
    </w:p>
    <w:p>
      <w:pPr>
        <w:spacing w:after="60"/>
        <w:jc w:val="center"/>
      </w:pPr>
      <w:r>
        <w:rPr>
          <w:rFonts w:ascii="Arial" w:cs="Arial" w:eastAsia="Arial" w:hAnsi="Arial"/>
          <w:color w:val="999999"/>
          <w:sz w:val="18"/>
          <w:szCs w:val="18"/>
        </w:rPr>
        <w:t xml:space="preserve">© 2026 Michael V.T. Hartmann — VERNEN™ — All Rights Reserved</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2026 M.V.T. Hartmann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VERNEN™ Domain Expansion Roadmap</w:t>
    </w:r>
    <w:r>
      <w:rPr>
        <w:rFonts w:ascii="Arial" w:cs="Arial" w:eastAsia="Arial" w:hAnsi="Arial"/>
        <w:b/>
        <w:bCs/>
        <w:color w:val="CC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B3A5C"/>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3B7DD8"/>
      <w:sz w:val="28"/>
      <w:szCs w:val="28"/>
    </w:rPr>
  </w:style>
  <w:style w:type="paragraph" w:styleId="Heading3">
    <w:name w:val="Heading 3"/>
    <w:basedOn w:val="Normal"/>
    <w:next w:val="Normal"/>
    <w:qFormat/>
    <w:pPr>
      <w:spacing w:before="150" w:after="1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2026-02-03T06:08:22.517Z</dcterms:created>
  <dcterms:modified xsi:type="dcterms:W3CDTF">2026-02-03T06:08:22.518Z</dcterms:modified>
</cp:coreProperties>
</file>

<file path=docProps/custom.xml><?xml version="1.0" encoding="utf-8"?>
<Properties xmlns="http://schemas.openxmlformats.org/officeDocument/2006/custom-properties" xmlns:vt="http://schemas.openxmlformats.org/officeDocument/2006/docPropsVTypes"/>
</file>