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VERNEN™ PLATFORM BUILD PRIORITY MATRIX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24 Buildable Features — Ranked by Difficulty &amp; Presentation Impact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February 25, 2026  |  Confidential  |  VERNEN™ IP Manifest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LegalZoom operates 7 tools across a $682M/year platform serving 4M+ customers with 1,300 attorneys and 31 practice areas. VERNEN™ currently deploys 16 proprietary capabilities across 18 high-stakes practice areas. This matrix prioritizes 24 additional features that complete the competitive picture and position VERNEN™ as the definitive legal technology platform.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Features are organized into four tiers based on build-to-impact ratio: what delivers maximum presentation and competitive value relative to development effort.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■  TIER 1: BUILD FIRST — High Impact / Low-Medium Difficulty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features are buildable now, deliver immediate presentation impact, and create visible separation from LegalZoom.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800"/>
        <w:gridCol w:w="1000"/>
        <w:gridCol w:w="3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 VALUE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Pre-Packaged Case Intake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Attorney sits down, case is already organized. This is the single most compelling demo moment.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Opposing Document Audit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Already built into audit framework. Package as standalone attorney-facing tool.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 Authority Compilation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Citation validator + statute retrieval already exist. Wire them to audit output.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Plain Language Translation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13-language engine exists. Layer non-legal explanations on audit findings.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Brief/Motion Template Engine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Pre-populated from audit findings. Attorney reviews/edits/files. Massive time savings.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Evidence Organization Engine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Auto-numbered exhibits cross-referenced to filing points. Visual in demo.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Court-Specific Local Rules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California county rules integration. Formatting, filing requirements, department rules.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Deadline/Calendar Integration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CCP timeline auto-calculation from filing/service dates. Calendar sync.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■  TIER 2: BUILD SECOND — High Impact / Medium Difficulty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require more infrastructure but significantly expand the platform’s value proposition for both attorneys and pro se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800"/>
        <w:gridCol w:w="1000"/>
        <w:gridCol w:w="3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 VALUE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Service of Process Tracker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served, when, method, proof status, deadline calc. Essential for litigation.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Hearing Prep Module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2-3w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judge expects, order of proceedings, what to bring. Pro se game-changer.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Step-by-Step Filing Guide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ID, field-by-field, location, fee. Guided Document Navigator extension.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Notification Engine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alerts: deadlines, filings, audit completions, case status changes.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 Control + Diff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 document changes. Catch altered court orders. Forensic-grade integrity.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Chain of Custody Logging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upload/edit/access/export timestamped. Evidentiary chain preservation.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Voice-to-Document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speaks, VERNEN™ transcribes, structures, identifies issues, routes to audit.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Co-Counsel Collaboration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MED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3-4w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Multi-attorney shared audit dashboard. Real-time annotations and history.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A16207"/>
          <w:sz w:val="26"/>
          <w:szCs w:val="26"/>
        </w:rPr>
        <w:t xml:space="preserve">■  TIER 3: BUILD THIRD — Medium Impact / Higher Difficulty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are differentiators that require partnerships, external integrations, or significant backend infrastructure. High value but longer runway.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800"/>
        <w:gridCol w:w="1000"/>
        <w:gridCol w:w="3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 VALUE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Encrypted Document Vault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4-6w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Attorney-client privilege protection. LegalZoom explicitly disclaims privilege.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Billing Integration Hooks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3-4w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to Clio/MyCase/PracticePanther. Time tracked per audit module.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Conflict Check Assist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Cross-reference parties against firm client base. Requires firm data access.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Outcome Probability Model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4-6w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Based on audit findings, standards, judicial tendencies. Requires data training.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Referral Network + Metrics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4-6w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Transparent attorney ratings: outcomes, response times, audit compliance scores.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■  TIER 4: STRATEGIC ROADMAP — Revenue Infrastructure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are business model features. They don’t demo well but generate recurring revenue and market lock-in.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800"/>
        <w:gridCol w:w="1000"/>
        <w:gridCol w:w="33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 VALUE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CLE Credit Tracking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6-8w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Accredited training on audit frameworks. Recurring attorney engagement hook.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Marketplace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8-12w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Third-party plugins: e-filing, skip tracing, public records, background checks.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White-Label Licensing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8-12w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Firms brand VERNEN™ as their own. Recurring SaaS revenue. Market multiplier.</w:t>
            </w:r>
          </w:p>
        </w:tc>
      </w:tr>
    </w:tbl>
    <w:p>
      <w:pPr>
        <w:pStyle w:val="Heading1"/>
        <w:spacing w:before="400"/>
      </w:pPr>
      <w:r>
        <w:t xml:space="preserve">BUILD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Tier 1: Build First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features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4-6 weeks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Presentation-ready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Tier 2: Build Second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features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6-10 weeks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MVP completion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Tier 3: Build Third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features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8-12 weeks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Partnership-dependent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Tier 4: Roadmap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features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12-20 weeks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 infrastructure</w:t>
            </w:r>
          </w:p>
        </w:tc>
      </w:tr>
    </w:tbl>
    <w:p>
      <w:pPr>
        <w:pStyle w:val="Heading1"/>
        <w:spacing w:before="400"/>
      </w:pPr>
      <w:r>
        <w:t xml:space="preserve">KEY INSIGHT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Tier 1 features (#1-#8) are largely extensions of capabilities VERNEN™ already possesses. </w:t>
      </w:r>
      <w:r>
        <w:rPr>
          <w:rFonts w:ascii="Arial" w:cs="Arial" w:eastAsia="Arial" w:hAnsi="Arial"/>
          <w:sz w:val="20"/>
          <w:szCs w:val="20"/>
        </w:rPr>
        <w:t xml:space="preserve">The audit engine, citation validator, multilingual framework, and guided navigator are already deployed.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Tier 1 is packaging and presentation — not new engineering. </w:t>
      </w:r>
      <w:r>
        <w:rPr>
          <w:rFonts w:ascii="Arial" w:cs="Arial" w:eastAsia="Arial" w:hAnsi="Arial"/>
          <w:sz w:val="20"/>
          <w:szCs w:val="20"/>
        </w:rPr>
        <w:t xml:space="preserve">This means the highest-impact features are also the fastest to build.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LegalZoom’s 7 tools are a scheduling and payment pipeline. VERNEN™’s 40 features are a legal intelligence platform. The comparison is not competitive — it’s categorical.</w:t>
      </w: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VERNEN™  |  IP Manifest Filed February 2, 2026  |  All Rights Reserved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2026-02-25T11:36:08.668Z</dcterms:created>
  <dcterms:modified xsi:type="dcterms:W3CDTF">2026-02-25T11:36:08.669Z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