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FA049" w14:textId="77777777" w:rsidR="00D759E9" w:rsidRDefault="00D759E9" w:rsidP="00D759E9">
      <w:pPr>
        <w:ind w:left="-567"/>
        <w:jc w:val="center"/>
        <w:rPr>
          <w:rFonts w:ascii="Algerian" w:hAnsi="Algerian" w:cs="Tahoma"/>
          <w:b/>
          <w:bCs/>
        </w:rPr>
      </w:pPr>
    </w:p>
    <w:p w14:paraId="6669128C" w14:textId="6B25941A" w:rsidR="00D759E9" w:rsidRDefault="005332BD" w:rsidP="00D759E9">
      <w:pPr>
        <w:ind w:left="-567"/>
        <w:jc w:val="center"/>
        <w:rPr>
          <w:rFonts w:ascii="Algerian" w:hAnsi="Algerian" w:cs="Tahoma"/>
          <w:b/>
          <w:bCs/>
        </w:rPr>
      </w:pPr>
      <w:r w:rsidRPr="007402CC">
        <w:rPr>
          <w:rFonts w:ascii="Algerian" w:hAnsi="Algerian" w:cs="Tahoma"/>
          <w:b/>
          <w:bCs/>
        </w:rPr>
        <w:t xml:space="preserve">Comments on the Draft Report: Creating </w:t>
      </w:r>
      <w:r w:rsidR="007402CC">
        <w:rPr>
          <w:rFonts w:ascii="Algerian" w:hAnsi="Algerian" w:cs="Tahoma"/>
          <w:b/>
          <w:bCs/>
        </w:rPr>
        <w:t xml:space="preserve">an </w:t>
      </w:r>
      <w:r w:rsidRPr="007402CC">
        <w:rPr>
          <w:rFonts w:ascii="Algerian" w:hAnsi="Algerian" w:cs="Tahoma"/>
          <w:b/>
          <w:bCs/>
        </w:rPr>
        <w:t xml:space="preserve">Entrepreneurial Innovation Ecosystem in Jammu and </w:t>
      </w:r>
      <w:r w:rsidR="007402CC">
        <w:rPr>
          <w:rFonts w:ascii="Algerian" w:hAnsi="Algerian" w:cs="Tahoma"/>
          <w:b/>
          <w:bCs/>
        </w:rPr>
        <w:t>Kashmir</w:t>
      </w:r>
    </w:p>
    <w:p w14:paraId="0F9BE825" w14:textId="77777777" w:rsidR="00D759E9" w:rsidRDefault="00D759E9" w:rsidP="00D759E9">
      <w:pPr>
        <w:ind w:left="-567"/>
        <w:rPr>
          <w:rFonts w:ascii="Tahoma" w:hAnsi="Tahoma" w:cs="Tahoma"/>
        </w:rPr>
      </w:pPr>
    </w:p>
    <w:p w14:paraId="40E38C49" w14:textId="744B80DF" w:rsidR="00D759E9" w:rsidRPr="00D759E9" w:rsidRDefault="00D759E9" w:rsidP="00D759E9">
      <w:pPr>
        <w:ind w:left="-567"/>
        <w:rPr>
          <w:rFonts w:ascii="Tahoma" w:hAnsi="Tahoma" w:cs="Tahoma"/>
        </w:rPr>
      </w:pPr>
      <w:r w:rsidRPr="00D759E9">
        <w:rPr>
          <w:rFonts w:ascii="Tahoma" w:hAnsi="Tahoma" w:cs="Tahoma"/>
        </w:rPr>
        <w:t>Sir/Madam,</w:t>
      </w:r>
    </w:p>
    <w:p w14:paraId="5DAD0046" w14:textId="064FB93E" w:rsidR="005332BD" w:rsidRPr="007402CC" w:rsidRDefault="005332BD" w:rsidP="005332BD">
      <w:pPr>
        <w:ind w:left="-567"/>
        <w:rPr>
          <w:rFonts w:ascii="Tahoma" w:hAnsi="Tahoma" w:cs="Tahoma"/>
        </w:rPr>
      </w:pPr>
      <w:r w:rsidRPr="007402CC">
        <w:rPr>
          <w:rFonts w:ascii="Tahoma" w:hAnsi="Tahoma" w:cs="Tahoma"/>
        </w:rPr>
        <w:t>I have gone through the draft document carefully. Overall, it is a comprehensive and thoughtful piece of work that captures the challenges and opportunities for building a stronger entrepreneurial ecosystem in J&amp;K. The focus on practical sectors like tourism, horticulture, handicrafts, and energy reliability is particularly relevant to our ground realities. The emphasis on convergence of schemes such as Mission YUVA, PMEGP, PMFME, and others through district-level mechanisms is a strong point.</w:t>
      </w:r>
    </w:p>
    <w:p w14:paraId="50F058D7" w14:textId="77777777" w:rsidR="005332BD" w:rsidRPr="007402CC" w:rsidRDefault="005332BD" w:rsidP="005332BD">
      <w:pPr>
        <w:ind w:left="-567"/>
        <w:rPr>
          <w:rFonts w:ascii="Tahoma" w:hAnsi="Tahoma" w:cs="Tahoma"/>
        </w:rPr>
      </w:pPr>
      <w:r w:rsidRPr="007402CC">
        <w:rPr>
          <w:rFonts w:ascii="Tahoma" w:hAnsi="Tahoma" w:cs="Tahoma"/>
        </w:rPr>
        <w:t>Here are my specific observations and suggestions, keeping in mind what is feasible in the J&amp;K context:</w:t>
      </w:r>
    </w:p>
    <w:p w14:paraId="5438B2C1" w14:textId="5302724B" w:rsidR="005332BD" w:rsidRPr="007402CC" w:rsidRDefault="005332BD" w:rsidP="005332BD">
      <w:pPr>
        <w:ind w:left="-567"/>
        <w:rPr>
          <w:rFonts w:ascii="Tahoma" w:hAnsi="Tahoma" w:cs="Tahoma"/>
          <w:b/>
          <w:bCs/>
        </w:rPr>
      </w:pPr>
      <w:r w:rsidRPr="007402CC">
        <w:rPr>
          <w:rFonts w:ascii="Tahoma" w:hAnsi="Tahoma" w:cs="Tahoma"/>
          <w:b/>
          <w:bCs/>
        </w:rPr>
        <w:t>Positive Aspects</w:t>
      </w:r>
    </w:p>
    <w:p w14:paraId="1E2E6C35" w14:textId="77777777" w:rsidR="005332BD" w:rsidRPr="007402CC" w:rsidRDefault="005332BD" w:rsidP="005332BD">
      <w:pPr>
        <w:pStyle w:val="ListParagraph"/>
        <w:numPr>
          <w:ilvl w:val="0"/>
          <w:numId w:val="1"/>
        </w:numPr>
        <w:ind w:left="-284" w:hanging="283"/>
        <w:rPr>
          <w:rFonts w:ascii="Tahoma" w:hAnsi="Tahoma" w:cs="Tahoma"/>
        </w:rPr>
      </w:pPr>
      <w:r w:rsidRPr="007402CC">
        <w:rPr>
          <w:rFonts w:ascii="Tahoma" w:hAnsi="Tahoma" w:cs="Tahoma"/>
        </w:rPr>
        <w:t>The report rightly highlights our existing strengths — JKEDI as the nodal agency, StartupJK platform, and recent policy updates (2024-27). These provide a good foundation.</w:t>
      </w:r>
    </w:p>
    <w:p w14:paraId="75F9FBC7" w14:textId="77777777" w:rsidR="005332BD" w:rsidRPr="007402CC" w:rsidRDefault="005332BD" w:rsidP="005332BD">
      <w:pPr>
        <w:pStyle w:val="ListParagraph"/>
        <w:numPr>
          <w:ilvl w:val="0"/>
          <w:numId w:val="1"/>
        </w:numPr>
        <w:ind w:left="-284" w:hanging="283"/>
        <w:rPr>
          <w:rFonts w:ascii="Tahoma" w:hAnsi="Tahoma" w:cs="Tahoma"/>
        </w:rPr>
      </w:pPr>
      <w:r w:rsidRPr="007402CC">
        <w:rPr>
          <w:rFonts w:ascii="Tahoma" w:hAnsi="Tahoma" w:cs="Tahoma"/>
        </w:rPr>
        <w:t>The district archetype approach (urban, tourism-heavy, horticulture clusters, remote areas, etc.) makes sense for our diverse geography.</w:t>
      </w:r>
    </w:p>
    <w:p w14:paraId="123CE8EC" w14:textId="77777777" w:rsidR="005332BD" w:rsidRPr="007402CC" w:rsidRDefault="005332BD" w:rsidP="005332BD">
      <w:pPr>
        <w:pStyle w:val="ListParagraph"/>
        <w:numPr>
          <w:ilvl w:val="0"/>
          <w:numId w:val="1"/>
        </w:numPr>
        <w:ind w:left="-284" w:hanging="283"/>
        <w:rPr>
          <w:rFonts w:ascii="Tahoma" w:hAnsi="Tahoma" w:cs="Tahoma"/>
        </w:rPr>
      </w:pPr>
      <w:r w:rsidRPr="007402CC">
        <w:rPr>
          <w:rFonts w:ascii="Tahoma" w:hAnsi="Tahoma" w:cs="Tahoma"/>
        </w:rPr>
        <w:t>Inclusion of women, SHGs, and rural youth is well addressed, which is critical here.</w:t>
      </w:r>
    </w:p>
    <w:p w14:paraId="0061B053" w14:textId="34BBB827" w:rsidR="005332BD" w:rsidRPr="007402CC" w:rsidRDefault="005332BD" w:rsidP="007402CC">
      <w:pPr>
        <w:pStyle w:val="ListParagraph"/>
        <w:numPr>
          <w:ilvl w:val="0"/>
          <w:numId w:val="1"/>
        </w:numPr>
        <w:ind w:left="-284" w:hanging="283"/>
        <w:rPr>
          <w:rFonts w:ascii="Tahoma" w:hAnsi="Tahoma" w:cs="Tahoma"/>
        </w:rPr>
      </w:pPr>
      <w:r w:rsidRPr="007402CC">
        <w:rPr>
          <w:rFonts w:ascii="Tahoma" w:hAnsi="Tahoma" w:cs="Tahoma"/>
        </w:rPr>
        <w:t>The idea of District Entrepreneurship Delivery Units (DEDUs) and a single convergence protocol is practical and much needed to avoid duplication.</w:t>
      </w:r>
    </w:p>
    <w:p w14:paraId="6C54FF8D" w14:textId="701A8AC7" w:rsidR="005332BD" w:rsidRPr="007402CC" w:rsidRDefault="005332BD" w:rsidP="005332BD">
      <w:pPr>
        <w:ind w:left="-567"/>
        <w:rPr>
          <w:rFonts w:ascii="Tahoma" w:hAnsi="Tahoma" w:cs="Tahoma"/>
          <w:b/>
          <w:bCs/>
        </w:rPr>
      </w:pPr>
      <w:r w:rsidRPr="007402CC">
        <w:rPr>
          <w:rFonts w:ascii="Tahoma" w:hAnsi="Tahoma" w:cs="Tahoma"/>
          <w:b/>
          <w:bCs/>
        </w:rPr>
        <w:t>Areas Needing Attention / Suggestions</w:t>
      </w:r>
    </w:p>
    <w:p w14:paraId="2D45CA27" w14:textId="77777777" w:rsidR="005332BD" w:rsidRPr="007402CC" w:rsidRDefault="005332BD" w:rsidP="005332BD">
      <w:pPr>
        <w:pStyle w:val="ListParagraph"/>
        <w:numPr>
          <w:ilvl w:val="0"/>
          <w:numId w:val="2"/>
        </w:numPr>
        <w:ind w:left="-284" w:hanging="283"/>
        <w:rPr>
          <w:rFonts w:ascii="Tahoma" w:hAnsi="Tahoma" w:cs="Tahoma"/>
        </w:rPr>
      </w:pPr>
      <w:r w:rsidRPr="007402CC">
        <w:rPr>
          <w:rFonts w:ascii="Tahoma" w:hAnsi="Tahoma" w:cs="Tahoma"/>
        </w:rPr>
        <w:t>Implementation Timelines and Phasing</w:t>
      </w:r>
    </w:p>
    <w:p w14:paraId="17F25524" w14:textId="591C49BD" w:rsidR="005332BD" w:rsidRPr="007402CC" w:rsidRDefault="005332BD" w:rsidP="005332BD">
      <w:pPr>
        <w:pStyle w:val="ListParagraph"/>
        <w:ind w:left="-284"/>
        <w:rPr>
          <w:rFonts w:ascii="Tahoma" w:hAnsi="Tahoma" w:cs="Tahoma"/>
        </w:rPr>
      </w:pPr>
      <w:r w:rsidRPr="007402CC">
        <w:rPr>
          <w:rFonts w:ascii="Tahoma" w:hAnsi="Tahoma" w:cs="Tahoma"/>
        </w:rPr>
        <w:t>Some timelines (especially the first 6 months) appear a bit optimistic. In practice, coordination between departments, banks, and field staff often takes longer due to seasonal issues, staff shortages, and administrative processes. I suggest building in more flexibility and starting with pilots in 4-5 representative districts before scaling.</w:t>
      </w:r>
    </w:p>
    <w:p w14:paraId="46B8FA14" w14:textId="77777777" w:rsidR="005332BD" w:rsidRPr="007402CC" w:rsidRDefault="005332BD" w:rsidP="005332BD">
      <w:pPr>
        <w:ind w:left="-567"/>
        <w:rPr>
          <w:rFonts w:ascii="Tahoma" w:hAnsi="Tahoma" w:cs="Tahoma"/>
          <w:b/>
          <w:bCs/>
        </w:rPr>
      </w:pPr>
      <w:r w:rsidRPr="007402CC">
        <w:rPr>
          <w:rFonts w:ascii="Tahoma" w:hAnsi="Tahoma" w:cs="Tahoma"/>
          <w:b/>
          <w:bCs/>
        </w:rPr>
        <w:t>Credit and Finance Access</w:t>
      </w:r>
    </w:p>
    <w:p w14:paraId="415EAD5A" w14:textId="77777777" w:rsidR="005332BD" w:rsidRPr="007402CC" w:rsidRDefault="005332BD" w:rsidP="005332BD">
      <w:pPr>
        <w:ind w:left="-567"/>
        <w:rPr>
          <w:rFonts w:ascii="Tahoma" w:hAnsi="Tahoma" w:cs="Tahoma"/>
        </w:rPr>
      </w:pPr>
      <w:r w:rsidRPr="007402CC">
        <w:rPr>
          <w:rFonts w:ascii="Tahoma" w:hAnsi="Tahoma" w:cs="Tahoma"/>
        </w:rPr>
        <w:t>The finance gap is correctly identified. Banks remain cautious. It would help to strengthen bank clinics with pre-prepared dossiers and explore additional risk-sharing mechanisms (like enhanced guarantees). For scaling beyond seed stage, a dedicated J&amp;K Innovation Fund (blended model) linked to JKEDI could be useful.</w:t>
      </w:r>
    </w:p>
    <w:p w14:paraId="682D3899" w14:textId="77777777" w:rsidR="005332BD" w:rsidRPr="007402CC" w:rsidRDefault="005332BD" w:rsidP="005332BD">
      <w:pPr>
        <w:ind w:left="-567"/>
        <w:rPr>
          <w:rFonts w:ascii="Tahoma" w:hAnsi="Tahoma" w:cs="Tahoma"/>
          <w:b/>
          <w:bCs/>
        </w:rPr>
      </w:pPr>
      <w:r w:rsidRPr="007402CC">
        <w:rPr>
          <w:rFonts w:ascii="Tahoma" w:hAnsi="Tahoma" w:cs="Tahoma"/>
          <w:b/>
          <w:bCs/>
        </w:rPr>
        <w:t>Sector-Specific Actions</w:t>
      </w:r>
    </w:p>
    <w:p w14:paraId="29E13CCB" w14:textId="77777777" w:rsidR="005332BD" w:rsidRPr="007402CC" w:rsidRDefault="005332BD" w:rsidP="005332BD">
      <w:pPr>
        <w:ind w:left="-567"/>
        <w:rPr>
          <w:rFonts w:ascii="Tahoma" w:hAnsi="Tahoma" w:cs="Tahoma"/>
        </w:rPr>
      </w:pPr>
      <w:r w:rsidRPr="007402CC">
        <w:rPr>
          <w:rFonts w:ascii="Tahoma" w:hAnsi="Tahoma" w:cs="Tahoma"/>
        </w:rPr>
        <w:t>Tourism &amp; Homestays: Fast-tracking with quality standards and basic insurance against disruptions (floods, unrest) would be valuable.</w:t>
      </w:r>
    </w:p>
    <w:p w14:paraId="40E61136" w14:textId="77777777" w:rsidR="005332BD" w:rsidRPr="007402CC" w:rsidRDefault="005332BD" w:rsidP="005332BD">
      <w:pPr>
        <w:ind w:left="-567"/>
        <w:rPr>
          <w:rFonts w:ascii="Tahoma" w:hAnsi="Tahoma" w:cs="Tahoma"/>
        </w:rPr>
      </w:pPr>
      <w:r w:rsidRPr="007402CC">
        <w:rPr>
          <w:rFonts w:ascii="Tahoma" w:hAnsi="Tahoma" w:cs="Tahoma"/>
        </w:rPr>
        <w:t>Horticulture: Focus more on post-harvest processing, cold chains, and direct market linkages. SKUAST collaboration for tech adaptation should be explicit.</w:t>
      </w:r>
    </w:p>
    <w:p w14:paraId="552F19CF" w14:textId="77777777" w:rsidR="005332BD" w:rsidRPr="007402CC" w:rsidRDefault="005332BD" w:rsidP="005332BD">
      <w:pPr>
        <w:ind w:left="-567"/>
        <w:rPr>
          <w:rFonts w:ascii="Tahoma" w:hAnsi="Tahoma" w:cs="Tahoma"/>
        </w:rPr>
      </w:pPr>
      <w:r w:rsidRPr="007402CC">
        <w:rPr>
          <w:rFonts w:ascii="Tahoma" w:hAnsi="Tahoma" w:cs="Tahoma"/>
        </w:rPr>
        <w:t>Crafts: Quality certification and e-commerce integration are key. Anti-counterfeiting measures would protect artisans.</w:t>
      </w:r>
    </w:p>
    <w:p w14:paraId="4E8D3284" w14:textId="6FF6E49B" w:rsidR="005332BD" w:rsidRPr="007402CC" w:rsidRDefault="005332BD" w:rsidP="005332BD">
      <w:pPr>
        <w:ind w:left="-567"/>
        <w:rPr>
          <w:rFonts w:ascii="Tahoma" w:hAnsi="Tahoma" w:cs="Tahoma"/>
        </w:rPr>
      </w:pPr>
      <w:r w:rsidRPr="007402CC">
        <w:rPr>
          <w:rFonts w:ascii="Tahoma" w:hAnsi="Tahoma" w:cs="Tahoma"/>
        </w:rPr>
        <w:t>Energy Reliability: Excellent suggestion. Prioritise productive-use applications (e.g., for food processing units) in clusters.</w:t>
      </w:r>
    </w:p>
    <w:p w14:paraId="19D7CF51" w14:textId="77777777" w:rsidR="005332BD" w:rsidRPr="007402CC" w:rsidRDefault="005332BD" w:rsidP="005332BD">
      <w:pPr>
        <w:ind w:left="-567"/>
        <w:rPr>
          <w:rFonts w:ascii="Tahoma" w:hAnsi="Tahoma" w:cs="Tahoma"/>
          <w:b/>
          <w:bCs/>
        </w:rPr>
      </w:pPr>
      <w:r w:rsidRPr="007402CC">
        <w:rPr>
          <w:rFonts w:ascii="Tahoma" w:hAnsi="Tahoma" w:cs="Tahoma"/>
          <w:b/>
          <w:bCs/>
        </w:rPr>
        <w:t>Academia and Skill Linkages</w:t>
      </w:r>
    </w:p>
    <w:p w14:paraId="6710A63A" w14:textId="5AE00D87" w:rsidR="007402CC" w:rsidRDefault="005332BD" w:rsidP="007402CC">
      <w:pPr>
        <w:ind w:left="-567"/>
        <w:rPr>
          <w:rFonts w:ascii="Tahoma" w:hAnsi="Tahoma" w:cs="Tahoma"/>
        </w:rPr>
      </w:pPr>
      <w:r w:rsidRPr="007402CC">
        <w:rPr>
          <w:rFonts w:ascii="Tahoma" w:hAnsi="Tahoma" w:cs="Tahoma"/>
        </w:rPr>
        <w:t>Institutions like ours can play a bigger role. Suggest mandating entrepreneurship cells or incubation support in colleges/universities. Short, hands-on modules integrated with Mission YUVA training would help. We should also focus on returnee youth and alumni networks to reduce brain drain.</w:t>
      </w:r>
    </w:p>
    <w:p w14:paraId="3B7E599E" w14:textId="77777777" w:rsidR="00D759E9" w:rsidRDefault="00D759E9" w:rsidP="007402CC">
      <w:pPr>
        <w:ind w:left="-567"/>
        <w:rPr>
          <w:rFonts w:ascii="Tahoma" w:hAnsi="Tahoma" w:cs="Tahoma"/>
        </w:rPr>
      </w:pPr>
    </w:p>
    <w:p w14:paraId="49CF1081" w14:textId="77777777" w:rsidR="00D759E9" w:rsidRDefault="00D759E9" w:rsidP="007402CC">
      <w:pPr>
        <w:ind w:left="-567"/>
        <w:rPr>
          <w:rFonts w:ascii="Tahoma" w:hAnsi="Tahoma" w:cs="Tahoma"/>
        </w:rPr>
      </w:pPr>
    </w:p>
    <w:p w14:paraId="7CBA2BF5" w14:textId="77777777" w:rsidR="00D759E9" w:rsidRPr="007402CC" w:rsidRDefault="00D759E9" w:rsidP="007402CC">
      <w:pPr>
        <w:ind w:left="-567"/>
        <w:rPr>
          <w:rFonts w:ascii="Tahoma" w:hAnsi="Tahoma" w:cs="Tahoma"/>
        </w:rPr>
      </w:pPr>
    </w:p>
    <w:p w14:paraId="341ADF1F" w14:textId="77777777" w:rsidR="005332BD" w:rsidRPr="007402CC" w:rsidRDefault="005332BD" w:rsidP="005332BD">
      <w:pPr>
        <w:ind w:left="-567"/>
        <w:rPr>
          <w:rFonts w:ascii="Tahoma" w:hAnsi="Tahoma" w:cs="Tahoma"/>
          <w:b/>
          <w:bCs/>
        </w:rPr>
      </w:pPr>
      <w:r w:rsidRPr="007402CC">
        <w:rPr>
          <w:rFonts w:ascii="Tahoma" w:hAnsi="Tahoma" w:cs="Tahoma"/>
          <w:b/>
          <w:bCs/>
        </w:rPr>
        <w:t>Monitoring and Inclusion</w:t>
      </w:r>
    </w:p>
    <w:p w14:paraId="70627ABF" w14:textId="0D3562F3" w:rsidR="007402CC" w:rsidRPr="007402CC" w:rsidRDefault="005332BD" w:rsidP="00D759E9">
      <w:pPr>
        <w:ind w:left="-567"/>
        <w:rPr>
          <w:rFonts w:ascii="Tahoma" w:hAnsi="Tahoma" w:cs="Tahoma"/>
        </w:rPr>
      </w:pPr>
      <w:r w:rsidRPr="007402CC">
        <w:rPr>
          <w:rFonts w:ascii="Tahoma" w:hAnsi="Tahoma" w:cs="Tahoma"/>
        </w:rPr>
        <w:t>The Enterprise ID and dashboard ideas are good but should leverage existing platforms (StartupJK, YUVA portal) rather than creating new ones. For women and remote areas, add provisions for mobile facilitation camps and basic digital literacy support.</w:t>
      </w:r>
    </w:p>
    <w:p w14:paraId="2AE7E6C6" w14:textId="77777777" w:rsidR="005332BD" w:rsidRPr="007402CC" w:rsidRDefault="005332BD" w:rsidP="005332BD">
      <w:pPr>
        <w:ind w:left="-567"/>
        <w:rPr>
          <w:rFonts w:ascii="Tahoma" w:hAnsi="Tahoma" w:cs="Tahoma"/>
          <w:b/>
          <w:bCs/>
        </w:rPr>
      </w:pPr>
      <w:r w:rsidRPr="007402CC">
        <w:rPr>
          <w:rFonts w:ascii="Tahoma" w:hAnsi="Tahoma" w:cs="Tahoma"/>
          <w:b/>
          <w:bCs/>
        </w:rPr>
        <w:t>Risks and Practical Constraints</w:t>
      </w:r>
    </w:p>
    <w:p w14:paraId="1D8CFC8B" w14:textId="77777777" w:rsidR="005332BD" w:rsidRPr="007402CC" w:rsidRDefault="005332BD" w:rsidP="005332BD">
      <w:pPr>
        <w:ind w:left="-567"/>
        <w:rPr>
          <w:rFonts w:ascii="Tahoma" w:hAnsi="Tahoma" w:cs="Tahoma"/>
        </w:rPr>
      </w:pPr>
      <w:r w:rsidRPr="007402CC">
        <w:rPr>
          <w:rFonts w:ascii="Tahoma" w:hAnsi="Tahoma" w:cs="Tahoma"/>
        </w:rPr>
        <w:t>Seasonality and terrain issues need stronger contingency planning.</w:t>
      </w:r>
    </w:p>
    <w:p w14:paraId="44C12654" w14:textId="77777777" w:rsidR="005332BD" w:rsidRPr="007402CC" w:rsidRDefault="005332BD" w:rsidP="005332BD">
      <w:pPr>
        <w:ind w:left="-567"/>
        <w:rPr>
          <w:rFonts w:ascii="Tahoma" w:hAnsi="Tahoma" w:cs="Tahoma"/>
        </w:rPr>
      </w:pPr>
      <w:r w:rsidRPr="007402CC">
        <w:rPr>
          <w:rFonts w:ascii="Tahoma" w:hAnsi="Tahoma" w:cs="Tahoma"/>
        </w:rPr>
        <w:t>Perception challenges for attracting external investment/talent should be addressed through targeted branding.</w:t>
      </w:r>
    </w:p>
    <w:p w14:paraId="4FD0E924" w14:textId="6DACFD33" w:rsidR="005332BD" w:rsidRPr="007402CC" w:rsidRDefault="005332BD" w:rsidP="005332BD">
      <w:pPr>
        <w:ind w:left="-567"/>
        <w:rPr>
          <w:rFonts w:ascii="Tahoma" w:hAnsi="Tahoma" w:cs="Tahoma"/>
        </w:rPr>
      </w:pPr>
      <w:r w:rsidRPr="007402CC">
        <w:rPr>
          <w:rFonts w:ascii="Tahoma" w:hAnsi="Tahoma" w:cs="Tahoma"/>
        </w:rPr>
        <w:t>Budgets for pilots look reasonable but should remain opex-heavy (training, handholding, market linkage) rather than heavy infrastructure.</w:t>
      </w:r>
    </w:p>
    <w:p w14:paraId="64E2569A" w14:textId="207A8723" w:rsidR="005332BD" w:rsidRPr="007402CC" w:rsidRDefault="005332BD" w:rsidP="005332BD">
      <w:pPr>
        <w:ind w:left="-567"/>
        <w:rPr>
          <w:rFonts w:ascii="Tahoma" w:hAnsi="Tahoma" w:cs="Tahoma"/>
          <w:b/>
          <w:bCs/>
        </w:rPr>
      </w:pPr>
      <w:r w:rsidRPr="007402CC">
        <w:rPr>
          <w:rFonts w:ascii="Tahoma" w:hAnsi="Tahoma" w:cs="Tahoma"/>
          <w:b/>
          <w:bCs/>
        </w:rPr>
        <w:t>Minor Suggestions for the Document</w:t>
      </w:r>
    </w:p>
    <w:p w14:paraId="5A213167" w14:textId="77777777" w:rsidR="005332BD" w:rsidRPr="007402CC" w:rsidRDefault="005332BD" w:rsidP="005332BD">
      <w:pPr>
        <w:ind w:left="-567"/>
        <w:rPr>
          <w:rFonts w:ascii="Tahoma" w:hAnsi="Tahoma" w:cs="Tahoma"/>
        </w:rPr>
      </w:pPr>
      <w:r w:rsidRPr="007402CC">
        <w:rPr>
          <w:rFonts w:ascii="Tahoma" w:hAnsi="Tahoma" w:cs="Tahoma"/>
        </w:rPr>
        <w:t>The Executive Summary and Preface could be tightened — they repeat some points.</w:t>
      </w:r>
    </w:p>
    <w:p w14:paraId="467125FE" w14:textId="77777777" w:rsidR="005332BD" w:rsidRPr="007402CC" w:rsidRDefault="005332BD" w:rsidP="005332BD">
      <w:pPr>
        <w:ind w:left="-567"/>
        <w:rPr>
          <w:rFonts w:ascii="Tahoma" w:hAnsi="Tahoma" w:cs="Tahoma"/>
        </w:rPr>
      </w:pPr>
      <w:r w:rsidRPr="007402CC">
        <w:rPr>
          <w:rFonts w:ascii="Tahoma" w:hAnsi="Tahoma" w:cs="Tahoma"/>
        </w:rPr>
        <w:t>Add a few real success stories from JKEDI or local startups to make it more relatable.</w:t>
      </w:r>
    </w:p>
    <w:p w14:paraId="7DCB587D" w14:textId="77777777" w:rsidR="005332BD" w:rsidRPr="007402CC" w:rsidRDefault="005332BD" w:rsidP="005332BD">
      <w:pPr>
        <w:ind w:left="-567"/>
        <w:rPr>
          <w:rFonts w:ascii="Tahoma" w:hAnsi="Tahoma" w:cs="Tahoma"/>
        </w:rPr>
      </w:pPr>
      <w:r w:rsidRPr="007402CC">
        <w:rPr>
          <w:rFonts w:ascii="Tahoma" w:hAnsi="Tahoma" w:cs="Tahoma"/>
        </w:rPr>
        <w:t>Include simple visuals: district maps, flowcharts for convergence, and a one-page pilot checklist.</w:t>
      </w:r>
    </w:p>
    <w:p w14:paraId="6534108D" w14:textId="77777777" w:rsidR="007402CC" w:rsidRPr="007402CC" w:rsidRDefault="007402CC" w:rsidP="007402CC">
      <w:pPr>
        <w:ind w:left="-567"/>
        <w:rPr>
          <w:rFonts w:ascii="Tahoma" w:hAnsi="Tahoma" w:cs="Tahoma"/>
        </w:rPr>
      </w:pPr>
    </w:p>
    <w:p w14:paraId="61E8FAEE" w14:textId="4965D396" w:rsidR="007402CC" w:rsidRDefault="007402CC" w:rsidP="007402CC">
      <w:pPr>
        <w:spacing w:after="0"/>
        <w:ind w:left="-567"/>
        <w:rPr>
          <w:rFonts w:ascii="Algerian" w:hAnsi="Algerian" w:cs="Tahoma"/>
          <w:b/>
          <w:bCs/>
        </w:rPr>
      </w:pPr>
      <w:r>
        <w:rPr>
          <w:rFonts w:ascii="Algerian" w:hAnsi="Algerian" w:cs="Tahoma"/>
          <w:b/>
          <w:bCs/>
        </w:rPr>
        <w:t xml:space="preserve">                          principal</w:t>
      </w:r>
    </w:p>
    <w:p w14:paraId="146FA07B" w14:textId="77777777" w:rsidR="007402CC" w:rsidRDefault="007402CC" w:rsidP="007402CC">
      <w:pPr>
        <w:spacing w:after="0"/>
        <w:ind w:left="-567"/>
        <w:rPr>
          <w:rFonts w:ascii="Algerian" w:hAnsi="Algerian" w:cs="Tahoma"/>
          <w:b/>
          <w:bCs/>
        </w:rPr>
      </w:pPr>
      <w:r>
        <w:rPr>
          <w:rFonts w:ascii="Algerian" w:hAnsi="Algerian" w:cs="Tahoma"/>
          <w:b/>
          <w:bCs/>
        </w:rPr>
        <w:t xml:space="preserve">Kashmir Government Polytechnic College, </w:t>
      </w:r>
    </w:p>
    <w:p w14:paraId="73F5BDE0" w14:textId="2D697CD9" w:rsidR="007402CC" w:rsidRPr="007402CC" w:rsidRDefault="007402CC" w:rsidP="007402CC">
      <w:pPr>
        <w:spacing w:after="0"/>
        <w:ind w:left="-567"/>
        <w:rPr>
          <w:rFonts w:ascii="Algerian" w:hAnsi="Algerian" w:cs="Tahoma"/>
          <w:b/>
          <w:bCs/>
        </w:rPr>
      </w:pPr>
      <w:r>
        <w:rPr>
          <w:rFonts w:ascii="Algerian" w:hAnsi="Algerian" w:cs="Tahoma"/>
          <w:b/>
          <w:bCs/>
        </w:rPr>
        <w:t xml:space="preserve">                         Srinagar</w:t>
      </w:r>
    </w:p>
    <w:p w14:paraId="176EECC2" w14:textId="0030F88F" w:rsidR="000527A0" w:rsidRPr="007402CC" w:rsidRDefault="000527A0" w:rsidP="007402CC">
      <w:pPr>
        <w:ind w:left="-567"/>
        <w:rPr>
          <w:rFonts w:ascii="Tahoma" w:hAnsi="Tahoma" w:cs="Tahoma"/>
        </w:rPr>
      </w:pPr>
    </w:p>
    <w:sectPr w:rsidR="000527A0" w:rsidRPr="007402CC" w:rsidSect="007402CC">
      <w:pgSz w:w="11906" w:h="16838"/>
      <w:pgMar w:top="284" w:right="849" w:bottom="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5744CD"/>
    <w:multiLevelType w:val="hybridMultilevel"/>
    <w:tmpl w:val="77F6BA84"/>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 w15:restartNumberingAfterBreak="0">
    <w:nsid w:val="74762690"/>
    <w:multiLevelType w:val="hybridMultilevel"/>
    <w:tmpl w:val="3BD85924"/>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num w:numId="1" w16cid:durableId="1935745912">
    <w:abstractNumId w:val="1"/>
  </w:num>
  <w:num w:numId="2" w16cid:durableId="688798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2BD"/>
    <w:rsid w:val="000527A0"/>
    <w:rsid w:val="005332BD"/>
    <w:rsid w:val="007402CC"/>
    <w:rsid w:val="00743E6E"/>
    <w:rsid w:val="008A4402"/>
    <w:rsid w:val="00A21687"/>
    <w:rsid w:val="00D759E9"/>
    <w:rsid w:val="00E75479"/>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7C0E4"/>
  <w15:chartTrackingRefBased/>
  <w15:docId w15:val="{19BDD7AB-EB8F-406B-AC0A-D2F7F10BA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32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32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32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32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32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32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32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32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32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32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32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32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32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32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32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32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32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32BD"/>
    <w:rPr>
      <w:rFonts w:eastAsiaTheme="majorEastAsia" w:cstheme="majorBidi"/>
      <w:color w:val="272727" w:themeColor="text1" w:themeTint="D8"/>
    </w:rPr>
  </w:style>
  <w:style w:type="paragraph" w:styleId="Title">
    <w:name w:val="Title"/>
    <w:basedOn w:val="Normal"/>
    <w:next w:val="Normal"/>
    <w:link w:val="TitleChar"/>
    <w:uiPriority w:val="10"/>
    <w:qFormat/>
    <w:rsid w:val="005332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32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32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32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32BD"/>
    <w:pPr>
      <w:spacing w:before="160"/>
      <w:jc w:val="center"/>
    </w:pPr>
    <w:rPr>
      <w:i/>
      <w:iCs/>
      <w:color w:val="404040" w:themeColor="text1" w:themeTint="BF"/>
    </w:rPr>
  </w:style>
  <w:style w:type="character" w:customStyle="1" w:styleId="QuoteChar">
    <w:name w:val="Quote Char"/>
    <w:basedOn w:val="DefaultParagraphFont"/>
    <w:link w:val="Quote"/>
    <w:uiPriority w:val="29"/>
    <w:rsid w:val="005332BD"/>
    <w:rPr>
      <w:i/>
      <w:iCs/>
      <w:color w:val="404040" w:themeColor="text1" w:themeTint="BF"/>
    </w:rPr>
  </w:style>
  <w:style w:type="paragraph" w:styleId="ListParagraph">
    <w:name w:val="List Paragraph"/>
    <w:basedOn w:val="Normal"/>
    <w:uiPriority w:val="34"/>
    <w:qFormat/>
    <w:rsid w:val="005332BD"/>
    <w:pPr>
      <w:ind w:left="720"/>
      <w:contextualSpacing/>
    </w:pPr>
  </w:style>
  <w:style w:type="character" w:styleId="IntenseEmphasis">
    <w:name w:val="Intense Emphasis"/>
    <w:basedOn w:val="DefaultParagraphFont"/>
    <w:uiPriority w:val="21"/>
    <w:qFormat/>
    <w:rsid w:val="005332BD"/>
    <w:rPr>
      <w:i/>
      <w:iCs/>
      <w:color w:val="2F5496" w:themeColor="accent1" w:themeShade="BF"/>
    </w:rPr>
  </w:style>
  <w:style w:type="paragraph" w:styleId="IntenseQuote">
    <w:name w:val="Intense Quote"/>
    <w:basedOn w:val="Normal"/>
    <w:next w:val="Normal"/>
    <w:link w:val="IntenseQuoteChar"/>
    <w:uiPriority w:val="30"/>
    <w:qFormat/>
    <w:rsid w:val="005332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32BD"/>
    <w:rPr>
      <w:i/>
      <w:iCs/>
      <w:color w:val="2F5496" w:themeColor="accent1" w:themeShade="BF"/>
    </w:rPr>
  </w:style>
  <w:style w:type="character" w:styleId="IntenseReference">
    <w:name w:val="Intense Reference"/>
    <w:basedOn w:val="DefaultParagraphFont"/>
    <w:uiPriority w:val="32"/>
    <w:qFormat/>
    <w:rsid w:val="005332B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590</Words>
  <Characters>3368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wajahat .</dc:creator>
  <cp:keywords/>
  <dc:description/>
  <cp:lastModifiedBy>wajahat .</cp:lastModifiedBy>
  <cp:revision>3</cp:revision>
  <dcterms:created xsi:type="dcterms:W3CDTF">2026-07-22T08:41:00Z</dcterms:created>
  <dcterms:modified xsi:type="dcterms:W3CDTF">2026-07-22T08:43:00Z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16f14f3b-9c44-4305-8424-5665678365f7</vt:lpwstr>
  </property>
</Properties>
</file>