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63C1C35B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DA64C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3300F">
        <w:rPr>
          <w:rFonts w:ascii="Tahoma" w:hAnsi="Tahoma" w:cs="Tahoma"/>
          <w:b/>
          <w:bCs/>
          <w:color w:val="1F1F1F"/>
          <w:sz w:val="26"/>
          <w:szCs w:val="26"/>
        </w:rPr>
        <w:t>34</w:t>
      </w:r>
      <w:r w:rsidR="00915EB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69E9CF5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B74BF6">
        <w:rPr>
          <w:rFonts w:ascii="Tahoma" w:hAnsi="Tahoma" w:cs="Tahoma"/>
          <w:b/>
          <w:bCs/>
          <w:color w:val="1F1F1F"/>
          <w:sz w:val="26"/>
          <w:szCs w:val="26"/>
        </w:rPr>
        <w:t>12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674E7C62" w14:textId="3C3FCFDC" w:rsidR="00915EBD" w:rsidRDefault="00915EBD" w:rsidP="00915EBD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915EB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Inter-Sectional Transfer (Stores Section &amp; Establishment Section)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1F85A3C3" w14:textId="77777777" w:rsidR="00915EBD" w:rsidRPr="00915EBD" w:rsidRDefault="00915EBD" w:rsidP="00915EBD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0E81555" w14:textId="77777777" w:rsidR="00915EBD" w:rsidRPr="00915EBD" w:rsidRDefault="00915EBD" w:rsidP="00915EBD">
      <w:pPr>
        <w:shd w:val="clear" w:color="auto" w:fill="FFFFFF"/>
        <w:tabs>
          <w:tab w:val="num" w:pos="142"/>
        </w:tabs>
        <w:spacing w:line="360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915EBD">
        <w:rPr>
          <w:rFonts w:ascii="Tahoma" w:hAnsi="Tahoma" w:cs="Tahoma"/>
          <w:color w:val="222222"/>
          <w:sz w:val="25"/>
          <w:szCs w:val="25"/>
          <w:lang w:eastAsia="en-US"/>
        </w:rPr>
        <w:t>In supersession of all previous orders, and as per the requirement of the Incharge, Establishment Section, the following inter-sectional transfers are hereby ordered with immediate effect:</w:t>
      </w:r>
    </w:p>
    <w:p w14:paraId="628715C6" w14:textId="7ABCBAEF" w:rsidR="00915EBD" w:rsidRPr="00915EBD" w:rsidRDefault="00915EBD" w:rsidP="00915EBD">
      <w:pPr>
        <w:numPr>
          <w:ilvl w:val="0"/>
          <w:numId w:val="13"/>
        </w:numPr>
        <w:shd w:val="clear" w:color="auto" w:fill="FFFFFF"/>
        <w:tabs>
          <w:tab w:val="clear" w:pos="720"/>
          <w:tab w:val="num" w:pos="142"/>
          <w:tab w:val="num" w:pos="284"/>
        </w:tabs>
        <w:spacing w:line="360" w:lineRule="auto"/>
        <w:ind w:left="284" w:hanging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915EB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Mr. AAQIF AHMAD LONE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915EBD">
        <w:rPr>
          <w:rFonts w:ascii="Tahoma" w:hAnsi="Tahoma" w:cs="Tahoma"/>
          <w:color w:val="222222"/>
          <w:sz w:val="25"/>
          <w:szCs w:val="25"/>
          <w:lang w:eastAsia="en-US"/>
        </w:rPr>
        <w:t xml:space="preserve">is transferred to the </w:t>
      </w:r>
      <w:r w:rsidRPr="00915EB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Establishment Section</w:t>
      </w:r>
      <w:r w:rsidRPr="00915EBD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29DC879E" w14:textId="73F74054" w:rsidR="00915EBD" w:rsidRPr="00915EBD" w:rsidRDefault="00915EBD" w:rsidP="00915EBD">
      <w:pPr>
        <w:numPr>
          <w:ilvl w:val="0"/>
          <w:numId w:val="13"/>
        </w:numPr>
        <w:shd w:val="clear" w:color="auto" w:fill="FFFFFF"/>
        <w:tabs>
          <w:tab w:val="clear" w:pos="720"/>
          <w:tab w:val="num" w:pos="142"/>
          <w:tab w:val="num" w:pos="284"/>
        </w:tabs>
        <w:spacing w:line="360" w:lineRule="auto"/>
        <w:ind w:left="284" w:hanging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915EB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Mr. MANISH KUMAR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915EBD">
        <w:rPr>
          <w:rFonts w:ascii="Tahoma" w:hAnsi="Tahoma" w:cs="Tahoma"/>
          <w:color w:val="222222"/>
          <w:sz w:val="25"/>
          <w:szCs w:val="25"/>
          <w:lang w:eastAsia="en-US"/>
        </w:rPr>
        <w:t xml:space="preserve">is transferred to the </w:t>
      </w:r>
      <w:r w:rsidRPr="00915EB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Stores Section</w:t>
      </w:r>
      <w:r w:rsidRPr="00915EBD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0DD0CF57" w14:textId="3D5AE403" w:rsidR="00915EBD" w:rsidRPr="00915EBD" w:rsidRDefault="007B7B70" w:rsidP="00915EBD">
      <w:pPr>
        <w:shd w:val="clear" w:color="auto" w:fill="FFFFFF"/>
        <w:tabs>
          <w:tab w:val="num" w:pos="142"/>
        </w:tabs>
        <w:spacing w:line="360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5ABEE7" wp14:editId="49C8BFC7">
            <wp:simplePos x="0" y="0"/>
            <wp:positionH relativeFrom="column">
              <wp:posOffset>4121785</wp:posOffset>
            </wp:positionH>
            <wp:positionV relativeFrom="paragraph">
              <wp:posOffset>327025</wp:posOffset>
            </wp:positionV>
            <wp:extent cx="1803400" cy="966308"/>
            <wp:effectExtent l="0" t="0" r="6350" b="5715"/>
            <wp:wrapTight wrapText="bothSides">
              <wp:wrapPolygon edited="0">
                <wp:start x="13234" y="0"/>
                <wp:lineTo x="8670" y="852"/>
                <wp:lineTo x="2054" y="5112"/>
                <wp:lineTo x="2054" y="7243"/>
                <wp:lineTo x="0" y="12355"/>
                <wp:lineTo x="0" y="13633"/>
                <wp:lineTo x="6845" y="14059"/>
                <wp:lineTo x="6845" y="21302"/>
                <wp:lineTo x="8214" y="21302"/>
                <wp:lineTo x="8442" y="20876"/>
                <wp:lineTo x="9583" y="14059"/>
                <wp:lineTo x="16428" y="7243"/>
                <wp:lineTo x="21448" y="5538"/>
                <wp:lineTo x="21448" y="1704"/>
                <wp:lineTo x="14375" y="0"/>
                <wp:lineTo x="13234" y="0"/>
              </wp:wrapPolygon>
            </wp:wrapTight>
            <wp:docPr id="14111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96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5EBD" w:rsidRPr="00915EBD">
        <w:rPr>
          <w:rFonts w:ascii="Tahoma" w:hAnsi="Tahoma" w:cs="Tahoma"/>
          <w:color w:val="222222"/>
          <w:sz w:val="25"/>
          <w:szCs w:val="25"/>
          <w:lang w:eastAsia="en-US"/>
        </w:rPr>
        <w:t>Both officials shall stand relieved from their present sections with immediate effect and report to their new sections accordingly.</w:t>
      </w:r>
    </w:p>
    <w:p w14:paraId="65FDB6F8" w14:textId="1D483E20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205D7B96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1E3A2380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52033CC8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73300F">
        <w:rPr>
          <w:rFonts w:ascii="Tahoma" w:hAnsi="Tahoma" w:cs="Tahoma"/>
          <w:sz w:val="24"/>
          <w:szCs w:val="24"/>
        </w:rPr>
        <w:t>285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B74BF6">
        <w:rPr>
          <w:rFonts w:ascii="Tahoma" w:hAnsi="Tahoma" w:cs="Tahoma"/>
          <w:sz w:val="24"/>
          <w:szCs w:val="24"/>
        </w:rPr>
        <w:t>12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38CD67DD" w14:textId="05120EDC" w:rsidR="00722853" w:rsidRPr="00847C59" w:rsidRDefault="007A4A17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1.All Concerned for information and necessary action.</w:t>
      </w: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3193" w14:textId="77777777" w:rsidR="00705075" w:rsidRDefault="00705075">
      <w:r>
        <w:separator/>
      </w:r>
    </w:p>
  </w:endnote>
  <w:endnote w:type="continuationSeparator" w:id="0">
    <w:p w14:paraId="5153170D" w14:textId="77777777" w:rsidR="00705075" w:rsidRDefault="00705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A704" w14:textId="77777777" w:rsidR="00705075" w:rsidRDefault="00705075">
      <w:r>
        <w:separator/>
      </w:r>
    </w:p>
  </w:footnote>
  <w:footnote w:type="continuationSeparator" w:id="0">
    <w:p w14:paraId="11310691" w14:textId="77777777" w:rsidR="00705075" w:rsidRDefault="00705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23DC6"/>
    <w:multiLevelType w:val="multilevel"/>
    <w:tmpl w:val="2B08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045954665">
    <w:abstractNumId w:val="12"/>
  </w:num>
  <w:num w:numId="12" w16cid:durableId="295764511">
    <w:abstractNumId w:val="10"/>
  </w:num>
  <w:num w:numId="13" w16cid:durableId="372970528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7BFD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2AF1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2E2D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35AE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075"/>
    <w:rsid w:val="0070544A"/>
    <w:rsid w:val="007152D7"/>
    <w:rsid w:val="00721541"/>
    <w:rsid w:val="00722853"/>
    <w:rsid w:val="0073300F"/>
    <w:rsid w:val="00734C8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A4A17"/>
    <w:rsid w:val="007B7B70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80D8C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15EBD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1417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74BF6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5F2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375E"/>
    <w:rsid w:val="00D748AC"/>
    <w:rsid w:val="00D75D3D"/>
    <w:rsid w:val="00D85272"/>
    <w:rsid w:val="00D87ED5"/>
    <w:rsid w:val="00D92BB7"/>
    <w:rsid w:val="00DA30EB"/>
    <w:rsid w:val="00DA64C8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7ACA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2026-05-12T08:34:00Z</cp:lastPrinted>
  <dcterms:created xsi:type="dcterms:W3CDTF">2026-05-12T08:41:00Z</dcterms:created>
  <dcterms:modified xsi:type="dcterms:W3CDTF">2026-05-12T10:03:00Z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