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360"/>
        <w:jc w:val="start"/>
        <w:rPr/>
      </w:pPr>
      <w:r>
        <w:rPr/>
        <w:t>MetricOps Project Plan</w:t>
      </w:r>
    </w:p>
    <w:p>
      <w:pPr>
        <w:pStyle w:val="BodyText"/>
        <w:bidi w:val="0"/>
        <w:jc w:val="start"/>
        <w:rPr/>
      </w:pPr>
      <w:r>
        <w:rPr>
          <w:rStyle w:val="Strong"/>
        </w:rPr>
        <w:t>Document status:</w:t>
      </w:r>
      <w:r>
        <w:rPr/>
        <w:t xml:space="preserve"> Initial baseline </w:t>
      </w:r>
      <w:r>
        <w:rPr>
          <w:rStyle w:val="Strong"/>
        </w:rPr>
        <w:t>Audience:</w:t>
      </w:r>
      <w:r>
        <w:rPr/>
        <w:t xml:space="preserve"> Product owners, delivery team, engineering leadership, pilot stakeholders, and procurement stakeholders </w:t>
      </w:r>
      <w:r>
        <w:rPr>
          <w:rStyle w:val="Strong"/>
        </w:rPr>
        <w:t>Planning horizon:</w:t>
      </w:r>
      <w:r>
        <w:rPr/>
        <w:t xml:space="preserve"> MVP through first controlled customer pilot</w:t>
      </w:r>
    </w:p>
    <w:p>
      <w:pPr>
        <w:pStyle w:val="Heading2"/>
        <w:bidi w:val="0"/>
        <w:jc w:val="start"/>
        <w:rPr/>
      </w:pPr>
      <w:r>
        <w:rPr/>
        <w:t>1. Executive summary</w:t>
      </w:r>
    </w:p>
    <w:p>
      <w:pPr>
        <w:pStyle w:val="BodyText"/>
        <w:bidi w:val="0"/>
        <w:jc w:val="start"/>
        <w:rPr/>
      </w:pPr>
      <w:r>
        <w:rPr/>
        <w:t>MetricOps will provide organizations with a centralized infrastructure assurance dashboard. It will help authorized users understand whether servers, applications, databases, and selected cloud resources are available, healthy, secure in their basic configuration, and operating within expected capacity.</w:t>
      </w:r>
    </w:p>
    <w:p>
      <w:pPr>
        <w:pStyle w:val="BodyText"/>
        <w:bidi w:val="0"/>
        <w:jc w:val="start"/>
        <w:rPr/>
      </w:pPr>
      <w:r>
        <w:rPr/>
        <w:t>The product will combine monitoring information with operational governance. It will present executive health summaries, technical drill-down dashboards, alerts, incidents, maintenance history, audit evidence, and carefully controlled infrastructure actions. It will not replace the customer's monitoring systems or cloud provider. It will provide a consistent management and governance layer above them.</w:t>
      </w:r>
    </w:p>
    <w:p>
      <w:pPr>
        <w:pStyle w:val="BodyText"/>
        <w:bidi w:val="0"/>
        <w:jc w:val="start"/>
        <w:rPr/>
      </w:pPr>
      <w:r>
        <w:rPr/>
        <w:t>The initial target market is government and public-sector organizations in Khyber Pakhtunkhwa, Pakistan. The MVP will therefore favor customer-controlled deployment, data sovereignty, predictable licensing, strong auditability, and read-only operation by default.</w:t>
      </w:r>
    </w:p>
    <w:p>
      <w:pPr>
        <w:pStyle w:val="Heading2"/>
        <w:bidi w:val="0"/>
        <w:jc w:val="start"/>
        <w:rPr/>
      </w:pPr>
      <w:r>
        <w:rPr/>
        <w:t>2. Project objectives</w:t>
      </w:r>
    </w:p>
    <w:p>
      <w:pPr>
        <w:pStyle w:val="BodyText"/>
        <w:bidi w:val="0"/>
        <w:jc w:val="start"/>
        <w:rPr/>
      </w:pPr>
      <w:r>
        <w:rPr/>
        <w:t>The MVP must prove that an organization can:</w:t>
      </w:r>
    </w:p>
    <w:p>
      <w:pPr>
        <w:pStyle w:val="BodyText"/>
        <w:numPr>
          <w:ilvl w:val="0"/>
          <w:numId w:val="1"/>
        </w:numPr>
        <w:tabs>
          <w:tab w:val="clear" w:pos="1134"/>
          <w:tab w:val="left" w:pos="829" w:leader="none"/>
        </w:tabs>
        <w:bidi w:val="0"/>
        <w:spacing w:before="120" w:after="0"/>
        <w:ind w:hanging="283" w:start="829"/>
        <w:jc w:val="start"/>
        <w:rPr/>
      </w:pPr>
      <w:r>
        <w:rPr/>
        <w:t xml:space="preserve">Create and administer a protected customer workspace. </w:t>
      </w:r>
    </w:p>
    <w:p>
      <w:pPr>
        <w:pStyle w:val="BodyText"/>
        <w:numPr>
          <w:ilvl w:val="0"/>
          <w:numId w:val="1"/>
        </w:numPr>
        <w:tabs>
          <w:tab w:val="clear" w:pos="1134"/>
          <w:tab w:val="left" w:pos="829" w:leader="none"/>
        </w:tabs>
        <w:bidi w:val="0"/>
        <w:spacing w:before="120" w:after="0"/>
        <w:ind w:hanging="283" w:start="829"/>
        <w:jc w:val="start"/>
        <w:rPr/>
      </w:pPr>
      <w:r>
        <w:rPr/>
        <w:t xml:space="preserve">Connect an existing monitoring environment without exposing it publicly. </w:t>
      </w:r>
    </w:p>
    <w:p>
      <w:pPr>
        <w:pStyle w:val="BodyText"/>
        <w:numPr>
          <w:ilvl w:val="0"/>
          <w:numId w:val="1"/>
        </w:numPr>
        <w:tabs>
          <w:tab w:val="clear" w:pos="1134"/>
          <w:tab w:val="left" w:pos="829" w:leader="none"/>
        </w:tabs>
        <w:bidi w:val="0"/>
        <w:spacing w:before="120" w:after="0"/>
        <w:ind w:hanging="283" w:start="829"/>
        <w:jc w:val="start"/>
        <w:rPr/>
      </w:pPr>
      <w:r>
        <w:rPr/>
        <w:t xml:space="preserve">Connect one cloud account through customer-controlled, least-privilege access. </w:t>
      </w:r>
    </w:p>
    <w:p>
      <w:pPr>
        <w:pStyle w:val="BodyText"/>
        <w:numPr>
          <w:ilvl w:val="0"/>
          <w:numId w:val="1"/>
        </w:numPr>
        <w:tabs>
          <w:tab w:val="clear" w:pos="1134"/>
          <w:tab w:val="left" w:pos="829" w:leader="none"/>
        </w:tabs>
        <w:bidi w:val="0"/>
        <w:spacing w:before="120" w:after="0"/>
        <w:ind w:hanging="283" w:start="829"/>
        <w:jc w:val="start"/>
        <w:rPr/>
      </w:pPr>
      <w:r>
        <w:rPr/>
        <w:t xml:space="preserve">Discover and classify supported infrastructure resources. </w:t>
      </w:r>
    </w:p>
    <w:p>
      <w:pPr>
        <w:pStyle w:val="BodyText"/>
        <w:numPr>
          <w:ilvl w:val="0"/>
          <w:numId w:val="1"/>
        </w:numPr>
        <w:tabs>
          <w:tab w:val="clear" w:pos="1134"/>
          <w:tab w:val="left" w:pos="829" w:leader="none"/>
        </w:tabs>
        <w:bidi w:val="0"/>
        <w:spacing w:before="120" w:after="0"/>
        <w:ind w:hanging="283" w:start="829"/>
        <w:jc w:val="start"/>
        <w:rPr/>
      </w:pPr>
      <w:r>
        <w:rPr/>
        <w:t xml:space="preserve">View current and historical health and capacity information. </w:t>
      </w:r>
    </w:p>
    <w:p>
      <w:pPr>
        <w:pStyle w:val="BodyText"/>
        <w:numPr>
          <w:ilvl w:val="0"/>
          <w:numId w:val="1"/>
        </w:numPr>
        <w:tabs>
          <w:tab w:val="clear" w:pos="1134"/>
          <w:tab w:val="left" w:pos="829" w:leader="none"/>
        </w:tabs>
        <w:bidi w:val="0"/>
        <w:spacing w:before="120" w:after="0"/>
        <w:ind w:hanging="283" w:start="829"/>
        <w:jc w:val="start"/>
        <w:rPr/>
      </w:pPr>
      <w:r>
        <w:rPr/>
        <w:t xml:space="preserve">Monitor application endpoints and one supported database technology. </w:t>
      </w:r>
    </w:p>
    <w:p>
      <w:pPr>
        <w:pStyle w:val="BodyText"/>
        <w:numPr>
          <w:ilvl w:val="0"/>
          <w:numId w:val="1"/>
        </w:numPr>
        <w:tabs>
          <w:tab w:val="clear" w:pos="1134"/>
          <w:tab w:val="left" w:pos="829" w:leader="none"/>
        </w:tabs>
        <w:bidi w:val="0"/>
        <w:spacing w:before="120" w:after="0"/>
        <w:ind w:hanging="283" w:start="829"/>
        <w:jc w:val="start"/>
        <w:rPr/>
      </w:pPr>
      <w:r>
        <w:rPr/>
        <w:t xml:space="preserve">Receive, acknowledge, assign, silence, and resolve alerts. </w:t>
      </w:r>
    </w:p>
    <w:p>
      <w:pPr>
        <w:pStyle w:val="BodyText"/>
        <w:numPr>
          <w:ilvl w:val="0"/>
          <w:numId w:val="1"/>
        </w:numPr>
        <w:tabs>
          <w:tab w:val="clear" w:pos="1134"/>
          <w:tab w:val="left" w:pos="829" w:leader="none"/>
        </w:tabs>
        <w:bidi w:val="0"/>
        <w:spacing w:before="120" w:after="0"/>
        <w:ind w:hanging="283" w:start="829"/>
        <w:jc w:val="start"/>
        <w:rPr/>
      </w:pPr>
      <w:r>
        <w:rPr/>
        <w:t xml:space="preserve">Produce uptime, capacity, incident, and audit reports. </w:t>
      </w:r>
    </w:p>
    <w:p>
      <w:pPr>
        <w:pStyle w:val="BodyText"/>
        <w:numPr>
          <w:ilvl w:val="0"/>
          <w:numId w:val="1"/>
        </w:numPr>
        <w:tabs>
          <w:tab w:val="clear" w:pos="1134"/>
          <w:tab w:val="left" w:pos="829" w:leader="none"/>
        </w:tabs>
        <w:bidi w:val="0"/>
        <w:spacing w:before="120" w:after="0"/>
        <w:ind w:hanging="283" w:start="829"/>
        <w:jc w:val="start"/>
        <w:rPr/>
      </w:pPr>
      <w:r>
        <w:rPr/>
        <w:t xml:space="preserve">Separate MetricOps platform administration from customer infrastructure administration. </w:t>
      </w:r>
    </w:p>
    <w:p>
      <w:pPr>
        <w:pStyle w:val="BodyText"/>
        <w:numPr>
          <w:ilvl w:val="0"/>
          <w:numId w:val="1"/>
        </w:numPr>
        <w:tabs>
          <w:tab w:val="clear" w:pos="1134"/>
          <w:tab w:val="left" w:pos="829" w:leader="none"/>
        </w:tabs>
        <w:bidi w:val="0"/>
        <w:spacing w:before="120" w:after="0"/>
        <w:ind w:hanging="283" w:start="829"/>
        <w:jc w:val="start"/>
        <w:rPr/>
      </w:pPr>
      <w:r>
        <w:rPr/>
        <w:t xml:space="preserve">Grant temporary, scoped support access when a customer explicitly approves it. </w:t>
      </w:r>
    </w:p>
    <w:p>
      <w:pPr>
        <w:pStyle w:val="BodyText"/>
        <w:numPr>
          <w:ilvl w:val="0"/>
          <w:numId w:val="1"/>
        </w:numPr>
        <w:tabs>
          <w:tab w:val="clear" w:pos="1134"/>
          <w:tab w:val="left" w:pos="829" w:leader="none"/>
        </w:tabs>
        <w:bidi w:val="0"/>
        <w:ind w:hanging="283" w:start="829"/>
        <w:jc w:val="start"/>
        <w:rPr/>
      </w:pPr>
      <w:r>
        <w:rPr/>
        <w:t xml:space="preserve">Demonstrate one allow-listed non-production infrastructure operation with authorization, verification, and audit. </w:t>
      </w:r>
    </w:p>
    <w:p>
      <w:pPr>
        <w:pStyle w:val="Heading2"/>
        <w:bidi w:val="0"/>
        <w:jc w:val="start"/>
        <w:rPr/>
      </w:pPr>
      <w:r>
        <w:rPr/>
        <w:t>3. Product principles</w:t>
      </w:r>
    </w:p>
    <w:p>
      <w:pPr>
        <w:pStyle w:val="BodyText"/>
        <w:bidi w:val="0"/>
        <w:jc w:val="start"/>
        <w:rPr/>
      </w:pPr>
      <w:r>
        <w:rPr/>
        <w:t>The following principles govern scope and implementation:</w:t>
      </w:r>
    </w:p>
    <w:p>
      <w:pPr>
        <w:pStyle w:val="BodyText"/>
        <w:numPr>
          <w:ilvl w:val="0"/>
          <w:numId w:val="2"/>
        </w:numPr>
        <w:tabs>
          <w:tab w:val="clear" w:pos="1134"/>
          <w:tab w:val="left" w:pos="829" w:leader="none"/>
        </w:tabs>
        <w:bidi w:val="0"/>
        <w:spacing w:before="120" w:after="0"/>
        <w:ind w:hanging="283" w:start="829"/>
        <w:jc w:val="start"/>
        <w:rPr/>
      </w:pPr>
      <w:r>
        <w:rPr>
          <w:rStyle w:val="Strong"/>
        </w:rPr>
        <w:t>Read-only first.</w:t>
      </w:r>
      <w:r>
        <w:rPr/>
        <w:t xml:space="preserve"> Monitoring and reporting must be useful before infrastructure control is enabled. </w:t>
      </w:r>
    </w:p>
    <w:p>
      <w:pPr>
        <w:pStyle w:val="BodyText"/>
        <w:numPr>
          <w:ilvl w:val="0"/>
          <w:numId w:val="2"/>
        </w:numPr>
        <w:tabs>
          <w:tab w:val="clear" w:pos="1134"/>
          <w:tab w:val="left" w:pos="829" w:leader="none"/>
        </w:tabs>
        <w:bidi w:val="0"/>
        <w:spacing w:before="120" w:after="0"/>
        <w:ind w:hanging="283" w:start="829"/>
        <w:jc w:val="start"/>
        <w:rPr/>
      </w:pPr>
      <w:r>
        <w:rPr>
          <w:rStyle w:val="Strong"/>
        </w:rPr>
        <w:t>Customer ownership.</w:t>
      </w:r>
      <w:r>
        <w:rPr/>
        <w:t xml:space="preserve"> Infrastructure accounts, roles, credentials, telemetry, and operational authority remain under customer control. </w:t>
      </w:r>
    </w:p>
    <w:p>
      <w:pPr>
        <w:pStyle w:val="BodyText"/>
        <w:numPr>
          <w:ilvl w:val="0"/>
          <w:numId w:val="2"/>
        </w:numPr>
        <w:tabs>
          <w:tab w:val="clear" w:pos="1134"/>
          <w:tab w:val="left" w:pos="829" w:leader="none"/>
        </w:tabs>
        <w:bidi w:val="0"/>
        <w:spacing w:before="120" w:after="0"/>
        <w:ind w:hanging="283" w:start="829"/>
        <w:jc w:val="start"/>
        <w:rPr/>
      </w:pPr>
      <w:r>
        <w:rPr>
          <w:rStyle w:val="Strong"/>
        </w:rPr>
        <w:t>No hidden access.</w:t>
      </w:r>
      <w:r>
        <w:rPr/>
        <w:t xml:space="preserve"> MetricOps personnel receive no automatic access to customer telemetry or infrastructure. </w:t>
      </w:r>
    </w:p>
    <w:p>
      <w:pPr>
        <w:pStyle w:val="BodyText"/>
        <w:numPr>
          <w:ilvl w:val="0"/>
          <w:numId w:val="2"/>
        </w:numPr>
        <w:tabs>
          <w:tab w:val="clear" w:pos="1134"/>
          <w:tab w:val="left" w:pos="829" w:leader="none"/>
        </w:tabs>
        <w:bidi w:val="0"/>
        <w:spacing w:before="120" w:after="0"/>
        <w:ind w:hanging="283" w:start="829"/>
        <w:jc w:val="start"/>
        <w:rPr/>
      </w:pPr>
      <w:r>
        <w:rPr>
          <w:rStyle w:val="Strong"/>
        </w:rPr>
        <w:t>Evidence over claims.</w:t>
      </w:r>
      <w:r>
        <w:rPr/>
        <w:t xml:space="preserve"> Health, security, and compliance statements must show their source and last collection time. </w:t>
      </w:r>
    </w:p>
    <w:p>
      <w:pPr>
        <w:pStyle w:val="BodyText"/>
        <w:numPr>
          <w:ilvl w:val="0"/>
          <w:numId w:val="2"/>
        </w:numPr>
        <w:tabs>
          <w:tab w:val="clear" w:pos="1134"/>
          <w:tab w:val="left" w:pos="829" w:leader="none"/>
        </w:tabs>
        <w:bidi w:val="0"/>
        <w:spacing w:before="120" w:after="0"/>
        <w:ind w:hanging="283" w:start="829"/>
        <w:jc w:val="start"/>
        <w:rPr/>
      </w:pPr>
      <w:r>
        <w:rPr>
          <w:rStyle w:val="Strong"/>
        </w:rPr>
        <w:t>Use existing monitoring investments.</w:t>
      </w:r>
      <w:r>
        <w:rPr/>
        <w:t xml:space="preserve"> MetricOps integrates with established monitoring and visualization systems instead of recreating them. </w:t>
      </w:r>
    </w:p>
    <w:p>
      <w:pPr>
        <w:pStyle w:val="BodyText"/>
        <w:numPr>
          <w:ilvl w:val="0"/>
          <w:numId w:val="2"/>
        </w:numPr>
        <w:tabs>
          <w:tab w:val="clear" w:pos="1134"/>
          <w:tab w:val="left" w:pos="829" w:leader="none"/>
        </w:tabs>
        <w:bidi w:val="0"/>
        <w:spacing w:before="120" w:after="0"/>
        <w:ind w:hanging="283" w:start="829"/>
        <w:jc w:val="start"/>
        <w:rPr/>
      </w:pPr>
      <w:r>
        <w:rPr>
          <w:rStyle w:val="Strong"/>
        </w:rPr>
        <w:t>Safe operations.</w:t>
      </w:r>
      <w:r>
        <w:rPr/>
        <w:t xml:space="preserve"> Every supported change passes identity, permission, capability, policy, approval, execution, verification, and audit stages. </w:t>
      </w:r>
    </w:p>
    <w:p>
      <w:pPr>
        <w:pStyle w:val="BodyText"/>
        <w:numPr>
          <w:ilvl w:val="0"/>
          <w:numId w:val="2"/>
        </w:numPr>
        <w:tabs>
          <w:tab w:val="clear" w:pos="1134"/>
          <w:tab w:val="left" w:pos="829" w:leader="none"/>
        </w:tabs>
        <w:bidi w:val="0"/>
        <w:spacing w:before="120" w:after="0"/>
        <w:ind w:hanging="283" w:start="829"/>
        <w:jc w:val="start"/>
        <w:rPr/>
      </w:pPr>
      <w:r>
        <w:rPr>
          <w:rStyle w:val="Strong"/>
        </w:rPr>
        <w:t>Sovereign deployment.</w:t>
      </w:r>
      <w:r>
        <w:rPr/>
        <w:t xml:space="preserve"> The product must support installation in a customer data center, government cloud, or another approved environment. </w:t>
      </w:r>
    </w:p>
    <w:p>
      <w:pPr>
        <w:pStyle w:val="BodyText"/>
        <w:numPr>
          <w:ilvl w:val="0"/>
          <w:numId w:val="2"/>
        </w:numPr>
        <w:tabs>
          <w:tab w:val="clear" w:pos="1134"/>
          <w:tab w:val="left" w:pos="829" w:leader="none"/>
        </w:tabs>
        <w:bidi w:val="0"/>
        <w:ind w:hanging="283" w:start="829"/>
        <w:jc w:val="start"/>
        <w:rPr/>
      </w:pPr>
      <w:r>
        <w:rPr>
          <w:rStyle w:val="Strong"/>
        </w:rPr>
        <w:t>Focused extensibility.</w:t>
      </w:r>
      <w:r>
        <w:rPr/>
        <w:t xml:space="preserve"> The MVP proves a small number of integrations through reusable connector interfaces. </w:t>
      </w:r>
    </w:p>
    <w:p>
      <w:pPr>
        <w:pStyle w:val="Heading2"/>
        <w:bidi w:val="0"/>
        <w:jc w:val="start"/>
        <w:rPr/>
      </w:pPr>
      <w:r>
        <w:rPr/>
        <w:t>4. MVP scope</w:t>
      </w:r>
    </w:p>
    <w:p>
      <w:pPr>
        <w:pStyle w:val="Heading3"/>
        <w:bidi w:val="0"/>
        <w:jc w:val="start"/>
        <w:rPr/>
      </w:pPr>
      <w:r>
        <w:rPr/>
        <w:t>4.1 Platform administration</w:t>
      </w:r>
    </w:p>
    <w:p>
      <w:pPr>
        <w:pStyle w:val="BodyText"/>
        <w:numPr>
          <w:ilvl w:val="0"/>
          <w:numId w:val="3"/>
        </w:numPr>
        <w:tabs>
          <w:tab w:val="clear" w:pos="1134"/>
          <w:tab w:val="left" w:pos="829" w:leader="none"/>
        </w:tabs>
        <w:bidi w:val="0"/>
        <w:spacing w:before="120" w:after="0"/>
        <w:ind w:hanging="283" w:start="829"/>
        <w:jc w:val="start"/>
        <w:rPr/>
      </w:pPr>
      <w:r>
        <w:rPr/>
        <w:t xml:space="preserve">Platform administrator authentication and mandatory multi-factor authentication. </w:t>
      </w:r>
    </w:p>
    <w:p>
      <w:pPr>
        <w:pStyle w:val="BodyText"/>
        <w:numPr>
          <w:ilvl w:val="0"/>
          <w:numId w:val="3"/>
        </w:numPr>
        <w:tabs>
          <w:tab w:val="clear" w:pos="1134"/>
          <w:tab w:val="left" w:pos="829" w:leader="none"/>
        </w:tabs>
        <w:bidi w:val="0"/>
        <w:spacing w:before="120" w:after="0"/>
        <w:ind w:hanging="283" w:start="829"/>
        <w:jc w:val="start"/>
        <w:rPr/>
      </w:pPr>
      <w:r>
        <w:rPr/>
        <w:t xml:space="preserve">Client organization creation, activation, suspension, and archival. </w:t>
      </w:r>
    </w:p>
    <w:p>
      <w:pPr>
        <w:pStyle w:val="BodyText"/>
        <w:numPr>
          <w:ilvl w:val="0"/>
          <w:numId w:val="3"/>
        </w:numPr>
        <w:tabs>
          <w:tab w:val="clear" w:pos="1134"/>
          <w:tab w:val="left" w:pos="829" w:leader="none"/>
        </w:tabs>
        <w:bidi w:val="0"/>
        <w:spacing w:before="120" w:after="0"/>
        <w:ind w:hanging="283" w:start="829"/>
        <w:jc w:val="start"/>
        <w:rPr/>
      </w:pPr>
      <w:r>
        <w:rPr/>
        <w:t xml:space="preserve">Client contacts, contract dates, support plan, subscription, and entitlements. </w:t>
      </w:r>
    </w:p>
    <w:p>
      <w:pPr>
        <w:pStyle w:val="BodyText"/>
        <w:numPr>
          <w:ilvl w:val="0"/>
          <w:numId w:val="3"/>
        </w:numPr>
        <w:tabs>
          <w:tab w:val="clear" w:pos="1134"/>
          <w:tab w:val="left" w:pos="829" w:leader="none"/>
        </w:tabs>
        <w:bidi w:val="0"/>
        <w:spacing w:before="120" w:after="0"/>
        <w:ind w:hanging="283" w:start="829"/>
        <w:jc w:val="start"/>
        <w:rPr/>
      </w:pPr>
      <w:r>
        <w:rPr/>
        <w:t xml:space="preserve">Limits for users, monitored resources, data retention, and enabled features. </w:t>
      </w:r>
    </w:p>
    <w:p>
      <w:pPr>
        <w:pStyle w:val="BodyText"/>
        <w:numPr>
          <w:ilvl w:val="0"/>
          <w:numId w:val="3"/>
        </w:numPr>
        <w:tabs>
          <w:tab w:val="clear" w:pos="1134"/>
          <w:tab w:val="left" w:pos="829" w:leader="none"/>
        </w:tabs>
        <w:bidi w:val="0"/>
        <w:spacing w:before="120" w:after="0"/>
        <w:ind w:hanging="283" w:start="829"/>
        <w:jc w:val="start"/>
        <w:rPr/>
      </w:pPr>
      <w:r>
        <w:rPr/>
        <w:t xml:space="preserve">Deployment registration and version visibility. </w:t>
      </w:r>
    </w:p>
    <w:p>
      <w:pPr>
        <w:pStyle w:val="BodyText"/>
        <w:numPr>
          <w:ilvl w:val="0"/>
          <w:numId w:val="3"/>
        </w:numPr>
        <w:tabs>
          <w:tab w:val="clear" w:pos="1134"/>
          <w:tab w:val="left" w:pos="829" w:leader="none"/>
        </w:tabs>
        <w:bidi w:val="0"/>
        <w:spacing w:before="120" w:after="0"/>
        <w:ind w:hanging="283" w:start="829"/>
        <w:jc w:val="start"/>
        <w:rPr/>
      </w:pPr>
      <w:r>
        <w:rPr/>
        <w:t xml:space="preserve">Connector heartbeat, last synchronization, error state, and certificate-expiry visibility. </w:t>
      </w:r>
    </w:p>
    <w:p>
      <w:pPr>
        <w:pStyle w:val="BodyText"/>
        <w:numPr>
          <w:ilvl w:val="0"/>
          <w:numId w:val="3"/>
        </w:numPr>
        <w:tabs>
          <w:tab w:val="clear" w:pos="1134"/>
          <w:tab w:val="left" w:pos="829" w:leader="none"/>
        </w:tabs>
        <w:bidi w:val="0"/>
        <w:spacing w:before="120" w:after="0"/>
        <w:ind w:hanging="283" w:start="829"/>
        <w:jc w:val="start"/>
        <w:rPr/>
      </w:pPr>
      <w:r>
        <w:rPr/>
        <w:t xml:space="preserve">Customer onboarding checklist. </w:t>
      </w:r>
    </w:p>
    <w:p>
      <w:pPr>
        <w:pStyle w:val="BodyText"/>
        <w:numPr>
          <w:ilvl w:val="0"/>
          <w:numId w:val="3"/>
        </w:numPr>
        <w:tabs>
          <w:tab w:val="clear" w:pos="1134"/>
          <w:tab w:val="left" w:pos="829" w:leader="none"/>
        </w:tabs>
        <w:bidi w:val="0"/>
        <w:spacing w:before="120" w:after="0"/>
        <w:ind w:hanging="283" w:start="829"/>
        <w:jc w:val="start"/>
        <w:rPr/>
      </w:pPr>
      <w:r>
        <w:rPr/>
        <w:t xml:space="preserve">Support requests and customer-approved support-access grants. </w:t>
      </w:r>
    </w:p>
    <w:p>
      <w:pPr>
        <w:pStyle w:val="BodyText"/>
        <w:numPr>
          <w:ilvl w:val="0"/>
          <w:numId w:val="3"/>
        </w:numPr>
        <w:tabs>
          <w:tab w:val="clear" w:pos="1134"/>
          <w:tab w:val="left" w:pos="829" w:leader="none"/>
        </w:tabs>
        <w:bidi w:val="0"/>
        <w:spacing w:before="120" w:after="0"/>
        <w:ind w:hanging="283" w:start="829"/>
        <w:jc w:val="start"/>
        <w:rPr/>
      </w:pPr>
      <w:r>
        <w:rPr/>
        <w:t xml:space="preserve">Platform-wide administrative audit trail. </w:t>
      </w:r>
    </w:p>
    <w:p>
      <w:pPr>
        <w:pStyle w:val="BodyText"/>
        <w:numPr>
          <w:ilvl w:val="0"/>
          <w:numId w:val="3"/>
        </w:numPr>
        <w:tabs>
          <w:tab w:val="clear" w:pos="1134"/>
          <w:tab w:val="left" w:pos="829" w:leader="none"/>
        </w:tabs>
        <w:bidi w:val="0"/>
        <w:ind w:hanging="283" w:start="829"/>
        <w:jc w:val="start"/>
        <w:rPr/>
      </w:pPr>
      <w:r>
        <w:rPr/>
        <w:t xml:space="preserve">Separation of Platform Owner, Operations Administrator, Support Engineer, Billing Administrator, and Security Auditor permissions. </w:t>
      </w:r>
    </w:p>
    <w:p>
      <w:pPr>
        <w:pStyle w:val="Heading3"/>
        <w:bidi w:val="0"/>
        <w:jc w:val="start"/>
        <w:rPr/>
      </w:pPr>
      <w:r>
        <w:rPr/>
        <w:t>4.2 Customer administration</w:t>
      </w:r>
    </w:p>
    <w:p>
      <w:pPr>
        <w:pStyle w:val="BodyText"/>
        <w:numPr>
          <w:ilvl w:val="0"/>
          <w:numId w:val="4"/>
        </w:numPr>
        <w:tabs>
          <w:tab w:val="clear" w:pos="1134"/>
          <w:tab w:val="left" w:pos="829" w:leader="none"/>
        </w:tabs>
        <w:bidi w:val="0"/>
        <w:spacing w:before="120" w:after="0"/>
        <w:ind w:hanging="283" w:start="829"/>
        <w:jc w:val="start"/>
        <w:rPr/>
      </w:pPr>
      <w:r>
        <w:rPr/>
        <w:t xml:space="preserve">Customer owner and customer administrator roles. </w:t>
      </w:r>
    </w:p>
    <w:p>
      <w:pPr>
        <w:pStyle w:val="BodyText"/>
        <w:numPr>
          <w:ilvl w:val="0"/>
          <w:numId w:val="4"/>
        </w:numPr>
        <w:tabs>
          <w:tab w:val="clear" w:pos="1134"/>
          <w:tab w:val="left" w:pos="829" w:leader="none"/>
        </w:tabs>
        <w:bidi w:val="0"/>
        <w:spacing w:before="120" w:after="0"/>
        <w:ind w:hanging="283" w:start="829"/>
        <w:jc w:val="start"/>
        <w:rPr/>
      </w:pPr>
      <w:r>
        <w:rPr/>
        <w:t xml:space="preserve">Workspaces and environments such as Production, Staging, Testing, and Development. </w:t>
      </w:r>
    </w:p>
    <w:p>
      <w:pPr>
        <w:pStyle w:val="BodyText"/>
        <w:numPr>
          <w:ilvl w:val="0"/>
          <w:numId w:val="4"/>
        </w:numPr>
        <w:tabs>
          <w:tab w:val="clear" w:pos="1134"/>
          <w:tab w:val="left" w:pos="829" w:leader="none"/>
        </w:tabs>
        <w:bidi w:val="0"/>
        <w:spacing w:before="120" w:after="0"/>
        <w:ind w:hanging="283" w:start="829"/>
        <w:jc w:val="start"/>
        <w:rPr/>
      </w:pPr>
      <w:r>
        <w:rPr/>
        <w:t xml:space="preserve">Users, teams, roles, invitations, session revocation, and access review. </w:t>
      </w:r>
    </w:p>
    <w:p>
      <w:pPr>
        <w:pStyle w:val="BodyText"/>
        <w:numPr>
          <w:ilvl w:val="0"/>
          <w:numId w:val="4"/>
        </w:numPr>
        <w:tabs>
          <w:tab w:val="clear" w:pos="1134"/>
          <w:tab w:val="left" w:pos="829" w:leader="none"/>
        </w:tabs>
        <w:bidi w:val="0"/>
        <w:spacing w:before="120" w:after="0"/>
        <w:ind w:hanging="283" w:start="829"/>
        <w:jc w:val="start"/>
        <w:rPr/>
      </w:pPr>
      <w:r>
        <w:rPr/>
        <w:t xml:space="preserve">Integration setup, validation, disablement, and credential rotation. </w:t>
      </w:r>
    </w:p>
    <w:p>
      <w:pPr>
        <w:pStyle w:val="BodyText"/>
        <w:numPr>
          <w:ilvl w:val="0"/>
          <w:numId w:val="4"/>
        </w:numPr>
        <w:tabs>
          <w:tab w:val="clear" w:pos="1134"/>
          <w:tab w:val="left" w:pos="829" w:leader="none"/>
        </w:tabs>
        <w:bidi w:val="0"/>
        <w:spacing w:before="120" w:after="0"/>
        <w:ind w:hanging="283" w:start="829"/>
        <w:jc w:val="start"/>
        <w:rPr/>
      </w:pPr>
      <w:r>
        <w:rPr/>
        <w:t xml:space="preserve">Resource ownership, tags, criticality, and business-service grouping. </w:t>
      </w:r>
    </w:p>
    <w:p>
      <w:pPr>
        <w:pStyle w:val="BodyText"/>
        <w:numPr>
          <w:ilvl w:val="0"/>
          <w:numId w:val="4"/>
        </w:numPr>
        <w:tabs>
          <w:tab w:val="clear" w:pos="1134"/>
          <w:tab w:val="left" w:pos="829" w:leader="none"/>
        </w:tabs>
        <w:bidi w:val="0"/>
        <w:spacing w:before="120" w:after="0"/>
        <w:ind w:hanging="283" w:start="829"/>
        <w:jc w:val="start"/>
        <w:rPr/>
      </w:pPr>
      <w:r>
        <w:rPr/>
        <w:t xml:space="preserve">Alert policies, maintenance windows, notification preferences, and report schedules. </w:t>
      </w:r>
    </w:p>
    <w:p>
      <w:pPr>
        <w:pStyle w:val="BodyText"/>
        <w:numPr>
          <w:ilvl w:val="0"/>
          <w:numId w:val="4"/>
        </w:numPr>
        <w:tabs>
          <w:tab w:val="clear" w:pos="1134"/>
          <w:tab w:val="left" w:pos="829" w:leader="none"/>
        </w:tabs>
        <w:bidi w:val="0"/>
        <w:ind w:hanging="283" w:start="829"/>
        <w:jc w:val="start"/>
        <w:rPr/>
      </w:pPr>
      <w:r>
        <w:rPr/>
        <w:t xml:space="preserve">Customer audit history and support-access approval. </w:t>
      </w:r>
    </w:p>
    <w:p>
      <w:pPr>
        <w:pStyle w:val="Heading3"/>
        <w:bidi w:val="0"/>
        <w:jc w:val="start"/>
        <w:rPr/>
      </w:pPr>
      <w:r>
        <w:rPr/>
        <w:t>4.3 Monitoring and visualization</w:t>
      </w:r>
    </w:p>
    <w:p>
      <w:pPr>
        <w:pStyle w:val="BodyText"/>
        <w:numPr>
          <w:ilvl w:val="0"/>
          <w:numId w:val="5"/>
        </w:numPr>
        <w:tabs>
          <w:tab w:val="clear" w:pos="1134"/>
          <w:tab w:val="left" w:pos="829" w:leader="none"/>
        </w:tabs>
        <w:bidi w:val="0"/>
        <w:spacing w:before="120" w:after="0"/>
        <w:ind w:hanging="283" w:start="829"/>
        <w:jc w:val="start"/>
        <w:rPr/>
      </w:pPr>
      <w:r>
        <w:rPr/>
        <w:t xml:space="preserve">Connection to one or more existing metrics systems. </w:t>
      </w:r>
    </w:p>
    <w:p>
      <w:pPr>
        <w:pStyle w:val="BodyText"/>
        <w:numPr>
          <w:ilvl w:val="0"/>
          <w:numId w:val="5"/>
        </w:numPr>
        <w:tabs>
          <w:tab w:val="clear" w:pos="1134"/>
          <w:tab w:val="left" w:pos="829" w:leader="none"/>
        </w:tabs>
        <w:bidi w:val="0"/>
        <w:spacing w:before="120" w:after="0"/>
        <w:ind w:hanging="283" w:start="829"/>
        <w:jc w:val="start"/>
        <w:rPr/>
      </w:pPr>
      <w:r>
        <w:rPr/>
        <w:t xml:space="preserve">Optional packaged monitoring deployment for customers without an existing system. </w:t>
      </w:r>
    </w:p>
    <w:p>
      <w:pPr>
        <w:pStyle w:val="BodyText"/>
        <w:numPr>
          <w:ilvl w:val="0"/>
          <w:numId w:val="5"/>
        </w:numPr>
        <w:tabs>
          <w:tab w:val="clear" w:pos="1134"/>
          <w:tab w:val="left" w:pos="829" w:leader="none"/>
        </w:tabs>
        <w:bidi w:val="0"/>
        <w:spacing w:before="120" w:after="0"/>
        <w:ind w:hanging="283" w:start="829"/>
        <w:jc w:val="start"/>
        <w:rPr/>
      </w:pPr>
      <w:r>
        <w:rPr/>
        <w:t xml:space="preserve">Linux host discovery and standard CPU, memory, filesystem, network, load, and uptime metrics. </w:t>
      </w:r>
    </w:p>
    <w:p>
      <w:pPr>
        <w:pStyle w:val="BodyText"/>
        <w:numPr>
          <w:ilvl w:val="0"/>
          <w:numId w:val="5"/>
        </w:numPr>
        <w:tabs>
          <w:tab w:val="clear" w:pos="1134"/>
          <w:tab w:val="left" w:pos="829" w:leader="none"/>
        </w:tabs>
        <w:bidi w:val="0"/>
        <w:spacing w:before="120" w:after="0"/>
        <w:ind w:hanging="283" w:start="829"/>
        <w:jc w:val="start"/>
        <w:rPr/>
      </w:pPr>
      <w:r>
        <w:rPr/>
        <w:t xml:space="preserve">HTTP, HTTPS, DNS, TCP, and certificate-expiry checks. </w:t>
      </w:r>
    </w:p>
    <w:p>
      <w:pPr>
        <w:pStyle w:val="BodyText"/>
        <w:numPr>
          <w:ilvl w:val="0"/>
          <w:numId w:val="5"/>
        </w:numPr>
        <w:tabs>
          <w:tab w:val="clear" w:pos="1134"/>
          <w:tab w:val="left" w:pos="829" w:leader="none"/>
        </w:tabs>
        <w:bidi w:val="0"/>
        <w:spacing w:before="120" w:after="0"/>
        <w:ind w:hanging="283" w:start="829"/>
        <w:jc w:val="start"/>
        <w:rPr/>
      </w:pPr>
      <w:r>
        <w:rPr/>
        <w:t xml:space="preserve">Application availability, response time, request rate, error rate, and latency where instrumentation exists. </w:t>
      </w:r>
    </w:p>
    <w:p>
      <w:pPr>
        <w:pStyle w:val="BodyText"/>
        <w:numPr>
          <w:ilvl w:val="0"/>
          <w:numId w:val="5"/>
        </w:numPr>
        <w:tabs>
          <w:tab w:val="clear" w:pos="1134"/>
          <w:tab w:val="left" w:pos="829" w:leader="none"/>
        </w:tabs>
        <w:bidi w:val="0"/>
        <w:spacing w:before="120" w:after="0"/>
        <w:ind w:hanging="283" w:start="829"/>
        <w:jc w:val="start"/>
        <w:rPr/>
      </w:pPr>
      <w:r>
        <w:rPr/>
        <w:t xml:space="preserve">Initial support for either PostgreSQL or MySQL, selected with the pilot customer. </w:t>
      </w:r>
    </w:p>
    <w:p>
      <w:pPr>
        <w:pStyle w:val="BodyText"/>
        <w:numPr>
          <w:ilvl w:val="0"/>
          <w:numId w:val="5"/>
        </w:numPr>
        <w:tabs>
          <w:tab w:val="clear" w:pos="1134"/>
          <w:tab w:val="left" w:pos="829" w:leader="none"/>
        </w:tabs>
        <w:bidi w:val="0"/>
        <w:spacing w:before="120" w:after="0"/>
        <w:ind w:hanging="283" w:start="829"/>
        <w:jc w:val="start"/>
        <w:rPr/>
      </w:pPr>
      <w:r>
        <w:rPr/>
        <w:t xml:space="preserve">Fixed executive, infrastructure, application, database, alert, and audit dashboards. </w:t>
      </w:r>
    </w:p>
    <w:p>
      <w:pPr>
        <w:pStyle w:val="BodyText"/>
        <w:numPr>
          <w:ilvl w:val="0"/>
          <w:numId w:val="5"/>
        </w:numPr>
        <w:tabs>
          <w:tab w:val="clear" w:pos="1134"/>
          <w:tab w:val="left" w:pos="829" w:leader="none"/>
        </w:tabs>
        <w:bidi w:val="0"/>
        <w:spacing w:before="120" w:after="0"/>
        <w:ind w:hanging="283" w:start="829"/>
        <w:jc w:val="start"/>
        <w:rPr/>
      </w:pPr>
      <w:r>
        <w:rPr/>
        <w:t xml:space="preserve">Advanced drill-down into the connected visualization system. </w:t>
      </w:r>
    </w:p>
    <w:p>
      <w:pPr>
        <w:pStyle w:val="BodyText"/>
        <w:numPr>
          <w:ilvl w:val="0"/>
          <w:numId w:val="5"/>
        </w:numPr>
        <w:tabs>
          <w:tab w:val="clear" w:pos="1134"/>
          <w:tab w:val="left" w:pos="829" w:leader="none"/>
        </w:tabs>
        <w:bidi w:val="0"/>
        <w:spacing w:before="120" w:after="0"/>
        <w:ind w:hanging="283" w:start="829"/>
        <w:jc w:val="start"/>
        <w:rPr/>
      </w:pPr>
      <w:r>
        <w:rPr/>
        <w:t xml:space="preserve">Time-range selection and controlled query execution. </w:t>
      </w:r>
    </w:p>
    <w:p>
      <w:pPr>
        <w:pStyle w:val="BodyText"/>
        <w:numPr>
          <w:ilvl w:val="0"/>
          <w:numId w:val="5"/>
        </w:numPr>
        <w:tabs>
          <w:tab w:val="clear" w:pos="1134"/>
          <w:tab w:val="left" w:pos="829" w:leader="none"/>
        </w:tabs>
        <w:bidi w:val="0"/>
        <w:ind w:hanging="283" w:start="829"/>
        <w:jc w:val="start"/>
        <w:rPr/>
      </w:pPr>
      <w:r>
        <w:rPr/>
        <w:t xml:space="preserve">Data-source and connector freshness indicators. </w:t>
      </w:r>
    </w:p>
    <w:p>
      <w:pPr>
        <w:pStyle w:val="Heading3"/>
        <w:bidi w:val="0"/>
        <w:jc w:val="start"/>
        <w:rPr/>
      </w:pPr>
      <w:r>
        <w:rPr/>
        <w:t>4.4 Alerts, incidents, and reports</w:t>
      </w:r>
    </w:p>
    <w:p>
      <w:pPr>
        <w:pStyle w:val="BodyText"/>
        <w:numPr>
          <w:ilvl w:val="0"/>
          <w:numId w:val="6"/>
        </w:numPr>
        <w:tabs>
          <w:tab w:val="clear" w:pos="1134"/>
          <w:tab w:val="left" w:pos="829" w:leader="none"/>
        </w:tabs>
        <w:bidi w:val="0"/>
        <w:spacing w:before="120" w:after="0"/>
        <w:ind w:hanging="283" w:start="829"/>
        <w:jc w:val="start"/>
        <w:rPr/>
      </w:pPr>
      <w:r>
        <w:rPr/>
        <w:t xml:space="preserve">Import and normalization of monitoring alerts. </w:t>
      </w:r>
    </w:p>
    <w:p>
      <w:pPr>
        <w:pStyle w:val="BodyText"/>
        <w:numPr>
          <w:ilvl w:val="0"/>
          <w:numId w:val="6"/>
        </w:numPr>
        <w:tabs>
          <w:tab w:val="clear" w:pos="1134"/>
          <w:tab w:val="left" w:pos="829" w:leader="none"/>
        </w:tabs>
        <w:bidi w:val="0"/>
        <w:spacing w:before="120" w:after="0"/>
        <w:ind w:hanging="283" w:start="829"/>
        <w:jc w:val="start"/>
        <w:rPr/>
      </w:pPr>
      <w:r>
        <w:rPr/>
        <w:t xml:space="preserve">Severity, affected resource, state, owner, and source. </w:t>
      </w:r>
    </w:p>
    <w:p>
      <w:pPr>
        <w:pStyle w:val="BodyText"/>
        <w:numPr>
          <w:ilvl w:val="0"/>
          <w:numId w:val="6"/>
        </w:numPr>
        <w:tabs>
          <w:tab w:val="clear" w:pos="1134"/>
          <w:tab w:val="left" w:pos="829" w:leader="none"/>
        </w:tabs>
        <w:bidi w:val="0"/>
        <w:spacing w:before="120" w:after="0"/>
        <w:ind w:hanging="283" w:start="829"/>
        <w:jc w:val="start"/>
        <w:rPr/>
      </w:pPr>
      <w:r>
        <w:rPr/>
        <w:t xml:space="preserve">Acknowledge, assign, comment, silence, resolve, and reopen workflows. </w:t>
      </w:r>
    </w:p>
    <w:p>
      <w:pPr>
        <w:pStyle w:val="BodyText"/>
        <w:numPr>
          <w:ilvl w:val="0"/>
          <w:numId w:val="6"/>
        </w:numPr>
        <w:tabs>
          <w:tab w:val="clear" w:pos="1134"/>
          <w:tab w:val="left" w:pos="829" w:leader="none"/>
        </w:tabs>
        <w:bidi w:val="0"/>
        <w:spacing w:before="120" w:after="0"/>
        <w:ind w:hanging="283" w:start="829"/>
        <w:jc w:val="start"/>
        <w:rPr/>
      </w:pPr>
      <w:r>
        <w:rPr/>
        <w:t xml:space="preserve">Maintenance windows that suppress expected notifications without deleting evidence. </w:t>
      </w:r>
    </w:p>
    <w:p>
      <w:pPr>
        <w:pStyle w:val="BodyText"/>
        <w:numPr>
          <w:ilvl w:val="0"/>
          <w:numId w:val="6"/>
        </w:numPr>
        <w:tabs>
          <w:tab w:val="clear" w:pos="1134"/>
          <w:tab w:val="left" w:pos="829" w:leader="none"/>
        </w:tabs>
        <w:bidi w:val="0"/>
        <w:spacing w:before="120" w:after="0"/>
        <w:ind w:hanging="283" w:start="829"/>
        <w:jc w:val="start"/>
        <w:rPr/>
      </w:pPr>
      <w:r>
        <w:rPr/>
        <w:t xml:space="preserve">Incident creation from critical alerts. </w:t>
      </w:r>
    </w:p>
    <w:p>
      <w:pPr>
        <w:pStyle w:val="BodyText"/>
        <w:numPr>
          <w:ilvl w:val="0"/>
          <w:numId w:val="6"/>
        </w:numPr>
        <w:tabs>
          <w:tab w:val="clear" w:pos="1134"/>
          <w:tab w:val="left" w:pos="829" w:leader="none"/>
        </w:tabs>
        <w:bidi w:val="0"/>
        <w:spacing w:before="120" w:after="0"/>
        <w:ind w:hanging="283" w:start="829"/>
        <w:jc w:val="start"/>
        <w:rPr/>
      </w:pPr>
      <w:r>
        <w:rPr/>
        <w:t xml:space="preserve">Incident timeline containing alerts, notes, operational activity, and resolution. </w:t>
      </w:r>
    </w:p>
    <w:p>
      <w:pPr>
        <w:pStyle w:val="BodyText"/>
        <w:numPr>
          <w:ilvl w:val="0"/>
          <w:numId w:val="6"/>
        </w:numPr>
        <w:tabs>
          <w:tab w:val="clear" w:pos="1134"/>
          <w:tab w:val="left" w:pos="829" w:leader="none"/>
        </w:tabs>
        <w:bidi w:val="0"/>
        <w:spacing w:before="120" w:after="0"/>
        <w:ind w:hanging="283" w:start="829"/>
        <w:jc w:val="start"/>
        <w:rPr/>
      </w:pPr>
      <w:r>
        <w:rPr/>
        <w:t xml:space="preserve">On-demand and scheduled uptime, availability, capacity, incident, and audit reports. </w:t>
      </w:r>
    </w:p>
    <w:p>
      <w:pPr>
        <w:pStyle w:val="BodyText"/>
        <w:numPr>
          <w:ilvl w:val="0"/>
          <w:numId w:val="6"/>
        </w:numPr>
        <w:tabs>
          <w:tab w:val="clear" w:pos="1134"/>
          <w:tab w:val="left" w:pos="829" w:leader="none"/>
        </w:tabs>
        <w:bidi w:val="0"/>
        <w:ind w:hanging="283" w:start="829"/>
        <w:jc w:val="start"/>
        <w:rPr/>
      </w:pPr>
      <w:r>
        <w:rPr/>
        <w:t xml:space="preserve">PDF and CSV export. </w:t>
      </w:r>
    </w:p>
    <w:p>
      <w:pPr>
        <w:pStyle w:val="Heading3"/>
        <w:bidi w:val="0"/>
        <w:jc w:val="start"/>
        <w:rPr/>
      </w:pPr>
      <w:r>
        <w:rPr/>
        <w:t>4.5 Initial cloud integration</w:t>
      </w:r>
    </w:p>
    <w:p>
      <w:pPr>
        <w:pStyle w:val="BodyText"/>
        <w:numPr>
          <w:ilvl w:val="0"/>
          <w:numId w:val="7"/>
        </w:numPr>
        <w:tabs>
          <w:tab w:val="clear" w:pos="1134"/>
          <w:tab w:val="left" w:pos="829" w:leader="none"/>
        </w:tabs>
        <w:bidi w:val="0"/>
        <w:spacing w:before="120" w:after="0"/>
        <w:ind w:hanging="283" w:start="829"/>
        <w:jc w:val="start"/>
        <w:rPr/>
      </w:pPr>
      <w:r>
        <w:rPr/>
        <w:t xml:space="preserve">Secure, customer-controlled connection to an AWS account. </w:t>
      </w:r>
    </w:p>
    <w:p>
      <w:pPr>
        <w:pStyle w:val="BodyText"/>
        <w:numPr>
          <w:ilvl w:val="0"/>
          <w:numId w:val="7"/>
        </w:numPr>
        <w:tabs>
          <w:tab w:val="clear" w:pos="1134"/>
          <w:tab w:val="left" w:pos="829" w:leader="none"/>
        </w:tabs>
        <w:bidi w:val="0"/>
        <w:spacing w:before="120" w:after="0"/>
        <w:ind w:hanging="283" w:start="829"/>
        <w:jc w:val="start"/>
        <w:rPr/>
      </w:pPr>
      <w:r>
        <w:rPr/>
        <w:t xml:space="preserve">Discovery of EC2 instances, attached EBS volumes, RDS databases, selected load balancers, and existing CloudWatch alarms. </w:t>
      </w:r>
    </w:p>
    <w:p>
      <w:pPr>
        <w:pStyle w:val="BodyText"/>
        <w:numPr>
          <w:ilvl w:val="0"/>
          <w:numId w:val="7"/>
        </w:numPr>
        <w:tabs>
          <w:tab w:val="clear" w:pos="1134"/>
          <w:tab w:val="left" w:pos="829" w:leader="none"/>
        </w:tabs>
        <w:bidi w:val="0"/>
        <w:spacing w:before="120" w:after="0"/>
        <w:ind w:hanging="283" w:start="829"/>
        <w:jc w:val="start"/>
        <w:rPr/>
      </w:pPr>
      <w:r>
        <w:rPr/>
        <w:t xml:space="preserve">Cloud service metrics for supported resources. </w:t>
      </w:r>
    </w:p>
    <w:p>
      <w:pPr>
        <w:pStyle w:val="BodyText"/>
        <w:numPr>
          <w:ilvl w:val="0"/>
          <w:numId w:val="7"/>
        </w:numPr>
        <w:tabs>
          <w:tab w:val="clear" w:pos="1134"/>
          <w:tab w:val="left" w:pos="829" w:leader="none"/>
        </w:tabs>
        <w:bidi w:val="0"/>
        <w:spacing w:before="120" w:after="0"/>
        <w:ind w:hanging="283" w:start="829"/>
        <w:jc w:val="start"/>
        <w:rPr/>
      </w:pPr>
      <w:r>
        <w:rPr/>
        <w:t xml:space="preserve">Correlation of EC2 resource metadata with operating-system metrics where available. </w:t>
      </w:r>
    </w:p>
    <w:p>
      <w:pPr>
        <w:pStyle w:val="BodyText"/>
        <w:numPr>
          <w:ilvl w:val="0"/>
          <w:numId w:val="7"/>
        </w:numPr>
        <w:tabs>
          <w:tab w:val="clear" w:pos="1134"/>
          <w:tab w:val="left" w:pos="829" w:leader="none"/>
        </w:tabs>
        <w:bidi w:val="0"/>
        <w:spacing w:before="120" w:after="0"/>
        <w:ind w:hanging="283" w:start="829"/>
        <w:jc w:val="start"/>
        <w:rPr/>
      </w:pPr>
      <w:r>
        <w:rPr/>
        <w:t xml:space="preserve">Read-only security, availability, backup, monitoring, and governance findings. </w:t>
      </w:r>
    </w:p>
    <w:p>
      <w:pPr>
        <w:pStyle w:val="BodyText"/>
        <w:numPr>
          <w:ilvl w:val="0"/>
          <w:numId w:val="7"/>
        </w:numPr>
        <w:tabs>
          <w:tab w:val="clear" w:pos="1134"/>
          <w:tab w:val="left" w:pos="829" w:leader="none"/>
        </w:tabs>
        <w:bidi w:val="0"/>
        <w:spacing w:before="120" w:after="0"/>
        <w:ind w:hanging="283" w:start="829"/>
        <w:jc w:val="start"/>
        <w:rPr/>
      </w:pPr>
      <w:r>
        <w:rPr/>
        <w:t xml:space="preserve">Separate monitoring and operations permissions. </w:t>
      </w:r>
    </w:p>
    <w:p>
      <w:pPr>
        <w:pStyle w:val="BodyText"/>
        <w:numPr>
          <w:ilvl w:val="0"/>
          <w:numId w:val="7"/>
        </w:numPr>
        <w:tabs>
          <w:tab w:val="clear" w:pos="1134"/>
          <w:tab w:val="left" w:pos="829" w:leader="none"/>
        </w:tabs>
        <w:bidi w:val="0"/>
        <w:ind w:hanging="283" w:start="829"/>
        <w:jc w:val="start"/>
        <w:rPr/>
      </w:pPr>
      <w:r>
        <w:rPr/>
        <w:t xml:space="preserve">Optional start, stop, and reboot for explicitly managed non-production EC2 instances after the read-only pilot is accepted. </w:t>
      </w:r>
    </w:p>
    <w:p>
      <w:pPr>
        <w:pStyle w:val="Heading3"/>
        <w:bidi w:val="0"/>
        <w:jc w:val="start"/>
        <w:rPr/>
      </w:pPr>
      <w:r>
        <w:rPr/>
        <w:t>4.6 Trust and support access</w:t>
      </w:r>
    </w:p>
    <w:p>
      <w:pPr>
        <w:pStyle w:val="BodyText"/>
        <w:numPr>
          <w:ilvl w:val="0"/>
          <w:numId w:val="8"/>
        </w:numPr>
        <w:tabs>
          <w:tab w:val="clear" w:pos="1134"/>
          <w:tab w:val="left" w:pos="829" w:leader="none"/>
        </w:tabs>
        <w:bidi w:val="0"/>
        <w:spacing w:before="120" w:after="0"/>
        <w:ind w:hanging="283" w:start="829"/>
        <w:jc w:val="start"/>
        <w:rPr/>
      </w:pPr>
      <w:r>
        <w:rPr/>
        <w:t xml:space="preserve">Platform personnel see customer identity, subscription, deployment, and connector-health metadata by default. </w:t>
      </w:r>
    </w:p>
    <w:p>
      <w:pPr>
        <w:pStyle w:val="BodyText"/>
        <w:numPr>
          <w:ilvl w:val="0"/>
          <w:numId w:val="8"/>
        </w:numPr>
        <w:tabs>
          <w:tab w:val="clear" w:pos="1134"/>
          <w:tab w:val="left" w:pos="829" w:leader="none"/>
        </w:tabs>
        <w:bidi w:val="0"/>
        <w:spacing w:before="120" w:after="0"/>
        <w:ind w:hanging="283" w:start="829"/>
        <w:jc w:val="start"/>
        <w:rPr/>
      </w:pPr>
      <w:r>
        <w:rPr/>
        <w:t xml:space="preserve">Customer telemetry, dashboards, settings, and infrastructure remain inaccessible by default. </w:t>
      </w:r>
    </w:p>
    <w:p>
      <w:pPr>
        <w:pStyle w:val="BodyText"/>
        <w:numPr>
          <w:ilvl w:val="0"/>
          <w:numId w:val="8"/>
        </w:numPr>
        <w:tabs>
          <w:tab w:val="clear" w:pos="1134"/>
          <w:tab w:val="left" w:pos="829" w:leader="none"/>
        </w:tabs>
        <w:bidi w:val="0"/>
        <w:spacing w:before="120" w:after="0"/>
        <w:ind w:hanging="283" w:start="829"/>
        <w:jc w:val="start"/>
        <w:rPr/>
      </w:pPr>
      <w:r>
        <w:rPr/>
        <w:t xml:space="preserve">A customer may create a time-limited support grant specifying scope, reason, support ticket, and expiry. </w:t>
      </w:r>
    </w:p>
    <w:p>
      <w:pPr>
        <w:pStyle w:val="BodyText"/>
        <w:numPr>
          <w:ilvl w:val="0"/>
          <w:numId w:val="8"/>
        </w:numPr>
        <w:tabs>
          <w:tab w:val="clear" w:pos="1134"/>
          <w:tab w:val="left" w:pos="829" w:leader="none"/>
        </w:tabs>
        <w:bidi w:val="0"/>
        <w:spacing w:before="120" w:after="0"/>
        <w:ind w:hanging="283" w:start="829"/>
        <w:jc w:val="start"/>
        <w:rPr/>
      </w:pPr>
      <w:r>
        <w:rPr/>
        <w:t xml:space="preserve">Active support sessions show a visible banner to both parties. </w:t>
      </w:r>
    </w:p>
    <w:p>
      <w:pPr>
        <w:pStyle w:val="BodyText"/>
        <w:numPr>
          <w:ilvl w:val="0"/>
          <w:numId w:val="8"/>
        </w:numPr>
        <w:tabs>
          <w:tab w:val="clear" w:pos="1134"/>
          <w:tab w:val="left" w:pos="829" w:leader="none"/>
        </w:tabs>
        <w:bidi w:val="0"/>
        <w:spacing w:before="120" w:after="0"/>
        <w:ind w:hanging="283" w:start="829"/>
        <w:jc w:val="start"/>
        <w:rPr/>
      </w:pPr>
      <w:r>
        <w:rPr/>
        <w:t xml:space="preserve">Every support view and action is recorded. </w:t>
      </w:r>
    </w:p>
    <w:p>
      <w:pPr>
        <w:pStyle w:val="BodyText"/>
        <w:numPr>
          <w:ilvl w:val="0"/>
          <w:numId w:val="8"/>
        </w:numPr>
        <w:tabs>
          <w:tab w:val="clear" w:pos="1134"/>
          <w:tab w:val="left" w:pos="829" w:leader="none"/>
        </w:tabs>
        <w:bidi w:val="0"/>
        <w:spacing w:before="120" w:after="0"/>
        <w:ind w:hanging="283" w:start="829"/>
        <w:jc w:val="start"/>
        <w:rPr/>
      </w:pPr>
      <w:r>
        <w:rPr/>
        <w:t xml:space="preserve">The customer can revoke a support session immediately. </w:t>
      </w:r>
    </w:p>
    <w:p>
      <w:pPr>
        <w:pStyle w:val="BodyText"/>
        <w:numPr>
          <w:ilvl w:val="0"/>
          <w:numId w:val="8"/>
        </w:numPr>
        <w:tabs>
          <w:tab w:val="clear" w:pos="1134"/>
          <w:tab w:val="left" w:pos="829" w:leader="none"/>
        </w:tabs>
        <w:bidi w:val="0"/>
        <w:ind w:hanging="283" w:start="829"/>
        <w:jc w:val="start"/>
        <w:rPr/>
      </w:pPr>
      <w:r>
        <w:rPr/>
        <w:t xml:space="preserve">Air-gapped deployments can generate customer-approved, secret-redacted diagnostic bundles instead of remote access. </w:t>
      </w:r>
    </w:p>
    <w:p>
      <w:pPr>
        <w:pStyle w:val="Heading2"/>
        <w:bidi w:val="0"/>
        <w:jc w:val="start"/>
        <w:rPr/>
      </w:pPr>
      <w:r>
        <w:rPr/>
        <w:t>5. Explicitly deferred scope</w:t>
      </w:r>
    </w:p>
    <w:p>
      <w:pPr>
        <w:pStyle w:val="BodyText"/>
        <w:bidi w:val="0"/>
        <w:jc w:val="start"/>
        <w:rPr/>
      </w:pPr>
      <w:r>
        <w:rPr/>
        <w:t>The following capabilities are not required for first MVP acceptance:</w:t>
      </w:r>
    </w:p>
    <w:p>
      <w:pPr>
        <w:pStyle w:val="BodyText"/>
        <w:numPr>
          <w:ilvl w:val="0"/>
          <w:numId w:val="9"/>
        </w:numPr>
        <w:tabs>
          <w:tab w:val="clear" w:pos="1134"/>
          <w:tab w:val="left" w:pos="829" w:leader="none"/>
        </w:tabs>
        <w:bidi w:val="0"/>
        <w:spacing w:before="120" w:after="0"/>
        <w:ind w:hanging="283" w:start="829"/>
        <w:jc w:val="start"/>
        <w:rPr/>
      </w:pPr>
      <w:r>
        <w:rPr/>
        <w:t xml:space="preserve">Broad multi-cloud support. </w:t>
      </w:r>
    </w:p>
    <w:p>
      <w:pPr>
        <w:pStyle w:val="BodyText"/>
        <w:numPr>
          <w:ilvl w:val="0"/>
          <w:numId w:val="9"/>
        </w:numPr>
        <w:tabs>
          <w:tab w:val="clear" w:pos="1134"/>
          <w:tab w:val="left" w:pos="829" w:leader="none"/>
        </w:tabs>
        <w:bidi w:val="0"/>
        <w:spacing w:before="120" w:after="0"/>
        <w:ind w:hanging="283" w:start="829"/>
        <w:jc w:val="start"/>
        <w:rPr/>
      </w:pPr>
      <w:r>
        <w:rPr/>
        <w:t xml:space="preserve">Container-orchestration management. </w:t>
      </w:r>
    </w:p>
    <w:p>
      <w:pPr>
        <w:pStyle w:val="BodyText"/>
        <w:numPr>
          <w:ilvl w:val="0"/>
          <w:numId w:val="9"/>
        </w:numPr>
        <w:tabs>
          <w:tab w:val="clear" w:pos="1134"/>
          <w:tab w:val="left" w:pos="829" w:leader="none"/>
        </w:tabs>
        <w:bidi w:val="0"/>
        <w:spacing w:before="120" w:after="0"/>
        <w:ind w:hanging="283" w:start="829"/>
        <w:jc w:val="start"/>
        <w:rPr/>
      </w:pPr>
      <w:r>
        <w:rPr/>
        <w:t xml:space="preserve">Full log analytics, distributed tracing, or security-information and event management. </w:t>
      </w:r>
    </w:p>
    <w:p>
      <w:pPr>
        <w:pStyle w:val="BodyText"/>
        <w:numPr>
          <w:ilvl w:val="0"/>
          <w:numId w:val="9"/>
        </w:numPr>
        <w:tabs>
          <w:tab w:val="clear" w:pos="1134"/>
          <w:tab w:val="left" w:pos="829" w:leader="none"/>
        </w:tabs>
        <w:bidi w:val="0"/>
        <w:spacing w:before="120" w:after="0"/>
        <w:ind w:hanging="283" w:start="829"/>
        <w:jc w:val="start"/>
        <w:rPr/>
      </w:pPr>
      <w:r>
        <w:rPr/>
        <w:t xml:space="preserve">Full cloud-security posture management. </w:t>
      </w:r>
    </w:p>
    <w:p>
      <w:pPr>
        <w:pStyle w:val="BodyText"/>
        <w:numPr>
          <w:ilvl w:val="0"/>
          <w:numId w:val="9"/>
        </w:numPr>
        <w:tabs>
          <w:tab w:val="clear" w:pos="1134"/>
          <w:tab w:val="left" w:pos="829" w:leader="none"/>
        </w:tabs>
        <w:bidi w:val="0"/>
        <w:spacing w:before="120" w:after="0"/>
        <w:ind w:hanging="283" w:start="829"/>
        <w:jc w:val="start"/>
        <w:rPr/>
      </w:pPr>
      <w:r>
        <w:rPr/>
        <w:t xml:space="preserve">Automated remediation. </w:t>
      </w:r>
    </w:p>
    <w:p>
      <w:pPr>
        <w:pStyle w:val="BodyText"/>
        <w:numPr>
          <w:ilvl w:val="0"/>
          <w:numId w:val="9"/>
        </w:numPr>
        <w:tabs>
          <w:tab w:val="clear" w:pos="1134"/>
          <w:tab w:val="left" w:pos="829" w:leader="none"/>
        </w:tabs>
        <w:bidi w:val="0"/>
        <w:spacing w:before="120" w:after="0"/>
        <w:ind w:hanging="283" w:start="829"/>
        <w:jc w:val="start"/>
        <w:rPr/>
      </w:pPr>
      <w:r>
        <w:rPr/>
        <w:t xml:space="preserve">Arbitrary remote shell or command execution. </w:t>
      </w:r>
    </w:p>
    <w:p>
      <w:pPr>
        <w:pStyle w:val="BodyText"/>
        <w:numPr>
          <w:ilvl w:val="0"/>
          <w:numId w:val="9"/>
        </w:numPr>
        <w:tabs>
          <w:tab w:val="clear" w:pos="1134"/>
          <w:tab w:val="left" w:pos="829" w:leader="none"/>
        </w:tabs>
        <w:bidi w:val="0"/>
        <w:spacing w:before="120" w:after="0"/>
        <w:ind w:hanging="283" w:start="829"/>
        <w:jc w:val="start"/>
        <w:rPr/>
      </w:pPr>
      <w:r>
        <w:rPr/>
        <w:t xml:space="preserve">Infrastructure deletion. </w:t>
      </w:r>
    </w:p>
    <w:p>
      <w:pPr>
        <w:pStyle w:val="BodyText"/>
        <w:numPr>
          <w:ilvl w:val="0"/>
          <w:numId w:val="9"/>
        </w:numPr>
        <w:tabs>
          <w:tab w:val="clear" w:pos="1134"/>
          <w:tab w:val="left" w:pos="829" w:leader="none"/>
        </w:tabs>
        <w:bidi w:val="0"/>
        <w:spacing w:before="120" w:after="0"/>
        <w:ind w:hanging="283" w:start="829"/>
        <w:jc w:val="start"/>
        <w:rPr/>
      </w:pPr>
      <w:r>
        <w:rPr/>
        <w:t xml:space="preserve">Cloud identity or network-policy modification. </w:t>
      </w:r>
    </w:p>
    <w:p>
      <w:pPr>
        <w:pStyle w:val="BodyText"/>
        <w:numPr>
          <w:ilvl w:val="0"/>
          <w:numId w:val="9"/>
        </w:numPr>
        <w:tabs>
          <w:tab w:val="clear" w:pos="1134"/>
          <w:tab w:val="left" w:pos="829" w:leader="none"/>
        </w:tabs>
        <w:bidi w:val="0"/>
        <w:spacing w:before="120" w:after="0"/>
        <w:ind w:hanging="283" w:start="829"/>
        <w:jc w:val="start"/>
        <w:rPr/>
      </w:pPr>
      <w:r>
        <w:rPr/>
        <w:t xml:space="preserve">A complete custom dashboard builder. </w:t>
      </w:r>
    </w:p>
    <w:p>
      <w:pPr>
        <w:pStyle w:val="BodyText"/>
        <w:numPr>
          <w:ilvl w:val="0"/>
          <w:numId w:val="9"/>
        </w:numPr>
        <w:tabs>
          <w:tab w:val="clear" w:pos="1134"/>
          <w:tab w:val="left" w:pos="829" w:leader="none"/>
        </w:tabs>
        <w:bidi w:val="0"/>
        <w:spacing w:before="120" w:after="0"/>
        <w:ind w:hanging="283" w:start="829"/>
        <w:jc w:val="start"/>
        <w:rPr/>
      </w:pPr>
      <w:r>
        <w:rPr/>
        <w:t xml:space="preserve">Native desktop clients. </w:t>
      </w:r>
    </w:p>
    <w:p>
      <w:pPr>
        <w:pStyle w:val="BodyText"/>
        <w:numPr>
          <w:ilvl w:val="0"/>
          <w:numId w:val="9"/>
        </w:numPr>
        <w:tabs>
          <w:tab w:val="clear" w:pos="1134"/>
          <w:tab w:val="left" w:pos="829" w:leader="none"/>
        </w:tabs>
        <w:bidi w:val="0"/>
        <w:spacing w:before="120" w:after="0"/>
        <w:ind w:hanging="283" w:start="829"/>
        <w:jc w:val="start"/>
        <w:rPr/>
      </w:pPr>
      <w:r>
        <w:rPr/>
        <w:t xml:space="preserve">Mobile applications. </w:t>
      </w:r>
    </w:p>
    <w:p>
      <w:pPr>
        <w:pStyle w:val="BodyText"/>
        <w:numPr>
          <w:ilvl w:val="0"/>
          <w:numId w:val="9"/>
        </w:numPr>
        <w:tabs>
          <w:tab w:val="clear" w:pos="1134"/>
          <w:tab w:val="left" w:pos="829" w:leader="none"/>
        </w:tabs>
        <w:bidi w:val="0"/>
        <w:spacing w:before="120" w:after="0"/>
        <w:ind w:hanging="283" w:start="829"/>
        <w:jc w:val="start"/>
        <w:rPr/>
      </w:pPr>
      <w:r>
        <w:rPr/>
        <w:t xml:space="preserve">Public status pages. </w:t>
      </w:r>
    </w:p>
    <w:p>
      <w:pPr>
        <w:pStyle w:val="BodyText"/>
        <w:numPr>
          <w:ilvl w:val="0"/>
          <w:numId w:val="9"/>
        </w:numPr>
        <w:tabs>
          <w:tab w:val="clear" w:pos="1134"/>
          <w:tab w:val="left" w:pos="829" w:leader="none"/>
        </w:tabs>
        <w:bidi w:val="0"/>
        <w:spacing w:before="120" w:after="0"/>
        <w:ind w:hanging="283" w:start="829"/>
        <w:jc w:val="start"/>
        <w:rPr/>
      </w:pPr>
      <w:r>
        <w:rPr/>
        <w:t xml:space="preserve">Usage-based billing automation. </w:t>
      </w:r>
    </w:p>
    <w:p>
      <w:pPr>
        <w:pStyle w:val="BodyText"/>
        <w:numPr>
          <w:ilvl w:val="0"/>
          <w:numId w:val="9"/>
        </w:numPr>
        <w:tabs>
          <w:tab w:val="clear" w:pos="1134"/>
          <w:tab w:val="left" w:pos="829" w:leader="none"/>
        </w:tabs>
        <w:bidi w:val="0"/>
        <w:ind w:hanging="283" w:start="829"/>
        <w:jc w:val="start"/>
        <w:rPr/>
      </w:pPr>
      <w:r>
        <w:rPr/>
        <w:t xml:space="preserve">Artificial-intelligence incident diagnosis. </w:t>
      </w:r>
    </w:p>
    <w:p>
      <w:pPr>
        <w:pStyle w:val="Heading2"/>
        <w:bidi w:val="0"/>
        <w:jc w:val="start"/>
        <w:rPr/>
      </w:pPr>
      <w:r>
        <w:rPr/>
        <w:t>6. Brief technology direction</w:t>
      </w:r>
    </w:p>
    <w:p>
      <w:pPr>
        <w:pStyle w:val="BodyText"/>
        <w:bidi w:val="0"/>
        <w:jc w:val="start"/>
        <w:rPr/>
      </w:pPr>
      <w:r>
        <w:rPr/>
        <w:t>The MVP will use a web-first client, a secure modular backend, a relational application database, established metrics and visualization systems, a background job mechanism, and a small secure edge connector where centralized access is required. The initial integrations will cover Prometheus, Grafana, AWS, standard host and endpoint exporters, and one database exporter. Deployments will be containerized and support customer-controlled hosting. Detailed technology choices and responsibilities are defined in the Detailed System Documentation.</w:t>
      </w:r>
    </w:p>
    <w:p>
      <w:pPr>
        <w:pStyle w:val="Heading2"/>
        <w:bidi w:val="0"/>
        <w:jc w:val="start"/>
        <w:rPr/>
      </w:pPr>
      <w:r>
        <w:rPr/>
        <w:t>7. Delivery workstreams</w:t>
      </w:r>
    </w:p>
    <w:p>
      <w:pPr>
        <w:pStyle w:val="Heading3"/>
        <w:bidi w:val="0"/>
        <w:jc w:val="start"/>
        <w:rPr/>
      </w:pPr>
      <w:r>
        <w:rPr/>
        <w:t>Workstream A — Product and customer discovery</w:t>
      </w:r>
    </w:p>
    <w:p>
      <w:pPr>
        <w:pStyle w:val="BodyText"/>
        <w:numPr>
          <w:ilvl w:val="0"/>
          <w:numId w:val="10"/>
        </w:numPr>
        <w:tabs>
          <w:tab w:val="clear" w:pos="1134"/>
          <w:tab w:val="left" w:pos="829" w:leader="none"/>
        </w:tabs>
        <w:bidi w:val="0"/>
        <w:spacing w:before="120" w:after="0"/>
        <w:ind w:hanging="283" w:start="829"/>
        <w:jc w:val="start"/>
        <w:rPr/>
      </w:pPr>
      <w:r>
        <w:rPr/>
        <w:t xml:space="preserve">Interview target department technology and operations stakeholders. </w:t>
      </w:r>
    </w:p>
    <w:p>
      <w:pPr>
        <w:pStyle w:val="BodyText"/>
        <w:numPr>
          <w:ilvl w:val="0"/>
          <w:numId w:val="10"/>
        </w:numPr>
        <w:tabs>
          <w:tab w:val="clear" w:pos="1134"/>
          <w:tab w:val="left" w:pos="829" w:leader="none"/>
        </w:tabs>
        <w:bidi w:val="0"/>
        <w:spacing w:before="120" w:after="0"/>
        <w:ind w:hanging="283" w:start="829"/>
        <w:jc w:val="start"/>
        <w:rPr/>
      </w:pPr>
      <w:r>
        <w:rPr/>
        <w:t xml:space="preserve">Inventory target servers, applications, databases, network zones, and existing tools. </w:t>
      </w:r>
    </w:p>
    <w:p>
      <w:pPr>
        <w:pStyle w:val="BodyText"/>
        <w:numPr>
          <w:ilvl w:val="0"/>
          <w:numId w:val="10"/>
        </w:numPr>
        <w:tabs>
          <w:tab w:val="clear" w:pos="1134"/>
          <w:tab w:val="left" w:pos="829" w:leader="none"/>
        </w:tabs>
        <w:bidi w:val="0"/>
        <w:spacing w:before="120" w:after="0"/>
        <w:ind w:hanging="283" w:start="829"/>
        <w:jc w:val="start"/>
        <w:rPr/>
      </w:pPr>
      <w:r>
        <w:rPr/>
        <w:t xml:space="preserve">Identify reporting, security, data-residency, and procurement requirements. </w:t>
      </w:r>
    </w:p>
    <w:p>
      <w:pPr>
        <w:pStyle w:val="BodyText"/>
        <w:numPr>
          <w:ilvl w:val="0"/>
          <w:numId w:val="10"/>
        </w:numPr>
        <w:tabs>
          <w:tab w:val="clear" w:pos="1134"/>
          <w:tab w:val="left" w:pos="829" w:leader="none"/>
        </w:tabs>
        <w:bidi w:val="0"/>
        <w:spacing w:before="120" w:after="0"/>
        <w:ind w:hanging="283" w:start="829"/>
        <w:jc w:val="start"/>
        <w:rPr/>
      </w:pPr>
      <w:r>
        <w:rPr/>
        <w:t xml:space="preserve">Select the first pilot workload and database. </w:t>
      </w:r>
    </w:p>
    <w:p>
      <w:pPr>
        <w:pStyle w:val="BodyText"/>
        <w:numPr>
          <w:ilvl w:val="0"/>
          <w:numId w:val="10"/>
        </w:numPr>
        <w:tabs>
          <w:tab w:val="clear" w:pos="1134"/>
          <w:tab w:val="left" w:pos="829" w:leader="none"/>
        </w:tabs>
        <w:bidi w:val="0"/>
        <w:ind w:hanging="283" w:start="829"/>
        <w:jc w:val="start"/>
        <w:rPr/>
      </w:pPr>
      <w:r>
        <w:rPr/>
        <w:t xml:space="preserve">Agree measurable pilot outcomes. </w:t>
      </w:r>
    </w:p>
    <w:p>
      <w:pPr>
        <w:pStyle w:val="Heading3"/>
        <w:bidi w:val="0"/>
        <w:jc w:val="start"/>
        <w:rPr/>
      </w:pPr>
      <w:r>
        <w:rPr/>
        <w:t>Workstream B — Platform foundation</w:t>
      </w:r>
    </w:p>
    <w:p>
      <w:pPr>
        <w:pStyle w:val="BodyText"/>
        <w:numPr>
          <w:ilvl w:val="0"/>
          <w:numId w:val="11"/>
        </w:numPr>
        <w:tabs>
          <w:tab w:val="clear" w:pos="1134"/>
          <w:tab w:val="left" w:pos="829" w:leader="none"/>
        </w:tabs>
        <w:bidi w:val="0"/>
        <w:spacing w:before="120" w:after="0"/>
        <w:ind w:hanging="283" w:start="829"/>
        <w:jc w:val="start"/>
        <w:rPr/>
      </w:pPr>
      <w:r>
        <w:rPr/>
        <w:t xml:space="preserve">Establish project repositories, environments, coding standards, and release process. </w:t>
      </w:r>
    </w:p>
    <w:p>
      <w:pPr>
        <w:pStyle w:val="BodyText"/>
        <w:numPr>
          <w:ilvl w:val="0"/>
          <w:numId w:val="11"/>
        </w:numPr>
        <w:tabs>
          <w:tab w:val="clear" w:pos="1134"/>
          <w:tab w:val="left" w:pos="829" w:leader="none"/>
        </w:tabs>
        <w:bidi w:val="0"/>
        <w:spacing w:before="120" w:after="0"/>
        <w:ind w:hanging="283" w:start="829"/>
        <w:jc w:val="start"/>
        <w:rPr/>
      </w:pPr>
      <w:r>
        <w:rPr/>
        <w:t xml:space="preserve">Implement identity, sessions, platform roles, customer roles, and tenant boundaries. </w:t>
      </w:r>
    </w:p>
    <w:p>
      <w:pPr>
        <w:pStyle w:val="BodyText"/>
        <w:numPr>
          <w:ilvl w:val="0"/>
          <w:numId w:val="11"/>
        </w:numPr>
        <w:tabs>
          <w:tab w:val="clear" w:pos="1134"/>
          <w:tab w:val="left" w:pos="829" w:leader="none"/>
        </w:tabs>
        <w:bidi w:val="0"/>
        <w:spacing w:before="120" w:after="0"/>
        <w:ind w:hanging="283" w:start="829"/>
        <w:jc w:val="start"/>
        <w:rPr/>
      </w:pPr>
      <w:r>
        <w:rPr/>
        <w:t xml:space="preserve">Create organizations, workspaces, environments, subscriptions, and entitlements. </w:t>
      </w:r>
    </w:p>
    <w:p>
      <w:pPr>
        <w:pStyle w:val="BodyText"/>
        <w:numPr>
          <w:ilvl w:val="0"/>
          <w:numId w:val="11"/>
        </w:numPr>
        <w:tabs>
          <w:tab w:val="clear" w:pos="1134"/>
          <w:tab w:val="left" w:pos="829" w:leader="none"/>
        </w:tabs>
        <w:bidi w:val="0"/>
        <w:ind w:hanging="283" w:start="829"/>
        <w:jc w:val="start"/>
        <w:rPr/>
      </w:pPr>
      <w:r>
        <w:rPr/>
        <w:t xml:space="preserve">Establish audit-event capture and administrative reporting. </w:t>
      </w:r>
    </w:p>
    <w:p>
      <w:pPr>
        <w:pStyle w:val="Heading3"/>
        <w:bidi w:val="0"/>
        <w:jc w:val="start"/>
        <w:rPr/>
      </w:pPr>
      <w:r>
        <w:rPr/>
        <w:t>Workstream C — Monitoring vertical slice</w:t>
      </w:r>
    </w:p>
    <w:p>
      <w:pPr>
        <w:pStyle w:val="BodyText"/>
        <w:numPr>
          <w:ilvl w:val="0"/>
          <w:numId w:val="12"/>
        </w:numPr>
        <w:tabs>
          <w:tab w:val="clear" w:pos="1134"/>
          <w:tab w:val="left" w:pos="829" w:leader="none"/>
        </w:tabs>
        <w:bidi w:val="0"/>
        <w:spacing w:before="120" w:after="0"/>
        <w:ind w:hanging="283" w:start="829"/>
        <w:jc w:val="start"/>
        <w:rPr/>
      </w:pPr>
      <w:r>
        <w:rPr/>
        <w:t xml:space="preserve">Connect a test Linux server to the metrics pipeline. </w:t>
      </w:r>
    </w:p>
    <w:p>
      <w:pPr>
        <w:pStyle w:val="BodyText"/>
        <w:numPr>
          <w:ilvl w:val="0"/>
          <w:numId w:val="12"/>
        </w:numPr>
        <w:tabs>
          <w:tab w:val="clear" w:pos="1134"/>
          <w:tab w:val="left" w:pos="829" w:leader="none"/>
        </w:tabs>
        <w:bidi w:val="0"/>
        <w:spacing w:before="120" w:after="0"/>
        <w:ind w:hanging="283" w:start="829"/>
        <w:jc w:val="start"/>
        <w:rPr/>
      </w:pPr>
      <w:r>
        <w:rPr/>
        <w:t xml:space="preserve">Discover the resource and classify it in MetricOps. </w:t>
      </w:r>
    </w:p>
    <w:p>
      <w:pPr>
        <w:pStyle w:val="BodyText"/>
        <w:numPr>
          <w:ilvl w:val="0"/>
          <w:numId w:val="12"/>
        </w:numPr>
        <w:tabs>
          <w:tab w:val="clear" w:pos="1134"/>
          <w:tab w:val="left" w:pos="829" w:leader="none"/>
        </w:tabs>
        <w:bidi w:val="0"/>
        <w:spacing w:before="120" w:after="0"/>
        <w:ind w:hanging="283" w:start="829"/>
        <w:jc w:val="start"/>
        <w:rPr/>
      </w:pPr>
      <w:r>
        <w:rPr/>
        <w:t xml:space="preserve">Display current and historical infrastructure health. </w:t>
      </w:r>
    </w:p>
    <w:p>
      <w:pPr>
        <w:pStyle w:val="BodyText"/>
        <w:numPr>
          <w:ilvl w:val="0"/>
          <w:numId w:val="12"/>
        </w:numPr>
        <w:tabs>
          <w:tab w:val="clear" w:pos="1134"/>
          <w:tab w:val="left" w:pos="829" w:leader="none"/>
        </w:tabs>
        <w:bidi w:val="0"/>
        <w:spacing w:before="120" w:after="0"/>
        <w:ind w:hanging="283" w:start="829"/>
        <w:jc w:val="start"/>
        <w:rPr/>
      </w:pPr>
      <w:r>
        <w:rPr/>
        <w:t xml:space="preserve">Monitor an application endpoint and selected database. </w:t>
      </w:r>
    </w:p>
    <w:p>
      <w:pPr>
        <w:pStyle w:val="BodyText"/>
        <w:numPr>
          <w:ilvl w:val="0"/>
          <w:numId w:val="12"/>
        </w:numPr>
        <w:tabs>
          <w:tab w:val="clear" w:pos="1134"/>
          <w:tab w:val="left" w:pos="829" w:leader="none"/>
        </w:tabs>
        <w:bidi w:val="0"/>
        <w:ind w:hanging="283" w:start="829"/>
        <w:jc w:val="start"/>
        <w:rPr/>
      </w:pPr>
      <w:r>
        <w:rPr/>
        <w:t xml:space="preserve">Trigger and process a controlled alert. </w:t>
      </w:r>
    </w:p>
    <w:p>
      <w:pPr>
        <w:pStyle w:val="Heading3"/>
        <w:bidi w:val="0"/>
        <w:jc w:val="start"/>
        <w:rPr/>
      </w:pPr>
      <w:r>
        <w:rPr/>
        <w:t>Workstream D — AWS integration</w:t>
      </w:r>
    </w:p>
    <w:p>
      <w:pPr>
        <w:pStyle w:val="BodyText"/>
        <w:numPr>
          <w:ilvl w:val="0"/>
          <w:numId w:val="13"/>
        </w:numPr>
        <w:tabs>
          <w:tab w:val="clear" w:pos="1134"/>
          <w:tab w:val="left" w:pos="829" w:leader="none"/>
        </w:tabs>
        <w:bidi w:val="0"/>
        <w:spacing w:before="120" w:after="0"/>
        <w:ind w:hanging="283" w:start="829"/>
        <w:jc w:val="start"/>
        <w:rPr/>
      </w:pPr>
      <w:r>
        <w:rPr/>
        <w:t xml:space="preserve">Create customer deployment instructions and a least-privilege role template. </w:t>
      </w:r>
    </w:p>
    <w:p>
      <w:pPr>
        <w:pStyle w:val="BodyText"/>
        <w:numPr>
          <w:ilvl w:val="0"/>
          <w:numId w:val="13"/>
        </w:numPr>
        <w:tabs>
          <w:tab w:val="clear" w:pos="1134"/>
          <w:tab w:val="left" w:pos="829" w:leader="none"/>
        </w:tabs>
        <w:bidi w:val="0"/>
        <w:spacing w:before="120" w:after="0"/>
        <w:ind w:hanging="283" w:start="829"/>
        <w:jc w:val="start"/>
        <w:rPr/>
      </w:pPr>
      <w:r>
        <w:rPr/>
        <w:t xml:space="preserve">Implement temporary cross-account sessions. </w:t>
      </w:r>
    </w:p>
    <w:p>
      <w:pPr>
        <w:pStyle w:val="BodyText"/>
        <w:numPr>
          <w:ilvl w:val="0"/>
          <w:numId w:val="13"/>
        </w:numPr>
        <w:tabs>
          <w:tab w:val="clear" w:pos="1134"/>
          <w:tab w:val="left" w:pos="829" w:leader="none"/>
        </w:tabs>
        <w:bidi w:val="0"/>
        <w:spacing w:before="120" w:after="0"/>
        <w:ind w:hanging="283" w:start="829"/>
        <w:jc w:val="start"/>
        <w:rPr/>
      </w:pPr>
      <w:r>
        <w:rPr/>
        <w:t xml:space="preserve">Discover supported resources and metrics. </w:t>
      </w:r>
    </w:p>
    <w:p>
      <w:pPr>
        <w:pStyle w:val="BodyText"/>
        <w:numPr>
          <w:ilvl w:val="0"/>
          <w:numId w:val="13"/>
        </w:numPr>
        <w:tabs>
          <w:tab w:val="clear" w:pos="1134"/>
          <w:tab w:val="left" w:pos="829" w:leader="none"/>
        </w:tabs>
        <w:bidi w:val="0"/>
        <w:spacing w:before="120" w:after="0"/>
        <w:ind w:hanging="283" w:start="829"/>
        <w:jc w:val="start"/>
        <w:rPr/>
      </w:pPr>
      <w:r>
        <w:rPr/>
        <w:t xml:space="preserve">Normalize AWS resources into the common inventory model. </w:t>
      </w:r>
    </w:p>
    <w:p>
      <w:pPr>
        <w:pStyle w:val="BodyText"/>
        <w:numPr>
          <w:ilvl w:val="0"/>
          <w:numId w:val="13"/>
        </w:numPr>
        <w:tabs>
          <w:tab w:val="clear" w:pos="1134"/>
          <w:tab w:val="left" w:pos="829" w:leader="none"/>
        </w:tabs>
        <w:bidi w:val="0"/>
        <w:spacing w:before="120" w:after="0"/>
        <w:ind w:hanging="283" w:start="829"/>
        <w:jc w:val="start"/>
        <w:rPr/>
      </w:pPr>
      <w:r>
        <w:rPr/>
        <w:t xml:space="preserve">Produce explainable configuration findings. </w:t>
      </w:r>
    </w:p>
    <w:p>
      <w:pPr>
        <w:pStyle w:val="BodyText"/>
        <w:numPr>
          <w:ilvl w:val="0"/>
          <w:numId w:val="13"/>
        </w:numPr>
        <w:tabs>
          <w:tab w:val="clear" w:pos="1134"/>
          <w:tab w:val="left" w:pos="829" w:leader="none"/>
        </w:tabs>
        <w:bidi w:val="0"/>
        <w:ind w:hanging="283" w:start="829"/>
        <w:jc w:val="start"/>
        <w:rPr/>
      </w:pPr>
      <w:r>
        <w:rPr/>
        <w:t xml:space="preserve">Validate immediate access revocation. </w:t>
      </w:r>
    </w:p>
    <w:p>
      <w:pPr>
        <w:pStyle w:val="Heading3"/>
        <w:bidi w:val="0"/>
        <w:jc w:val="start"/>
        <w:rPr/>
      </w:pPr>
      <w:r>
        <w:rPr/>
        <w:t>Workstream E — Operations and governance</w:t>
      </w:r>
    </w:p>
    <w:p>
      <w:pPr>
        <w:pStyle w:val="BodyText"/>
        <w:numPr>
          <w:ilvl w:val="0"/>
          <w:numId w:val="14"/>
        </w:numPr>
        <w:tabs>
          <w:tab w:val="clear" w:pos="1134"/>
          <w:tab w:val="left" w:pos="829" w:leader="none"/>
        </w:tabs>
        <w:bidi w:val="0"/>
        <w:spacing w:before="120" w:after="0"/>
        <w:ind w:hanging="283" w:start="829"/>
        <w:jc w:val="start"/>
        <w:rPr/>
      </w:pPr>
      <w:r>
        <w:rPr/>
        <w:t xml:space="preserve">Implement alert and incident workflows. </w:t>
      </w:r>
    </w:p>
    <w:p>
      <w:pPr>
        <w:pStyle w:val="BodyText"/>
        <w:numPr>
          <w:ilvl w:val="0"/>
          <w:numId w:val="14"/>
        </w:numPr>
        <w:tabs>
          <w:tab w:val="clear" w:pos="1134"/>
          <w:tab w:val="left" w:pos="829" w:leader="none"/>
        </w:tabs>
        <w:bidi w:val="0"/>
        <w:spacing w:before="120" w:after="0"/>
        <w:ind w:hanging="283" w:start="829"/>
        <w:jc w:val="start"/>
        <w:rPr/>
      </w:pPr>
      <w:r>
        <w:rPr/>
        <w:t xml:space="preserve">Implement maintenance windows, approvals, and policy evaluation. </w:t>
      </w:r>
    </w:p>
    <w:p>
      <w:pPr>
        <w:pStyle w:val="BodyText"/>
        <w:numPr>
          <w:ilvl w:val="0"/>
          <w:numId w:val="14"/>
        </w:numPr>
        <w:tabs>
          <w:tab w:val="clear" w:pos="1134"/>
          <w:tab w:val="left" w:pos="829" w:leader="none"/>
        </w:tabs>
        <w:bidi w:val="0"/>
        <w:spacing w:before="120" w:after="0"/>
        <w:ind w:hanging="283" w:start="829"/>
        <w:jc w:val="start"/>
        <w:rPr/>
      </w:pPr>
      <w:r>
        <w:rPr/>
        <w:t xml:space="preserve">Add the job lifecycle and live status updates. </w:t>
      </w:r>
    </w:p>
    <w:p>
      <w:pPr>
        <w:pStyle w:val="BodyText"/>
        <w:numPr>
          <w:ilvl w:val="0"/>
          <w:numId w:val="14"/>
        </w:numPr>
        <w:tabs>
          <w:tab w:val="clear" w:pos="1134"/>
          <w:tab w:val="left" w:pos="829" w:leader="none"/>
        </w:tabs>
        <w:bidi w:val="0"/>
        <w:spacing w:before="120" w:after="0"/>
        <w:ind w:hanging="283" w:start="829"/>
        <w:jc w:val="start"/>
        <w:rPr/>
      </w:pPr>
      <w:r>
        <w:rPr/>
        <w:t xml:space="preserve">Demonstrate one allow-listed non-production action. </w:t>
      </w:r>
    </w:p>
    <w:p>
      <w:pPr>
        <w:pStyle w:val="BodyText"/>
        <w:numPr>
          <w:ilvl w:val="0"/>
          <w:numId w:val="14"/>
        </w:numPr>
        <w:tabs>
          <w:tab w:val="clear" w:pos="1134"/>
          <w:tab w:val="left" w:pos="829" w:leader="none"/>
        </w:tabs>
        <w:bidi w:val="0"/>
        <w:ind w:hanging="283" w:start="829"/>
        <w:jc w:val="start"/>
        <w:rPr/>
      </w:pPr>
      <w:r>
        <w:rPr/>
        <w:t xml:space="preserve">Verify the resulting state and write complete audit evidence. </w:t>
      </w:r>
    </w:p>
    <w:p>
      <w:pPr>
        <w:pStyle w:val="Heading3"/>
        <w:bidi w:val="0"/>
        <w:jc w:val="start"/>
        <w:rPr/>
      </w:pPr>
      <w:r>
        <w:rPr/>
        <w:t>Workstream F — Reporting, deployment, and hardening</w:t>
      </w:r>
    </w:p>
    <w:p>
      <w:pPr>
        <w:pStyle w:val="BodyText"/>
        <w:numPr>
          <w:ilvl w:val="0"/>
          <w:numId w:val="15"/>
        </w:numPr>
        <w:tabs>
          <w:tab w:val="clear" w:pos="1134"/>
          <w:tab w:val="left" w:pos="829" w:leader="none"/>
        </w:tabs>
        <w:bidi w:val="0"/>
        <w:spacing w:before="120" w:after="0"/>
        <w:ind w:hanging="283" w:start="829"/>
        <w:jc w:val="start"/>
        <w:rPr/>
      </w:pPr>
      <w:r>
        <w:rPr/>
        <w:t xml:space="preserve">Produce executive and technical reports. </w:t>
      </w:r>
    </w:p>
    <w:p>
      <w:pPr>
        <w:pStyle w:val="BodyText"/>
        <w:numPr>
          <w:ilvl w:val="0"/>
          <w:numId w:val="15"/>
        </w:numPr>
        <w:tabs>
          <w:tab w:val="clear" w:pos="1134"/>
          <w:tab w:val="left" w:pos="829" w:leader="none"/>
        </w:tabs>
        <w:bidi w:val="0"/>
        <w:spacing w:before="120" w:after="0"/>
        <w:ind w:hanging="283" w:start="829"/>
        <w:jc w:val="start"/>
        <w:rPr/>
      </w:pPr>
      <w:r>
        <w:rPr/>
        <w:t xml:space="preserve">Package customer-controlled deployments. </w:t>
      </w:r>
    </w:p>
    <w:p>
      <w:pPr>
        <w:pStyle w:val="BodyText"/>
        <w:numPr>
          <w:ilvl w:val="0"/>
          <w:numId w:val="15"/>
        </w:numPr>
        <w:tabs>
          <w:tab w:val="clear" w:pos="1134"/>
          <w:tab w:val="left" w:pos="829" w:leader="none"/>
        </w:tabs>
        <w:bidi w:val="0"/>
        <w:spacing w:before="120" w:after="0"/>
        <w:ind w:hanging="283" w:start="829"/>
        <w:jc w:val="start"/>
        <w:rPr/>
      </w:pPr>
      <w:r>
        <w:rPr/>
        <w:t xml:space="preserve">Create backup, restore, upgrade, and rollback procedures. </w:t>
      </w:r>
    </w:p>
    <w:p>
      <w:pPr>
        <w:pStyle w:val="BodyText"/>
        <w:numPr>
          <w:ilvl w:val="0"/>
          <w:numId w:val="15"/>
        </w:numPr>
        <w:tabs>
          <w:tab w:val="clear" w:pos="1134"/>
          <w:tab w:val="left" w:pos="829" w:leader="none"/>
        </w:tabs>
        <w:bidi w:val="0"/>
        <w:spacing w:before="120" w:after="0"/>
        <w:ind w:hanging="283" w:start="829"/>
        <w:jc w:val="start"/>
        <w:rPr/>
      </w:pPr>
      <w:r>
        <w:rPr/>
        <w:t xml:space="preserve">Perform security review, vulnerability testing, load testing, and recovery testing. </w:t>
      </w:r>
    </w:p>
    <w:p>
      <w:pPr>
        <w:pStyle w:val="BodyText"/>
        <w:numPr>
          <w:ilvl w:val="0"/>
          <w:numId w:val="15"/>
        </w:numPr>
        <w:tabs>
          <w:tab w:val="clear" w:pos="1134"/>
          <w:tab w:val="left" w:pos="829" w:leader="none"/>
        </w:tabs>
        <w:bidi w:val="0"/>
        <w:ind w:hanging="283" w:start="829"/>
        <w:jc w:val="start"/>
        <w:rPr/>
      </w:pPr>
      <w:r>
        <w:rPr/>
        <w:t xml:space="preserve">Prepare administrator, operator, and support documentation. </w:t>
      </w:r>
    </w:p>
    <w:p>
      <w:pPr>
        <w:pStyle w:val="Heading2"/>
        <w:bidi w:val="0"/>
        <w:jc w:val="start"/>
        <w:rPr/>
      </w:pPr>
      <w:r>
        <w:rPr/>
        <w:t>8. Phased schedule</w:t>
      </w:r>
    </w:p>
    <w:p>
      <w:pPr>
        <w:pStyle w:val="BodyText"/>
        <w:bidi w:val="0"/>
        <w:jc w:val="start"/>
        <w:rPr/>
      </w:pPr>
      <w:r>
        <w:rPr/>
        <w:t>The schedule assumes two backend engineers, one frontend engineer, one platform/SRE engineer, and shared product, design, QA, and security support.</w:t>
      </w:r>
    </w:p>
    <w:tbl>
      <w:tblPr>
        <w:tblW w:w="11339" w:type="dxa"/>
        <w:jc w:val="start"/>
        <w:tblInd w:w="0" w:type="dxa"/>
        <w:tblLayout w:type="fixed"/>
        <w:tblCellMar>
          <w:top w:w="28" w:type="dxa"/>
          <w:start w:w="28" w:type="dxa"/>
          <w:bottom w:w="28" w:type="dxa"/>
          <w:end w:w="28" w:type="dxa"/>
        </w:tblCellMar>
      </w:tblPr>
      <w:tblGrid>
        <w:gridCol w:w="3300"/>
        <w:gridCol w:w="1851"/>
        <w:gridCol w:w="6188"/>
      </w:tblGrid>
      <w:tr>
        <w:trPr>
          <w:tblHeader w:val="true"/>
        </w:trPr>
        <w:tc>
          <w:tcPr>
            <w:tcW w:w="3300" w:type="dxa"/>
            <w:tcBorders/>
            <w:vAlign w:val="center"/>
          </w:tcPr>
          <w:p>
            <w:pPr>
              <w:pStyle w:val="TableHeading"/>
              <w:suppressLineNumbers/>
              <w:shd w:fill="0F4C5C" w:val="clear"/>
              <w:bidi w:val="0"/>
              <w:spacing w:before="120" w:after="160"/>
              <w:jc w:val="start"/>
              <w:rPr/>
            </w:pPr>
            <w:r>
              <w:rPr/>
              <w:t>Phase</w:t>
            </w:r>
          </w:p>
        </w:tc>
        <w:tc>
          <w:tcPr>
            <w:tcW w:w="1851" w:type="dxa"/>
            <w:tcBorders/>
            <w:vAlign w:val="center"/>
          </w:tcPr>
          <w:p>
            <w:pPr>
              <w:pStyle w:val="TableHeading"/>
              <w:suppressLineNumbers/>
              <w:shd w:fill="0F4C5C" w:val="clear"/>
              <w:bidi w:val="0"/>
              <w:spacing w:before="120" w:after="160"/>
              <w:jc w:val="start"/>
              <w:rPr/>
            </w:pPr>
            <w:r>
              <w:rPr/>
              <w:t>Indicative duration</w:t>
            </w:r>
          </w:p>
        </w:tc>
        <w:tc>
          <w:tcPr>
            <w:tcW w:w="6188" w:type="dxa"/>
            <w:tcBorders/>
            <w:vAlign w:val="center"/>
          </w:tcPr>
          <w:p>
            <w:pPr>
              <w:pStyle w:val="TableHeading"/>
              <w:suppressLineNumbers/>
              <w:shd w:fill="0F4C5C" w:val="clear"/>
              <w:bidi w:val="0"/>
              <w:spacing w:before="120" w:after="160"/>
              <w:jc w:val="start"/>
              <w:rPr/>
            </w:pPr>
            <w:r>
              <w:rPr/>
              <w:t>Primary outcome</w:t>
            </w:r>
          </w:p>
        </w:tc>
      </w:tr>
      <w:tr>
        <w:trPr/>
        <w:tc>
          <w:tcPr>
            <w:tcW w:w="3300" w:type="dxa"/>
            <w:tcBorders/>
            <w:vAlign w:val="center"/>
          </w:tcPr>
          <w:p>
            <w:pPr>
              <w:pStyle w:val="TableContents"/>
              <w:bidi w:val="0"/>
              <w:spacing w:before="120" w:after="160"/>
              <w:jc w:val="start"/>
              <w:rPr/>
            </w:pPr>
            <w:r>
              <w:rPr/>
              <w:t>Discovery and pilot definition</w:t>
            </w:r>
          </w:p>
        </w:tc>
        <w:tc>
          <w:tcPr>
            <w:tcW w:w="1851" w:type="dxa"/>
            <w:tcBorders/>
            <w:vAlign w:val="center"/>
          </w:tcPr>
          <w:p>
            <w:pPr>
              <w:pStyle w:val="TableContents"/>
              <w:bidi w:val="0"/>
              <w:spacing w:before="120" w:after="160"/>
              <w:jc w:val="start"/>
              <w:rPr/>
            </w:pPr>
            <w:r>
              <w:rPr/>
              <w:t>2 weeks</w:t>
            </w:r>
          </w:p>
        </w:tc>
        <w:tc>
          <w:tcPr>
            <w:tcW w:w="6188" w:type="dxa"/>
            <w:tcBorders/>
            <w:vAlign w:val="center"/>
          </w:tcPr>
          <w:p>
            <w:pPr>
              <w:pStyle w:val="TableContents"/>
              <w:bidi w:val="0"/>
              <w:spacing w:before="120" w:after="160"/>
              <w:jc w:val="start"/>
              <w:rPr/>
            </w:pPr>
            <w:r>
              <w:rPr/>
              <w:t>Signed scope, asset list, deployment decision, and acceptance measures</w:t>
            </w:r>
          </w:p>
        </w:tc>
      </w:tr>
      <w:tr>
        <w:trPr/>
        <w:tc>
          <w:tcPr>
            <w:tcW w:w="3300" w:type="dxa"/>
            <w:tcBorders/>
            <w:vAlign w:val="center"/>
          </w:tcPr>
          <w:p>
            <w:pPr>
              <w:pStyle w:val="TableContents"/>
              <w:bidi w:val="0"/>
              <w:spacing w:before="120" w:after="160"/>
              <w:jc w:val="start"/>
              <w:rPr/>
            </w:pPr>
            <w:r>
              <w:rPr/>
              <w:t>Architecture and proof of concept</w:t>
            </w:r>
          </w:p>
        </w:tc>
        <w:tc>
          <w:tcPr>
            <w:tcW w:w="1851" w:type="dxa"/>
            <w:tcBorders/>
            <w:vAlign w:val="center"/>
          </w:tcPr>
          <w:p>
            <w:pPr>
              <w:pStyle w:val="TableContents"/>
              <w:bidi w:val="0"/>
              <w:spacing w:before="120" w:after="160"/>
              <w:jc w:val="start"/>
              <w:rPr/>
            </w:pPr>
            <w:r>
              <w:rPr/>
              <w:t>4 weeks</w:t>
            </w:r>
          </w:p>
        </w:tc>
        <w:tc>
          <w:tcPr>
            <w:tcW w:w="6188" w:type="dxa"/>
            <w:tcBorders/>
            <w:vAlign w:val="center"/>
          </w:tcPr>
          <w:p>
            <w:pPr>
              <w:pStyle w:val="TableContents"/>
              <w:bidi w:val="0"/>
              <w:spacing w:before="120" w:after="160"/>
              <w:jc w:val="start"/>
              <w:rPr/>
            </w:pPr>
            <w:r>
              <w:rPr/>
              <w:t>One complete monitoring-to-alert flow and one controlled test operation</w:t>
            </w:r>
          </w:p>
        </w:tc>
      </w:tr>
      <w:tr>
        <w:trPr/>
        <w:tc>
          <w:tcPr>
            <w:tcW w:w="3300" w:type="dxa"/>
            <w:tcBorders/>
            <w:vAlign w:val="center"/>
          </w:tcPr>
          <w:p>
            <w:pPr>
              <w:pStyle w:val="TableContents"/>
              <w:bidi w:val="0"/>
              <w:spacing w:before="120" w:after="160"/>
              <w:jc w:val="start"/>
              <w:rPr/>
            </w:pPr>
            <w:r>
              <w:rPr/>
              <w:t>Platform and customer administration</w:t>
            </w:r>
          </w:p>
        </w:tc>
        <w:tc>
          <w:tcPr>
            <w:tcW w:w="1851" w:type="dxa"/>
            <w:tcBorders/>
            <w:vAlign w:val="center"/>
          </w:tcPr>
          <w:p>
            <w:pPr>
              <w:pStyle w:val="TableContents"/>
              <w:bidi w:val="0"/>
              <w:spacing w:before="120" w:after="160"/>
              <w:jc w:val="start"/>
              <w:rPr/>
            </w:pPr>
            <w:r>
              <w:rPr/>
              <w:t>4–5 weeks</w:t>
            </w:r>
          </w:p>
        </w:tc>
        <w:tc>
          <w:tcPr>
            <w:tcW w:w="6188" w:type="dxa"/>
            <w:tcBorders/>
            <w:vAlign w:val="center"/>
          </w:tcPr>
          <w:p>
            <w:pPr>
              <w:pStyle w:val="TableContents"/>
              <w:bidi w:val="0"/>
              <w:spacing w:before="120" w:after="160"/>
              <w:jc w:val="start"/>
              <w:rPr/>
            </w:pPr>
            <w:r>
              <w:rPr/>
              <w:t>Separated administration planes, tenancy, identity, entitlements, and audit</w:t>
            </w:r>
          </w:p>
        </w:tc>
      </w:tr>
      <w:tr>
        <w:trPr/>
        <w:tc>
          <w:tcPr>
            <w:tcW w:w="3300" w:type="dxa"/>
            <w:tcBorders/>
            <w:vAlign w:val="center"/>
          </w:tcPr>
          <w:p>
            <w:pPr>
              <w:pStyle w:val="TableContents"/>
              <w:bidi w:val="0"/>
              <w:spacing w:before="120" w:after="160"/>
              <w:jc w:val="start"/>
              <w:rPr/>
            </w:pPr>
            <w:r>
              <w:rPr/>
              <w:t>Monitoring and dashboard MVP</w:t>
            </w:r>
          </w:p>
        </w:tc>
        <w:tc>
          <w:tcPr>
            <w:tcW w:w="1851" w:type="dxa"/>
            <w:tcBorders/>
            <w:vAlign w:val="center"/>
          </w:tcPr>
          <w:p>
            <w:pPr>
              <w:pStyle w:val="TableContents"/>
              <w:bidi w:val="0"/>
              <w:spacing w:before="120" w:after="160"/>
              <w:jc w:val="start"/>
              <w:rPr/>
            </w:pPr>
            <w:r>
              <w:rPr/>
              <w:t>5–6 weeks</w:t>
            </w:r>
          </w:p>
        </w:tc>
        <w:tc>
          <w:tcPr>
            <w:tcW w:w="6188" w:type="dxa"/>
            <w:tcBorders/>
            <w:vAlign w:val="center"/>
          </w:tcPr>
          <w:p>
            <w:pPr>
              <w:pStyle w:val="TableContents"/>
              <w:bidi w:val="0"/>
              <w:spacing w:before="120" w:after="160"/>
              <w:jc w:val="start"/>
              <w:rPr/>
            </w:pPr>
            <w:r>
              <w:rPr/>
              <w:t>Host, endpoint, database, dashboards, alert workflow, and reports</w:t>
            </w:r>
          </w:p>
        </w:tc>
      </w:tr>
      <w:tr>
        <w:trPr/>
        <w:tc>
          <w:tcPr>
            <w:tcW w:w="3300" w:type="dxa"/>
            <w:tcBorders/>
            <w:vAlign w:val="center"/>
          </w:tcPr>
          <w:p>
            <w:pPr>
              <w:pStyle w:val="TableContents"/>
              <w:bidi w:val="0"/>
              <w:spacing w:before="120" w:after="160"/>
              <w:jc w:val="start"/>
              <w:rPr/>
            </w:pPr>
            <w:r>
              <w:rPr/>
              <w:t>AWS read-only connector</w:t>
            </w:r>
          </w:p>
        </w:tc>
        <w:tc>
          <w:tcPr>
            <w:tcW w:w="1851" w:type="dxa"/>
            <w:tcBorders/>
            <w:vAlign w:val="center"/>
          </w:tcPr>
          <w:p>
            <w:pPr>
              <w:pStyle w:val="TableContents"/>
              <w:bidi w:val="0"/>
              <w:spacing w:before="120" w:after="160"/>
              <w:jc w:val="start"/>
              <w:rPr/>
            </w:pPr>
            <w:r>
              <w:rPr/>
              <w:t>4–5 weeks</w:t>
            </w:r>
          </w:p>
        </w:tc>
        <w:tc>
          <w:tcPr>
            <w:tcW w:w="6188" w:type="dxa"/>
            <w:tcBorders/>
            <w:vAlign w:val="center"/>
          </w:tcPr>
          <w:p>
            <w:pPr>
              <w:pStyle w:val="TableContents"/>
              <w:bidi w:val="0"/>
              <w:spacing w:before="120" w:after="160"/>
              <w:jc w:val="start"/>
              <w:rPr/>
            </w:pPr>
            <w:r>
              <w:rPr/>
              <w:t>EC2/RDS discovery, CloudWatch metrics and alarms, and configuration findings</w:t>
            </w:r>
          </w:p>
        </w:tc>
      </w:tr>
      <w:tr>
        <w:trPr/>
        <w:tc>
          <w:tcPr>
            <w:tcW w:w="3300" w:type="dxa"/>
            <w:tcBorders/>
            <w:vAlign w:val="center"/>
          </w:tcPr>
          <w:p>
            <w:pPr>
              <w:pStyle w:val="TableContents"/>
              <w:bidi w:val="0"/>
              <w:spacing w:before="120" w:after="160"/>
              <w:jc w:val="start"/>
              <w:rPr/>
            </w:pPr>
            <w:r>
              <w:rPr/>
              <w:t>Integration, hardening, and pilot release</w:t>
            </w:r>
          </w:p>
        </w:tc>
        <w:tc>
          <w:tcPr>
            <w:tcW w:w="1851" w:type="dxa"/>
            <w:tcBorders/>
            <w:vAlign w:val="center"/>
          </w:tcPr>
          <w:p>
            <w:pPr>
              <w:pStyle w:val="TableContents"/>
              <w:bidi w:val="0"/>
              <w:spacing w:before="120" w:after="160"/>
              <w:jc w:val="start"/>
              <w:rPr/>
            </w:pPr>
            <w:r>
              <w:rPr/>
              <w:t>3–4 weeks</w:t>
            </w:r>
          </w:p>
        </w:tc>
        <w:tc>
          <w:tcPr>
            <w:tcW w:w="6188" w:type="dxa"/>
            <w:tcBorders/>
            <w:vAlign w:val="center"/>
          </w:tcPr>
          <w:p>
            <w:pPr>
              <w:pStyle w:val="TableContents"/>
              <w:bidi w:val="0"/>
              <w:spacing w:before="120" w:after="160"/>
              <w:jc w:val="start"/>
              <w:rPr/>
            </w:pPr>
            <w:r>
              <w:rPr/>
              <w:t>Installable, tested release and operating documentation</w:t>
            </w:r>
          </w:p>
        </w:tc>
      </w:tr>
      <w:tr>
        <w:trPr/>
        <w:tc>
          <w:tcPr>
            <w:tcW w:w="3300" w:type="dxa"/>
            <w:tcBorders/>
            <w:vAlign w:val="center"/>
          </w:tcPr>
          <w:p>
            <w:pPr>
              <w:pStyle w:val="TableContents"/>
              <w:bidi w:val="0"/>
              <w:spacing w:before="120" w:after="160"/>
              <w:jc w:val="start"/>
              <w:rPr/>
            </w:pPr>
            <w:r>
              <w:rPr/>
              <w:t>Customer pilot</w:t>
            </w:r>
          </w:p>
        </w:tc>
        <w:tc>
          <w:tcPr>
            <w:tcW w:w="1851" w:type="dxa"/>
            <w:tcBorders/>
            <w:vAlign w:val="center"/>
          </w:tcPr>
          <w:p>
            <w:pPr>
              <w:pStyle w:val="TableContents"/>
              <w:bidi w:val="0"/>
              <w:spacing w:before="120" w:after="160"/>
              <w:jc w:val="start"/>
              <w:rPr/>
            </w:pPr>
            <w:r>
              <w:rPr/>
              <w:t>8–12 weeks</w:t>
            </w:r>
          </w:p>
        </w:tc>
        <w:tc>
          <w:tcPr>
            <w:tcW w:w="6188" w:type="dxa"/>
            <w:tcBorders/>
            <w:vAlign w:val="center"/>
          </w:tcPr>
          <w:p>
            <w:pPr>
              <w:pStyle w:val="TableContents"/>
              <w:bidi w:val="0"/>
              <w:spacing w:before="120" w:after="160"/>
              <w:jc w:val="start"/>
              <w:rPr/>
            </w:pPr>
            <w:r>
              <w:rPr/>
              <w:t>Measured operational evidence and production decision</w:t>
            </w:r>
          </w:p>
        </w:tc>
      </w:tr>
    </w:tbl>
    <w:p>
      <w:pPr>
        <w:pStyle w:val="BodyText"/>
        <w:bidi w:val="0"/>
        <w:jc w:val="start"/>
        <w:rPr/>
      </w:pPr>
      <w:r>
        <w:rPr/>
        <w:t>Some engineering phases can run in parallel. A realistic target for a pilot-ready release is approximately 18–22 calendar weeks, followed by the controlled pilot.</w:t>
      </w:r>
    </w:p>
    <w:p>
      <w:pPr>
        <w:pStyle w:val="Heading2"/>
        <w:bidi w:val="0"/>
        <w:jc w:val="start"/>
        <w:rPr/>
      </w:pPr>
      <w:r>
        <w:rPr/>
        <w:t>9. Team responsibilities</w:t>
      </w:r>
    </w:p>
    <w:tbl>
      <w:tblPr>
        <w:tblW w:w="11339" w:type="dxa"/>
        <w:jc w:val="start"/>
        <w:tblInd w:w="0" w:type="dxa"/>
        <w:tblLayout w:type="fixed"/>
        <w:tblCellMar>
          <w:top w:w="28" w:type="dxa"/>
          <w:start w:w="28" w:type="dxa"/>
          <w:bottom w:w="28" w:type="dxa"/>
          <w:end w:w="28" w:type="dxa"/>
        </w:tblCellMar>
      </w:tblPr>
      <w:tblGrid>
        <w:gridCol w:w="2860"/>
        <w:gridCol w:w="8479"/>
      </w:tblGrid>
      <w:tr>
        <w:trPr>
          <w:tblHeader w:val="true"/>
        </w:trPr>
        <w:tc>
          <w:tcPr>
            <w:tcW w:w="2860" w:type="dxa"/>
            <w:tcBorders/>
            <w:vAlign w:val="center"/>
          </w:tcPr>
          <w:p>
            <w:pPr>
              <w:pStyle w:val="TableHeading"/>
              <w:suppressLineNumbers/>
              <w:shd w:fill="0F4C5C" w:val="clear"/>
              <w:bidi w:val="0"/>
              <w:spacing w:before="120" w:after="160"/>
              <w:jc w:val="start"/>
              <w:rPr/>
            </w:pPr>
            <w:r>
              <w:rPr/>
              <w:t>Role</w:t>
            </w:r>
          </w:p>
        </w:tc>
        <w:tc>
          <w:tcPr>
            <w:tcW w:w="8479" w:type="dxa"/>
            <w:tcBorders/>
            <w:vAlign w:val="center"/>
          </w:tcPr>
          <w:p>
            <w:pPr>
              <w:pStyle w:val="TableHeading"/>
              <w:suppressLineNumbers/>
              <w:shd w:fill="0F4C5C" w:val="clear"/>
              <w:bidi w:val="0"/>
              <w:spacing w:before="120" w:after="160"/>
              <w:jc w:val="start"/>
              <w:rPr/>
            </w:pPr>
            <w:r>
              <w:rPr/>
              <w:t>Primary responsibility</w:t>
            </w:r>
          </w:p>
        </w:tc>
      </w:tr>
      <w:tr>
        <w:trPr/>
        <w:tc>
          <w:tcPr>
            <w:tcW w:w="2860" w:type="dxa"/>
            <w:tcBorders/>
            <w:vAlign w:val="center"/>
          </w:tcPr>
          <w:p>
            <w:pPr>
              <w:pStyle w:val="TableContents"/>
              <w:bidi w:val="0"/>
              <w:spacing w:before="120" w:after="160"/>
              <w:jc w:val="start"/>
              <w:rPr/>
            </w:pPr>
            <w:r>
              <w:rPr/>
              <w:t>Product owner</w:t>
            </w:r>
          </w:p>
        </w:tc>
        <w:tc>
          <w:tcPr>
            <w:tcW w:w="8479" w:type="dxa"/>
            <w:tcBorders/>
            <w:vAlign w:val="center"/>
          </w:tcPr>
          <w:p>
            <w:pPr>
              <w:pStyle w:val="TableContents"/>
              <w:bidi w:val="0"/>
              <w:spacing w:before="120" w:after="160"/>
              <w:jc w:val="start"/>
              <w:rPr/>
            </w:pPr>
            <w:r>
              <w:rPr/>
              <w:t>Product decisions, customer discovery, scope, acceptance, and commercial alignment</w:t>
            </w:r>
          </w:p>
        </w:tc>
      </w:tr>
      <w:tr>
        <w:trPr/>
        <w:tc>
          <w:tcPr>
            <w:tcW w:w="2860" w:type="dxa"/>
            <w:tcBorders/>
            <w:vAlign w:val="center"/>
          </w:tcPr>
          <w:p>
            <w:pPr>
              <w:pStyle w:val="TableContents"/>
              <w:bidi w:val="0"/>
              <w:spacing w:before="120" w:after="160"/>
              <w:jc w:val="start"/>
              <w:rPr/>
            </w:pPr>
            <w:r>
              <w:rPr/>
              <w:t>Solution architect/technical lead</w:t>
            </w:r>
          </w:p>
        </w:tc>
        <w:tc>
          <w:tcPr>
            <w:tcW w:w="8479" w:type="dxa"/>
            <w:tcBorders/>
            <w:vAlign w:val="center"/>
          </w:tcPr>
          <w:p>
            <w:pPr>
              <w:pStyle w:val="TableContents"/>
              <w:bidi w:val="0"/>
              <w:spacing w:before="120" w:after="160"/>
              <w:jc w:val="start"/>
              <w:rPr/>
            </w:pPr>
            <w:r>
              <w:rPr/>
              <w:t>Architecture, security boundaries, data model, integrations, and technical decisions</w:t>
            </w:r>
          </w:p>
        </w:tc>
      </w:tr>
      <w:tr>
        <w:trPr/>
        <w:tc>
          <w:tcPr>
            <w:tcW w:w="2860" w:type="dxa"/>
            <w:tcBorders/>
            <w:vAlign w:val="center"/>
          </w:tcPr>
          <w:p>
            <w:pPr>
              <w:pStyle w:val="TableContents"/>
              <w:bidi w:val="0"/>
              <w:spacing w:before="120" w:after="160"/>
              <w:jc w:val="start"/>
              <w:rPr/>
            </w:pPr>
            <w:r>
              <w:rPr/>
              <w:t>Backend engineers</w:t>
            </w:r>
          </w:p>
        </w:tc>
        <w:tc>
          <w:tcPr>
            <w:tcW w:w="8479" w:type="dxa"/>
            <w:tcBorders/>
            <w:vAlign w:val="center"/>
          </w:tcPr>
          <w:p>
            <w:pPr>
              <w:pStyle w:val="TableContents"/>
              <w:bidi w:val="0"/>
              <w:spacing w:before="120" w:after="160"/>
              <w:jc w:val="start"/>
              <w:rPr/>
            </w:pPr>
            <w:r>
              <w:rPr/>
              <w:t>APIs, tenancy, identity integration, connectors, jobs, alerts, reports, and audit</w:t>
            </w:r>
          </w:p>
        </w:tc>
      </w:tr>
      <w:tr>
        <w:trPr/>
        <w:tc>
          <w:tcPr>
            <w:tcW w:w="2860" w:type="dxa"/>
            <w:tcBorders/>
            <w:vAlign w:val="center"/>
          </w:tcPr>
          <w:p>
            <w:pPr>
              <w:pStyle w:val="TableContents"/>
              <w:bidi w:val="0"/>
              <w:spacing w:before="120" w:after="160"/>
              <w:jc w:val="start"/>
              <w:rPr/>
            </w:pPr>
            <w:r>
              <w:rPr/>
              <w:t>Frontend engineer</w:t>
            </w:r>
          </w:p>
        </w:tc>
        <w:tc>
          <w:tcPr>
            <w:tcW w:w="8479" w:type="dxa"/>
            <w:tcBorders/>
            <w:vAlign w:val="center"/>
          </w:tcPr>
          <w:p>
            <w:pPr>
              <w:pStyle w:val="TableContents"/>
              <w:bidi w:val="0"/>
              <w:spacing w:before="120" w:after="160"/>
              <w:jc w:val="start"/>
              <w:rPr/>
            </w:pPr>
            <w:r>
              <w:rPr/>
              <w:t>Platform admin, customer portal, dashboards, workflows, accessibility, and error handling</w:t>
            </w:r>
          </w:p>
        </w:tc>
      </w:tr>
      <w:tr>
        <w:trPr/>
        <w:tc>
          <w:tcPr>
            <w:tcW w:w="2860" w:type="dxa"/>
            <w:tcBorders/>
            <w:vAlign w:val="center"/>
          </w:tcPr>
          <w:p>
            <w:pPr>
              <w:pStyle w:val="TableContents"/>
              <w:bidi w:val="0"/>
              <w:spacing w:before="120" w:after="160"/>
              <w:jc w:val="start"/>
              <w:rPr/>
            </w:pPr>
            <w:r>
              <w:rPr/>
              <w:t>Platform/SRE engineer</w:t>
            </w:r>
          </w:p>
        </w:tc>
        <w:tc>
          <w:tcPr>
            <w:tcW w:w="8479" w:type="dxa"/>
            <w:tcBorders/>
            <w:vAlign w:val="center"/>
          </w:tcPr>
          <w:p>
            <w:pPr>
              <w:pStyle w:val="TableContents"/>
              <w:bidi w:val="0"/>
              <w:spacing w:before="120" w:after="160"/>
              <w:jc w:val="start"/>
              <w:rPr/>
            </w:pPr>
            <w:r>
              <w:rPr/>
              <w:t>Monitoring stack, deployment automation, networking, backups, upgrades, and platform observability</w:t>
            </w:r>
          </w:p>
        </w:tc>
      </w:tr>
      <w:tr>
        <w:trPr/>
        <w:tc>
          <w:tcPr>
            <w:tcW w:w="2860" w:type="dxa"/>
            <w:tcBorders/>
            <w:vAlign w:val="center"/>
          </w:tcPr>
          <w:p>
            <w:pPr>
              <w:pStyle w:val="TableContents"/>
              <w:bidi w:val="0"/>
              <w:spacing w:before="120" w:after="160"/>
              <w:jc w:val="start"/>
              <w:rPr/>
            </w:pPr>
            <w:r>
              <w:rPr/>
              <w:t>QA engineer</w:t>
            </w:r>
          </w:p>
        </w:tc>
        <w:tc>
          <w:tcPr>
            <w:tcW w:w="8479" w:type="dxa"/>
            <w:tcBorders/>
            <w:vAlign w:val="center"/>
          </w:tcPr>
          <w:p>
            <w:pPr>
              <w:pStyle w:val="TableContents"/>
              <w:bidi w:val="0"/>
              <w:spacing w:before="120" w:after="160"/>
              <w:jc w:val="start"/>
              <w:rPr/>
            </w:pPr>
            <w:r>
              <w:rPr/>
              <w:t>Functional, integration, tenancy, permissions, recovery, and release testing</w:t>
            </w:r>
          </w:p>
        </w:tc>
      </w:tr>
      <w:tr>
        <w:trPr/>
        <w:tc>
          <w:tcPr>
            <w:tcW w:w="2860" w:type="dxa"/>
            <w:tcBorders/>
            <w:vAlign w:val="center"/>
          </w:tcPr>
          <w:p>
            <w:pPr>
              <w:pStyle w:val="TableContents"/>
              <w:bidi w:val="0"/>
              <w:spacing w:before="120" w:after="160"/>
              <w:jc w:val="start"/>
              <w:rPr/>
            </w:pPr>
            <w:r>
              <w:rPr/>
              <w:t>Security reviewer</w:t>
            </w:r>
          </w:p>
        </w:tc>
        <w:tc>
          <w:tcPr>
            <w:tcW w:w="8479" w:type="dxa"/>
            <w:tcBorders/>
            <w:vAlign w:val="center"/>
          </w:tcPr>
          <w:p>
            <w:pPr>
              <w:pStyle w:val="TableContents"/>
              <w:bidi w:val="0"/>
              <w:spacing w:before="120" w:after="160"/>
              <w:jc w:val="start"/>
              <w:rPr/>
            </w:pPr>
            <w:r>
              <w:rPr/>
              <w:t>Threat model, secure design review, dependency review, penetration testing, and compliance mapping</w:t>
            </w:r>
          </w:p>
        </w:tc>
      </w:tr>
      <w:tr>
        <w:trPr/>
        <w:tc>
          <w:tcPr>
            <w:tcW w:w="2860" w:type="dxa"/>
            <w:tcBorders/>
            <w:vAlign w:val="center"/>
          </w:tcPr>
          <w:p>
            <w:pPr>
              <w:pStyle w:val="TableContents"/>
              <w:bidi w:val="0"/>
              <w:spacing w:before="120" w:after="160"/>
              <w:jc w:val="start"/>
              <w:rPr/>
            </w:pPr>
            <w:r>
              <w:rPr/>
              <w:t>UX/product designer</w:t>
            </w:r>
          </w:p>
        </w:tc>
        <w:tc>
          <w:tcPr>
            <w:tcW w:w="8479" w:type="dxa"/>
            <w:tcBorders/>
            <w:vAlign w:val="center"/>
          </w:tcPr>
          <w:p>
            <w:pPr>
              <w:pStyle w:val="TableContents"/>
              <w:bidi w:val="0"/>
              <w:spacing w:before="120" w:after="160"/>
              <w:jc w:val="start"/>
              <w:rPr/>
            </w:pPr>
            <w:r>
              <w:rPr/>
              <w:t>Information architecture, workflow design, design system, and operator usability</w:t>
            </w:r>
          </w:p>
        </w:tc>
      </w:tr>
    </w:tbl>
    <w:p>
      <w:pPr>
        <w:pStyle w:val="Heading2"/>
        <w:bidi w:val="0"/>
        <w:jc w:val="start"/>
        <w:rPr/>
      </w:pPr>
      <w:r>
        <w:rPr/>
        <w:t>10. MVP acceptance criteria</w:t>
      </w:r>
    </w:p>
    <w:p>
      <w:pPr>
        <w:pStyle w:val="BodyText"/>
        <w:bidi w:val="0"/>
        <w:jc w:val="start"/>
        <w:rPr/>
      </w:pPr>
      <w:r>
        <w:rPr/>
        <w:t>The MVP is accepted only when evidence demonstrates that:</w:t>
      </w:r>
    </w:p>
    <w:p>
      <w:pPr>
        <w:pStyle w:val="BodyText"/>
        <w:numPr>
          <w:ilvl w:val="0"/>
          <w:numId w:val="16"/>
        </w:numPr>
        <w:tabs>
          <w:tab w:val="clear" w:pos="1134"/>
          <w:tab w:val="left" w:pos="829" w:leader="none"/>
        </w:tabs>
        <w:bidi w:val="0"/>
        <w:spacing w:before="120" w:after="0"/>
        <w:ind w:hanging="283" w:start="829"/>
        <w:jc w:val="start"/>
        <w:rPr/>
      </w:pPr>
      <w:r>
        <w:rPr/>
        <w:t xml:space="preserve">A platform administrator can create and manage a customer without receiving customer infrastructure access. </w:t>
      </w:r>
    </w:p>
    <w:p>
      <w:pPr>
        <w:pStyle w:val="BodyText"/>
        <w:numPr>
          <w:ilvl w:val="0"/>
          <w:numId w:val="16"/>
        </w:numPr>
        <w:tabs>
          <w:tab w:val="clear" w:pos="1134"/>
          <w:tab w:val="left" w:pos="829" w:leader="none"/>
        </w:tabs>
        <w:bidi w:val="0"/>
        <w:spacing w:before="120" w:after="0"/>
        <w:ind w:hanging="283" w:start="829"/>
        <w:jc w:val="start"/>
        <w:rPr/>
      </w:pPr>
      <w:r>
        <w:rPr/>
        <w:t xml:space="preserve">A customer administrator can create environments and restricted users. </w:t>
      </w:r>
    </w:p>
    <w:p>
      <w:pPr>
        <w:pStyle w:val="BodyText"/>
        <w:numPr>
          <w:ilvl w:val="0"/>
          <w:numId w:val="16"/>
        </w:numPr>
        <w:tabs>
          <w:tab w:val="clear" w:pos="1134"/>
          <w:tab w:val="left" w:pos="829" w:leader="none"/>
        </w:tabs>
        <w:bidi w:val="0"/>
        <w:spacing w:before="120" w:after="0"/>
        <w:ind w:hanging="283" w:start="829"/>
        <w:jc w:val="start"/>
        <w:rPr/>
      </w:pPr>
      <w:r>
        <w:rPr/>
        <w:t xml:space="preserve">A restricted user cannot access another customer, forbidden workspace, secret, setting, query, or operation. </w:t>
      </w:r>
    </w:p>
    <w:p>
      <w:pPr>
        <w:pStyle w:val="BodyText"/>
        <w:numPr>
          <w:ilvl w:val="0"/>
          <w:numId w:val="16"/>
        </w:numPr>
        <w:tabs>
          <w:tab w:val="clear" w:pos="1134"/>
          <w:tab w:val="left" w:pos="829" w:leader="none"/>
        </w:tabs>
        <w:bidi w:val="0"/>
        <w:spacing w:before="120" w:after="0"/>
        <w:ind w:hanging="283" w:start="829"/>
        <w:jc w:val="start"/>
        <w:rPr/>
      </w:pPr>
      <w:r>
        <w:rPr/>
        <w:t xml:space="preserve">A customer can connect the supported metrics environment without making its internal endpoints public. </w:t>
      </w:r>
    </w:p>
    <w:p>
      <w:pPr>
        <w:pStyle w:val="BodyText"/>
        <w:numPr>
          <w:ilvl w:val="0"/>
          <w:numId w:val="16"/>
        </w:numPr>
        <w:tabs>
          <w:tab w:val="clear" w:pos="1134"/>
          <w:tab w:val="left" w:pos="829" w:leader="none"/>
        </w:tabs>
        <w:bidi w:val="0"/>
        <w:spacing w:before="120" w:after="0"/>
        <w:ind w:hanging="283" w:start="829"/>
        <w:jc w:val="start"/>
        <w:rPr/>
      </w:pPr>
      <w:r>
        <w:rPr/>
        <w:t xml:space="preserve">Supported servers, endpoints, and database resources are discovered and show source and freshness information. </w:t>
      </w:r>
    </w:p>
    <w:p>
      <w:pPr>
        <w:pStyle w:val="BodyText"/>
        <w:numPr>
          <w:ilvl w:val="0"/>
          <w:numId w:val="16"/>
        </w:numPr>
        <w:tabs>
          <w:tab w:val="clear" w:pos="1134"/>
          <w:tab w:val="left" w:pos="829" w:leader="none"/>
        </w:tabs>
        <w:bidi w:val="0"/>
        <w:spacing w:before="120" w:after="0"/>
        <w:ind w:hanging="283" w:start="829"/>
        <w:jc w:val="start"/>
        <w:rPr/>
      </w:pPr>
      <w:r>
        <w:rPr/>
        <w:t xml:space="preserve">A customer can connect AWS without supplying a permanent access key. </w:t>
      </w:r>
    </w:p>
    <w:p>
      <w:pPr>
        <w:pStyle w:val="BodyText"/>
        <w:numPr>
          <w:ilvl w:val="0"/>
          <w:numId w:val="16"/>
        </w:numPr>
        <w:tabs>
          <w:tab w:val="clear" w:pos="1134"/>
          <w:tab w:val="left" w:pos="829" w:leader="none"/>
        </w:tabs>
        <w:bidi w:val="0"/>
        <w:spacing w:before="120" w:after="0"/>
        <w:ind w:hanging="283" w:start="829"/>
        <w:jc w:val="start"/>
        <w:rPr/>
      </w:pPr>
      <w:r>
        <w:rPr/>
        <w:t xml:space="preserve">The AWS role can be revoked by the customer and subsequent access fails. </w:t>
      </w:r>
    </w:p>
    <w:p>
      <w:pPr>
        <w:pStyle w:val="BodyText"/>
        <w:numPr>
          <w:ilvl w:val="0"/>
          <w:numId w:val="16"/>
        </w:numPr>
        <w:tabs>
          <w:tab w:val="clear" w:pos="1134"/>
          <w:tab w:val="left" w:pos="829" w:leader="none"/>
        </w:tabs>
        <w:bidi w:val="0"/>
        <w:spacing w:before="120" w:after="0"/>
        <w:ind w:hanging="283" w:start="829"/>
        <w:jc w:val="start"/>
        <w:rPr/>
      </w:pPr>
      <w:r>
        <w:rPr/>
        <w:t xml:space="preserve">Supported EC2 and RDS resources and metrics are correctly displayed. </w:t>
      </w:r>
    </w:p>
    <w:p>
      <w:pPr>
        <w:pStyle w:val="BodyText"/>
        <w:numPr>
          <w:ilvl w:val="0"/>
          <w:numId w:val="16"/>
        </w:numPr>
        <w:tabs>
          <w:tab w:val="clear" w:pos="1134"/>
          <w:tab w:val="left" w:pos="829" w:leader="none"/>
        </w:tabs>
        <w:bidi w:val="0"/>
        <w:spacing w:before="120" w:after="0"/>
        <w:ind w:hanging="283" w:start="829"/>
        <w:jc w:val="start"/>
        <w:rPr/>
      </w:pPr>
      <w:r>
        <w:rPr/>
        <w:t xml:space="preserve">A sustained test failure produces an alert and can be acknowledged, assigned, investigated, and resolved. </w:t>
      </w:r>
    </w:p>
    <w:p>
      <w:pPr>
        <w:pStyle w:val="BodyText"/>
        <w:numPr>
          <w:ilvl w:val="0"/>
          <w:numId w:val="16"/>
        </w:numPr>
        <w:tabs>
          <w:tab w:val="clear" w:pos="1134"/>
          <w:tab w:val="left" w:pos="829" w:leader="none"/>
        </w:tabs>
        <w:bidi w:val="0"/>
        <w:spacing w:before="120" w:after="0"/>
        <w:ind w:hanging="283" w:start="829"/>
        <w:jc w:val="start"/>
        <w:rPr/>
      </w:pPr>
      <w:r>
        <w:rPr/>
        <w:t xml:space="preserve">Uptime and incident reports reconcile with the underlying monitoring evidence. </w:t>
      </w:r>
    </w:p>
    <w:p>
      <w:pPr>
        <w:pStyle w:val="BodyText"/>
        <w:numPr>
          <w:ilvl w:val="0"/>
          <w:numId w:val="16"/>
        </w:numPr>
        <w:tabs>
          <w:tab w:val="clear" w:pos="1134"/>
          <w:tab w:val="left" w:pos="829" w:leader="none"/>
        </w:tabs>
        <w:bidi w:val="0"/>
        <w:spacing w:before="120" w:after="0"/>
        <w:ind w:hanging="283" w:start="829"/>
        <w:jc w:val="start"/>
        <w:rPr/>
      </w:pPr>
      <w:r>
        <w:rPr/>
        <w:t xml:space="preserve">Every administrative, support, and infrastructure-changing action produces an immutable audit event. </w:t>
      </w:r>
    </w:p>
    <w:p>
      <w:pPr>
        <w:pStyle w:val="BodyText"/>
        <w:numPr>
          <w:ilvl w:val="0"/>
          <w:numId w:val="16"/>
        </w:numPr>
        <w:tabs>
          <w:tab w:val="clear" w:pos="1134"/>
          <w:tab w:val="left" w:pos="829" w:leader="none"/>
        </w:tabs>
        <w:bidi w:val="0"/>
        <w:spacing w:before="120" w:after="0"/>
        <w:ind w:hanging="283" w:start="829"/>
        <w:jc w:val="start"/>
        <w:rPr/>
      </w:pPr>
      <w:r>
        <w:rPr/>
        <w:t xml:space="preserve">A time-limited support grant cannot exceed its approved customer, scope, or expiry. </w:t>
      </w:r>
    </w:p>
    <w:p>
      <w:pPr>
        <w:pStyle w:val="BodyText"/>
        <w:numPr>
          <w:ilvl w:val="0"/>
          <w:numId w:val="16"/>
        </w:numPr>
        <w:tabs>
          <w:tab w:val="clear" w:pos="1134"/>
          <w:tab w:val="left" w:pos="829" w:leader="none"/>
        </w:tabs>
        <w:bidi w:val="0"/>
        <w:spacing w:before="120" w:after="0"/>
        <w:ind w:hanging="283" w:start="829"/>
        <w:jc w:val="start"/>
        <w:rPr/>
      </w:pPr>
      <w:r>
        <w:rPr/>
        <w:t xml:space="preserve">One allowed non-production EC2 or service operation progresses through authorization, execution, verification, and audit. </w:t>
      </w:r>
    </w:p>
    <w:p>
      <w:pPr>
        <w:pStyle w:val="BodyText"/>
        <w:numPr>
          <w:ilvl w:val="0"/>
          <w:numId w:val="16"/>
        </w:numPr>
        <w:tabs>
          <w:tab w:val="clear" w:pos="1134"/>
          <w:tab w:val="left" w:pos="829" w:leader="none"/>
        </w:tabs>
        <w:bidi w:val="0"/>
        <w:spacing w:before="120" w:after="0"/>
        <w:ind w:hanging="283" w:start="829"/>
        <w:jc w:val="start"/>
        <w:rPr/>
      </w:pPr>
      <w:r>
        <w:rPr/>
        <w:t xml:space="preserve">Backup restoration, software upgrade, and rollback procedures are demonstrated. </w:t>
      </w:r>
    </w:p>
    <w:p>
      <w:pPr>
        <w:pStyle w:val="BodyText"/>
        <w:numPr>
          <w:ilvl w:val="0"/>
          <w:numId w:val="16"/>
        </w:numPr>
        <w:tabs>
          <w:tab w:val="clear" w:pos="1134"/>
          <w:tab w:val="left" w:pos="829" w:leader="none"/>
        </w:tabs>
        <w:bidi w:val="0"/>
        <w:ind w:hanging="283" w:start="829"/>
        <w:jc w:val="start"/>
        <w:rPr/>
      </w:pPr>
      <w:r>
        <w:rPr/>
        <w:t xml:space="preserve">No private metrics, exporter, database, or management endpoint is exposed directly to the public internet. </w:t>
      </w:r>
    </w:p>
    <w:p>
      <w:pPr>
        <w:pStyle w:val="Heading2"/>
        <w:bidi w:val="0"/>
        <w:jc w:val="start"/>
        <w:rPr/>
      </w:pPr>
      <w:r>
        <w:rPr/>
        <w:t>11. Pilot success measures</w:t>
      </w:r>
    </w:p>
    <w:p>
      <w:pPr>
        <w:pStyle w:val="BodyText"/>
        <w:bidi w:val="0"/>
        <w:jc w:val="start"/>
        <w:rPr/>
      </w:pPr>
      <w:r>
        <w:rPr/>
        <w:t>The pilot should establish a baseline and then measure:</w:t>
      </w:r>
    </w:p>
    <w:p>
      <w:pPr>
        <w:pStyle w:val="BodyText"/>
        <w:numPr>
          <w:ilvl w:val="0"/>
          <w:numId w:val="17"/>
        </w:numPr>
        <w:tabs>
          <w:tab w:val="clear" w:pos="1134"/>
          <w:tab w:val="left" w:pos="829" w:leader="none"/>
        </w:tabs>
        <w:bidi w:val="0"/>
        <w:spacing w:before="120" w:after="0"/>
        <w:ind w:hanging="283" w:start="829"/>
        <w:jc w:val="start"/>
        <w:rPr/>
      </w:pPr>
      <w:r>
        <w:rPr/>
        <w:t xml:space="preserve">Percentage of agreed critical resources represented in inventory. </w:t>
      </w:r>
    </w:p>
    <w:p>
      <w:pPr>
        <w:pStyle w:val="BodyText"/>
        <w:numPr>
          <w:ilvl w:val="0"/>
          <w:numId w:val="17"/>
        </w:numPr>
        <w:tabs>
          <w:tab w:val="clear" w:pos="1134"/>
          <w:tab w:val="left" w:pos="829" w:leader="none"/>
        </w:tabs>
        <w:bidi w:val="0"/>
        <w:spacing w:before="120" w:after="0"/>
        <w:ind w:hanging="283" w:start="829"/>
        <w:jc w:val="start"/>
        <w:rPr/>
      </w:pPr>
      <w:r>
        <w:rPr/>
        <w:t xml:space="preserve">Percentage of agreed services covered by validated availability checks. </w:t>
      </w:r>
    </w:p>
    <w:p>
      <w:pPr>
        <w:pStyle w:val="BodyText"/>
        <w:numPr>
          <w:ilvl w:val="0"/>
          <w:numId w:val="17"/>
        </w:numPr>
        <w:tabs>
          <w:tab w:val="clear" w:pos="1134"/>
          <w:tab w:val="left" w:pos="829" w:leader="none"/>
        </w:tabs>
        <w:bidi w:val="0"/>
        <w:spacing w:before="120" w:after="0"/>
        <w:ind w:hanging="283" w:start="829"/>
        <w:jc w:val="start"/>
        <w:rPr/>
      </w:pPr>
      <w:r>
        <w:rPr/>
        <w:t xml:space="preserve">Alert precision and number of noisy or unactionable alerts. </w:t>
      </w:r>
    </w:p>
    <w:p>
      <w:pPr>
        <w:pStyle w:val="BodyText"/>
        <w:numPr>
          <w:ilvl w:val="0"/>
          <w:numId w:val="17"/>
        </w:numPr>
        <w:tabs>
          <w:tab w:val="clear" w:pos="1134"/>
          <w:tab w:val="left" w:pos="829" w:leader="none"/>
        </w:tabs>
        <w:bidi w:val="0"/>
        <w:spacing w:before="120" w:after="0"/>
        <w:ind w:hanging="283" w:start="829"/>
        <w:jc w:val="start"/>
        <w:rPr/>
      </w:pPr>
      <w:r>
        <w:rPr/>
        <w:t xml:space="preserve">Mean time to detect and acknowledge pilot incidents. </w:t>
      </w:r>
    </w:p>
    <w:p>
      <w:pPr>
        <w:pStyle w:val="BodyText"/>
        <w:numPr>
          <w:ilvl w:val="0"/>
          <w:numId w:val="17"/>
        </w:numPr>
        <w:tabs>
          <w:tab w:val="clear" w:pos="1134"/>
          <w:tab w:val="left" w:pos="829" w:leader="none"/>
        </w:tabs>
        <w:bidi w:val="0"/>
        <w:spacing w:before="120" w:after="0"/>
        <w:ind w:hanging="283" w:start="829"/>
        <w:jc w:val="start"/>
        <w:rPr/>
      </w:pPr>
      <w:r>
        <w:rPr/>
        <w:t xml:space="preserve">Availability-report accuracy. </w:t>
      </w:r>
    </w:p>
    <w:p>
      <w:pPr>
        <w:pStyle w:val="BodyText"/>
        <w:numPr>
          <w:ilvl w:val="0"/>
          <w:numId w:val="17"/>
        </w:numPr>
        <w:tabs>
          <w:tab w:val="clear" w:pos="1134"/>
          <w:tab w:val="left" w:pos="829" w:leader="none"/>
        </w:tabs>
        <w:bidi w:val="0"/>
        <w:spacing w:before="120" w:after="0"/>
        <w:ind w:hanging="283" w:start="829"/>
        <w:jc w:val="start"/>
        <w:rPr/>
      </w:pPr>
      <w:r>
        <w:rPr/>
        <w:t xml:space="preserve">Number of capacity risks identified before failure. </w:t>
      </w:r>
    </w:p>
    <w:p>
      <w:pPr>
        <w:pStyle w:val="BodyText"/>
        <w:numPr>
          <w:ilvl w:val="0"/>
          <w:numId w:val="17"/>
        </w:numPr>
        <w:tabs>
          <w:tab w:val="clear" w:pos="1134"/>
          <w:tab w:val="left" w:pos="829" w:leader="none"/>
        </w:tabs>
        <w:bidi w:val="0"/>
        <w:spacing w:before="120" w:after="0"/>
        <w:ind w:hanging="283" w:start="829"/>
        <w:jc w:val="start"/>
        <w:rPr/>
      </w:pPr>
      <w:r>
        <w:rPr/>
        <w:t xml:space="preserve">Percentage of privileged actions with complete audit evidence. </w:t>
      </w:r>
    </w:p>
    <w:p>
      <w:pPr>
        <w:pStyle w:val="BodyText"/>
        <w:numPr>
          <w:ilvl w:val="0"/>
          <w:numId w:val="17"/>
        </w:numPr>
        <w:tabs>
          <w:tab w:val="clear" w:pos="1134"/>
          <w:tab w:val="left" w:pos="829" w:leader="none"/>
        </w:tabs>
        <w:bidi w:val="0"/>
        <w:spacing w:before="120" w:after="0"/>
        <w:ind w:hanging="283" w:start="829"/>
        <w:jc w:val="start"/>
        <w:rPr/>
      </w:pPr>
      <w:r>
        <w:rPr/>
        <w:t xml:space="preserve">Time required to prepare monthly operational reports before and after MetricOps. </w:t>
      </w:r>
    </w:p>
    <w:p>
      <w:pPr>
        <w:pStyle w:val="BodyText"/>
        <w:numPr>
          <w:ilvl w:val="0"/>
          <w:numId w:val="17"/>
        </w:numPr>
        <w:tabs>
          <w:tab w:val="clear" w:pos="1134"/>
          <w:tab w:val="left" w:pos="829" w:leader="none"/>
        </w:tabs>
        <w:bidi w:val="0"/>
        <w:spacing w:before="120" w:after="0"/>
        <w:ind w:hanging="283" w:start="829"/>
        <w:jc w:val="start"/>
        <w:rPr/>
      </w:pPr>
      <w:r>
        <w:rPr/>
        <w:t xml:space="preserve">User adoption by administrators, operators, and auditors. </w:t>
      </w:r>
    </w:p>
    <w:p>
      <w:pPr>
        <w:pStyle w:val="BodyText"/>
        <w:numPr>
          <w:ilvl w:val="0"/>
          <w:numId w:val="17"/>
        </w:numPr>
        <w:tabs>
          <w:tab w:val="clear" w:pos="1134"/>
          <w:tab w:val="left" w:pos="829" w:leader="none"/>
        </w:tabs>
        <w:bidi w:val="0"/>
        <w:ind w:hanging="283" w:start="829"/>
        <w:jc w:val="start"/>
        <w:rPr/>
      </w:pPr>
      <w:r>
        <w:rPr/>
        <w:t xml:space="preserve">Number and severity of security or resilience configuration findings resolved. </w:t>
      </w:r>
    </w:p>
    <w:p>
      <w:pPr>
        <w:pStyle w:val="Heading2"/>
        <w:bidi w:val="0"/>
        <w:jc w:val="start"/>
        <w:rPr/>
      </w:pPr>
      <w:r>
        <w:rPr/>
        <w:t>12. Dependencies and assumptions</w:t>
      </w:r>
    </w:p>
    <w:p>
      <w:pPr>
        <w:pStyle w:val="BodyText"/>
        <w:numPr>
          <w:ilvl w:val="0"/>
          <w:numId w:val="18"/>
        </w:numPr>
        <w:tabs>
          <w:tab w:val="clear" w:pos="1134"/>
          <w:tab w:val="left" w:pos="829" w:leader="none"/>
        </w:tabs>
        <w:bidi w:val="0"/>
        <w:spacing w:before="120" w:after="0"/>
        <w:ind w:hanging="283" w:start="829"/>
        <w:jc w:val="start"/>
        <w:rPr/>
      </w:pPr>
      <w:r>
        <w:rPr/>
        <w:t xml:space="preserve">The pilot customer will nominate technical and approving stakeholders. </w:t>
      </w:r>
    </w:p>
    <w:p>
      <w:pPr>
        <w:pStyle w:val="BodyText"/>
        <w:numPr>
          <w:ilvl w:val="0"/>
          <w:numId w:val="18"/>
        </w:numPr>
        <w:tabs>
          <w:tab w:val="clear" w:pos="1134"/>
          <w:tab w:val="left" w:pos="829" w:leader="none"/>
        </w:tabs>
        <w:bidi w:val="0"/>
        <w:spacing w:before="120" w:after="0"/>
        <w:ind w:hanging="283" w:start="829"/>
        <w:jc w:val="start"/>
        <w:rPr/>
      </w:pPr>
      <w:r>
        <w:rPr/>
        <w:t xml:space="preserve">Network routes, firewall changes, certificates, DNS, and test infrastructure will be provided on schedule. </w:t>
      </w:r>
    </w:p>
    <w:p>
      <w:pPr>
        <w:pStyle w:val="BodyText"/>
        <w:numPr>
          <w:ilvl w:val="0"/>
          <w:numId w:val="18"/>
        </w:numPr>
        <w:tabs>
          <w:tab w:val="clear" w:pos="1134"/>
          <w:tab w:val="left" w:pos="829" w:leader="none"/>
        </w:tabs>
        <w:bidi w:val="0"/>
        <w:spacing w:before="120" w:after="0"/>
        <w:ind w:hanging="283" w:start="829"/>
        <w:jc w:val="start"/>
        <w:rPr/>
      </w:pPr>
      <w:r>
        <w:rPr/>
        <w:t xml:space="preserve">The customer will approve a least-privilege AWS role and selected monitored resources. </w:t>
      </w:r>
    </w:p>
    <w:p>
      <w:pPr>
        <w:pStyle w:val="BodyText"/>
        <w:numPr>
          <w:ilvl w:val="0"/>
          <w:numId w:val="18"/>
        </w:numPr>
        <w:tabs>
          <w:tab w:val="clear" w:pos="1134"/>
          <w:tab w:val="left" w:pos="829" w:leader="none"/>
        </w:tabs>
        <w:bidi w:val="0"/>
        <w:spacing w:before="120" w:after="0"/>
        <w:ind w:hanging="283" w:start="829"/>
        <w:jc w:val="start"/>
        <w:rPr/>
      </w:pPr>
      <w:r>
        <w:rPr/>
        <w:t xml:space="preserve">The customer will identify which data may leave its network, if any. </w:t>
      </w:r>
    </w:p>
    <w:p>
      <w:pPr>
        <w:pStyle w:val="BodyText"/>
        <w:numPr>
          <w:ilvl w:val="0"/>
          <w:numId w:val="18"/>
        </w:numPr>
        <w:tabs>
          <w:tab w:val="clear" w:pos="1134"/>
          <w:tab w:val="left" w:pos="829" w:leader="none"/>
        </w:tabs>
        <w:bidi w:val="0"/>
        <w:spacing w:before="120" w:after="0"/>
        <w:ind w:hanging="283" w:start="829"/>
        <w:jc w:val="start"/>
        <w:rPr/>
      </w:pPr>
      <w:r>
        <w:rPr/>
        <w:t xml:space="preserve">The selected applications and database can expose health or metric evidence without exposing sensitive business data. </w:t>
      </w:r>
    </w:p>
    <w:p>
      <w:pPr>
        <w:pStyle w:val="BodyText"/>
        <w:numPr>
          <w:ilvl w:val="0"/>
          <w:numId w:val="18"/>
        </w:numPr>
        <w:tabs>
          <w:tab w:val="clear" w:pos="1134"/>
          <w:tab w:val="left" w:pos="829" w:leader="none"/>
        </w:tabs>
        <w:bidi w:val="0"/>
        <w:spacing w:before="120" w:after="0"/>
        <w:ind w:hanging="283" w:start="829"/>
        <w:jc w:val="start"/>
        <w:rPr/>
      </w:pPr>
      <w:r>
        <w:rPr/>
        <w:t xml:space="preserve">Procurement and security teams will review deployment and support-access terms. </w:t>
      </w:r>
    </w:p>
    <w:p>
      <w:pPr>
        <w:pStyle w:val="BodyText"/>
        <w:numPr>
          <w:ilvl w:val="0"/>
          <w:numId w:val="18"/>
        </w:numPr>
        <w:tabs>
          <w:tab w:val="clear" w:pos="1134"/>
          <w:tab w:val="left" w:pos="829" w:leader="none"/>
        </w:tabs>
        <w:bidi w:val="0"/>
        <w:ind w:hanging="283" w:start="829"/>
        <w:jc w:val="start"/>
        <w:rPr/>
      </w:pPr>
      <w:r>
        <w:rPr/>
        <w:t xml:space="preserve">Production operations will remain disabled until separately accepted. </w:t>
      </w:r>
    </w:p>
    <w:p>
      <w:pPr>
        <w:pStyle w:val="Heading2"/>
        <w:bidi w:val="0"/>
        <w:jc w:val="start"/>
        <w:rPr/>
      </w:pPr>
      <w:r>
        <w:rPr/>
        <w:t>13. Key risks and mitigation</w:t>
      </w:r>
    </w:p>
    <w:tbl>
      <w:tblPr>
        <w:tblW w:w="11339" w:type="dxa"/>
        <w:jc w:val="start"/>
        <w:tblInd w:w="0" w:type="dxa"/>
        <w:tblLayout w:type="fixed"/>
        <w:tblCellMar>
          <w:top w:w="28" w:type="dxa"/>
          <w:start w:w="28" w:type="dxa"/>
          <w:bottom w:w="28" w:type="dxa"/>
          <w:end w:w="28" w:type="dxa"/>
        </w:tblCellMar>
      </w:tblPr>
      <w:tblGrid>
        <w:gridCol w:w="4905"/>
        <w:gridCol w:w="6434"/>
      </w:tblGrid>
      <w:tr>
        <w:trPr>
          <w:tblHeader w:val="true"/>
        </w:trPr>
        <w:tc>
          <w:tcPr>
            <w:tcW w:w="4905" w:type="dxa"/>
            <w:tcBorders/>
            <w:vAlign w:val="center"/>
          </w:tcPr>
          <w:p>
            <w:pPr>
              <w:pStyle w:val="TableHeading"/>
              <w:suppressLineNumbers/>
              <w:shd w:fill="0F4C5C" w:val="clear"/>
              <w:bidi w:val="0"/>
              <w:spacing w:before="120" w:after="160"/>
              <w:jc w:val="start"/>
              <w:rPr/>
            </w:pPr>
            <w:r>
              <w:rPr/>
              <w:t>Risk</w:t>
            </w:r>
          </w:p>
        </w:tc>
        <w:tc>
          <w:tcPr>
            <w:tcW w:w="6434" w:type="dxa"/>
            <w:tcBorders/>
            <w:vAlign w:val="center"/>
          </w:tcPr>
          <w:p>
            <w:pPr>
              <w:pStyle w:val="TableHeading"/>
              <w:suppressLineNumbers/>
              <w:shd w:fill="0F4C5C" w:val="clear"/>
              <w:bidi w:val="0"/>
              <w:spacing w:before="120" w:after="160"/>
              <w:jc w:val="start"/>
              <w:rPr/>
            </w:pPr>
            <w:r>
              <w:rPr/>
              <w:t>Mitigation</w:t>
            </w:r>
          </w:p>
        </w:tc>
      </w:tr>
      <w:tr>
        <w:trPr/>
        <w:tc>
          <w:tcPr>
            <w:tcW w:w="4905" w:type="dxa"/>
            <w:tcBorders/>
            <w:vAlign w:val="center"/>
          </w:tcPr>
          <w:p>
            <w:pPr>
              <w:pStyle w:val="TableContents"/>
              <w:bidi w:val="0"/>
              <w:spacing w:before="120" w:after="160"/>
              <w:jc w:val="start"/>
              <w:rPr/>
            </w:pPr>
            <w:r>
              <w:rPr/>
              <w:t>Scope expands into a complete monitoring suite</w:t>
            </w:r>
          </w:p>
        </w:tc>
        <w:tc>
          <w:tcPr>
            <w:tcW w:w="6434" w:type="dxa"/>
            <w:tcBorders/>
            <w:vAlign w:val="center"/>
          </w:tcPr>
          <w:p>
            <w:pPr>
              <w:pStyle w:val="TableContents"/>
              <w:bidi w:val="0"/>
              <w:spacing w:before="120" w:after="160"/>
              <w:jc w:val="start"/>
              <w:rPr/>
            </w:pPr>
            <w:r>
              <w:rPr/>
              <w:t>Enforce explicit MVP boundaries and reuse established monitoring capabilities</w:t>
            </w:r>
          </w:p>
        </w:tc>
      </w:tr>
      <w:tr>
        <w:trPr/>
        <w:tc>
          <w:tcPr>
            <w:tcW w:w="4905" w:type="dxa"/>
            <w:tcBorders/>
            <w:vAlign w:val="center"/>
          </w:tcPr>
          <w:p>
            <w:pPr>
              <w:pStyle w:val="TableContents"/>
              <w:bidi w:val="0"/>
              <w:spacing w:before="120" w:after="160"/>
              <w:jc w:val="start"/>
              <w:rPr/>
            </w:pPr>
            <w:r>
              <w:rPr/>
              <w:t>Customer distrust of vendor access</w:t>
            </w:r>
          </w:p>
        </w:tc>
        <w:tc>
          <w:tcPr>
            <w:tcW w:w="6434" w:type="dxa"/>
            <w:tcBorders/>
            <w:vAlign w:val="center"/>
          </w:tcPr>
          <w:p>
            <w:pPr>
              <w:pStyle w:val="TableContents"/>
              <w:bidi w:val="0"/>
              <w:spacing w:before="120" w:after="160"/>
              <w:jc w:val="start"/>
              <w:rPr/>
            </w:pPr>
            <w:r>
              <w:rPr/>
              <w:t>No-access default, customer-approved support grants, visible sessions, and complete audit</w:t>
            </w:r>
          </w:p>
        </w:tc>
      </w:tr>
      <w:tr>
        <w:trPr/>
        <w:tc>
          <w:tcPr>
            <w:tcW w:w="4905" w:type="dxa"/>
            <w:tcBorders/>
            <w:vAlign w:val="center"/>
          </w:tcPr>
          <w:p>
            <w:pPr>
              <w:pStyle w:val="TableContents"/>
              <w:bidi w:val="0"/>
              <w:spacing w:before="120" w:after="160"/>
              <w:jc w:val="start"/>
              <w:rPr/>
            </w:pPr>
            <w:r>
              <w:rPr/>
              <w:t>AWS permissions are broader than necessary</w:t>
            </w:r>
          </w:p>
        </w:tc>
        <w:tc>
          <w:tcPr>
            <w:tcW w:w="6434" w:type="dxa"/>
            <w:tcBorders/>
            <w:vAlign w:val="center"/>
          </w:tcPr>
          <w:p>
            <w:pPr>
              <w:pStyle w:val="TableContents"/>
              <w:bidi w:val="0"/>
              <w:spacing w:before="120" w:after="160"/>
              <w:jc w:val="start"/>
              <w:rPr/>
            </w:pPr>
            <w:r>
              <w:rPr/>
              <w:t>Separate read-only and operations roles; use temporary sessions and customer revocation</w:t>
            </w:r>
          </w:p>
        </w:tc>
      </w:tr>
      <w:tr>
        <w:trPr/>
        <w:tc>
          <w:tcPr>
            <w:tcW w:w="4905" w:type="dxa"/>
            <w:tcBorders/>
            <w:vAlign w:val="center"/>
          </w:tcPr>
          <w:p>
            <w:pPr>
              <w:pStyle w:val="TableContents"/>
              <w:bidi w:val="0"/>
              <w:spacing w:before="120" w:after="160"/>
              <w:jc w:val="start"/>
              <w:rPr/>
            </w:pPr>
            <w:r>
              <w:rPr/>
              <w:t>Metrics are mistaken for full security coverage</w:t>
            </w:r>
          </w:p>
        </w:tc>
        <w:tc>
          <w:tcPr>
            <w:tcW w:w="6434" w:type="dxa"/>
            <w:tcBorders/>
            <w:vAlign w:val="center"/>
          </w:tcPr>
          <w:p>
            <w:pPr>
              <w:pStyle w:val="TableContents"/>
              <w:bidi w:val="0"/>
              <w:spacing w:before="120" w:after="160"/>
              <w:jc w:val="start"/>
              <w:rPr/>
            </w:pPr>
            <w:r>
              <w:rPr/>
              <w:t>Clearly separate availability findings, configuration findings, and security-event capabilities</w:t>
            </w:r>
          </w:p>
        </w:tc>
      </w:tr>
      <w:tr>
        <w:trPr/>
        <w:tc>
          <w:tcPr>
            <w:tcW w:w="4905" w:type="dxa"/>
            <w:tcBorders/>
            <w:vAlign w:val="center"/>
          </w:tcPr>
          <w:p>
            <w:pPr>
              <w:pStyle w:val="TableContents"/>
              <w:bidi w:val="0"/>
              <w:spacing w:before="120" w:after="160"/>
              <w:jc w:val="start"/>
              <w:rPr/>
            </w:pPr>
            <w:r>
              <w:rPr/>
              <w:t>Alert fatigue reduces adoption</w:t>
            </w:r>
          </w:p>
        </w:tc>
        <w:tc>
          <w:tcPr>
            <w:tcW w:w="6434" w:type="dxa"/>
            <w:tcBorders/>
            <w:vAlign w:val="center"/>
          </w:tcPr>
          <w:p>
            <w:pPr>
              <w:pStyle w:val="TableContents"/>
              <w:bidi w:val="0"/>
              <w:spacing w:before="120" w:after="160"/>
              <w:jc w:val="start"/>
              <w:rPr/>
            </w:pPr>
            <w:r>
              <w:rPr/>
              <w:t>Start with a small validated alert catalogue and maintenance windows</w:t>
            </w:r>
          </w:p>
        </w:tc>
      </w:tr>
      <w:tr>
        <w:trPr/>
        <w:tc>
          <w:tcPr>
            <w:tcW w:w="4905" w:type="dxa"/>
            <w:tcBorders/>
            <w:vAlign w:val="center"/>
          </w:tcPr>
          <w:p>
            <w:pPr>
              <w:pStyle w:val="TableContents"/>
              <w:bidi w:val="0"/>
              <w:spacing w:before="120" w:after="160"/>
              <w:jc w:val="start"/>
              <w:rPr/>
            </w:pPr>
            <w:r>
              <w:rPr/>
              <w:t>Private infrastructure cannot accept inbound connections</w:t>
            </w:r>
          </w:p>
        </w:tc>
        <w:tc>
          <w:tcPr>
            <w:tcW w:w="6434" w:type="dxa"/>
            <w:tcBorders/>
            <w:vAlign w:val="center"/>
          </w:tcPr>
          <w:p>
            <w:pPr>
              <w:pStyle w:val="TableContents"/>
              <w:bidi w:val="0"/>
              <w:spacing w:before="120" w:after="160"/>
              <w:jc w:val="start"/>
              <w:rPr/>
            </w:pPr>
            <w:r>
              <w:rPr/>
              <w:t>Deploy locally or use an outbound edge connector</w:t>
            </w:r>
          </w:p>
        </w:tc>
      </w:tr>
      <w:tr>
        <w:trPr/>
        <w:tc>
          <w:tcPr>
            <w:tcW w:w="4905" w:type="dxa"/>
            <w:tcBorders/>
            <w:vAlign w:val="center"/>
          </w:tcPr>
          <w:p>
            <w:pPr>
              <w:pStyle w:val="TableContents"/>
              <w:bidi w:val="0"/>
              <w:spacing w:before="120" w:after="160"/>
              <w:jc w:val="start"/>
              <w:rPr/>
            </w:pPr>
            <w:r>
              <w:rPr/>
              <w:t>Government approval or procurement takes longer than engineering</w:t>
            </w:r>
          </w:p>
        </w:tc>
        <w:tc>
          <w:tcPr>
            <w:tcW w:w="6434" w:type="dxa"/>
            <w:tcBorders/>
            <w:vAlign w:val="center"/>
          </w:tcPr>
          <w:p>
            <w:pPr>
              <w:pStyle w:val="TableContents"/>
              <w:bidi w:val="0"/>
              <w:spacing w:before="120" w:after="160"/>
              <w:jc w:val="start"/>
              <w:rPr/>
            </w:pPr>
            <w:r>
              <w:rPr/>
              <w:t>Begin policy, procurement, data-residency, and pilot discussions during discovery</w:t>
            </w:r>
          </w:p>
        </w:tc>
      </w:tr>
      <w:tr>
        <w:trPr/>
        <w:tc>
          <w:tcPr>
            <w:tcW w:w="4905" w:type="dxa"/>
            <w:tcBorders/>
            <w:vAlign w:val="center"/>
          </w:tcPr>
          <w:p>
            <w:pPr>
              <w:pStyle w:val="TableContents"/>
              <w:bidi w:val="0"/>
              <w:spacing w:before="120" w:after="160"/>
              <w:jc w:val="start"/>
              <w:rPr/>
            </w:pPr>
            <w:r>
              <w:rPr/>
              <w:t>Customer environments are inconsistent</w:t>
            </w:r>
          </w:p>
        </w:tc>
        <w:tc>
          <w:tcPr>
            <w:tcW w:w="6434" w:type="dxa"/>
            <w:tcBorders/>
            <w:vAlign w:val="center"/>
          </w:tcPr>
          <w:p>
            <w:pPr>
              <w:pStyle w:val="TableContents"/>
              <w:bidi w:val="0"/>
              <w:spacing w:before="120" w:after="160"/>
              <w:jc w:val="start"/>
              <w:rPr/>
            </w:pPr>
            <w:r>
              <w:rPr/>
              <w:t>Use capability discovery and show unsupported states explicitly</w:t>
            </w:r>
          </w:p>
        </w:tc>
      </w:tr>
      <w:tr>
        <w:trPr/>
        <w:tc>
          <w:tcPr>
            <w:tcW w:w="4905" w:type="dxa"/>
            <w:tcBorders/>
            <w:vAlign w:val="center"/>
          </w:tcPr>
          <w:p>
            <w:pPr>
              <w:pStyle w:val="TableContents"/>
              <w:bidi w:val="0"/>
              <w:spacing w:before="120" w:after="160"/>
              <w:jc w:val="start"/>
              <w:rPr/>
            </w:pPr>
            <w:r>
              <w:rPr/>
              <w:t>A custom agent becomes a security burden</w:t>
            </w:r>
          </w:p>
        </w:tc>
        <w:tc>
          <w:tcPr>
            <w:tcW w:w="6434" w:type="dxa"/>
            <w:tcBorders/>
            <w:vAlign w:val="center"/>
          </w:tcPr>
          <w:p>
            <w:pPr>
              <w:pStyle w:val="TableContents"/>
              <w:bidi w:val="0"/>
              <w:spacing w:before="120" w:after="160"/>
              <w:jc w:val="start"/>
              <w:rPr/>
            </w:pPr>
            <w:r>
              <w:rPr/>
              <w:t>Prefer standard exporters; keep the edge component minimal and allow-listed</w:t>
            </w:r>
          </w:p>
        </w:tc>
      </w:tr>
      <w:tr>
        <w:trPr/>
        <w:tc>
          <w:tcPr>
            <w:tcW w:w="4905" w:type="dxa"/>
            <w:tcBorders/>
            <w:vAlign w:val="center"/>
          </w:tcPr>
          <w:p>
            <w:pPr>
              <w:pStyle w:val="TableContents"/>
              <w:bidi w:val="0"/>
              <w:spacing w:before="120" w:after="160"/>
              <w:jc w:val="start"/>
              <w:rPr/>
            </w:pPr>
            <w:r>
              <w:rPr/>
              <w:t>Reports do not match stakeholder expectations</w:t>
            </w:r>
          </w:p>
        </w:tc>
        <w:tc>
          <w:tcPr>
            <w:tcW w:w="6434" w:type="dxa"/>
            <w:tcBorders/>
            <w:vAlign w:val="center"/>
          </w:tcPr>
          <w:p>
            <w:pPr>
              <w:pStyle w:val="TableContents"/>
              <w:bidi w:val="0"/>
              <w:spacing w:before="120" w:after="160"/>
              <w:jc w:val="start"/>
              <w:rPr/>
            </w:pPr>
            <w:r>
              <w:rPr/>
              <w:t>Agree report samples and calculations before implementation</w:t>
            </w:r>
          </w:p>
        </w:tc>
      </w:tr>
    </w:tbl>
    <w:p>
      <w:pPr>
        <w:pStyle w:val="Heading2"/>
        <w:bidi w:val="0"/>
        <w:jc w:val="start"/>
        <w:rPr/>
      </w:pPr>
      <w:r>
        <w:rPr/>
        <w:t>14. Governance and change control</w:t>
      </w:r>
    </w:p>
    <w:p>
      <w:pPr>
        <w:pStyle w:val="BodyText"/>
        <w:numPr>
          <w:ilvl w:val="0"/>
          <w:numId w:val="19"/>
        </w:numPr>
        <w:tabs>
          <w:tab w:val="clear" w:pos="1134"/>
          <w:tab w:val="left" w:pos="829" w:leader="none"/>
        </w:tabs>
        <w:bidi w:val="0"/>
        <w:spacing w:before="120" w:after="0"/>
        <w:ind w:hanging="283" w:start="829"/>
        <w:jc w:val="start"/>
        <w:rPr/>
      </w:pPr>
      <w:r>
        <w:rPr/>
        <w:t xml:space="preserve">The product owner owns scope and acceptance decisions. </w:t>
      </w:r>
    </w:p>
    <w:p>
      <w:pPr>
        <w:pStyle w:val="BodyText"/>
        <w:numPr>
          <w:ilvl w:val="0"/>
          <w:numId w:val="19"/>
        </w:numPr>
        <w:tabs>
          <w:tab w:val="clear" w:pos="1134"/>
          <w:tab w:val="left" w:pos="829" w:leader="none"/>
        </w:tabs>
        <w:bidi w:val="0"/>
        <w:spacing w:before="120" w:after="0"/>
        <w:ind w:hanging="283" w:start="829"/>
        <w:jc w:val="start"/>
        <w:rPr/>
      </w:pPr>
      <w:r>
        <w:rPr/>
        <w:t xml:space="preserve">Security-boundary changes require technical-lead and security review. </w:t>
      </w:r>
    </w:p>
    <w:p>
      <w:pPr>
        <w:pStyle w:val="BodyText"/>
        <w:numPr>
          <w:ilvl w:val="0"/>
          <w:numId w:val="19"/>
        </w:numPr>
        <w:tabs>
          <w:tab w:val="clear" w:pos="1134"/>
          <w:tab w:val="left" w:pos="829" w:leader="none"/>
        </w:tabs>
        <w:bidi w:val="0"/>
        <w:spacing w:before="120" w:after="0"/>
        <w:ind w:hanging="283" w:start="829"/>
        <w:jc w:val="start"/>
        <w:rPr/>
      </w:pPr>
      <w:r>
        <w:rPr/>
        <w:t xml:space="preserve">Any new infrastructure-changing capability requires a threat model, explicit permissions, verification behavior, and audit schema. </w:t>
      </w:r>
    </w:p>
    <w:p>
      <w:pPr>
        <w:pStyle w:val="BodyText"/>
        <w:numPr>
          <w:ilvl w:val="0"/>
          <w:numId w:val="19"/>
        </w:numPr>
        <w:tabs>
          <w:tab w:val="clear" w:pos="1134"/>
          <w:tab w:val="left" w:pos="829" w:leader="none"/>
        </w:tabs>
        <w:bidi w:val="0"/>
        <w:spacing w:before="120" w:after="0"/>
        <w:ind w:hanging="283" w:start="829"/>
        <w:jc w:val="start"/>
        <w:rPr/>
      </w:pPr>
      <w:r>
        <w:rPr/>
        <w:t xml:space="preserve">Any new integration must implement the common connector contract and failure-isolation requirements. </w:t>
      </w:r>
    </w:p>
    <w:p>
      <w:pPr>
        <w:pStyle w:val="BodyText"/>
        <w:numPr>
          <w:ilvl w:val="0"/>
          <w:numId w:val="19"/>
        </w:numPr>
        <w:tabs>
          <w:tab w:val="clear" w:pos="1134"/>
          <w:tab w:val="left" w:pos="829" w:leader="none"/>
        </w:tabs>
        <w:bidi w:val="0"/>
        <w:spacing w:before="120" w:after="0"/>
        <w:ind w:hanging="283" w:start="829"/>
        <w:jc w:val="start"/>
        <w:rPr/>
      </w:pPr>
      <w:r>
        <w:rPr/>
        <w:t xml:space="preserve">Changes affecting retention, customer access, data location, or support access require documented customer and compliance impact. </w:t>
      </w:r>
    </w:p>
    <w:p>
      <w:pPr>
        <w:pStyle w:val="BodyText"/>
        <w:numPr>
          <w:ilvl w:val="0"/>
          <w:numId w:val="19"/>
        </w:numPr>
        <w:tabs>
          <w:tab w:val="clear" w:pos="1134"/>
          <w:tab w:val="left" w:pos="829" w:leader="none"/>
        </w:tabs>
        <w:bidi w:val="0"/>
        <w:ind w:hanging="283" w:start="829"/>
        <w:jc w:val="start"/>
        <w:rPr/>
      </w:pPr>
      <w:r>
        <w:rPr/>
        <w:t xml:space="preserve">Deferred features enter the MVP only through an approved change request with schedule and risk impact. </w:t>
      </w:r>
    </w:p>
    <w:p>
      <w:pPr>
        <w:pStyle w:val="Heading2"/>
        <w:bidi w:val="0"/>
        <w:jc w:val="start"/>
        <w:rPr/>
      </w:pPr>
      <w:r>
        <w:rPr/>
        <w:t>15. Initial deliverables</w:t>
      </w:r>
    </w:p>
    <w:p>
      <w:pPr>
        <w:pStyle w:val="BodyText"/>
        <w:numPr>
          <w:ilvl w:val="0"/>
          <w:numId w:val="20"/>
        </w:numPr>
        <w:tabs>
          <w:tab w:val="clear" w:pos="1134"/>
          <w:tab w:val="left" w:pos="829" w:leader="none"/>
        </w:tabs>
        <w:bidi w:val="0"/>
        <w:spacing w:before="120" w:after="0"/>
        <w:ind w:hanging="283" w:start="829"/>
        <w:jc w:val="start"/>
        <w:rPr/>
      </w:pPr>
      <w:r>
        <w:rPr/>
        <w:t xml:space="preserve">Approved product requirements and architecture. </w:t>
      </w:r>
    </w:p>
    <w:p>
      <w:pPr>
        <w:pStyle w:val="BodyText"/>
        <w:numPr>
          <w:ilvl w:val="0"/>
          <w:numId w:val="20"/>
        </w:numPr>
        <w:tabs>
          <w:tab w:val="clear" w:pos="1134"/>
          <w:tab w:val="left" w:pos="829" w:leader="none"/>
        </w:tabs>
        <w:bidi w:val="0"/>
        <w:spacing w:before="120" w:after="0"/>
        <w:ind w:hanging="283" w:start="829"/>
        <w:jc w:val="start"/>
        <w:rPr/>
      </w:pPr>
      <w:r>
        <w:rPr/>
        <w:t xml:space="preserve">Platform and customer administration modules. </w:t>
      </w:r>
    </w:p>
    <w:p>
      <w:pPr>
        <w:pStyle w:val="BodyText"/>
        <w:numPr>
          <w:ilvl w:val="0"/>
          <w:numId w:val="20"/>
        </w:numPr>
        <w:tabs>
          <w:tab w:val="clear" w:pos="1134"/>
          <w:tab w:val="left" w:pos="829" w:leader="none"/>
        </w:tabs>
        <w:bidi w:val="0"/>
        <w:spacing w:before="120" w:after="0"/>
        <w:ind w:hanging="283" w:start="829"/>
        <w:jc w:val="start"/>
        <w:rPr/>
      </w:pPr>
      <w:r>
        <w:rPr/>
        <w:t xml:space="preserve">Linux, endpoint, database, Prometheus, Grafana, and AWS connection guides. </w:t>
      </w:r>
    </w:p>
    <w:p>
      <w:pPr>
        <w:pStyle w:val="BodyText"/>
        <w:numPr>
          <w:ilvl w:val="0"/>
          <w:numId w:val="20"/>
        </w:numPr>
        <w:tabs>
          <w:tab w:val="clear" w:pos="1134"/>
          <w:tab w:val="left" w:pos="829" w:leader="none"/>
        </w:tabs>
        <w:bidi w:val="0"/>
        <w:spacing w:before="120" w:after="0"/>
        <w:ind w:hanging="283" w:start="829"/>
        <w:jc w:val="start"/>
        <w:rPr/>
      </w:pPr>
      <w:r>
        <w:rPr/>
        <w:t xml:space="preserve">Default dashboard and alert catalogue. </w:t>
      </w:r>
    </w:p>
    <w:p>
      <w:pPr>
        <w:pStyle w:val="BodyText"/>
        <w:numPr>
          <w:ilvl w:val="0"/>
          <w:numId w:val="20"/>
        </w:numPr>
        <w:tabs>
          <w:tab w:val="clear" w:pos="1134"/>
          <w:tab w:val="left" w:pos="829" w:leader="none"/>
        </w:tabs>
        <w:bidi w:val="0"/>
        <w:spacing w:before="120" w:after="0"/>
        <w:ind w:hanging="283" w:start="829"/>
        <w:jc w:val="start"/>
        <w:rPr/>
      </w:pPr>
      <w:r>
        <w:rPr/>
        <w:t xml:space="preserve">Incident, maintenance, support-access, and audit workflows. </w:t>
      </w:r>
    </w:p>
    <w:p>
      <w:pPr>
        <w:pStyle w:val="BodyText"/>
        <w:numPr>
          <w:ilvl w:val="0"/>
          <w:numId w:val="20"/>
        </w:numPr>
        <w:tabs>
          <w:tab w:val="clear" w:pos="1134"/>
          <w:tab w:val="left" w:pos="829" w:leader="none"/>
        </w:tabs>
        <w:bidi w:val="0"/>
        <w:spacing w:before="120" w:after="0"/>
        <w:ind w:hanging="283" w:start="829"/>
        <w:jc w:val="start"/>
        <w:rPr/>
      </w:pPr>
      <w:r>
        <w:rPr/>
        <w:t xml:space="preserve">Customer-controlled deployment package. </w:t>
      </w:r>
    </w:p>
    <w:p>
      <w:pPr>
        <w:pStyle w:val="BodyText"/>
        <w:numPr>
          <w:ilvl w:val="0"/>
          <w:numId w:val="20"/>
        </w:numPr>
        <w:tabs>
          <w:tab w:val="clear" w:pos="1134"/>
          <w:tab w:val="left" w:pos="829" w:leader="none"/>
        </w:tabs>
        <w:bidi w:val="0"/>
        <w:spacing w:before="120" w:after="0"/>
        <w:ind w:hanging="283" w:start="829"/>
        <w:jc w:val="start"/>
        <w:rPr/>
      </w:pPr>
      <w:r>
        <w:rPr/>
        <w:t xml:space="preserve">Backup, restore, upgrade, and rollback runbooks. </w:t>
      </w:r>
    </w:p>
    <w:p>
      <w:pPr>
        <w:pStyle w:val="BodyText"/>
        <w:numPr>
          <w:ilvl w:val="0"/>
          <w:numId w:val="20"/>
        </w:numPr>
        <w:tabs>
          <w:tab w:val="clear" w:pos="1134"/>
          <w:tab w:val="left" w:pos="829" w:leader="none"/>
        </w:tabs>
        <w:bidi w:val="0"/>
        <w:spacing w:before="120" w:after="0"/>
        <w:ind w:hanging="283" w:start="829"/>
        <w:jc w:val="start"/>
        <w:rPr/>
      </w:pPr>
      <w:r>
        <w:rPr/>
        <w:t xml:space="preserve">Administrator, operator, auditor, and support guides. </w:t>
      </w:r>
    </w:p>
    <w:p>
      <w:pPr>
        <w:pStyle w:val="BodyText"/>
        <w:numPr>
          <w:ilvl w:val="0"/>
          <w:numId w:val="20"/>
        </w:numPr>
        <w:tabs>
          <w:tab w:val="clear" w:pos="1134"/>
          <w:tab w:val="left" w:pos="829" w:leader="none"/>
        </w:tabs>
        <w:bidi w:val="0"/>
        <w:spacing w:before="120" w:after="0"/>
        <w:ind w:hanging="283" w:start="829"/>
        <w:jc w:val="start"/>
        <w:rPr/>
      </w:pPr>
      <w:r>
        <w:rPr/>
        <w:t xml:space="preserve">Security model and compliance-control mapping. </w:t>
      </w:r>
    </w:p>
    <w:p>
      <w:pPr>
        <w:pStyle w:val="BodyText"/>
        <w:numPr>
          <w:ilvl w:val="0"/>
          <w:numId w:val="20"/>
        </w:numPr>
        <w:tabs>
          <w:tab w:val="clear" w:pos="1134"/>
          <w:tab w:val="left" w:pos="829" w:leader="none"/>
        </w:tabs>
        <w:bidi w:val="0"/>
        <w:spacing w:before="120" w:after="160"/>
        <w:ind w:hanging="283" w:start="829"/>
        <w:jc w:val="start"/>
        <w:rPr/>
      </w:pPr>
      <w:r>
        <w:rPr/>
        <w:t xml:space="preserve">Pilot acceptance report and recommendations for the next release. </w:t>
      </w:r>
    </w:p>
    <w:sectPr>
      <w:headerReference w:type="default" r:id="rId6"/>
      <w:type w:val="nextPage"/>
      <w:pgSz w:w="11906" w:h="16838"/>
      <w:pgMar w:left="1020" w:right="1020" w:gutter="0" w:header="0" w:top="2080" w:footer="0" w:bottom="1152"/>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auto"/>
    <w:pitch w:val="default"/>
  </w:font>
  <w:font w:name="Liberation Mono">
    <w:altName w:val="Courier New"/>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header1.xml><?xml version="1.0" encoding="utf-8"?>
<w:hdr xmlns:w="http://schemas.openxmlformats.org/wordprocessingml/2006/main" xmlns:r="http://schemas.openxmlformats.org/officeDocument/2006/relationships" xmlns:v="urn:schemas-microsoft-com:vml" xmlns:o="urn:schemas-microsoft-com:office:office">
  <w:p>
    <w:r>
      <w:pict>
        <v:shape id="CompanyLetterhead" o:spid="_x0000_s1025" type="#_x0000_t75" style="position:absolute;left:0;top:0;width:8.268in;height:11.692in;z-index:-251654144;mso-position-horizontal-relative:page;mso-position-vertical-relative:page">
          <v:imagedata r:id="rId1" o:title="Bits and Bytes letterhead"/>
        </v:shape>
      </w:pic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Liberation Sans;Arial;sans-serif" w:hAnsi="Liberation Sans;Arial;sans-serif" w:eastAsia="Liberation Sans;Arial;sans-serif" w:cs="Liberation Sans;Arial;sans-serif"/>
      <w:color w:val="243244"/>
      <w:sz w:val="21"/>
      <w:szCs w:val="21"/>
      <w:lang w:val="en-US" w:eastAsia="zh-CN" w:bidi="hi-IN"/>
    </w:rPr>
  </w:style>
  <w:style w:type="paragraph" w:styleId="Heading1">
    <w:name w:val="heading 1"/>
    <w:basedOn w:val="Heading"/>
    <w:next w:val="BodyText"/>
    <w:qFormat/>
    <w:pPr>
      <w:pBdr>
        <w:bottom w:val="single" w:sz="24" w:space="10" w:color="FF6633"/>
      </w:pBdr>
      <w:spacing w:before="240" w:after="360"/>
    </w:pPr>
    <w:rPr>
      <w:b/>
      <w:bCs/>
      <w:color w:val="0F2747"/>
      <w:sz w:val="52"/>
      <w:szCs w:val="52"/>
    </w:rPr>
  </w:style>
  <w:style w:type="paragraph" w:styleId="Heading2">
    <w:name w:val="heading 2"/>
    <w:basedOn w:val="Heading"/>
    <w:next w:val="BodyText"/>
    <w:qFormat/>
    <w:pPr>
      <w:keepNext w:val="true"/>
      <w:pBdr>
        <w:bottom w:val="single" w:sz="2" w:space="4" w:color="CBD9DF"/>
      </w:pBdr>
      <w:spacing w:before="440" w:after="120"/>
      <w:outlineLvl w:val="1"/>
    </w:pPr>
    <w:rPr>
      <w:rFonts w:ascii="Liberation Serif" w:hAnsi="Liberation Serif" w:eastAsia="Noto Serif CJK SC" w:cs="Noto Sans Devanagari"/>
      <w:b/>
      <w:bCs/>
      <w:color w:val="0F4C5C"/>
      <w:sz w:val="34"/>
      <w:szCs w:val="34"/>
    </w:rPr>
  </w:style>
  <w:style w:type="paragraph" w:styleId="Heading3">
    <w:name w:val="heading 3"/>
    <w:basedOn w:val="Heading"/>
    <w:next w:val="BodyText"/>
    <w:qFormat/>
    <w:pPr>
      <w:keepNext w:val="true"/>
      <w:spacing w:before="320" w:after="120"/>
      <w:outlineLvl w:val="2"/>
    </w:pPr>
    <w:rPr>
      <w:rFonts w:ascii="Liberation Serif" w:hAnsi="Liberation Serif" w:eastAsia="Noto Serif CJK SC" w:cs="Noto Sans Devanagari"/>
      <w:b/>
      <w:bCs/>
      <w:color w:val="19647E"/>
      <w:sz w:val="26"/>
      <w:szCs w:val="26"/>
    </w:rPr>
  </w:style>
  <w:style w:type="paragraph" w:styleId="Heading4">
    <w:name w:val="heading 4"/>
    <w:basedOn w:val="Heading"/>
    <w:next w:val="BodyText"/>
    <w:qFormat/>
    <w:pPr>
      <w:keepNext w:val="true"/>
      <w:spacing w:before="240" w:after="120"/>
      <w:outlineLvl w:val="3"/>
    </w:pPr>
    <w:rPr>
      <w:rFonts w:ascii="Liberation Serif" w:hAnsi="Liberation Serif" w:eastAsia="Noto Serif CJK SC" w:cs="Noto Sans Devanagari"/>
      <w:b/>
      <w:bCs/>
      <w:color w:val="374F65"/>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monospace" w:hAnsi="Liberation Mono;monospace" w:eastAsia="Liberation Mono;monospace" w:cs="Liberation Mono;monospace"/>
      <w:color w:val="0C6270"/>
    </w:rPr>
  </w:style>
  <w:style w:type="character" w:styleId="Strong">
    <w:name w:val="Strong"/>
    <w:qFormat/>
    <w:rPr>
      <w:b/>
      <w:bCs/>
      <w:color w:val="132F47"/>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120" w:after="160"/>
      <w:ind w:start="120" w:end="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pBdr>
        <w:left w:val="single" w:sz="30" w:space="16" w:color="FF6633"/>
      </w:pBdr>
      <w:shd w:fill="EDF7F6" w:val="clear"/>
      <w:spacing w:before="280" w:after="280"/>
      <w:ind w:hanging="0" w:start="280" w:end="280"/>
    </w:pPr>
    <w:rPr>
      <w:b/>
      <w:bCs/>
      <w:color w:val="123B45"/>
      <w:sz w:val="24"/>
      <w:szCs w:val="24"/>
    </w:rPr>
  </w:style>
  <w:style w:type="paragraph" w:styleId="PreformattedText">
    <w:name w:val="Preformatted Text"/>
    <w:basedOn w:val="Normal"/>
    <w:qFormat/>
    <w:pPr>
      <w:keepLines/>
      <w:pBdr/>
      <w:shd w:fill="12263A" w:val="clear"/>
      <w:spacing w:before="0" w:after="0"/>
    </w:pPr>
    <w:rPr>
      <w:rFonts w:ascii="Liberation Mono;monospace" w:hAnsi="Liberation Mono;monospace" w:eastAsia="Liberation Mono;monospace" w:cs="Liberation Mono;monospace"/>
      <w:color w:val="EEF7F7"/>
      <w:sz w:val="17"/>
      <w:szCs w:val="17"/>
    </w:rPr>
  </w:style>
  <w:style w:type="paragraph" w:styleId="TableHeading">
    <w:name w:val="Table Heading"/>
    <w:basedOn w:val="TableContents"/>
    <w:qFormat/>
    <w:pPr>
      <w:suppressLineNumbers/>
      <w:shd w:fill="0F4C5C" w:val="clear"/>
      <w:jc w:val="star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company-letterhead.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01 MetricOps Project Plan</dc:title>
</cp:coreProperties>
</file>

<file path=docProps/custom.xml><?xml version="1.0" encoding="utf-8"?>
<Properties xmlns="http://schemas.openxmlformats.org/officeDocument/2006/custom-properties" xmlns:vt="http://schemas.openxmlformats.org/officeDocument/2006/docPropsVTypes"/>
</file>