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360"/>
        <w:jc w:val="start"/>
        <w:rPr/>
      </w:pPr>
      <w:r>
        <w:rPr/>
        <w:t>MetricOps Product and Development Understanding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Document type:</w:t>
      </w:r>
      <w:r>
        <w:rPr/>
        <w:t xml:space="preserve"> Internal working guide </w:t>
      </w:r>
      <w:r>
        <w:rPr>
          <w:rStyle w:val="Strong"/>
        </w:rPr>
        <w:t>Audience:</w:t>
      </w:r>
      <w:r>
        <w:rPr/>
        <w:t xml:space="preserve"> Product owner, architects, engineers, QA, security reviewers, and future AI-assisted development sessions </w:t>
      </w:r>
      <w:r>
        <w:rPr>
          <w:rStyle w:val="Strong"/>
        </w:rPr>
        <w:t>Purpose:</w:t>
      </w:r>
      <w:r>
        <w:rPr/>
        <w:t xml:space="preserve"> Preserve a clear shared understanding of what is being built, why it exists, and how development decisions should be evaluated</w:t>
      </w:r>
    </w:p>
    <w:p>
      <w:pPr>
        <w:pStyle w:val="Heading2"/>
        <w:bidi w:val="0"/>
        <w:jc w:val="start"/>
        <w:rPr/>
      </w:pPr>
      <w:r>
        <w:rPr/>
        <w:t>1. The simplest correct understanding</w:t>
      </w:r>
    </w:p>
    <w:p>
      <w:pPr>
        <w:pStyle w:val="BodyText"/>
        <w:bidi w:val="0"/>
        <w:jc w:val="start"/>
        <w:rPr/>
      </w:pPr>
      <w:r>
        <w:rPr/>
        <w:t>MetricOps is a governed layer above customer monitoring and infrastructure systems.</w:t>
      </w:r>
    </w:p>
    <w:p>
      <w:pPr>
        <w:pStyle w:val="BodyText"/>
        <w:bidi w:val="0"/>
        <w:jc w:val="start"/>
        <w:rPr/>
      </w:pPr>
      <w:r>
        <w:rPr/>
        <w:t>It answers four connected questions: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>
          <w:rStyle w:val="Strong"/>
        </w:rPr>
        <w:t>What do we operate?</w:t>
      </w:r>
      <w:r>
        <w:rPr/>
        <w:t xml:space="preserve"> A normalized inventory of servers, applications, endpoints, databases, and cloud resources.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>
          <w:rStyle w:val="Strong"/>
        </w:rPr>
        <w:t>Is it healthy?</w:t>
      </w:r>
      <w:r>
        <w:rPr/>
        <w:t xml:space="preserve"> Current and historical evidence of availability, latency, capacity, connection state, alerts, and monitoring freshness.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>
          <w:rStyle w:val="Strong"/>
        </w:rPr>
        <w:t>What happened and who owns it?</w:t>
      </w:r>
      <w:r>
        <w:rPr/>
        <w:t xml:space="preserve"> Alert ownership, incident timeline, maintenance, recent changes, and audit evidence.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>
          <w:rStyle w:val="Strong"/>
        </w:rPr>
        <w:t>What may we safely do?</w:t>
      </w:r>
      <w:r>
        <w:rPr/>
        <w:t xml:space="preserve"> Only resource-supported, policy-authorized, approved, typed, verified, and audited operations. </w:t>
      </w:r>
    </w:p>
    <w:p>
      <w:pPr>
        <w:pStyle w:val="BodyText"/>
        <w:bidi w:val="0"/>
        <w:jc w:val="start"/>
        <w:rPr/>
      </w:pPr>
      <w:r>
        <w:rPr/>
        <w:t>MetricOps is valuable because these answers are normally divided among many technical tools and people. It is not valuable merely because it draws charts.</w:t>
      </w:r>
    </w:p>
    <w:p>
      <w:pPr>
        <w:pStyle w:val="Heading2"/>
        <w:bidi w:val="0"/>
        <w:jc w:val="start"/>
        <w:rPr/>
      </w:pPr>
      <w:r>
        <w:rPr/>
        <w:t>2. Product identity</w:t>
      </w:r>
    </w:p>
    <w:p>
      <w:pPr>
        <w:pStyle w:val="BodyText"/>
        <w:bidi w:val="0"/>
        <w:jc w:val="start"/>
        <w:rPr/>
      </w:pPr>
      <w:r>
        <w:rPr/>
        <w:t>MetricOps should be positioned as an infrastructure assurance and controlled-operations platform.</w:t>
      </w:r>
    </w:p>
    <w:p>
      <w:pPr>
        <w:pStyle w:val="BodyText"/>
        <w:bidi w:val="0"/>
        <w:jc w:val="start"/>
        <w:rPr/>
      </w:pPr>
      <w:r>
        <w:rPr/>
        <w:t>Avoid reducing it to: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 monitoring dashboard.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 cloud-management console.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 server restart tool.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 security dashboard.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A managed-service-provider portal. </w:t>
      </w:r>
    </w:p>
    <w:p>
      <w:pPr>
        <w:pStyle w:val="BodyText"/>
        <w:bidi w:val="0"/>
        <w:jc w:val="start"/>
        <w:rPr/>
      </w:pPr>
      <w:r>
        <w:rPr/>
        <w:t>It includes parts of each idea, but its defining feature is the combination of operational evidence and governance.</w:t>
      </w:r>
    </w:p>
    <w:p>
      <w:pPr>
        <w:pStyle w:val="BodyText"/>
        <w:bidi w:val="0"/>
        <w:jc w:val="start"/>
        <w:rPr/>
      </w:pPr>
      <w:r>
        <w:rPr/>
        <w:t>The core customer promise is:</w:t>
      </w:r>
    </w:p>
    <w:p>
      <w:pPr>
        <w:pStyle w:val="BlockQuotation"/>
        <w:bidi w:val="0"/>
        <w:jc w:val="start"/>
        <w:rPr/>
      </w:pPr>
      <w:r>
        <w:rPr/>
        <w:t>The customer remains in control of its infrastructure and data while MetricOps makes health, ownership, incidents, support, and authorized operations understandable and accountable.</w:t>
      </w:r>
    </w:p>
    <w:p>
      <w:pPr>
        <w:pStyle w:val="Heading2"/>
        <w:bidi w:val="0"/>
        <w:jc w:val="start"/>
        <w:rPr/>
      </w:pPr>
      <w:r>
        <w:rPr/>
        <w:t>3. Primary product distinction</w:t>
      </w:r>
    </w:p>
    <w:p>
      <w:pPr>
        <w:pStyle w:val="BodyText"/>
        <w:bidi w:val="0"/>
        <w:jc w:val="start"/>
        <w:rPr/>
      </w:pPr>
      <w:r>
        <w:rPr/>
        <w:t>The system has two administration planes.</w:t>
      </w:r>
    </w:p>
    <w:p>
      <w:pPr>
        <w:pStyle w:val="Heading3"/>
        <w:bidi w:val="0"/>
        <w:jc w:val="start"/>
        <w:rPr/>
      </w:pPr>
      <w:r>
        <w:rPr/>
        <w:t>Platform Administration</w:t>
      </w:r>
    </w:p>
    <w:p>
      <w:pPr>
        <w:pStyle w:val="BodyText"/>
        <w:bidi w:val="0"/>
        <w:jc w:val="start"/>
        <w:rPr/>
      </w:pPr>
      <w:r>
        <w:rPr/>
        <w:t>Owned by the MetricOps operating company. It manages customer records, subscriptions, entitlements, deployments, versions, connection health, onboarding, and support cases.</w:t>
      </w:r>
    </w:p>
    <w:p>
      <w:pPr>
        <w:pStyle w:val="BodyText"/>
        <w:bidi w:val="0"/>
        <w:jc w:val="start"/>
        <w:rPr/>
      </w:pPr>
      <w:r>
        <w:rPr/>
        <w:t>Platform Administration does not automatically grant access to customer dashboards, metrics, settings, users, secrets, or infrastructure.</w:t>
      </w:r>
    </w:p>
    <w:p>
      <w:pPr>
        <w:pStyle w:val="Heading3"/>
        <w:bidi w:val="0"/>
        <w:jc w:val="start"/>
        <w:rPr/>
      </w:pPr>
      <w:r>
        <w:rPr/>
        <w:t>Customer Operations</w:t>
      </w:r>
    </w:p>
    <w:p>
      <w:pPr>
        <w:pStyle w:val="BodyText"/>
        <w:bidi w:val="0"/>
        <w:jc w:val="start"/>
        <w:rPr/>
      </w:pPr>
      <w:r>
        <w:rPr/>
        <w:t>Owned by the customer. It manages customer users, workspaces, environments, connections, resources, dashboards, alerts, incidents, maintenance, policies, approvals, support grants, and audit evidence.</w:t>
      </w:r>
    </w:p>
    <w:p>
      <w:pPr>
        <w:pStyle w:val="BodyText"/>
        <w:bidi w:val="0"/>
        <w:jc w:val="start"/>
        <w:rPr/>
      </w:pPr>
      <w:r>
        <w:rPr/>
        <w:t>Any development shortcut that makes a MetricOps super administrator automatically all-powerful inside customer environments violates the product's trust model.</w:t>
      </w:r>
    </w:p>
    <w:p>
      <w:pPr>
        <w:pStyle w:val="Heading2"/>
        <w:bidi w:val="0"/>
        <w:jc w:val="start"/>
        <w:rPr/>
      </w:pPr>
      <w:r>
        <w:rPr/>
        <w:t>4. The initial product slice</w:t>
      </w:r>
    </w:p>
    <w:p>
      <w:pPr>
        <w:pStyle w:val="BodyText"/>
        <w:bidi w:val="0"/>
        <w:jc w:val="start"/>
        <w:rPr/>
      </w:pPr>
      <w:r>
        <w:rPr/>
        <w:t>The first sellable product is deliberately bounded: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One customer-controlled installation or approved hosted deployment.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Linux server monitoring.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Endpoint and certificate monitoring.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One database technology selected by the pilot customer.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Existing metrics and detailed dashboard integration.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AWS read-only connection for EC2, EBS, RDS, selected load balancing, service metrics, and alarms.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 small set of explainable security, backup, monitoring, and resilience findings.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Alert acknowledgement and incident workflow.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Executive, capacity, availability, incident, and audit reporting.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Platform and customer administration.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Customer-approved, time-limited support access.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One allow-listed non-production operation after read-only workflows are stable. </w:t>
      </w:r>
    </w:p>
    <w:p>
      <w:pPr>
        <w:pStyle w:val="BodyText"/>
        <w:bidi w:val="0"/>
        <w:jc w:val="start"/>
        <w:rPr/>
      </w:pPr>
      <w:r>
        <w:rPr/>
        <w:t>This is already a substantial MVP. New providers and major modules must not enter it simply because the architecture can theoretically support them.</w:t>
      </w:r>
    </w:p>
    <w:p>
      <w:pPr>
        <w:pStyle w:val="Heading2"/>
        <w:bidi w:val="0"/>
        <w:jc w:val="start"/>
        <w:rPr/>
      </w:pPr>
      <w:r>
        <w:rPr/>
        <w:t>5. The golden path</w:t>
      </w:r>
    </w:p>
    <w:p>
      <w:pPr>
        <w:pStyle w:val="BodyText"/>
        <w:bidi w:val="0"/>
        <w:jc w:val="start"/>
        <w:rPr/>
      </w:pPr>
      <w:r>
        <w:rPr/>
        <w:t>All development should support this end-to-end path: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customer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customer owner configures workspace and users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connect monitoring and AWS using customer-controlled access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validate and discover resources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classify resources and business services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show fresh health and capacity evidence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detect and route an actionable alert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acknowledge, assign, investigate, and record an incident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optionally execute an approved non-production action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verify recovery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produce audit and availability evidence</w:t>
      </w:r>
    </w:p>
    <w:p>
      <w:pPr>
        <w:pStyle w:val="BodyText"/>
        <w:bidi w:val="0"/>
        <w:jc w:val="start"/>
        <w:rPr/>
      </w:pPr>
      <w:r>
        <w:rPr/>
        <w:t>A feature that does not strengthen this path or a mandatory security/deployment requirement is likely deferred.</w:t>
      </w:r>
    </w:p>
    <w:p>
      <w:pPr>
        <w:pStyle w:val="Heading2"/>
        <w:bidi w:val="0"/>
        <w:jc w:val="start"/>
        <w:rPr/>
      </w:pPr>
      <w:r>
        <w:rPr/>
        <w:t>6. System mental model</w:t>
      </w:r>
    </w:p>
    <w:p>
      <w:pPr>
        <w:pStyle w:val="Heading3"/>
        <w:bidi w:val="0"/>
        <w:jc w:val="start"/>
        <w:rPr/>
      </w:pPr>
      <w:r>
        <w:rPr/>
        <w:t>Control plane</w:t>
      </w:r>
    </w:p>
    <w:p>
      <w:pPr>
        <w:pStyle w:val="BodyText"/>
        <w:bidi w:val="0"/>
        <w:jc w:val="start"/>
        <w:rPr/>
      </w:pPr>
      <w:r>
        <w:rPr/>
        <w:t>The control plane holds customer metadata, identity context, policy, inventory, workflow state, audit evidence, and reports. It coordinates integrations but does not need to own all underlying telemetry.</w:t>
      </w:r>
    </w:p>
    <w:p>
      <w:pPr>
        <w:pStyle w:val="Heading3"/>
        <w:bidi w:val="0"/>
        <w:jc w:val="start"/>
        <w:rPr/>
      </w:pPr>
      <w:r>
        <w:rPr/>
        <w:t>Data plane</w:t>
      </w:r>
    </w:p>
    <w:p>
      <w:pPr>
        <w:pStyle w:val="BodyText"/>
        <w:bidi w:val="0"/>
        <w:jc w:val="start"/>
        <w:rPr/>
      </w:pPr>
      <w:r>
        <w:rPr/>
        <w:t>The data plane consists of the customer's metrics, cloud APIs, exporters, applications, databases, and future log/trace/security systems. It may remain fully inside the customer's network.</w:t>
      </w:r>
    </w:p>
    <w:p>
      <w:pPr>
        <w:pStyle w:val="Heading3"/>
        <w:bidi w:val="0"/>
        <w:jc w:val="start"/>
        <w:rPr/>
      </w:pPr>
      <w:r>
        <w:rPr/>
        <w:t>Edge gateway</w:t>
      </w:r>
    </w:p>
    <w:p>
      <w:pPr>
        <w:pStyle w:val="BodyText"/>
        <w:bidi w:val="0"/>
        <w:jc w:val="start"/>
        <w:rPr/>
      </w:pPr>
      <w:r>
        <w:rPr/>
        <w:t>The edge gateway is used only when a centralized control plane needs bounded access to private customer systems. It initiates the connection outward and brokers allow-listed requests and typed operations. It is not a remote shell.</w:t>
      </w:r>
    </w:p>
    <w:p>
      <w:pPr>
        <w:pStyle w:val="Heading3"/>
        <w:bidi w:val="0"/>
        <w:jc w:val="start"/>
        <w:rPr/>
      </w:pPr>
      <w:r>
        <w:rPr/>
        <w:t>Provider and connector layer</w:t>
      </w:r>
    </w:p>
    <w:p>
      <w:pPr>
        <w:pStyle w:val="BodyText"/>
        <w:bidi w:val="0"/>
        <w:jc w:val="start"/>
        <w:rPr/>
      </w:pPr>
      <w:r>
        <w:rPr/>
        <w:t>Connectors translate provider-specific discovery, metrics, capability, action, and error behavior into common MetricOps models. Common models must not erase important provider limitations.</w:t>
      </w:r>
    </w:p>
    <w:p>
      <w:pPr>
        <w:pStyle w:val="Heading3"/>
        <w:bidi w:val="0"/>
        <w:jc w:val="start"/>
        <w:rPr/>
      </w:pPr>
      <w:r>
        <w:rPr/>
        <w:t>Evidence sources</w:t>
      </w:r>
    </w:p>
    <w:p>
      <w:pPr>
        <w:pStyle w:val="BodyText"/>
        <w:bidi w:val="0"/>
        <w:jc w:val="start"/>
        <w:rPr/>
      </w:pPr>
      <w:r>
        <w:rPr/>
        <w:t>Every status comes from evidence. Important interface elements should be able to explain: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Which source produced the value.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When it was collected.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Whether it is current or stale.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Whether it is direct, calculated, inferred, or manually classified.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Which policy or threshold turned it into a status or finding. </w:t>
      </w:r>
    </w:p>
    <w:p>
      <w:pPr>
        <w:pStyle w:val="Heading2"/>
        <w:bidi w:val="0"/>
        <w:jc w:val="start"/>
        <w:rPr/>
      </w:pPr>
      <w:r>
        <w:rPr/>
        <w:t>7. Non-negotiable invariants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Customer context is determined by the authenticated backend, not accepted from an arbitrary request field.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Every customer-owned query includes an enforced customer boundary.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Platform roles and customer roles are distinct.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Support access is denied unless an active customer-approved grant covers the user, scope, resource, and time.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 secret can be replaced or rotated but is never redisplayed after enrollment.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Missing data is not healthy data.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An operation is not successful until its expected state and health have been verified.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Infrastructure operations are typed and allow-listed; arbitrary command text is prohibited.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Read-only and operational provider permissions are separate.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Audit records are append-only and corrections create new events.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Every resource displays only capabilities the current connection and provider actually support.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No customer monitoring endpoint is made public merely to simplify integration.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Security findings state exactly what was observed and do not claim more than the evidence proves.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Billing or platform support roles cannot silently become customer operators.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A retry must not execute the same infrastructure action twice. </w:t>
      </w:r>
    </w:p>
    <w:p>
      <w:pPr>
        <w:pStyle w:val="Heading2"/>
        <w:bidi w:val="0"/>
        <w:jc w:val="start"/>
        <w:rPr/>
      </w:pPr>
      <w:r>
        <w:rPr/>
        <w:t>8. Bounded contexts</w:t>
      </w:r>
    </w:p>
    <w:p>
      <w:pPr>
        <w:pStyle w:val="BodyText"/>
        <w:bidi w:val="0"/>
        <w:jc w:val="start"/>
        <w:rPr/>
      </w:pPr>
      <w:r>
        <w:rPr/>
        <w:t>Treat the following as separate modules even if they begin in one deployable backend: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Platform Customers and Commercial Entitlements.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Deployments and Release Health.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Customer Tenancy and Access.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Connections and Secret References.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Inventory and Resource Relationships.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Metrics Query and Dashboard References.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Alerts and Incidents.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Maintenance and Notifications.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Policies, Approvals, Operations, and Verification.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Support Cases and Support Access.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Findings and Exceptions.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Audit and Reports. </w:t>
      </w:r>
    </w:p>
    <w:p>
      <w:pPr>
        <w:pStyle w:val="BodyText"/>
        <w:bidi w:val="0"/>
        <w:jc w:val="start"/>
        <w:rPr/>
      </w:pPr>
      <w:r>
        <w:rPr/>
        <w:t>Modules should communicate through explicit services and domain events rather than reaching into one another's tables without ownership rules.</w:t>
      </w:r>
    </w:p>
    <w:p>
      <w:pPr>
        <w:pStyle w:val="Heading2"/>
        <w:bidi w:val="0"/>
        <w:jc w:val="start"/>
        <w:rPr/>
      </w:pPr>
      <w:r>
        <w:rPr/>
        <w:t>9. How to reason about health</w:t>
      </w:r>
    </w:p>
    <w:p>
      <w:pPr>
        <w:pStyle w:val="BodyText"/>
        <w:bidi w:val="0"/>
        <w:jc w:val="start"/>
        <w:rPr/>
      </w:pPr>
      <w:r>
        <w:rPr/>
        <w:t>Health is not one Boolean field. At minimum, consider: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Resource lifecycle state.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Monitoring connection health.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Telemetry freshness.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Availability check result.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Capacity thresholds.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Active alerts.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Open incident impact.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Maintenance state.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Security/resilience findings.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Recent operational verification. </w:t>
      </w:r>
    </w:p>
    <w:p>
      <w:pPr>
        <w:pStyle w:val="BodyText"/>
        <w:bidi w:val="0"/>
        <w:jc w:val="start"/>
        <w:rPr/>
      </w:pPr>
      <w:r>
        <w:rPr/>
        <w:t>An overall status must be a documented policy derived from these signals. The interface should preserve the underlying reasons so that a red or green badge is explainable.</w:t>
      </w:r>
    </w:p>
    <w:p>
      <w:pPr>
        <w:pStyle w:val="Heading2"/>
        <w:bidi w:val="0"/>
        <w:jc w:val="start"/>
        <w:rPr/>
      </w:pPr>
      <w:r>
        <w:rPr/>
        <w:t>10. How to reason about AWS</w:t>
      </w:r>
    </w:p>
    <w:p>
      <w:pPr>
        <w:pStyle w:val="BodyText"/>
        <w:bidi w:val="0"/>
        <w:jc w:val="start"/>
        <w:rPr/>
      </w:pPr>
      <w:r>
        <w:rPr/>
        <w:t>AWS is the first provider integration, not a special parallel product.</w:t>
      </w:r>
    </w:p>
    <w:p>
      <w:pPr>
        <w:pStyle w:val="BodyText"/>
        <w:bidi w:val="0"/>
        <w:jc w:val="start"/>
        <w:rPr/>
      </w:pPr>
      <w:r>
        <w:rPr/>
        <w:t>The connector should: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Use a customer-owned cross-account role and temporary sessions.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Validate the expected account before discovery.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Respect approved regions and resource filters.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Normalize supported resources into the common inventory.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Preserve account, region, native identifier, tags, and provider capabilities.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Combine cloud-service metrics with operating-system metrics where both describe one resource.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Continue operating when a customer grants only partial read permissions, while clearly reporting unsupported evidence.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Treat access revocation as normal customer control rather than an exceptional failure. </w:t>
      </w:r>
    </w:p>
    <w:p>
      <w:pPr>
        <w:pStyle w:val="BodyText"/>
        <w:bidi w:val="0"/>
        <w:jc w:val="start"/>
        <w:rPr/>
      </w:pPr>
      <w:r>
        <w:rPr/>
        <w:t>Operational permissions are attached separately and are never inferred from monitoring access.</w:t>
      </w:r>
    </w:p>
    <w:p>
      <w:pPr>
        <w:pStyle w:val="Heading2"/>
        <w:bidi w:val="0"/>
        <w:jc w:val="start"/>
        <w:rPr/>
      </w:pPr>
      <w:r>
        <w:rPr/>
        <w:t>11. How to reason about security</w:t>
      </w:r>
    </w:p>
    <w:p>
      <w:pPr>
        <w:pStyle w:val="BodyText"/>
        <w:bidi w:val="0"/>
        <w:jc w:val="start"/>
        <w:rPr/>
      </w:pPr>
      <w:r>
        <w:rPr/>
        <w:t>MetricOps contributes to security in three legitimate ways: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It protects its own identities, connections, secrets, and operations.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It reports selected explainable infrastructure configuration findings.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It creates evidence about access, changes, support sessions, incidents, and retention. </w:t>
      </w:r>
    </w:p>
    <w:p>
      <w:pPr>
        <w:pStyle w:val="BodyText"/>
        <w:bidi w:val="0"/>
        <w:jc w:val="start"/>
        <w:rPr/>
      </w:pPr>
      <w:r>
        <w:rPr/>
        <w:t>It does not prove that customer infrastructure is secure. Full threat detection, vulnerability management, endpoint security, log correlation, and independent compliance assessment remain separate capabilities or future integrations.</w:t>
      </w:r>
    </w:p>
    <w:p>
      <w:pPr>
        <w:pStyle w:val="BodyText"/>
        <w:bidi w:val="0"/>
        <w:jc w:val="start"/>
        <w:rPr/>
      </w:pPr>
      <w:r>
        <w:rPr/>
        <w:t>Use precise language: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Prefer “encrypted according to observed provider setting” over “secure.”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Prefer “no telemetry received in the last five minutes” over “server offline” when the source cannot prove power state.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Prefer “management port exposed to all IPv4 addresses” over “server compromised.”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Prefer “PISF-aligned evidence” over “PISF compliant” until assessed. </w:t>
      </w:r>
    </w:p>
    <w:p>
      <w:pPr>
        <w:pStyle w:val="Heading2"/>
        <w:bidi w:val="0"/>
        <w:jc w:val="start"/>
        <w:rPr/>
      </w:pPr>
      <w:r>
        <w:rPr/>
        <w:t>12. How to reason about support</w:t>
      </w:r>
    </w:p>
    <w:p>
      <w:pPr>
        <w:pStyle w:val="BodyText"/>
        <w:bidi w:val="0"/>
        <w:jc w:val="start"/>
        <w:rPr/>
      </w:pPr>
      <w:r>
        <w:rPr/>
        <w:t>Customer trust is part of the product architecture.</w:t>
      </w:r>
    </w:p>
    <w:p>
      <w:pPr>
        <w:pStyle w:val="BodyText"/>
        <w:bidi w:val="0"/>
        <w:jc w:val="start"/>
        <w:rPr/>
      </w:pPr>
      <w:r>
        <w:rPr/>
        <w:t>The default support workflow should solve most problems through: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Deployment and connector-health metadata.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Safe error codes.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Customer-run connection tests.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Secret-redacted diagnostic bundles.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Documentation and guided remediation. </w:t>
      </w:r>
    </w:p>
    <w:p>
      <w:pPr>
        <w:pStyle w:val="BodyText"/>
        <w:bidi w:val="0"/>
        <w:jc w:val="start"/>
        <w:rPr/>
      </w:pPr>
      <w:r>
        <w:rPr/>
        <w:t>Remote support access is an exception initiated or approved by the customer. A support session must be obvious, temporary, scoped, revocable, and auditable. A general “impersonate customer” feature without these controls should not be implemented.</w:t>
      </w:r>
    </w:p>
    <w:p>
      <w:pPr>
        <w:pStyle w:val="Heading2"/>
        <w:bidi w:val="0"/>
        <w:jc w:val="start"/>
        <w:rPr/>
      </w:pPr>
      <w:r>
        <w:rPr/>
        <w:t>13. Development sequence</w:t>
      </w:r>
    </w:p>
    <w:p>
      <w:pPr>
        <w:pStyle w:val="Heading3"/>
        <w:bidi w:val="0"/>
        <w:jc w:val="start"/>
        <w:rPr/>
      </w:pPr>
      <w:r>
        <w:rPr/>
        <w:t>Stage 1 — Foundations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Confirm domain language and IDs.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Establish separate platform and customer identities.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Implement customer boundary, permission evaluation, sessions, and audit capture.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Make the application itself observable from its first deployable version. </w:t>
      </w:r>
    </w:p>
    <w:p>
      <w:pPr>
        <w:pStyle w:val="Heading3"/>
        <w:bidi w:val="0"/>
        <w:jc w:val="start"/>
        <w:rPr/>
      </w:pPr>
      <w:r>
        <w:rPr/>
        <w:t>Stage 2 — One monitoring flow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Connect one host to the monitoring backend.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Query a small curated metric set through the backend.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Display source, time range, unit, freshness, and errors correctly.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Trigger one alert and receive it into the customer workspace. </w:t>
      </w:r>
    </w:p>
    <w:p>
      <w:pPr>
        <w:pStyle w:val="Heading3"/>
        <w:bidi w:val="0"/>
        <w:jc w:val="start"/>
        <w:rPr/>
      </w:pPr>
      <w:r>
        <w:rPr/>
        <w:t>Stage 3 — Resource context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Add inventory, ownership, environment, business service, and relationships.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Add endpoint and database monitoring.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Build fixed overview and detail pages. </w:t>
      </w:r>
    </w:p>
    <w:p>
      <w:pPr>
        <w:pStyle w:val="Heading3"/>
        <w:bidi w:val="0"/>
        <w:jc w:val="start"/>
        <w:rPr/>
      </w:pPr>
      <w:r>
        <w:rPr/>
        <w:t>Stage 4 — Administration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Complete platform customer, deployment, entitlement, and support modules.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Complete customer users, roles, connections, policies, and audit views.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Prove that platform staff cannot cross the customer boundary. </w:t>
      </w:r>
    </w:p>
    <w:p>
      <w:pPr>
        <w:pStyle w:val="Heading3"/>
        <w:bidi w:val="0"/>
        <w:jc w:val="start"/>
        <w:rPr/>
      </w:pPr>
      <w:r>
        <w:rPr/>
        <w:t>Stage 5 — AWS read-only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Implement role onboarding, account verification, discovery, metrics, alarms, and findings.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Correlate cloud and host records.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Prove customer revocation and partial-permission behavior. </w:t>
      </w:r>
    </w:p>
    <w:p>
      <w:pPr>
        <w:pStyle w:val="Heading3"/>
        <w:bidi w:val="0"/>
        <w:jc w:val="start"/>
        <w:rPr/>
      </w:pPr>
      <w:r>
        <w:rPr/>
        <w:t>Stage 6 — Operational workflow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Implement policies, approvals, jobs, idempotency, verification, and live updates.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Enable one non-production operation only. </w:t>
      </w:r>
    </w:p>
    <w:p>
      <w:pPr>
        <w:pStyle w:val="Heading3"/>
        <w:bidi w:val="0"/>
        <w:jc w:val="start"/>
        <w:rPr/>
      </w:pPr>
      <w:r>
        <w:rPr/>
        <w:t>Stage 7 — Pilot hardening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Complete reporting, backup, restore, upgrade, rollback, load, failure, and penetration tests.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Deliver runbooks and role-based training.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Run the pilot against agreed acceptance measures. </w:t>
      </w:r>
    </w:p>
    <w:p>
      <w:pPr>
        <w:pStyle w:val="Heading2"/>
        <w:bidi w:val="0"/>
        <w:jc w:val="start"/>
        <w:rPr/>
      </w:pPr>
      <w:r>
        <w:rPr/>
        <w:t>14. Definition of done for a feature</w:t>
      </w:r>
    </w:p>
    <w:p>
      <w:pPr>
        <w:pStyle w:val="BodyText"/>
        <w:bidi w:val="0"/>
        <w:jc w:val="start"/>
        <w:rPr/>
      </w:pPr>
      <w:r>
        <w:rPr/>
        <w:t>A feature is complete only when: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Its customer and business outcome is documented.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Permission and tenant behavior are defined and tested.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Loading, empty, error, stale, degraded, and unsupported states are handled.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Audit requirements are implemented.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Secrets and sensitive data are classified.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API and user documentation are updated.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Unit and integration tests cover expected and forbidden behavior.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Deployment, upgrade, and rollback impact is known.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Monitoring and safe diagnostics exist.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Accessibility and time-zone behavior are considered.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The acceptance evidence is demonstrated, not merely asserted. </w:t>
      </w:r>
    </w:p>
    <w:p>
      <w:pPr>
        <w:pStyle w:val="Heading2"/>
        <w:bidi w:val="0"/>
        <w:jc w:val="start"/>
        <w:rPr/>
      </w:pPr>
      <w:r>
        <w:rPr/>
        <w:t>15. Engineering decision rules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Prefer a modular monolith until measured constraints justify service decomposition.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Prefer standard exporters and provider APIs over a proprietary collection agent.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Prefer configuration and templates over hard-coded customer behavior.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Prefer asynchronous jobs for discovery, reports, notifications, and operations.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Persist authoritative workflow transitions; do not rely on an in-memory queue as history.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Prefer short-lived provider credentials and signed requests.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Prefer explicit unsupported states over simulated compatibility.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Prefer a small validated alert catalogue over a large noisy catalogue.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Prefer fixed dashboards and reports before building general-purpose editors.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Prefer customer-visible controls over hidden operational convenience. </w:t>
      </w:r>
    </w:p>
    <w:p>
      <w:pPr>
        <w:pStyle w:val="BodyText"/>
        <w:bidi w:val="0"/>
        <w:jc w:val="start"/>
        <w:rPr/>
      </w:pPr>
      <w:r>
        <w:rPr/>
        <w:t>Exact implementation technologies and their responsibilities are maintained in the Detailed System Documentation so that this guide remains focused on product reasoning.</w:t>
      </w:r>
    </w:p>
    <w:p>
      <w:pPr>
        <w:pStyle w:val="Heading2"/>
        <w:bidi w:val="0"/>
        <w:jc w:val="start"/>
        <w:rPr/>
      </w:pPr>
      <w:r>
        <w:rPr/>
        <w:t>16. Questions to resolve during discovery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Which government department and workload will be the first pilot?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Will the pilot run in the department, KP Data Center, government cloud, or a managed local environment?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Which database engine is most important for the pilot?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Are Windows hosts required in the first customer installation?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Which identity provider and MFA method are available?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Which information is permitted to leave the customer network?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What availability calculation and exclusion rules will the customer accept?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What alert channels can be used in the target environment?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What retention periods apply to operational metrics, incidents, reports, and security/audit events?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Is remote vendor support permitted, and who may approve it?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Which AWS accounts and regions are in scope?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Which security and resilience findings are acceptable for the pilot?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Is any infrastructure operation allowed, even in non-production?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What procurement, hosting, security-assessment, and training evidence is mandatory? </w:t>
      </w:r>
    </w:p>
    <w:p>
      <w:pPr>
        <w:pStyle w:val="BodyText"/>
        <w:bidi w:val="0"/>
        <w:jc w:val="start"/>
        <w:rPr/>
      </w:pPr>
      <w:r>
        <w:rPr/>
        <w:t>These are discovery questions, not reasons to delay the core architecture. The system must support conservative defaults while customer-specific answers are obtained.</w:t>
      </w:r>
    </w:p>
    <w:p>
      <w:pPr>
        <w:pStyle w:val="Heading2"/>
        <w:bidi w:val="0"/>
        <w:jc w:val="start"/>
        <w:rPr/>
      </w:pPr>
      <w:r>
        <w:rPr/>
        <w:t>17. Development anti-goals</w:t>
      </w:r>
    </w:p>
    <w:p>
      <w:pPr>
        <w:pStyle w:val="BodyText"/>
        <w:bidi w:val="0"/>
        <w:jc w:val="start"/>
        <w:rPr/>
      </w:pPr>
      <w:r>
        <w:rPr/>
        <w:t>Do not: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Build every screen in the original vision before proving the golden path.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Reimplement the metrics database, visualization engine, or cloud console.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store millions of samples in the application database.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Add an unrestricted agent for engineering convenience.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Hide authorization only in the interface.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Use one global cloud credential for multiple customers.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Make support access permanent.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Promise production automation before verification and recovery behavior is proven.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Confuse absence of alerts with health.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Add artificial intelligence before data quality, ownership, and workflows are reliable. </w:t>
      </w:r>
    </w:p>
    <w:p>
      <w:pPr>
        <w:pStyle w:val="Heading2"/>
        <w:bidi w:val="0"/>
        <w:jc w:val="start"/>
        <w:rPr/>
      </w:pPr>
      <w:r>
        <w:rPr/>
        <w:t>18. Final internal test</w:t>
      </w:r>
    </w:p>
    <w:p>
      <w:pPr>
        <w:pStyle w:val="BodyText"/>
        <w:bidi w:val="0"/>
        <w:jc w:val="start"/>
        <w:rPr/>
      </w:pPr>
      <w:r>
        <w:rPr/>
        <w:t>When considering a design or feature, ask: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Does this help the customer understand infrastructure health or accountability?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Is the evidence source and freshness clear?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Does the customer retain control?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Are platform and customer privileges separated?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Is failure safe and understandable?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Can the behavior be audited and tested?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 xml:space="preserve">Does it strengthen the agreed MVP golden path? </w:t>
      </w:r>
    </w:p>
    <w:p>
      <w:pPr>
        <w:pStyle w:val="BodyText"/>
        <w:bidi w:val="0"/>
        <w:spacing w:before="120" w:after="160"/>
        <w:jc w:val="start"/>
        <w:rPr/>
      </w:pPr>
      <w:r>
        <w:rPr/>
        <w:t>If the answer to the last question is no, defer the feature unless it is required for security, deployment, procurement, or pilot acceptance.</w:t>
      </w:r>
    </w:p>
    <w:sectPr>
      <w:headerReference w:type="default" r:id="rId6"/>
      <w:type w:val="nextPage"/>
      <w:pgSz w:w="11906" w:h="16838"/>
      <w:pgMar w:left="1020" w:right="1020" w:gutter="0" w:header="0" w:top="2080" w:footer="0" w:bottom="115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Liberation Mono">
    <w:altName w:val="Courier New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 id="CompanyLetterhead" o:spid="_x0000_s1025" type="#_x0000_t75" style="position:absolute;left:0;top:0;width:8.268in;height:11.692in;z-index:-251654144;mso-position-horizontal-relative:page;mso-position-vertical-relative:page">
          <v:imagedata r:id="rId1" o:title="Bits and Bytes letterhead"/>
        </v:shape>
      </w:pic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Liberation Sans;Arial;sans-serif" w:hAnsi="Liberation Sans;Arial;sans-serif" w:eastAsia="Liberation Sans;Arial;sans-serif" w:cs="Liberation Sans;Arial;sans-serif"/>
      <w:color w:val="243244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24" w:space="10" w:color="FF6633"/>
      </w:pBdr>
      <w:spacing w:before="240" w:after="360"/>
    </w:pPr>
    <w:rPr>
      <w:b/>
      <w:bCs/>
      <w:color w:val="0F2747"/>
      <w:sz w:val="52"/>
      <w:szCs w:val="52"/>
    </w:rPr>
  </w:style>
  <w:style w:type="paragraph" w:styleId="Heading2">
    <w:name w:val="heading 2"/>
    <w:basedOn w:val="Heading"/>
    <w:next w:val="BodyText"/>
    <w:qFormat/>
    <w:pPr>
      <w:keepNext w:val="true"/>
      <w:pBdr>
        <w:bottom w:val="single" w:sz="2" w:space="4" w:color="CBD9DF"/>
      </w:pBdr>
      <w:spacing w:before="440" w:after="120"/>
      <w:outlineLvl w:val="1"/>
    </w:pPr>
    <w:rPr>
      <w:rFonts w:ascii="Liberation Serif" w:hAnsi="Liberation Serif" w:eastAsia="Noto Serif CJK SC" w:cs="Noto Sans Devanagari"/>
      <w:b/>
      <w:bCs/>
      <w:color w:val="0F4C5C"/>
      <w:sz w:val="34"/>
      <w:szCs w:val="34"/>
    </w:rPr>
  </w:style>
  <w:style w:type="paragraph" w:styleId="Heading3">
    <w:name w:val="heading 3"/>
    <w:basedOn w:val="Heading"/>
    <w:next w:val="BodyText"/>
    <w:qFormat/>
    <w:pPr>
      <w:keepNext w:val="true"/>
      <w:spacing w:before="320" w:after="120"/>
      <w:outlineLvl w:val="2"/>
    </w:pPr>
    <w:rPr>
      <w:rFonts w:ascii="Liberation Serif" w:hAnsi="Liberation Serif" w:eastAsia="Noto Serif CJK SC" w:cs="Noto Sans Devanagari"/>
      <w:b/>
      <w:bCs/>
      <w:color w:val="19647E"/>
      <w:sz w:val="26"/>
      <w:szCs w:val="26"/>
    </w:rPr>
  </w:style>
  <w:style w:type="paragraph" w:styleId="Heading4">
    <w:name w:val="heading 4"/>
    <w:basedOn w:val="Heading"/>
    <w:next w:val="BodyText"/>
    <w:qFormat/>
    <w:pPr>
      <w:keepNext w:val="true"/>
      <w:spacing w:before="240" w:after="120"/>
      <w:outlineLvl w:val="3"/>
    </w:pPr>
    <w:rPr>
      <w:rFonts w:ascii="Liberation Serif" w:hAnsi="Liberation Serif" w:eastAsia="Noto Serif CJK SC" w:cs="Noto Sans Devanagari"/>
      <w:b/>
      <w:bCs/>
      <w:color w:val="374F65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color w:val="0C6270"/>
    </w:rPr>
  </w:style>
  <w:style w:type="character" w:styleId="Strong">
    <w:name w:val="Strong"/>
    <w:qFormat/>
    <w:rPr>
      <w:b/>
      <w:bCs/>
      <w:color w:val="132F47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20" w:after="160"/>
      <w:ind w:start="120" w:end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30" w:space="16" w:color="FF6633"/>
      </w:pBdr>
      <w:shd w:fill="EDF7F6" w:val="clear"/>
      <w:spacing w:before="280" w:after="280"/>
      <w:ind w:hanging="0" w:start="280" w:end="280"/>
    </w:pPr>
    <w:rPr>
      <w:b/>
      <w:bCs/>
      <w:color w:val="123B45"/>
      <w:sz w:val="24"/>
      <w:szCs w:val="24"/>
    </w:rPr>
  </w:style>
  <w:style w:type="paragraph" w:styleId="PreformattedText">
    <w:name w:val="Preformatted Text"/>
    <w:basedOn w:val="Normal"/>
    <w:qFormat/>
    <w:pPr>
      <w:keepLines/>
      <w:pBdr/>
      <w:shd w:fill="12263A" w:val="clear"/>
      <w:spacing w:before="0" w:after="0"/>
    </w:pPr>
    <w:rPr>
      <w:rFonts w:ascii="Liberation Mono;monospace" w:hAnsi="Liberation Mono;monospace" w:eastAsia="Liberation Mono;monospace" w:cs="Liberation Mono;monospace"/>
      <w:color w:val="EEF7F7"/>
      <w:sz w:val="17"/>
      <w:szCs w:val="17"/>
    </w:rPr>
  </w:style>
  <w:style w:type="paragraph" w:styleId="TableHeading">
    <w:name w:val="Table Heading"/>
    <w:basedOn w:val="TableContents"/>
    <w:qFormat/>
    <w:pPr>
      <w:suppressLineNumbers/>
      <w:shd w:fill="0F4C5C" w:val="clear"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Relationship Id="rId6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company-letterhead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03 MetricOps Product and Development Understanding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