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40AF"/>
          <w:sz w:val="44"/>
        </w:rPr>
        <w:t>INTERNSHIP PROGRESS &amp; RESEARCH REPORT</w:t>
      </w:r>
    </w:p>
    <w:p>
      <w:pPr>
        <w:spacing w:after="360"/>
        <w:jc w:val="center"/>
      </w:pPr>
      <w:r>
        <w:rPr>
          <w:i/>
          <w:color w:val="475569"/>
          <w:sz w:val="24"/>
        </w:rPr>
        <w:t>Personalized AI School Assistant — Multi-Agent Intelligent Education Ecosystem</w:t>
      </w:r>
    </w:p>
    <w:tbl>
      <w:tblPr>
        <w:tblW w:type="auto" w:w="0"/>
        <w:jc w:val="center"/>
        <w:tblLook w:firstColumn="1" w:firstRow="1" w:lastColumn="0" w:lastRow="0" w:noHBand="0" w:noVBand="1" w:val="04A0"/>
      </w:tblPr>
      <w:tblGrid>
        <w:gridCol w:w="4680"/>
        <w:gridCol w:w="4680"/>
      </w:tblGrid>
      <w:tr>
        <w:tc>
          <w:tcPr>
            <w:tcW w:type="dxa" w:w="4680"/>
            <w:shd w:fill="F1F5F9"/>
          </w:tcPr>
          <w:p>
            <w:pPr>
              <w:spacing w:after="40" w:before="40"/>
            </w:pPr>
            <w:r>
              <w:rPr>
                <w:color w:val="475569"/>
                <w:sz w:val="19"/>
              </w:rPr>
              <w:t>Author: Software Engineering Intern</w:t>
            </w:r>
          </w:p>
        </w:tc>
        <w:tc>
          <w:tcPr>
            <w:tcW w:type="dxa" w:w="4680"/>
            <w:shd w:fill="F1F5F9"/>
          </w:tcPr>
          <w:p>
            <w:pPr>
              <w:spacing w:after="40" w:before="40"/>
            </w:pPr>
            <w:r>
              <w:rPr>
                <w:color w:val="475569"/>
                <w:sz w:val="19"/>
              </w:rPr>
              <w:t>Date: August 2026</w:t>
            </w:r>
          </w:p>
        </w:tc>
      </w:tr>
      <w:tr>
        <w:tc>
          <w:tcPr>
            <w:tcW w:type="dxa" w:w="4680"/>
            <w:shd w:fill="F1F5F9"/>
          </w:tcPr>
          <w:p>
            <w:pPr>
              <w:spacing w:after="40" w:before="40"/>
            </w:pPr>
            <w:r>
              <w:rPr>
                <w:color w:val="475569"/>
                <w:sz w:val="19"/>
              </w:rPr>
              <w:t>Domain: AI Autonomous Agents / EdTech</w:t>
            </w:r>
          </w:p>
        </w:tc>
        <w:tc>
          <w:tcPr>
            <w:tcW w:type="dxa" w:w="4680"/>
            <w:shd w:fill="F1F5F9"/>
          </w:tcPr>
          <w:p>
            <w:pPr>
              <w:spacing w:after="40" w:before="40"/>
            </w:pPr>
            <w:r>
              <w:rPr>
                <w:color w:val="475569"/>
                <w:sz w:val="19"/>
              </w:rPr>
              <w:t>Framework: FastAPI + React + LangChain</w:t>
            </w:r>
          </w:p>
        </w:tc>
      </w:tr>
    </w:tbl>
    <w:p>
      <w:pPr>
        <w:spacing w:after="240"/>
      </w:pPr>
    </w:p>
    <w:p>
      <w:pPr>
        <w:spacing w:before="280" w:after="120"/>
      </w:pPr>
      <w:r>
        <w:rPr>
          <w:b/>
          <w:color w:val="1E40AF"/>
          <w:sz w:val="28"/>
        </w:rPr>
        <w:t>1. Executive Summary &amp; Introduction</w:t>
      </w:r>
    </w:p>
    <w:p>
      <w:pPr>
        <w:spacing w:after="120" w:line="276" w:lineRule="auto"/>
      </w:pPr>
      <w:r>
        <w:t>This report documents the research findings and engineering progress achieved during the internship on developing the Personalized AI School Assistant. The project addresses key structural challenges in modern education—such as rigid learning paces, lack of individualized feedback, and one-size-fits-all curricula—by constructing an autonomous, multi-agent AI ecosystem.</w:t>
      </w:r>
    </w:p>
    <w:p>
      <w:pPr>
        <w:spacing w:before="280" w:after="120"/>
      </w:pPr>
      <w:r>
        <w:rPr>
          <w:b/>
          <w:color w:val="475569"/>
          <w:sz w:val="23"/>
        </w:rPr>
        <w:t>1.1 Grounding in Literature &amp; Research Paper Selection</w:t>
      </w:r>
    </w:p>
    <w:p>
      <w:pPr>
        <w:spacing w:after="120" w:line="276" w:lineRule="auto"/>
      </w:pPr>
      <w:r>
        <w:t>To establish a production-ready architectural foundation, we systematically analyzed the seminal IEEE review paper "From LLM Reasoning to Autonomous AI Agents: A Comprehensive Review" (Ferrag et al., 2026). The survey provides an exhaustive review of evaluation benchmarks, framework designs (LangChain, CrewAI, Swarm, LlamaIndex), agent protocols (MCP, ACP, A2A), and multi-agent interaction topologies. This literature was selected specifically because it details the transition from passive text generation in Large Language Models (LLMs) to active, autonomous decision-making in multi-agent environments—the exact paradigm required for adaptive personalized learning.</w:t>
      </w:r>
    </w:p>
    <w:p>
      <w:pPr>
        <w:spacing w:before="280" w:after="120"/>
      </w:pPr>
      <w:r>
        <w:rPr>
          <w:b/>
          <w:color w:val="1E40AF"/>
          <w:sz w:val="28"/>
        </w:rPr>
        <w:t>2. Key Learnings from Research Literature</w:t>
      </w:r>
    </w:p>
    <w:p>
      <w:pPr>
        <w:spacing w:before="280" w:after="120"/>
      </w:pPr>
      <w:r>
        <w:rPr>
          <w:b/>
          <w:color w:val="475569"/>
          <w:sz w:val="23"/>
        </w:rPr>
        <w:t>2.1 Paradigm Shift: Static LLMs vs. Autonomous AI Agents</w:t>
      </w:r>
    </w:p>
    <w:p>
      <w:pPr>
        <w:spacing w:after="120" w:line="276" w:lineRule="auto"/>
      </w:pPr>
      <w:r>
        <w:t>As highlighted by Ferrag et al. (2026), traditional LLM applications operate in a single-turn, reactive text-generation paradigm. While effective for simple text synthesis, basic LLMs suffer from static knowledge boundaries, context window degradation, and hallucination issues.</w:t>
      </w:r>
    </w:p>
    <w:p>
      <w:pPr>
        <w:spacing w:after="120" w:line="276" w:lineRule="auto"/>
      </w:pPr>
      <w:r>
        <w:rPr>
          <w:b/>
          <w:color w:val="1E40AF"/>
        </w:rPr>
        <w:t xml:space="preserve">Core Agent Pillars: </w:t>
      </w:r>
      <w:r>
        <w:t>Autonomous AI Agents extend foundation models by incorporating four critical operational capabilities:</w:t>
      </w:r>
    </w:p>
    <w:p>
      <w:pPr>
        <w:spacing w:after="120" w:line="276" w:lineRule="auto"/>
      </w:pPr>
      <w:r>
        <w:rPr>
          <w:b/>
          <w:color w:val="1E40AF"/>
        </w:rPr>
        <w:t xml:space="preserve">1. Role Specialization: </w:t>
      </w:r>
      <w:r>
        <w:t>Assigning explicit personas, domain boundaries, and output format constraints to guide reasoning.</w:t>
      </w:r>
    </w:p>
    <w:p>
      <w:pPr>
        <w:spacing w:after="120" w:line="276" w:lineRule="auto"/>
      </w:pPr>
      <w:r>
        <w:rPr>
          <w:b/>
          <w:color w:val="1E40AF"/>
        </w:rPr>
        <w:t xml:space="preserve">2. Memory &amp; State Management: </w:t>
      </w:r>
      <w:r>
        <w:t>Maintaining short-term conversational context alongside persistent long-term relational and profile state.</w:t>
      </w:r>
    </w:p>
    <w:p>
      <w:pPr>
        <w:spacing w:after="120" w:line="276" w:lineRule="auto"/>
      </w:pPr>
      <w:r>
        <w:rPr>
          <w:b/>
          <w:color w:val="1E40AF"/>
        </w:rPr>
        <w:t xml:space="preserve">3. Planning &amp; Multi-Step Reasoning: </w:t>
      </w:r>
      <w:r>
        <w:t>Decomposing complex user goals into structured sub-tasks using strategies such as Chain-of-Thought (CoT) and ReAct.</w:t>
      </w:r>
    </w:p>
    <w:p>
      <w:pPr>
        <w:spacing w:after="120" w:line="276" w:lineRule="auto"/>
      </w:pPr>
      <w:r>
        <w:rPr>
          <w:b/>
          <w:color w:val="1E40AF"/>
        </w:rPr>
        <w:t xml:space="preserve">4. Tool Interoperability: </w:t>
      </w:r>
      <w:r>
        <w:t>Calling external APIs, executing programmatic functions, and querying backend databases dynamically.</w:t>
      </w:r>
    </w:p>
    <w:p>
      <w:pPr>
        <w:spacing w:before="280" w:after="120"/>
      </w:pPr>
      <w:r>
        <w:rPr>
          <w:b/>
          <w:color w:val="475569"/>
          <w:sz w:val="23"/>
        </w:rPr>
        <w:t>2.2 Frameworks &amp; Communication Protocol Standards</w:t>
      </w:r>
    </w:p>
    <w:p>
      <w:pPr>
        <w:spacing w:after="120" w:line="276" w:lineRule="auto"/>
      </w:pPr>
      <w:r>
        <w:t>The paper evaluates leading frameworks and standardized agent interaction protocols:</w:t>
      </w:r>
    </w:p>
    <w:p>
      <w:pPr>
        <w:spacing w:after="120" w:line="276" w:lineRule="auto"/>
      </w:pPr>
      <w:r>
        <w:rPr>
          <w:b/>
          <w:color w:val="1E40AF"/>
        </w:rPr>
        <w:t xml:space="preserve">• LangChain &amp; LlamaIndex: </w:t>
      </w:r>
      <w:r>
        <w:t>Provide modular abstractions for prompt management, index querying, and structured tool binding.</w:t>
      </w:r>
    </w:p>
    <w:p>
      <w:pPr>
        <w:spacing w:after="120" w:line="276" w:lineRule="auto"/>
      </w:pPr>
      <w:r>
        <w:rPr>
          <w:b/>
          <w:color w:val="1E40AF"/>
        </w:rPr>
        <w:t xml:space="preserve">• CrewAI &amp; OpenAI Swarm: </w:t>
      </w:r>
      <w:r>
        <w:t>Orchestrate teams of specialized agents with dynamic handoffs and collaborative workflows.</w:t>
      </w:r>
    </w:p>
    <w:p>
      <w:pPr>
        <w:spacing w:after="120" w:line="276" w:lineRule="auto"/>
      </w:pPr>
      <w:r>
        <w:rPr>
          <w:b/>
          <w:color w:val="1E40AF"/>
        </w:rPr>
        <w:t xml:space="preserve">• Model Context Protocol (MCP): </w:t>
      </w:r>
      <w:r>
        <w:t>Standardizes host-to-tool connections for secure, context-aware data delivery.</w:t>
      </w:r>
    </w:p>
    <w:p>
      <w:pPr>
        <w:spacing w:after="120" w:line="276" w:lineRule="auto"/>
      </w:pPr>
      <w:r>
        <w:rPr>
          <w:b/>
          <w:color w:val="1E40AF"/>
        </w:rPr>
        <w:t xml:space="preserve">• ACP &amp; Agent-to-Agent (A2A) Protocols: </w:t>
      </w:r>
      <w:r>
        <w:t>Facilitate cross-framework interoperability and structured JSON-RPC task exchanges across heterogeneous agent nodes.</w:t>
      </w:r>
    </w:p>
    <w:p>
      <w:pPr>
        <w:spacing w:before="280" w:after="120"/>
      </w:pPr>
      <w:r>
        <w:rPr>
          <w:b/>
          <w:color w:val="1E40AF"/>
          <w:sz w:val="28"/>
        </w:rPr>
        <w:t>3. Project Development Progress (Weekly Technical Report)</w:t>
      </w:r>
    </w:p>
    <w:p>
      <w:pPr>
        <w:spacing w:after="120" w:line="276" w:lineRule="auto"/>
      </w:pPr>
      <w:r>
        <w:t>During the internship period, the project evolved from initial architectural design to a fully operational multi-agent educational platform.</w:t>
      </w:r>
    </w:p>
    <w:p>
      <w:pPr>
        <w:spacing w:before="280" w:after="120"/>
      </w:pPr>
      <w:r>
        <w:rPr>
          <w:b/>
          <w:color w:val="475569"/>
          <w:sz w:val="23"/>
        </w:rPr>
        <w:t>3.1 Full-Stack Architecture &amp; Technology Selection</w:t>
      </w:r>
    </w:p>
    <w:p>
      <w:pPr>
        <w:spacing w:after="120" w:line="276" w:lineRule="auto"/>
      </w:pPr>
      <w:r>
        <w:t>The application architecture is structured into a modern full-stack ecosystem:</w:t>
      </w:r>
    </w:p>
    <w:p>
      <w:pPr>
        <w:spacing w:after="120" w:line="276" w:lineRule="auto"/>
      </w:pPr>
      <w:r>
        <w:rPr>
          <w:b/>
          <w:color w:val="1E40AF"/>
        </w:rPr>
        <w:t xml:space="preserve">• Frontend: </w:t>
      </w:r>
      <w:r>
        <w:t>React 18, TypeScript, Vite, TanStack Router, Tailwind CSS, Shadcn UI components, and Lucide icons.</w:t>
      </w:r>
    </w:p>
    <w:p>
      <w:pPr>
        <w:spacing w:after="120" w:line="276" w:lineRule="auto"/>
      </w:pPr>
      <w:r>
        <w:rPr>
          <w:b/>
          <w:color w:val="1E40AF"/>
        </w:rPr>
        <w:t xml:space="preserve">• Backend Engine: </w:t>
      </w:r>
      <w:r>
        <w:t>FastAPI (ASGI server), SQLAlchemy 2.0 (ORM), Pydantic v2 (data validation), Uvicorn, and SQLite/PostgreSQL database.</w:t>
      </w:r>
    </w:p>
    <w:p>
      <w:pPr>
        <w:spacing w:after="120" w:line="276" w:lineRule="auto"/>
      </w:pPr>
      <w:r>
        <w:rPr>
          <w:b/>
          <w:color w:val="1E40AF"/>
        </w:rPr>
        <w:t xml:space="preserve">• AI Orchestration Layer: </w:t>
      </w:r>
      <w:r>
        <w:t>LangChain, OpenRouter API / Gemini API, structured JSON parsing, and custom prompt templates.</w:t>
      </w:r>
    </w:p>
    <w:p>
      <w:pPr>
        <w:spacing w:before="280" w:after="120"/>
      </w:pPr>
      <w:r>
        <w:rPr>
          <w:b/>
          <w:color w:val="475569"/>
          <w:sz w:val="23"/>
        </w:rPr>
        <w:t>3.2 Deployed Multi-Agent Modules</w:t>
      </w:r>
    </w:p>
    <w:tbl>
      <w:tblPr>
        <w:tblW w:type="auto" w:w="0"/>
        <w:jc w:val="center"/>
        <w:tblLook w:firstColumn="1" w:firstRow="1" w:lastColumn="0" w:lastRow="0" w:noHBand="0" w:noVBand="1" w:val="04A0"/>
      </w:tblPr>
      <w:tblGrid>
        <w:gridCol w:w="3120"/>
        <w:gridCol w:w="3120"/>
        <w:gridCol w:w="3120"/>
      </w:tblGrid>
      <w:tr>
        <w:tc>
          <w:tcPr>
            <w:tcW w:type="dxa" w:w="3120"/>
            <w:shd w:fill="1E40AF"/>
          </w:tcPr>
          <w:p>
            <w:r>
              <w:rPr>
                <w:b/>
                <w:color w:val="FFFFFF"/>
              </w:rPr>
              <w:t>Agent Module</w:t>
            </w:r>
          </w:p>
        </w:tc>
        <w:tc>
          <w:tcPr>
            <w:tcW w:type="dxa" w:w="3120"/>
            <w:shd w:fill="1E40AF"/>
          </w:tcPr>
          <w:p>
            <w:r>
              <w:rPr>
                <w:b/>
                <w:color w:val="FFFFFF"/>
              </w:rPr>
              <w:t>Status</w:t>
            </w:r>
          </w:p>
        </w:tc>
        <w:tc>
          <w:tcPr>
            <w:tcW w:type="dxa" w:w="3120"/>
            <w:shd w:fill="1E40AF"/>
          </w:tcPr>
          <w:p>
            <w:r>
              <w:rPr>
                <w:b/>
                <w:color w:val="FFFFFF"/>
              </w:rPr>
              <w:t>Core Contribution &amp; Functionality</w:t>
            </w:r>
          </w:p>
        </w:tc>
      </w:tr>
      <w:tr>
        <w:tc>
          <w:tcPr>
            <w:tcW w:type="dxa" w:w="3120"/>
            <w:shd w:fill="F8FAFC"/>
          </w:tcPr>
          <w:p>
            <w:pPr>
              <w:spacing w:after="40" w:before="40"/>
            </w:pPr>
            <w:r>
              <w:rPr>
                <w:sz w:val="19"/>
              </w:rPr>
              <w:t>Agent #1: AI Tutor Agent (tutor_agent.py)</w:t>
            </w:r>
          </w:p>
        </w:tc>
        <w:tc>
          <w:tcPr>
            <w:tcW w:type="dxa" w:w="3120"/>
            <w:shd w:fill="F8FAFC"/>
          </w:tcPr>
          <w:p>
            <w:pPr>
              <w:spacing w:after="40" w:before="40"/>
            </w:pPr>
            <w:r>
              <w:rPr>
                <w:sz w:val="19"/>
              </w:rPr>
              <w:t>Deployed &amp; Verified</w:t>
            </w:r>
          </w:p>
        </w:tc>
        <w:tc>
          <w:tcPr>
            <w:tcW w:type="dxa" w:w="3120"/>
            <w:shd w:fill="F8FAFC"/>
          </w:tcPr>
          <w:p>
            <w:pPr>
              <w:spacing w:after="40" w:before="40"/>
            </w:pPr>
            <w:r>
              <w:rPr>
                <w:sz w:val="19"/>
              </w:rPr>
              <w:t>Delivers 1-on-1 Socratic explanations, visual analogies, worked examples, and practice hint toggles.</w:t>
            </w:r>
          </w:p>
        </w:tc>
      </w:tr>
      <w:tr>
        <w:tc>
          <w:tcPr>
            <w:tcW w:type="dxa" w:w="3120"/>
            <w:shd w:fill="FFFFFF"/>
          </w:tcPr>
          <w:p>
            <w:pPr>
              <w:spacing w:after="40" w:before="40"/>
            </w:pPr>
            <w:r>
              <w:rPr>
                <w:sz w:val="19"/>
              </w:rPr>
              <w:t>Agent #2: Assessment Profiler (profiler_agent.py)</w:t>
            </w:r>
          </w:p>
        </w:tc>
        <w:tc>
          <w:tcPr>
            <w:tcW w:type="dxa" w:w="3120"/>
            <w:shd w:fill="FFFFFF"/>
          </w:tcPr>
          <w:p>
            <w:pPr>
              <w:spacing w:after="40" w:before="40"/>
            </w:pPr>
            <w:r>
              <w:rPr>
                <w:sz w:val="19"/>
              </w:rPr>
              <w:t>Deployed &amp; Verified</w:t>
            </w:r>
          </w:p>
        </w:tc>
        <w:tc>
          <w:tcPr>
            <w:tcW w:type="dxa" w:w="3120"/>
            <w:shd w:fill="FFFFFF"/>
          </w:tcPr>
          <w:p>
            <w:pPr>
              <w:spacing w:after="40" w:before="40"/>
            </w:pPr>
            <w:r>
              <w:rPr>
                <w:sz w:val="19"/>
              </w:rPr>
              <w:t>Grades student practice responses, computes topic mastery %, and updates StudentProfile database state.</w:t>
            </w:r>
          </w:p>
        </w:tc>
      </w:tr>
      <w:tr>
        <w:tc>
          <w:tcPr>
            <w:tcW w:type="dxa" w:w="3120"/>
            <w:shd w:fill="F8FAFC"/>
          </w:tcPr>
          <w:p>
            <w:pPr>
              <w:spacing w:after="40" w:before="40"/>
            </w:pPr>
            <w:r>
              <w:rPr>
                <w:sz w:val="19"/>
              </w:rPr>
              <w:t>Agent #3: Study Planner Agent (planner_agent.py)</w:t>
            </w:r>
          </w:p>
        </w:tc>
        <w:tc>
          <w:tcPr>
            <w:tcW w:type="dxa" w:w="3120"/>
            <w:shd w:fill="F8FAFC"/>
          </w:tcPr>
          <w:p>
            <w:pPr>
              <w:spacing w:after="40" w:before="40"/>
            </w:pPr>
            <w:r>
              <w:rPr>
                <w:sz w:val="19"/>
              </w:rPr>
              <w:t>Deployed &amp; Verified</w:t>
            </w:r>
          </w:p>
        </w:tc>
        <w:tc>
          <w:tcPr>
            <w:tcW w:type="dxa" w:w="3120"/>
            <w:shd w:fill="F8FAFC"/>
          </w:tcPr>
          <w:p>
            <w:pPr>
              <w:spacing w:after="40" w:before="40"/>
            </w:pPr>
            <w:r>
              <w:rPr>
                <w:sz w:val="19"/>
              </w:rPr>
              <w:t>Queries student weaknesses and assignment due dates to generate adaptive 7-day revision timetables.</w:t>
            </w:r>
          </w:p>
        </w:tc>
      </w:tr>
      <w:tr>
        <w:tc>
          <w:tcPr>
            <w:tcW w:type="dxa" w:w="3120"/>
            <w:shd w:fill="FFFFFF"/>
          </w:tcPr>
          <w:p>
            <w:pPr>
              <w:spacing w:after="40" w:before="40"/>
            </w:pPr>
            <w:r>
              <w:rPr>
                <w:sz w:val="19"/>
              </w:rPr>
              <w:t>Agent #4: Quiz &amp; Practice Agent (quiz_agent.py)</w:t>
            </w:r>
          </w:p>
        </w:tc>
        <w:tc>
          <w:tcPr>
            <w:tcW w:type="dxa" w:w="3120"/>
            <w:shd w:fill="FFFFFF"/>
          </w:tcPr>
          <w:p>
            <w:pPr>
              <w:spacing w:after="40" w:before="40"/>
            </w:pPr>
            <w:r>
              <w:rPr>
                <w:sz w:val="19"/>
              </w:rPr>
              <w:t>Deployed &amp; Verified</w:t>
            </w:r>
          </w:p>
        </w:tc>
        <w:tc>
          <w:tcPr>
            <w:tcW w:type="dxa" w:w="3120"/>
            <w:shd w:fill="FFFFFF"/>
          </w:tcPr>
          <w:p>
            <w:pPr>
              <w:spacing w:after="40" w:before="40"/>
            </w:pPr>
            <w:r>
              <w:rPr>
                <w:sz w:val="19"/>
              </w:rPr>
              <w:t>Generates adaptive MCQs/flashcards, grades submissions, and auto-updates Agent #2 mastery % in DB.</w:t>
            </w:r>
          </w:p>
        </w:tc>
      </w:tr>
    </w:tbl>
    <w:p>
      <w:pPr>
        <w:spacing w:after="200"/>
      </w:pPr>
    </w:p>
    <w:p>
      <w:pPr>
        <w:spacing w:before="280" w:after="120"/>
      </w:pPr>
      <w:r>
        <w:rPr>
          <w:b/>
          <w:color w:val="1E40AF"/>
          <w:sz w:val="28"/>
        </w:rPr>
        <w:t>4. Synthesis: Connecting Research to Implementation</w:t>
      </w:r>
    </w:p>
    <w:p>
      <w:pPr>
        <w:spacing w:after="120" w:line="276" w:lineRule="auto"/>
      </w:pPr>
      <w:r>
        <w:t>The technical implementation operationalizes key concepts from the IEEE review paper:</w:t>
      </w:r>
    </w:p>
    <w:p>
      <w:pPr>
        <w:spacing w:after="120" w:line="276" w:lineRule="auto"/>
      </w:pPr>
      <w:r>
        <w:rPr>
          <w:b/>
          <w:color w:val="1E40AF"/>
        </w:rPr>
        <w:t xml:space="preserve">1. Role Specialization (CrewAI/Swarm): </w:t>
      </w:r>
      <w:r>
        <w:t>Rather than relying on a single monolithic prompt, our design separates responsibilities into specialized, single-responsibility agents, preventing prompt degradation.</w:t>
      </w:r>
    </w:p>
    <w:p>
      <w:pPr>
        <w:spacing w:after="120" w:line="276" w:lineRule="auto"/>
      </w:pPr>
      <w:r>
        <w:rPr>
          <w:b/>
          <w:color w:val="1E40AF"/>
        </w:rPr>
        <w:t xml:space="preserve">2. Closed-Loop Memory &amp; State Updates: </w:t>
      </w:r>
      <w:r>
        <w:t>When a student completes a quiz generated by Agent #4, the submission evaluation automatically updates the StudentProfile in Agent #2. In turn, Agent #1 (Tutor) and Agent #3 (Planner) instantly consume updated mastery scores to adjust instructional depth and schedule priorities.</w:t>
      </w:r>
    </w:p>
    <w:p>
      <w:pPr>
        <w:spacing w:after="120" w:line="276" w:lineRule="auto"/>
      </w:pPr>
      <w:r>
        <w:rPr>
          <w:b/>
          <w:color w:val="1E40AF"/>
        </w:rPr>
        <w:t xml:space="preserve">3. Structured Output &amp; Interoperability: </w:t>
      </w:r>
      <w:r>
        <w:t>Agents communicate using strictly validated Pydantic JSON schemas, reflecting tool-use best practices outlined in MCP and LangChain specifications.</w:t>
      </w:r>
    </w:p>
    <w:p>
      <w:pPr>
        <w:spacing w:before="280" w:after="120"/>
      </w:pPr>
      <w:r>
        <w:rPr>
          <w:b/>
          <w:color w:val="1E40AF"/>
          <w:sz w:val="28"/>
        </w:rPr>
        <w:t>5. Future Work &amp; System Roadmap</w:t>
      </w:r>
    </w:p>
    <w:p>
      <w:pPr>
        <w:spacing w:after="120" w:line="276" w:lineRule="auto"/>
      </w:pPr>
      <w:r>
        <w:t>With the core 4-agent ecosystem fully operational, future internship phases will focus on:</w:t>
      </w:r>
    </w:p>
    <w:p>
      <w:pPr>
        <w:spacing w:after="120" w:line="276" w:lineRule="auto"/>
      </w:pPr>
      <w:r>
        <w:rPr>
          <w:b/>
          <w:color w:val="1E40AF"/>
        </w:rPr>
        <w:t xml:space="preserve">• Agent #5 (RAG Course Knowledge Agent): </w:t>
      </w:r>
      <w:r>
        <w:t>Indexing textbook PDFs, slides, and syllabus notes into vector stores (ChromaDB/LlamaIndex) for grounded answers with page citations.</w:t>
      </w:r>
    </w:p>
    <w:p>
      <w:pPr>
        <w:spacing w:after="120" w:line="276" w:lineRule="auto"/>
      </w:pPr>
      <w:r>
        <w:rPr>
          <w:b/>
          <w:color w:val="1E40AF"/>
        </w:rPr>
        <w:t xml:space="preserve">• Agent #6 (Teacher Assistant Agent): </w:t>
      </w:r>
      <w:r>
        <w:t>Building class-wide analytics for educators with automated homework grading drafts and Human-in-the-Loop (HITL) confirmation controls.</w:t>
      </w:r>
    </w:p>
    <w:p>
      <w:pPr>
        <w:spacing w:after="120" w:line="276" w:lineRule="auto"/>
      </w:pPr>
      <w:r>
        <w:rPr>
          <w:b/>
          <w:color w:val="1E40AF"/>
        </w:rPr>
        <w:t xml:space="preserve">• Protocol Standardization: </w:t>
      </w:r>
      <w:r>
        <w:t>Standardizing external tool connections and secure context delivery across agent nodes using Model Context Protocol (MCP).</w:t>
      </w:r>
    </w:p>
    <w:p>
      <w:pPr>
        <w:spacing w:before="280" w:after="120"/>
      </w:pPr>
      <w:r>
        <w:rPr>
          <w:b/>
          <w:color w:val="1E40AF"/>
          <w:sz w:val="28"/>
        </w:rPr>
        <w:t>6. Conclusion</w:t>
      </w:r>
    </w:p>
    <w:p>
      <w:pPr>
        <w:spacing w:after="120" w:line="276" w:lineRule="auto"/>
      </w:pPr>
      <w:r>
        <w:t>The Personalized AI School Assistant project successfully applies state-of-the-art multi-agent research to real-world educational challenges. By integrating specialized agents for tutoring, diagnostic profiling, study planning, and automated quiz assessment, the system delivers a cohesive, stateful, and personalized learning environment. The theoretical principles derived from Ferrag et al. (2026) ensured that the resulting codebase is scalable, modular, and production-ready.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