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KPI Analysis Report – E-commerce</w:t>
      </w:r>
    </w:p>
    <w:p>
      <w:r>
        <w:br/>
        <w:t>This report evaluates key performance indicators (KPIs) to assess the</w:t>
        <w:br/>
        <w:t>overall health and growth of the e-commerce business.</w:t>
        <w:br/>
      </w:r>
    </w:p>
    <w:p>
      <w:pPr>
        <w:pStyle w:val="Heading2"/>
      </w:pPr>
      <w:r>
        <w:t>Key KPIs</w:t>
      </w:r>
    </w:p>
    <w:p>
      <w:r>
        <w:br/>
        <w:t>• Total Revenue: $1,783,642.51</w:t>
        <w:br/>
        <w:t>• Average Order Value (AOV): $297.27</w:t>
        <w:br/>
        <w:t>• Total Profit: $243,558.84</w:t>
        <w:br/>
        <w:t>• Profit Margin: 13.66%</w:t>
        <w:br/>
      </w:r>
    </w:p>
    <w:p>
      <w:pPr>
        <w:pStyle w:val="Heading2"/>
      </w:pPr>
      <w:r>
        <w:t>KPI Insights</w:t>
      </w:r>
    </w:p>
    <w:p>
      <w:r>
        <w:br/>
        <w:t>1. Revenue growth is driven primarily by repeat customers.</w:t>
        <w:br/>
        <w:t>2. Profit margin indicates pricing inefficiencies in some categories.</w:t>
        <w:br/>
        <w:t>3. High AOV correlates with higher profitability.</w:t>
        <w:br/>
      </w:r>
    </w:p>
    <w:p>
      <w:pPr>
        <w:pStyle w:val="Heading2"/>
      </w:pPr>
      <w:r>
        <w:t>Recommendations</w:t>
      </w:r>
    </w:p>
    <w:p>
      <w:r>
        <w:br/>
        <w:t>• Introduce loyalty programs to increase repeat purchases.</w:t>
        <w:br/>
        <w:t>• Optimize pricing in low-margin categories.</w:t>
        <w:br/>
        <w:t>• Upsell premium products to improve AOV.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