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60"/>
      </w:pPr>
      <w:r>
        <w:rPr>
          <w:rFonts w:ascii="Calibri" w:cs="Calibri" w:eastAsia="Calibri" w:hAnsi="Calibri"/>
          <w:b/>
          <w:bCs/>
          <w:color w:val="C74A00"/>
          <w:spacing w:val="60"/>
          <w:sz w:val="20"/>
          <w:szCs w:val="20"/>
        </w:rPr>
        <w:t xml:space="preserve">DESIGN &amp; TEMPLATE SPECIFICATION</w:t>
      </w:r>
    </w:p>
    <w:p>
      <w:pPr>
        <w:pBdr>
          <w:bottom w:val="single" w:color="F76900" w:sz="18" w:space="10"/>
        </w:pBdr>
        <w:spacing w:after="40"/>
      </w:pPr>
      <w:r>
        <w:rPr>
          <w:rFonts w:ascii="Calibri" w:cs="Calibri" w:eastAsia="Calibri" w:hAnsi="Calibri"/>
          <w:b/>
          <w:bCs/>
          <w:color w:val="10365C"/>
          <w:sz w:val="52"/>
          <w:szCs w:val="52"/>
        </w:rPr>
        <w:t xml:space="preserve">David A. Gwilt Flooring</w:t>
      </w:r>
    </w:p>
    <w:p>
      <w:pPr>
        <w:spacing w:after="60" w:before="220"/>
      </w:pPr>
      <w:r>
        <w:rPr>
          <w:rFonts w:ascii="Calibri" w:cs="Calibri" w:eastAsia="Calibri" w:hAnsi="Calibri"/>
          <w:color w:val="10365C"/>
          <w:sz w:val="30"/>
          <w:szCs w:val="30"/>
        </w:rPr>
        <w:t xml:space="preserve">Concept A — Confirmed Selection</w:t>
      </w:r>
    </w:p>
    <w:p>
      <w:pPr>
        <w:spacing w:after="700"/>
      </w:pPr>
      <w:r>
        <w:rPr>
          <w:rFonts w:ascii="Calibri" w:cs="Calibri" w:eastAsia="Calibri" w:hAnsi="Calibri"/>
          <w:i/>
          <w:iCs/>
          <w:color w:val="5A5A5A"/>
          <w:sz w:val="22"/>
          <w:szCs w:val="22"/>
        </w:rPr>
        <w:t xml:space="preserve">Template, Layout, Color, and Structural Changes from the Concept Review Session</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200"/>
        <w:gridCol w:w="7160"/>
      </w:tblGrid>
      <w:tr>
        <w:trPr>
          <w:tblHeader/>
        </w:trPr>
        <w:tc>
          <w:tcPr>
            <w:tcW w:type="dxa" w:w="2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Field</w:t>
            </w:r>
          </w:p>
        </w:tc>
        <w:tc>
          <w:tcPr>
            <w:tcW w:type="dxa" w:w="71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Detail</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Prepared for</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Development partner — front-end build</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Prepared by</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Matthew R. Epstein  |  Matthew@mrecai.com  |  929-919-3574</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Client</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David A. Gwilt — flooring sales and installation</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Working domain</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davidagwilt.com</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Source material</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Recorded concept-review session held on site with the client, conducted against the temporary four-concept demonstration site</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Concept selected</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CONCEPT A — confirmed</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Document scope</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Style, template, layout, color, and structural changes only. Commercial, operational, and content-production items are deliberately excluded — see Section 2.</w:t>
            </w:r>
          </w:p>
        </w:tc>
      </w:tr>
      <w:tr>
        <w:tc>
          <w:tcPr>
            <w:tcW w:type="dxa" w:w="22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Document date</w:t>
            </w:r>
          </w:p>
        </w:tc>
        <w:tc>
          <w:tcPr>
            <w:tcW w:type="dxa" w:w="71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September 19, 2026</w:t>
            </w:r>
          </w:p>
        </w:tc>
      </w:tr>
      <w:tr>
        <w:tc>
          <w:tcPr>
            <w:tcW w:type="dxa" w:w="22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Version</w:t>
            </w:r>
          </w:p>
        </w:tc>
        <w:tc>
          <w:tcPr>
            <w:tcW w:type="dxa" w:w="71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1.0</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Contents</w:t>
      </w:r>
    </w:p>
    <w:p>
      <w:pPr>
        <w:spacing w:after="60" w:line="276"/>
      </w:pPr>
      <w:r>
        <w:rPr>
          <w:rFonts w:ascii="Calibri" w:cs="Calibri" w:eastAsia="Calibri" w:hAnsi="Calibri"/>
          <w:sz w:val="21"/>
          <w:szCs w:val="21"/>
        </w:rPr>
        <w:t xml:space="preserve">1.  Executive Summary</w:t>
      </w:r>
    </w:p>
    <w:p>
      <w:pPr>
        <w:spacing w:after="60" w:line="276"/>
      </w:pPr>
      <w:r>
        <w:rPr>
          <w:rFonts w:ascii="Calibri" w:cs="Calibri" w:eastAsia="Calibri" w:hAnsi="Calibri"/>
          <w:sz w:val="21"/>
          <w:szCs w:val="21"/>
        </w:rPr>
        <w:t xml:space="preserve">2.  Scope — What This Document Covers and What It Deliberately Does Not</w:t>
      </w:r>
    </w:p>
    <w:p>
      <w:pPr>
        <w:spacing w:after="60" w:line="276"/>
      </w:pPr>
      <w:r>
        <w:rPr>
          <w:rFonts w:ascii="Calibri" w:cs="Calibri" w:eastAsia="Calibri" w:hAnsi="Calibri"/>
          <w:sz w:val="21"/>
          <w:szCs w:val="21"/>
        </w:rPr>
        <w:t xml:space="preserve">3.  Concept Evaluation and the Selection of Concept A</w:t>
      </w:r>
    </w:p>
    <w:p>
      <w:pPr>
        <w:spacing w:after="60" w:line="276"/>
      </w:pPr>
      <w:r>
        <w:rPr>
          <w:rFonts w:ascii="Calibri" w:cs="Calibri" w:eastAsia="Calibri" w:hAnsi="Calibri"/>
          <w:sz w:val="21"/>
          <w:szCs w:val="21"/>
        </w:rPr>
        <w:t xml:space="preserve">4.  The Hybrid Rule — A Structural Build Constraint</w:t>
      </w:r>
    </w:p>
    <w:p>
      <w:pPr>
        <w:spacing w:after="60" w:line="276"/>
      </w:pPr>
      <w:r>
        <w:rPr>
          <w:rFonts w:ascii="Calibri" w:cs="Calibri" w:eastAsia="Calibri" w:hAnsi="Calibri"/>
          <w:sz w:val="21"/>
          <w:szCs w:val="21"/>
        </w:rPr>
        <w:t xml:space="preserve">5.  Color System</w:t>
      </w:r>
    </w:p>
    <w:p>
      <w:pPr>
        <w:spacing w:after="60" w:line="276"/>
      </w:pPr>
      <w:r>
        <w:rPr>
          <w:rFonts w:ascii="Calibri" w:cs="Calibri" w:eastAsia="Calibri" w:hAnsi="Calibri"/>
          <w:sz w:val="21"/>
          <w:szCs w:val="21"/>
        </w:rPr>
        <w:t xml:space="preserve">6.  Design Language — Interpreting "Clean"</w:t>
      </w:r>
    </w:p>
    <w:p>
      <w:pPr>
        <w:spacing w:after="60" w:line="276"/>
      </w:pPr>
      <w:r>
        <w:rPr>
          <w:rFonts w:ascii="Calibri" w:cs="Calibri" w:eastAsia="Calibri" w:hAnsi="Calibri"/>
          <w:sz w:val="21"/>
          <w:szCs w:val="21"/>
        </w:rPr>
        <w:t xml:space="preserve">7.  Homepage Template — Section-by-Section Layout Specification</w:t>
      </w:r>
    </w:p>
    <w:p>
      <w:pPr>
        <w:spacing w:after="60" w:line="276"/>
      </w:pPr>
      <w:r>
        <w:rPr>
          <w:rFonts w:ascii="Calibri" w:cs="Calibri" w:eastAsia="Calibri" w:hAnsi="Calibri"/>
          <w:sz w:val="21"/>
          <w:szCs w:val="21"/>
        </w:rPr>
        <w:t xml:space="preserve">8.  Change Register — Every Modification to the Concept A Mockup</w:t>
      </w:r>
    </w:p>
    <w:p>
      <w:pPr>
        <w:spacing w:after="60" w:line="276"/>
      </w:pPr>
      <w:r>
        <w:rPr>
          <w:rFonts w:ascii="Calibri" w:cs="Calibri" w:eastAsia="Calibri" w:hAnsi="Calibri"/>
          <w:sz w:val="21"/>
          <w:szCs w:val="21"/>
        </w:rPr>
        <w:t xml:space="preserve">9.  Fold, Viewport, and Responsive Behavior</w:t>
      </w:r>
    </w:p>
    <w:p>
      <w:pPr>
        <w:spacing w:after="60" w:line="276"/>
      </w:pPr>
      <w:r>
        <w:rPr>
          <w:rFonts w:ascii="Calibri" w:cs="Calibri" w:eastAsia="Calibri" w:hAnsi="Calibri"/>
          <w:sz w:val="21"/>
          <w:szCs w:val="21"/>
        </w:rPr>
        <w:t xml:space="preserve">10. Navigation and Template Inheritance for Interior Pages</w:t>
      </w:r>
    </w:p>
    <w:p>
      <w:pPr>
        <w:spacing w:after="60" w:line="276"/>
      </w:pPr>
      <w:r>
        <w:rPr>
          <w:rFonts w:ascii="Calibri" w:cs="Calibri" w:eastAsia="Calibri" w:hAnsi="Calibri"/>
          <w:sz w:val="21"/>
          <w:szCs w:val="21"/>
        </w:rPr>
        <w:t xml:space="preserve">11. Component Inventory — What Must Be Built as Reusable Parts</w:t>
      </w:r>
    </w:p>
    <w:p>
      <w:pPr>
        <w:spacing w:after="60" w:line="276"/>
      </w:pPr>
      <w:r>
        <w:rPr>
          <w:rFonts w:ascii="Calibri" w:cs="Calibri" w:eastAsia="Calibri" w:hAnsi="Calibri"/>
          <w:sz w:val="21"/>
          <w:szCs w:val="21"/>
        </w:rPr>
        <w:t xml:space="preserve">12. Style Items Requiring Confirmation Before Build</w:t>
      </w:r>
    </w:p>
    <w:p>
      <w:pPr>
        <w:spacing w:after="60" w:line="276"/>
      </w:pPr>
      <w:r>
        <w:rPr>
          <w:rFonts w:ascii="Calibri" w:cs="Calibri" w:eastAsia="Calibri" w:hAnsi="Calibri"/>
          <w:sz w:val="21"/>
          <w:szCs w:val="21"/>
        </w:rPr>
        <w:t xml:space="preserve">Appendix A — Style and Template Note Index (Every Design-Relevant Point Raised)</w:t>
      </w:r>
    </w:p>
    <w:p>
      <w:pPr>
        <w:spacing w:after="60" w:line="276"/>
      </w:pPr>
      <w:r>
        <w:rPr>
          <w:rFonts w:ascii="Calibri" w:cs="Calibri" w:eastAsia="Calibri" w:hAnsi="Calibri"/>
          <w:sz w:val="21"/>
          <w:szCs w:val="21"/>
        </w:rPr>
        <w:t xml:space="preserve">Appendix B — Items Parked Out of Scope</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 Executive Summary</w:t>
      </w:r>
    </w:p>
    <w:p>
      <w:pPr>
        <w:spacing w:after="120" w:line="276"/>
      </w:pPr>
      <w:r>
        <w:rPr>
          <w:rFonts w:ascii="Calibri" w:cs="Calibri" w:eastAsia="Calibri" w:hAnsi="Calibri"/>
          <w:sz w:val="21"/>
          <w:szCs w:val="21"/>
        </w:rPr>
        <w:t xml:space="preserve">Four homepage concepts were built to a temporary demonstration site and reviewed live with the client, each opened in its own browser tab so the four could be scrolled and compared directly against one another. The framing given to the client throughout — and repeated deliberately — was that the four concepts differ in style alone. Color was declared irrelevant to the decision because any concept can be rendered in any palette. Copy was declared irrelevant because every word on the mockups is placeholder. The client was asked to evaluate exactly one thing: which layout he wanted his content displayed in.</w:t>
      </w:r>
    </w:p>
    <w:p>
      <w:pPr>
        <w:spacing w:after="120" w:line="276"/>
      </w:pPr>
      <w:r>
        <w:rPr>
          <w:rFonts w:ascii="Calibri" w:cs="Calibri" w:eastAsia="Calibri" w:hAnsi="Calibri"/>
          <w:sz w:val="21"/>
          <w:szCs w:val="21"/>
        </w:rPr>
        <w:t xml:space="preserve">The outcome is unambiguous. </w:t>
      </w:r>
      <w:r>
        <w:rPr>
          <w:rFonts w:ascii="Calibri" w:cs="Calibri" w:eastAsia="Calibri" w:hAnsi="Calibri"/>
          <w:b/>
          <w:bCs/>
          <w:sz w:val="21"/>
          <w:szCs w:val="21"/>
        </w:rPr>
        <w:t xml:space="preserve">Concept A is the selected template and has since been confirmed.</w:t>
      </w:r>
      <w:r>
        <w:rPr>
          <w:rFonts w:ascii="Calibri" w:cs="Calibri" w:eastAsia="Calibri" w:hAnsi="Calibri"/>
          <w:sz w:val="21"/>
          <w:szCs w:val="21"/>
        </w:rPr>
        <w:t xml:space="preserve"> Concepts 3 and 4 were eliminated on the client's first pass — he rejected the wording and the overall feel of both, and the tabs were closed during the session. Concept B survived to the shortlist but was not selected; it remains relevant only as a donor for individual features, described below.</w:t>
      </w:r>
    </w:p>
    <w:p>
      <w:pPr>
        <w:pStyle w:val="Heading3"/>
        <w:spacing w:after="90" w:before="220"/>
      </w:pPr>
      <w:r>
        <w:rPr>
          <w:rFonts w:ascii="Calibri" w:cs="Calibri" w:eastAsia="Calibri" w:hAnsi="Calibri"/>
          <w:b/>
          <w:bCs/>
          <w:color w:val="C74A00"/>
          <w:sz w:val="22"/>
          <w:szCs w:val="22"/>
        </w:rPr>
        <w:t xml:space="preserve">What the client approved in Concept A</w:t>
      </w:r>
    </w:p>
    <w:p>
      <w:pPr>
        <w:spacing w:after="120" w:line="276"/>
      </w:pPr>
      <w:r>
        <w:rPr>
          <w:rFonts w:ascii="Calibri" w:cs="Calibri" w:eastAsia="Calibri" w:hAnsi="Calibri"/>
          <w:sz w:val="21"/>
          <w:szCs w:val="21"/>
        </w:rPr>
        <w:t xml:space="preserve">The approval was structural, not decorative. He signed off on a specific sequence: an experience-led headline at the top of the page, two immediate calls to action rendered side by side — book a consultation, and view his story — a defined fold boundary that he was shown on screen and explicitly approved, and his personal introduction video positioned directly beneath the hero as the first thing below the fold. The assessment offered during the session, which he agreed with, was that Concept A reads as clean and works as a landing experience for a visitor arriving cold.</w:t>
      </w:r>
    </w:p>
    <w:p>
      <w:pPr>
        <w:pStyle w:val="Heading3"/>
        <w:spacing w:after="90" w:before="220"/>
      </w:pPr>
      <w:r>
        <w:rPr>
          <w:rFonts w:ascii="Calibri" w:cs="Calibri" w:eastAsia="Calibri" w:hAnsi="Calibri"/>
          <w:b/>
          <w:bCs/>
          <w:color w:val="C74A00"/>
          <w:sz w:val="22"/>
          <w:szCs w:val="22"/>
        </w:rPr>
        <w:t xml:space="preserve">The hybrid rule is a build constraint</w:t>
      </w:r>
    </w:p>
    <w:p>
      <w:pPr>
        <w:spacing w:after="120" w:line="276"/>
      </w:pPr>
      <w:r>
        <w:rPr>
          <w:rFonts w:ascii="Calibri" w:cs="Calibri" w:eastAsia="Calibri" w:hAnsi="Calibri"/>
          <w:sz w:val="21"/>
          <w:szCs w:val="21"/>
        </w:rPr>
        <w:t xml:space="preserve">The client was told explicitly that he is not locked into a single concept — he may run Concept A as the base and later identify a feature from Concept B that he wants grafted in. He has not yet exercised that option, but it was offered as a standing right and it will almost certainly be used. The practical consequence for the developer is that Concept A must be built as discrete, independently addressable sections with self-contained styling, not as a monolithic page template. A Concept B element must be insertable later without a rebuild.</w:t>
      </w:r>
    </w:p>
    <w:p>
      <w:pPr>
        <w:pStyle w:val="Heading3"/>
        <w:spacing w:after="90" w:before="220"/>
      </w:pPr>
      <w:r>
        <w:rPr>
          <w:rFonts w:ascii="Calibri" w:cs="Calibri" w:eastAsia="Calibri" w:hAnsi="Calibri"/>
          <w:b/>
          <w:bCs/>
          <w:color w:val="C74A00"/>
          <w:sz w:val="22"/>
          <w:szCs w:val="22"/>
        </w:rPr>
        <w:t xml:space="preserve">Color is locked</w:t>
      </w:r>
    </w:p>
    <w:p>
      <w:pPr>
        <w:spacing w:after="120" w:line="276"/>
      </w:pPr>
      <w:r>
        <w:rPr>
          <w:rFonts w:ascii="Calibri" w:cs="Calibri" w:eastAsia="Calibri" w:hAnsi="Calibri"/>
          <w:sz w:val="21"/>
          <w:szCs w:val="21"/>
        </w:rPr>
        <w:t xml:space="preserve">The mockup's default palette — white with brown — was rejected without hesitation. Asked what he wanted instead, the client produced his own business card, pointed to the reverse, and said he likes the blues on it. He then added that he would really like orange because he is a Syracuse fan, and specified that this means the actual Syracuse University orange, not a generic orange. The resolution reached was to use both rather than choose: a white and blue base system with Syracuse Orange used purely as a highlight — on key words, on calls to action, on active states. Orange is an accent, never a field.</w:t>
      </w:r>
    </w:p>
    <w:p>
      <w:pPr>
        <w:pStyle w:val="Heading3"/>
        <w:spacing w:after="90" w:before="220"/>
      </w:pPr>
      <w:r>
        <w:rPr>
          <w:rFonts w:ascii="Calibri" w:cs="Calibri" w:eastAsia="Calibri" w:hAnsi="Calibri"/>
          <w:b/>
          <w:bCs/>
          <w:color w:val="C74A00"/>
          <w:sz w:val="22"/>
          <w:szCs w:val="22"/>
        </w:rPr>
        <w:t xml:space="preserve">The structural changes</w:t>
      </w:r>
    </w:p>
    <w:p>
      <w:pPr>
        <w:spacing w:after="120" w:line="276"/>
      </w:pPr>
      <w:r>
        <w:rPr>
          <w:rFonts w:ascii="Calibri" w:cs="Calibri" w:eastAsia="Calibri" w:hAnsi="Calibri"/>
          <w:sz w:val="21"/>
          <w:szCs w:val="21"/>
        </w:rPr>
        <w:t xml:space="preserve">The section-by-section walkthrough produced a defined list of changes to the Concept A mockup. Three blocks are deleted outright — the "lives up to the highest standards" block, the showroom location block, and one adjacent block beside it. Several blocks are retained but require structural expansion: the gallery must support video as well as photographs and must handle before-and-after pairs alongside single images; the brands block must accommodate a longer list and must link inward to on-site product pages rather than outward to manufacturer sites; the contact block must be rebuilt around a working four-field lead form plus a row of social and review profile links. Two elements are net additions to the template: those social links, and an appointment-booking entry point.</w:t>
      </w:r>
    </w:p>
    <w:p>
      <w:pPr>
        <w:pStyle w:val="Heading3"/>
        <w:spacing w:after="90" w:before="220"/>
      </w:pPr>
      <w:r>
        <w:rPr>
          <w:rFonts w:ascii="Calibri" w:cs="Calibri" w:eastAsia="Calibri" w:hAnsi="Calibri"/>
          <w:b/>
          <w:bCs/>
          <w:color w:val="C74A00"/>
          <w:sz w:val="22"/>
          <w:szCs w:val="22"/>
        </w:rPr>
        <w:t xml:space="preserve">What is not in this document</w:t>
      </w:r>
    </w:p>
    <w:p>
      <w:pPr>
        <w:spacing w:after="120" w:line="276"/>
      </w:pPr>
      <w:r>
        <w:rPr>
          <w:rFonts w:ascii="Calibri" w:cs="Calibri" w:eastAsia="Calibri" w:hAnsi="Calibri"/>
          <w:sz w:val="21"/>
          <w:szCs w:val="21"/>
        </w:rPr>
        <w:t xml:space="preserve">This specification is deliberately narrow. It covers style, template, layout, color, and structural change only. The commercial and operational decisions from the same session — brand co-op negotiations, the vendor and domain handover, the content-production plan, the showroom positioning strategy — are documented separately and are summarized in Appendix B purely so the developer knows they exist and are not missing.</w:t>
      </w:r>
    </w:p>
    <w:p>
      <w:pPr>
        <w:spacing w:after="8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BUILD CAN START NOW: </w:t>
            </w:r>
            <w:r>
              <w:rPr>
                <w:rFonts w:ascii="Calibri" w:cs="Calibri" w:eastAsia="Calibri" w:hAnsi="Calibri"/>
                <w:sz w:val="21"/>
                <w:szCs w:val="21"/>
              </w:rPr>
              <w:t xml:space="preserve">Template selection is confirmed, the section map is defined, the deletions are agreed, and the palette direction is locked. The only hard prerequisite before code is extracting the two exact color values — see Section 12. Everything else can be built as a shell with placeholder content and populated as assets arrive.</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2. Scope — What This Document Covers and What It Deliberately Does Not</w:t>
      </w:r>
    </w:p>
    <w:p>
      <w:pPr>
        <w:spacing w:after="120" w:line="276"/>
      </w:pPr>
      <w:r>
        <w:rPr>
          <w:rFonts w:ascii="Calibri" w:cs="Calibri" w:eastAsia="Calibri" w:hAnsi="Calibri"/>
          <w:sz w:val="21"/>
          <w:szCs w:val="21"/>
        </w:rPr>
        <w:t xml:space="preserve">The concept-review session covered both design decisions and a number of commercial and operational matters that happened to be discussed in the same room. This document isolates the first category so the developer has a clean brief with no irrelevant material to filter.</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4680"/>
        <w:gridCol w:w="4680"/>
      </w:tblGrid>
      <w:tr>
        <w:trPr>
          <w:tblHeader/>
        </w:trPr>
        <w:tc>
          <w:tcPr>
            <w:tcW w:type="dxa" w:w="468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IN SCOPE — covered here</w:t>
            </w:r>
          </w:p>
        </w:tc>
        <w:tc>
          <w:tcPr>
            <w:tcW w:type="dxa" w:w="468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OUT OF SCOPE — parked, see Appendix B</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evaluation and the selection of Concept A</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co-op funding negotiations with manufacturer reps</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Rejection rationale for the unsuccessful concepts</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Incumbent web vendor release and domain handover</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hybrid rule and its build implications</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Invoice and billing matters</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Color system and accent usage</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Content production — who writes the copy and when</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language and visual treatment</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Photograph and video collection logistics</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section map, order, and layout behavior</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job-site photo protocol for future work</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Every deletion, retention, rewrite, and addition to the mockup</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positioning and messaging strategy</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Fold definition and responsive behavior</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Business Profile account setup</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Navigation model and interior-page inheritance</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Legal name, service area, and business listing data</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Component inventory for reusable build parts</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routing and follow-up process</w:t>
            </w:r>
          </w:p>
        </w:tc>
      </w:tr>
      <w:tr>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Form field structure as a layout requirement</w:t>
            </w:r>
          </w:p>
        </w:tc>
        <w:tc>
          <w:tcPr>
            <w:tcW w:type="dxa" w:w="468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Rights, releases, and permissions</w:t>
            </w:r>
          </w:p>
        </w:tc>
      </w:tr>
      <w:tr>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Style-level open questions</w:t>
            </w:r>
          </w:p>
        </w:tc>
        <w:tc>
          <w:tcPr>
            <w:tcW w:type="dxa" w:w="468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
            </w:r>
          </w:p>
        </w:tc>
      </w:tr>
    </w:tbl>
    <w:p>
      <w:pPr>
        <w:spacing w:after="10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Where an out-of-scope item imposes a genuine design constraint, that constraint appears here and the underlying commercial matter does not. Two examples: the decision not to link out to manufacturer websites is a commercial decision, but it creates a hard requirement for on-site product browsing UI, so that requirement is specified in Section 7. Likewise, the removal of the showroom block is driven by a positioning decision, but the developer only needs the instruction — remove it, publish no address, no map, no directions — which is specified without the background.</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Language convention used throughout:</w:t>
      </w:r>
    </w:p>
    <w:p>
      <w:pPr>
        <w:pStyle w:val="ListParagraph"/>
        <w:numPr>
          <w:ilvl w:val="0"/>
          <w:numId w:val="2"/>
        </w:numPr>
        <w:spacing w:after="70" w:line="276"/>
      </w:pPr>
      <w:r>
        <w:rPr>
          <w:rFonts w:ascii="Calibri" w:cs="Calibri" w:eastAsia="Calibri" w:hAnsi="Calibri"/>
          <w:b/>
          <w:bCs/>
          <w:sz w:val="21"/>
          <w:szCs w:val="21"/>
        </w:rPr>
        <w:t xml:space="preserve">MUST</w:t>
      </w:r>
      <w:r>
        <w:rPr>
          <w:rFonts w:ascii="Calibri" w:cs="Calibri" w:eastAsia="Calibri" w:hAnsi="Calibri"/>
          <w:sz w:val="21"/>
          <w:szCs w:val="21"/>
        </w:rPr>
        <w:t xml:space="preserve"> — an explicit client instruction from the session. Not optional.</w:t>
      </w:r>
    </w:p>
    <w:p>
      <w:pPr>
        <w:pStyle w:val="ListParagraph"/>
        <w:numPr>
          <w:ilvl w:val="0"/>
          <w:numId w:val="2"/>
        </w:numPr>
        <w:spacing w:after="70" w:line="276"/>
      </w:pPr>
      <w:r>
        <w:rPr>
          <w:rFonts w:ascii="Calibri" w:cs="Calibri" w:eastAsia="Calibri" w:hAnsi="Calibri"/>
          <w:b/>
          <w:bCs/>
          <w:sz w:val="21"/>
          <w:szCs w:val="21"/>
        </w:rPr>
        <w:t xml:space="preserve">SHOULD</w:t>
      </w:r>
      <w:r>
        <w:rPr>
          <w:rFonts w:ascii="Calibri" w:cs="Calibri" w:eastAsia="Calibri" w:hAnsi="Calibri"/>
          <w:sz w:val="21"/>
          <w:szCs w:val="21"/>
        </w:rPr>
        <w:t xml:space="preserve"> — reached by agreement in the session, with reasoning preserved. Challengeable, but address the reasoning.</w:t>
      </w:r>
    </w:p>
    <w:p>
      <w:pPr>
        <w:pStyle w:val="ListParagraph"/>
        <w:numPr>
          <w:ilvl w:val="0"/>
          <w:numId w:val="2"/>
        </w:numPr>
        <w:spacing w:after="70" w:line="276"/>
      </w:pPr>
      <w:r>
        <w:rPr>
          <w:rFonts w:ascii="Calibri" w:cs="Calibri" w:eastAsia="Calibri" w:hAnsi="Calibri"/>
          <w:b/>
          <w:bCs/>
          <w:sz w:val="21"/>
          <w:szCs w:val="21"/>
        </w:rPr>
        <w:t xml:space="preserve">CONFIRM</w:t>
      </w:r>
      <w:r>
        <w:rPr>
          <w:rFonts w:ascii="Calibri" w:cs="Calibri" w:eastAsia="Calibri" w:hAnsi="Calibri"/>
          <w:sz w:val="21"/>
          <w:szCs w:val="21"/>
        </w:rPr>
        <w:t xml:space="preserve"> — genuinely open. Do not build against an assumption.</w:t>
      </w:r>
    </w:p>
    <w:p>
      <w:pPr>
        <w:pStyle w:val="ListParagraph"/>
        <w:numPr>
          <w:ilvl w:val="0"/>
          <w:numId w:val="2"/>
        </w:numPr>
        <w:spacing w:after="70" w:line="276"/>
      </w:pPr>
      <w:r>
        <w:rPr>
          <w:rFonts w:ascii="Calibri" w:cs="Calibri" w:eastAsia="Calibri" w:hAnsi="Calibri"/>
          <w:b/>
          <w:bCs/>
          <w:sz w:val="21"/>
          <w:szCs w:val="21"/>
        </w:rPr>
        <w:t xml:space="preserve">RECOMMENDED</w:t>
      </w:r>
      <w:r>
        <w:rPr>
          <w:rFonts w:ascii="Calibri" w:cs="Calibri" w:eastAsia="Calibri" w:hAnsi="Calibri"/>
          <w:sz w:val="21"/>
          <w:szCs w:val="21"/>
        </w:rPr>
        <w:t xml:space="preserve"> — not raised on the call. A design judgment added here, clearly marked so it can be declined.</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3. Concept Evaluation and the Selection of Concept A</w:t>
      </w:r>
    </w:p>
    <w:p>
      <w:pPr>
        <w:pStyle w:val="Heading2"/>
        <w:spacing w:after="120" w:before="300"/>
      </w:pPr>
      <w:r>
        <w:rPr>
          <w:rFonts w:ascii="Calibri" w:cs="Calibri" w:eastAsia="Calibri" w:hAnsi="Calibri"/>
          <w:b/>
          <w:bCs/>
          <w:color w:val="10365C"/>
          <w:sz w:val="25"/>
          <w:szCs w:val="25"/>
        </w:rPr>
        <w:t xml:space="preserve">3.1 How the review was run</w:t>
      </w:r>
    </w:p>
    <w:p>
      <w:pPr>
        <w:spacing w:after="120" w:line="276"/>
      </w:pPr>
      <w:r>
        <w:rPr>
          <w:rFonts w:ascii="Calibri" w:cs="Calibri" w:eastAsia="Calibri" w:hAnsi="Calibri"/>
          <w:sz w:val="21"/>
          <w:szCs w:val="21"/>
        </w:rPr>
        <w:t xml:space="preserve">The four concepts were presented as live URLs on the temporary demonstration site, opened into separate browser tabs so the client could move between them and scroll each in full. This mattered: the client is not technical and had not previously realized links could be opened into new tabs, which he remarked on during the session. The comparison was therefore genuinely side by side rather than sequential from memory.</w:t>
      </w:r>
    </w:p>
    <w:p>
      <w:pPr>
        <w:spacing w:after="120" w:line="276"/>
      </w:pPr>
      <w:r>
        <w:rPr>
          <w:rFonts w:ascii="Calibri" w:cs="Calibri" w:eastAsia="Calibri" w:hAnsi="Calibri"/>
          <w:sz w:val="21"/>
          <w:szCs w:val="21"/>
        </w:rPr>
        <w:t xml:space="preserve">Three things were stated to the client, more than once, before he was asked to judge:</w:t>
      </w:r>
    </w:p>
    <w:p>
      <w:pPr>
        <w:pStyle w:val="ListParagraph"/>
        <w:numPr>
          <w:ilvl w:val="0"/>
          <w:numId w:val="3"/>
        </w:numPr>
        <w:spacing w:after="70" w:line="276"/>
      </w:pPr>
      <w:r>
        <w:rPr>
          <w:rFonts w:ascii="Calibri" w:cs="Calibri" w:eastAsia="Calibri" w:hAnsi="Calibri"/>
          <w:sz w:val="21"/>
          <w:szCs w:val="21"/>
        </w:rPr>
        <w:t xml:space="preserve">The four concepts are different styles. That is the only variable under evaluation.</w:t>
      </w:r>
    </w:p>
    <w:p>
      <w:pPr>
        <w:pStyle w:val="ListParagraph"/>
        <w:numPr>
          <w:ilvl w:val="0"/>
          <w:numId w:val="3"/>
        </w:numPr>
        <w:spacing w:after="70" w:line="276"/>
      </w:pPr>
      <w:r>
        <w:rPr>
          <w:rFonts w:ascii="Calibri" w:cs="Calibri" w:eastAsia="Calibri" w:hAnsi="Calibri"/>
          <w:sz w:val="21"/>
          <w:szCs w:val="21"/>
        </w:rPr>
        <w:t xml:space="preserve">Color is not a factor. Any concept can be rendered in any color, so what he is seeing should be ignored on that axis entirely.</w:t>
      </w:r>
    </w:p>
    <w:p>
      <w:pPr>
        <w:pStyle w:val="ListParagraph"/>
        <w:numPr>
          <w:ilvl w:val="0"/>
          <w:numId w:val="3"/>
        </w:numPr>
        <w:spacing w:after="70" w:line="276"/>
      </w:pPr>
      <w:r>
        <w:rPr>
          <w:rFonts w:ascii="Calibri" w:cs="Calibri" w:eastAsia="Calibri" w:hAnsi="Calibri"/>
          <w:sz w:val="21"/>
          <w:szCs w:val="21"/>
        </w:rPr>
        <w:t xml:space="preserve">Copy is not a factor. Everything written on the pages is placeholder and carries no meaning. The question is only what his eventual content would look like arranged this way.</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The instruction given was to decide which one he wanted his website to be, taking nothing that it says as meaningful.</w:t>
      </w:r>
    </w:p>
    <w:p>
      <w:pPr>
        <w:pStyle w:val="Heading2"/>
        <w:spacing w:after="120" w:before="300"/>
      </w:pPr>
      <w:r>
        <w:rPr>
          <w:rFonts w:ascii="Calibri" w:cs="Calibri" w:eastAsia="Calibri" w:hAnsi="Calibri"/>
          <w:b/>
          <w:bCs/>
          <w:color w:val="10365C"/>
          <w:sz w:val="25"/>
          <w:szCs w:val="25"/>
        </w:rPr>
        <w:t xml:space="preserve">3.2 Elimination</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1600"/>
        <w:gridCol w:w="1700"/>
        <w:gridCol w:w="6060"/>
      </w:tblGrid>
      <w:tr>
        <w:trPr>
          <w:tblHeader/>
        </w:trPr>
        <w:tc>
          <w:tcPr>
            <w:tcW w:type="dxa" w:w="16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Concept</w:t>
            </w:r>
          </w:p>
        </w:tc>
        <w:tc>
          <w:tcPr>
            <w:tcW w:type="dxa" w:w="17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Outcome</w:t>
            </w:r>
          </w:p>
        </w:tc>
        <w:tc>
          <w:tcPr>
            <w:tcW w:type="dxa" w:w="60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Client reaction as recorded</w:t>
            </w:r>
          </w:p>
        </w:tc>
      </w:tr>
      <w:tr>
        <w:tc>
          <w:tcPr>
            <w:tcW w:type="dxa" w:w="16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Concept 1 / A</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SELECTED</w:t>
            </w:r>
          </w:p>
        </w:tc>
        <w:tc>
          <w:tcPr>
            <w:tcW w:type="dxa" w:w="60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Approved. Assessed as clean and nice looking, with a strong opening for a cold visitor. The client confirmed the direction and agreed to start from it.</w:t>
            </w:r>
          </w:p>
        </w:tc>
      </w:tr>
      <w:tr>
        <w:tc>
          <w:tcPr>
            <w:tcW w:type="dxa" w:w="16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Concept 2 / B</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Shortlisted, not selected</w:t>
            </w:r>
          </w:p>
        </w:tc>
        <w:tc>
          <w:tcPr>
            <w:tcW w:type="dxa" w:w="60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Survived the first pass. Noted as leading with a personal, video-forward opening along the lines of "you'll be dealing with David" — a feature the client had previously indicated he might want. Retained as a donor concept under the hybrid rule.</w:t>
            </w:r>
          </w:p>
        </w:tc>
      </w:tr>
      <w:tr>
        <w:tc>
          <w:tcPr>
            <w:tcW w:type="dxa" w:w="16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Concept 3</w:t>
            </w:r>
          </w:p>
        </w:tc>
        <w:tc>
          <w:tcPr>
            <w:tcW w:type="dxa" w:w="1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REJECTED</w:t>
            </w:r>
          </w:p>
        </w:tc>
        <w:tc>
          <w:tcPr>
            <w:tcW w:type="dxa" w:w="60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Rejected on the first pass. The client stated he did not like the wording and was not sure about it generally.</w:t>
            </w:r>
          </w:p>
        </w:tc>
      </w:tr>
      <w:tr>
        <w:tc>
          <w:tcPr>
            <w:tcW w:type="dxa" w:w="16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Concept 4</w:t>
            </w:r>
          </w:p>
        </w:tc>
        <w:tc>
          <w:tcPr>
            <w:tcW w:type="dxa" w:w="1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REJECTED</w:t>
            </w:r>
          </w:p>
        </w:tc>
        <w:tc>
          <w:tcPr>
            <w:tcW w:type="dxa" w:w="60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Rejected immediately and more firmly than Concept 3. Both tabs were closed during the session.</w:t>
            </w:r>
          </w:p>
        </w:tc>
      </w:tr>
    </w:tbl>
    <w:p>
      <w:pPr>
        <w:spacing w:after="8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The client then volunteered, unprompted, that he preferred the first two. This was agreed and the bottom two concepts were closed out of the discussion permanently. Concepts 3 and 4 are out of scope and should not be revisited or offered again.</w:t>
      </w:r>
    </w:p>
    <w:p>
      <w:pPr>
        <w:pStyle w:val="Heading2"/>
        <w:spacing w:after="120" w:before="300"/>
      </w:pPr>
      <w:r>
        <w:rPr>
          <w:rFonts w:ascii="Calibri" w:cs="Calibri" w:eastAsia="Calibri" w:hAnsi="Calibri"/>
          <w:b/>
          <w:bCs/>
          <w:color w:val="10365C"/>
          <w:sz w:val="25"/>
          <w:szCs w:val="25"/>
        </w:rPr>
        <w:t xml:space="preserve">3.3 What specifically was approved in Concept A</w:t>
      </w:r>
    </w:p>
    <w:p>
      <w:pPr>
        <w:spacing w:after="120" w:line="276"/>
      </w:pPr>
      <w:r>
        <w:rPr>
          <w:rFonts w:ascii="Calibri" w:cs="Calibri" w:eastAsia="Calibri" w:hAnsi="Calibri"/>
          <w:sz w:val="21"/>
          <w:szCs w:val="21"/>
        </w:rPr>
        <w:t xml:space="preserve">The approval was of a structure, in this order from the top of the page:</w:t>
      </w:r>
    </w:p>
    <w:p>
      <w:pPr>
        <w:pStyle w:val="ListParagraph"/>
        <w:numPr>
          <w:ilvl w:val="0"/>
          <w:numId w:val="3"/>
        </w:numPr>
        <w:spacing w:after="70" w:line="276"/>
      </w:pPr>
      <w:r>
        <w:rPr>
          <w:rFonts w:ascii="Calibri" w:cs="Calibri" w:eastAsia="Calibri" w:hAnsi="Calibri"/>
          <w:sz w:val="21"/>
          <w:szCs w:val="21"/>
        </w:rPr>
        <w:t xml:space="preserve">An experience-led headline. The placeholder read along the lines of "17 years," to be replaced with the client's real figure.</w:t>
      </w:r>
    </w:p>
    <w:p>
      <w:pPr>
        <w:pStyle w:val="ListParagraph"/>
        <w:numPr>
          <w:ilvl w:val="0"/>
          <w:numId w:val="3"/>
        </w:numPr>
        <w:spacing w:after="70" w:line="276"/>
      </w:pPr>
      <w:r>
        <w:rPr>
          <w:rFonts w:ascii="Calibri" w:cs="Calibri" w:eastAsia="Calibri" w:hAnsi="Calibri"/>
          <w:sz w:val="21"/>
          <w:szCs w:val="21"/>
        </w:rPr>
        <w:t xml:space="preserve">Two calls to action presented together and immediately: book a consultation, and view his story. Both are above the fold.</w:t>
      </w:r>
    </w:p>
    <w:p>
      <w:pPr>
        <w:pStyle w:val="ListParagraph"/>
        <w:numPr>
          <w:ilvl w:val="0"/>
          <w:numId w:val="3"/>
        </w:numPr>
        <w:spacing w:after="70" w:line="276"/>
      </w:pPr>
      <w:r>
        <w:rPr>
          <w:rFonts w:ascii="Calibri" w:cs="Calibri" w:eastAsia="Calibri" w:hAnsi="Calibri"/>
          <w:sz w:val="21"/>
          <w:szCs w:val="21"/>
        </w:rPr>
        <w:t xml:space="preserve">A defined fold. The client was walked to the precise line at which the visible content ends on page load and was asked to confirm that this is what a visitor would see first. He confirmed it.</w:t>
      </w:r>
    </w:p>
    <w:p>
      <w:pPr>
        <w:pStyle w:val="ListParagraph"/>
        <w:numPr>
          <w:ilvl w:val="0"/>
          <w:numId w:val="3"/>
        </w:numPr>
        <w:spacing w:after="70" w:line="276"/>
      </w:pPr>
      <w:r>
        <w:rPr>
          <w:rFonts w:ascii="Calibri" w:cs="Calibri" w:eastAsia="Calibri" w:hAnsi="Calibri"/>
          <w:sz w:val="21"/>
          <w:szCs w:val="21"/>
        </w:rPr>
        <w:t xml:space="preserve">The client's personal introduction video, positioned directly below the hero as the first content below the fold. This placement was confirmed twice during the session.</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One note on the recording that the developer should be aware of when reading the raw transcript: the client's verbal confirmation — "yeah, let's start with that one" — falls immediately after a second concept had been scrolled into view, which makes the transcript alone read ambiguously. The selection has since been confirmed directly with the client as Concept A. Build against Concept A.</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4. The Hybrid Rule — A Structural Build Constraint</w:t>
      </w:r>
    </w:p>
    <w:p>
      <w:pPr>
        <w:spacing w:after="120" w:line="276"/>
      </w:pPr>
      <w:r>
        <w:rPr>
          <w:rFonts w:ascii="Calibri" w:cs="Calibri" w:eastAsia="Calibri" w:hAnsi="Calibri"/>
          <w:sz w:val="21"/>
          <w:szCs w:val="21"/>
        </w:rPr>
        <w:t xml:space="preserve">This is the single most important instruction in this document for how the code is organized, and it is easy to underestimate because it was phrased casually in the session.</w:t>
      </w:r>
    </w:p>
    <w:p>
      <w:pPr>
        <w:spacing w:after="120" w:line="276"/>
      </w:pPr>
      <w:r>
        <w:rPr>
          <w:rFonts w:ascii="Calibri" w:cs="Calibri" w:eastAsia="Calibri" w:hAnsi="Calibri"/>
          <w:sz w:val="21"/>
          <w:szCs w:val="21"/>
        </w:rPr>
        <w:t xml:space="preserve">The client was told directly that if he likes one style but sees a feature he prefers on another, the two can be combined. The working method put to him, and accepted, was: choose A or B as the base, then say "I went with A, but I like this about B, and I want it on A," at which point that element gets integrated. He was also told the color scheme can be changed at any point afterward, and that page count and content all follow later.</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THE CONSEQUENCE: </w:t>
            </w:r>
            <w:r>
              <w:rPr>
                <w:rFonts w:ascii="Calibri" w:cs="Calibri" w:eastAsia="Calibri" w:hAnsi="Calibri"/>
                <w:sz w:val="21"/>
                <w:szCs w:val="21"/>
              </w:rPr>
              <w:t xml:space="preserve">Concept A is a starting point, not a finished design. At least one Concept B element will most likely be requested once the client has lived with the build for a week. The template must absorb that without a rebuild.</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4.1 Build requirements arising</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build each homepage section as a discrete, independently addressable component with its own scoped styling. No section may depend on the internal markup of the section above or below it.</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keep section order data-driven or trivially reorderable. Do not hard-couple vertical order into layout code.</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maintain a shared design-token layer — colors, spacing scale, type scale, radii, shadows — so that a component imported from the Concept B design inherits the Concept A visual language automatically rather than arriving with its own styling.</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preserve the Concept B build. Do not delete or overwrite it on the temporary site. It is the donor source and may be referenced for months.</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archive Concepts 3 and 4 rather than delete them. They are rejected, not worthless — the client may reverse on a single element, and a screenshot record protects against the decision being relitigated from memory.</w:t>
      </w:r>
    </w:p>
    <w:p>
      <w:pPr>
        <w:spacing w:after="60"/>
      </w:pP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b/>
          <w:bCs/>
          <w:sz w:val="21"/>
          <w:szCs w:val="21"/>
        </w:rPr>
        <w:t xml:space="preserve">CONFIRM </w:t>
      </w:r>
      <w:r>
        <w:rPr>
          <w:rFonts w:ascii="Calibri" w:cs="Calibri" w:eastAsia="Calibri" w:hAnsi="Calibri"/>
          <w:sz w:val="21"/>
          <w:szCs w:val="21"/>
        </w:rPr>
        <w:t xml:space="preserve">whether the client wants any specific Concept B element grafted in now. He was given the option and has not exercised it. The obvious candidate, based on what was said during the walkthrough, is Concept B's more video-forward opening treatment. Ask directly rather than waiting.</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5. Color System</w:t>
      </w:r>
    </w:p>
    <w:p>
      <w:pPr>
        <w:pStyle w:val="Heading2"/>
        <w:spacing w:after="120" w:before="300"/>
      </w:pPr>
      <w:r>
        <w:rPr>
          <w:rFonts w:ascii="Calibri" w:cs="Calibri" w:eastAsia="Calibri" w:hAnsi="Calibri"/>
          <w:b/>
          <w:bCs/>
          <w:color w:val="10365C"/>
          <w:sz w:val="25"/>
          <w:szCs w:val="25"/>
        </w:rPr>
        <w:t xml:space="preserve">5.1 How the decision was reached</w:t>
      </w:r>
    </w:p>
    <w:p>
      <w:pPr>
        <w:spacing w:after="120" w:line="276"/>
      </w:pPr>
      <w:r>
        <w:rPr>
          <w:rFonts w:ascii="Calibri" w:cs="Calibri" w:eastAsia="Calibri" w:hAnsi="Calibri"/>
          <w:sz w:val="21"/>
          <w:szCs w:val="21"/>
        </w:rPr>
        <w:t xml:space="preserve">The client was told the mockup he was looking at was white with brown, and that it could be any color he wanted. He responded that he did not like the colors. Asked what he did like, he pointed across the room to his own business card — David A. Gwilt — and instructed that the back of it be examined. Asked to confirm whether he wanted the blue from it, he said he likes the blues, and repeated it. He then added that he would really like orange, because he is a Syracuse fan.</w:t>
      </w:r>
    </w:p>
    <w:p>
      <w:pPr>
        <w:spacing w:after="120" w:line="276"/>
      </w:pPr>
      <w:r>
        <w:rPr>
          <w:rFonts w:ascii="Calibri" w:cs="Calibri" w:eastAsia="Calibri" w:hAnsi="Calibri"/>
          <w:sz w:val="21"/>
          <w:szCs w:val="21"/>
        </w:rPr>
        <w:t xml:space="preserve">Rather than treat this as a choice between the two, the resolution put to him was to use both — and he accepted immediately. He then added an important constraint of his own: Syracuse Orange is a particular orange, not just any orange, and the exact color value should be sourced.</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LOCKED: </w:t>
            </w:r>
            <w:r>
              <w:rPr>
                <w:rFonts w:ascii="Calibri" w:cs="Calibri" w:eastAsia="Calibri" w:hAnsi="Calibri"/>
                <w:sz w:val="21"/>
                <w:szCs w:val="21"/>
              </w:rPr>
              <w:t xml:space="preserve">White and blue base system. Syracuse Orange as a highlight accent only — applied to individual words, calls to action, and active states. The formulation agreed verbatim in substance: white and blue with Syracuse Orange highlights, so that a single element or word is picked out in the orange. Orange is never a background field.</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5.2 Palette specification</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1900"/>
        <w:gridCol w:w="1860"/>
        <w:gridCol w:w="1900"/>
        <w:gridCol w:w="3700"/>
      </w:tblGrid>
      <w:tr>
        <w:trPr>
          <w:tblHeader/>
        </w:trPr>
        <w:tc>
          <w:tcPr>
            <w:tcW w:type="dxa" w:w="19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Token</w:t>
            </w:r>
          </w:p>
        </w:tc>
        <w:tc>
          <w:tcPr>
            <w:tcW w:type="dxa" w:w="18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Source</w:t>
            </w:r>
          </w:p>
        </w:tc>
        <w:tc>
          <w:tcPr>
            <w:tcW w:type="dxa" w:w="19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Value</w:t>
            </w:r>
          </w:p>
        </w:tc>
        <w:tc>
          <w:tcPr>
            <w:tcW w:type="dxa" w:w="37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Applied to</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blue-primary</w:t>
            </w:r>
          </w:p>
        </w:tc>
        <w:tc>
          <w:tcPr>
            <w:tcW w:type="dxa" w:w="1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Reverse of the David A. Gwilt business card</w:t>
            </w:r>
          </w:p>
        </w:tc>
        <w:tc>
          <w:tcPr>
            <w:tcW w:type="dxa" w:w="19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EXTRACT — see C1</w:t>
            </w:r>
          </w:p>
        </w:tc>
        <w:tc>
          <w:tcPr>
            <w:tcW w:type="dxa" w:w="3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Headlines, navigation bar, footer, primary surfaces, secondary button outlines</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blue-deep</w:t>
            </w:r>
          </w:p>
        </w:tc>
        <w:tc>
          <w:tcPr>
            <w:tcW w:type="dxa" w:w="18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Business card, or a derived shade of blue-primary</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DERIVE</w:t>
            </w:r>
          </w:p>
        </w:tc>
        <w:tc>
          <w:tcPr>
            <w:tcW w:type="dxa" w:w="3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Section backgrounds, hover states, depth and layering</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white</w:t>
            </w:r>
          </w:p>
        </w:tc>
        <w:tc>
          <w:tcPr>
            <w:tcW w:type="dxa" w:w="1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19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#FFFFFF</w:t>
            </w:r>
          </w:p>
        </w:tc>
        <w:tc>
          <w:tcPr>
            <w:tcW w:type="dxa" w:w="3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Page background, content cards, form fields, button text on orange</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orange-accent</w:t>
            </w:r>
          </w:p>
        </w:tc>
        <w:tc>
          <w:tcPr>
            <w:tcW w:type="dxa" w:w="18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Syracuse University brand standard</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#F76900 — CONFIRM (Pantone 165 C)</w:t>
            </w:r>
          </w:p>
        </w:tc>
        <w:tc>
          <w:tcPr>
            <w:tcW w:type="dxa" w:w="3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Primary CTA fills, highlighted words in headlines, active and focus states, icons, rules</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orange-text</w:t>
            </w:r>
          </w:p>
        </w:tc>
        <w:tc>
          <w:tcPr>
            <w:tcW w:type="dxa" w:w="1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Darkened derivative of orange-accent</w:t>
            </w:r>
          </w:p>
        </w:tc>
        <w:tc>
          <w:tcPr>
            <w:tcW w:type="dxa" w:w="19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#C74A00 or darker</w:t>
            </w:r>
          </w:p>
        </w:tc>
        <w:tc>
          <w:tcPr>
            <w:tcW w:type="dxa" w:w="3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Any orange used at body text size on white — see 5.4</w:t>
            </w:r>
          </w:p>
        </w:tc>
      </w:tr>
      <w:tr>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ink</w:t>
            </w:r>
          </w:p>
        </w:tc>
        <w:tc>
          <w:tcPr>
            <w:tcW w:type="dxa" w:w="18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#2B2B2B to #333333</w:t>
            </w:r>
          </w:p>
        </w:tc>
        <w:tc>
          <w:tcPr>
            <w:tcW w:type="dxa" w:w="37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Body copy</w:t>
            </w:r>
          </w:p>
        </w:tc>
      </w:tr>
      <w:tr>
        <w:tc>
          <w:tcPr>
            <w:tcW w:type="dxa" w:w="19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rule</w:t>
            </w:r>
          </w:p>
        </w:tc>
        <w:tc>
          <w:tcPr>
            <w:tcW w:type="dxa" w:w="18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Standard</w:t>
            </w:r>
          </w:p>
        </w:tc>
        <w:tc>
          <w:tcPr>
            <w:tcW w:type="dxa" w:w="19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#D8DEE5 approx.</w:t>
            </w:r>
          </w:p>
        </w:tc>
        <w:tc>
          <w:tcPr>
            <w:tcW w:type="dxa" w:w="37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Dividers, borders, input outlines, table lines</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5.3 Usage rules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treat orange as scarce. If more than roughly five percent of any viewport is orange, it has stopped being a highlight. The client's own description was a single element picked out in it.</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use the genuine Syracuse University orange. The client raised this himself and will notice if it is approximated.</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reserve orange for the primary call to action in any given section. Where two CTAs sit together — as in the hero — only the primary one is orange. The secondary is a blue outline or ghost treatment.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use blue, not orange, as the structural color. Navigation, footer, and section backgrounds are blue-family. Orange never structures the page.</w:t>
      </w:r>
    </w:p>
    <w:p>
      <w:pPr>
        <w:pStyle w:val="ListParagraph"/>
        <w:numPr>
          <w:ilvl w:val="0"/>
          <w:numId w:val="2"/>
        </w:numPr>
        <w:spacing w:after="70" w:line="276"/>
      </w:pPr>
      <w:r>
        <w:rPr>
          <w:rFonts w:ascii="Calibri" w:cs="Calibri" w:eastAsia="Calibri" w:hAnsi="Calibri"/>
          <w:b/>
          <w:bCs/>
          <w:sz w:val="21"/>
          <w:szCs w:val="21"/>
        </w:rPr>
        <w:t xml:space="preserve">SHOULD NOT </w:t>
      </w:r>
      <w:r>
        <w:rPr>
          <w:rFonts w:ascii="Calibri" w:cs="Calibri" w:eastAsia="Calibri" w:hAnsi="Calibri"/>
          <w:sz w:val="21"/>
          <w:szCs w:val="21"/>
        </w:rPr>
        <w:t xml:space="preserve">introduce a fourth hue. Blue, orange, white, and neutral grey is the entire system. Flooring photography carries enormous color variance — woods, carpets, tiles, room settings — and a restrained interface palette is what keeps a photo-heavy page from looking chaotic.</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5.4 Accessibility constraint the client did not raise</w:t>
      </w:r>
    </w:p>
    <w:p>
      <w:pPr>
        <w:spacing w:after="120" w:line="276"/>
      </w:pPr>
      <w:r>
        <w:rPr>
          <w:rFonts w:ascii="Calibri" w:cs="Calibri" w:eastAsia="Calibri" w:hAnsi="Calibri"/>
          <w:sz w:val="21"/>
          <w:szCs w:val="21"/>
        </w:rPr>
        <w:t xml:space="preserve">Syracuse Orange at #F76900 against white yields a contrast ratio in the region of 3:1. That clears WCAG AA for large text and for non-text interface components, but </w:t>
      </w:r>
      <w:r>
        <w:rPr>
          <w:rFonts w:ascii="Calibri" w:cs="Calibri" w:eastAsia="Calibri" w:hAnsi="Calibri"/>
          <w:b/>
          <w:bCs/>
          <w:sz w:val="21"/>
          <w:szCs w:val="21"/>
        </w:rPr>
        <w:t xml:space="preserve">fails AA at normal body text size</w:t>
      </w:r>
      <w:r>
        <w:rPr>
          <w:rFonts w:ascii="Calibri" w:cs="Calibri" w:eastAsia="Calibri" w:hAnsi="Calibri"/>
          <w:sz w:val="21"/>
          <w:szCs w:val="21"/>
        </w:rPr>
        <w:t xml:space="preserve">. This is a practical concern rather than an academic one: the buying audience for residential flooring skews older than the general web population, and this site is specifically built to convert people who are considering a significant household purchase.</w:t>
      </w:r>
    </w:p>
    <w:p>
      <w:pPr>
        <w:pStyle w:val="ListParagraph"/>
        <w:numPr>
          <w:ilvl w:val="0"/>
          <w:numId w:val="2"/>
        </w:numPr>
        <w:spacing w:after="70" w:line="276"/>
      </w:pPr>
      <w:r>
        <w:rPr>
          <w:rFonts w:ascii="Calibri" w:cs="Calibri" w:eastAsia="Calibri" w:hAnsi="Calibri"/>
          <w:sz w:val="21"/>
          <w:szCs w:val="21"/>
        </w:rPr>
        <w:t xml:space="preserve">Bright orange on white is fine for large headings, button fills carrying white text, icons, rules, and highlight underlines.</w:t>
      </w:r>
    </w:p>
    <w:p>
      <w:pPr>
        <w:pStyle w:val="ListParagraph"/>
        <w:numPr>
          <w:ilvl w:val="0"/>
          <w:numId w:val="2"/>
        </w:numPr>
        <w:spacing w:after="70" w:line="276"/>
      </w:pPr>
      <w:r>
        <w:rPr>
          <w:rFonts w:ascii="Calibri" w:cs="Calibri" w:eastAsia="Calibri" w:hAnsi="Calibri"/>
          <w:sz w:val="21"/>
          <w:szCs w:val="21"/>
        </w:rPr>
        <w:t xml:space="preserve">Any orange rendered at body size on white must use orange-text, not orange-accent.</w:t>
      </w:r>
    </w:p>
    <w:p>
      <w:pPr>
        <w:pStyle w:val="ListParagraph"/>
        <w:numPr>
          <w:ilvl w:val="0"/>
          <w:numId w:val="2"/>
        </w:numPr>
        <w:spacing w:after="70" w:line="276"/>
      </w:pPr>
      <w:r>
        <w:rPr>
          <w:rFonts w:ascii="Calibri" w:cs="Calibri" w:eastAsia="Calibri" w:hAnsi="Calibri"/>
          <w:sz w:val="21"/>
          <w:szCs w:val="21"/>
        </w:rPr>
        <w:t xml:space="preserve">Orange buttons carry white text. Never blue or black text on orange.</w:t>
      </w:r>
    </w:p>
    <w:p>
      <w:pPr>
        <w:pStyle w:val="ListParagraph"/>
        <w:numPr>
          <w:ilvl w:val="0"/>
          <w:numId w:val="2"/>
        </w:numPr>
        <w:spacing w:after="70" w:line="276"/>
      </w:pPr>
      <w:r>
        <w:rPr>
          <w:rFonts w:ascii="Calibri" w:cs="Calibri" w:eastAsia="Calibri" w:hAnsi="Calibri"/>
          <w:sz w:val="21"/>
          <w:szCs w:val="21"/>
        </w:rPr>
        <w:t xml:space="preserve">Test any orange-on-blue pairing before shipping it. Most combinations of a mid-blue and this orange will fail.</w:t>
      </w:r>
    </w:p>
    <w:p>
      <w:pPr>
        <w:pStyle w:val="ListParagraph"/>
        <w:numPr>
          <w:ilvl w:val="0"/>
          <w:numId w:val="2"/>
        </w:numPr>
        <w:spacing w:after="70" w:line="276"/>
      </w:pPr>
      <w:r>
        <w:rPr>
          <w:rFonts w:ascii="Calibri" w:cs="Calibri" w:eastAsia="Calibri" w:hAnsi="Calibri"/>
          <w:sz w:val="21"/>
          <w:szCs w:val="21"/>
        </w:rPr>
        <w:t xml:space="preserve">Ensure focus states remain visible for keyboard users — an orange focus ring on white is acceptable at ring thickness, but must not be the only indicator.</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6. Design Language — Interpreting "Clean"</w:t>
      </w:r>
    </w:p>
    <w:p>
      <w:pPr>
        <w:spacing w:after="120" w:line="276"/>
      </w:pPr>
      <w:r>
        <w:rPr>
          <w:rFonts w:ascii="Calibri" w:cs="Calibri" w:eastAsia="Calibri" w:hAnsi="Calibri"/>
          <w:sz w:val="21"/>
          <w:szCs w:val="21"/>
        </w:rPr>
        <w:t xml:space="preserve">The client gave one adjective for why Concept A won: clean. He also endorsed it as looking nice to scroll through and as a good homepage for someone landing on it. That word is the closest thing to a brief that exists, so it is worth converting into concrete decisions rather than leaving it as a vague instruction.</w:t>
      </w:r>
    </w:p>
    <w:p>
      <w:pPr>
        <w:pStyle w:val="Heading2"/>
        <w:spacing w:after="120" w:before="300"/>
      </w:pPr>
      <w:r>
        <w:rPr>
          <w:rFonts w:ascii="Calibri" w:cs="Calibri" w:eastAsia="Calibri" w:hAnsi="Calibri"/>
          <w:b/>
          <w:bCs/>
          <w:color w:val="10365C"/>
          <w:sz w:val="25"/>
          <w:szCs w:val="25"/>
        </w:rPr>
        <w:t xml:space="preserve">6.1 What "clean" means in this build</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400"/>
        <w:gridCol w:w="6960"/>
      </w:tblGrid>
      <w:tr>
        <w:trPr>
          <w:tblHeader/>
        </w:trPr>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Attribute</w:t>
            </w:r>
          </w:p>
        </w:tc>
        <w:tc>
          <w:tcPr>
            <w:tcW w:type="dxa" w:w="69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Specification</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Whitespace</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Generous vertical rhythm between sections. Give each section room to be its own idea. Compressed, stacked sections are the fastest way to lose the quality the client selected for.</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Type scale</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Restrained. A small number of distinct sizes used consistently. Avoid more than three heading levels on the homepage.</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Ornamentation</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Minimal. No decorative borders, drop shadows on everything, gradients, or texture fills. The photography supplies the visual interest.</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Photography</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Large, high quality, doing the heavy lifting. Flooring is a visual purchase — the images are the product.</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Alignment</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Strict. Consistent content width, consistent gutters, everything on a shared grid. Misalignment is what reads as unclean more than any other single factor.</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Motion</w:t>
            </w:r>
          </w:p>
        </w:tc>
        <w:tc>
          <w:tcPr>
            <w:tcW w:type="dxa" w:w="69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Subtle or absent. Gentle fade or rise on scroll at most. No parallax, no carousels that move on their own, nothing that makes the page feel busy.</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Density</w:t>
            </w:r>
          </w:p>
        </w:tc>
        <w:tc>
          <w:tcPr>
            <w:tcW w:type="dxa" w:w="69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Low. One message per section. The client rejected two concepts partly on wording density and feel.</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6.2 Typography</w:t>
      </w:r>
    </w:p>
    <w:p>
      <w:pPr>
        <w:spacing w:after="120" w:line="276"/>
      </w:pPr>
      <w:r>
        <w:rPr>
          <w:rFonts w:ascii="Calibri" w:cs="Calibri" w:eastAsia="Calibri" w:hAnsi="Calibri"/>
          <w:sz w:val="21"/>
          <w:szCs w:val="21"/>
        </w:rPr>
        <w:t xml:space="preserve">Typography was not discussed in the session and is therefore developer discretion, bounded by the following:</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use a single clean sans-serif family across the entire site. A second family, if used at all, is for headings only and must be justified.</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set body copy no smaller than 17 to 18 pixels on desktop with generous line height. Legibility outweighs personality for this audience.</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avoid light or thin weights for body text against white. They read as elegant on a designer's monitor and as illegible on a customer's phone in daylight.</w:t>
      </w:r>
    </w:p>
    <w:p>
      <w:pPr>
        <w:pStyle w:val="ListParagraph"/>
        <w:numPr>
          <w:ilvl w:val="0"/>
          <w:numId w:val="2"/>
        </w:numPr>
        <w:spacing w:after="70" w:line="276"/>
      </w:pPr>
      <w:r>
        <w:rPr>
          <w:rFonts w:ascii="Calibri" w:cs="Calibri" w:eastAsia="Calibri" w:hAnsi="Calibri"/>
          <w:b/>
          <w:bCs/>
          <w:sz w:val="21"/>
          <w:szCs w:val="21"/>
        </w:rPr>
        <w:t xml:space="preserve">CONFIRM </w:t>
      </w:r>
      <w:r>
        <w:rPr>
          <w:rFonts w:ascii="Calibri" w:cs="Calibri" w:eastAsia="Calibri" w:hAnsi="Calibri"/>
          <w:sz w:val="21"/>
          <w:szCs w:val="21"/>
        </w:rPr>
        <w:t xml:space="preserve">whether the business card carries a distinctive typeface. If it does, evaluate it for the logo or headings only — never for body text — so the site and the card feel related.</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6.3 Imagery treatment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standardize aspect ratios within each gallery or grid. The client's source photographs are shot on phones by multiple people in inconsistent conditions; without enforced ratios and consistent cropping, the gallery will look disorganized regardless of how well the rest of the page is built.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apply a consistent treatment — matching corner radius, matching border or none, matching hover behavior — across every image container on the site.</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build a graceful handling path for low-quality source images. Some of the client's existing library is described as very simple phone photography. The design should not assume professional imagery.</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7. Homepage Template — Section-by-Section Layout Specification</w:t>
      </w:r>
    </w:p>
    <w:p>
      <w:pPr>
        <w:spacing w:after="120" w:line="276"/>
      </w:pPr>
      <w:r>
        <w:rPr>
          <w:rFonts w:ascii="Calibri" w:cs="Calibri" w:eastAsia="Calibri" w:hAnsi="Calibri"/>
          <w:sz w:val="21"/>
          <w:szCs w:val="21"/>
        </w:rPr>
        <w:t xml:space="preserve">The confirmed composition of the Concept A homepage, in page order, with the layout and behavior requirements for each block.</w:t>
      </w:r>
    </w:p>
    <w:p>
      <w:pPr>
        <w:spacing w:after="6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 Section map</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500"/>
        <w:gridCol w:w="1500"/>
        <w:gridCol w:w="46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5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Section</w:t>
            </w:r>
          </w:p>
        </w:tc>
        <w:tc>
          <w:tcPr>
            <w:tcW w:type="dxa" w:w="15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Status</w:t>
            </w:r>
          </w:p>
        </w:tc>
        <w:tc>
          <w:tcPr>
            <w:tcW w:type="dxa" w:w="46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Layout requirement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recopy</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Experience headline plus two CTAs, side by side, above the fold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S2</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Introduction video</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Full-width block directly beneath the hero</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S3</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Floors, Two Ways</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rewrite</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Two-path layout, one path per column or card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S4</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Project gallery</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expand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Mixed-media grid supporting photo, video, and paired images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S5</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Prominent feature block — treat as prime real estate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S6</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carried</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restructure</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Expandable logo strip or grid, linking inward only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S7</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About / owner portrait</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new asset</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Image plus text block, portrait to be replaced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S8</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 cards or quote block</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S9</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"Lives up to the highest standards"</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Remove the section entirely — do not repurpose the slot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S10</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Start the Conversation</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 rebuild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info panel beside a working lead form</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S11</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address block</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Remove. No address, map, or directions anywhere on the site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S12</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Block adjacent to showroom</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confirmed removal — identify precisely, see C3</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S13</w:t>
            </w:r>
          </w:p>
        </w:tc>
        <w:tc>
          <w:tcPr>
            <w:tcW w:type="dxa" w:w="2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Social and review profile links</w:t>
            </w:r>
          </w:p>
        </w:tc>
        <w:tc>
          <w:tcPr>
            <w:tcW w:type="dxa" w:w="15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w:t>
            </w:r>
          </w:p>
        </w:tc>
        <w:tc>
          <w:tcPr>
            <w:tcW w:type="dxa" w:w="46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Icon row within the contact area</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S14</w:t>
            </w:r>
          </w:p>
        </w:tc>
        <w:tc>
          <w:tcPr>
            <w:tcW w:type="dxa" w:w="2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Booking entry point</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w:t>
            </w:r>
          </w:p>
        </w:tc>
        <w:tc>
          <w:tcPr>
            <w:tcW w:type="dxa" w:w="46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Calendar booking reachable from hero, contact, and nav</w:t>
            </w:r>
          </w:p>
        </w:tc>
      </w:tr>
    </w:tbl>
    <w:p>
      <w:pPr>
        <w:spacing w:after="12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7.2 S1 — Hero</w:t>
      </w:r>
    </w:p>
    <w:p>
      <w:pPr>
        <w:spacing w:after="120" w:line="276"/>
      </w:pPr>
      <w:r>
        <w:rPr>
          <w:rFonts w:ascii="Calibri" w:cs="Calibri" w:eastAsia="Calibri" w:hAnsi="Calibri"/>
          <w:sz w:val="21"/>
          <w:szCs w:val="21"/>
        </w:rPr>
        <w:t xml:space="preserve">Structure approved as built. Copy replaced entirely.</w:t>
      </w:r>
    </w:p>
    <w:p>
      <w:pPr>
        <w:pStyle w:val="ListParagraph"/>
        <w:numPr>
          <w:ilvl w:val="0"/>
          <w:numId w:val="2"/>
        </w:numPr>
        <w:spacing w:after="70" w:line="276"/>
      </w:pPr>
      <w:r>
        <w:rPr>
          <w:rFonts w:ascii="Calibri" w:cs="Calibri" w:eastAsia="Calibri" w:hAnsi="Calibri"/>
          <w:b/>
          <w:bCs/>
          <w:sz w:val="21"/>
          <w:szCs w:val="21"/>
        </w:rPr>
        <w:t xml:space="preserve">Headline — MUST. </w:t>
      </w:r>
      <w:r>
        <w:rPr>
          <w:rFonts w:ascii="Calibri" w:cs="Calibri" w:eastAsia="Calibri" w:hAnsi="Calibri"/>
          <w:sz w:val="21"/>
          <w:szCs w:val="21"/>
        </w:rPr>
        <w:t xml:space="preserve">An experience-led statement. The mockup placeholder read along the lines of "17 years." The client's real figure is nineteen years of flooring experience dating from 2007. An alternative service-led tagline was floated during the session — something to the effect of "we do everything on the floors" — and remains an option. Either way, the headline is a text element, not baked into an image.</w:t>
      </w:r>
    </w:p>
    <w:p>
      <w:pPr>
        <w:pStyle w:val="ListParagraph"/>
        <w:numPr>
          <w:ilvl w:val="0"/>
          <w:numId w:val="2"/>
        </w:numPr>
        <w:spacing w:after="70" w:line="276"/>
      </w:pPr>
      <w:r>
        <w:rPr>
          <w:rFonts w:ascii="Calibri" w:cs="Calibri" w:eastAsia="Calibri" w:hAnsi="Calibri"/>
          <w:b/>
          <w:bCs/>
          <w:sz w:val="21"/>
          <w:szCs w:val="21"/>
        </w:rPr>
        <w:t xml:space="preserve">Primary CTA — MUST. </w:t>
      </w:r>
      <w:r>
        <w:rPr>
          <w:rFonts w:ascii="Calibri" w:cs="Calibri" w:eastAsia="Calibri" w:hAnsi="Calibri"/>
          <w:sz w:val="21"/>
          <w:szCs w:val="21"/>
        </w:rPr>
        <w:t xml:space="preserve">Book a Consultation. Orange fill, white text. This is the conversion target for the entire page.</w:t>
      </w:r>
    </w:p>
    <w:p>
      <w:pPr>
        <w:pStyle w:val="ListParagraph"/>
        <w:numPr>
          <w:ilvl w:val="0"/>
          <w:numId w:val="2"/>
        </w:numPr>
        <w:spacing w:after="70" w:line="276"/>
      </w:pPr>
      <w:r>
        <w:rPr>
          <w:rFonts w:ascii="Calibri" w:cs="Calibri" w:eastAsia="Calibri" w:hAnsi="Calibri"/>
          <w:b/>
          <w:bCs/>
          <w:sz w:val="21"/>
          <w:szCs w:val="21"/>
        </w:rPr>
        <w:t xml:space="preserve">Secondary CTA — MUST. </w:t>
      </w:r>
      <w:r>
        <w:rPr>
          <w:rFonts w:ascii="Calibri" w:cs="Calibri" w:eastAsia="Calibri" w:hAnsi="Calibri"/>
          <w:sz w:val="21"/>
          <w:szCs w:val="21"/>
        </w:rPr>
        <w:t xml:space="preserve">My Story / Watch Story. Blue outline or ghost treatment so it visibly defers to the primary. Both must be present and must sit together.</w:t>
      </w:r>
    </w:p>
    <w:p>
      <w:pPr>
        <w:pStyle w:val="ListParagraph"/>
        <w:numPr>
          <w:ilvl w:val="0"/>
          <w:numId w:val="2"/>
        </w:numPr>
        <w:spacing w:after="70" w:line="276"/>
      </w:pPr>
      <w:r>
        <w:rPr>
          <w:rFonts w:ascii="Calibri" w:cs="Calibri" w:eastAsia="Calibri" w:hAnsi="Calibri"/>
          <w:b/>
          <w:bCs/>
          <w:sz w:val="21"/>
          <w:szCs w:val="21"/>
        </w:rPr>
        <w:t xml:space="preserve">Fold — MUST. </w:t>
      </w:r>
      <w:r>
        <w:rPr>
          <w:rFonts w:ascii="Calibri" w:cs="Calibri" w:eastAsia="Calibri" w:hAnsi="Calibri"/>
          <w:sz w:val="21"/>
          <w:szCs w:val="21"/>
        </w:rPr>
        <w:t xml:space="preserve">The client was shown the exact boundary of the on-load view and approved it. Preserve it on desktop. See Section 9.</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MAINTENANCE NOTE: </w:t>
            </w:r>
            <w:r>
              <w:rPr>
                <w:rFonts w:ascii="Calibri" w:cs="Calibri" w:eastAsia="Calibri" w:hAnsi="Calibri"/>
                <w:sz w:val="21"/>
                <w:szCs w:val="21"/>
              </w:rPr>
              <w:t xml:space="preserve">The years-of-experience figure increments every January — the client raised this himself, observing that it changes every year. Do not hard-code the number and do not place it inside an image. Derive it from a fixed 2007 start year so it updates itself, or at minimum isolate it as a single editable content field.</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7.3 S2 — Introduction video</w:t>
      </w:r>
    </w:p>
    <w:p>
      <w:pPr>
        <w:spacing w:after="120" w:line="276"/>
      </w:pPr>
      <w:r>
        <w:rPr>
          <w:rFonts w:ascii="Calibri" w:cs="Calibri" w:eastAsia="Calibri" w:hAnsi="Calibri"/>
          <w:sz w:val="21"/>
          <w:szCs w:val="21"/>
        </w:rPr>
        <w:t xml:space="preserve">Position confirmed twice: directly below the hero, before all other content. The content is a personal introduction from the owner — the framing discussed was along the lines of the customer dealing with David himself. On a site whose entire proposition is that you deal with the owner rather than a salesperson, this block is the primary trust mechanism and should be treated as the second most important element on the page.</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not autoplay with sound.</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carry a poster frame — a deliberate still of the client, not a black frame or an arbitrary capture.</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be fully responsive. On mobile it sits immediately beneath the compressed hero.</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ship with the poster image in place even if the video is not yet recorded, so the page structure does not change when the video arrives. Do not restructure the page around its absence.</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load the player only on click behind a poster facade. A directly embedded player adds significant page weight to the most important block on the site.</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7.4 S3 — Floors, Two Ways</w:t>
      </w:r>
    </w:p>
    <w:p>
      <w:pPr>
        <w:spacing w:after="120" w:line="276"/>
      </w:pPr>
      <w:r>
        <w:rPr>
          <w:rFonts w:ascii="Calibri" w:cs="Calibri" w:eastAsia="Calibri" w:hAnsi="Calibri"/>
          <w:sz w:val="21"/>
          <w:szCs w:val="21"/>
        </w:rPr>
        <w:t xml:space="preserve">Retained. The mockup copy failed — the client read it and stated plainly that he did not know what it meant. The underlying idea is sound and was clarified in the session: the customer can buy the flooring product on its own, or buy the product with installation performed by the client's own technicians. Two service paths, two price points, two different kinds of buyer.</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rewrite the copy. The client stated he will do it himself. The mockup wording is example text only.</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lay the section out as two clearly parallel paths — two columns or two cards of equal visual weight — so the choice is legible before a word is read.</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give each path its own call to action. They represent different buyer intents and separating them qualifies the lead before the client ever picks up the phone.</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7.5 S4 — Project gallery</w:t>
      </w:r>
    </w:p>
    <w:p>
      <w:pPr>
        <w:spacing w:after="120" w:line="276"/>
      </w:pPr>
      <w:r>
        <w:rPr>
          <w:rFonts w:ascii="Calibri" w:cs="Calibri" w:eastAsia="Calibri" w:hAnsi="Calibri"/>
          <w:sz w:val="21"/>
          <w:szCs w:val="21"/>
        </w:rPr>
        <w:t xml:space="preserve">Retained and structurally expanded. This is the section requiring the most build work after the contact block.</w:t>
      </w:r>
    </w:p>
    <w:p>
      <w:pPr>
        <w:pStyle w:val="Heading3"/>
        <w:spacing w:after="90" w:before="220"/>
      </w:pPr>
      <w:r>
        <w:rPr>
          <w:rFonts w:ascii="Calibri" w:cs="Calibri" w:eastAsia="Calibri" w:hAnsi="Calibri"/>
          <w:b/>
          <w:bCs/>
          <w:color w:val="C74A00"/>
          <w:sz w:val="22"/>
          <w:szCs w:val="22"/>
        </w:rPr>
        <w:t xml:space="preserve">Media requirements</w:t>
      </w:r>
    </w:p>
    <w:p>
      <w:pPr>
        <w:pStyle w:val="ListParagraph"/>
        <w:numPr>
          <w:ilvl w:val="0"/>
          <w:numId w:val="2"/>
        </w:numPr>
        <w:spacing w:after="70" w:line="276"/>
      </w:pPr>
      <w:r>
        <w:rPr>
          <w:rFonts w:ascii="Calibri" w:cs="Calibri" w:eastAsia="Calibri" w:hAnsi="Calibri"/>
          <w:b/>
          <w:bCs/>
          <w:sz w:val="21"/>
          <w:szCs w:val="21"/>
        </w:rPr>
        <w:t xml:space="preserve">Photographs — MUST. </w:t>
      </w:r>
      <w:r>
        <w:rPr>
          <w:rFonts w:ascii="Calibri" w:cs="Calibri" w:eastAsia="Calibri" w:hAnsi="Calibri"/>
          <w:sz w:val="21"/>
          <w:szCs w:val="21"/>
        </w:rPr>
        <w:t xml:space="preserve">Completed and in-progress work from past jobs.</w:t>
      </w:r>
    </w:p>
    <w:p>
      <w:pPr>
        <w:pStyle w:val="ListParagraph"/>
        <w:numPr>
          <w:ilvl w:val="0"/>
          <w:numId w:val="2"/>
        </w:numPr>
        <w:spacing w:after="70" w:line="276"/>
      </w:pPr>
      <w:r>
        <w:rPr>
          <w:rFonts w:ascii="Calibri" w:cs="Calibri" w:eastAsia="Calibri" w:hAnsi="Calibri"/>
          <w:b/>
          <w:bCs/>
          <w:sz w:val="21"/>
          <w:szCs w:val="21"/>
        </w:rPr>
        <w:t xml:space="preserve">Video — MUST. </w:t>
      </w:r>
      <w:r>
        <w:rPr>
          <w:rFonts w:ascii="Calibri" w:cs="Calibri" w:eastAsia="Calibri" w:hAnsi="Calibri"/>
          <w:sz w:val="21"/>
          <w:szCs w:val="21"/>
        </w:rPr>
        <w:t xml:space="preserve">The client asked directly whether video could go in and was told yes. He shoots footage of his crews installing. The gallery is a mixed-media grid, not a photo grid.</w:t>
      </w:r>
    </w:p>
    <w:p>
      <w:pPr>
        <w:pStyle w:val="ListParagraph"/>
        <w:numPr>
          <w:ilvl w:val="0"/>
          <w:numId w:val="2"/>
        </w:numPr>
        <w:spacing w:after="70" w:line="276"/>
      </w:pPr>
      <w:r>
        <w:rPr>
          <w:rFonts w:ascii="Calibri" w:cs="Calibri" w:eastAsia="Calibri" w:hAnsi="Calibri"/>
          <w:b/>
          <w:bCs/>
          <w:sz w:val="21"/>
          <w:szCs w:val="21"/>
        </w:rPr>
        <w:t xml:space="preserve">Before-and-after pairs — MUST. </w:t>
      </w:r>
      <w:r>
        <w:rPr>
          <w:rFonts w:ascii="Calibri" w:cs="Calibri" w:eastAsia="Calibri" w:hAnsi="Calibri"/>
          <w:sz w:val="21"/>
          <w:szCs w:val="21"/>
        </w:rPr>
        <w:t xml:space="preserve">Where pairs exist they display together to show the transformation. This was identified in the session as the strongest possible use of his imagery.</w:t>
      </w:r>
    </w:p>
    <w:p>
      <w:pPr>
        <w:pStyle w:val="ListParagraph"/>
        <w:numPr>
          <w:ilvl w:val="0"/>
          <w:numId w:val="2"/>
        </w:numPr>
        <w:spacing w:after="70" w:line="276"/>
      </w:pPr>
      <w:r>
        <w:rPr>
          <w:rFonts w:ascii="Calibri" w:cs="Calibri" w:eastAsia="Calibri" w:hAnsi="Calibri"/>
          <w:b/>
          <w:bCs/>
          <w:sz w:val="21"/>
          <w:szCs w:val="21"/>
        </w:rPr>
        <w:t xml:space="preserve">Single-state images — MUST. </w:t>
      </w:r>
      <w:r>
        <w:rPr>
          <w:rFonts w:ascii="Calibri" w:cs="Calibri" w:eastAsia="Calibri" w:hAnsi="Calibri"/>
          <w:sz w:val="21"/>
          <w:szCs w:val="21"/>
        </w:rPr>
        <w:t xml:space="preserve">His library does not contain complete pairs for most past jobs, and the agreed position was to use whatever exists. A single image and a before/after pair must both render cleanly in the same grid without one looking broken.</w:t>
      </w:r>
    </w:p>
    <w:p>
      <w:pPr>
        <w:spacing w:after="4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76900" w:sz="18"/>
              <w:bottom w:val="none"/>
              <w:right w:val="none"/>
            </w:tcBorders>
            <w:shd w:fill="FDF0E6" w:val="clear"/>
            <w:tcMar>
              <w:top w:type="dxa" w:w="120"/>
              <w:left w:type="dxa" w:w="160"/>
              <w:bottom w:type="dxa" w:w="120"/>
              <w:right w:type="dxa" w:w="160"/>
            </w:tcMar>
          </w:tcPr>
          <w:p>
            <w:pPr>
              <w:spacing w:after="0" w:line="276"/>
            </w:pPr>
            <w:r>
              <w:rPr>
                <w:rFonts w:ascii="Calibri" w:cs="Calibri" w:eastAsia="Calibri" w:hAnsi="Calibri"/>
                <w:b/>
                <w:bCs/>
                <w:color w:val="C74A00"/>
                <w:sz w:val="21"/>
                <w:szCs w:val="21"/>
              </w:rPr>
              <w:t xml:space="preserve">RECOMMENDED: </w:t>
            </w:r>
            <w:r>
              <w:rPr>
                <w:rFonts w:ascii="Calibri" w:cs="Calibri" w:eastAsia="Calibri" w:hAnsi="Calibri"/>
                <w:sz w:val="21"/>
                <w:szCs w:val="21"/>
              </w:rPr>
              <w:t xml:space="preserve">Build a draggable before/after comparison slider as the display mode for paired images. It substantially outperforms two images side by side for exactly this kind of transformation, and the client has committed to capturing before-and-after on every job going forward, so the supply of pairs will grow steadily.</w:t>
            </w:r>
          </w:p>
        </w:tc>
      </w:tr>
    </w:tbl>
    <w:p>
      <w:pPr>
        <w:spacing w:after="10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7.6 S5 — See It Before You Buy It</w:t>
      </w:r>
    </w:p>
    <w:p>
      <w:pPr>
        <w:spacing w:after="120" w:line="276"/>
      </w:pPr>
      <w:r>
        <w:rPr>
          <w:rFonts w:ascii="Calibri" w:cs="Calibri" w:eastAsia="Calibri" w:hAnsi="Calibri"/>
          <w:sz w:val="21"/>
          <w:szCs w:val="21"/>
        </w:rPr>
        <w:t xml:space="preserve">Retained without change to the concept. During the session this block was singled out as the element that makes Concept A work for a cold visitor — the reason someone who has just landed has a reason to stay. Treat it as prime real estate, not as filler between larger sections. Give it full visual weight. Copy will be rewritten by the client; the idea and the placement stay.</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7.7 S6 — Brands carried</w:t>
      </w:r>
    </w:p>
    <w:p>
      <w:pPr>
        <w:spacing w:after="120" w:line="276"/>
      </w:pPr>
      <w:r>
        <w:rPr>
          <w:rFonts w:ascii="Calibri" w:cs="Calibri" w:eastAsia="Calibri" w:hAnsi="Calibri"/>
          <w:sz w:val="21"/>
          <w:szCs w:val="21"/>
        </w:rPr>
        <w:t xml:space="preserve">Retained, but restructured in two ways.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accommodate a longer list than the mockup currently shows. The client confirmed the displayed list is incomplete and that there are additional brands he carries. Build the layout to flex — a grid that reflows gracefully at any count, not a hand-placed row of fixed logos. Individual brands will also be removed over time.</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link any brand outward to a manufacturer website. This was proposed by the client during the session and then reversed by him within the same exchange. Zero outbound manufacturer links anywhere on the site — not on logos, not as "see the full range" links, not in the footer.</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link each brand inward instead, to an on-site page or filtered view showing that brand's products and colors.</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build a product and color swatch grid component for those pages. Manufacturer color libraries run to dozens or hundreds of swatches per product line, so this must be a scalable, filterable component rather than a hand-built page per brand.</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end every product view with a call to action that keeps the visitor on site — request a sample, book a consultation, ask about this product.</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image optimization matters more here than anywhere else on the site. Serve modern formats, lazy-load below the fold, and size responsively, or the brand pages will be unusable on mobile data.</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7.8 S7 — About and owner portrait</w:t>
      </w:r>
    </w:p>
    <w:p>
      <w:pPr>
        <w:spacing w:after="120" w:line="276"/>
      </w:pPr>
      <w:r>
        <w:rPr>
          <w:rFonts w:ascii="Calibri" w:cs="Calibri" w:eastAsia="Calibri" w:hAnsi="Calibri"/>
          <w:sz w:val="21"/>
          <w:szCs w:val="21"/>
        </w:rPr>
        <w:t xml:space="preserve">The block stays. The photograph does not — the client volunteered, unprompted, that a new picture is needed. Build the block to accommodate a replacement asset at a defined ratio rather than fitting the layout to whatever the current image happens to be.</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define and publish a target aspect ratio and minimum resolution for the portrait, so the client can be told exactly what to supply rather than sending something that then has to be cropped badly.</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an environmental photograph — on a job site or with materials — rather than a studio headshot. It reinforces the working-owner positioning the video establishes.</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7.9 S8 — Reviews</w:t>
      </w:r>
    </w:p>
    <w:p>
      <w:pPr>
        <w:spacing w:after="120" w:line="276"/>
      </w:pPr>
      <w:r>
        <w:rPr>
          <w:rFonts w:ascii="Calibri" w:cs="Calibri" w:eastAsia="Calibri" w:hAnsi="Calibri"/>
          <w:sz w:val="21"/>
          <w:szCs w:val="21"/>
        </w:rPr>
        <w:t xml:space="preserve">Explicitly retained. When the removals were being worked through, the instruction was to strip the showroom items and just leave reviews, then add social media. Reviews are a permanent homepage element.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build as a repeatable review card component so entries can be added over time without layout work.</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carry platform attribution on each review, matching the four profiles being linked in the contact area.</w:t>
      </w:r>
    </w:p>
    <w:p>
      <w:pPr>
        <w:pStyle w:val="ListParagraph"/>
        <w:numPr>
          <w:ilvl w:val="0"/>
          <w:numId w:val="2"/>
        </w:numPr>
        <w:spacing w:after="70" w:line="276"/>
      </w:pPr>
      <w:r>
        <w:rPr>
          <w:rFonts w:ascii="Calibri" w:cs="Calibri" w:eastAsia="Calibri" w:hAnsi="Calibri"/>
          <w:b/>
          <w:bCs/>
          <w:sz w:val="21"/>
          <w:szCs w:val="21"/>
        </w:rPr>
        <w:t xml:space="preserve">SHOULD NOT </w:t>
      </w:r>
      <w:r>
        <w:rPr>
          <w:rFonts w:ascii="Calibri" w:cs="Calibri" w:eastAsia="Calibri" w:hAnsi="Calibri"/>
          <w:sz w:val="21"/>
          <w:szCs w:val="21"/>
        </w:rPr>
        <w:t xml:space="preserve">auto-rotate. A carousel that moves on its own conflicts with the restrained, clean treatment the client selected for, and reviews that scroll away unread are worse than three that stay put.</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7.10 S9 — Deleted section</w:t>
      </w:r>
    </w:p>
    <w:p>
      <w:pPr>
        <w:spacing w:after="120" w:line="276"/>
      </w:pPr>
      <w:r>
        <w:rPr>
          <w:rFonts w:ascii="Calibri" w:cs="Calibri" w:eastAsia="Calibri" w:hAnsi="Calibri"/>
          <w:b/>
          <w:bCs/>
          <w:sz w:val="21"/>
          <w:szCs w:val="21"/>
        </w:rPr>
        <w:t xml:space="preserve">DELETE ENTIRELY. </w:t>
      </w:r>
      <w:r>
        <w:rPr>
          <w:rFonts w:ascii="Calibri" w:cs="Calibri" w:eastAsia="Calibri" w:hAnsi="Calibri"/>
          <w:sz w:val="21"/>
          <w:szCs w:val="21"/>
        </w:rPr>
        <w:t xml:space="preserve">The block reading along the lines of "flooring lives up to the highest standards." The client's instruction was direct — get rid of the whole thing, it is not needed — and it was agreed on the spot. Remove the section from the template. Do not repurpose the slot, do not leave the spacing behind, and close the vertical rhythm so the sections either side sit correctly against one another.</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7.11 S10 — Start the Conversation</w:t>
      </w:r>
    </w:p>
    <w:p>
      <w:pPr>
        <w:spacing w:after="120" w:line="276"/>
      </w:pPr>
      <w:r>
        <w:rPr>
          <w:rFonts w:ascii="Calibri" w:cs="Calibri" w:eastAsia="Calibri" w:hAnsi="Calibri"/>
          <w:sz w:val="21"/>
          <w:szCs w:val="21"/>
        </w:rPr>
        <w:t xml:space="preserve">The conversion block, and the section requiring the most build work, because the mockup version is non-functional.</w:t>
      </w:r>
    </w:p>
    <w:p>
      <w:pPr>
        <w:pStyle w:val="Heading3"/>
        <w:spacing w:after="90" w:before="220"/>
      </w:pPr>
      <w:r>
        <w:rPr>
          <w:rFonts w:ascii="Calibri" w:cs="Calibri" w:eastAsia="Calibri" w:hAnsi="Calibri"/>
          <w:b/>
          <w:bCs/>
          <w:color w:val="C74A00"/>
          <w:sz w:val="22"/>
          <w:szCs w:val="22"/>
        </w:rPr>
        <w:t xml:space="preserve">Layout</w:t>
      </w:r>
    </w:p>
    <w:p>
      <w:pPr>
        <w:pStyle w:val="ListParagraph"/>
        <w:numPr>
          <w:ilvl w:val="0"/>
          <w:numId w:val="2"/>
        </w:numPr>
        <w:spacing w:after="70" w:line="276"/>
      </w:pPr>
      <w:r>
        <w:rPr>
          <w:rFonts w:ascii="Calibri" w:cs="Calibri" w:eastAsia="Calibri" w:hAnsi="Calibri"/>
          <w:sz w:val="21"/>
          <w:szCs w:val="21"/>
        </w:rPr>
        <w:t xml:space="preserve">Business contact information panel on one side, lead form on the other. This is the arrangement in the mockup and it was walked through and accepted.</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include a showroom street address, an embedded map, or directions. See S11.</w:t>
      </w:r>
    </w:p>
    <w:p>
      <w:pPr>
        <w:pStyle w:val="Heading3"/>
        <w:spacing w:after="90" w:before="220"/>
      </w:pPr>
      <w:r>
        <w:rPr>
          <w:rFonts w:ascii="Calibri" w:cs="Calibri" w:eastAsia="Calibri" w:hAnsi="Calibri"/>
          <w:b/>
          <w:bCs/>
          <w:color w:val="C74A00"/>
          <w:sz w:val="22"/>
          <w:szCs w:val="22"/>
        </w:rPr>
        <w:t xml:space="preserve">Lead form — structural requirement</w:t>
      </w:r>
    </w:p>
    <w:p>
      <w:pPr>
        <w:spacing w:after="120" w:line="276"/>
      </w:pPr>
      <w:r>
        <w:rPr>
          <w:rFonts w:ascii="Calibri" w:cs="Calibri" w:eastAsia="Calibri" w:hAnsi="Calibri"/>
          <w:sz w:val="21"/>
          <w:szCs w:val="21"/>
        </w:rPr>
        <w:t xml:space="preserve">The form in the mockup is not wired. The requirement as stated: it collects the visitor's details and emails the complete submission to the client so he can follow up.</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100"/>
        <w:gridCol w:w="1500"/>
        <w:gridCol w:w="5760"/>
      </w:tblGrid>
      <w:tr>
        <w:trPr>
          <w:tblHeader/>
        </w:trPr>
        <w:tc>
          <w:tcPr>
            <w:tcW w:type="dxa" w:w="2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Field</w:t>
            </w:r>
          </w:p>
        </w:tc>
        <w:tc>
          <w:tcPr>
            <w:tcW w:type="dxa" w:w="15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Requirement</w:t>
            </w:r>
          </w:p>
        </w:tc>
        <w:tc>
          <w:tcPr>
            <w:tcW w:type="dxa" w:w="57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Layout note</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Name</w:t>
            </w:r>
          </w:p>
        </w:tc>
        <w:tc>
          <w:tcPr>
            <w:tcW w:type="dxa" w:w="15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in the session.</w:t>
            </w:r>
          </w:p>
        </w:tc>
      </w:tr>
      <w:tr>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Email</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7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Validate format inline.</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Phone</w:t>
            </w:r>
          </w:p>
        </w:tc>
        <w:tc>
          <w:tcPr>
            <w:tcW w:type="dxa" w:w="15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Explicitly specified. Use a numeric input mode on mobile.</w:t>
            </w:r>
          </w:p>
        </w:tc>
      </w:tr>
      <w:tr>
        <w:tc>
          <w:tcPr>
            <w:tcW w:type="dxa" w:w="21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What they want</w:t>
            </w:r>
          </w:p>
        </w:tc>
        <w:tc>
          <w:tcPr>
            <w:tcW w:type="dxa" w:w="15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w:t>
            </w:r>
          </w:p>
        </w:tc>
        <w:tc>
          <w:tcPr>
            <w:tcW w:type="dxa" w:w="57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Free-text area. Explicitly specified. Needs guiding placeholder copy — see below.</w:t>
            </w:r>
          </w:p>
        </w:tc>
      </w:tr>
      <w:tr>
        <w:tc>
          <w:tcPr>
            <w:tcW w:type="dxa" w:w="21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Additional fields</w:t>
            </w:r>
          </w:p>
        </w:tc>
        <w:tc>
          <w:tcPr>
            <w:tcW w:type="dxa" w:w="15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Extensible</w:t>
            </w:r>
          </w:p>
        </w:tc>
        <w:tc>
          <w:tcPr>
            <w:tcW w:type="dxa" w:w="57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client was told more fields can be added if he wants to collect more. None specified yet — build the form so fields can be added without relayout.</w:t>
            </w:r>
          </w:p>
        </w:tc>
      </w:tr>
    </w:tbl>
    <w:p>
      <w:pPr>
        <w:spacing w:after="8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On the free-text field: </w:t>
      </w:r>
      <w:r>
        <w:rPr>
          <w:rFonts w:ascii="Calibri" w:cs="Calibri" w:eastAsia="Calibri" w:hAnsi="Calibri"/>
          <w:sz w:val="21"/>
          <w:szCs w:val="21"/>
        </w:rPr>
        <w:t xml:space="preserve">a light exchange during the session is worth acting on at the design level. The client noted that customers volunteer over-precise information — room dimensions to the fraction of an inch — that is not useful at the inquiry stage. The agreed response was that the form can be shaped to guide what gets submitted. Keep the field open, but use placeholder text that steers toward what is actually useful: which rooms, roughly how much space, what kind of flooring, and when they want it done.</w:t>
      </w:r>
    </w:p>
    <w:p>
      <w:pPr>
        <w:spacing w:after="40"/>
      </w:pP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deliver the submission to the client by email containing every field, formatted legibly, with reply-to set to the visitor's address so he can respond in one tap from his phone.</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show a clear success state after submission. A form that appears to do nothing is worse than no form.</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spam protection — a honeypot plus an invisible challenge. A public form carrying a phone field will attract bot traffic within days.</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7.12 S11 and S12 — Removals in the contact area</w:t>
      </w:r>
    </w:p>
    <w:p>
      <w:pPr>
        <w:spacing w:after="120" w:line="276"/>
      </w:pPr>
      <w:r>
        <w:rPr>
          <w:rFonts w:ascii="Calibri" w:cs="Calibri" w:eastAsia="Calibri" w:hAnsi="Calibri"/>
          <w:sz w:val="21"/>
          <w:szCs w:val="21"/>
        </w:rPr>
        <w:t xml:space="preserve">Two blocks in the contact area are removed. The first is unambiguous: the showroom location block. The second was indistinct on the recording — the instruction was to remove both — and most probably refers to business hours, which would follow logically, since published hours imply a physical location the client does not control.</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remove the showroom block.</w:t>
      </w:r>
    </w:p>
    <w:p>
      <w:pPr>
        <w:pStyle w:val="ListParagraph"/>
        <w:numPr>
          <w:ilvl w:val="0"/>
          <w:numId w:val="2"/>
        </w:numPr>
        <w:spacing w:after="70" w:line="276"/>
      </w:pPr>
      <w:r>
        <w:rPr>
          <w:rFonts w:ascii="Calibri" w:cs="Calibri" w:eastAsia="Calibri" w:hAnsi="Calibri"/>
          <w:b/>
          <w:bCs/>
          <w:sz w:val="21"/>
          <w:szCs w:val="21"/>
        </w:rPr>
        <w:t xml:space="preserve">MUST NOT </w:t>
      </w:r>
      <w:r>
        <w:rPr>
          <w:rFonts w:ascii="Calibri" w:cs="Calibri" w:eastAsia="Calibri" w:hAnsi="Calibri"/>
          <w:sz w:val="21"/>
          <w:szCs w:val="21"/>
        </w:rPr>
        <w:t xml:space="preserve">publish any street address, map embed, directions link, or address structured data anywhere on the site.</w:t>
      </w:r>
    </w:p>
    <w:p>
      <w:pPr>
        <w:pStyle w:val="ListParagraph"/>
        <w:numPr>
          <w:ilvl w:val="0"/>
          <w:numId w:val="2"/>
        </w:numPr>
        <w:spacing w:after="70" w:line="276"/>
      </w:pPr>
      <w:r>
        <w:rPr>
          <w:rFonts w:ascii="Calibri" w:cs="Calibri" w:eastAsia="Calibri" w:hAnsi="Calibri"/>
          <w:b/>
          <w:bCs/>
          <w:sz w:val="21"/>
          <w:szCs w:val="21"/>
        </w:rPr>
        <w:t xml:space="preserve">CONFIRM </w:t>
      </w:r>
      <w:r>
        <w:rPr>
          <w:rFonts w:ascii="Calibri" w:cs="Calibri" w:eastAsia="Calibri" w:hAnsi="Calibri"/>
          <w:sz w:val="21"/>
          <w:szCs w:val="21"/>
        </w:rPr>
        <w:t xml:space="preserve">the identity of the second removed block before removing it. See C3.</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replace the showroom content with the two consultation options — samples brought to the customer's home, or an in-person meeting by appointment. The client fulfils whichever they choose. Copy to be supplied; the layout slot is required.</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7.13 S13 — Social and review profile links</w:t>
      </w:r>
    </w:p>
    <w:p>
      <w:pPr>
        <w:spacing w:after="120" w:line="276"/>
      </w:pPr>
      <w:r>
        <w:rPr>
          <w:rFonts w:ascii="Calibri" w:cs="Calibri" w:eastAsia="Calibri" w:hAnsi="Calibri"/>
          <w:b/>
          <w:bCs/>
          <w:sz w:val="21"/>
          <w:szCs w:val="21"/>
        </w:rPr>
        <w:t xml:space="preserve">NET ADDITION. </w:t>
      </w:r>
      <w:r>
        <w:rPr>
          <w:rFonts w:ascii="Calibri" w:cs="Calibri" w:eastAsia="Calibri" w:hAnsi="Calibri"/>
          <w:sz w:val="21"/>
          <w:szCs w:val="21"/>
        </w:rPr>
        <w:t xml:space="preserve">Four profiles were named explicitly: Google, Facebook, Yelp, and Apple. Build as an icon row within the contact area, sized for comfortable tapping on mobile, opening in a new tab so the visitor does not lose the page.</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7.14 S14 — Booking entry point</w:t>
      </w:r>
    </w:p>
    <w:p>
      <w:pPr>
        <w:spacing w:after="120" w:line="276"/>
      </w:pPr>
      <w:r>
        <w:rPr>
          <w:rFonts w:ascii="Calibri" w:cs="Calibri" w:eastAsia="Calibri" w:hAnsi="Calibri"/>
          <w:b/>
          <w:bCs/>
          <w:sz w:val="21"/>
          <w:szCs w:val="21"/>
        </w:rPr>
        <w:t xml:space="preserve">NET ADDITION. </w:t>
      </w:r>
      <w:r>
        <w:rPr>
          <w:rFonts w:ascii="Calibri" w:cs="Calibri" w:eastAsia="Calibri" w:hAnsi="Calibri"/>
          <w:sz w:val="21"/>
          <w:szCs w:val="21"/>
        </w:rPr>
        <w:t xml:space="preserve">The client accepted a proposal that visitors be able to see his availability and self-book a thirty-minute consultation. The account setup is outside this document's scope; the design requirement is not. The booking interface must be reachable from the hero primary CTA, from the contact section, and from the persistent navigation, and must render properly on mobile — third-party booking embeds frequently do not.</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8. Change Register — Every Modification to the Concept A Mockup</w:t>
      </w:r>
    </w:p>
    <w:p>
      <w:pPr>
        <w:spacing w:after="120" w:line="276"/>
      </w:pPr>
      <w:r>
        <w:rPr>
          <w:rFonts w:ascii="Calibri" w:cs="Calibri" w:eastAsia="Calibri" w:hAnsi="Calibri"/>
          <w:sz w:val="21"/>
          <w:szCs w:val="21"/>
        </w:rPr>
        <w:t xml:space="preserve">A complete before-and-after register of changes to the mockup as built. If a change was requested in the session, it is in this table.</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1900"/>
        <w:gridCol w:w="3200"/>
        <w:gridCol w:w="35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19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Element</w:t>
            </w:r>
          </w:p>
        </w:tc>
        <w:tc>
          <w:tcPr>
            <w:tcW w:type="dxa" w:w="32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As it stands in the mockup</w:t>
            </w:r>
          </w:p>
        </w:tc>
        <w:tc>
          <w:tcPr>
            <w:tcW w:type="dxa" w:w="35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Required change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Color palette</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White with brown</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White and blue base, Syracuse Orange highlights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headline</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Placeholder, approximately "17 years"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Client-supplied experience headline, derived year value, not image-baked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CH3</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CTAs</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CTAs present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Retain both. Primary in orange fill, secondary in blue outline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CH4</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 body copy</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Placeholder throughout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Every word replaced. Nothing from the mockup carries into production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CH5</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block</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 below hero</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Retain position. Add poster frame, no autoplay with sound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CH6</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Floors, Two Ways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Wording unclear to the client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Rewrite copy. Restructure as two parallel, equally weighted paths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CH7</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Gallery</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Photographs only</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Support video, before/after pairs, and single images in one grid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CH8</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change to concept. Retain full visual weight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CH9</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list</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Fixed, incomplete list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Flexible grid. Longer list. Additions and removals over time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CH10</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links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Implied outbound to manufacturers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Inbound only, to on-site brand and product pages. Zero outbound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CH11</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 browsing</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Does not exist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New swatch and color grid component required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CH12</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Owner portrait</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Existing photograph</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New photograph required. Define target ratio and resolution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CH13</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Retain. Build as repeatable cards with platform attribution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CH14</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"Highest standards" block</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entirely. Close the spacing behind it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CH15</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block</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 with location</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No address, map, or directions anywhere on the site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CH16</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Adjacent block</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 confirm exact element first, see C3</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CH17</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Consultation options</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Does not exist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Samples at home, or meet by appointment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CH18</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Social profile links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Does not exist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Google, Facebook, Yelp, Apple icon row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CH19</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form</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Present but not wired</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functional. Name, email, phone, project description, emailed out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CH20</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Form free-text field</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Generic</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guiding placeholder copy to steer useful submissions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CH21</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Booking</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Does not exist</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 Booking entry points in hero, contact, and navigation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CH22</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Navigation</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Anchors to homepage sections</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Convert to real page links once interior pages exist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CH23</w:t>
            </w:r>
          </w:p>
        </w:tc>
        <w:tc>
          <w:tcPr>
            <w:tcW w:type="dxa" w:w="1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Section architecture</w:t>
            </w:r>
          </w:p>
        </w:tc>
        <w:tc>
          <w:tcPr>
            <w:tcW w:type="dxa" w:w="32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Single-page mockup</w:t>
            </w:r>
          </w:p>
        </w:tc>
        <w:tc>
          <w:tcPr>
            <w:tcW w:type="dxa" w:w="3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Rebuild as modular components — see Section 4</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CH24</w:t>
            </w:r>
          </w:p>
        </w:tc>
        <w:tc>
          <w:tcPr>
            <w:tcW w:type="dxa" w:w="1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Interior pages</w:t>
            </w:r>
          </w:p>
        </w:tc>
        <w:tc>
          <w:tcPr>
            <w:tcW w:type="dxa" w:w="32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 not exist</w:t>
            </w:r>
          </w:p>
        </w:tc>
        <w:tc>
          <w:tcPr>
            <w:tcW w:type="dxa" w:w="3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in the Concept A style once structure is agreed</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9. Fold, Viewport, and Responsive Behavior</w:t>
      </w:r>
    </w:p>
    <w:p>
      <w:pPr>
        <w:pStyle w:val="Heading2"/>
        <w:spacing w:after="120" w:before="300"/>
      </w:pPr>
      <w:r>
        <w:rPr>
          <w:rFonts w:ascii="Calibri" w:cs="Calibri" w:eastAsia="Calibri" w:hAnsi="Calibri"/>
          <w:b/>
          <w:bCs/>
          <w:color w:val="10365C"/>
          <w:sz w:val="25"/>
          <w:szCs w:val="25"/>
        </w:rPr>
        <w:t xml:space="preserve">9.1 The fold is a client-approved design element</w:t>
      </w:r>
    </w:p>
    <w:p>
      <w:pPr>
        <w:spacing w:after="120" w:line="276"/>
      </w:pPr>
      <w:r>
        <w:rPr>
          <w:rFonts w:ascii="Calibri" w:cs="Calibri" w:eastAsia="Calibri" w:hAnsi="Calibri"/>
          <w:sz w:val="21"/>
          <w:szCs w:val="21"/>
        </w:rPr>
        <w:t xml:space="preserve">During the walkthrough the client was asked what a visitor sees the moment they arrive, and was shown the precise line at which the visible content ends. He confirmed it. This makes the fold a specification rather than an accident of the mockup viewport, and it should be preserved deliberately on desktop.</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keep the headline and both calls to action above the fold on standard desktop viewports.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keep the video block as the first content encountered on scroll. Nothing may be inserted between the hero and the video.</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9.2 Mobile</w:t>
      </w:r>
    </w:p>
    <w:p>
      <w:pPr>
        <w:spacing w:after="120" w:line="276"/>
      </w:pPr>
      <w:r>
        <w:rPr>
          <w:rFonts w:ascii="Calibri" w:cs="Calibri" w:eastAsia="Calibri" w:hAnsi="Calibri"/>
          <w:sz w:val="21"/>
          <w:szCs w:val="21"/>
        </w:rPr>
        <w:t xml:space="preserve">Responsive behavior was not discussed in the session — the review was conducted on a desktop screen. It is specified here because it is unavoidable and because getting it wrong would undo the decision the client actually made.</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treat mobile as the primary experience. Residential home-improvement research is overwhelmingly done on phones. The desktop layout the client approved is, in practice, the secondary view.</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keep both hero CTAs above the fold on mobile. The headline may compress; the buttons may not drop below.</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collapse the Floors, Two Ways columns into stacked cards of equal weight, preserving the sense of a choice between two paths.</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reduce the gallery to a single column or a two-up grid rather than shrinking a multi-column grid until the images are unreadable.</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stack the contact block with the form above the business information panel — the form is the conversion target.</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add a persistent tap-to-call bar fixed to the bottom of the mobile viewport. This is a phone-driven business and on contractor sites this element routinely outperforms every other conversion mechanism on the page.</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9.3 Performance as a design constraint</w:t>
      </w:r>
    </w:p>
    <w:p>
      <w:pPr>
        <w:spacing w:after="120" w:line="276"/>
      </w:pPr>
      <w:r>
        <w:rPr>
          <w:rFonts w:ascii="Calibri" w:cs="Calibri" w:eastAsia="Calibri" w:hAnsi="Calibri"/>
          <w:sz w:val="21"/>
          <w:szCs w:val="21"/>
        </w:rPr>
        <w:t xml:space="preserve">This site is image-heavy by nature — a project gallery, a video block, and eventually manufacturer color libraries running to hundreds of swatches. Performance is therefore a design problem, not only an engineering one.</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serve modern image formats with responsive sizing and lazy loading below the fold.</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reserve layout space for images and video so the page does not shift as assets load.</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keep the hero and video block light enough that the approved above-fold view renders fast on a mobile connection. The clean impression the client selected for is destroyed by a page that assembles itself slowly.</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10. Navigation and Template Inheritance for Interior Pages</w:t>
      </w:r>
    </w:p>
    <w:p>
      <w:pPr>
        <w:pStyle w:val="Heading2"/>
        <w:spacing w:after="120" w:before="300"/>
      </w:pPr>
      <w:r>
        <w:rPr>
          <w:rFonts w:ascii="Calibri" w:cs="Calibri" w:eastAsia="Calibri" w:hAnsi="Calibri"/>
          <w:b/>
          <w:bCs/>
          <w:color w:val="10365C"/>
          <w:sz w:val="25"/>
          <w:szCs w:val="25"/>
        </w:rPr>
        <w:t xml:space="preserve">10.1 The mockup navigation is not production navigation</w:t>
      </w:r>
    </w:p>
    <w:p>
      <w:pPr>
        <w:spacing w:after="120" w:line="276"/>
      </w:pPr>
      <w:r>
        <w:rPr>
          <w:rFonts w:ascii="Calibri" w:cs="Calibri" w:eastAsia="Calibri" w:hAnsi="Calibri"/>
          <w:sz w:val="21"/>
          <w:szCs w:val="21"/>
        </w:rPr>
        <w:t xml:space="preserve">The client clicked the top navigation during the walkthrough and asked where each item would take him. The answer given was that because only the homepage was built for the concept round, these items currently scroll to sections of that single page. He accepted this, but it is worth showing him again when the real build appears so he does not evaluate the mockup navigation as broken.</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convert navigation items from homepage anchors to real page links once interior pages exist.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keep the booking or consultation CTA persistently visible in the navigation across all pages.</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10.2 Interior pages inherit Concept A</w:t>
      </w:r>
    </w:p>
    <w:p>
      <w:pPr>
        <w:spacing w:after="120" w:line="276"/>
      </w:pPr>
      <w:r>
        <w:rPr>
          <w:rFonts w:ascii="Calibri" w:cs="Calibri" w:eastAsia="Calibri" w:hAnsi="Calibri"/>
          <w:sz w:val="21"/>
          <w:szCs w:val="21"/>
        </w:rPr>
        <w:t xml:space="preserve">The method stated in the session was explicit: once Concept A is picked, the additional pages get built out and it is the same style applied to those pages, with the client dictating what changes. Page count and structure were deferred until content exists.</w:t>
      </w:r>
    </w:p>
    <w:p>
      <w:pPr>
        <w:pStyle w:val="ListParagraph"/>
        <w:numPr>
          <w:ilvl w:val="0"/>
          <w:numId w:val="2"/>
        </w:numPr>
        <w:spacing w:after="70" w:line="276"/>
      </w:pPr>
      <w:r>
        <w:rPr>
          <w:rFonts w:ascii="Calibri" w:cs="Calibri" w:eastAsia="Calibri" w:hAnsi="Calibri"/>
          <w:b/>
          <w:bCs/>
          <w:sz w:val="21"/>
          <w:szCs w:val="21"/>
        </w:rPr>
        <w:t xml:space="preserve">MUST </w:t>
      </w:r>
      <w:r>
        <w:rPr>
          <w:rFonts w:ascii="Calibri" w:cs="Calibri" w:eastAsia="Calibri" w:hAnsi="Calibri"/>
          <w:sz w:val="21"/>
          <w:szCs w:val="21"/>
        </w:rPr>
        <w:t xml:space="preserve">style every interior page from the same design-token layer as the homepage. No page gets its own visual treatment.</w:t>
      </w:r>
    </w:p>
    <w:p>
      <w:pPr>
        <w:pStyle w:val="ListParagraph"/>
        <w:numPr>
          <w:ilvl w:val="0"/>
          <w:numId w:val="2"/>
        </w:numPr>
        <w:spacing w:after="70" w:line="276"/>
      </w:pPr>
      <w:r>
        <w:rPr>
          <w:rFonts w:ascii="Calibri" w:cs="Calibri" w:eastAsia="Calibri" w:hAnsi="Calibri"/>
          <w:b/>
          <w:bCs/>
          <w:sz w:val="21"/>
          <w:szCs w:val="21"/>
        </w:rPr>
        <w:t xml:space="preserve">SHOULD </w:t>
      </w:r>
      <w:r>
        <w:rPr>
          <w:rFonts w:ascii="Calibri" w:cs="Calibri" w:eastAsia="Calibri" w:hAnsi="Calibri"/>
          <w:sz w:val="21"/>
          <w:szCs w:val="21"/>
        </w:rPr>
        <w:t xml:space="preserve">reuse homepage components rather than building page-specific variants. The gallery grid, review card, brand grid, and contact block should all appear on interior pages as the same components.</w:t>
      </w:r>
    </w:p>
    <w:p>
      <w:pPr>
        <w:pStyle w:val="ListParagraph"/>
        <w:numPr>
          <w:ilvl w:val="0"/>
          <w:numId w:val="2"/>
        </w:numPr>
        <w:spacing w:after="7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end every interior page with the same conversion block — book a consultation or request samples. No page should dead-end.</w:t>
      </w:r>
    </w:p>
    <w:p>
      <w:pPr>
        <w:spacing w:after="8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10.3 Provisional page structure</w:t>
      </w:r>
    </w:p>
    <w:p>
      <w:pPr>
        <w:spacing w:after="120" w:line="276"/>
      </w:pPr>
      <w:r>
        <w:rPr>
          <w:rFonts w:ascii="Calibri" w:cs="Calibri" w:eastAsia="Calibri" w:hAnsi="Calibri"/>
          <w:sz w:val="21"/>
          <w:szCs w:val="21"/>
        </w:rPr>
        <w:t xml:space="preserve">Offered as the starting point for that conversation, not as a decision already made. Page count remains open — see C6.</w:t>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2400"/>
        <w:gridCol w:w="3400"/>
        <w:gridCol w:w="3560"/>
      </w:tblGrid>
      <w:tr>
        <w:trPr>
          <w:tblHeader/>
        </w:trPr>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Page</w:t>
            </w:r>
          </w:p>
        </w:tc>
        <w:tc>
          <w:tcPr>
            <w:tcW w:type="dxa" w:w="3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Purpose</w:t>
            </w:r>
          </w:p>
        </w:tc>
        <w:tc>
          <w:tcPr>
            <w:tcW w:type="dxa" w:w="356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Origin</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Home</w:t>
            </w:r>
          </w:p>
        </w:tc>
        <w:tc>
          <w:tcPr>
            <w:tcW w:type="dxa" w:w="3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As specified in Section 7</w:t>
            </w:r>
          </w:p>
        </w:tc>
        <w:tc>
          <w:tcPr>
            <w:tcW w:type="dxa" w:w="35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Confirmed in the session</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My Story / About</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Owner background, experience, the video</w:t>
            </w:r>
          </w:p>
        </w:tc>
        <w:tc>
          <w:tcPr>
            <w:tcW w:type="dxa" w:w="35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The hero secondary CTA points here</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Services</w:t>
            </w:r>
          </w:p>
        </w:tc>
        <w:tc>
          <w:tcPr>
            <w:tcW w:type="dxa" w:w="3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Product only vs. product plus installation</w:t>
            </w:r>
          </w:p>
        </w:tc>
        <w:tc>
          <w:tcPr>
            <w:tcW w:type="dxa" w:w="35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Expanded from the Floors, Two Ways block</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Brands &amp; Products</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On-site brand and color browsing</w:t>
            </w:r>
          </w:p>
        </w:tc>
        <w:tc>
          <w:tcPr>
            <w:tcW w:type="dxa" w:w="35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Required by the no-outbound-link rule</w:t>
            </w:r>
          </w:p>
        </w:tc>
      </w:tr>
      <w:tr>
        <w:tc>
          <w:tcPr>
            <w:tcW w:type="dxa" w:w="2400"/>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Gallery / Our Work</w:t>
            </w:r>
          </w:p>
        </w:tc>
        <w:tc>
          <w:tcPr>
            <w:tcW w:type="dxa" w:w="340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Full photo and video portfolio</w:t>
            </w:r>
          </w:p>
        </w:tc>
        <w:tc>
          <w:tcPr>
            <w:tcW w:type="dxa" w:w="3560"/>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Expanded from the homepage gallery</w:t>
            </w:r>
          </w:p>
        </w:tc>
      </w:tr>
      <w:tr>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b/>
                <w:bCs/>
                <w:sz w:val="19"/>
                <w:szCs w:val="19"/>
              </w:rPr>
              <w:t xml:space="preserve">Contact / Book</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Form, booking, consultation options, no address</w:t>
            </w:r>
          </w:p>
        </w:tc>
        <w:tc>
          <w:tcPr>
            <w:tcW w:type="dxa" w:w="3560"/>
            <w:shd w:fill="EDF2F7" w:val="clear"/>
            <w:tcMar>
              <w:top w:type="dxa" w:w="80"/>
              <w:left w:type="dxa" w:w="110"/>
              <w:bottom w:type="dxa" w:w="80"/>
              <w:right w:type="dxa" w:w="110"/>
            </w:tcMar>
            <w:vAlign w:val="top"/>
          </w:tcPr>
          <w:p>
            <w:pPr>
              <w:spacing w:after="40" w:line="264"/>
            </w:pPr>
            <w:r>
              <w:rPr>
                <w:rFonts w:ascii="Calibri" w:cs="Calibri" w:eastAsia="Calibri" w:hAnsi="Calibri"/>
                <w:b w:val="false"/>
                <w:bCs w:val="false"/>
                <w:sz w:val="19"/>
                <w:szCs w:val="19"/>
              </w:rPr>
              <w:t xml:space="preserve">Confirmed in the session</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11. Component Inventory — What Must Be Built as Reusable Parts</w:t>
      </w:r>
    </w:p>
    <w:p>
      <w:pPr>
        <w:spacing w:after="120" w:line="276"/>
      </w:pPr>
      <w:r>
        <w:rPr>
          <w:rFonts w:ascii="Calibri" w:cs="Calibri" w:eastAsia="Calibri" w:hAnsi="Calibri"/>
          <w:sz w:val="21"/>
          <w:szCs w:val="21"/>
        </w:rPr>
        <w:t xml:space="preserve">Derived from the section map and from the hybrid rule in Section 4. Building these as genuine components rather than as one-off page markup is what makes the client's future change requests cheap instead of expensive — and change requests are certain, because he has been given a standing invitation to make them.</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400"/>
        <w:gridCol w:w="3100"/>
        <w:gridCol w:w="31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Component</w:t>
            </w:r>
          </w:p>
        </w:tc>
        <w:tc>
          <w:tcPr>
            <w:tcW w:type="dxa" w:w="3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Used in</w:t>
            </w:r>
          </w:p>
        </w:tc>
        <w:tc>
          <w:tcPr>
            <w:tcW w:type="dxa" w:w="31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Notes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block</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variant on interior pages</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Headline, optional subhead, dual CTA slot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Dual CTA pair</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section footers</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Primary orange fill, secondary blue outline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K3</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block</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About page</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Poster facade, click-to-load player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K4</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Two-path cards</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Floors Two Ways, Services page</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Equal weight, own CTA per path</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K5</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Mixed-media gallery grid</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Gallery page</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 video, and paired items in one grid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K6</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Before/after comparison</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Inside the gallery grid</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Slider recommended; must degrade to a single image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K7</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Feature block</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 and reuse</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Single message, full visual weight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K8</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logo grid</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Brands page</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reflow at any brand count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K9</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 / color swatch grid</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and product pages</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Scalable to hundreds of swatches, filterable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K10</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Portrait and bio block</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About page</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Fixed image ratio, replaceable asset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K11</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 card</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Reviews section</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Repeatable, platform attribution, no auto-rotation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K12</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panel</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Contact page</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info, no address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K13</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form</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Homepage, Contact page, interior CTAs</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Four required fields, extensible without relayout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K14</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Social icon row</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area, footer</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Facebook, Yelp, Apple</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K15</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Booking entry point</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contact, navigation</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render correctly on mobile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K16</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Consultation options block</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page</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Samples at home, or meet by appointment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K17</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Navigation bar</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Global</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Anchors now, real links later; persistent CTA</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K18</w:t>
            </w:r>
          </w:p>
        </w:tc>
        <w:tc>
          <w:tcPr>
            <w:tcW w:type="dxa" w:w="2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Footer</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Global</w:t>
            </w:r>
          </w:p>
        </w:tc>
        <w:tc>
          <w:tcPr>
            <w:tcW w:type="dxa" w:w="31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address. Social links, no outbound manufacturer links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K19</w:t>
            </w:r>
          </w:p>
        </w:tc>
        <w:tc>
          <w:tcPr>
            <w:tcW w:type="dxa" w:w="2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Sticky mobile call bar</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Global, mobile only</w:t>
            </w:r>
          </w:p>
        </w:tc>
        <w:tc>
          <w:tcPr>
            <w:tcW w:type="dxa" w:w="31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Recommended addition — see 9.2</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12. Style Items Requiring Confirmation Before Build</w:t>
      </w:r>
    </w:p>
    <w:p>
      <w:pPr>
        <w:spacing w:after="120" w:line="276"/>
      </w:pPr>
      <w:r>
        <w:rPr>
          <w:rFonts w:ascii="Calibri" w:cs="Calibri" w:eastAsia="Calibri" w:hAnsi="Calibri"/>
          <w:sz w:val="21"/>
          <w:szCs w:val="21"/>
        </w:rPr>
        <w:t xml:space="preserve">Style-level open questions only. Each should be closed in a single follow-up rather than assumed. None blocks the construction of the template shell except C1 and C2.</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2900"/>
        <w:gridCol w:w="3400"/>
        <w:gridCol w:w="23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29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Open item</w:t>
            </w:r>
          </w:p>
        </w:tc>
        <w:tc>
          <w:tcPr>
            <w:tcW w:type="dxa" w:w="3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What must be decided</w:t>
            </w:r>
          </w:p>
        </w:tc>
        <w:tc>
          <w:tcPr>
            <w:tcW w:type="dxa" w:w="23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Blocks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Business card blue</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Obtain the physical card or a high-resolution scan and extract the exact blue values. Do not eyeball from a photograph taken in room light.</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tokens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C2</w:t>
            </w:r>
          </w:p>
        </w:tc>
        <w:tc>
          <w:tcPr>
            <w:tcW w:type="dxa" w:w="2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Syracuse Orange value</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the exact orange. Syracuse University's published brand orange is Pantone 165 C, hex #F76900. The client was specific that it must be the real one.</w:t>
            </w:r>
          </w:p>
        </w:tc>
        <w:tc>
          <w:tcPr>
            <w:tcW w:type="dxa" w:w="23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tokens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C3</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removed block</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blocks were removed beside the showroom content. The second was indistinct on the recording; business hours is the most probable reading. Identify it on screen before removing.</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section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C4</w:t>
            </w:r>
          </w:p>
        </w:tc>
        <w:tc>
          <w:tcPr>
            <w:tcW w:type="dxa" w:w="2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B features</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Ask the client directly whether any specific Concept B element should be grafted onto Concept A now. He was given the option and has not used it. The video-forward opening is the likely candidate.</w:t>
            </w:r>
          </w:p>
        </w:tc>
        <w:tc>
          <w:tcPr>
            <w:tcW w:type="dxa" w:w="23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Component planning</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C5</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Headline direction</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Experience-led headline, or the service tagline floated in the session. Or both, in different positions.</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build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C6</w:t>
            </w:r>
          </w:p>
        </w:tc>
        <w:tc>
          <w:tcPr>
            <w:tcW w:type="dxa" w:w="2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Page count and structure</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Explicitly deferred until content exists. Section 10.3 is a proposal, not a decision.</w:t>
            </w:r>
          </w:p>
        </w:tc>
        <w:tc>
          <w:tcPr>
            <w:tcW w:type="dxa" w:w="23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Interior pages</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C7</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Logo asset</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a logo exists, in what formats, and whether the site brands as the company name or as David A. Gwilt personally.</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Navigation, footer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C8</w:t>
            </w:r>
          </w:p>
        </w:tc>
        <w:tc>
          <w:tcPr>
            <w:tcW w:type="dxa" w:w="2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Card typeface</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Check whether the business card carries a distinctive typeface worth echoing in the logo or headings.</w:t>
            </w:r>
          </w:p>
        </w:tc>
        <w:tc>
          <w:tcPr>
            <w:tcW w:type="dxa" w:w="23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Typography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C9</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Image ratios</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Set and publish target aspect ratios and minimum resolutions for the portrait, the gallery, and the video poster, so the client knows exactly what to supply.</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Asset collection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C10</w:t>
            </w:r>
          </w:p>
        </w:tc>
        <w:tc>
          <w:tcPr>
            <w:tcW w:type="dxa" w:w="29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display format</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brands appear as manufacturer logos or as styled text. Logos require permission; text does not.</w:t>
            </w:r>
          </w:p>
        </w:tc>
        <w:tc>
          <w:tcPr>
            <w:tcW w:type="dxa" w:w="23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section</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C11</w:t>
            </w:r>
          </w:p>
        </w:tc>
        <w:tc>
          <w:tcPr>
            <w:tcW w:type="dxa" w:w="29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existence</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 whether the introduction video will be recorded. The client indicated he might want to, not that he would.</w:t>
            </w:r>
          </w:p>
        </w:tc>
        <w:tc>
          <w:tcPr>
            <w:tcW w:type="dxa" w:w="23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block fallback</w:t>
            </w:r>
          </w:p>
        </w:tc>
      </w:tr>
    </w:tbl>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Appendix A — Style and Template Note Index</w:t>
      </w:r>
    </w:p>
    <w:p>
      <w:pPr>
        <w:spacing w:after="120" w:line="276"/>
      </w:pPr>
      <w:r>
        <w:rPr>
          <w:rFonts w:ascii="Calibri" w:cs="Calibri" w:eastAsia="Calibri" w:hAnsi="Calibri"/>
          <w:sz w:val="21"/>
          <w:szCs w:val="21"/>
        </w:rPr>
        <w:t xml:space="preserve">Every design-relevant point raised during the concept-review session, in the order it occurred, mapped to a build consequence. This is the completeness check for this document: if it concerned style, layout, template, or structure and it was said in the session, it is in this table. Commercial and operational points from the same session are excluded by scope and are listed in Appendix B.</w:t>
      </w:r>
    </w:p>
    <w:p>
      <w:pPr>
        <w:spacing w:after="60"/>
      </w:pPr>
      <w:r>
        <w:rPr>
          <w:rFonts w:ascii="Calibri" w:cs="Calibri" w:eastAsia="Calibri" w:hAnsi="Calibri"/>
          <w:sz w:val="21"/>
          <w:szCs w:val="21"/>
        </w:rPr>
        <w:t xml:space="preserve"/>
      </w:r>
    </w:p>
    <w:tbl>
      <w:tblPr>
        <w:tblW w:type="dxa" w:w="86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400"/>
        <w:gridCol w:w="3440"/>
        <w:gridCol w:w="110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4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What was said or observed</w:t>
            </w:r>
          </w:p>
        </w:tc>
        <w:tc>
          <w:tcPr>
            <w:tcW w:type="dxa" w:w="34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Build consequence</w:t>
            </w:r>
          </w:p>
        </w:tc>
        <w:tc>
          <w:tcPr>
            <w:tcW w:type="dxa" w:w="1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Owner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Four concepts were built to a temporary demonstration site and reviewed live with the client.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Four live mockup URLs exist. Preserve all four for reference.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Context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Each concept was opened into its own browser tab so all four could be compared side by side.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comparison was direct, not sequential. The selection is a considered one.</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Context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had not previously known links could be opened in new tabs and remarked on it.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is non-technical. Present future iterations visually and in person where possible.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Process</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repeatedly: the four concepts differ in style only.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Layout and structure are the only variable. Nothing else about the mockups is meaningful.</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repeatedly: any concept can be rendered in any color, so color must be ignored in the evaluation.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Color is fully decoupled from template selection. Section 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repeatedly: every word on the mockups is placeholder and has no meaning.</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mockup copy carries into production under any circumstances.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instructed to decide only which one he wanted his website to be, taking nothing it says as meaningful.</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Frames the whole decision. He selected a container, not a finished page.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3 rejected — the client disliked the wording and was unsure about it generally.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Eliminated. Do not revisit.</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4 rejected immediately and more firmly.</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Eliminated. Do not revisit.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volunteered that he preferred the first two; the bottom two tabs were closed during the session.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Shortlist was A and B.</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selected, since confirmed directly with the client.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IS THE TEMPLATE. Section 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told that if he likes one style but wants a feature from another, the two can be combined.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hybrid rule. Drives modular architecture. Section 4.</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Method put to him and accepted: pick A or B as the base, then name elements from the other to integrate.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 standing right the client has not yet used. Expect requests. Section 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was told the color scheme can be changed to whatever he wants afterward.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Palette is not coupled to the template. Section 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was told page count and content all come later; the concept round is about how content gets displayed.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Sequencing. Template first. Section 10.</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assessed in the session as clean, nice looking, and a good homepage for someone landing on it.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only adjective given as a brief. Section 6 converts it into decisions.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"See It Before You Buy It" singled out as a reason a cold visitor stays on the page.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at full weight. Prime real estate, not filler. Section 7.6.</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opens with an experience-led headline; the placeholder read approximately "17 years."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Hero headline is a text element, client-supplied. Section 7.2.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N19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A hero carries two calls to action: book a consultation, and view the client's story.</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build both, together, above the fold. Section 7.2.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video sits directly below the hero — described as what the client wanted. Confirmed twice.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Nothing may be inserted between hero and video. Section 7.3.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Concept B was noted as opening with a personal, video-forward treatment along the lines of "you'll be dealing with David."</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likely hybrid-rule candidate. Ask the client directly. C4.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exact fold was demonstrated and the client was asked what a visitor sees first.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fold is an approved specification, not an accident. Section 9.1.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confirmed the above-fold content.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Approved. Preserve on desktop.</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Top navigation in the mockup scrolls to sections of the single homepage, because only the homepage was built.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Convert to real page links in production. Explain to the client. Section 10.1.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Stated method: once Concept A is picked, interior pages are built out in the same style, with the client dictating changes.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Interior pages inherit the Concept A token layer. Section 10.2.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asked what would be on the homepage and was walked through it from the top.</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section map in Section 7 is that walkthrough.</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Context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"Floors, Two Ways" heading was unclear to the client — he stated he did not know what it meant.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failure in the mockup. Rewrite required. Section 7.4.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Meaning clarified in the session: buy the product on its own, or have the client's technicians install it.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Two parallel service paths. Lay out as equal-weight columns or cards.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N29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stated he will rewrite that section himself.</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Copy is his. The layout slot is the developer's.</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Confirmed that everything in the mockup is changeable and was produced only as an example.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Reinforces N6.</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Photographs from past jobs go into the gallery.</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Section 7.5.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asked directly whether video could be included. Answer: yes.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Gallery is a mixed-media grid, not a photo grid. Section 7.5.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shoots footage of his crews installing.</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Video source confirmed for the gallery.</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Agreed that jobs should show beginning and after together to display the difference.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Before/after pair display required. Slider recommended. Section 7.5.</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does not have complete before/after sets for most past work.</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Grid must render a single image and a paired image equally cleanly.</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Position taken in the session: whatever imagery exists now is fine.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 not design a gallery that only works with complete pairs.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Existing imagery described as simple phone photography — carpet tear-outs, new installs.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Design must tolerate inconsistent, non-professional source images. Section 6.3.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asked to confirm whether the displayed brand list is current.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It is not. Section 7.7.</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N39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confirmed there are additional brands he carries that are not shown.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 grid must flex to a longer, changing list.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Brands he no longer carries can be removed from the list.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Bidirectional. The component must handle additions and removals.</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initially proposed linking out to manufacturer websites to show full product ranges.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PROPOSED AND REVERSED in the same exchange. See N42.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concluded that the product content needs to live on his own site instead.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HARD RULE: zero outbound manufacturer links. Inbound product pages required. Section 7.7.</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Product and color imagery is to be displayed on site — for example, every color of a given vinyl line.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Requires a scalable, filterable swatch grid component. K9.</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section carrying the client's photograph needs a new picture — raised by the client himself.</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Block stays, asset replaced. Define ratio and resolution. Section 7.8.</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Reviews section confirmed for retention.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Repeatable card component. Section 7.9.</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"flooring lives up to the highest standards" block removed entirely.</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Close the vertical spacing behind it. Section 7.10.</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"Start the Conversation" block holds full business information for visitors to reach the client.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KEEP, rebuilt. Business panel beside the form. Section 7.11.</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Facebook, Yelp, and Apple profile links to be added.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NET ADDITION. Icon row in the contact area. S13.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N49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block removed from the page.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DELETE. Section 7.12.</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Instruction to remove the showroom item and one adjacent item — both.</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Second element indistinct on the recording. Confirm before removing. C3.</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After the removals: keep reviews, add social media.</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Confirms the final composition of the contact area.</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site should tell visitors that samples can be brought to their home or that they can meet at a showroom.</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Replaces the removed showroom content. Layout slot required. Section 7.12.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Showroom visits happen by appointment, with the location determined by where the customer lives.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 address, map, or directions published anywhere on the site.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Contact form collects name, email, phone, and what the visitor wants.</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 all four fields. Section 7.11.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form emails the client all of the visitor's information so he can reach out.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Delivery requirement, reply-to set to the visitor.</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form is not currently set up but will be.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Build obligation — currently non-functional in the mockup.</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Additional fields can be added if the client wants to collect more.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Form must accept new fields without relayout.</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noted customers volunteer over-precise room measurements that are not useful at inquiry stage.</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Guiding placeholder copy on the free-text field. Section 7.11.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N59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Proposal accepted: a business calendar so visitors can self-book an appointment.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NET ADDITION. Booking entry points required. S14.</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Example given: a visitor picks a slot and books a thirty-minute consultation.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Thirty-minute slots. Must render correctly on mobile.</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mockup palette — white with brown — was rejected by the client.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Superseded. Section 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Asked what colors he likes, the client pointed to his own business card and instructed that the back be examined.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Exact color source. Obtain the physical card. C1.</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Matthew</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N63</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confirmed, twice, that he likes the blues on it.</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Base palette locked to white and blue.</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N64</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 added that he would really like orange because he is a Syracuse fan.</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Accent color origin.</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N65</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Resolution accepted: use both blue and orange rather than choosing between them.</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LOCKED. Section 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N66</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specified that Syracuse Orange is a particular orange, not any orange, and the exact value should be sourced.</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MUST use the genuine university orange. He will notice an approximation. C2.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N67</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Final formulation: white and blue with Syracuse Orange highlights, so an element is picked out in the orange.</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Orange is an accent, never a field. Section 5.3.</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N68</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tenure figure in the headline changes every year — raised by the client.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 not hard-code and do not bake into an image. Derive from 2007. Section 7.2.</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Developer</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N69</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An alternative service tagline was floated during the session.</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Headline direction remains open. C5.</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Client</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N70</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raised that his current company is six to seven years old while his flooring experience runs from 2007.</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Affects the headline value only — a content decision with no template impact.</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Content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N71</w:t>
            </w:r>
          </w:p>
        </w:tc>
        <w:tc>
          <w:tcPr>
            <w:tcW w:type="dxa" w:w="34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client was redirected away from copy and toward evaluating features.</w:t>
            </w:r>
          </w:p>
        </w:tc>
        <w:tc>
          <w:tcPr>
            <w:tcW w:type="dxa" w:w="34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Session scope control. The concept round was a layout decision.</w:t>
            </w:r>
          </w:p>
        </w:tc>
        <w:tc>
          <w:tcPr>
            <w:tcW w:type="dxa" w:w="1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Closed</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N72</w:t>
            </w:r>
          </w:p>
        </w:tc>
        <w:tc>
          <w:tcPr>
            <w:tcW w:type="dxa" w:w="34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session closed with the design decision made and the client tasked with content.</w:t>
            </w:r>
          </w:p>
        </w:tc>
        <w:tc>
          <w:tcPr>
            <w:tcW w:type="dxa" w:w="34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Template work can proceed in parallel with content production.</w:t>
            </w:r>
          </w:p>
        </w:tc>
        <w:tc>
          <w:tcPr>
            <w:tcW w:type="dxa" w:w="1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All</w:t>
            </w:r>
          </w:p>
        </w:tc>
      </w:tr>
    </w:tbl>
    <w:p>
      <w:pPr>
        <w:spacing w:after="8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Total design-relevant notes captured: </w:t>
      </w:r>
      <w:r>
        <w:rPr>
          <w:rFonts w:ascii="Calibri" w:cs="Calibri" w:eastAsia="Calibri" w:hAnsi="Calibri"/>
          <w:sz w:val="21"/>
          <w:szCs w:val="21"/>
        </w:rPr>
        <w:t xml:space="preserve">72.</w:t>
      </w:r>
    </w:p>
    <w:p>
      <w:r>
        <w:br w:type="page"/>
      </w:r>
    </w:p>
    <w:p>
      <w:pPr>
        <w:pStyle w:val="Heading1"/>
        <w:pBdr>
          <w:bottom w:val="single" w:color="F76900" w:sz="12" w:space="6"/>
        </w:pBdr>
        <w:spacing w:after="160" w:before="420"/>
      </w:pPr>
      <w:r>
        <w:rPr>
          <w:rFonts w:ascii="Calibri" w:cs="Calibri" w:eastAsia="Calibri" w:hAnsi="Calibri"/>
          <w:b/>
          <w:bCs/>
          <w:color w:val="10365C"/>
          <w:sz w:val="30"/>
          <w:szCs w:val="30"/>
        </w:rPr>
        <w:t xml:space="preserve">Appendix B — Items Parked Out of Scope</w:t>
      </w:r>
    </w:p>
    <w:p>
      <w:pPr>
        <w:spacing w:after="120" w:line="276"/>
      </w:pPr>
      <w:r>
        <w:rPr>
          <w:rFonts w:ascii="Calibri" w:cs="Calibri" w:eastAsia="Calibri" w:hAnsi="Calibri"/>
          <w:sz w:val="21"/>
          <w:szCs w:val="21"/>
        </w:rPr>
        <w:t xml:space="preserve">These were discussed in the same session but are commercial, operational, or content matters rather than design matters. They are listed here only so the developer knows nothing has been lost, and so that the design constraints they generate can be traced back to a source. They are documented in full separately.</w:t>
      </w:r>
    </w:p>
    <w:p>
      <w:pPr>
        <w:spacing w:after="60"/>
      </w:pPr>
      <w:r>
        <w:rPr>
          <w:rFonts w:ascii="Calibri" w:cs="Calibri" w:eastAsia="Calibri" w:hAnsi="Calibri"/>
          <w:sz w:val="21"/>
          <w:szCs w:val="21"/>
        </w:rPr>
        <w:t xml:space="preserve"/>
      </w:r>
    </w:p>
    <w:tbl>
      <w:tblPr>
        <w:tblW w:type="dxa" w:w="9360"/>
        <w:tblBorders>
          <w:top w:val="single" w:color="B8C4D0" w:sz="4"/>
          <w:left w:val="single" w:color="B8C4D0" w:sz="4"/>
          <w:bottom w:val="single" w:color="B8C4D0" w:sz="4"/>
          <w:right w:val="single" w:color="B8C4D0" w:sz="4"/>
          <w:insideH w:val="single" w:color="C8D2DC" w:sz="2"/>
          <w:insideV w:val="single" w:color="C8D2DC" w:sz="2"/>
        </w:tblBorders>
      </w:tblPr>
      <w:tblGrid>
        <w:gridCol w:w="720"/>
        <w:gridCol w:w="3100"/>
        <w:gridCol w:w="5540"/>
      </w:tblGrid>
      <w:tr>
        <w:trPr>
          <w:tblHeader/>
        </w:trPr>
        <w:tc>
          <w:tcPr>
            <w:tcW w:type="dxa" w:w="72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w:t>
            </w:r>
          </w:p>
        </w:tc>
        <w:tc>
          <w:tcPr>
            <w:tcW w:type="dxa" w:w="310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Parked item</w:t>
            </w:r>
          </w:p>
        </w:tc>
        <w:tc>
          <w:tcPr>
            <w:tcW w:type="dxa" w:w="5540"/>
            <w:shd w:fill="10365C"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Design constraint it generates, if any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Z1</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Approaching the manufacturer reps for co-op marketing funds toward the build</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None directly</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Z2</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Requesting product and color image libraries from the reps</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Generates the requirement for an on-site swatch and color grid component — K9</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Z3</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Permission to display manufacturer logos</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Determines whether the brand block shows logos or styled text — C10</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Z4</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Releasing the incumbent web provider and settling the outstanding invoice</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None directly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Z5</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Domain, DNS, and hosting handover for davidagwilt.com</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Affects launch sequencing only, not design</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Z6</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Who writes the site copy, and AI assistance with it</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None — but every block must be built to accept copy that does not exist yet</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Z7</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Collecting and organizing existing photographs and video</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Reinforces that the gallery must tolerate inconsistent, non-professional source imagery</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Z8</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standing protocol to photograph every future job at start and completion</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Justifies investing in a proper before/after comparison component — K6</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Z9</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positioning strategy around not owning a showroom</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Generates the instruction to publish no address, map, or directions, and to provide a consultation-options slot in its place</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Z10</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Google Business Profile account creation</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The booking UI must exist regardless of which account provides it — K15</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Z11</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Legal business name, service area, and listing details</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Required eventually for the footer, navigation branding, and logo treatment — C7</w:t>
            </w:r>
          </w:p>
        </w:tc>
      </w:tr>
      <w:tr>
        <w:tc>
          <w:tcPr>
            <w:tcW w:type="dxa" w:w="72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Z12</w:t>
            </w:r>
          </w:p>
        </w:tc>
        <w:tc>
          <w:tcPr>
            <w:tcW w:type="dxa" w:w="310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Lead follow-up process once a form submission arrives</w:t>
            </w:r>
          </w:p>
        </w:tc>
        <w:tc>
          <w:tcPr>
            <w:tcW w:type="dxa" w:w="5540"/>
            <w:shd w:fill="EDF2F7" w:val="clear"/>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None beyond the form emailing out correctly</w:t>
            </w:r>
          </w:p>
        </w:tc>
      </w:tr>
      <w:tr>
        <w:tc>
          <w:tcPr>
            <w:tcW w:type="dxa" w:w="72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Z13</w:t>
            </w:r>
          </w:p>
        </w:tc>
        <w:tc>
          <w:tcPr>
            <w:tcW w:type="dxa" w:w="310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Photo releases for jobs in identifiable private homes</w:t>
            </w:r>
          </w:p>
        </w:tc>
        <w:tc>
          <w:tcPr>
            <w:tcW w:type="dxa" w:w="5540"/>
            <w:tcMar>
              <w:top w:type="dxa" w:w="80"/>
              <w:left w:type="dxa" w:w="110"/>
              <w:bottom w:type="dxa" w:w="80"/>
              <w:right w:type="dxa" w:w="110"/>
            </w:tcMar>
            <w:vAlign w:val="top"/>
          </w:tcPr>
          <w:p>
            <w:pPr>
              <w:spacing w:after="40" w:line="264"/>
            </w:pPr>
            <w:r>
              <w:rPr>
                <w:rFonts w:ascii="Calibri" w:cs="Calibri" w:eastAsia="Calibri" w:hAnsi="Calibri"/>
                <w:sz w:val="19"/>
                <w:szCs w:val="19"/>
              </w:rPr>
              <w:t xml:space="preserve">None for the template; affects which gallery images may ship</w:t>
            </w:r>
          </w:p>
        </w:tc>
      </w:tr>
    </w:tbl>
    <w:p>
      <w:pPr>
        <w:spacing w:after="120"/>
      </w:pPr>
      <w:r>
        <w:rPr>
          <w:rFonts w:ascii="Calibri" w:cs="Calibri" w:eastAsia="Calibri" w:hAnsi="Calibri"/>
          <w:sz w:val="21"/>
          <w:szCs w:val="21"/>
        </w:rPr>
        <w:t xml:space="preserve"/>
      </w:r>
    </w:p>
    <w:p>
      <w:pPr>
        <w:pStyle w:val="Heading2"/>
        <w:spacing w:after="120" w:before="300"/>
      </w:pPr>
      <w:r>
        <w:rPr>
          <w:rFonts w:ascii="Calibri" w:cs="Calibri" w:eastAsia="Calibri" w:hAnsi="Calibri"/>
          <w:b/>
          <w:bCs/>
          <w:color w:val="10365C"/>
          <w:sz w:val="25"/>
          <w:szCs w:val="25"/>
        </w:rPr>
        <w:t xml:space="preserve">Document control</w:t>
      </w:r>
    </w:p>
    <w:p>
      <w:pPr>
        <w:spacing w:after="120" w:line="276"/>
      </w:pPr>
      <w:r>
        <w:rPr>
          <w:rFonts w:ascii="Calibri" w:cs="Calibri" w:eastAsia="Calibri" w:hAnsi="Calibri"/>
          <w:sz w:val="21"/>
          <w:szCs w:val="21"/>
        </w:rPr>
        <w:t xml:space="preserve">This specification was prepared from the complete transcript of the recorded concept-review session and is scoped to style, template, layout, color, and structural change. Where the session produced an explicit instruction, it is recorded as MUST. Where a decision was reached by agreement, it is recorded as SHOULD with the reasoning preserved. Where a design judgment has been added that the client has not seen, it is marked RECOMMENDED and can be declined without affecting anything else. Nothing in Sections 3 through 11 is invented.</w:t>
      </w:r>
    </w:p>
    <w:p>
      <w:pPr>
        <w:spacing w:after="60"/>
      </w:pPr>
      <w:r>
        <w:rPr>
          <w:rFonts w:ascii="Calibri" w:cs="Calibri" w:eastAsia="Calibri" w:hAnsi="Calibri"/>
          <w:sz w:val="21"/>
          <w:szCs w:val="21"/>
        </w:rPr>
        <w:t xml:space="preserve"/>
      </w:r>
    </w:p>
    <w:p>
      <w:pPr>
        <w:spacing w:after="120" w:line="276"/>
      </w:pPr>
      <w:r>
        <w:rPr>
          <w:rFonts w:ascii="Calibri" w:cs="Calibri" w:eastAsia="Calibri" w:hAnsi="Calibri"/>
          <w:b/>
          <w:bCs/>
          <w:sz w:val="21"/>
          <w:szCs w:val="21"/>
        </w:rPr>
        <w:t xml:space="preserve">Questions on this document: </w:t>
      </w:r>
      <w:r>
        <w:rPr>
          <w:rFonts w:ascii="Calibri" w:cs="Calibri" w:eastAsia="Calibri" w:hAnsi="Calibri"/>
          <w:sz w:val="21"/>
          <w:szCs w:val="21"/>
        </w:rPr>
        <w:t xml:space="preserve">Matthew R. Epstein  |  Matthew@mrecai.com  |  929-919-3574</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Prepared by Matthew R. Epstein  |  Matthew@mrecai.com  |  929-919-3574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spacing w:after="80"/>
      <w:jc w:val="right"/>
    </w:pPr>
    <w:r>
      <w:rPr>
        <w:rFonts w:ascii="Calibri" w:cs="Calibri" w:eastAsia="Calibri" w:hAnsi="Calibri"/>
        <w:color w:val="5A5A5A"/>
        <w:sz w:val="16"/>
        <w:szCs w:val="16"/>
      </w:rPr>
      <w:t xml:space="preserve">David A. Gwilt Flooring — Concept A Design &amp; Template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 Gwilt Flooring — Concept A Design &amp; Template Specification</dc:title>
  <dc:creator>Matthew R. Epstein</dc:creator>
  <dc:description>Style, template, layout and structural change specification from the recorded concept-review session.</dc:description>
  <cp:lastModifiedBy>Un-named</cp:lastModifiedBy>
  <cp:revision>1</cp:revision>
  <dcterms:created xsi:type="dcterms:W3CDTF">2026-09-19T15:44:31.374Z</dcterms:created>
  <dcterms:modified xsi:type="dcterms:W3CDTF">2026-09-19T15:44:31.384Z</dcterms:modified>
</cp:coreProperties>
</file>

<file path=docProps/custom.xml><?xml version="1.0" encoding="utf-8"?>
<Properties xmlns="http://schemas.openxmlformats.org/officeDocument/2006/custom-properties" xmlns:vt="http://schemas.openxmlformats.org/officeDocument/2006/docPropsVTypes"/>
</file>