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alibri" w:cs="Calibri" w:eastAsia="Calibri" w:hAnsi="Calibri"/>
          <w:sz w:val="21"/>
          <w:szCs w:val="21"/>
        </w:rPr>
        <w:t xml:space="preserve"/>
      </w:r>
    </w:p>
    <w:p>
      <w:pPr>
        <w:spacing w:after="60"/>
      </w:pPr>
      <w:r>
        <w:rPr>
          <w:rFonts w:ascii="Calibri" w:cs="Calibri" w:eastAsia="Calibri" w:hAnsi="Calibri"/>
          <w:b/>
          <w:bCs/>
          <w:color w:val="C74A00"/>
          <w:spacing w:val="60"/>
          <w:sz w:val="20"/>
          <w:szCs w:val="20"/>
        </w:rPr>
        <w:t xml:space="preserve">WEBSITE BUILD SPECIFICATION</w:t>
      </w:r>
    </w:p>
    <w:p>
      <w:pPr>
        <w:pBdr>
          <w:bottom w:val="single" w:color="F76900" w:sz="18" w:space="10"/>
        </w:pBdr>
        <w:spacing w:after="40"/>
      </w:pPr>
      <w:r>
        <w:rPr>
          <w:rFonts w:ascii="Calibri" w:cs="Calibri" w:eastAsia="Calibri" w:hAnsi="Calibri"/>
          <w:b/>
          <w:bCs/>
          <w:color w:val="10365C"/>
          <w:sz w:val="52"/>
          <w:szCs w:val="52"/>
        </w:rPr>
        <w:t xml:space="preserve">David A. Gwilt Flooring</w:t>
      </w:r>
    </w:p>
    <w:p>
      <w:pPr>
        <w:spacing w:after="60" w:before="220"/>
      </w:pPr>
      <w:r>
        <w:rPr>
          <w:rFonts w:ascii="Calibri" w:cs="Calibri" w:eastAsia="Calibri" w:hAnsi="Calibri"/>
          <w:color w:val="10365C"/>
          <w:sz w:val="30"/>
          <w:szCs w:val="30"/>
        </w:rPr>
        <w:t xml:space="preserve">Concept A — Selected Template</w:t>
      </w:r>
    </w:p>
    <w:p>
      <w:pPr>
        <w:spacing w:after="700"/>
      </w:pPr>
      <w:r>
        <w:rPr>
          <w:rFonts w:ascii="Calibri" w:cs="Calibri" w:eastAsia="Calibri" w:hAnsi="Calibri"/>
          <w:i/>
          <w:iCs/>
          <w:color w:val="5A5A5A"/>
          <w:sz w:val="22"/>
          <w:szCs w:val="22"/>
        </w:rPr>
        <w:t xml:space="preserve">Client Requirements, Feature Set, and Change Log from the Discovery Session</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2200"/>
        <w:gridCol w:w="7160"/>
      </w:tblGrid>
      <w:tr>
        <w:trPr>
          <w:tblHeader/>
        </w:trPr>
        <w:tc>
          <w:tcPr>
            <w:tcW w:type="dxa" w:w="22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Field</w:t>
            </w:r>
          </w:p>
        </w:tc>
        <w:tc>
          <w:tcPr>
            <w:tcW w:type="dxa" w:w="71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Detail</w:t>
            </w:r>
          </w:p>
        </w:tc>
      </w:tr>
      <w:tr>
        <w:tc>
          <w:tcPr>
            <w:tcW w:type="dxa" w:w="22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Prepared for</w:t>
            </w:r>
          </w:p>
        </w:tc>
        <w:tc>
          <w:tcPr>
            <w:tcW w:type="dxa" w:w="71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Development Partner — website build team</w:t>
            </w:r>
          </w:p>
        </w:tc>
      </w:tr>
      <w:tr>
        <w:tc>
          <w:tcPr>
            <w:tcW w:type="dxa" w:w="22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Prepared by</w:t>
            </w:r>
          </w:p>
        </w:tc>
        <w:tc>
          <w:tcPr>
            <w:tcW w:type="dxa" w:w="71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Matthew R. Epstein  |  Matthew@mrecai.com  |  929-919-3574</w:t>
            </w:r>
          </w:p>
        </w:tc>
      </w:tr>
      <w:tr>
        <w:tc>
          <w:tcPr>
            <w:tcW w:type="dxa" w:w="22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Client</w:t>
            </w:r>
          </w:p>
        </w:tc>
        <w:tc>
          <w:tcPr>
            <w:tcW w:type="dxa" w:w="71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David A. Gwilt — flooring sales and installation</w:t>
            </w:r>
          </w:p>
        </w:tc>
      </w:tr>
      <w:tr>
        <w:tc>
          <w:tcPr>
            <w:tcW w:type="dxa" w:w="22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Working domain</w:t>
            </w:r>
          </w:p>
        </w:tc>
        <w:tc>
          <w:tcPr>
            <w:tcW w:type="dxa" w:w="71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davidagwilt.com</w:t>
            </w:r>
          </w:p>
        </w:tc>
      </w:tr>
      <w:tr>
        <w:tc>
          <w:tcPr>
            <w:tcW w:type="dxa" w:w="22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Source</w:t>
            </w:r>
          </w:p>
        </w:tc>
        <w:tc>
          <w:tcPr>
            <w:tcW w:type="dxa" w:w="71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Recorded discovery / concept-review session held on site with the client (audio recording + full transcript on file)</w:t>
            </w:r>
          </w:p>
        </w:tc>
      </w:tr>
      <w:tr>
        <w:tc>
          <w:tcPr>
            <w:tcW w:type="dxa" w:w="22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Document date</w:t>
            </w:r>
          </w:p>
        </w:tc>
        <w:tc>
          <w:tcPr>
            <w:tcW w:type="dxa" w:w="71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September 19, 2026</w:t>
            </w:r>
          </w:p>
        </w:tc>
      </w:tr>
      <w:tr>
        <w:tc>
          <w:tcPr>
            <w:tcW w:type="dxa" w:w="22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Version</w:t>
            </w:r>
          </w:p>
        </w:tc>
        <w:tc>
          <w:tcPr>
            <w:tcW w:type="dxa" w:w="71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1.0 — Initial build specification</w:t>
            </w:r>
          </w:p>
        </w:tc>
      </w:tr>
      <w:tr>
        <w:tc>
          <w:tcPr>
            <w:tcW w:type="dxa" w:w="22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Status</w:t>
            </w:r>
          </w:p>
        </w:tc>
        <w:tc>
          <w:tcPr>
            <w:tcW w:type="dxa" w:w="71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Template decision LOCKED. Color direction LOCKED. Copy and media assets PENDING client delivery.</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Contents</w:t>
      </w:r>
    </w:p>
    <w:p>
      <w:pPr>
        <w:spacing w:after="60" w:line="276"/>
      </w:pPr>
      <w:r>
        <w:rPr>
          <w:rFonts w:ascii="Calibri" w:cs="Calibri" w:eastAsia="Calibri" w:hAnsi="Calibri"/>
          <w:sz w:val="21"/>
          <w:szCs w:val="21"/>
        </w:rPr>
        <w:t xml:space="preserve">1.  Executive Summary</w:t>
      </w:r>
    </w:p>
    <w:p>
      <w:pPr>
        <w:spacing w:after="60" w:line="276"/>
      </w:pPr>
      <w:r>
        <w:rPr>
          <w:rFonts w:ascii="Calibri" w:cs="Calibri" w:eastAsia="Calibri" w:hAnsi="Calibri"/>
          <w:sz w:val="21"/>
          <w:szCs w:val="21"/>
        </w:rPr>
        <w:t xml:space="preserve">2.  How to Use This Document</w:t>
      </w:r>
    </w:p>
    <w:p>
      <w:pPr>
        <w:spacing w:after="60" w:line="276"/>
      </w:pPr>
      <w:r>
        <w:rPr>
          <w:rFonts w:ascii="Calibri" w:cs="Calibri" w:eastAsia="Calibri" w:hAnsi="Calibri"/>
          <w:sz w:val="21"/>
          <w:szCs w:val="21"/>
        </w:rPr>
        <w:t xml:space="preserve">3.  Decision Log — What Is Locked</w:t>
      </w:r>
    </w:p>
    <w:p>
      <w:pPr>
        <w:spacing w:after="60" w:line="276"/>
      </w:pPr>
      <w:r>
        <w:rPr>
          <w:rFonts w:ascii="Calibri" w:cs="Calibri" w:eastAsia="Calibri" w:hAnsi="Calibri"/>
          <w:sz w:val="21"/>
          <w:szCs w:val="21"/>
        </w:rPr>
        <w:t xml:space="preserve">4.  Open Items Requiring Client Confirmation Before Build</w:t>
      </w:r>
    </w:p>
    <w:p>
      <w:pPr>
        <w:spacing w:after="60" w:line="276"/>
      </w:pPr>
      <w:r>
        <w:rPr>
          <w:rFonts w:ascii="Calibri" w:cs="Calibri" w:eastAsia="Calibri" w:hAnsi="Calibri"/>
          <w:sz w:val="21"/>
          <w:szCs w:val="21"/>
        </w:rPr>
        <w:t xml:space="preserve">5.  Template Selection and the Hybrid Rule</w:t>
      </w:r>
    </w:p>
    <w:p>
      <w:pPr>
        <w:spacing w:after="60" w:line="276"/>
      </w:pPr>
      <w:r>
        <w:rPr>
          <w:rFonts w:ascii="Calibri" w:cs="Calibri" w:eastAsia="Calibri" w:hAnsi="Calibri"/>
          <w:sz w:val="21"/>
          <w:szCs w:val="21"/>
        </w:rPr>
        <w:t xml:space="preserve">6.  Visual Identity — Color System and Typography</w:t>
      </w:r>
    </w:p>
    <w:p>
      <w:pPr>
        <w:spacing w:after="60" w:line="276"/>
      </w:pPr>
      <w:r>
        <w:rPr>
          <w:rFonts w:ascii="Calibri" w:cs="Calibri" w:eastAsia="Calibri" w:hAnsi="Calibri"/>
          <w:sz w:val="21"/>
          <w:szCs w:val="21"/>
        </w:rPr>
        <w:t xml:space="preserve">7.  Homepage Specification — Section by Section</w:t>
      </w:r>
    </w:p>
    <w:p>
      <w:pPr>
        <w:spacing w:after="60" w:line="276"/>
      </w:pPr>
      <w:r>
        <w:rPr>
          <w:rFonts w:ascii="Calibri" w:cs="Calibri" w:eastAsia="Calibri" w:hAnsi="Calibri"/>
          <w:sz w:val="21"/>
          <w:szCs w:val="21"/>
        </w:rPr>
        <w:t xml:space="preserve">8.  Positioning Strategy — The Showroom Question</w:t>
      </w:r>
    </w:p>
    <w:p>
      <w:pPr>
        <w:spacing w:after="60" w:line="276"/>
      </w:pPr>
      <w:r>
        <w:rPr>
          <w:rFonts w:ascii="Calibri" w:cs="Calibri" w:eastAsia="Calibri" w:hAnsi="Calibri"/>
          <w:sz w:val="21"/>
          <w:szCs w:val="21"/>
        </w:rPr>
        <w:t xml:space="preserve">9.  Brand Partners, Product Imagery, and the No-Outbound-Link Rule</w:t>
      </w:r>
    </w:p>
    <w:p>
      <w:pPr>
        <w:spacing w:after="60" w:line="276"/>
      </w:pPr>
      <w:r>
        <w:rPr>
          <w:rFonts w:ascii="Calibri" w:cs="Calibri" w:eastAsia="Calibri" w:hAnsi="Calibri"/>
          <w:sz w:val="21"/>
          <w:szCs w:val="21"/>
        </w:rPr>
        <w:t xml:space="preserve">10. Media and Content Pipeline</w:t>
      </w:r>
    </w:p>
    <w:p>
      <w:pPr>
        <w:spacing w:after="60" w:line="276"/>
      </w:pPr>
      <w:r>
        <w:rPr>
          <w:rFonts w:ascii="Calibri" w:cs="Calibri" w:eastAsia="Calibri" w:hAnsi="Calibri"/>
          <w:sz w:val="21"/>
          <w:szCs w:val="21"/>
        </w:rPr>
        <w:t xml:space="preserve">11. Lead Capture, Scheduling, and Integrations</w:t>
      </w:r>
    </w:p>
    <w:p>
      <w:pPr>
        <w:spacing w:after="60" w:line="276"/>
      </w:pPr>
      <w:r>
        <w:rPr>
          <w:rFonts w:ascii="Calibri" w:cs="Calibri" w:eastAsia="Calibri" w:hAnsi="Calibri"/>
          <w:sz w:val="21"/>
          <w:szCs w:val="21"/>
        </w:rPr>
        <w:t xml:space="preserve">12. Site Architecture Beyond the Homepage</w:t>
      </w:r>
    </w:p>
    <w:p>
      <w:pPr>
        <w:spacing w:after="60" w:line="276"/>
      </w:pPr>
      <w:r>
        <w:rPr>
          <w:rFonts w:ascii="Calibri" w:cs="Calibri" w:eastAsia="Calibri" w:hAnsi="Calibri"/>
          <w:sz w:val="21"/>
          <w:szCs w:val="21"/>
        </w:rPr>
        <w:t xml:space="preserve">13. Vendor Transition and Domain Handover</w:t>
      </w:r>
    </w:p>
    <w:p>
      <w:pPr>
        <w:spacing w:after="60" w:line="276"/>
      </w:pPr>
      <w:r>
        <w:rPr>
          <w:rFonts w:ascii="Calibri" w:cs="Calibri" w:eastAsia="Calibri" w:hAnsi="Calibri"/>
          <w:sz w:val="21"/>
          <w:szCs w:val="21"/>
        </w:rPr>
        <w:t xml:space="preserve">14. Recommended Additions — Not Discussed on the Call</w:t>
      </w:r>
    </w:p>
    <w:p>
      <w:pPr>
        <w:spacing w:after="60" w:line="276"/>
      </w:pPr>
      <w:r>
        <w:rPr>
          <w:rFonts w:ascii="Calibri" w:cs="Calibri" w:eastAsia="Calibri" w:hAnsi="Calibri"/>
          <w:sz w:val="21"/>
          <w:szCs w:val="21"/>
        </w:rPr>
        <w:t xml:space="preserve">15. Action Items by Owner</w:t>
      </w:r>
    </w:p>
    <w:p>
      <w:pPr>
        <w:spacing w:after="60" w:line="276"/>
      </w:pPr>
      <w:r>
        <w:rPr>
          <w:rFonts w:ascii="Calibri" w:cs="Calibri" w:eastAsia="Calibri" w:hAnsi="Calibri"/>
          <w:sz w:val="21"/>
          <w:szCs w:val="21"/>
        </w:rPr>
        <w:t xml:space="preserve">16. Suggested Build Phasing</w:t>
      </w:r>
    </w:p>
    <w:p>
      <w:pPr>
        <w:spacing w:after="60" w:line="276"/>
      </w:pPr>
      <w:r>
        <w:rPr>
          <w:rFonts w:ascii="Calibri" w:cs="Calibri" w:eastAsia="Calibri" w:hAnsi="Calibri"/>
          <w:sz w:val="21"/>
          <w:szCs w:val="21"/>
        </w:rPr>
        <w:t xml:space="preserve">Appendix A — Exhaustive Note Index (Every Item Discussed on the Recording)</w:t>
      </w:r>
    </w:p>
    <w:p>
      <w:pPr>
        <w:spacing w:after="60" w:line="276"/>
      </w:pPr>
      <w:r>
        <w:rPr>
          <w:rFonts w:ascii="Calibri" w:cs="Calibri" w:eastAsia="Calibri" w:hAnsi="Calibri"/>
          <w:sz w:val="21"/>
          <w:szCs w:val="21"/>
        </w:rPr>
        <w:t xml:space="preserve">Appendix B — Transcript Ambiguities and Items Needing Verification</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1. Executive Summary</w:t>
      </w:r>
    </w:p>
    <w:p>
      <w:pPr>
        <w:spacing w:after="120" w:line="276"/>
      </w:pPr>
      <w:r>
        <w:rPr>
          <w:rFonts w:ascii="Calibri" w:cs="Calibri" w:eastAsia="Calibri" w:hAnsi="Calibri"/>
          <w:sz w:val="21"/>
          <w:szCs w:val="21"/>
        </w:rPr>
        <w:t xml:space="preserve">This document converts a recorded, roughly fifteen-minute working session with David A. Gwilt into a complete, buildable specification. The session was a live concept review: four homepage design concepts were presented, evaluated side by side in the browser, narrowed to a shortlist, and one was selected. From there the conversation moved into a section-by-section walkthrough of the selected homepage, capturing every element the client wants kept, rewritten, added, or deleted — plus the positioning, color, and operational decisions that surround the build.</w:t>
      </w:r>
    </w:p>
    <w:p>
      <w:pPr>
        <w:pStyle w:val="Heading3"/>
        <w:spacing w:after="90" w:before="220"/>
      </w:pPr>
      <w:r>
        <w:rPr>
          <w:rFonts w:ascii="Calibri" w:cs="Calibri" w:eastAsia="Calibri" w:hAnsi="Calibri"/>
          <w:b/>
          <w:bCs/>
          <w:color w:val="C74A00"/>
          <w:sz w:val="22"/>
          <w:szCs w:val="22"/>
        </w:rPr>
        <w:t xml:space="preserve">The headline outcome</w:t>
      </w:r>
    </w:p>
    <w:p>
      <w:pPr>
        <w:spacing w:after="120" w:line="276"/>
      </w:pPr>
      <w:r>
        <w:rPr>
          <w:rFonts w:ascii="Calibri" w:cs="Calibri" w:eastAsia="Calibri" w:hAnsi="Calibri"/>
          <w:sz w:val="21"/>
          <w:szCs w:val="21"/>
        </w:rPr>
        <w:t xml:space="preserve">Four concepts were shown. Concepts 3 and 4 were rejected outright on the client's first pass — he disliked the wording and the overall feel of both. Concepts 1 and 2 (A and B) survived to the shortlist, and </w:t>
      </w:r>
      <w:r>
        <w:rPr>
          <w:rFonts w:ascii="Calibri" w:cs="Calibri" w:eastAsia="Calibri" w:hAnsi="Calibri"/>
          <w:b/>
          <w:bCs/>
          <w:sz w:val="21"/>
          <w:szCs w:val="21"/>
        </w:rPr>
        <w:t xml:space="preserve">Concept A was selected as the base template</w:t>
      </w:r>
      <w:r>
        <w:rPr>
          <w:rFonts w:ascii="Calibri" w:cs="Calibri" w:eastAsia="Calibri" w:hAnsi="Calibri"/>
          <w:sz w:val="21"/>
          <w:szCs w:val="21"/>
        </w:rPr>
        <w:t xml:space="preserve">. The client explicitly approved its layout logic: a strong headline stating years of experience, two immediate calls to action — book a consultation and view his story — and his personal video placed directly below the fold. The reviewer's own assessment, which the client agreed with, was that Concept A reads as "clean" and functions as a strong landing experience for a cold visitor.</w:t>
      </w:r>
    </w:p>
    <w:p>
      <w:pPr>
        <w:pStyle w:val="Heading3"/>
        <w:spacing w:after="90" w:before="220"/>
      </w:pPr>
      <w:r>
        <w:rPr>
          <w:rFonts w:ascii="Calibri" w:cs="Calibri" w:eastAsia="Calibri" w:hAnsi="Calibri"/>
          <w:b/>
          <w:bCs/>
          <w:color w:val="C74A00"/>
          <w:sz w:val="22"/>
          <w:szCs w:val="22"/>
        </w:rPr>
        <w:t xml:space="preserve">The hybrid rule</w:t>
      </w:r>
    </w:p>
    <w:p>
      <w:pPr>
        <w:spacing w:after="120" w:line="276"/>
      </w:pPr>
      <w:r>
        <w:rPr>
          <w:rFonts w:ascii="Calibri" w:cs="Calibri" w:eastAsia="Calibri" w:hAnsi="Calibri"/>
          <w:sz w:val="21"/>
          <w:szCs w:val="21"/>
        </w:rPr>
        <w:t xml:space="preserve">An important structural decision was made that the developer must understand before starting: the concepts are not locked packages. The agreed working method is to start from Concept A as the skeleton and graft in any individual feature from Concept B that the client later prefers. As of this session no specific Concept B features have been requested, but the build must be structured — component-based, modular sections — so that a Concept B element can be dropped in without a rebuild.</w:t>
      </w:r>
    </w:p>
    <w:p>
      <w:pPr>
        <w:pStyle w:val="Heading3"/>
        <w:spacing w:after="90" w:before="220"/>
      </w:pPr>
      <w:r>
        <w:rPr>
          <w:rFonts w:ascii="Calibri" w:cs="Calibri" w:eastAsia="Calibri" w:hAnsi="Calibri"/>
          <w:b/>
          <w:bCs/>
          <w:color w:val="C74A00"/>
          <w:sz w:val="22"/>
          <w:szCs w:val="22"/>
        </w:rPr>
        <w:t xml:space="preserve">What was actually decided</w:t>
      </w:r>
    </w:p>
    <w:p>
      <w:pPr>
        <w:spacing w:after="120" w:line="276"/>
      </w:pPr>
      <w:r>
        <w:rPr>
          <w:rFonts w:ascii="Calibri" w:cs="Calibri" w:eastAsia="Calibri" w:hAnsi="Calibri"/>
          <w:sz w:val="21"/>
          <w:szCs w:val="21"/>
        </w:rPr>
        <w:t xml:space="preserve">Beyond template selection, the session produced a set of concrete, actionable decisions. The color scheme is locked to white and blue, with the blues pulled from the reverse of the client's existing business card, accented by Syracuse Orange — the client is a Syracuse fan and was specific that it must be the actual university orange, not a generic orange. Orange functions as a highlight color on key words and calls to action, not as a field color.</w:t>
      </w:r>
    </w:p>
    <w:p>
      <w:pPr>
        <w:spacing w:after="120" w:line="276"/>
      </w:pPr>
      <w:r>
        <w:rPr>
          <w:rFonts w:ascii="Calibri" w:cs="Calibri" w:eastAsia="Calibri" w:hAnsi="Calibri"/>
          <w:sz w:val="21"/>
          <w:szCs w:val="21"/>
        </w:rPr>
        <w:t xml:space="preserve">Several homepage sections were marked for outright deletion, including the "flooring lives up to the highest standards" block and the showroom location block. Several were confirmed for retention, including the reviews block, the brands block, and the "See It Before You Buy It" block, which the reviewer flagged as a genuine differentiator. The contact section is to be rebuilt as a working lead-capture form — name, email, phone, and project description — that emails the submission directly to the client. That form is currently non-functional in the mockup and must be wired.</w:t>
      </w:r>
    </w:p>
    <w:p>
      <w:pPr>
        <w:pStyle w:val="Heading3"/>
        <w:spacing w:after="90" w:before="220"/>
      </w:pPr>
      <w:r>
        <w:rPr>
          <w:rFonts w:ascii="Calibri" w:cs="Calibri" w:eastAsia="Calibri" w:hAnsi="Calibri"/>
          <w:b/>
          <w:bCs/>
          <w:color w:val="C74A00"/>
          <w:sz w:val="22"/>
          <w:szCs w:val="22"/>
        </w:rPr>
        <w:t xml:space="preserve">The single most commercially important decision</w:t>
      </w:r>
    </w:p>
    <w:p>
      <w:pPr>
        <w:spacing w:after="120" w:line="276"/>
      </w:pPr>
      <w:r>
        <w:rPr>
          <w:rFonts w:ascii="Calibri" w:cs="Calibri" w:eastAsia="Calibri" w:hAnsi="Calibri"/>
          <w:b/>
          <w:bCs/>
          <w:sz w:val="21"/>
          <w:szCs w:val="21"/>
        </w:rPr>
        <w:t xml:space="preserve">The site must not link out to Shaw, Mohawk, or any other manufacturer website. </w:t>
      </w:r>
      <w:r>
        <w:rPr>
          <w:rFonts w:ascii="Calibri" w:cs="Calibri" w:eastAsia="Calibri" w:hAnsi="Calibri"/>
          <w:sz w:val="21"/>
          <w:szCs w:val="21"/>
        </w:rPr>
        <w:t xml:space="preserve">The client initially proposed linking to manufacturer product catalogs. This was challenged and reversed during the session, for two reasons: outbound links leak a warm visitor off the site, and manufacturer sites carry "where to buy" pages that route that visitor straight to competing local dealers. The agreed alternative is to obtain product and color imagery directly from the client's Shaw and Mohawk reps and host it natively. The client will separately ask those reps for co-op marketing funds to offset the build cost in exchange for featuring their products.</w:t>
      </w:r>
    </w:p>
    <w:p>
      <w:pPr>
        <w:pStyle w:val="Heading3"/>
        <w:spacing w:after="90" w:before="220"/>
      </w:pPr>
      <w:r>
        <w:rPr>
          <w:rFonts w:ascii="Calibri" w:cs="Calibri" w:eastAsia="Calibri" w:hAnsi="Calibri"/>
          <w:b/>
          <w:bCs/>
          <w:color w:val="C74A00"/>
          <w:sz w:val="22"/>
          <w:szCs w:val="22"/>
        </w:rPr>
        <w:t xml:space="preserve">The positioning problem, and how it is being solved</w:t>
      </w:r>
    </w:p>
    <w:p>
      <w:pPr>
        <w:spacing w:after="120" w:line="276"/>
      </w:pPr>
      <w:r>
        <w:rPr>
          <w:rFonts w:ascii="Calibri" w:cs="Calibri" w:eastAsia="Calibri" w:hAnsi="Calibri"/>
          <w:sz w:val="21"/>
          <w:szCs w:val="21"/>
        </w:rPr>
        <w:t xml:space="preserve">The client does not own a showroom. He operates through a partner's facility — customers who drive by see another company's signage, which has caused awkward conversations in the past. Rather than hide this, the site will frame it as a cost advantage: no brick-and-mortar overhead means the savings are passed to the customer. The showroom address and hours are removed from the site entirely. In their place, the site offers two consultation paths — samples brought to the customer's home, or an in-person showroom meeting by appointment — with the specific location determined by the client during the call, based on where the customer lives.</w:t>
      </w:r>
    </w:p>
    <w:p>
      <w:pPr>
        <w:pStyle w:val="Heading3"/>
        <w:spacing w:after="90" w:before="220"/>
      </w:pPr>
      <w:r>
        <w:rPr>
          <w:rFonts w:ascii="Calibri" w:cs="Calibri" w:eastAsia="Calibri" w:hAnsi="Calibri"/>
          <w:b/>
          <w:bCs/>
          <w:color w:val="C74A00"/>
          <w:sz w:val="22"/>
          <w:szCs w:val="22"/>
        </w:rPr>
        <w:t xml:space="preserve">What is blocking the build</w:t>
      </w:r>
    </w:p>
    <w:p>
      <w:pPr>
        <w:spacing w:after="120" w:line="276"/>
      </w:pPr>
      <w:r>
        <w:rPr>
          <w:rFonts w:ascii="Calibri" w:cs="Calibri" w:eastAsia="Calibri" w:hAnsi="Calibri"/>
          <w:sz w:val="21"/>
          <w:szCs w:val="21"/>
        </w:rPr>
        <w:t xml:space="preserve">Design direction is settled. Content is not. The client's deliverable, assigned during the session, is copy, photographs, and video. His existing photo library is partial — he has some before-and-after sets and many single-state shots — and a new photograph of himself is required for the about section. A standing operational change was agreed: from this point forward, crews photograph every job at start and completion so before/after pairs accumulate automatically. Copywriting support, including AI assistance, was offered so that content production does not stall the project.</w:t>
      </w:r>
    </w:p>
    <w:p>
      <w:pPr>
        <w:pStyle w:val="Heading3"/>
        <w:spacing w:after="90" w:before="220"/>
      </w:pPr>
      <w:r>
        <w:rPr>
          <w:rFonts w:ascii="Calibri" w:cs="Calibri" w:eastAsia="Calibri" w:hAnsi="Calibri"/>
          <w:b/>
          <w:bCs/>
          <w:color w:val="C74A00"/>
          <w:sz w:val="22"/>
          <w:szCs w:val="22"/>
        </w:rPr>
        <w:t xml:space="preserve">Parallel workstream</w:t>
      </w:r>
    </w:p>
    <w:p>
      <w:pPr>
        <w:spacing w:after="120" w:line="276"/>
      </w:pPr>
      <w:r>
        <w:rPr>
          <w:rFonts w:ascii="Calibri" w:cs="Calibri" w:eastAsia="Calibri" w:hAnsi="Calibri"/>
          <w:sz w:val="21"/>
          <w:szCs w:val="21"/>
        </w:rPr>
        <w:t xml:space="preserve">Two items run alongside the build. First, a Google Business Profile and Google Calendar-based appointment booking system — thirty-minute consultation slots, bookable directly from the site. Second, a vendor transition: the client's incumbent web provider has an invoice due October 1 against davidagwilt.com. The client will call and email her, copy Matthew, and hand the account over. Domain, DNS, hosting, and any email on that domain must be transferred without downtime.</w:t>
      </w:r>
    </w:p>
    <w:p>
      <w:pPr>
        <w:spacing w:after="8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BOTTOM LINE: </w:t>
            </w:r>
            <w:r>
              <w:rPr>
                <w:rFonts w:ascii="Calibri" w:cs="Calibri" w:eastAsia="Calibri" w:hAnsi="Calibri"/>
                <w:sz w:val="21"/>
                <w:szCs w:val="21"/>
              </w:rPr>
              <w:t xml:space="preserve">Concept A is approved and can be built now in white/blue with Syracuse Orange accents. The homepage section list is defined, including confirmed deletions. The two hard dependencies are (a) client-supplied copy, photos, and video, and (b) the domain handover from the incumbent vendor. Neither blocks template construction — build the shell with placeholder content and populate as assets arrive.</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2. How to Use This Document</w:t>
      </w:r>
    </w:p>
    <w:p>
      <w:pPr>
        <w:spacing w:after="120" w:line="276"/>
      </w:pPr>
      <w:r>
        <w:rPr>
          <w:rFonts w:ascii="Calibri" w:cs="Calibri" w:eastAsia="Calibri" w:hAnsi="Calibri"/>
          <w:sz w:val="21"/>
          <w:szCs w:val="21"/>
        </w:rPr>
        <w:t xml:space="preserve">Sections 3 through 16 are the working specification, organized by subject so the build can be planned and estimated. Appendix A is the exhaustive, line-by-line index of every note raised during the recording, numbered and mapped to a build requirement and an owner. If a question arises about whether something was discussed, Appendix A is the authoritative list. Appendix B catalogs every point where the recording was ambiguous or the audio was unclear, so that nothing is implemented on the basis of a guess.</w:t>
      </w:r>
    </w:p>
    <w:p>
      <w:pPr>
        <w:spacing w:after="120" w:line="276"/>
      </w:pPr>
      <w:r>
        <w:rPr>
          <w:rFonts w:ascii="Calibri" w:cs="Calibri" w:eastAsia="Calibri" w:hAnsi="Calibri"/>
          <w:sz w:val="21"/>
          <w:szCs w:val="21"/>
        </w:rPr>
        <w:t xml:space="preserve">Language convention used throughout:</w:t>
      </w:r>
    </w:p>
    <w:p>
      <w:pPr>
        <w:pStyle w:val="ListParagraph"/>
        <w:numPr>
          <w:ilvl w:val="0"/>
          <w:numId w:val="2"/>
        </w:numPr>
        <w:spacing w:after="70" w:line="276"/>
      </w:pPr>
      <w:r>
        <w:rPr>
          <w:rFonts w:ascii="Calibri" w:cs="Calibri" w:eastAsia="Calibri" w:hAnsi="Calibri"/>
          <w:b/>
          <w:bCs/>
          <w:sz w:val="21"/>
          <w:szCs w:val="21"/>
        </w:rPr>
        <w:t xml:space="preserve">MUST</w:t>
      </w:r>
      <w:r>
        <w:rPr>
          <w:rFonts w:ascii="Calibri" w:cs="Calibri" w:eastAsia="Calibri" w:hAnsi="Calibri"/>
          <w:sz w:val="21"/>
          <w:szCs w:val="21"/>
        </w:rPr>
        <w:t xml:space="preserve"> — an explicit client instruction from the recording. Not optional, not open to reinterpretation.</w:t>
      </w:r>
    </w:p>
    <w:p>
      <w:pPr>
        <w:pStyle w:val="ListParagraph"/>
        <w:numPr>
          <w:ilvl w:val="0"/>
          <w:numId w:val="2"/>
        </w:numPr>
        <w:spacing w:after="70" w:line="276"/>
      </w:pPr>
      <w:r>
        <w:rPr>
          <w:rFonts w:ascii="Calibri" w:cs="Calibri" w:eastAsia="Calibri" w:hAnsi="Calibri"/>
          <w:b/>
          <w:bCs/>
          <w:sz w:val="21"/>
          <w:szCs w:val="21"/>
        </w:rPr>
        <w:t xml:space="preserve">SHOULD</w:t>
      </w:r>
      <w:r>
        <w:rPr>
          <w:rFonts w:ascii="Calibri" w:cs="Calibri" w:eastAsia="Calibri" w:hAnsi="Calibri"/>
          <w:sz w:val="21"/>
          <w:szCs w:val="21"/>
        </w:rPr>
        <w:t xml:space="preserve"> — a decision reached in the session by agreement, with reasoning captured here. Open to challenge, but the reasoning must be addressed if reversed.</w:t>
      </w:r>
    </w:p>
    <w:p>
      <w:pPr>
        <w:pStyle w:val="ListParagraph"/>
        <w:numPr>
          <w:ilvl w:val="0"/>
          <w:numId w:val="2"/>
        </w:numPr>
        <w:spacing w:after="70" w:line="276"/>
      </w:pPr>
      <w:r>
        <w:rPr>
          <w:rFonts w:ascii="Calibri" w:cs="Calibri" w:eastAsia="Calibri" w:hAnsi="Calibri"/>
          <w:b/>
          <w:bCs/>
          <w:sz w:val="21"/>
          <w:szCs w:val="21"/>
        </w:rPr>
        <w:t xml:space="preserve">CONFIRM</w:t>
      </w:r>
      <w:r>
        <w:rPr>
          <w:rFonts w:ascii="Calibri" w:cs="Calibri" w:eastAsia="Calibri" w:hAnsi="Calibri"/>
          <w:sz w:val="21"/>
          <w:szCs w:val="21"/>
        </w:rPr>
        <w:t xml:space="preserve"> — genuinely open. Do not build against an assumption; get a decision first.</w:t>
      </w:r>
    </w:p>
    <w:p>
      <w:pPr>
        <w:pStyle w:val="ListParagraph"/>
        <w:numPr>
          <w:ilvl w:val="0"/>
          <w:numId w:val="2"/>
        </w:numPr>
        <w:spacing w:after="70" w:line="276"/>
      </w:pPr>
      <w:r>
        <w:rPr>
          <w:rFonts w:ascii="Calibri" w:cs="Calibri" w:eastAsia="Calibri" w:hAnsi="Calibri"/>
          <w:b/>
          <w:bCs/>
          <w:sz w:val="21"/>
          <w:szCs w:val="21"/>
        </w:rPr>
        <w:t xml:space="preserve">RECOMMENDED</w:t>
      </w:r>
      <w:r>
        <w:rPr>
          <w:rFonts w:ascii="Calibri" w:cs="Calibri" w:eastAsia="Calibri" w:hAnsi="Calibri"/>
          <w:sz w:val="21"/>
          <w:szCs w:val="21"/>
        </w:rPr>
        <w:t xml:space="preserve"> — not raised on the call. Professional additions proposed by the preparer of this document. Clearly separated in Section 14 so the client can accept or decline each one.</w:t>
      </w:r>
    </w:p>
    <w:p>
      <w:pPr>
        <w:spacing w:after="6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NOTE ON SCOPE: </w:t>
            </w:r>
            <w:r>
              <w:rPr>
                <w:rFonts w:ascii="Calibri" w:cs="Calibri" w:eastAsia="Calibri" w:hAnsi="Calibri"/>
                <w:sz w:val="21"/>
                <w:szCs w:val="21"/>
              </w:rPr>
              <w:t xml:space="preserve">The four concepts presented were homepage mockups only. Interior pages do not exist yet in any concept. The top navigation in the mockups anchors to sections of the single homepage; in the production build those navigation items become real, separate pages styled consistently with Concept A.</w:t>
            </w:r>
          </w:p>
        </w:tc>
      </w:tr>
    </w:tbl>
    <w:p>
      <w:pPr>
        <w:pStyle w:val="Heading1"/>
        <w:pBdr>
          <w:bottom w:val="single" w:color="F76900" w:sz="12" w:space="6"/>
        </w:pBdr>
        <w:spacing w:after="160" w:before="420"/>
      </w:pPr>
      <w:r>
        <w:rPr>
          <w:rFonts w:ascii="Calibri" w:cs="Calibri" w:eastAsia="Calibri" w:hAnsi="Calibri"/>
          <w:b/>
          <w:bCs/>
          <w:color w:val="10365C"/>
          <w:sz w:val="30"/>
          <w:szCs w:val="30"/>
        </w:rPr>
        <w:t xml:space="preserve">3. Decision Log — What Is Locked</w:t>
      </w:r>
    </w:p>
    <w:p>
      <w:pPr>
        <w:spacing w:after="120" w:line="276"/>
      </w:pPr>
      <w:r>
        <w:rPr>
          <w:rFonts w:ascii="Calibri" w:cs="Calibri" w:eastAsia="Calibri" w:hAnsi="Calibri"/>
          <w:sz w:val="21"/>
          <w:szCs w:val="21"/>
        </w:rPr>
        <w:t xml:space="preserve">The following were decided on the recording and are not open questions. Build against them.</w:t>
      </w:r>
    </w:p>
    <w:p>
      <w:pPr>
        <w:spacing w:after="60"/>
      </w:pPr>
      <w:r>
        <w:rPr>
          <w:rFonts w:ascii="Calibri" w:cs="Calibri" w:eastAsia="Calibri" w:hAnsi="Calibri"/>
          <w:sz w:val="21"/>
          <w:szCs w:val="21"/>
        </w:rPr>
        <w:t xml:space="preserve"/>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2000"/>
        <w:gridCol w:w="4240"/>
        <w:gridCol w:w="240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20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Decision Area</w:t>
            </w:r>
          </w:p>
        </w:tc>
        <w:tc>
          <w:tcPr>
            <w:tcW w:type="dxa" w:w="42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Decision</w:t>
            </w:r>
          </w:p>
        </w:tc>
        <w:tc>
          <w:tcPr>
            <w:tcW w:type="dxa" w:w="2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Evidence / Rationale</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D1</w:t>
            </w:r>
          </w:p>
        </w:tc>
        <w:tc>
          <w:tcPr>
            <w:tcW w:type="dxa" w:w="2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Base template</w:t>
            </w:r>
          </w:p>
        </w:tc>
        <w:tc>
          <w:tcPr>
            <w:tcW w:type="dxa" w:w="42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A is the selected base template for the entire site.</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shortlisted A and B, then confirmed the direction; session framed forward work as "when you pick Concept A."</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D2</w:t>
            </w:r>
          </w:p>
        </w:tc>
        <w:tc>
          <w:tcPr>
            <w:tcW w:type="dxa" w:w="2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Rejected concepts</w:t>
            </w:r>
          </w:p>
        </w:tc>
        <w:tc>
          <w:tcPr>
            <w:tcW w:type="dxa" w:w="42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Concepts 3 and 4 are eliminated. Do not revisit.</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rejected both on wording and overall feel; tabs were closed during the session.</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D3</w:t>
            </w:r>
          </w:p>
        </w:tc>
        <w:tc>
          <w:tcPr>
            <w:tcW w:type="dxa" w:w="2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Hybrid method</w:t>
            </w:r>
          </w:p>
        </w:tc>
        <w:tc>
          <w:tcPr>
            <w:tcW w:type="dxa" w:w="42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A is the skeleton; individual features from Concept B may be grafted in later.</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Explicitly agreed: "while I went with A, I like this about B" — and that it can be integrated.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D4</w:t>
            </w:r>
          </w:p>
        </w:tc>
        <w:tc>
          <w:tcPr>
            <w:tcW w:type="dxa" w:w="2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Base colors</w:t>
            </w:r>
          </w:p>
        </w:tc>
        <w:tc>
          <w:tcPr>
            <w:tcW w:type="dxa" w:w="42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White and blue. Blues sourced from the reverse of the David A. Gwilt business card.</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pointed to the card and confirmed he likes the blues on the back.</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D5</w:t>
            </w:r>
          </w:p>
        </w:tc>
        <w:tc>
          <w:tcPr>
            <w:tcW w:type="dxa" w:w="2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Accent color</w:t>
            </w:r>
          </w:p>
        </w:tc>
        <w:tc>
          <w:tcPr>
            <w:tcW w:type="dxa" w:w="42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Syracuse Orange, used as a highlight only — on key words and calls to action.</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is a Syracuse fan and specified the actual university orange, not a generic orange.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D6</w:t>
            </w:r>
          </w:p>
        </w:tc>
        <w:tc>
          <w:tcPr>
            <w:tcW w:type="dxa" w:w="2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Hero structure</w:t>
            </w:r>
          </w:p>
        </w:tc>
        <w:tc>
          <w:tcPr>
            <w:tcW w:type="dxa" w:w="42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Headline stating years of experience, plus two calls to action: Book a Consultation and My Story / Watch Story.</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Confirmed on screen during the walkthrough of Concept A.</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D7</w:t>
            </w:r>
          </w:p>
        </w:tc>
        <w:tc>
          <w:tcPr>
            <w:tcW w:type="dxa" w:w="2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Video placement</w:t>
            </w:r>
          </w:p>
        </w:tc>
        <w:tc>
          <w:tcPr>
            <w:tcW w:type="dxa" w:w="42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introduction video sits directly below the hero, above all other content.</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Confirmed: "right below it is your video like you wanted."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D8</w:t>
            </w:r>
          </w:p>
        </w:tc>
        <w:tc>
          <w:tcPr>
            <w:tcW w:type="dxa" w:w="2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Tenure claim</w:t>
            </w:r>
          </w:p>
        </w:tc>
        <w:tc>
          <w:tcPr>
            <w:tcW w:type="dxa" w:w="42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Site states experience from 2007 — nineteen years in flooring — despite the current company entity being only six to seven years old.</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raised the honesty concern himself; it was reviewed and judged accurate and defensible, since the claim is about his flooring experience, not entity age.</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D9</w:t>
            </w:r>
          </w:p>
        </w:tc>
        <w:tc>
          <w:tcPr>
            <w:tcW w:type="dxa" w:w="2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Manufacturer links</w:t>
            </w:r>
          </w:p>
        </w:tc>
        <w:tc>
          <w:tcPr>
            <w:tcW w:type="dxa" w:w="42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 outbound links to Shaw, Mohawk, or any manufacturer site. Product imagery is hosted on this site.</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Reversed mid-conversation. Manufacturer sites route visitors to "places to buy," i.e. competing dealers.</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D10</w:t>
            </w:r>
          </w:p>
        </w:tc>
        <w:tc>
          <w:tcPr>
            <w:tcW w:type="dxa" w:w="2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Showroom content</w:t>
            </w:r>
          </w:p>
        </w:tc>
        <w:tc>
          <w:tcPr>
            <w:tcW w:type="dxa" w:w="42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Remove the showroom address block and the accompanying block beside it. No physical showroom address published.</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does not own the showroom; the facility carries a third party's signage.</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D11</w:t>
            </w:r>
          </w:p>
        </w:tc>
        <w:tc>
          <w:tcPr>
            <w:tcW w:type="dxa" w:w="2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Showroom framing</w:t>
            </w:r>
          </w:p>
        </w:tc>
        <w:tc>
          <w:tcPr>
            <w:tcW w:type="dxa" w:w="42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Present the absence of a brick-and-mortar showroom as a customer savings advantage, not a limitation.</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Agreed framing: lower overhead, discount passed on to the customer.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D12</w:t>
            </w:r>
          </w:p>
        </w:tc>
        <w:tc>
          <w:tcPr>
            <w:tcW w:type="dxa" w:w="2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Deleted section</w:t>
            </w:r>
          </w:p>
        </w:tc>
        <w:tc>
          <w:tcPr>
            <w:tcW w:type="dxa" w:w="42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"flooring lives up to the highest standards" block is removed entirely.</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"we can get rid of this whole thing, we don't need that." Agreed.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D13</w:t>
            </w:r>
          </w:p>
        </w:tc>
        <w:tc>
          <w:tcPr>
            <w:tcW w:type="dxa" w:w="2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Retained sections</w:t>
            </w:r>
          </w:p>
        </w:tc>
        <w:tc>
          <w:tcPr>
            <w:tcW w:type="dxa" w:w="42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Reviews block retained. Brands block retained. "See It Before You Buy It" retained.</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"See It Before You Buy It" was specifically praised as a strong differentiator for a cold visitor.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D14</w:t>
            </w:r>
          </w:p>
        </w:tc>
        <w:tc>
          <w:tcPr>
            <w:tcW w:type="dxa" w:w="2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Social proof links</w:t>
            </w:r>
          </w:p>
        </w:tc>
        <w:tc>
          <w:tcPr>
            <w:tcW w:type="dxa" w:w="42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 links to Google, Facebook, Yelp, and Apple business profiles in the contact area.</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Explicitly requested during the contact-section walkthrough.</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D15</w:t>
            </w:r>
          </w:p>
        </w:tc>
        <w:tc>
          <w:tcPr>
            <w:tcW w:type="dxa" w:w="2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Lead form</w:t>
            </w:r>
          </w:p>
        </w:tc>
        <w:tc>
          <w:tcPr>
            <w:tcW w:type="dxa" w:w="42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Working contact form capturing name, email, phone, and project description, delivering the submission to the client by email.</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Confirmed as required; noted as "not set up yet, but it will be."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D16</w:t>
            </w:r>
          </w:p>
        </w:tc>
        <w:tc>
          <w:tcPr>
            <w:tcW w:type="dxa" w:w="2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Booking</w:t>
            </w:r>
          </w:p>
        </w:tc>
        <w:tc>
          <w:tcPr>
            <w:tcW w:type="dxa" w:w="42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Set up Google Business Profile and calendar-based appointment booking with thirty-minute consultation slots.</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Agreed on the call; setup assistance offered and accepted.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D17</w:t>
            </w:r>
          </w:p>
        </w:tc>
        <w:tc>
          <w:tcPr>
            <w:tcW w:type="dxa" w:w="2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Vendor handover</w:t>
            </w:r>
          </w:p>
        </w:tc>
        <w:tc>
          <w:tcPr>
            <w:tcW w:type="dxa" w:w="42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Incumbent web vendor is released. Client calls and emails her, copies Matthew, and the accounts transfer.</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Invoice due October 1 for davidagwilt.com; client confirmed it is on his calendar.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D18</w:t>
            </w:r>
          </w:p>
        </w:tc>
        <w:tc>
          <w:tcPr>
            <w:tcW w:type="dxa" w:w="2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Media in gallery</w:t>
            </w:r>
          </w:p>
        </w:tc>
        <w:tc>
          <w:tcPr>
            <w:tcW w:type="dxa" w:w="42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project gallery supports video, not only photographs.</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has install footage; confirmed video is supported.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D19</w:t>
            </w:r>
          </w:p>
        </w:tc>
        <w:tc>
          <w:tcPr>
            <w:tcW w:type="dxa" w:w="2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Photo protocol</w:t>
            </w:r>
          </w:p>
        </w:tc>
        <w:tc>
          <w:tcPr>
            <w:tcW w:type="dxa" w:w="42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Going forward, every job is photographed at start and at completion to build before/after pairs.</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Agreed as a standing operational change.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D20</w:t>
            </w:r>
          </w:p>
        </w:tc>
        <w:tc>
          <w:tcPr>
            <w:tcW w:type="dxa" w:w="2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Copy ownership</w:t>
            </w:r>
          </w:p>
        </w:tc>
        <w:tc>
          <w:tcPr>
            <w:tcW w:type="dxa" w:w="42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All placeholder copy in the mockups is disposable. Final copy is written by the client, with assistance available.</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Stated repeatedly: the concepts demonstrate style, not content.</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4. Open Items Requiring Client Confirmation Before Build</w:t>
      </w:r>
    </w:p>
    <w:p>
      <w:pPr>
        <w:spacing w:after="120" w:line="276"/>
      </w:pPr>
      <w:r>
        <w:rPr>
          <w:rFonts w:ascii="Calibri" w:cs="Calibri" w:eastAsia="Calibri" w:hAnsi="Calibri"/>
          <w:sz w:val="21"/>
          <w:szCs w:val="21"/>
        </w:rPr>
        <w:t xml:space="preserve">These are genuinely unresolved. Each should be closed out in a single follow-up conversation with the client rather than assumed.</w:t>
      </w:r>
    </w:p>
    <w:p>
      <w:pPr>
        <w:spacing w:after="60"/>
      </w:pPr>
      <w:r>
        <w:rPr>
          <w:rFonts w:ascii="Calibri" w:cs="Calibri" w:eastAsia="Calibri" w:hAnsi="Calibri"/>
          <w:sz w:val="21"/>
          <w:szCs w:val="21"/>
        </w:rPr>
        <w:t xml:space="preserve"/>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3000"/>
        <w:gridCol w:w="3540"/>
        <w:gridCol w:w="210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30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Open Item</w:t>
            </w:r>
          </w:p>
        </w:tc>
        <w:tc>
          <w:tcPr>
            <w:tcW w:type="dxa" w:w="35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What Must Be Decided</w:t>
            </w:r>
          </w:p>
        </w:tc>
        <w:tc>
          <w:tcPr>
            <w:tcW w:type="dxa" w:w="21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Blocks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O1</w:t>
            </w:r>
          </w:p>
        </w:tc>
        <w:tc>
          <w:tcPr>
            <w:tcW w:type="dxa" w:w="3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Exact Concept A mockup URL</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with the client, on screen, which of the four live mockup URLs is "Concept A." The recording contains one moment where the client says "let's start with that one" immediately after viewing a second concept, while the forward-looking discussion refers to Concept A. Verify before build.</w:t>
            </w:r>
          </w:p>
        </w:tc>
        <w:tc>
          <w:tcPr>
            <w:tcW w:type="dxa" w:w="2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Everything — resolve first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O2</w:t>
            </w:r>
          </w:p>
        </w:tc>
        <w:tc>
          <w:tcPr>
            <w:tcW w:type="dxa" w:w="3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Business card blue</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Obtain the physical business card or a high-resolution scan. Extract the exact blue values. Do not eyeball from a photograph.</w:t>
            </w:r>
          </w:p>
        </w:tc>
        <w:tc>
          <w:tcPr>
            <w:tcW w:type="dxa" w:w="2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Design system</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O3</w:t>
            </w:r>
          </w:p>
        </w:tc>
        <w:tc>
          <w:tcPr>
            <w:tcW w:type="dxa" w:w="3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Syracuse Orange value</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the exact orange. Syracuse University's published brand orange is Pantone 165 C, hex #F76900. Confirm this is the orange the client means.</w:t>
            </w:r>
          </w:p>
        </w:tc>
        <w:tc>
          <w:tcPr>
            <w:tcW w:type="dxa" w:w="2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Design system</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O4</w:t>
            </w:r>
          </w:p>
        </w:tc>
        <w:tc>
          <w:tcPr>
            <w:tcW w:type="dxa" w:w="3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Second removed block</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Two items were removed beside the showroom block. The second was indistinct on the recording and most likely refers to business hours. Confirm what is being removed.</w:t>
            </w:r>
          </w:p>
        </w:tc>
        <w:tc>
          <w:tcPr>
            <w:tcW w:type="dxa" w:w="2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section</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O5</w:t>
            </w:r>
          </w:p>
        </w:tc>
        <w:tc>
          <w:tcPr>
            <w:tcW w:type="dxa" w:w="3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Legal business name</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company name was unclear on the recording. Confirm the exact legal and trading name, and whether the site brands as the company name or as David A. Gwilt personally.</w:t>
            </w:r>
          </w:p>
        </w:tc>
        <w:tc>
          <w:tcPr>
            <w:tcW w:type="dxa" w:w="2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Logo, footer, schema, legal pages</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O6</w:t>
            </w:r>
          </w:p>
        </w:tc>
        <w:tc>
          <w:tcPr>
            <w:tcW w:type="dxa" w:w="3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Service area</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the geographic service area. The recording references Rock Hill and areas "up north" of it. Needed for local SEO and for the service-area business listing.</w:t>
            </w:r>
          </w:p>
        </w:tc>
        <w:tc>
          <w:tcPr>
            <w:tcW w:type="dxa" w:w="2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SEO, Google profile</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O7</w:t>
            </w:r>
          </w:p>
        </w:tc>
        <w:tc>
          <w:tcPr>
            <w:tcW w:type="dxa" w:w="3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Headline and tagline</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Two options were floated: an experience-led headline ("19 years…" / "Established 2007") or a service-led tagline ("We do everything on the floors"). Client to choose, or approve both in different positions.</w:t>
            </w:r>
          </w:p>
        </w:tc>
        <w:tc>
          <w:tcPr>
            <w:tcW w:type="dxa" w:w="2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Hero build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O8</w:t>
            </w:r>
          </w:p>
        </w:tc>
        <w:tc>
          <w:tcPr>
            <w:tcW w:type="dxa" w:w="3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B features</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Ask the client directly whether any specific element of Concept B should be grafted onto Concept A. He was given this option and has not yet exercised it.</w:t>
            </w:r>
          </w:p>
        </w:tc>
        <w:tc>
          <w:tcPr>
            <w:tcW w:type="dxa" w:w="2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Component planning</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O9</w:t>
            </w:r>
          </w:p>
        </w:tc>
        <w:tc>
          <w:tcPr>
            <w:tcW w:type="dxa" w:w="3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Full brand list</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confirmed the displayed brand list is incomplete. He must supply the complete list of brands carried, and flag any to remove.</w:t>
            </w:r>
          </w:p>
        </w:tc>
        <w:tc>
          <w:tcPr>
            <w:tcW w:type="dxa" w:w="2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Brands section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O10</w:t>
            </w:r>
          </w:p>
        </w:tc>
        <w:tc>
          <w:tcPr>
            <w:tcW w:type="dxa" w:w="3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Page count and structure</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Final page count and navigation structure were explicitly deferred until content exists.</w:t>
            </w:r>
          </w:p>
        </w:tc>
        <w:tc>
          <w:tcPr>
            <w:tcW w:type="dxa" w:w="2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Site architecture</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O11</w:t>
            </w:r>
          </w:p>
        </w:tc>
        <w:tc>
          <w:tcPr>
            <w:tcW w:type="dxa" w:w="30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Video source</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whether the client will record a dedicated introduction video. He indicated he "might want to do" it. Determine fallback if he does not.</w:t>
            </w:r>
          </w:p>
        </w:tc>
        <w:tc>
          <w:tcPr>
            <w:tcW w:type="dxa" w:w="2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Hero / video block</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O12</w:t>
            </w:r>
          </w:p>
        </w:tc>
        <w:tc>
          <w:tcPr>
            <w:tcW w:type="dxa" w:w="30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Rep co-op outcome</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whether Shaw and Mohawk reps will supply product imagery and whether co-op funds are approved. Affects both budget and the brands/products section.</w:t>
            </w:r>
          </w:p>
        </w:tc>
        <w:tc>
          <w:tcPr>
            <w:tcW w:type="dxa" w:w="2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Product imagery section</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5. Template Selection and the Hybrid Rule</w:t>
      </w:r>
    </w:p>
    <w:p>
      <w:pPr>
        <w:pStyle w:val="Heading2"/>
        <w:spacing w:after="120" w:before="300"/>
      </w:pPr>
      <w:r>
        <w:rPr>
          <w:rFonts w:ascii="Calibri" w:cs="Calibri" w:eastAsia="Calibri" w:hAnsi="Calibri"/>
          <w:b/>
          <w:bCs/>
          <w:color w:val="10365C"/>
          <w:sz w:val="25"/>
          <w:szCs w:val="25"/>
        </w:rPr>
        <w:t xml:space="preserve">5.1 What was presented</w:t>
      </w:r>
    </w:p>
    <w:p>
      <w:pPr>
        <w:spacing w:after="120" w:line="276"/>
      </w:pPr>
      <w:r>
        <w:rPr>
          <w:rFonts w:ascii="Calibri" w:cs="Calibri" w:eastAsia="Calibri" w:hAnsi="Calibri"/>
          <w:sz w:val="21"/>
          <w:szCs w:val="21"/>
        </w:rPr>
        <w:t xml:space="preserve">Four homepage concepts were presented, each as a live URL opened in its own browser tab so the client could scroll and compare directly. The framing given to the client, and repeated several times, was that the concepts differ in style only. Color was explicitly declared irrelevant to the decision — any concept can be recolored to anything. Copy was explicitly declared irrelevant to the decision — every word on the mockups is placeholder. The client was instructed to evaluate one thing only: which layout he wanted his content displayed in.</w:t>
      </w:r>
    </w:p>
    <w:p>
      <w:pPr>
        <w:pStyle w:val="Heading2"/>
        <w:spacing w:after="120" w:before="300"/>
      </w:pPr>
      <w:r>
        <w:rPr>
          <w:rFonts w:ascii="Calibri" w:cs="Calibri" w:eastAsia="Calibri" w:hAnsi="Calibri"/>
          <w:b/>
          <w:bCs/>
          <w:color w:val="10365C"/>
          <w:sz w:val="25"/>
          <w:szCs w:val="25"/>
        </w:rPr>
        <w:t xml:space="preserve">5.2 The elimination</w:t>
      </w:r>
    </w:p>
    <w:p>
      <w:pPr>
        <w:spacing w:after="120" w:line="276"/>
      </w:pPr>
      <w:r>
        <w:rPr>
          <w:rFonts w:ascii="Calibri" w:cs="Calibri" w:eastAsia="Calibri" w:hAnsi="Calibri"/>
          <w:sz w:val="21"/>
          <w:szCs w:val="21"/>
        </w:rPr>
        <w:t xml:space="preserve">The client dismissed Concepts 3 and 4 quickly. For Concept 3 his objection was the wording and a general uncertainty about the design. For Concept 4 the objection was immediate and negative. Both tabs were closed during the session and both are out of scope. The client then volunteered that he preferred the first two, which was agreed.</w:t>
      </w:r>
    </w:p>
    <w:p>
      <w:pPr>
        <w:pStyle w:val="Heading2"/>
        <w:spacing w:after="120" w:before="300"/>
      </w:pPr>
      <w:r>
        <w:rPr>
          <w:rFonts w:ascii="Calibri" w:cs="Calibri" w:eastAsia="Calibri" w:hAnsi="Calibri"/>
          <w:b/>
          <w:bCs/>
          <w:color w:val="10365C"/>
          <w:sz w:val="25"/>
          <w:szCs w:val="25"/>
        </w:rPr>
        <w:t xml:space="preserve">5.3 The selection — Concept A</w:t>
      </w:r>
    </w:p>
    <w:p>
      <w:pPr>
        <w:spacing w:after="120" w:line="276"/>
      </w:pPr>
      <w:r>
        <w:rPr>
          <w:rFonts w:ascii="Calibri" w:cs="Calibri" w:eastAsia="Calibri" w:hAnsi="Calibri"/>
          <w:sz w:val="21"/>
          <w:szCs w:val="21"/>
        </w:rPr>
        <w:t xml:space="preserve">Concept A was walked through in detail and approved. The structural logic the client signed off on, in order from the top of the page:</w:t>
      </w:r>
    </w:p>
    <w:p>
      <w:pPr>
        <w:pStyle w:val="ListParagraph"/>
        <w:numPr>
          <w:ilvl w:val="0"/>
          <w:numId w:val="3"/>
        </w:numPr>
        <w:spacing w:after="70" w:line="276"/>
      </w:pPr>
      <w:r>
        <w:rPr>
          <w:rFonts w:ascii="Calibri" w:cs="Calibri" w:eastAsia="Calibri" w:hAnsi="Calibri"/>
          <w:sz w:val="21"/>
          <w:szCs w:val="21"/>
        </w:rPr>
        <w:t xml:space="preserve">Hero with an experience-led headline — the placeholder read along the lines of "17 years," to be replaced with the client's actual figure.</w:t>
      </w:r>
    </w:p>
    <w:p>
      <w:pPr>
        <w:pStyle w:val="ListParagraph"/>
        <w:numPr>
          <w:ilvl w:val="0"/>
          <w:numId w:val="3"/>
        </w:numPr>
        <w:spacing w:after="70" w:line="276"/>
      </w:pPr>
      <w:r>
        <w:rPr>
          <w:rFonts w:ascii="Calibri" w:cs="Calibri" w:eastAsia="Calibri" w:hAnsi="Calibri"/>
          <w:sz w:val="21"/>
          <w:szCs w:val="21"/>
        </w:rPr>
        <w:t xml:space="preserve">Two immediate calls to action rendered side by side: Book a Consultation, and My Story / Watch Story.</w:t>
      </w:r>
    </w:p>
    <w:p>
      <w:pPr>
        <w:pStyle w:val="ListParagraph"/>
        <w:numPr>
          <w:ilvl w:val="0"/>
          <w:numId w:val="3"/>
        </w:numPr>
        <w:spacing w:after="70" w:line="276"/>
      </w:pPr>
      <w:r>
        <w:rPr>
          <w:rFonts w:ascii="Calibri" w:cs="Calibri" w:eastAsia="Calibri" w:hAnsi="Calibri"/>
          <w:sz w:val="21"/>
          <w:szCs w:val="21"/>
        </w:rPr>
        <w:t xml:space="preserve">A clearly defined fold — the client was shown precisely where the visible content ends on load. This boundary is a design requirement, not an accident of the mockup.</w:t>
      </w:r>
    </w:p>
    <w:p>
      <w:pPr>
        <w:pStyle w:val="ListParagraph"/>
        <w:numPr>
          <w:ilvl w:val="0"/>
          <w:numId w:val="3"/>
        </w:numPr>
        <w:spacing w:after="70" w:line="276"/>
      </w:pPr>
      <w:r>
        <w:rPr>
          <w:rFonts w:ascii="Calibri" w:cs="Calibri" w:eastAsia="Calibri" w:hAnsi="Calibri"/>
          <w:sz w:val="21"/>
          <w:szCs w:val="21"/>
        </w:rPr>
        <w:t xml:space="preserve">The client's personal introduction video positioned directly beneath the hero.</w:t>
      </w:r>
    </w:p>
    <w:p>
      <w:pPr>
        <w:spacing w:after="60"/>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The assessment offered during the session, which the client accepted, was that Concept A is clean, visually strong, and functions well as a landing experience for a visitor arriving cold — the "See It Before You Buy It" message in particular reads as a reason to stay on the page.</w:t>
      </w:r>
    </w:p>
    <w:p>
      <w:pPr>
        <w:pStyle w:val="Heading2"/>
        <w:spacing w:after="120" w:before="300"/>
      </w:pPr>
      <w:r>
        <w:rPr>
          <w:rFonts w:ascii="Calibri" w:cs="Calibri" w:eastAsia="Calibri" w:hAnsi="Calibri"/>
          <w:b/>
          <w:bCs/>
          <w:color w:val="10365C"/>
          <w:sz w:val="25"/>
          <w:szCs w:val="25"/>
        </w:rPr>
        <w:t xml:space="preserve">5.4 The hybrid rule — a build constraint, not a nicety</w:t>
      </w:r>
    </w:p>
    <w:p>
      <w:pPr>
        <w:spacing w:after="120" w:line="276"/>
      </w:pPr>
      <w:r>
        <w:rPr>
          <w:rFonts w:ascii="Calibri" w:cs="Calibri" w:eastAsia="Calibri" w:hAnsi="Calibri"/>
          <w:sz w:val="21"/>
          <w:szCs w:val="21"/>
        </w:rPr>
        <w:t xml:space="preserve">The client was told explicitly that the concepts are not fixed packages: he may select Concept A as the base and, at any point, identify a feature from Concept B that he wants integrated. This was presented as a standing option and he has not yet used it.</w:t>
      </w:r>
    </w:p>
    <w:p>
      <w:pPr>
        <w:spacing w:after="4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DEVELOPER REQUIREMENT: </w:t>
            </w:r>
            <w:r>
              <w:rPr>
                <w:rFonts w:ascii="Calibri" w:cs="Calibri" w:eastAsia="Calibri" w:hAnsi="Calibri"/>
                <w:sz w:val="21"/>
                <w:szCs w:val="21"/>
              </w:rPr>
              <w:t xml:space="preserve">Build Concept A as discrete, independently addressable page sections — modular components with their own styling scope — rather than as a single monolithic page template. A Concept B element must be insertable later without reworking the page. Assume at least one such request will arrive.</w:t>
            </w:r>
          </w:p>
        </w:tc>
      </w:tr>
    </w:tbl>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5.5 Navigation behavior in the mockup vs. the build</w:t>
      </w:r>
    </w:p>
    <w:p>
      <w:pPr>
        <w:spacing w:after="120" w:line="276"/>
      </w:pPr>
      <w:r>
        <w:rPr>
          <w:rFonts w:ascii="Calibri" w:cs="Calibri" w:eastAsia="Calibri" w:hAnsi="Calibri"/>
          <w:sz w:val="21"/>
          <w:szCs w:val="21"/>
        </w:rPr>
        <w:t xml:space="preserve">In the mockups, the top navigation items scroll to anchors within the single homepage, because only the homepage was built for the concept round. In production these become real pages. The client should be shown this distinction explicitly so he does not evaluate the navigation as broken.</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6. Visual Identity — Color System and Typography</w:t>
      </w:r>
    </w:p>
    <w:p>
      <w:pPr>
        <w:pStyle w:val="Heading2"/>
        <w:spacing w:after="120" w:before="300"/>
      </w:pPr>
      <w:r>
        <w:rPr>
          <w:rFonts w:ascii="Calibri" w:cs="Calibri" w:eastAsia="Calibri" w:hAnsi="Calibri"/>
          <w:b/>
          <w:bCs/>
          <w:color w:val="10365C"/>
          <w:sz w:val="25"/>
          <w:szCs w:val="25"/>
        </w:rPr>
        <w:t xml:space="preserve">6.1 The decision</w:t>
      </w:r>
    </w:p>
    <w:p>
      <w:pPr>
        <w:spacing w:after="120" w:line="276"/>
      </w:pPr>
      <w:r>
        <w:rPr>
          <w:rFonts w:ascii="Calibri" w:cs="Calibri" w:eastAsia="Calibri" w:hAnsi="Calibri"/>
          <w:sz w:val="21"/>
          <w:szCs w:val="21"/>
        </w:rPr>
        <w:t xml:space="preserve">The client rejected the mockup's default palette — presented as white with brown — without hesitation. Asked what he did want, he retrieved his own business card and pointed to the reverse, stating he likes the blues on it. He then added that he would "really like orange" because he is a Syracuse fan. The resolution reached on the call was to combine both rather than choose.</w:t>
      </w:r>
    </w:p>
    <w:p>
      <w:pPr>
        <w:spacing w:after="4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LOCKED PALETTE: </w:t>
            </w:r>
            <w:r>
              <w:rPr>
                <w:rFonts w:ascii="Calibri" w:cs="Calibri" w:eastAsia="Calibri" w:hAnsi="Calibri"/>
                <w:sz w:val="21"/>
                <w:szCs w:val="21"/>
              </w:rPr>
              <w:t xml:space="preserve">White and blue as the base system, with Syracuse Orange as a highlight accent. The orange is used on selected words and calls to action — not as a background or field color. Verbatim intent: a single word or element highlighted in orange against the blue and white base.</w:t>
            </w:r>
          </w:p>
        </w:tc>
      </w:tr>
    </w:tbl>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6.2 Color specification</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1900"/>
        <w:gridCol w:w="1700"/>
        <w:gridCol w:w="2100"/>
        <w:gridCol w:w="3660"/>
      </w:tblGrid>
      <w:tr>
        <w:trPr>
          <w:tblHeader/>
        </w:trPr>
        <w:tc>
          <w:tcPr>
            <w:tcW w:type="dxa" w:w="19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Role</w:t>
            </w:r>
          </w:p>
        </w:tc>
        <w:tc>
          <w:tcPr>
            <w:tcW w:type="dxa" w:w="17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Source</w:t>
            </w:r>
          </w:p>
        </w:tc>
        <w:tc>
          <w:tcPr>
            <w:tcW w:type="dxa" w:w="21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Value</w:t>
            </w:r>
          </w:p>
        </w:tc>
        <w:tc>
          <w:tcPr>
            <w:tcW w:type="dxa" w:w="36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Usage</w:t>
            </w:r>
          </w:p>
        </w:tc>
      </w:tr>
      <w:tr>
        <w:tc>
          <w:tcPr>
            <w:tcW w:type="dxa" w:w="19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Primary blue</w:t>
            </w:r>
          </w:p>
        </w:tc>
        <w:tc>
          <w:tcPr>
            <w:tcW w:type="dxa" w:w="17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Reverse of David A. Gwilt business card</w:t>
            </w:r>
          </w:p>
        </w:tc>
        <w:tc>
          <w:tcPr>
            <w:tcW w:type="dxa" w:w="21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TO BE EXTRACTED — see O2</w:t>
            </w:r>
          </w:p>
        </w:tc>
        <w:tc>
          <w:tcPr>
            <w:tcW w:type="dxa" w:w="36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Headlines, navigation, footer, primary surfaces</w:t>
            </w:r>
          </w:p>
        </w:tc>
      </w:tr>
      <w:tr>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Secondary / deep blue</w:t>
            </w:r>
          </w:p>
        </w:tc>
        <w:tc>
          <w:tcPr>
            <w:tcW w:type="dxa" w:w="17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Business card, or derived tint of primary</w:t>
            </w:r>
          </w:p>
        </w:tc>
        <w:tc>
          <w:tcPr>
            <w:tcW w:type="dxa" w:w="21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TO BE DERIVED</w:t>
            </w:r>
          </w:p>
        </w:tc>
        <w:tc>
          <w:tcPr>
            <w:tcW w:type="dxa" w:w="36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Section backgrounds, hover states, depth</w:t>
            </w:r>
          </w:p>
        </w:tc>
      </w:tr>
      <w:tr>
        <w:tc>
          <w:tcPr>
            <w:tcW w:type="dxa" w:w="19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Base / field</w:t>
            </w:r>
          </w:p>
        </w:tc>
        <w:tc>
          <w:tcPr>
            <w:tcW w:type="dxa" w:w="17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Standard</w:t>
            </w:r>
          </w:p>
        </w:tc>
        <w:tc>
          <w:tcPr>
            <w:tcW w:type="dxa" w:w="21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#FFFFFF</w:t>
            </w:r>
          </w:p>
        </w:tc>
        <w:tc>
          <w:tcPr>
            <w:tcW w:type="dxa" w:w="36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Page background, content cards, form fields</w:t>
            </w:r>
          </w:p>
        </w:tc>
      </w:tr>
      <w:tr>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Accent — Syracuse Orange</w:t>
            </w:r>
          </w:p>
        </w:tc>
        <w:tc>
          <w:tcPr>
            <w:tcW w:type="dxa" w:w="17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Syracuse University brand standard</w:t>
            </w:r>
          </w:p>
        </w:tc>
        <w:tc>
          <w:tcPr>
            <w:tcW w:type="dxa" w:w="21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#F76900 (Pantone 165 C) — CONFIRM</w:t>
            </w:r>
          </w:p>
        </w:tc>
        <w:tc>
          <w:tcPr>
            <w:tcW w:type="dxa" w:w="36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Primary CTA buttons, highlighted words, active states, iconography</w:t>
            </w:r>
          </w:p>
        </w:tc>
      </w:tr>
      <w:tr>
        <w:tc>
          <w:tcPr>
            <w:tcW w:type="dxa" w:w="19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Accent — text-safe orange</w:t>
            </w:r>
          </w:p>
        </w:tc>
        <w:tc>
          <w:tcPr>
            <w:tcW w:type="dxa" w:w="17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Darkened derivative of the above</w:t>
            </w:r>
          </w:p>
        </w:tc>
        <w:tc>
          <w:tcPr>
            <w:tcW w:type="dxa" w:w="21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#C74A00 or darker</w:t>
            </w:r>
          </w:p>
        </w:tc>
        <w:tc>
          <w:tcPr>
            <w:tcW w:type="dxa" w:w="36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Orange used as body-size text on white, where the bright orange fails contrast</w:t>
            </w:r>
          </w:p>
        </w:tc>
      </w:tr>
      <w:tr>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Neutral text</w:t>
            </w:r>
          </w:p>
        </w:tc>
        <w:tc>
          <w:tcPr>
            <w:tcW w:type="dxa" w:w="17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Standard</w:t>
            </w:r>
          </w:p>
        </w:tc>
        <w:tc>
          <w:tcPr>
            <w:tcW w:type="dxa" w:w="21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#2B2B2B to #333333</w:t>
            </w:r>
          </w:p>
        </w:tc>
        <w:tc>
          <w:tcPr>
            <w:tcW w:type="dxa" w:w="36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Body copy</w:t>
            </w:r>
          </w:p>
        </w:tc>
      </w:tr>
      <w:tr>
        <w:tc>
          <w:tcPr>
            <w:tcW w:type="dxa" w:w="19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Neutral rule / border</w:t>
            </w:r>
          </w:p>
        </w:tc>
        <w:tc>
          <w:tcPr>
            <w:tcW w:type="dxa" w:w="17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Standard</w:t>
            </w:r>
          </w:p>
        </w:tc>
        <w:tc>
          <w:tcPr>
            <w:tcW w:type="dxa" w:w="21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#D8DEE5 approx.</w:t>
            </w:r>
          </w:p>
        </w:tc>
        <w:tc>
          <w:tcPr>
            <w:tcW w:type="dxa" w:w="36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Dividers, table borders, input outlines</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6.3 Accessibility constraint the client did not raise</w:t>
      </w:r>
    </w:p>
    <w:p>
      <w:pPr>
        <w:spacing w:after="120" w:line="276"/>
      </w:pPr>
      <w:r>
        <w:rPr>
          <w:rFonts w:ascii="Calibri" w:cs="Calibri" w:eastAsia="Calibri" w:hAnsi="Calibri"/>
          <w:sz w:val="21"/>
          <w:szCs w:val="21"/>
        </w:rPr>
        <w:t xml:space="preserve">Syracuse Orange at #F76900 on a white background yields a contrast ratio in the region of 3:1. That passes WCAG AA for large text and for non-text user-interface components, but </w:t>
      </w:r>
      <w:r>
        <w:rPr>
          <w:rFonts w:ascii="Calibri" w:cs="Calibri" w:eastAsia="Calibri" w:hAnsi="Calibri"/>
          <w:b/>
          <w:bCs/>
          <w:sz w:val="21"/>
          <w:szCs w:val="21"/>
        </w:rPr>
        <w:t xml:space="preserve">fails AA for normal-size body text</w:t>
      </w:r>
      <w:r>
        <w:rPr>
          <w:rFonts w:ascii="Calibri" w:cs="Calibri" w:eastAsia="Calibri" w:hAnsi="Calibri"/>
          <w:sz w:val="21"/>
          <w:szCs w:val="21"/>
        </w:rPr>
        <w:t xml:space="preserve">. This is a practical issue, not an academic one: orange body copy on white will be hard to read for a meaningful share of visitors, and flooring buyers skew older than the general web population. Recommended handling:</w:t>
      </w:r>
    </w:p>
    <w:p>
      <w:pPr>
        <w:pStyle w:val="ListParagraph"/>
        <w:numPr>
          <w:ilvl w:val="0"/>
          <w:numId w:val="2"/>
        </w:numPr>
        <w:spacing w:after="70" w:line="276"/>
      </w:pPr>
      <w:r>
        <w:rPr>
          <w:rFonts w:ascii="Calibri" w:cs="Calibri" w:eastAsia="Calibri" w:hAnsi="Calibri"/>
          <w:sz w:val="21"/>
          <w:szCs w:val="21"/>
        </w:rPr>
        <w:t xml:space="preserve">Bright orange on white is acceptable for large headings, button fills with white text, icons, rules, and highlight underlines.</w:t>
      </w:r>
    </w:p>
    <w:p>
      <w:pPr>
        <w:pStyle w:val="ListParagraph"/>
        <w:numPr>
          <w:ilvl w:val="0"/>
          <w:numId w:val="2"/>
        </w:numPr>
        <w:spacing w:after="70" w:line="276"/>
      </w:pPr>
      <w:r>
        <w:rPr>
          <w:rFonts w:ascii="Calibri" w:cs="Calibri" w:eastAsia="Calibri" w:hAnsi="Calibri"/>
          <w:sz w:val="21"/>
          <w:szCs w:val="21"/>
        </w:rPr>
        <w:t xml:space="preserve">For any orange text at body size on white, use the darkened derivative.</w:t>
      </w:r>
    </w:p>
    <w:p>
      <w:pPr>
        <w:pStyle w:val="ListParagraph"/>
        <w:numPr>
          <w:ilvl w:val="0"/>
          <w:numId w:val="2"/>
        </w:numPr>
        <w:spacing w:after="70" w:line="276"/>
      </w:pPr>
      <w:r>
        <w:rPr>
          <w:rFonts w:ascii="Calibri" w:cs="Calibri" w:eastAsia="Calibri" w:hAnsi="Calibri"/>
          <w:sz w:val="21"/>
          <w:szCs w:val="21"/>
        </w:rPr>
        <w:t xml:space="preserve">Orange buttons must carry white text, not blue or black text, to maintain contrast.</w:t>
      </w:r>
    </w:p>
    <w:p>
      <w:pPr>
        <w:pStyle w:val="ListParagraph"/>
        <w:numPr>
          <w:ilvl w:val="0"/>
          <w:numId w:val="2"/>
        </w:numPr>
        <w:spacing w:after="70" w:line="276"/>
      </w:pPr>
      <w:r>
        <w:rPr>
          <w:rFonts w:ascii="Calibri" w:cs="Calibri" w:eastAsia="Calibri" w:hAnsi="Calibri"/>
          <w:sz w:val="21"/>
          <w:szCs w:val="21"/>
        </w:rPr>
        <w:t xml:space="preserve">Never place orange text directly on the primary blue without testing the ratio first.</w:t>
      </w:r>
    </w:p>
    <w:p>
      <w:pPr>
        <w:spacing w:after="6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6.4 Typography</w:t>
      </w:r>
    </w:p>
    <w:p>
      <w:pPr>
        <w:spacing w:after="120" w:line="276"/>
      </w:pPr>
      <w:r>
        <w:rPr>
          <w:rFonts w:ascii="Calibri" w:cs="Calibri" w:eastAsia="Calibri" w:hAnsi="Calibri"/>
          <w:sz w:val="21"/>
          <w:szCs w:val="21"/>
        </w:rPr>
        <w:t xml:space="preserve">Typography was not discussed on the recording and is therefore developer discretion, constrained by the following: the client praised Concept A for being "clean," and legibility for an older-skewing residential audience matters more than personality. Recommend a single clean sans-serif family across the site, generous line height on body copy, and a body size no smaller than 17 to 18 pixels on desktop. If the business card carries a distinctive typeface, evaluate it for the logo or headings only, never for body text.</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7. Homepage Specification — Section by Section</w:t>
      </w:r>
    </w:p>
    <w:p>
      <w:pPr>
        <w:spacing w:after="120" w:line="276"/>
      </w:pPr>
      <w:r>
        <w:rPr>
          <w:rFonts w:ascii="Calibri" w:cs="Calibri" w:eastAsia="Calibri" w:hAnsi="Calibri"/>
          <w:sz w:val="21"/>
          <w:szCs w:val="21"/>
        </w:rPr>
        <w:t xml:space="preserve">The following is the confirmed homepage composition for Concept A, in page order, reflecting every addition, retention, rewrite, and deletion captured on the recording.</w:t>
      </w:r>
    </w:p>
    <w:p>
      <w:pPr>
        <w:pStyle w:val="Heading2"/>
        <w:spacing w:after="120" w:before="300"/>
      </w:pPr>
      <w:r>
        <w:rPr>
          <w:rFonts w:ascii="Calibri" w:cs="Calibri" w:eastAsia="Calibri" w:hAnsi="Calibri"/>
          <w:b/>
          <w:bCs/>
          <w:color w:val="10365C"/>
          <w:sz w:val="25"/>
          <w:szCs w:val="25"/>
        </w:rPr>
        <w:t xml:space="preserve">7.1 Section map</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2400"/>
        <w:gridCol w:w="1400"/>
        <w:gridCol w:w="48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2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Section</w:t>
            </w:r>
          </w:p>
        </w:tc>
        <w:tc>
          <w:tcPr>
            <w:tcW w:type="dxa" w:w="1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Status</w:t>
            </w:r>
          </w:p>
        </w:tc>
        <w:tc>
          <w:tcPr>
            <w:tcW w:type="dxa" w:w="48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Specification</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S1</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Hero</w:t>
            </w:r>
          </w:p>
        </w:tc>
        <w:tc>
          <w:tcPr>
            <w:tcW w:type="dxa" w:w="1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 rebuild</w:t>
            </w:r>
          </w:p>
        </w:tc>
        <w:tc>
          <w:tcPr>
            <w:tcW w:type="dxa" w:w="4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Experience-led headline plus two CTAs.</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S2</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Introduction video</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w:t>
            </w:r>
          </w:p>
        </w:tc>
        <w:tc>
          <w:tcPr>
            <w:tcW w:type="dxa" w:w="4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video immediately below the hero.</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S3</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Floors, Two Ways</w:t>
            </w:r>
          </w:p>
        </w:tc>
        <w:tc>
          <w:tcPr>
            <w:tcW w:type="dxa" w:w="1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 rewrite</w:t>
            </w:r>
          </w:p>
        </w:tc>
        <w:tc>
          <w:tcPr>
            <w:tcW w:type="dxa" w:w="4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Product-only vs. product plus installation.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S4</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Project gallery</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 expand</w:t>
            </w:r>
          </w:p>
        </w:tc>
        <w:tc>
          <w:tcPr>
            <w:tcW w:type="dxa" w:w="4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Photos and video from completed jobs; before/after.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S5</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See It Before You Buy It</w:t>
            </w:r>
          </w:p>
        </w:tc>
        <w:tc>
          <w:tcPr>
            <w:tcW w:type="dxa" w:w="1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w:t>
            </w:r>
          </w:p>
        </w:tc>
        <w:tc>
          <w:tcPr>
            <w:tcW w:type="dxa" w:w="4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Confirmed differentiator. Do not remove.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S6</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Brands carried</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 update</w:t>
            </w:r>
          </w:p>
        </w:tc>
        <w:tc>
          <w:tcPr>
            <w:tcW w:type="dxa" w:w="4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List to be corrected and expanded. No outbound links.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S7</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About / owner photo</w:t>
            </w:r>
          </w:p>
        </w:tc>
        <w:tc>
          <w:tcPr>
            <w:tcW w:type="dxa" w:w="1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 new asset</w:t>
            </w:r>
          </w:p>
        </w:tc>
        <w:tc>
          <w:tcPr>
            <w:tcW w:type="dxa" w:w="4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Requires a new photograph of the 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S8</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Reviews</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w:t>
            </w:r>
          </w:p>
        </w:tc>
        <w:tc>
          <w:tcPr>
            <w:tcW w:type="dxa" w:w="4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Explicitly retained.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S9</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"Lives up to the highest standards"</w:t>
            </w:r>
          </w:p>
        </w:tc>
        <w:tc>
          <w:tcPr>
            <w:tcW w:type="dxa" w:w="1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w:t>
            </w:r>
          </w:p>
        </w:tc>
        <w:tc>
          <w:tcPr>
            <w:tcW w:type="dxa" w:w="4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Removed entirely at client request.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S10</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Start the Conversation</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 rebuild</w:t>
            </w:r>
          </w:p>
        </w:tc>
        <w:tc>
          <w:tcPr>
            <w:tcW w:type="dxa" w:w="4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Business info, social links, working lead form.</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S11</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Showroom address block</w:t>
            </w:r>
          </w:p>
        </w:tc>
        <w:tc>
          <w:tcPr>
            <w:tcW w:type="dxa" w:w="1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w:t>
            </w:r>
          </w:p>
        </w:tc>
        <w:tc>
          <w:tcPr>
            <w:tcW w:type="dxa" w:w="4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 owned showroom. Removed.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S12</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Adjacent block beside showroom</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w:t>
            </w:r>
          </w:p>
        </w:tc>
        <w:tc>
          <w:tcPr>
            <w:tcW w:type="dxa" w:w="4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Second removal — confirm exact item, see O4.</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S13</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Social profile links</w:t>
            </w:r>
          </w:p>
        </w:tc>
        <w:tc>
          <w:tcPr>
            <w:tcW w:type="dxa" w:w="1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w:t>
            </w:r>
          </w:p>
        </w:tc>
        <w:tc>
          <w:tcPr>
            <w:tcW w:type="dxa" w:w="4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Google, Facebook, Yelp, Apple.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S14</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Appointment booking</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w:t>
            </w:r>
          </w:p>
        </w:tc>
        <w:tc>
          <w:tcPr>
            <w:tcW w:type="dxa" w:w="4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Calendar booking, thirty-minute slots.</w:t>
            </w:r>
          </w:p>
        </w:tc>
      </w:tr>
    </w:tbl>
    <w:p>
      <w:pPr>
        <w:spacing w:after="12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7.2 S1 — Hero</w:t>
      </w:r>
    </w:p>
    <w:p>
      <w:pPr>
        <w:spacing w:after="120" w:line="276"/>
      </w:pPr>
      <w:r>
        <w:rPr>
          <w:rFonts w:ascii="Calibri" w:cs="Calibri" w:eastAsia="Calibri" w:hAnsi="Calibri"/>
          <w:b/>
          <w:bCs/>
          <w:sz w:val="21"/>
          <w:szCs w:val="21"/>
        </w:rPr>
        <w:t xml:space="preserve">Status: </w:t>
      </w:r>
      <w:r>
        <w:rPr>
          <w:rFonts w:ascii="Calibri" w:cs="Calibri" w:eastAsia="Calibri" w:hAnsi="Calibri"/>
          <w:sz w:val="21"/>
          <w:szCs w:val="21"/>
        </w:rPr>
        <w:t xml:space="preserve">Keep the Concept A structure. Replace all copy.</w:t>
      </w:r>
    </w:p>
    <w:p>
      <w:pPr>
        <w:pStyle w:val="ListParagraph"/>
        <w:numPr>
          <w:ilvl w:val="0"/>
          <w:numId w:val="2"/>
        </w:numPr>
        <w:spacing w:after="70" w:line="276"/>
      </w:pPr>
      <w:r>
        <w:rPr>
          <w:rFonts w:ascii="Calibri" w:cs="Calibri" w:eastAsia="Calibri" w:hAnsi="Calibri"/>
          <w:b/>
          <w:bCs/>
          <w:sz w:val="21"/>
          <w:szCs w:val="21"/>
        </w:rPr>
        <w:t xml:space="preserve">Headline — MUST. </w:t>
      </w:r>
      <w:r>
        <w:rPr>
          <w:rFonts w:ascii="Calibri" w:cs="Calibri" w:eastAsia="Calibri" w:hAnsi="Calibri"/>
          <w:sz w:val="21"/>
          <w:szCs w:val="21"/>
        </w:rPr>
        <w:t xml:space="preserve">An experience-led statement. The placeholder read "17 years." The client's accurate figure is nineteen years in flooring, from 2007. Final wording is the client's to write; see O7 for the alternative tagline option.</w:t>
      </w:r>
    </w:p>
    <w:p>
      <w:pPr>
        <w:pStyle w:val="ListParagraph"/>
        <w:numPr>
          <w:ilvl w:val="0"/>
          <w:numId w:val="2"/>
        </w:numPr>
        <w:spacing w:after="70" w:line="276"/>
      </w:pPr>
      <w:r>
        <w:rPr>
          <w:rFonts w:ascii="Calibri" w:cs="Calibri" w:eastAsia="Calibri" w:hAnsi="Calibri"/>
          <w:b/>
          <w:bCs/>
          <w:sz w:val="21"/>
          <w:szCs w:val="21"/>
        </w:rPr>
        <w:t xml:space="preserve">Primary CTA — MUST. </w:t>
      </w:r>
      <w:r>
        <w:rPr>
          <w:rFonts w:ascii="Calibri" w:cs="Calibri" w:eastAsia="Calibri" w:hAnsi="Calibri"/>
          <w:sz w:val="21"/>
          <w:szCs w:val="21"/>
        </w:rPr>
        <w:t xml:space="preserve">"Book a Consultation." This is the money button. Render it in Syracuse Orange with white text.</w:t>
      </w:r>
    </w:p>
    <w:p>
      <w:pPr>
        <w:pStyle w:val="ListParagraph"/>
        <w:numPr>
          <w:ilvl w:val="0"/>
          <w:numId w:val="2"/>
        </w:numPr>
        <w:spacing w:after="70" w:line="276"/>
      </w:pPr>
      <w:r>
        <w:rPr>
          <w:rFonts w:ascii="Calibri" w:cs="Calibri" w:eastAsia="Calibri" w:hAnsi="Calibri"/>
          <w:b/>
          <w:bCs/>
          <w:sz w:val="21"/>
          <w:szCs w:val="21"/>
        </w:rPr>
        <w:t xml:space="preserve">Secondary CTA — MUST. </w:t>
      </w:r>
      <w:r>
        <w:rPr>
          <w:rFonts w:ascii="Calibri" w:cs="Calibri" w:eastAsia="Calibri" w:hAnsi="Calibri"/>
          <w:sz w:val="21"/>
          <w:szCs w:val="21"/>
        </w:rPr>
        <w:t xml:space="preserve">"My Story" / "Watch Story." Render as a secondary treatment — outline or ghost button in blue — so it does not compete with the primary.</w:t>
      </w:r>
    </w:p>
    <w:p>
      <w:pPr>
        <w:pStyle w:val="ListParagraph"/>
        <w:numPr>
          <w:ilvl w:val="0"/>
          <w:numId w:val="2"/>
        </w:numPr>
        <w:spacing w:after="70" w:line="276"/>
      </w:pPr>
      <w:r>
        <w:rPr>
          <w:rFonts w:ascii="Calibri" w:cs="Calibri" w:eastAsia="Calibri" w:hAnsi="Calibri"/>
          <w:b/>
          <w:bCs/>
          <w:sz w:val="21"/>
          <w:szCs w:val="21"/>
        </w:rPr>
        <w:t xml:space="preserve">Fold — MUST. </w:t>
      </w:r>
      <w:r>
        <w:rPr>
          <w:rFonts w:ascii="Calibri" w:cs="Calibri" w:eastAsia="Calibri" w:hAnsi="Calibri"/>
          <w:sz w:val="21"/>
          <w:szCs w:val="21"/>
        </w:rPr>
        <w:t xml:space="preserve">The client was shown the exact line at which visible content ends on page load and approved it. Preserve this on desktop. On mobile, both CTAs must remain above the fold; the headline may compress.</w:t>
      </w:r>
    </w:p>
    <w:p>
      <w:pPr>
        <w:spacing w:after="4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TENURE MAINTENANCE: </w:t>
            </w:r>
            <w:r>
              <w:rPr>
                <w:rFonts w:ascii="Calibri" w:cs="Calibri" w:eastAsia="Calibri" w:hAnsi="Calibri"/>
                <w:sz w:val="21"/>
                <w:szCs w:val="21"/>
              </w:rPr>
              <w:t xml:space="preserve">The years-of-experience figure goes stale every January. Do not hard-code the number. Compute it from a fixed start year of 2007 so it increments automatically, or at minimum flag it in a content maintenance note. The client raised this himself — he noted the figure "changes every year."</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7.3 S2 — Introduction video</w:t>
      </w:r>
    </w:p>
    <w:p>
      <w:pPr>
        <w:spacing w:after="120" w:line="276"/>
      </w:pPr>
      <w:r>
        <w:rPr>
          <w:rFonts w:ascii="Calibri" w:cs="Calibri" w:eastAsia="Calibri" w:hAnsi="Calibri"/>
          <w:sz w:val="21"/>
          <w:szCs w:val="21"/>
        </w:rPr>
        <w:t xml:space="preserve">Positioned directly beneath the hero, before all other content. This placement was confirmed twice on the recording. The content is a personal introduction from the client — the framing discussed was along the lines of "you'll be dealing with David," establishing that the customer deals with the owner rather than a salesperson. This is the site's primary trust mechanism.</w:t>
      </w:r>
    </w:p>
    <w:p>
      <w:pPr>
        <w:pStyle w:val="ListParagraph"/>
        <w:numPr>
          <w:ilvl w:val="0"/>
          <w:numId w:val="2"/>
        </w:numPr>
        <w:spacing w:after="70" w:line="276"/>
      </w:pPr>
      <w:r>
        <w:rPr>
          <w:rFonts w:ascii="Calibri" w:cs="Calibri" w:eastAsia="Calibri" w:hAnsi="Calibri"/>
          <w:sz w:val="21"/>
          <w:szCs w:val="21"/>
        </w:rPr>
        <w:t xml:space="preserve">Video must not autoplay with sound.</w:t>
      </w:r>
    </w:p>
    <w:p>
      <w:pPr>
        <w:pStyle w:val="ListParagraph"/>
        <w:numPr>
          <w:ilvl w:val="0"/>
          <w:numId w:val="2"/>
        </w:numPr>
        <w:spacing w:after="70" w:line="276"/>
      </w:pPr>
      <w:r>
        <w:rPr>
          <w:rFonts w:ascii="Calibri" w:cs="Calibri" w:eastAsia="Calibri" w:hAnsi="Calibri"/>
          <w:sz w:val="21"/>
          <w:szCs w:val="21"/>
        </w:rPr>
        <w:t xml:space="preserve">Poster frame required — a still of the client, not a black frame or a random mid-video capture.</w:t>
      </w:r>
    </w:p>
    <w:p>
      <w:pPr>
        <w:pStyle w:val="ListParagraph"/>
        <w:numPr>
          <w:ilvl w:val="0"/>
          <w:numId w:val="2"/>
        </w:numPr>
        <w:spacing w:after="70" w:line="276"/>
      </w:pPr>
      <w:r>
        <w:rPr>
          <w:rFonts w:ascii="Calibri" w:cs="Calibri" w:eastAsia="Calibri" w:hAnsi="Calibri"/>
          <w:sz w:val="21"/>
          <w:szCs w:val="21"/>
        </w:rPr>
        <w:t xml:space="preserve">Must be fully responsive; on mobile the video block sits immediately after the compressed hero.</w:t>
      </w:r>
    </w:p>
    <w:p>
      <w:pPr>
        <w:pStyle w:val="ListParagraph"/>
        <w:numPr>
          <w:ilvl w:val="0"/>
          <w:numId w:val="2"/>
        </w:numPr>
        <w:spacing w:after="70" w:line="276"/>
      </w:pPr>
      <w:r>
        <w:rPr>
          <w:rFonts w:ascii="Calibri" w:cs="Calibri" w:eastAsia="Calibri" w:hAnsi="Calibri"/>
          <w:sz w:val="21"/>
          <w:szCs w:val="21"/>
        </w:rPr>
        <w:t xml:space="preserve">If no video exists at launch, the block ships with a poster image and the video is dropped in later. Do not restructure the page around its absence.</w:t>
      </w:r>
    </w:p>
    <w:p>
      <w:pPr>
        <w:spacing w:after="60"/>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Open: </w:t>
      </w:r>
      <w:r>
        <w:rPr>
          <w:rFonts w:ascii="Calibri" w:cs="Calibri" w:eastAsia="Calibri" w:hAnsi="Calibri"/>
          <w:sz w:val="21"/>
          <w:szCs w:val="21"/>
        </w:rPr>
        <w:t xml:space="preserve">the client indicated he "might want to do" the video rather than committing. See O11. Confirm before launch.</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7.4 S3 — Floors, Two Ways</w:t>
      </w:r>
    </w:p>
    <w:p>
      <w:pPr>
        <w:spacing w:after="120" w:line="276"/>
      </w:pPr>
      <w:r>
        <w:rPr>
          <w:rFonts w:ascii="Calibri" w:cs="Calibri" w:eastAsia="Calibri" w:hAnsi="Calibri"/>
          <w:sz w:val="21"/>
          <w:szCs w:val="21"/>
        </w:rPr>
        <w:t xml:space="preserve">This section exists in the Concept A mockup with placeholder copy that the client found unclear — he stated plainly that he did not know what it meant. The meaning was clarified in the session and the section is retained on that basis.</w:t>
      </w:r>
    </w:p>
    <w:p>
      <w:pPr>
        <w:spacing w:after="120" w:line="276"/>
      </w:pPr>
      <w:r>
        <w:rPr>
          <w:rFonts w:ascii="Calibri" w:cs="Calibri" w:eastAsia="Calibri" w:hAnsi="Calibri"/>
          <w:b/>
          <w:bCs/>
          <w:sz w:val="21"/>
          <w:szCs w:val="21"/>
        </w:rPr>
        <w:t xml:space="preserve">Actual meaning: </w:t>
      </w:r>
      <w:r>
        <w:rPr>
          <w:rFonts w:ascii="Calibri" w:cs="Calibri" w:eastAsia="Calibri" w:hAnsi="Calibri"/>
          <w:sz w:val="21"/>
          <w:szCs w:val="21"/>
        </w:rPr>
        <w:t xml:space="preserve">the customer can purchase flooring product on its own, or purchase product with installation performed by the client's technicians. Two distinct service paths, two distinct price points.</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rewrite the copy. The client stated he will rewrite it himself. The mockup wording is placeholder only.</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use plain, customer-facing language. "Buy the product on its own" and "Have our technicians install it" are closer to how the client described it than the mockup wording.</w:t>
      </w:r>
    </w:p>
    <w:p>
      <w:pPr>
        <w:pStyle w:val="ListParagraph"/>
        <w:numPr>
          <w:ilvl w:val="0"/>
          <w:numId w:val="2"/>
        </w:numPr>
        <w:spacing w:after="70" w:line="276"/>
      </w:pPr>
      <w:r>
        <w:rPr>
          <w:rFonts w:ascii="Calibri" w:cs="Calibri" w:eastAsia="Calibri" w:hAnsi="Calibri"/>
          <w:b/>
          <w:bCs/>
          <w:sz w:val="21"/>
          <w:szCs w:val="21"/>
        </w:rPr>
        <w:t xml:space="preserve">RECOMMENDED </w:t>
      </w:r>
      <w:r>
        <w:rPr>
          <w:rFonts w:ascii="Calibri" w:cs="Calibri" w:eastAsia="Calibri" w:hAnsi="Calibri"/>
          <w:sz w:val="21"/>
          <w:szCs w:val="21"/>
        </w:rPr>
        <w:t xml:space="preserve">each of the two paths carries its own call to action, since they represent different buyer intents and different lead qualification.</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7.5 S4 — Project gallery</w:t>
      </w:r>
    </w:p>
    <w:p>
      <w:pPr>
        <w:spacing w:after="120" w:line="276"/>
      </w:pPr>
      <w:r>
        <w:rPr>
          <w:rFonts w:ascii="Calibri" w:cs="Calibri" w:eastAsia="Calibri" w:hAnsi="Calibri"/>
          <w:sz w:val="21"/>
          <w:szCs w:val="21"/>
        </w:rPr>
        <w:t xml:space="preserve">Confirmed for retention and expansion. The client has an existing photo library and wants past work displayed.</w:t>
      </w:r>
    </w:p>
    <w:p>
      <w:pPr>
        <w:pStyle w:val="Heading3"/>
        <w:spacing w:after="90" w:before="220"/>
      </w:pPr>
      <w:r>
        <w:rPr>
          <w:rFonts w:ascii="Calibri" w:cs="Calibri" w:eastAsia="Calibri" w:hAnsi="Calibri"/>
          <w:b/>
          <w:bCs/>
          <w:color w:val="C74A00"/>
          <w:sz w:val="22"/>
          <w:szCs w:val="22"/>
        </w:rPr>
        <w:t xml:space="preserve">Media requirements</w:t>
      </w:r>
    </w:p>
    <w:p>
      <w:pPr>
        <w:pStyle w:val="ListParagraph"/>
        <w:numPr>
          <w:ilvl w:val="0"/>
          <w:numId w:val="2"/>
        </w:numPr>
        <w:spacing w:after="70" w:line="276"/>
      </w:pPr>
      <w:r>
        <w:rPr>
          <w:rFonts w:ascii="Calibri" w:cs="Calibri" w:eastAsia="Calibri" w:hAnsi="Calibri"/>
          <w:b/>
          <w:bCs/>
          <w:sz w:val="21"/>
          <w:szCs w:val="21"/>
        </w:rPr>
        <w:t xml:space="preserve">Photos — MUST. </w:t>
      </w:r>
      <w:r>
        <w:rPr>
          <w:rFonts w:ascii="Calibri" w:cs="Calibri" w:eastAsia="Calibri" w:hAnsi="Calibri"/>
          <w:sz w:val="21"/>
          <w:szCs w:val="21"/>
        </w:rPr>
        <w:t xml:space="preserve">Photographs of completed and in-progress jobs.</w:t>
      </w:r>
    </w:p>
    <w:p>
      <w:pPr>
        <w:pStyle w:val="ListParagraph"/>
        <w:numPr>
          <w:ilvl w:val="0"/>
          <w:numId w:val="2"/>
        </w:numPr>
        <w:spacing w:after="70" w:line="276"/>
      </w:pPr>
      <w:r>
        <w:rPr>
          <w:rFonts w:ascii="Calibri" w:cs="Calibri" w:eastAsia="Calibri" w:hAnsi="Calibri"/>
          <w:b/>
          <w:bCs/>
          <w:sz w:val="21"/>
          <w:szCs w:val="21"/>
        </w:rPr>
        <w:t xml:space="preserve">Video — MUST. </w:t>
      </w:r>
      <w:r>
        <w:rPr>
          <w:rFonts w:ascii="Calibri" w:cs="Calibri" w:eastAsia="Calibri" w:hAnsi="Calibri"/>
          <w:sz w:val="21"/>
          <w:szCs w:val="21"/>
        </w:rPr>
        <w:t xml:space="preserve">The client asked directly whether video could be included and was told yes. He shoots footage of his crews installing. The gallery must support mixed media, not photographs alone.</w:t>
      </w:r>
    </w:p>
    <w:p>
      <w:pPr>
        <w:pStyle w:val="ListParagraph"/>
        <w:numPr>
          <w:ilvl w:val="0"/>
          <w:numId w:val="2"/>
        </w:numPr>
        <w:spacing w:after="70" w:line="276"/>
      </w:pPr>
      <w:r>
        <w:rPr>
          <w:rFonts w:ascii="Calibri" w:cs="Calibri" w:eastAsia="Calibri" w:hAnsi="Calibri"/>
          <w:b/>
          <w:bCs/>
          <w:sz w:val="21"/>
          <w:szCs w:val="21"/>
        </w:rPr>
        <w:t xml:space="preserve">Before and after — MUST. </w:t>
      </w:r>
      <w:r>
        <w:rPr>
          <w:rFonts w:ascii="Calibri" w:cs="Calibri" w:eastAsia="Calibri" w:hAnsi="Calibri"/>
          <w:sz w:val="21"/>
          <w:szCs w:val="21"/>
        </w:rPr>
        <w:t xml:space="preserve">Where pairs exist, they are displayed as pairs to show the transformation. This was raised on the call as the strongest possible use of the imagery.</w:t>
      </w:r>
    </w:p>
    <w:p>
      <w:pPr>
        <w:pStyle w:val="Heading3"/>
        <w:spacing w:after="90" w:before="220"/>
      </w:pPr>
      <w:r>
        <w:rPr>
          <w:rFonts w:ascii="Calibri" w:cs="Calibri" w:eastAsia="Calibri" w:hAnsi="Calibri"/>
          <w:b/>
          <w:bCs/>
          <w:color w:val="C74A00"/>
          <w:sz w:val="22"/>
          <w:szCs w:val="22"/>
        </w:rPr>
        <w:t xml:space="preserve">Known asset examples from the recording</w:t>
      </w:r>
    </w:p>
    <w:p>
      <w:pPr>
        <w:pStyle w:val="ListParagraph"/>
        <w:numPr>
          <w:ilvl w:val="0"/>
          <w:numId w:val="2"/>
        </w:numPr>
        <w:spacing w:after="70" w:line="276"/>
      </w:pPr>
      <w:r>
        <w:rPr>
          <w:rFonts w:ascii="Calibri" w:cs="Calibri" w:eastAsia="Calibri" w:hAnsi="Calibri"/>
          <w:sz w:val="21"/>
          <w:szCs w:val="21"/>
        </w:rPr>
        <w:t xml:space="preserve">Carpet tear-out followed by new flooring installation — described as simple, straightforward work.</w:t>
      </w:r>
    </w:p>
    <w:p>
      <w:pPr>
        <w:pStyle w:val="ListParagraph"/>
        <w:numPr>
          <w:ilvl w:val="0"/>
          <w:numId w:val="2"/>
        </w:numPr>
        <w:spacing w:after="70" w:line="276"/>
      </w:pPr>
      <w:r>
        <w:rPr>
          <w:rFonts w:ascii="Calibri" w:cs="Calibri" w:eastAsia="Calibri" w:hAnsi="Calibri"/>
          <w:sz w:val="21"/>
          <w:szCs w:val="21"/>
        </w:rPr>
        <w:t xml:space="preserve">A complete residential carpet job for a customer referred to as "Holly" — multiple rooms, full-house scope.</w:t>
      </w:r>
    </w:p>
    <w:p>
      <w:pPr>
        <w:pStyle w:val="ListParagraph"/>
        <w:numPr>
          <w:ilvl w:val="0"/>
          <w:numId w:val="2"/>
        </w:numPr>
        <w:spacing w:after="70" w:line="276"/>
      </w:pPr>
      <w:r>
        <w:rPr>
          <w:rFonts w:ascii="Calibri" w:cs="Calibri" w:eastAsia="Calibri" w:hAnsi="Calibri"/>
          <w:sz w:val="21"/>
          <w:szCs w:val="21"/>
        </w:rPr>
        <w:t xml:space="preserve">Stairs with carpet torn off, revealing the substrate beneath — described as an in-progress capture.</w:t>
      </w:r>
    </w:p>
    <w:p>
      <w:pPr>
        <w:spacing w:after="4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GAP: </w:t>
            </w:r>
            <w:r>
              <w:rPr>
                <w:rFonts w:ascii="Calibri" w:cs="Calibri" w:eastAsia="Calibri" w:hAnsi="Calibri"/>
                <w:sz w:val="21"/>
                <w:szCs w:val="21"/>
              </w:rPr>
              <w:t xml:space="preserve">The client's existing library does not contain complete before/after pairs for most jobs. The accepted position on the call was to use whatever exists now. Do not block the build waiting for complete pairs — design the gallery so that a single-state image and a before/after pair can both render cleanly in the same grid.</w:t>
            </w:r>
          </w:p>
        </w:tc>
      </w:tr>
    </w:tbl>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7.6 S5 — See It Before You Buy It</w:t>
      </w:r>
    </w:p>
    <w:p>
      <w:pPr>
        <w:spacing w:after="120" w:line="276"/>
      </w:pPr>
      <w:r>
        <w:rPr>
          <w:rFonts w:ascii="Calibri" w:cs="Calibri" w:eastAsia="Calibri" w:hAnsi="Calibri"/>
          <w:sz w:val="21"/>
          <w:szCs w:val="21"/>
        </w:rPr>
        <w:t xml:space="preserve">Retained. This block was singled out during the session as the element that makes Concept A work for a cold visitor — the reason someone who has just landed has to stay. It is a differentiator and should be treated as prime real estate, not filler. Copy will be rewritten by the client; the concept stays.</w:t>
      </w:r>
    </w:p>
    <w:p>
      <w:pPr>
        <w:spacing w:after="6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7.7 S6 — Brands carried</w:t>
      </w:r>
    </w:p>
    <w:p>
      <w:pPr>
        <w:spacing w:after="120" w:line="276"/>
      </w:pPr>
      <w:r>
        <w:rPr>
          <w:rFonts w:ascii="Calibri" w:cs="Calibri" w:eastAsia="Calibri" w:hAnsi="Calibri"/>
          <w:sz w:val="21"/>
          <w:szCs w:val="21"/>
        </w:rPr>
        <w:t xml:space="preserve">Retained with substantial changes. The client was asked to confirm whether the displayed brand list is current. His answer: it is not complete — there are additional brands he carries that are not on the list.</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obtain the complete brand list from the client. Add all missing brands; remove any listed brand he no longer carries. See O9.</w:t>
      </w:r>
    </w:p>
    <w:p>
      <w:pPr>
        <w:pStyle w:val="ListParagraph"/>
        <w:numPr>
          <w:ilvl w:val="0"/>
          <w:numId w:val="2"/>
        </w:numPr>
        <w:spacing w:after="70" w:line="276"/>
      </w:pPr>
      <w:r>
        <w:rPr>
          <w:rFonts w:ascii="Calibri" w:cs="Calibri" w:eastAsia="Calibri" w:hAnsi="Calibri"/>
          <w:b/>
          <w:bCs/>
          <w:sz w:val="21"/>
          <w:szCs w:val="21"/>
        </w:rPr>
        <w:t xml:space="preserve">MUST NOT </w:t>
      </w:r>
      <w:r>
        <w:rPr>
          <w:rFonts w:ascii="Calibri" w:cs="Calibri" w:eastAsia="Calibri" w:hAnsi="Calibri"/>
          <w:sz w:val="21"/>
          <w:szCs w:val="21"/>
        </w:rPr>
        <w:t xml:space="preserve">link any brand to the manufacturer's website. This is covered in full in Section 9 and is the single most commercially significant decision from the session.</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make each brand clickable to an on-site product page showing that brand's product and color range, using imagery obtained from the reps.</w:t>
      </w:r>
    </w:p>
    <w:p>
      <w:pPr>
        <w:pStyle w:val="ListParagraph"/>
        <w:numPr>
          <w:ilvl w:val="0"/>
          <w:numId w:val="2"/>
        </w:numPr>
        <w:spacing w:after="70" w:line="276"/>
      </w:pPr>
      <w:r>
        <w:rPr>
          <w:rFonts w:ascii="Calibri" w:cs="Calibri" w:eastAsia="Calibri" w:hAnsi="Calibri"/>
          <w:b/>
          <w:bCs/>
          <w:sz w:val="21"/>
          <w:szCs w:val="21"/>
        </w:rPr>
        <w:t xml:space="preserve">CONFIRM </w:t>
      </w:r>
      <w:r>
        <w:rPr>
          <w:rFonts w:ascii="Calibri" w:cs="Calibri" w:eastAsia="Calibri" w:hAnsi="Calibri"/>
          <w:sz w:val="21"/>
          <w:szCs w:val="21"/>
        </w:rPr>
        <w:t xml:space="preserve">written permission to display manufacturer logos and product imagery before publishing. This is a trademark matter, and the reps are the correct channel.</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7.8 S7 — About and owner photo</w:t>
      </w:r>
    </w:p>
    <w:p>
      <w:pPr>
        <w:spacing w:after="120" w:line="276"/>
      </w:pPr>
      <w:r>
        <w:rPr>
          <w:rFonts w:ascii="Calibri" w:cs="Calibri" w:eastAsia="Calibri" w:hAnsi="Calibri"/>
          <w:sz w:val="21"/>
          <w:szCs w:val="21"/>
        </w:rPr>
        <w:t xml:space="preserve">The section stays. The photograph does not. The client's own assessment, unprompted, was that a new picture is needed. Treat this as a required asset, not a nice-to-have — on a site whose core promise is "you deal with the owner," the owner's photograph is load-bearing.</w:t>
      </w:r>
    </w:p>
    <w:p>
      <w:pPr>
        <w:pStyle w:val="ListParagraph"/>
        <w:numPr>
          <w:ilvl w:val="0"/>
          <w:numId w:val="2"/>
        </w:numPr>
        <w:spacing w:after="70" w:line="276"/>
      </w:pPr>
      <w:r>
        <w:rPr>
          <w:rFonts w:ascii="Calibri" w:cs="Calibri" w:eastAsia="Calibri" w:hAnsi="Calibri"/>
          <w:sz w:val="21"/>
          <w:szCs w:val="21"/>
        </w:rPr>
        <w:t xml:space="preserve">RECOMMENDED: a photograph on a job site or with materials, rather than a studio headshot. It reinforces the working-owner positioning that the video establishes.</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7.9 S8 — Reviews</w:t>
      </w:r>
    </w:p>
    <w:p>
      <w:pPr>
        <w:spacing w:after="120" w:line="276"/>
      </w:pPr>
      <w:r>
        <w:rPr>
          <w:rFonts w:ascii="Calibri" w:cs="Calibri" w:eastAsia="Calibri" w:hAnsi="Calibri"/>
          <w:sz w:val="21"/>
          <w:szCs w:val="21"/>
        </w:rPr>
        <w:t xml:space="preserve">Explicitly retained. When the removals were being decided, the instruction was to strip the showroom items and "just leave reviews," then add social media. Reviews are confirmed as a permanent homepage element.</w:t>
      </w:r>
    </w:p>
    <w:p>
      <w:pPr>
        <w:pStyle w:val="ListParagraph"/>
        <w:numPr>
          <w:ilvl w:val="0"/>
          <w:numId w:val="2"/>
        </w:numPr>
        <w:spacing w:after="70" w:line="276"/>
      </w:pPr>
      <w:r>
        <w:rPr>
          <w:rFonts w:ascii="Calibri" w:cs="Calibri" w:eastAsia="Calibri" w:hAnsi="Calibri"/>
          <w:sz w:val="21"/>
          <w:szCs w:val="21"/>
        </w:rPr>
        <w:t xml:space="preserve">Source reviews from the Google, Facebook, Yelp, and Apple profiles being linked in the contact section.</w:t>
      </w:r>
    </w:p>
    <w:p>
      <w:pPr>
        <w:pStyle w:val="ListParagraph"/>
        <w:numPr>
          <w:ilvl w:val="0"/>
          <w:numId w:val="2"/>
        </w:numPr>
        <w:spacing w:after="70" w:line="276"/>
      </w:pPr>
      <w:r>
        <w:rPr>
          <w:rFonts w:ascii="Calibri" w:cs="Calibri" w:eastAsia="Calibri" w:hAnsi="Calibri"/>
          <w:sz w:val="21"/>
          <w:szCs w:val="21"/>
        </w:rPr>
        <w:t xml:space="preserve">RECOMMENDED: pull live where the platform permits; otherwise curate static quotes with platform attribution and a link to the full profile. Never fabricate or paraphrase a review.</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7.10 S9 — Deleted section</w:t>
      </w:r>
    </w:p>
    <w:p>
      <w:pPr>
        <w:spacing w:after="120" w:line="276"/>
      </w:pPr>
      <w:r>
        <w:rPr>
          <w:rFonts w:ascii="Calibri" w:cs="Calibri" w:eastAsia="Calibri" w:hAnsi="Calibri"/>
          <w:b/>
          <w:bCs/>
          <w:sz w:val="21"/>
          <w:szCs w:val="21"/>
        </w:rPr>
        <w:t xml:space="preserve">DELETE ENTIRELY. </w:t>
      </w:r>
      <w:r>
        <w:rPr>
          <w:rFonts w:ascii="Calibri" w:cs="Calibri" w:eastAsia="Calibri" w:hAnsi="Calibri"/>
          <w:sz w:val="21"/>
          <w:szCs w:val="21"/>
        </w:rPr>
        <w:t xml:space="preserve">The block reading along the lines of "flooring lives up to the highest standards." The client's instruction was direct — get rid of the whole thing, it is not needed — and it was agreed on the spot. Remove the section, do not repurpose the slot.</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7.11 S10 — Start the Conversation</w:t>
      </w:r>
    </w:p>
    <w:p>
      <w:pPr>
        <w:spacing w:after="120" w:line="276"/>
      </w:pPr>
      <w:r>
        <w:rPr>
          <w:rFonts w:ascii="Calibri" w:cs="Calibri" w:eastAsia="Calibri" w:hAnsi="Calibri"/>
          <w:sz w:val="21"/>
          <w:szCs w:val="21"/>
        </w:rPr>
        <w:t xml:space="preserve">This is the conversion section and requires the most build work, because it is currently non-functional in the mockup.</w:t>
      </w:r>
    </w:p>
    <w:p>
      <w:pPr>
        <w:pStyle w:val="Heading3"/>
        <w:spacing w:after="90" w:before="220"/>
      </w:pPr>
      <w:r>
        <w:rPr>
          <w:rFonts w:ascii="Calibri" w:cs="Calibri" w:eastAsia="Calibri" w:hAnsi="Calibri"/>
          <w:b/>
          <w:bCs/>
          <w:color w:val="C74A00"/>
          <w:sz w:val="22"/>
          <w:szCs w:val="22"/>
        </w:rPr>
        <w:t xml:space="preserve">Business information block</w:t>
      </w:r>
    </w:p>
    <w:p>
      <w:pPr>
        <w:pStyle w:val="ListParagraph"/>
        <w:numPr>
          <w:ilvl w:val="0"/>
          <w:numId w:val="2"/>
        </w:numPr>
        <w:spacing w:after="70" w:line="276"/>
      </w:pPr>
      <w:r>
        <w:rPr>
          <w:rFonts w:ascii="Calibri" w:cs="Calibri" w:eastAsia="Calibri" w:hAnsi="Calibri"/>
          <w:sz w:val="21"/>
          <w:szCs w:val="21"/>
        </w:rPr>
        <w:t xml:space="preserve">Full contact details for the business so a visitor can reach the client directly.</w:t>
      </w:r>
    </w:p>
    <w:p>
      <w:pPr>
        <w:pStyle w:val="ListParagraph"/>
        <w:numPr>
          <w:ilvl w:val="0"/>
          <w:numId w:val="2"/>
        </w:numPr>
        <w:spacing w:after="70" w:line="276"/>
      </w:pPr>
      <w:r>
        <w:rPr>
          <w:rFonts w:ascii="Calibri" w:cs="Calibri" w:eastAsia="Calibri" w:hAnsi="Calibri"/>
          <w:b/>
          <w:bCs/>
          <w:sz w:val="21"/>
          <w:szCs w:val="21"/>
        </w:rPr>
        <w:t xml:space="preserve">MUST NOT </w:t>
      </w:r>
      <w:r>
        <w:rPr>
          <w:rFonts w:ascii="Calibri" w:cs="Calibri" w:eastAsia="Calibri" w:hAnsi="Calibri"/>
          <w:sz w:val="21"/>
          <w:szCs w:val="21"/>
        </w:rPr>
        <w:t xml:space="preserve">include a showroom street address. See Section 8.</w:t>
      </w:r>
    </w:p>
    <w:p>
      <w:pPr>
        <w:pStyle w:val="Heading3"/>
        <w:spacing w:after="90" w:before="220"/>
      </w:pPr>
      <w:r>
        <w:rPr>
          <w:rFonts w:ascii="Calibri" w:cs="Calibri" w:eastAsia="Calibri" w:hAnsi="Calibri"/>
          <w:b/>
          <w:bCs/>
          <w:color w:val="C74A00"/>
          <w:sz w:val="22"/>
          <w:szCs w:val="22"/>
        </w:rPr>
        <w:t xml:space="preserve">Social and review profile links — ADD</w:t>
      </w:r>
    </w:p>
    <w:p>
      <w:pPr>
        <w:pStyle w:val="ListParagraph"/>
        <w:numPr>
          <w:ilvl w:val="0"/>
          <w:numId w:val="2"/>
        </w:numPr>
        <w:spacing w:after="70" w:line="276"/>
      </w:pPr>
      <w:r>
        <w:rPr>
          <w:rFonts w:ascii="Calibri" w:cs="Calibri" w:eastAsia="Calibri" w:hAnsi="Calibri"/>
          <w:sz w:val="21"/>
          <w:szCs w:val="21"/>
        </w:rPr>
        <w:t xml:space="preserve">Google, Facebook, Yelp, and Apple business profiles, all four explicitly named on the recording.</w:t>
      </w:r>
    </w:p>
    <w:p>
      <w:pPr>
        <w:pStyle w:val="Heading3"/>
        <w:spacing w:after="90" w:before="220"/>
      </w:pPr>
      <w:r>
        <w:rPr>
          <w:rFonts w:ascii="Calibri" w:cs="Calibri" w:eastAsia="Calibri" w:hAnsi="Calibri"/>
          <w:b/>
          <w:bCs/>
          <w:color w:val="C74A00"/>
          <w:sz w:val="22"/>
          <w:szCs w:val="22"/>
        </w:rPr>
        <w:t xml:space="preserve">Lead capture form — MUST BE FUNCTIONAL</w:t>
      </w:r>
    </w:p>
    <w:p>
      <w:pPr>
        <w:spacing w:after="120" w:line="276"/>
      </w:pPr>
      <w:r>
        <w:rPr>
          <w:rFonts w:ascii="Calibri" w:cs="Calibri" w:eastAsia="Calibri" w:hAnsi="Calibri"/>
          <w:sz w:val="21"/>
          <w:szCs w:val="21"/>
        </w:rPr>
        <w:t xml:space="preserve">The mockup form is not wired. The requirement stated on the call is a form that collects the visitor's details and emails the complete submission to the client so he can follow up.</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2100"/>
        <w:gridCol w:w="1400"/>
        <w:gridCol w:w="5860"/>
      </w:tblGrid>
      <w:tr>
        <w:trPr>
          <w:tblHeader/>
        </w:trPr>
        <w:tc>
          <w:tcPr>
            <w:tcW w:type="dxa" w:w="21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Field</w:t>
            </w:r>
          </w:p>
        </w:tc>
        <w:tc>
          <w:tcPr>
            <w:tcW w:type="dxa" w:w="1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Requirement</w:t>
            </w:r>
          </w:p>
        </w:tc>
        <w:tc>
          <w:tcPr>
            <w:tcW w:type="dxa" w:w="58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Notes</w:t>
            </w:r>
          </w:p>
        </w:tc>
      </w:tr>
      <w:tr>
        <w:tc>
          <w:tcPr>
            <w:tcW w:type="dxa" w:w="21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Name</w:t>
            </w:r>
          </w:p>
        </w:tc>
        <w:tc>
          <w:tcPr>
            <w:tcW w:type="dxa" w:w="14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Required</w:t>
            </w:r>
          </w:p>
        </w:tc>
        <w:tc>
          <w:tcPr>
            <w:tcW w:type="dxa" w:w="58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Explicitly specified on the recording.</w:t>
            </w:r>
          </w:p>
        </w:tc>
      </w:tr>
      <w:tr>
        <w:tc>
          <w:tcPr>
            <w:tcW w:type="dxa" w:w="21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Email</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Required</w:t>
            </w:r>
          </w:p>
        </w:tc>
        <w:tc>
          <w:tcPr>
            <w:tcW w:type="dxa" w:w="58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Explicitly specified. Validate format.</w:t>
            </w:r>
          </w:p>
        </w:tc>
      </w:tr>
      <w:tr>
        <w:tc>
          <w:tcPr>
            <w:tcW w:type="dxa" w:w="21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Phone</w:t>
            </w:r>
          </w:p>
        </w:tc>
        <w:tc>
          <w:tcPr>
            <w:tcW w:type="dxa" w:w="14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Required</w:t>
            </w:r>
          </w:p>
        </w:tc>
        <w:tc>
          <w:tcPr>
            <w:tcW w:type="dxa" w:w="58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Explicitly specified. This is a phone-driven business — the client closes by calling back.</w:t>
            </w:r>
          </w:p>
        </w:tc>
      </w:tr>
      <w:tr>
        <w:tc>
          <w:tcPr>
            <w:tcW w:type="dxa" w:w="21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What they want</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Required</w:t>
            </w:r>
          </w:p>
        </w:tc>
        <w:tc>
          <w:tcPr>
            <w:tcW w:type="dxa" w:w="58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Free-text project description. Explicitly specified.</w:t>
            </w:r>
          </w:p>
        </w:tc>
      </w:tr>
      <w:tr>
        <w:tc>
          <w:tcPr>
            <w:tcW w:type="dxa" w:w="21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Additional fields</w:t>
            </w:r>
          </w:p>
        </w:tc>
        <w:tc>
          <w:tcPr>
            <w:tcW w:type="dxa" w:w="14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Extensible</w:t>
            </w:r>
          </w:p>
        </w:tc>
        <w:tc>
          <w:tcPr>
            <w:tcW w:type="dxa" w:w="58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The client was told more fields can be added if he wants to collect more. He has not specified any yet.</w:t>
            </w:r>
          </w:p>
        </w:tc>
      </w:tr>
    </w:tbl>
    <w:p>
      <w:pPr>
        <w:spacing w:after="80"/>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On field guidance: </w:t>
      </w:r>
      <w:r>
        <w:rPr>
          <w:rFonts w:ascii="Calibri" w:cs="Calibri" w:eastAsia="Calibri" w:hAnsi="Calibri"/>
          <w:sz w:val="21"/>
          <w:szCs w:val="21"/>
        </w:rPr>
        <w:t xml:space="preserve">a light exchange on the recording is worth acting on. The client noted that customers volunteer over-precise measurements — room dimensions to the fraction of an inch — that are not useful at the inquiry stage. The resolution was that the form can be shaped to guide what is submitted. Recommendation: keep the free-text field open, but add placeholder text that steers toward the useful information — rooms involved, approximate square footage, flooring type of interest, and timeline — rather than inviting exact measurements.</w:t>
      </w:r>
    </w:p>
    <w:p>
      <w:pPr>
        <w:spacing w:after="4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DELIVERY REQUIREMENT: </w:t>
            </w:r>
            <w:r>
              <w:rPr>
                <w:rFonts w:ascii="Calibri" w:cs="Calibri" w:eastAsia="Calibri" w:hAnsi="Calibri"/>
                <w:sz w:val="21"/>
                <w:szCs w:val="21"/>
              </w:rPr>
              <w:t xml:space="preserve">The submission must arrive in the client's inbox containing every field submitted, formatted legibly, with a reply-to set to the visitor's email address so he can respond with one tap from his phone.</w:t>
            </w:r>
          </w:p>
        </w:tc>
      </w:tr>
    </w:tbl>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7.12 S11 and S12 — Removals in the contact area</w:t>
      </w:r>
    </w:p>
    <w:p>
      <w:pPr>
        <w:spacing w:after="120" w:line="276"/>
      </w:pPr>
      <w:r>
        <w:rPr>
          <w:rFonts w:ascii="Calibri" w:cs="Calibri" w:eastAsia="Calibri" w:hAnsi="Calibri"/>
          <w:sz w:val="21"/>
          <w:szCs w:val="21"/>
        </w:rPr>
        <w:t xml:space="preserve">Two blocks in the contact area are removed. The first is unambiguous: the showroom location block. The second was indistinct on the recording — the instruction was to remove both — and most likely refers to business hours, which would follow logically since published hours imply a physical location the client does not control. Confirm before removing. See O4.</w:t>
      </w:r>
    </w:p>
    <w:p>
      <w:pPr>
        <w:spacing w:after="6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7.13 S14 — Appointment booking</w:t>
      </w:r>
    </w:p>
    <w:p>
      <w:pPr>
        <w:spacing w:after="120" w:line="276"/>
      </w:pPr>
      <w:r>
        <w:rPr>
          <w:rFonts w:ascii="Calibri" w:cs="Calibri" w:eastAsia="Calibri" w:hAnsi="Calibri"/>
          <w:sz w:val="21"/>
          <w:szCs w:val="21"/>
        </w:rPr>
        <w:t xml:space="preserve">An addition proposed during the session and accepted by the client. A visitor should be able to see the client's availability and self-book a consultation without a phone call. Specification in Section 11.</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8. Positioning Strategy — The Showroom Question</w:t>
      </w:r>
    </w:p>
    <w:p>
      <w:pPr>
        <w:pStyle w:val="Heading2"/>
        <w:spacing w:after="120" w:before="300"/>
      </w:pPr>
      <w:r>
        <w:rPr>
          <w:rFonts w:ascii="Calibri" w:cs="Calibri" w:eastAsia="Calibri" w:hAnsi="Calibri"/>
          <w:b/>
          <w:bCs/>
          <w:color w:val="10365C"/>
          <w:sz w:val="25"/>
          <w:szCs w:val="25"/>
        </w:rPr>
        <w:t xml:space="preserve">8.1 The situation, stated plainly</w:t>
      </w:r>
    </w:p>
    <w:p>
      <w:pPr>
        <w:spacing w:after="120" w:line="276"/>
      </w:pPr>
      <w:r>
        <w:rPr>
          <w:rFonts w:ascii="Calibri" w:cs="Calibri" w:eastAsia="Calibri" w:hAnsi="Calibri"/>
          <w:sz w:val="21"/>
          <w:szCs w:val="21"/>
        </w:rPr>
        <w:t xml:space="preserve">The client does not own a showroom. He has an arrangement with a business partner and uses that partner's showroom and warehouse, paying a small percentage in return. The facility carries the partner's signage. The client described the real-world consequence: customers drive past, see a different company name on the building, and ask about it. He answers honestly — rather than carrying brick-and-mortar overhead, he uses someone else's facility and passes the savings on.</w:t>
      </w:r>
    </w:p>
    <w:p>
      <w:pPr>
        <w:pStyle w:val="Heading2"/>
        <w:spacing w:after="120" w:before="300"/>
      </w:pPr>
      <w:r>
        <w:rPr>
          <w:rFonts w:ascii="Calibri" w:cs="Calibri" w:eastAsia="Calibri" w:hAnsi="Calibri"/>
          <w:b/>
          <w:bCs/>
          <w:color w:val="10365C"/>
          <w:sz w:val="25"/>
          <w:szCs w:val="25"/>
        </w:rPr>
        <w:t xml:space="preserve">8.2 The decision</w:t>
      </w:r>
    </w:p>
    <w:p>
      <w:pPr>
        <w:spacing w:after="120" w:line="276"/>
      </w:pPr>
      <w:r>
        <w:rPr>
          <w:rFonts w:ascii="Calibri" w:cs="Calibri" w:eastAsia="Calibri" w:hAnsi="Calibri"/>
          <w:sz w:val="21"/>
          <w:szCs w:val="21"/>
        </w:rPr>
        <w:t xml:space="preserve">The mockup's showroom block is removed. No showroom address appears on the site. But the absence is not left unexplained — it is reframed. The agreement reached on the call was explicit: the framing determines whether this reads as a weakness or a strength, and the site will frame it as a strength.</w:t>
      </w:r>
    </w:p>
    <w:p>
      <w:pPr>
        <w:spacing w:after="4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POSITIONING LINE — the substance, not the final copy: </w:t>
            </w:r>
            <w:r>
              <w:rPr>
                <w:rFonts w:ascii="Calibri" w:cs="Calibri" w:eastAsia="Calibri" w:hAnsi="Calibri"/>
                <w:sz w:val="21"/>
                <w:szCs w:val="21"/>
              </w:rPr>
              <w:t xml:space="preserve">No brick-and-mortar overhead means lower prices. The savings are passed directly to the customer. This is an advantage of how the business is structured, not a compromise. The client confirmed this is exactly the message he needs.</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8.3 The two consultation paths</w:t>
      </w:r>
    </w:p>
    <w:p>
      <w:pPr>
        <w:spacing w:after="120" w:line="276"/>
      </w:pPr>
      <w:r>
        <w:rPr>
          <w:rFonts w:ascii="Calibri" w:cs="Calibri" w:eastAsia="Calibri" w:hAnsi="Calibri"/>
          <w:sz w:val="21"/>
          <w:szCs w:val="21"/>
        </w:rPr>
        <w:t xml:space="preserve">Rather than publishing a location, the site presents the customer with a choice, which the client then fulfills based on where they live.</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2400"/>
        <w:gridCol w:w="6960"/>
      </w:tblGrid>
      <w:tr>
        <w:trPr>
          <w:tblHeader/>
        </w:trPr>
        <w:tc>
          <w:tcPr>
            <w:tcW w:type="dxa" w:w="2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Path</w:t>
            </w:r>
          </w:p>
        </w:tc>
        <w:tc>
          <w:tcPr>
            <w:tcW w:type="dxa" w:w="69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How it works</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Samples to your home</w:t>
            </w:r>
          </w:p>
        </w:tc>
        <w:tc>
          <w:tcPr>
            <w:tcW w:type="dxa" w:w="69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The client brings physical samples to the customer's home. Removes travel friction entirely and is the stronger option for most residential buyers.</w:t>
            </w:r>
          </w:p>
        </w:tc>
      </w:tr>
      <w:tr>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Meet at the showroom</w:t>
            </w:r>
          </w:p>
        </w:tc>
        <w:tc>
          <w:tcPr>
            <w:tcW w:type="dxa" w:w="69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By appointment only. The customer calls or books, and the client tells them which showroom to attend based on their location — Rock Hill or further north. No address is published in advance.</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8.4 Build requirements</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remove the showroom address block from the homepage.</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present both consultation options on the contact page, phrased as a customer choice.</w:t>
      </w:r>
    </w:p>
    <w:p>
      <w:pPr>
        <w:pStyle w:val="ListParagraph"/>
        <w:numPr>
          <w:ilvl w:val="0"/>
          <w:numId w:val="2"/>
        </w:numPr>
        <w:spacing w:after="70" w:line="276"/>
      </w:pPr>
      <w:r>
        <w:rPr>
          <w:rFonts w:ascii="Calibri" w:cs="Calibri" w:eastAsia="Calibri" w:hAnsi="Calibri"/>
          <w:b/>
          <w:bCs/>
          <w:sz w:val="21"/>
          <w:szCs w:val="21"/>
        </w:rPr>
        <w:t xml:space="preserve">MUST NOT </w:t>
      </w:r>
      <w:r>
        <w:rPr>
          <w:rFonts w:ascii="Calibri" w:cs="Calibri" w:eastAsia="Calibri" w:hAnsi="Calibri"/>
          <w:sz w:val="21"/>
          <w:szCs w:val="21"/>
        </w:rPr>
        <w:t xml:space="preserve">publish any showroom street address, map embed, or directions anywhere on the site.</w:t>
      </w:r>
    </w:p>
    <w:p>
      <w:pPr>
        <w:pStyle w:val="ListParagraph"/>
        <w:numPr>
          <w:ilvl w:val="0"/>
          <w:numId w:val="2"/>
        </w:numPr>
        <w:spacing w:after="70" w:line="276"/>
      </w:pPr>
      <w:r>
        <w:rPr>
          <w:rFonts w:ascii="Calibri" w:cs="Calibri" w:eastAsia="Calibri" w:hAnsi="Calibri"/>
          <w:b/>
          <w:bCs/>
          <w:sz w:val="21"/>
          <w:szCs w:val="21"/>
        </w:rPr>
        <w:t xml:space="preserve">MUST NOT </w:t>
      </w:r>
      <w:r>
        <w:rPr>
          <w:rFonts w:ascii="Calibri" w:cs="Calibri" w:eastAsia="Calibri" w:hAnsi="Calibri"/>
          <w:sz w:val="21"/>
          <w:szCs w:val="21"/>
        </w:rPr>
        <w:t xml:space="preserve">publish showroom hours — see O4.</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place the savings-advantage message near the consultation options, so a visitor wondering why there is no address gets the answer in the same glance.</w:t>
      </w:r>
    </w:p>
    <w:p>
      <w:pPr>
        <w:pStyle w:val="ListParagraph"/>
        <w:numPr>
          <w:ilvl w:val="0"/>
          <w:numId w:val="2"/>
        </w:numPr>
        <w:spacing w:after="70" w:line="276"/>
      </w:pPr>
      <w:r>
        <w:rPr>
          <w:rFonts w:ascii="Calibri" w:cs="Calibri" w:eastAsia="Calibri" w:hAnsi="Calibri"/>
          <w:b/>
          <w:bCs/>
          <w:sz w:val="21"/>
          <w:szCs w:val="21"/>
        </w:rPr>
        <w:t xml:space="preserve">RECOMMENDED </w:t>
      </w:r>
      <w:r>
        <w:rPr>
          <w:rFonts w:ascii="Calibri" w:cs="Calibri" w:eastAsia="Calibri" w:hAnsi="Calibri"/>
          <w:sz w:val="21"/>
          <w:szCs w:val="21"/>
        </w:rPr>
        <w:t xml:space="preserve">add a preference selector to the lead form — "samples at my home" or "meet at a showroom" — which pre-qualifies the lead and saves the client a round trip on the callback.</w:t>
      </w:r>
    </w:p>
    <w:p>
      <w:pPr>
        <w:spacing w:after="6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DO NOT BUILD: </w:t>
            </w:r>
            <w:r>
              <w:rPr>
                <w:rFonts w:ascii="Calibri" w:cs="Calibri" w:eastAsia="Calibri" w:hAnsi="Calibri"/>
                <w:sz w:val="21"/>
                <w:szCs w:val="21"/>
              </w:rPr>
              <w:t xml:space="preserve">No location page. No embedded map. No "visit our showroom" call to action. No structured-data address. Every one of these creates the exact problem the client described — a customer arriving at a building with someone else's name on it.</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9. Brand Partners, Product Imagery, and the No-Outbound-Link Rule</w:t>
      </w:r>
    </w:p>
    <w:p>
      <w:pPr>
        <w:pStyle w:val="Heading2"/>
        <w:spacing w:after="120" w:before="300"/>
      </w:pPr>
      <w:r>
        <w:rPr>
          <w:rFonts w:ascii="Calibri" w:cs="Calibri" w:eastAsia="Calibri" w:hAnsi="Calibri"/>
          <w:b/>
          <w:bCs/>
          <w:color w:val="10365C"/>
          <w:sz w:val="25"/>
          <w:szCs w:val="25"/>
        </w:rPr>
        <w:t xml:space="preserve">9.1 What happened on the call</w:t>
      </w:r>
    </w:p>
    <w:p>
      <w:pPr>
        <w:spacing w:after="120" w:line="276"/>
      </w:pPr>
      <w:r>
        <w:rPr>
          <w:rFonts w:ascii="Calibri" w:cs="Calibri" w:eastAsia="Calibri" w:hAnsi="Calibri"/>
          <w:sz w:val="21"/>
          <w:szCs w:val="21"/>
        </w:rPr>
        <w:t xml:space="preserve">The client raised a plan to contact his Shaw and Mohawk representatives to ask for co-op marketing money to help fund the website, on the basis that the site will feature their products. He then proposed, as the mechanism for showing product ranges, linking from his site to the manufacturers' own websites where the full catalogs live.</w:t>
      </w:r>
    </w:p>
    <w:p>
      <w:pPr>
        <w:spacing w:after="120" w:line="276"/>
      </w:pPr>
      <w:r>
        <w:rPr>
          <w:rFonts w:ascii="Calibri" w:cs="Calibri" w:eastAsia="Calibri" w:hAnsi="Calibri"/>
          <w:sz w:val="21"/>
          <w:szCs w:val="21"/>
        </w:rPr>
        <w:t xml:space="preserve">That proposal was challenged during the session and the client reversed it within the same exchange. The reasoning he accepted:</w:t>
      </w:r>
    </w:p>
    <w:p>
      <w:pPr>
        <w:pStyle w:val="ListParagraph"/>
        <w:numPr>
          <w:ilvl w:val="0"/>
          <w:numId w:val="3"/>
        </w:numPr>
        <w:spacing w:after="70" w:line="276"/>
      </w:pPr>
      <w:r>
        <w:rPr>
          <w:rFonts w:ascii="Calibri" w:cs="Calibri" w:eastAsia="Calibri" w:hAnsi="Calibri"/>
          <w:sz w:val="21"/>
          <w:szCs w:val="21"/>
        </w:rPr>
        <w:t xml:space="preserve">A link to a manufacturer site sends a warm, interested visitor away from his site.</w:t>
      </w:r>
    </w:p>
    <w:p>
      <w:pPr>
        <w:pStyle w:val="ListParagraph"/>
        <w:numPr>
          <w:ilvl w:val="0"/>
          <w:numId w:val="3"/>
        </w:numPr>
        <w:spacing w:after="70" w:line="276"/>
      </w:pPr>
      <w:r>
        <w:rPr>
          <w:rFonts w:ascii="Calibri" w:cs="Calibri" w:eastAsia="Calibri" w:hAnsi="Calibri"/>
          <w:sz w:val="21"/>
          <w:szCs w:val="21"/>
        </w:rPr>
        <w:t xml:space="preserve">Once on the manufacturer site, the visitor is exposed to other products and may forget where they started.</w:t>
      </w:r>
    </w:p>
    <w:p>
      <w:pPr>
        <w:pStyle w:val="ListParagraph"/>
        <w:numPr>
          <w:ilvl w:val="0"/>
          <w:numId w:val="3"/>
        </w:numPr>
        <w:spacing w:after="70" w:line="276"/>
      </w:pPr>
      <w:r>
        <w:rPr>
          <w:rFonts w:ascii="Calibri" w:cs="Calibri" w:eastAsia="Calibri" w:hAnsi="Calibri"/>
          <w:sz w:val="21"/>
          <w:szCs w:val="21"/>
        </w:rPr>
        <w:t xml:space="preserve">Manufacturer sites carry "where to buy" pages listing local dealers — which means his own site would be routing his leads to his competitors.</w:t>
      </w:r>
    </w:p>
    <w:p>
      <w:pPr>
        <w:spacing w:after="60"/>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The client's conclusion, verbatim in substance: that is exactly why it needs to be on his site.</w:t>
      </w:r>
    </w:p>
    <w:p>
      <w:pPr>
        <w:spacing w:after="4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HARD RULE: </w:t>
            </w:r>
            <w:r>
              <w:rPr>
                <w:rFonts w:ascii="Calibri" w:cs="Calibri" w:eastAsia="Calibri" w:hAnsi="Calibri"/>
                <w:sz w:val="21"/>
                <w:szCs w:val="21"/>
              </w:rPr>
              <w:t xml:space="preserve">No outbound links to Shaw, Mohawk, or any other manufacturer or supplier website, anywhere on the site. No brand logo links out. No "view the full range at..." links. Any product exploration happens on davidagwilt.com.</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9.2 The replacement mechanism</w:t>
      </w:r>
    </w:p>
    <w:p>
      <w:pPr>
        <w:spacing w:after="120" w:line="276"/>
      </w:pPr>
      <w:r>
        <w:rPr>
          <w:rFonts w:ascii="Calibri" w:cs="Calibri" w:eastAsia="Calibri" w:hAnsi="Calibri"/>
          <w:sz w:val="21"/>
          <w:szCs w:val="21"/>
        </w:rPr>
        <w:t xml:space="preserve">Instead of linking out, the site hosts the product imagery natively. The route to that imagery is the reps.</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3300"/>
        <w:gridCol w:w="2400"/>
        <w:gridCol w:w="29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33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Action</w:t>
            </w:r>
          </w:p>
        </w:tc>
        <w:tc>
          <w:tcPr>
            <w:tcW w:type="dxa" w:w="2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Owner</w:t>
            </w:r>
          </w:p>
        </w:tc>
        <w:tc>
          <w:tcPr>
            <w:tcW w:type="dxa" w:w="29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Purpose</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B1</w:t>
            </w:r>
          </w:p>
        </w:tc>
        <w:tc>
          <w:tcPr>
            <w:tcW w:type="dxa" w:w="33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the Shaw rep and the Mohawk rep</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c>
          <w:tcPr>
            <w:tcW w:type="dxa" w:w="29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Open the conversation on both co-op and assets</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B2</w:t>
            </w:r>
          </w:p>
        </w:tc>
        <w:tc>
          <w:tcPr>
            <w:tcW w:type="dxa" w:w="33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Request co-op marketing funds toward the website build in exchange for featuring their products</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c>
          <w:tcPr>
            <w:tcW w:type="dxa" w:w="29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Offsets build cost — client estimated it may be modest, in the range of fifty to a hundred dollars, but it is worth asking</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B3</w:t>
            </w:r>
          </w:p>
        </w:tc>
        <w:tc>
          <w:tcPr>
            <w:tcW w:type="dxa" w:w="33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Request product and color image libraries — e.g. every color of a vinyl product line</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c>
          <w:tcPr>
            <w:tcW w:type="dxa" w:w="29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This is the material substitute for outbound linking, and the more valuable ask of the two</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B4</w:t>
            </w:r>
          </w:p>
        </w:tc>
        <w:tc>
          <w:tcPr>
            <w:tcW w:type="dxa" w:w="33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Obtain written permission to display brand logos and product imagery</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 Developer</w:t>
            </w:r>
          </w:p>
        </w:tc>
        <w:tc>
          <w:tcPr>
            <w:tcW w:type="dxa" w:w="29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Trademark and co-op compliance before publishing</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B5</w:t>
            </w:r>
          </w:p>
        </w:tc>
        <w:tc>
          <w:tcPr>
            <w:tcW w:type="dxa" w:w="33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Build on-site brand and product pages from the supplied imagery</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c>
          <w:tcPr>
            <w:tcW w:type="dxa" w:w="29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Visitor explores the full range without leaving the site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B6</w:t>
            </w:r>
          </w:p>
        </w:tc>
        <w:tc>
          <w:tcPr>
            <w:tcW w:type="dxa" w:w="33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Supply the complete, corrected brand list</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c>
          <w:tcPr>
            <w:tcW w:type="dxa" w:w="29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displayed list is incomplete — see O9</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9.3 Build specification for on-site product browsing</w:t>
      </w:r>
    </w:p>
    <w:p>
      <w:pPr>
        <w:pStyle w:val="ListParagraph"/>
        <w:numPr>
          <w:ilvl w:val="0"/>
          <w:numId w:val="2"/>
        </w:numPr>
        <w:spacing w:after="70" w:line="276"/>
      </w:pPr>
      <w:r>
        <w:rPr>
          <w:rFonts w:ascii="Calibri" w:cs="Calibri" w:eastAsia="Calibri" w:hAnsi="Calibri"/>
          <w:sz w:val="21"/>
          <w:szCs w:val="21"/>
        </w:rPr>
        <w:t xml:space="preserve">Each brand carried gets an on-site page or filtered gallery view.</w:t>
      </w:r>
    </w:p>
    <w:p>
      <w:pPr>
        <w:pStyle w:val="ListParagraph"/>
        <w:numPr>
          <w:ilvl w:val="0"/>
          <w:numId w:val="2"/>
        </w:numPr>
        <w:spacing w:after="70" w:line="276"/>
      </w:pPr>
      <w:r>
        <w:rPr>
          <w:rFonts w:ascii="Calibri" w:cs="Calibri" w:eastAsia="Calibri" w:hAnsi="Calibri"/>
          <w:sz w:val="21"/>
          <w:szCs w:val="21"/>
        </w:rPr>
        <w:t xml:space="preserve">Product lines within a brand are displayed with swatch or color imagery supplied by the rep.</w:t>
      </w:r>
    </w:p>
    <w:p>
      <w:pPr>
        <w:pStyle w:val="ListParagraph"/>
        <w:numPr>
          <w:ilvl w:val="0"/>
          <w:numId w:val="2"/>
        </w:numPr>
        <w:spacing w:after="70" w:line="276"/>
      </w:pPr>
      <w:r>
        <w:rPr>
          <w:rFonts w:ascii="Calibri" w:cs="Calibri" w:eastAsia="Calibri" w:hAnsi="Calibri"/>
          <w:sz w:val="21"/>
          <w:szCs w:val="21"/>
        </w:rPr>
        <w:t xml:space="preserve">Every product view ends in a call to action that stays on site — request a sample, book a consultation, or ask about this product.</w:t>
      </w:r>
    </w:p>
    <w:p>
      <w:pPr>
        <w:pStyle w:val="ListParagraph"/>
        <w:numPr>
          <w:ilvl w:val="0"/>
          <w:numId w:val="2"/>
        </w:numPr>
        <w:spacing w:after="70" w:line="276"/>
      </w:pPr>
      <w:r>
        <w:rPr>
          <w:rFonts w:ascii="Calibri" w:cs="Calibri" w:eastAsia="Calibri" w:hAnsi="Calibri"/>
          <w:sz w:val="21"/>
          <w:szCs w:val="21"/>
        </w:rPr>
        <w:t xml:space="preserve">RECOMMENDED: capture which brand or product a visitor was viewing when they submit the form. This tells the client what to bring on the sample visit before he ever picks up the phone.</w:t>
      </w:r>
    </w:p>
    <w:p>
      <w:pPr>
        <w:pStyle w:val="ListParagraph"/>
        <w:numPr>
          <w:ilvl w:val="0"/>
          <w:numId w:val="2"/>
        </w:numPr>
        <w:spacing w:after="70" w:line="276"/>
      </w:pPr>
      <w:r>
        <w:rPr>
          <w:rFonts w:ascii="Calibri" w:cs="Calibri" w:eastAsia="Calibri" w:hAnsi="Calibri"/>
          <w:sz w:val="21"/>
          <w:szCs w:val="21"/>
        </w:rPr>
        <w:t xml:space="preserve">Image optimization matters here more than anywhere else on the site. Color libraries mean dozens to hundreds of images. Serve modern formats, lazy-load below the fold, and size responsively, or the page will be unusable on mobile data.</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10. Media and Content Pipeline</w:t>
      </w:r>
    </w:p>
    <w:p>
      <w:pPr>
        <w:pStyle w:val="Heading2"/>
        <w:spacing w:after="120" w:before="300"/>
      </w:pPr>
      <w:r>
        <w:rPr>
          <w:rFonts w:ascii="Calibri" w:cs="Calibri" w:eastAsia="Calibri" w:hAnsi="Calibri"/>
          <w:b/>
          <w:bCs/>
          <w:color w:val="10365C"/>
          <w:sz w:val="25"/>
          <w:szCs w:val="25"/>
        </w:rPr>
        <w:t xml:space="preserve">10.1 The critical path</w:t>
      </w:r>
    </w:p>
    <w:p>
      <w:pPr>
        <w:spacing w:after="120" w:line="276"/>
      </w:pPr>
      <w:r>
        <w:rPr>
          <w:rFonts w:ascii="Calibri" w:cs="Calibri" w:eastAsia="Calibri" w:hAnsi="Calibri"/>
          <w:sz w:val="21"/>
          <w:szCs w:val="21"/>
        </w:rPr>
        <w:t xml:space="preserve">This is the item most likely to delay launch, and it was identified as such during the session. The closing exchange assigned the client a single deliverable: come up with what he wants the site to actually say, and gather pictures and videos. The template can be built without this. The site cannot launch without it.</w:t>
      </w:r>
    </w:p>
    <w:p>
      <w:pPr>
        <w:pStyle w:val="Heading2"/>
        <w:spacing w:after="120" w:before="300"/>
      </w:pPr>
      <w:r>
        <w:rPr>
          <w:rFonts w:ascii="Calibri" w:cs="Calibri" w:eastAsia="Calibri" w:hAnsi="Calibri"/>
          <w:b/>
          <w:bCs/>
          <w:color w:val="10365C"/>
          <w:sz w:val="25"/>
          <w:szCs w:val="25"/>
        </w:rPr>
        <w:t xml:space="preserve">10.2 What the client owes</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2200"/>
        <w:gridCol w:w="1200"/>
        <w:gridCol w:w="5960"/>
      </w:tblGrid>
      <w:tr>
        <w:trPr>
          <w:tblHeader/>
        </w:trPr>
        <w:tc>
          <w:tcPr>
            <w:tcW w:type="dxa" w:w="22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Asset</w:t>
            </w:r>
          </w:p>
        </w:tc>
        <w:tc>
          <w:tcPr>
            <w:tcW w:type="dxa" w:w="12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Status</w:t>
            </w:r>
          </w:p>
        </w:tc>
        <w:tc>
          <w:tcPr>
            <w:tcW w:type="dxa" w:w="59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Detail</w:t>
            </w:r>
          </w:p>
        </w:tc>
      </w:tr>
      <w:tr>
        <w:tc>
          <w:tcPr>
            <w:tcW w:type="dxa" w:w="22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Website copy</w:t>
            </w:r>
          </w:p>
        </w:tc>
        <w:tc>
          <w:tcPr>
            <w:tcW w:type="dxa" w:w="12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Not started</w:t>
            </w:r>
          </w:p>
        </w:tc>
        <w:tc>
          <w:tcPr>
            <w:tcW w:type="dxa" w:w="59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All placeholder copy is disposable. The client writes the real copy, with assistance available.</w:t>
            </w:r>
          </w:p>
        </w:tc>
      </w:tr>
      <w:tr>
        <w:tc>
          <w:tcPr>
            <w:tcW w:type="dxa" w:w="22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Job photographs</w:t>
            </w:r>
          </w:p>
        </w:tc>
        <w:tc>
          <w:tcPr>
            <w:tcW w:type="dxa" w:w="12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Partial</w:t>
            </w:r>
          </w:p>
        </w:tc>
        <w:tc>
          <w:tcPr>
            <w:tcW w:type="dxa" w:w="59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A library exists. Coverage is inconsistent — some jobs have before and after, many have only one state.</w:t>
            </w:r>
          </w:p>
        </w:tc>
      </w:tr>
      <w:tr>
        <w:tc>
          <w:tcPr>
            <w:tcW w:type="dxa" w:w="22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Job video</w:t>
            </w:r>
          </w:p>
        </w:tc>
        <w:tc>
          <w:tcPr>
            <w:tcW w:type="dxa" w:w="12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Some exists</w:t>
            </w:r>
          </w:p>
        </w:tc>
        <w:tc>
          <w:tcPr>
            <w:tcW w:type="dxa" w:w="59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The client shoots installation footage. Confirmed as usable in the gallery.</w:t>
            </w:r>
          </w:p>
        </w:tc>
      </w:tr>
      <w:tr>
        <w:tc>
          <w:tcPr>
            <w:tcW w:type="dxa" w:w="22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Introduction video</w:t>
            </w:r>
          </w:p>
        </w:tc>
        <w:tc>
          <w:tcPr>
            <w:tcW w:type="dxa" w:w="12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Not recorded</w:t>
            </w:r>
          </w:p>
        </w:tc>
        <w:tc>
          <w:tcPr>
            <w:tcW w:type="dxa" w:w="59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Possible but uncommitted — see O11.</w:t>
            </w:r>
          </w:p>
        </w:tc>
      </w:tr>
      <w:tr>
        <w:tc>
          <w:tcPr>
            <w:tcW w:type="dxa" w:w="22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New photo of the client</w:t>
            </w:r>
          </w:p>
        </w:tc>
        <w:tc>
          <w:tcPr>
            <w:tcW w:type="dxa" w:w="12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Required</w:t>
            </w:r>
          </w:p>
        </w:tc>
        <w:tc>
          <w:tcPr>
            <w:tcW w:type="dxa" w:w="59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Client identified this himself as needed.</w:t>
            </w:r>
          </w:p>
        </w:tc>
      </w:tr>
      <w:tr>
        <w:tc>
          <w:tcPr>
            <w:tcW w:type="dxa" w:w="22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Complete brand list</w:t>
            </w:r>
          </w:p>
        </w:tc>
        <w:tc>
          <w:tcPr>
            <w:tcW w:type="dxa" w:w="12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Required</w:t>
            </w:r>
          </w:p>
        </w:tc>
        <w:tc>
          <w:tcPr>
            <w:tcW w:type="dxa" w:w="59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Current list is incomplete.</w:t>
            </w:r>
          </w:p>
        </w:tc>
      </w:tr>
      <w:tr>
        <w:tc>
          <w:tcPr>
            <w:tcW w:type="dxa" w:w="22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Product imagery</w:t>
            </w:r>
          </w:p>
        </w:tc>
        <w:tc>
          <w:tcPr>
            <w:tcW w:type="dxa" w:w="12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Pending reps</w:t>
            </w:r>
          </w:p>
        </w:tc>
        <w:tc>
          <w:tcPr>
            <w:tcW w:type="dxa" w:w="59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To come from Shaw and Mohawk — see Section 9.</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10.3 The standing photo protocol</w:t>
      </w:r>
    </w:p>
    <w:p>
      <w:pPr>
        <w:spacing w:after="120" w:line="276"/>
      </w:pPr>
      <w:r>
        <w:rPr>
          <w:rFonts w:ascii="Calibri" w:cs="Calibri" w:eastAsia="Calibri" w:hAnsi="Calibri"/>
          <w:sz w:val="21"/>
          <w:szCs w:val="21"/>
        </w:rPr>
        <w:t xml:space="preserve">A durable operational change was agreed. Going forward, every new job is photographed at the beginning and at completion, and the pair is presented together to show the transformation. The client noted he already tells his crews to do this and that compliance is inconsistent.</w:t>
      </w:r>
    </w:p>
    <w:p>
      <w:pPr>
        <w:spacing w:after="4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RECOMMENDED — remove the friction: </w:t>
            </w:r>
            <w:r>
              <w:rPr>
                <w:rFonts w:ascii="Calibri" w:cs="Calibri" w:eastAsia="Calibri" w:hAnsi="Calibri"/>
                <w:sz w:val="21"/>
                <w:szCs w:val="21"/>
              </w:rPr>
              <w:t xml:space="preserve">Set up a single shared cloud photo album that the crews can upload to directly from their phones with no login step and no file naming convention. Compliance with a photo protocol is an interface problem, not a discipline problem. A one-tap upload target will produce a usable library; a request to email photos to the office will not.</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10.4 Copywriting support</w:t>
      </w:r>
    </w:p>
    <w:p>
      <w:pPr>
        <w:spacing w:after="120" w:line="276"/>
      </w:pPr>
      <w:r>
        <w:rPr>
          <w:rFonts w:ascii="Calibri" w:cs="Calibri" w:eastAsia="Calibri" w:hAnsi="Calibri"/>
          <w:sz w:val="21"/>
          <w:szCs w:val="21"/>
        </w:rPr>
        <w:t xml:space="preserve">The client was told directly that producing the copy does not have to fall entirely on him and that AI assistance is available. This should be actioned rather than left as a polite offer — the content bottleneck is the single largest launch risk on this project.</w:t>
      </w:r>
    </w:p>
    <w:p>
      <w:pPr>
        <w:pStyle w:val="ListParagraph"/>
        <w:numPr>
          <w:ilvl w:val="0"/>
          <w:numId w:val="2"/>
        </w:numPr>
        <w:spacing w:after="70" w:line="276"/>
      </w:pPr>
      <w:r>
        <w:rPr>
          <w:rFonts w:ascii="Calibri" w:cs="Calibri" w:eastAsia="Calibri" w:hAnsi="Calibri"/>
          <w:sz w:val="21"/>
          <w:szCs w:val="21"/>
        </w:rPr>
        <w:t xml:space="preserve">RECOMMENDED: draft the full site copy from this document and the recording, then send it to the client to edit rather than to write. Editing is materially faster than authoring and the client has a business to run.</w:t>
      </w:r>
    </w:p>
    <w:p>
      <w:pPr>
        <w:pStyle w:val="ListParagraph"/>
        <w:numPr>
          <w:ilvl w:val="0"/>
          <w:numId w:val="2"/>
        </w:numPr>
        <w:spacing w:after="70" w:line="276"/>
      </w:pPr>
      <w:r>
        <w:rPr>
          <w:rFonts w:ascii="Calibri" w:cs="Calibri" w:eastAsia="Calibri" w:hAnsi="Calibri"/>
          <w:sz w:val="21"/>
          <w:szCs w:val="21"/>
        </w:rPr>
        <w:t xml:space="preserve">RECOMMENDED: the client's own phrasing from the recording is better marketing copy than anything generic — particularly his explanation of how using a partner's showroom keeps his pricing down. Mine the transcript for his voice.</w:t>
      </w:r>
    </w:p>
    <w:p>
      <w:pPr>
        <w:spacing w:after="6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10.5 Rights and releases</w:t>
      </w:r>
    </w:p>
    <w:p>
      <w:pPr>
        <w:pStyle w:val="ListParagraph"/>
        <w:numPr>
          <w:ilvl w:val="0"/>
          <w:numId w:val="2"/>
        </w:numPr>
        <w:spacing w:after="70" w:line="276"/>
      </w:pPr>
      <w:r>
        <w:rPr>
          <w:rFonts w:ascii="Calibri" w:cs="Calibri" w:eastAsia="Calibri" w:hAnsi="Calibri"/>
          <w:sz w:val="21"/>
          <w:szCs w:val="21"/>
        </w:rPr>
        <w:t xml:space="preserve">RECOMMENDED: obtain a simple written photo release for jobs performed in identifiable private homes before publishing images, particularly where a customer is named. One example customer was referred to by first name during the session.</w:t>
      </w:r>
    </w:p>
    <w:p>
      <w:pPr>
        <w:pStyle w:val="ListParagraph"/>
        <w:numPr>
          <w:ilvl w:val="0"/>
          <w:numId w:val="2"/>
        </w:numPr>
        <w:spacing w:after="70" w:line="276"/>
      </w:pPr>
      <w:r>
        <w:rPr>
          <w:rFonts w:ascii="Calibri" w:cs="Calibri" w:eastAsia="Calibri" w:hAnsi="Calibri"/>
          <w:sz w:val="21"/>
          <w:szCs w:val="21"/>
        </w:rPr>
        <w:t xml:space="preserve">RECOMMENDED: confirm the client owns or has rights to all footage shot by crew members on personal devices.</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11. Lead Capture, Scheduling, and Integrations</w:t>
      </w:r>
    </w:p>
    <w:p>
      <w:pPr>
        <w:pStyle w:val="Heading2"/>
        <w:spacing w:after="120" w:before="300"/>
      </w:pPr>
      <w:r>
        <w:rPr>
          <w:rFonts w:ascii="Calibri" w:cs="Calibri" w:eastAsia="Calibri" w:hAnsi="Calibri"/>
          <w:b/>
          <w:bCs/>
          <w:color w:val="10365C"/>
          <w:sz w:val="25"/>
          <w:szCs w:val="25"/>
        </w:rPr>
        <w:t xml:space="preserve">11.1 The lead form</w:t>
      </w:r>
    </w:p>
    <w:p>
      <w:pPr>
        <w:spacing w:after="120" w:line="276"/>
      </w:pPr>
      <w:r>
        <w:rPr>
          <w:rFonts w:ascii="Calibri" w:cs="Calibri" w:eastAsia="Calibri" w:hAnsi="Calibri"/>
          <w:sz w:val="21"/>
          <w:szCs w:val="21"/>
        </w:rPr>
        <w:t xml:space="preserve">Specified in Section 7.11. Summary of the build obligation: a functional form capturing name, email, phone, and project description, emailing the complete submission to the client. Currently unwired in the mockup.</w:t>
      </w:r>
    </w:p>
    <w:p>
      <w:pPr>
        <w:pStyle w:val="Heading2"/>
        <w:spacing w:after="120" w:before="300"/>
      </w:pPr>
      <w:r>
        <w:rPr>
          <w:rFonts w:ascii="Calibri" w:cs="Calibri" w:eastAsia="Calibri" w:hAnsi="Calibri"/>
          <w:b/>
          <w:bCs/>
          <w:color w:val="10365C"/>
          <w:sz w:val="25"/>
          <w:szCs w:val="25"/>
        </w:rPr>
        <w:t xml:space="preserve">11.2 Appointment booking</w:t>
      </w:r>
    </w:p>
    <w:p>
      <w:pPr>
        <w:spacing w:after="120" w:line="276"/>
      </w:pPr>
      <w:r>
        <w:rPr>
          <w:rFonts w:ascii="Calibri" w:cs="Calibri" w:eastAsia="Calibri" w:hAnsi="Calibri"/>
          <w:sz w:val="21"/>
          <w:szCs w:val="21"/>
        </w:rPr>
        <w:t xml:space="preserve">Proposed during the session and accepted. The requirement as described: a visitor can see the client's availability, select a slot — the example given was next Tuesday at one o'clock — and book a thirty-minute consultation. The mechanism agreed was Google, alongside setting up a Google Business presence. Setup assistance was offered and accepted; the client asked how it would be done and was told it would be handled for him.</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2400"/>
        <w:gridCol w:w="6960"/>
      </w:tblGrid>
      <w:tr>
        <w:trPr>
          <w:tblHeader/>
        </w:trPr>
        <w:tc>
          <w:tcPr>
            <w:tcW w:type="dxa" w:w="2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Element</w:t>
            </w:r>
          </w:p>
        </w:tc>
        <w:tc>
          <w:tcPr>
            <w:tcW w:type="dxa" w:w="69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Specification</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Platform</w:t>
            </w:r>
          </w:p>
        </w:tc>
        <w:tc>
          <w:tcPr>
            <w:tcW w:type="dxa" w:w="69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Google — Business Profile plus calendar-based appointment booking.</w:t>
            </w:r>
          </w:p>
        </w:tc>
      </w:tr>
      <w:tr>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Slot length</w:t>
            </w:r>
          </w:p>
        </w:tc>
        <w:tc>
          <w:tcPr>
            <w:tcW w:type="dxa" w:w="69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Thirty minutes, as specified on the call.</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Availability</w:t>
            </w:r>
          </w:p>
        </w:tc>
        <w:tc>
          <w:tcPr>
            <w:tcW w:type="dxa" w:w="69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Driven by the client's real calendar so he is never double-booked.</w:t>
            </w:r>
          </w:p>
        </w:tc>
      </w:tr>
      <w:tr>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Placement</w:t>
            </w:r>
          </w:p>
        </w:tc>
        <w:tc>
          <w:tcPr>
            <w:tcW w:type="dxa" w:w="69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Reachable from the hero CTA, the contact section, and the persistent navigation.</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Confirmation</w:t>
            </w:r>
          </w:p>
        </w:tc>
        <w:tc>
          <w:tcPr>
            <w:tcW w:type="dxa" w:w="69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Automatic confirmation to the customer and to the client, with calendar invitations to both.</w:t>
            </w:r>
          </w:p>
        </w:tc>
      </w:tr>
      <w:tr>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Listing type</w:t>
            </w:r>
          </w:p>
        </w:tc>
        <w:tc>
          <w:tcPr>
            <w:tcW w:type="dxa" w:w="69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RECOMMENDED: configure the Google Business Profile as a service-area business with no published street address, consistent with Section 8.</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11.3 Integration checklist</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2600"/>
        <w:gridCol w:w="1400"/>
        <w:gridCol w:w="46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26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Integration</w:t>
            </w:r>
          </w:p>
        </w:tc>
        <w:tc>
          <w:tcPr>
            <w:tcW w:type="dxa" w:w="1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Source</w:t>
            </w:r>
          </w:p>
        </w:tc>
        <w:tc>
          <w:tcPr>
            <w:tcW w:type="dxa" w:w="46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Notes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I1</w:t>
            </w:r>
          </w:p>
        </w:tc>
        <w:tc>
          <w:tcPr>
            <w:tcW w:type="dxa" w:w="26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Form-to-email delivery</w:t>
            </w:r>
          </w:p>
        </w:tc>
        <w:tc>
          <w:tcPr>
            <w:tcW w:type="dxa" w:w="1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Recording</w:t>
            </w:r>
          </w:p>
        </w:tc>
        <w:tc>
          <w:tcPr>
            <w:tcW w:type="dxa" w:w="46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Explicitly required. Reply-to must be the visitor's address.</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I2</w:t>
            </w:r>
          </w:p>
        </w:tc>
        <w:tc>
          <w:tcPr>
            <w:tcW w:type="dxa" w:w="26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Google Business Profile</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Recording</w:t>
            </w:r>
          </w:p>
        </w:tc>
        <w:tc>
          <w:tcPr>
            <w:tcW w:type="dxa" w:w="46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To be created. Service-area configuration recommended.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I3</w:t>
            </w:r>
          </w:p>
        </w:tc>
        <w:tc>
          <w:tcPr>
            <w:tcW w:type="dxa" w:w="26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Calendar booking, 30-min slots</w:t>
            </w:r>
          </w:p>
        </w:tc>
        <w:tc>
          <w:tcPr>
            <w:tcW w:type="dxa" w:w="1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Recording</w:t>
            </w:r>
          </w:p>
        </w:tc>
        <w:tc>
          <w:tcPr>
            <w:tcW w:type="dxa" w:w="46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Explicitly required.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I4</w:t>
            </w:r>
          </w:p>
        </w:tc>
        <w:tc>
          <w:tcPr>
            <w:tcW w:type="dxa" w:w="26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Google review profile link</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Recording</w:t>
            </w:r>
          </w:p>
        </w:tc>
        <w:tc>
          <w:tcPr>
            <w:tcW w:type="dxa" w:w="46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section.</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I5</w:t>
            </w:r>
          </w:p>
        </w:tc>
        <w:tc>
          <w:tcPr>
            <w:tcW w:type="dxa" w:w="26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Facebook profile link</w:t>
            </w:r>
          </w:p>
        </w:tc>
        <w:tc>
          <w:tcPr>
            <w:tcW w:type="dxa" w:w="1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Recording</w:t>
            </w:r>
          </w:p>
        </w:tc>
        <w:tc>
          <w:tcPr>
            <w:tcW w:type="dxa" w:w="46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section.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I6</w:t>
            </w:r>
          </w:p>
        </w:tc>
        <w:tc>
          <w:tcPr>
            <w:tcW w:type="dxa" w:w="26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Yelp profile link</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Recording</w:t>
            </w:r>
          </w:p>
        </w:tc>
        <w:tc>
          <w:tcPr>
            <w:tcW w:type="dxa" w:w="46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section.</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I7</w:t>
            </w:r>
          </w:p>
        </w:tc>
        <w:tc>
          <w:tcPr>
            <w:tcW w:type="dxa" w:w="26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Apple business profile link</w:t>
            </w:r>
          </w:p>
        </w:tc>
        <w:tc>
          <w:tcPr>
            <w:tcW w:type="dxa" w:w="1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Recording</w:t>
            </w:r>
          </w:p>
        </w:tc>
        <w:tc>
          <w:tcPr>
            <w:tcW w:type="dxa" w:w="46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section.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I8</w:t>
            </w:r>
          </w:p>
        </w:tc>
        <w:tc>
          <w:tcPr>
            <w:tcW w:type="dxa" w:w="26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Spam protection on the form</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Recommended</w:t>
            </w:r>
          </w:p>
        </w:tc>
        <w:tc>
          <w:tcPr>
            <w:tcW w:type="dxa" w:w="46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Honeypot plus invisible challenge. A public phone-and-email form will attract bot traffic.</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I9</w:t>
            </w:r>
          </w:p>
        </w:tc>
        <w:tc>
          <w:tcPr>
            <w:tcW w:type="dxa" w:w="26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Analytics</w:t>
            </w:r>
          </w:p>
        </w:tc>
        <w:tc>
          <w:tcPr>
            <w:tcW w:type="dxa" w:w="1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Recommended</w:t>
            </w:r>
          </w:p>
        </w:tc>
        <w:tc>
          <w:tcPr>
            <w:tcW w:type="dxa" w:w="46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Basic traffic and conversion measurement so form performance is knowable.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I10</w:t>
            </w:r>
          </w:p>
        </w:tc>
        <w:tc>
          <w:tcPr>
            <w:tcW w:type="dxa" w:w="26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Click-to-call on mobile</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Recommended</w:t>
            </w:r>
          </w:p>
        </w:tc>
        <w:tc>
          <w:tcPr>
            <w:tcW w:type="dxa" w:w="46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Phone-driven business. A tappable number in a persistent mobile bar.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I11</w:t>
            </w:r>
          </w:p>
        </w:tc>
        <w:tc>
          <w:tcPr>
            <w:tcW w:type="dxa" w:w="26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Autoresponder to the customer</w:t>
            </w:r>
          </w:p>
        </w:tc>
        <w:tc>
          <w:tcPr>
            <w:tcW w:type="dxa" w:w="1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Recommended</w:t>
            </w:r>
          </w:p>
        </w:tc>
        <w:tc>
          <w:tcPr>
            <w:tcW w:type="dxa" w:w="46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Immediate acknowledgement sets expectations and reduces the chance the lead calls a competitor while waiting.</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I12</w:t>
            </w:r>
          </w:p>
        </w:tc>
        <w:tc>
          <w:tcPr>
            <w:tcW w:type="dxa" w:w="26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Copy of each lead to a second address</w:t>
            </w:r>
          </w:p>
        </w:tc>
        <w:tc>
          <w:tcPr>
            <w:tcW w:type="dxa" w:w="1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Recommended</w:t>
            </w:r>
          </w:p>
        </w:tc>
        <w:tc>
          <w:tcPr>
            <w:tcW w:type="dxa" w:w="46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Redundancy — a lead lost to a spam folder is a lost job.</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12. Site Architecture Beyond the Homepage</w:t>
      </w:r>
    </w:p>
    <w:p>
      <w:pPr>
        <w:spacing w:after="120" w:line="276"/>
      </w:pPr>
      <w:r>
        <w:rPr>
          <w:rFonts w:ascii="Calibri" w:cs="Calibri" w:eastAsia="Calibri" w:hAnsi="Calibri"/>
          <w:sz w:val="21"/>
          <w:szCs w:val="21"/>
        </w:rPr>
        <w:t xml:space="preserve">Only the homepage was designed for the concept round. The forward plan stated on the call is that once Concept A is selected, the additional pages get built out in the same style, and the client dictates what they contain. Page count and structure were explicitly deferred until content exists. See O10.</w:t>
      </w:r>
    </w:p>
    <w:p>
      <w:pPr>
        <w:spacing w:after="60"/>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Proposed structure, offered as a starting point for that conversation and not as a decision already made:</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2400"/>
        <w:gridCol w:w="3200"/>
        <w:gridCol w:w="3760"/>
      </w:tblGrid>
      <w:tr>
        <w:trPr>
          <w:tblHeader/>
        </w:trPr>
        <w:tc>
          <w:tcPr>
            <w:tcW w:type="dxa" w:w="2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Page</w:t>
            </w:r>
          </w:p>
        </w:tc>
        <w:tc>
          <w:tcPr>
            <w:tcW w:type="dxa" w:w="32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Purpose</w:t>
            </w:r>
          </w:p>
        </w:tc>
        <w:tc>
          <w:tcPr>
            <w:tcW w:type="dxa" w:w="37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Source of requirement</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Home</w:t>
            </w:r>
          </w:p>
        </w:tc>
        <w:tc>
          <w:tcPr>
            <w:tcW w:type="dxa" w:w="32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As specified in Section 7</w:t>
            </w:r>
          </w:p>
        </w:tc>
        <w:tc>
          <w:tcPr>
            <w:tcW w:type="dxa" w:w="37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Confirmed on the recording</w:t>
            </w:r>
          </w:p>
        </w:tc>
      </w:tr>
      <w:tr>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My Story / About</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The owner's background, nineteen years, the video</w:t>
            </w:r>
          </w:p>
        </w:tc>
        <w:tc>
          <w:tcPr>
            <w:tcW w:type="dxa" w:w="37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Hero CTA points here — confirmed</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Services</w:t>
            </w:r>
          </w:p>
        </w:tc>
        <w:tc>
          <w:tcPr>
            <w:tcW w:type="dxa" w:w="32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Product-only vs. product plus installation</w:t>
            </w:r>
          </w:p>
        </w:tc>
        <w:tc>
          <w:tcPr>
            <w:tcW w:type="dxa" w:w="37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Derived from the Floors, Two Ways section</w:t>
            </w:r>
          </w:p>
        </w:tc>
      </w:tr>
      <w:tr>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Brands &amp; Products</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On-site brand and color browsing</w:t>
            </w:r>
          </w:p>
        </w:tc>
        <w:tc>
          <w:tcPr>
            <w:tcW w:type="dxa" w:w="37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Required by the no-outbound-link rule, Section 9</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Gallery / Our Work</w:t>
            </w:r>
          </w:p>
        </w:tc>
        <w:tc>
          <w:tcPr>
            <w:tcW w:type="dxa" w:w="32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Full photo and video portfolio, before/after</w:t>
            </w:r>
          </w:p>
        </w:tc>
        <w:tc>
          <w:tcPr>
            <w:tcW w:type="dxa" w:w="37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Expanded from the homepage gallery</w:t>
            </w:r>
          </w:p>
        </w:tc>
      </w:tr>
      <w:tr>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Reviews</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Aggregated social proof</w:t>
            </w:r>
          </w:p>
        </w:tc>
        <w:tc>
          <w:tcPr>
            <w:tcW w:type="dxa" w:w="37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Optional — may remain homepage-only</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Contact / Book</w:t>
            </w:r>
          </w:p>
        </w:tc>
        <w:tc>
          <w:tcPr>
            <w:tcW w:type="dxa" w:w="32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Form, booking, consultation options, no address</w:t>
            </w:r>
          </w:p>
        </w:tc>
        <w:tc>
          <w:tcPr>
            <w:tcW w:type="dxa" w:w="37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Confirmed on the recording</w:t>
            </w:r>
          </w:p>
        </w:tc>
      </w:tr>
    </w:tbl>
    <w:p>
      <w:pPr>
        <w:spacing w:after="100"/>
      </w:pPr>
      <w:r>
        <w:rPr>
          <w:rFonts w:ascii="Calibri" w:cs="Calibri" w:eastAsia="Calibri" w:hAnsi="Calibri"/>
          <w:sz w:val="21"/>
          <w:szCs w:val="21"/>
        </w:rPr>
        <w:t xml:space="preserve"/>
      </w:r>
    </w:p>
    <w:p>
      <w:pPr>
        <w:pStyle w:val="ListParagraph"/>
        <w:numPr>
          <w:ilvl w:val="0"/>
          <w:numId w:val="2"/>
        </w:numPr>
        <w:spacing w:after="70" w:line="276"/>
      </w:pPr>
      <w:r>
        <w:rPr>
          <w:rFonts w:ascii="Calibri" w:cs="Calibri" w:eastAsia="Calibri" w:hAnsi="Calibri"/>
          <w:sz w:val="21"/>
          <w:szCs w:val="21"/>
        </w:rPr>
        <w:t xml:space="preserve">All interior pages inherit Concept A styling — this was stated explicitly as the method.</w:t>
      </w:r>
    </w:p>
    <w:p>
      <w:pPr>
        <w:pStyle w:val="ListParagraph"/>
        <w:numPr>
          <w:ilvl w:val="0"/>
          <w:numId w:val="2"/>
        </w:numPr>
        <w:spacing w:after="70" w:line="276"/>
      </w:pPr>
      <w:r>
        <w:rPr>
          <w:rFonts w:ascii="Calibri" w:cs="Calibri" w:eastAsia="Calibri" w:hAnsi="Calibri"/>
          <w:sz w:val="21"/>
          <w:szCs w:val="21"/>
        </w:rPr>
        <w:t xml:space="preserve">Navigation converts from homepage anchors to real page links at this stage.</w:t>
      </w:r>
    </w:p>
    <w:p>
      <w:pPr>
        <w:pStyle w:val="ListParagraph"/>
        <w:numPr>
          <w:ilvl w:val="0"/>
          <w:numId w:val="2"/>
        </w:numPr>
        <w:spacing w:after="70" w:line="276"/>
      </w:pPr>
      <w:r>
        <w:rPr>
          <w:rFonts w:ascii="Calibri" w:cs="Calibri" w:eastAsia="Calibri" w:hAnsi="Calibri"/>
          <w:sz w:val="21"/>
          <w:szCs w:val="21"/>
        </w:rPr>
        <w:t xml:space="preserve">RECOMMENDED: every interior page ends with the same conversion block — book a consultation or request samples. Do not leave a page that dead-ends.</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13. Vendor Transition and Domain Handover</w:t>
      </w:r>
    </w:p>
    <w:p>
      <w:pPr>
        <w:pStyle w:val="Heading2"/>
        <w:spacing w:after="120" w:before="300"/>
      </w:pPr>
      <w:r>
        <w:rPr>
          <w:rFonts w:ascii="Calibri" w:cs="Calibri" w:eastAsia="Calibri" w:hAnsi="Calibri"/>
          <w:b/>
          <w:bCs/>
          <w:color w:val="10365C"/>
          <w:sz w:val="25"/>
          <w:szCs w:val="25"/>
        </w:rPr>
        <w:t xml:space="preserve">13.1 The situation</w:t>
      </w:r>
    </w:p>
    <w:p>
      <w:pPr>
        <w:spacing w:after="120" w:line="276"/>
      </w:pPr>
      <w:r>
        <w:rPr>
          <w:rFonts w:ascii="Calibri" w:cs="Calibri" w:eastAsia="Calibri" w:hAnsi="Calibri"/>
          <w:sz w:val="21"/>
          <w:szCs w:val="21"/>
        </w:rPr>
        <w:t xml:space="preserve">The client is currently paying an outside provider for work on davidagwilt.com. He produced an invoice during the session, due October 1. The cost was questioned and the client confirmed the arrangement had already been discussed: he would call the provider, explain that the work is being taken over in-house, and connect the two parties so the handover can be coordinated. He confirmed the task is on his calendar. His own summary of the provider was that she is a nice lady but no longer needed.</w:t>
      </w:r>
    </w:p>
    <w:p>
      <w:pPr>
        <w:pStyle w:val="Heading2"/>
        <w:spacing w:after="120" w:before="300"/>
      </w:pPr>
      <w:r>
        <w:rPr>
          <w:rFonts w:ascii="Calibri" w:cs="Calibri" w:eastAsia="Calibri" w:hAnsi="Calibri"/>
          <w:b/>
          <w:bCs/>
          <w:color w:val="10365C"/>
          <w:sz w:val="25"/>
          <w:szCs w:val="25"/>
        </w:rPr>
        <w:t xml:space="preserve">13.2 Required steps</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3300"/>
        <w:gridCol w:w="1500"/>
        <w:gridCol w:w="38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33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Step</w:t>
            </w:r>
          </w:p>
        </w:tc>
        <w:tc>
          <w:tcPr>
            <w:tcW w:type="dxa" w:w="15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Owner</w:t>
            </w:r>
          </w:p>
        </w:tc>
        <w:tc>
          <w:tcPr>
            <w:tcW w:type="dxa" w:w="38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Notes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V1</w:t>
            </w:r>
          </w:p>
        </w:tc>
        <w:tc>
          <w:tcPr>
            <w:tcW w:type="dxa" w:w="33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Call the incumbent provider and advise that the work is moving in-house</w:t>
            </w:r>
          </w:p>
        </w:tc>
        <w:tc>
          <w:tcPr>
            <w:tcW w:type="dxa" w:w="1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c>
          <w:tcPr>
            <w:tcW w:type="dxa" w:w="3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Agreed on the recording; on the client's calendar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V2</w:t>
            </w:r>
          </w:p>
        </w:tc>
        <w:tc>
          <w:tcPr>
            <w:tcW w:type="dxa" w:w="33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Send a written follow-up email, copying Matthew</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c>
          <w:tcPr>
            <w:tcW w:type="dxa" w:w="3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Explicitly agreed — the copy is what triggers the handover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V3</w:t>
            </w:r>
          </w:p>
        </w:tc>
        <w:tc>
          <w:tcPr>
            <w:tcW w:type="dxa" w:w="33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Coordinate directly with the provider from that point</w:t>
            </w:r>
          </w:p>
        </w:tc>
        <w:tc>
          <w:tcPr>
            <w:tcW w:type="dxa" w:w="1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 / Developer</w:t>
            </w:r>
          </w:p>
        </w:tc>
        <w:tc>
          <w:tcPr>
            <w:tcW w:type="dxa" w:w="3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steps out of the middle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V4</w:t>
            </w:r>
          </w:p>
        </w:tc>
        <w:tc>
          <w:tcPr>
            <w:tcW w:type="dxa" w:w="33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Resolve or settle the October 1 invoice</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c>
          <w:tcPr>
            <w:tcW w:type="dxa" w:w="3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what it covers before paying or cancelling</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V5</w:t>
            </w:r>
          </w:p>
        </w:tc>
        <w:tc>
          <w:tcPr>
            <w:tcW w:type="dxa" w:w="33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Obtain domain registrar access for davidagwilt.com</w:t>
            </w:r>
          </w:p>
        </w:tc>
        <w:tc>
          <w:tcPr>
            <w:tcW w:type="dxa" w:w="1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c>
          <w:tcPr>
            <w:tcW w:type="dxa" w:w="3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Registrar login or an authorization code and unlock</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V6</w:t>
            </w:r>
          </w:p>
        </w:tc>
        <w:tc>
          <w:tcPr>
            <w:tcW w:type="dxa" w:w="33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Obtain DNS control</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c>
          <w:tcPr>
            <w:tcW w:type="dxa" w:w="3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Required before any cutover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V7</w:t>
            </w:r>
          </w:p>
        </w:tc>
        <w:tc>
          <w:tcPr>
            <w:tcW w:type="dxa" w:w="33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Identify and preserve any email on the domain</w:t>
            </w:r>
          </w:p>
        </w:tc>
        <w:tc>
          <w:tcPr>
            <w:tcW w:type="dxa" w:w="1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c>
          <w:tcPr>
            <w:tcW w:type="dxa" w:w="3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 DNS change that kills the client's email is the classic failure on a handover like this</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V8</w:t>
            </w:r>
          </w:p>
        </w:tc>
        <w:tc>
          <w:tcPr>
            <w:tcW w:type="dxa" w:w="33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Take a full backup of the existing site before any change</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c>
          <w:tcPr>
            <w:tcW w:type="dxa" w:w="3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Non-negotiable</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V9</w:t>
            </w:r>
          </w:p>
        </w:tc>
        <w:tc>
          <w:tcPr>
            <w:tcW w:type="dxa" w:w="33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Inventory existing URLs and set redirects</w:t>
            </w:r>
          </w:p>
        </w:tc>
        <w:tc>
          <w:tcPr>
            <w:tcW w:type="dxa" w:w="1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c>
          <w:tcPr>
            <w:tcW w:type="dxa" w:w="3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Preserve any existing search visibility</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V10</w:t>
            </w:r>
          </w:p>
        </w:tc>
        <w:tc>
          <w:tcPr>
            <w:tcW w:type="dxa" w:w="33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Cancel recurring billing with the incumbent once cutover completes</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c>
          <w:tcPr>
            <w:tcW w:type="dxa" w:w="3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no auto-renewal remains</w:t>
            </w:r>
          </w:p>
        </w:tc>
      </w:tr>
    </w:tbl>
    <w:p>
      <w:pPr>
        <w:spacing w:after="8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RISK: </w:t>
            </w:r>
            <w:r>
              <w:rPr>
                <w:rFonts w:ascii="Calibri" w:cs="Calibri" w:eastAsia="Calibri" w:hAnsi="Calibri"/>
                <w:sz w:val="21"/>
                <w:szCs w:val="21"/>
              </w:rPr>
              <w:t xml:space="preserve">Do not plan the launch date around an assumption of smooth domain transfer. Registrar transfers can take several days and can be blocked by a sixty-day lock if the domain was recently registered or transferred. Establish registrar access early, in parallel with the build, not at the end.</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14. Recommended Additions — Not Discussed on the Call</w:t>
      </w:r>
    </w:p>
    <w:p>
      <w:pPr>
        <w:spacing w:after="120" w:line="276"/>
      </w:pPr>
      <w:r>
        <w:rPr>
          <w:rFonts w:ascii="Calibri" w:cs="Calibri" w:eastAsia="Calibri" w:hAnsi="Calibri"/>
          <w:sz w:val="21"/>
          <w:szCs w:val="21"/>
        </w:rPr>
        <w:t xml:space="preserve">None of the following was raised by the client. Each is a professional recommendation from the preparer of this document, listed separately so the client can accept or decline each on its merits. They are ordered by commercial impact.</w:t>
      </w:r>
    </w:p>
    <w:p>
      <w:pPr>
        <w:spacing w:after="60"/>
      </w:pPr>
      <w:r>
        <w:rPr>
          <w:rFonts w:ascii="Calibri" w:cs="Calibri" w:eastAsia="Calibri" w:hAnsi="Calibri"/>
          <w:sz w:val="21"/>
          <w:szCs w:val="21"/>
        </w:rPr>
        <w:t xml:space="preserve"/>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2400"/>
        <w:gridCol w:w="4100"/>
        <w:gridCol w:w="21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2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Recommendation</w:t>
            </w:r>
          </w:p>
        </w:tc>
        <w:tc>
          <w:tcPr>
            <w:tcW w:type="dxa" w:w="41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Why</w:t>
            </w:r>
          </w:p>
        </w:tc>
        <w:tc>
          <w:tcPr>
            <w:tcW w:type="dxa" w:w="21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Effort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R1</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Mobile-first build</w:t>
            </w:r>
          </w:p>
        </w:tc>
        <w:tc>
          <w:tcPr>
            <w:tcW w:type="dxa" w:w="4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Residential home-improvement searches are overwhelmingly mobile. The desktop mockup is the secondary experience, not the primary one. Both hero CTAs must survive the mobile fold.</w:t>
            </w:r>
          </w:p>
        </w:tc>
        <w:tc>
          <w:tcPr>
            <w:tcW w:type="dxa" w:w="2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Baseline — no added cost if planned from the start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R2</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Persistent click-to-call bar on mobile</w:t>
            </w:r>
          </w:p>
        </w:tc>
        <w:tc>
          <w:tcPr>
            <w:tcW w:type="dxa" w:w="4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This business closes on the phone. A tap-to-call button fixed to the bottom of the mobile viewport typically outperforms every other conversion element on a contractor site.</w:t>
            </w:r>
          </w:p>
        </w:tc>
        <w:tc>
          <w:tcPr>
            <w:tcW w:type="dxa" w:w="2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R3</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Before/after comparison slider</w:t>
            </w:r>
          </w:p>
        </w:tc>
        <w:tc>
          <w:tcPr>
            <w:tcW w:type="dxa" w:w="4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client's strongest asset is the transformation. A draggable before/after slider outperforms two images side by side and directly serves the photo protocol in Section 10.3.</w:t>
            </w:r>
          </w:p>
        </w:tc>
        <w:tc>
          <w:tcPr>
            <w:tcW w:type="dxa" w:w="2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Low to medium</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R4</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Local business structured data</w:t>
            </w:r>
          </w:p>
        </w:tc>
        <w:tc>
          <w:tcPr>
            <w:tcW w:type="dxa" w:w="4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Service-area markup with no street address, consistent with Section 8. Improves local search visibility without publishing an address the client does not control.</w:t>
            </w:r>
          </w:p>
        </w:tc>
        <w:tc>
          <w:tcPr>
            <w:tcW w:type="dxa" w:w="2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R5</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Image optimization discipline</w:t>
            </w:r>
          </w:p>
        </w:tc>
        <w:tc>
          <w:tcPr>
            <w:tcW w:type="dxa" w:w="4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 photo-heavy flooring site with manufacturer color libraries will be image-heavy by nature. Modern formats, lazy loading, and responsive sizing are the difference between a fast site and an abandoned one.</w:t>
            </w:r>
          </w:p>
        </w:tc>
        <w:tc>
          <w:tcPr>
            <w:tcW w:type="dxa" w:w="2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Low if built in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R6</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Lead notification redundancy</w:t>
            </w:r>
          </w:p>
        </w:tc>
        <w:tc>
          <w:tcPr>
            <w:tcW w:type="dxa" w:w="4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Send every form submission to two addresses. A lead lost to a spam filter is a lost job, and the client will not know it happened.</w:t>
            </w:r>
          </w:p>
        </w:tc>
        <w:tc>
          <w:tcPr>
            <w:tcW w:type="dxa" w:w="2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Trivial</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R7</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Privacy policy and form consent language</w:t>
            </w:r>
          </w:p>
        </w:tc>
        <w:tc>
          <w:tcPr>
            <w:tcW w:type="dxa" w:w="4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form collects a name, email, and phone number and the business follows up by phone. Basic consent language and a privacy policy are standard practice and cheap insurance.</w:t>
            </w:r>
          </w:p>
        </w:tc>
        <w:tc>
          <w:tcPr>
            <w:tcW w:type="dxa" w:w="2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Low</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R8</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Accessible color handling</w:t>
            </w:r>
          </w:p>
        </w:tc>
        <w:tc>
          <w:tcPr>
            <w:tcW w:type="dxa" w:w="4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Syracuse Orange on white fails contrast standards at body text size. Section 6.3 sets out the handling. The audience skews older; legibility is a conversion issue, not only a compliance one.</w:t>
            </w:r>
          </w:p>
        </w:tc>
        <w:tc>
          <w:tcPr>
            <w:tcW w:type="dxa" w:w="2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Trivial if planned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R9</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Video hosted with a lightweight facade</w:t>
            </w:r>
          </w:p>
        </w:tc>
        <w:tc>
          <w:tcPr>
            <w:tcW w:type="dxa" w:w="4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Embedding video directly can add significant page weight. A poster-image facade that loads the player only on click preserves load speed on the most important block of the homepage.</w:t>
            </w:r>
          </w:p>
        </w:tc>
        <w:tc>
          <w:tcPr>
            <w:tcW w:type="dxa" w:w="2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Low</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R10</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Staging environment for client review</w:t>
            </w:r>
          </w:p>
        </w:tc>
        <w:tc>
          <w:tcPr>
            <w:tcW w:type="dxa" w:w="4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Lets the client see and approve real content in the real design before it goes live, which is materially easier for a non-technical reviewer than approving a description of it.</w:t>
            </w:r>
          </w:p>
        </w:tc>
        <w:tc>
          <w:tcPr>
            <w:tcW w:type="dxa" w:w="2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R11</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Post-launch content maintenance note</w:t>
            </w:r>
          </w:p>
        </w:tc>
        <w:tc>
          <w:tcPr>
            <w:tcW w:type="dxa" w:w="4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tenure figure, the brand list, and the gallery all go stale. A short written maintenance note prevents a site that is accurate at launch and wrong within eighteen months.</w:t>
            </w:r>
          </w:p>
        </w:tc>
        <w:tc>
          <w:tcPr>
            <w:tcW w:type="dxa" w:w="2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Trivial</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R12</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Capture brand/product context on form submissions</w:t>
            </w:r>
          </w:p>
        </w:tc>
        <w:tc>
          <w:tcPr>
            <w:tcW w:type="dxa" w:w="4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Knowing which product a visitor was viewing when they enquired tells the client what samples to bring before he makes the first call.</w:t>
            </w:r>
          </w:p>
        </w:tc>
        <w:tc>
          <w:tcPr>
            <w:tcW w:type="dxa" w:w="2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Low</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15. Action Items by Owner</w:t>
      </w:r>
    </w:p>
    <w:p>
      <w:pPr>
        <w:pStyle w:val="Heading2"/>
        <w:spacing w:after="120" w:before="300"/>
      </w:pPr>
      <w:r>
        <w:rPr>
          <w:rFonts w:ascii="Calibri" w:cs="Calibri" w:eastAsia="Calibri" w:hAnsi="Calibri"/>
          <w:b/>
          <w:bCs/>
          <w:color w:val="10365C"/>
          <w:sz w:val="25"/>
          <w:szCs w:val="25"/>
        </w:rPr>
        <w:t xml:space="preserve">15.1 Client — David A. Gwilt</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5100"/>
        <w:gridCol w:w="1700"/>
        <w:gridCol w:w="18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51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Action</w:t>
            </w:r>
          </w:p>
        </w:tc>
        <w:tc>
          <w:tcPr>
            <w:tcW w:type="dxa" w:w="17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Priority</w:t>
            </w:r>
          </w:p>
        </w:tc>
        <w:tc>
          <w:tcPr>
            <w:tcW w:type="dxa" w:w="18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Blocks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C1</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Write, or edit a supplied draft of, the site copy</w:t>
            </w:r>
          </w:p>
        </w:tc>
        <w:tc>
          <w:tcPr>
            <w:tcW w:type="dxa" w:w="17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Critical</w:t>
            </w:r>
          </w:p>
        </w:tc>
        <w:tc>
          <w:tcPr>
            <w:tcW w:type="dxa" w:w="1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Launch</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C2</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Gather all existing job photographs and video</w:t>
            </w:r>
          </w:p>
        </w:tc>
        <w:tc>
          <w:tcPr>
            <w:tcW w:type="dxa" w:w="17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Critical</w:t>
            </w:r>
          </w:p>
        </w:tc>
        <w:tc>
          <w:tcPr>
            <w:tcW w:type="dxa" w:w="1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Gallery</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C3</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Supply the complete and corrected brand list</w:t>
            </w:r>
          </w:p>
        </w:tc>
        <w:tc>
          <w:tcPr>
            <w:tcW w:type="dxa" w:w="17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High</w:t>
            </w:r>
          </w:p>
        </w:tc>
        <w:tc>
          <w:tcPr>
            <w:tcW w:type="dxa" w:w="1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Brands section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C4</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Arrange a new photograph of himself</w:t>
            </w:r>
          </w:p>
        </w:tc>
        <w:tc>
          <w:tcPr>
            <w:tcW w:type="dxa" w:w="17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High</w:t>
            </w:r>
          </w:p>
        </w:tc>
        <w:tc>
          <w:tcPr>
            <w:tcW w:type="dxa" w:w="1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About section</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C5</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the Shaw and Mohawk reps — co-op funds and product imagery</w:t>
            </w:r>
          </w:p>
        </w:tc>
        <w:tc>
          <w:tcPr>
            <w:tcW w:type="dxa" w:w="17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High</w:t>
            </w:r>
          </w:p>
        </w:tc>
        <w:tc>
          <w:tcPr>
            <w:tcW w:type="dxa" w:w="1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Product pages</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C6</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Call the incumbent web provider and follow up in writing, copying Matthew</w:t>
            </w:r>
          </w:p>
        </w:tc>
        <w:tc>
          <w:tcPr>
            <w:tcW w:type="dxa" w:w="17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High</w:t>
            </w:r>
          </w:p>
        </w:tc>
        <w:tc>
          <w:tcPr>
            <w:tcW w:type="dxa" w:w="1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Domain handover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C7</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Decide on the headline direction — experience-led or service tagline</w:t>
            </w:r>
          </w:p>
        </w:tc>
        <w:tc>
          <w:tcPr>
            <w:tcW w:type="dxa" w:w="17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Medium</w:t>
            </w:r>
          </w:p>
        </w:tc>
        <w:tc>
          <w:tcPr>
            <w:tcW w:type="dxa" w:w="1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Hero copy</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C8</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whether he will record the introduction video</w:t>
            </w:r>
          </w:p>
        </w:tc>
        <w:tc>
          <w:tcPr>
            <w:tcW w:type="dxa" w:w="17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Medium</w:t>
            </w:r>
          </w:p>
        </w:tc>
        <w:tc>
          <w:tcPr>
            <w:tcW w:type="dxa" w:w="1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Video block</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C9</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Provide the business card for exact blue extraction</w:t>
            </w:r>
          </w:p>
        </w:tc>
        <w:tc>
          <w:tcPr>
            <w:tcW w:type="dxa" w:w="17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Medium</w:t>
            </w:r>
          </w:p>
        </w:tc>
        <w:tc>
          <w:tcPr>
            <w:tcW w:type="dxa" w:w="1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Design system</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C10</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Instruct crews on the before/after photo protocol going forward</w:t>
            </w:r>
          </w:p>
        </w:tc>
        <w:tc>
          <w:tcPr>
            <w:tcW w:type="dxa" w:w="17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Medium</w:t>
            </w:r>
          </w:p>
        </w:tc>
        <w:tc>
          <w:tcPr>
            <w:tcW w:type="dxa" w:w="1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Future gallery</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C11</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whether any Concept B feature should be grafted in</w:t>
            </w:r>
          </w:p>
        </w:tc>
        <w:tc>
          <w:tcPr>
            <w:tcW w:type="dxa" w:w="17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Low</w:t>
            </w:r>
          </w:p>
        </w:tc>
        <w:tc>
          <w:tcPr>
            <w:tcW w:type="dxa" w:w="18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Component planning</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C12</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service area and legal business name</w:t>
            </w:r>
          </w:p>
        </w:tc>
        <w:tc>
          <w:tcPr>
            <w:tcW w:type="dxa" w:w="17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Medium</w:t>
            </w:r>
          </w:p>
        </w:tc>
        <w:tc>
          <w:tcPr>
            <w:tcW w:type="dxa" w:w="18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SEO, footer, legal</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15.2 Matthew</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5100"/>
        <w:gridCol w:w="35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51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Action</w:t>
            </w:r>
          </w:p>
        </w:tc>
        <w:tc>
          <w:tcPr>
            <w:tcW w:type="dxa" w:w="35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Notes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M1</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Send the client the recording and the summary of the conversation</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Committed to on the call — the client asked for it as a memory aid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M2</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 out the twelve open items in Section 4 with the client</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Single follow-up call; O1 first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M3</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Coordinate the handover with the incumbent provider once copied on the email</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steps out after the introduction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M4</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Set up the Google Business Profile and calendar booking</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Offered and accepted on the call</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M5</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Produce a first draft of the site copy for the client to edit</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Fastest route around the content bottleneck</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M6</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Extract exact color values and issue the design system to the developer</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Business card blues plus confirmed Syracuse Orange</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15.3 Developer</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5100"/>
        <w:gridCol w:w="35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51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Action</w:t>
            </w:r>
          </w:p>
        </w:tc>
        <w:tc>
          <w:tcPr>
            <w:tcW w:type="dxa" w:w="35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Notes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P1</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the exact Concept A mockup URL before any build work</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See O1 — highest-consequence open item</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P2</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Build Concept A as modular, independently addressable sections</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Required for the hybrid rule in Section 5.4</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P3</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Implement the locked color system</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White/blue base, Syracuse Orange accent, accessible text handling</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P4</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Build the homepage to the Section 7 section map, including all deletions</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S9, S11, S12 removed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P5</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Build and wire the lead capture form end to end</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Name, email, phone, project description — delivered by email</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P6</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Integrate booking and the four social/review profile links</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Google, Facebook, Yelp, Apple</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P7</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Build interior pages in the Concept A style once structure is agreed</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Section 12</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P8</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Build on-site brand and product browsing — zero outbound manufacturer links</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Section 9 — hard rule</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P9</w:t>
            </w:r>
          </w:p>
        </w:tc>
        <w:tc>
          <w:tcPr>
            <w:tcW w:type="dxa" w:w="5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Secure domain, DNS, and hosting access; back up the existing site</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Section 13 — start early, runs in parallel</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P10</w:t>
            </w:r>
          </w:p>
        </w:tc>
        <w:tc>
          <w:tcPr>
            <w:tcW w:type="dxa" w:w="5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Stand up a staging environment for client review</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R10</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16. Suggested Build Phasing</w:t>
      </w:r>
    </w:p>
    <w:p>
      <w:pPr>
        <w:spacing w:after="120" w:line="276"/>
      </w:pPr>
      <w:r>
        <w:rPr>
          <w:rFonts w:ascii="Calibri" w:cs="Calibri" w:eastAsia="Calibri" w:hAnsi="Calibri"/>
          <w:sz w:val="21"/>
          <w:szCs w:val="21"/>
        </w:rPr>
        <w:t xml:space="preserve">Structured so that template construction is never blocked by content production — the two run in parallel.</w:t>
      </w:r>
    </w:p>
    <w:p>
      <w:pPr>
        <w:spacing w:after="60"/>
      </w:pPr>
      <w:r>
        <w:rPr>
          <w:rFonts w:ascii="Calibri" w:cs="Calibri" w:eastAsia="Calibri" w:hAnsi="Calibri"/>
          <w:sz w:val="21"/>
          <w:szCs w:val="21"/>
        </w:rPr>
        <w:t xml:space="preserve"/>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1300"/>
        <w:gridCol w:w="2400"/>
        <w:gridCol w:w="3200"/>
        <w:gridCol w:w="2460"/>
      </w:tblGrid>
      <w:tr>
        <w:trPr>
          <w:tblHeader/>
        </w:trPr>
        <w:tc>
          <w:tcPr>
            <w:tcW w:type="dxa" w:w="13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Phase</w:t>
            </w:r>
          </w:p>
        </w:tc>
        <w:tc>
          <w:tcPr>
            <w:tcW w:type="dxa" w:w="2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Scope</w:t>
            </w:r>
          </w:p>
        </w:tc>
        <w:tc>
          <w:tcPr>
            <w:tcW w:type="dxa" w:w="32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Deliverable</w:t>
            </w:r>
          </w:p>
        </w:tc>
        <w:tc>
          <w:tcPr>
            <w:tcW w:type="dxa" w:w="24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Dependencies</w:t>
            </w:r>
          </w:p>
        </w:tc>
      </w:tr>
      <w:tr>
        <w:tc>
          <w:tcPr>
            <w:tcW w:type="dxa" w:w="13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Phase 0</w:t>
            </w:r>
          </w:p>
        </w:tc>
        <w:tc>
          <w:tcPr>
            <w:tcW w:type="dxa" w:w="24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Confirmation and access</w:t>
            </w:r>
          </w:p>
        </w:tc>
        <w:tc>
          <w:tcPr>
            <w:tcW w:type="dxa" w:w="32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Open items closed; registrar, DNS, and hosting access obtained; backup taken</w:t>
            </w:r>
          </w:p>
        </w:tc>
        <w:tc>
          <w:tcPr>
            <w:tcW w:type="dxa" w:w="24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Client call; incumbent provider handover</w:t>
            </w:r>
          </w:p>
        </w:tc>
      </w:tr>
      <w:tr>
        <w:tc>
          <w:tcPr>
            <w:tcW w:type="dxa" w:w="13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Phase 1</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Design system and homepage shell</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Concept A homepage built in the locked palette, placeholder content, all confirmed deletions applied</w:t>
            </w:r>
          </w:p>
        </w:tc>
        <w:tc>
          <w:tcPr>
            <w:tcW w:type="dxa" w:w="24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O1, O2, O3 resolved</w:t>
            </w:r>
          </w:p>
        </w:tc>
      </w:tr>
      <w:tr>
        <w:tc>
          <w:tcPr>
            <w:tcW w:type="dxa" w:w="13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Phase 2</w:t>
            </w:r>
          </w:p>
        </w:tc>
        <w:tc>
          <w:tcPr>
            <w:tcW w:type="dxa" w:w="24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Conversion layer</w:t>
            </w:r>
          </w:p>
        </w:tc>
        <w:tc>
          <w:tcPr>
            <w:tcW w:type="dxa" w:w="32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Working lead form, booking integration, social and review links, click-to-call</w:t>
            </w:r>
          </w:p>
        </w:tc>
        <w:tc>
          <w:tcPr>
            <w:tcW w:type="dxa" w:w="24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Google Business Profile created</w:t>
            </w:r>
          </w:p>
        </w:tc>
      </w:tr>
      <w:tr>
        <w:tc>
          <w:tcPr>
            <w:tcW w:type="dxa" w:w="13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Phase 3</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Content population</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Real copy, photographs, video, reviews, corrected brand list</w:t>
            </w:r>
          </w:p>
        </w:tc>
        <w:tc>
          <w:tcPr>
            <w:tcW w:type="dxa" w:w="24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Client deliverables C1–C4</w:t>
            </w:r>
          </w:p>
        </w:tc>
      </w:tr>
      <w:tr>
        <w:tc>
          <w:tcPr>
            <w:tcW w:type="dxa" w:w="13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Phase 4</w:t>
            </w:r>
          </w:p>
        </w:tc>
        <w:tc>
          <w:tcPr>
            <w:tcW w:type="dxa" w:w="24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Interior pages</w:t>
            </w:r>
          </w:p>
        </w:tc>
        <w:tc>
          <w:tcPr>
            <w:tcW w:type="dxa" w:w="32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My Story, Services, Brands &amp; Products, Gallery, Contact</w:t>
            </w:r>
          </w:p>
        </w:tc>
        <w:tc>
          <w:tcPr>
            <w:tcW w:type="dxa" w:w="24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Structure agreed; product imagery from reps</w:t>
            </w:r>
          </w:p>
        </w:tc>
      </w:tr>
      <w:tr>
        <w:tc>
          <w:tcPr>
            <w:tcW w:type="dxa" w:w="13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Phase 5</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Launch</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Domain cutover, redirects, analytics, final review on staging</w:t>
            </w:r>
          </w:p>
        </w:tc>
        <w:tc>
          <w:tcPr>
            <w:tcW w:type="dxa" w:w="24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Phases 0–4; domain transfer complete</w:t>
            </w:r>
          </w:p>
        </w:tc>
      </w:tr>
      <w:tr>
        <w:tc>
          <w:tcPr>
            <w:tcW w:type="dxa" w:w="13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Phase 6</w:t>
            </w:r>
          </w:p>
        </w:tc>
        <w:tc>
          <w:tcPr>
            <w:tcW w:type="dxa" w:w="24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Post-launch</w:t>
            </w:r>
          </w:p>
        </w:tc>
        <w:tc>
          <w:tcPr>
            <w:tcW w:type="dxa" w:w="32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Ongoing gallery additions from the photo protocol, review accumulation, maintenance note</w:t>
            </w:r>
          </w:p>
        </w:tc>
        <w:tc>
          <w:tcPr>
            <w:tcW w:type="dxa" w:w="24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Standing</w:t>
            </w:r>
          </w:p>
        </w:tc>
      </w:tr>
    </w:tbl>
    <w:p>
      <w:pPr>
        <w:spacing w:after="8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SEQUENCING NOTE: </w:t>
            </w:r>
            <w:r>
              <w:rPr>
                <w:rFonts w:ascii="Calibri" w:cs="Calibri" w:eastAsia="Calibri" w:hAnsi="Calibri"/>
                <w:sz w:val="21"/>
                <w:szCs w:val="21"/>
              </w:rPr>
              <w:t xml:space="preserve">Phase 1 and Phase 3 should overlap. The single biggest scheduling error available on this project is waiting for the client to finish writing copy before starting the build. Build the shell with placeholder content, then swap. The client has a flooring business to run and content will arrive in pieces.</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Appendix A — Exhaustive Note Index</w:t>
      </w:r>
    </w:p>
    <w:p>
      <w:pPr>
        <w:spacing w:after="120" w:line="276"/>
      </w:pPr>
      <w:r>
        <w:rPr>
          <w:rFonts w:ascii="Calibri" w:cs="Calibri" w:eastAsia="Calibri" w:hAnsi="Calibri"/>
          <w:sz w:val="21"/>
          <w:szCs w:val="21"/>
        </w:rPr>
        <w:t xml:space="preserve">Every discrete point raised during the recording, in the order it occurred, mapped to a build requirement and an owner. This is the authoritative completeness check: if it was said on the call, it is in this table.</w:t>
      </w:r>
    </w:p>
    <w:p>
      <w:pPr>
        <w:spacing w:after="60"/>
      </w:pPr>
      <w:r>
        <w:rPr>
          <w:rFonts w:ascii="Calibri" w:cs="Calibri" w:eastAsia="Calibri" w:hAnsi="Calibri"/>
          <w:sz w:val="21"/>
          <w:szCs w:val="21"/>
        </w:rPr>
        <w:t xml:space="preserve"/>
      </w:r>
    </w:p>
    <w:tbl>
      <w:tblPr>
        <w:tblW w:type="dxa" w:w="86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3400"/>
        <w:gridCol w:w="3440"/>
        <w:gridCol w:w="110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3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What was said / observed</w:t>
            </w:r>
          </w:p>
        </w:tc>
        <w:tc>
          <w:tcPr>
            <w:tcW w:type="dxa" w:w="34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Build requirement or consequence</w:t>
            </w:r>
          </w:p>
        </w:tc>
        <w:tc>
          <w:tcPr>
            <w:tcW w:type="dxa" w:w="11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Owner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Four homepage design concepts were presented to the client in a live session, each opened in its own browser tab for direct comparison.</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Context. Four concepts exist as live URLs. Archive all four for reference.</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concepts differ in style only — explicitly stated and repeated to the client.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Layout and structure are the variable. Do not treat any other difference between concepts as meaningful.</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Any concept can be rendered in any color. The client was told repeatedly not to judge on color.</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Color is fully decoupled from template choice. See Section 6.</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All copy shown in the mockups is placeholder and carries no meaning.</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Every word in the mockups is disposable. Never carry mockup copy into production.</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was shown how to open links in new tabs so he could compare concepts side by side.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Process note. The client is not technical — present future work visually and in person where possible.</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3 rejected. The client stated he did not like the wording and was not sure about it.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Eliminated. Out of scope.</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4 rejected immediately and more firmly than Concept 3.</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Eliminated. Out of scope.</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volunteered that he preferred the first two concepts; both remaining tabs were closed.</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Shortlist confirmed as A and B.</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was told that if he likes one style but wants a feature from another, the two can be combined.</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hybrid rule. Build modularly — Section 5.4.</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A10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Working method stated: pick A or B as the base, then identify specific elements from the other to integrate.</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A is the base. Section 5.4.</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A11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Color scheme, page count, and copy were all explicitly deferred until after the template decision.</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Sequencing. Template first, everything else after.</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All</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A12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purpose of the concept round was stated as deciding how the client's future content gets displayed to users.</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Frames the entire decision. The template is a container.</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All</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A13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A assessed as clean, nice looking, and a strong homepage for a cold visitor.</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Rationale for selection.</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A14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A hero contains two calls to action: book a consultation and view the client's story.</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build both. Primary and secondary treatments. Section 7.2.</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A15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client's video sits directly below the hero in Concept A, described as what he wanted.</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Section 7.3.</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A16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One concept was described as opening with an experience headline and with the video as the primary element.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Relevant to O1 — confirm which mockup is Concept A.</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A17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confirmed the selected direction and agreed to start from it.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Template decision made.</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A18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raised an honesty concern: the current company is only six to seven years old, but he has done flooring since 2007 — nineteen years.</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Credibility handled. The claim concerns his experience, not entity age. Section 7.2.</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A19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response given: the claim is fine and not misleading. The client accepted this.</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Decision D8.</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A20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noted that the tenure figure changes every year and would need updating.</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Do not hard-code. Derive from a fixed 2007 start year.</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A21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An alternative tagline was offered: "we do everything on the floors."</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Option, not a decision. See O7.</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A22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was redirected away from copy and toward evaluating features.</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Session scope control. Copy comes later.</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A23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Top navigation items in the mockup link to sections of the single homepage, because only the homepage was built.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Explain to the client. In production these become real pages. Section 12.</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A24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Once Concept A is picked, interior pages get built out in the same style, with the client dictating content.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Architecture method. Section 12.</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A25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exact fold was demonstrated — the client was shown what a visitor sees on load and where it ends.</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Design requirement, not incidental. Section 7.2.</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A26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confirmed the fold content and approved it.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Approved.</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A27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Below the fold: the client's video. Confirmed again.</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Reinforces A15.</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A28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"Floors, Two Ways" section was unclear to the client — he did not know what it meant.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Copy failure in the mockup. Must be rewritten.</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A29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Clarified meaning: buy the product on its own, or have the client's technicians install it.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two service paths. Section 7.4.</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A30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stated he will rewrite that section himself.</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 copy deliverable.</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A31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Confirmed that all mockup wording is changeable and was produced only as an example.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Reinforces A4.</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A32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Photos from past jobs will be placed in the gallery.</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Section 7.5.</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A33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asked whether video could be included. Answer: yes.</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Gallery must support mixed media. Section 7.5.</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A34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has footage of his crews installing, shot by himself on site.</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Asset source. Section 10.</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A35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"See It Before You Buy It" retained and identified as a strong homepage element.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Section 7.6.</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A36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will contact his Shaw and Mohawk reps to ask for money toward the site in exchange for featuring their products.</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Co-op funding. Section 9. Client estimated a modest amount but worth pursuing.</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A37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Additional ask to the reps: product images — for example every color in a vinyl line.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more valuable ask. Section 9.</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A38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initially proposed linking to Mohawk and Shaw websites to show their full ranges.</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PROPOSED AND REVERSED. See A39–A41.</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A39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Challenged: linking out sends the visitor away and risks losing them to something else they find.</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Reasoning accepted by the client.</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A40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Manufacturer sites carry "places to buy" pages that route the visitor to competing local dealers.</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decisive argument. Section 9.1.</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A41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concluded that the content needs to live on his own site.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HARD RULE. Zero outbound manufacturer links. Section 9.</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A42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 confirmed he was voice recording and would send the client the transcript and a summary.</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Deliverable M1. The client asked for it as a memory aid.</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A43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mockup palette — white with brown — was rejected by the client.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Superseded by the locked palette. Section 6.</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A44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was asked to confirm whether the displayed brand list is current.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Action C3. The list is not current.</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A45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confirmed there are additional brands he carries that are not shown.</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Brands section must be expanded. See O9.</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A46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Brands not carried can be removed from the list.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Bidirectional edit — additions and removals.</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A47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section with the client's photo needs a new picture — raised by the client himself.</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Required asset. Section 7.8.</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A48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Reviews section confirmed for retention.</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Section 7.9.</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A49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"flooring lives up to the highest standards" block is removed entirely.</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 Section 7.10.</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A50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"Start the Conversation" section holds full business information for visitors to make contact.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 rebuild. Section 7.11.</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A51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Google, Facebook, Yelp, and Apple profile links to be added.</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 all four. Section 7.11.</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A52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does not own a showroom — he has a business partner arrangement.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Drives the entire positioning strategy. Section 8.</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All</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A53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Decision: remove the showroom block from the page; the client coordinates material viewing directly.</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 Section 8.</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A54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wants customers to know he can bring samples to their home or meet them at a showroom.</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Two consultation paths. Section 8.3.</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A55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Customers call to arrange a showroom appointment; the client directs them based on location — Rock Hill or further north.</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 published address. Appointment-gated. Section 8.3.</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A56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contact page should present both options — samples at home or meet at a showroom — with the client resolving which on the call.</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page requirement. Section 8.4.</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A57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Real-world friction: customers drive by and see a different company's carpet signage on the building.</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problem the positioning solves. Section 8.1.</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All</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A58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client's own explanation: no brick-and-mortar means he keeps pricing down by using a partner's showroom and warehouse for a small percentage, saving the customer money.</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This is the marketing message, in the client's own voice. Mine it for copy. Section 8.2.</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A59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Agreed that framing determines everything — present it positively as a discount passed to the customer.</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Locked framing. D11.</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A60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Agreed explicitly: the absence of a showroom is an advantage, not a disadvantage.</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Copy direction. Section 8.2.</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A61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form collects name, email, phone, and what the visitor wants.</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 all four fields. Section 7.11.</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A62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form emails the client all of the visitor's information so he can reach out.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Delivery requirement. Section 7.11.</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A63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form is not currently set up but will be.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Build obligation — currently unwired.</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A64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Additional fields can be added if the client wants to collect more information.</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Extensible. None specified yet.</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A65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noted customers volunteer over-precise measurements that are not useful at inquiry stage.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Shape the free-text field with guiding placeholder copy. Section 7.11.</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A66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Confirmed: remove the showroom item and the adjacent item — both.</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Two removals. Second item unclear on audio — see O4.</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A67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After removals: keep reviews, add social media.</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Confirms the final contact-area composition.</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A68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Proposal accepted: set up a business calendar so visitors can self-book appointments.</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 Section 11.2.</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A69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Example given: a visitor selects next Tuesday at one o'clock and books a thirty-minute consultation.</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Thirty-minute slot length. Real-calendar availability.</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A70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asked how it would be done; answer: through Google, with a Google Business setup, with help provided.</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Platform decision and assigned support. Section 11.2.</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A71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produced an invoice from his current provider for davidagwilt.com, due October 1.</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Vendor transition trigger. Section 13.</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A72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cost was questioned and taking the work over in-house was proposed.</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Cost saving for the client.</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A73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Previously agreed plan: the client calls the provider, explains the work is moving in-house, and introduces the two parties.</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Action C6 / V1. Section 13.</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A74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will call, send an email, and copy Matthew, after which the handover proceeds without him.</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Action V2/V3. Section 13.</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A75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confirmed the task is on his calendar.</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Committed.</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A76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stated he no longer needs the incumbent provider.</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Relationship is ending. Confirm no auto-renewal. V10.</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A77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rejected the mockup colors and was asked what he does want.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Opens the color decision.</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A78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 pointed to his own business card — David A. Gwilt — and the blues on the reverse.</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Exact color source. Obtain the physical card. O2.</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A79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 confirmed he likes the blues.</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Base palette confirmed. D4.</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A80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 added that he would really like orange because he is a Syracuse fan.</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Accent color origin. D5.</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A81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Resolution: use both — blue and orange together rather than choosing between them.</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Locked. D4 + D5.</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A82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Specified that Syracuse Orange is a particular orange, not any orange — Syracuse University's official color.</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use the exact university orange. Confirm the value. O3.</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A83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Final formulation: white and blue, with Syracuse Orange highlights — a highlighted element rendered in orange.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LOCKED PALETTE. Section 6.</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A84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Session closed on design; the client's next task assigned.</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Handoff to the content phase.</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A85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client's deliverable: decide what he wants the site to say, and gather pictures and videos.</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Actions C1 and C2. Critical path. Section 10.</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A86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Stated that once the template is built, the client's content gets placed into it.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Build sequencing. Section 16.</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All</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A87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acknowledged content takes time.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Schedule realistically. Do not gate the build on it.</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A88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AI assistance for content was offered — it does not all have to fall on the client.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Act on this. Draft copy for him to edit. Section 10.4.</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A89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This session's output was described as what the business partner needs to start the build.</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This document is that output.</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A90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showed simple existing photos — carpet tear-out and new flooring installed.</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Existing asset category. Section 7.5.</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A91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 indicated more photos exist but are not organized and would need searching.</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Asset library is unorganized. Budget time for collection and sorting.</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A92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 full-house carpet job for a customer referred to as "Holly" was shown, with photos of all the work done.</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Portfolio candidate. Obtain a photo release if the customer is identifiable — R-series.</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A93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Instruction agreed: going forward, take beginning and after photos on every job and present them together to show the difference.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Standing protocol. D19 / Section 10.3.</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A94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does not have complete before/after sets for past work.</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Gallery must handle single-state images gracefully. Section 7.5.</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A95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Position taken: whatever exists now is fine. Do not wait for perfect coverage.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Do not block launch on asset completeness.</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All</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A96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already tells his crews to take beginning and ending photos, with partial compliance.</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Reduce friction with a one-tap shared upload album. Section 10.3.</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A97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 further example was shown: stairs with carpet torn off, revealing the substrate beneath.</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Portfolio candidate — strong before/after subject.</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bl>
    <w:p>
      <w:pPr>
        <w:spacing w:after="80"/>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Total notes captured: </w:t>
      </w:r>
      <w:r>
        <w:rPr>
          <w:rFonts w:ascii="Calibri" w:cs="Calibri" w:eastAsia="Calibri" w:hAnsi="Calibri"/>
          <w:sz w:val="21"/>
          <w:szCs w:val="21"/>
        </w:rPr>
        <w:t xml:space="preserve">97.</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Appendix B — Transcript Ambiguities and Items Needing Verification</w:t>
      </w:r>
    </w:p>
    <w:p>
      <w:pPr>
        <w:spacing w:after="120" w:line="276"/>
      </w:pPr>
      <w:r>
        <w:rPr>
          <w:rFonts w:ascii="Calibri" w:cs="Calibri" w:eastAsia="Calibri" w:hAnsi="Calibri"/>
          <w:sz w:val="21"/>
          <w:szCs w:val="21"/>
        </w:rPr>
        <w:t xml:space="preserve">The recording was captured in a live, informal working session with overlapping speech and background conversation. The following points were unclear in the audio. None has been guessed at in the specification above — each is flagged so it can be confirmed rather than assumed. Building against any of these without confirmation risks rework.</w:t>
      </w:r>
    </w:p>
    <w:p>
      <w:pPr>
        <w:spacing w:after="60"/>
      </w:pPr>
      <w:r>
        <w:rPr>
          <w:rFonts w:ascii="Calibri" w:cs="Calibri" w:eastAsia="Calibri" w:hAnsi="Calibri"/>
          <w:sz w:val="21"/>
          <w:szCs w:val="21"/>
        </w:rPr>
        <w:t xml:space="preserve"/>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2800"/>
        <w:gridCol w:w="3100"/>
        <w:gridCol w:w="27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28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Ambiguity</w:t>
            </w:r>
          </w:p>
        </w:tc>
        <w:tc>
          <w:tcPr>
            <w:tcW w:type="dxa" w:w="31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What the transcript shows</w:t>
            </w:r>
          </w:p>
        </w:tc>
        <w:tc>
          <w:tcPr>
            <w:tcW w:type="dxa" w:w="27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Required resolution</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X1</w:t>
            </w:r>
          </w:p>
        </w:tc>
        <w:tc>
          <w:tcPr>
            <w:tcW w:type="dxa" w:w="28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Which mockup is Concept A</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forward-looking discussion refers consistently to Concept A, but the client's verbal confirmation — "let's start with that one" — follows immediately after a second concept was displayed.</w:t>
            </w:r>
          </w:p>
        </w:tc>
        <w:tc>
          <w:tcPr>
            <w:tcW w:type="dxa" w:w="27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on screen with the client. Highest-consequence item. Cross-referenced as O1.</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X2</w:t>
            </w:r>
          </w:p>
        </w:tc>
        <w:tc>
          <w:tcPr>
            <w:tcW w:type="dxa" w:w="28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Company name</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company name was garbled in the audio, rendering as something close to "Carolina Flooring." The client stated it has existed roughly six to seven years.</w:t>
            </w:r>
          </w:p>
        </w:tc>
        <w:tc>
          <w:tcPr>
            <w:tcW w:type="dxa" w:w="27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the exact legal and trading name before any branding, footer, or legal copy is written.</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X3</w:t>
            </w:r>
          </w:p>
        </w:tc>
        <w:tc>
          <w:tcPr>
            <w:tcW w:type="dxa" w:w="28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Second removed block</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instruction was to remove the showroom and one adjacent item, indistinctly rendered. Business hours is the most probable reading.</w:t>
            </w:r>
          </w:p>
        </w:tc>
        <w:tc>
          <w:tcPr>
            <w:tcW w:type="dxa" w:w="27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the specific block on screen. Cross-referenced as O4.</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X4</w:t>
            </w:r>
          </w:p>
        </w:tc>
        <w:tc>
          <w:tcPr>
            <w:tcW w:type="dxa" w:w="28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Service area geography</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References to "Rock Hill" and "up north" indicate the service territory but do not define it.</w:t>
            </w:r>
          </w:p>
        </w:tc>
        <w:tc>
          <w:tcPr>
            <w:tcW w:type="dxa" w:w="27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counties or a radius. Required for local SEO and the business listing.</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X5</w:t>
            </w:r>
          </w:p>
        </w:tc>
        <w:tc>
          <w:tcPr>
            <w:tcW w:type="dxa" w:w="28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Showroom partner name</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Rendered as close to "Earl Jackson's Carpet" — the signage customers see on the building.</w:t>
            </w:r>
          </w:p>
        </w:tc>
        <w:tc>
          <w:tcPr>
            <w:tcW w:type="dxa" w:w="27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 action required for the build, since no address is published. Confirm only if ever referenced in copy.</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X6</w:t>
            </w:r>
          </w:p>
        </w:tc>
        <w:tc>
          <w:tcPr>
            <w:tcW w:type="dxa" w:w="28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Stair substrate</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described stairs stripped of carpet with material underneath that customers wanted; the audio cuts off mid-sentence. Most plausibly hardwood.</w:t>
            </w:r>
          </w:p>
        </w:tc>
        <w:tc>
          <w:tcPr>
            <w:tcW w:type="dxa" w:w="27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when collecting the photo assets. Affects caption copy only.</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X7</w:t>
            </w:r>
          </w:p>
        </w:tc>
        <w:tc>
          <w:tcPr>
            <w:tcW w:type="dxa" w:w="28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Website provider identity</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incumbent provider is referenced only by relationship, not by business name.</w:t>
            </w:r>
          </w:p>
        </w:tc>
        <w:tc>
          <w:tcPr>
            <w:tcW w:type="dxa" w:w="27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Obtain the name and contact details from the invoice the client produced during the session.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X8</w:t>
            </w:r>
          </w:p>
        </w:tc>
        <w:tc>
          <w:tcPr>
            <w:tcW w:type="dxa" w:w="28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Co-op amount</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speculated the reps might contribute fifty or a hundred dollars.</w:t>
            </w:r>
          </w:p>
        </w:tc>
        <w:tc>
          <w:tcPr>
            <w:tcW w:type="dxa" w:w="27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Speculative. Do not build a budget assumption on it. Cross-referenced as O12.</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X9</w:t>
            </w:r>
          </w:p>
        </w:tc>
        <w:tc>
          <w:tcPr>
            <w:tcW w:type="dxa" w:w="28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Recording end</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recording terminates mid-sentence while the client is describing stair photographs.</w:t>
            </w:r>
          </w:p>
        </w:tc>
        <w:tc>
          <w:tcPr>
            <w:tcW w:type="dxa" w:w="27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with the client whether anything material was discussed after the recording stopped.</w:t>
            </w:r>
          </w:p>
        </w:tc>
      </w:tr>
    </w:tbl>
    <w:p>
      <w:pPr>
        <w:spacing w:after="12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Document control</w:t>
      </w:r>
    </w:p>
    <w:p>
      <w:pPr>
        <w:spacing w:after="120" w:line="276"/>
      </w:pPr>
      <w:r>
        <w:rPr>
          <w:rFonts w:ascii="Calibri" w:cs="Calibri" w:eastAsia="Calibri" w:hAnsi="Calibri"/>
          <w:sz w:val="21"/>
          <w:szCs w:val="21"/>
        </w:rPr>
        <w:t xml:space="preserve">This specification was prepared from the complete transcript of the recorded session. Where the recording produced a clear instruction, it is recorded as MUST. Where a decision was reached by agreement, it is recorded as SHOULD with the reasoning preserved. Where the recording was unclear, it appears in Appendix B rather than in the specification. Nothing in Sections 3 through 13 is invented; Section 14 is clearly separated as recommendations that the client has not yet seen.</w:t>
      </w:r>
    </w:p>
    <w:p>
      <w:pPr>
        <w:spacing w:after="60"/>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Questions on this document: </w:t>
      </w:r>
      <w:r>
        <w:rPr>
          <w:rFonts w:ascii="Calibri" w:cs="Calibri" w:eastAsia="Calibri" w:hAnsi="Calibri"/>
          <w:sz w:val="21"/>
          <w:szCs w:val="21"/>
        </w:rPr>
        <w:t xml:space="preserve">Matthew R. Epstein  |  Matthew@mrecai.com  |  929-919-3574</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Prepared by Matthew R. Epstein  |  Matthew@mrecai.com  |  929-919-3574  |  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DC" w:sz="4" w:space="4"/>
      </w:pBdr>
      <w:spacing w:after="80"/>
      <w:jc w:val="right"/>
    </w:pPr>
    <w:r>
      <w:rPr>
        <w:rFonts w:ascii="Calibri" w:cs="Calibri" w:eastAsia="Calibri" w:hAnsi="Calibri"/>
        <w:color w:val="5A5A5A"/>
        <w:sz w:val="16"/>
        <w:szCs w:val="16"/>
      </w:rPr>
      <w:t xml:space="preserve">David A. Gwilt Flooring — Concept A Website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 Gwilt Flooring — Concept A Website Build Specification</dc:title>
  <dc:creator>Matthew R. Epstein</dc:creator>
  <dc:description>Developer specification derived from the recorded client concept-review session.</dc:description>
  <cp:lastModifiedBy>Un-named</cp:lastModifiedBy>
  <cp:revision>1</cp:revision>
  <dcterms:created xsi:type="dcterms:W3CDTF">2026-09-19T15:34:49.862Z</dcterms:created>
  <dcterms:modified xsi:type="dcterms:W3CDTF">2026-09-19T15:34:49.862Z</dcterms:modified>
</cp:coreProperties>
</file>

<file path=docProps/custom.xml><?xml version="1.0" encoding="utf-8"?>
<Properties xmlns="http://schemas.openxmlformats.org/officeDocument/2006/custom-properties" xmlns:vt="http://schemas.openxmlformats.org/officeDocument/2006/docPropsVTypes"/>
</file>