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OpenClaw Task Delegation and Document Management Addendum</w:t>
      </w:r>
    </w:p>
    <w:p>
      <w:r>
        <w:t>Developer specification for Matthew R. Epstein  |  28 September 2026</w:t>
      </w:r>
    </w:p>
    <w:p>
      <w:r>
        <w:t>Integrate this addendum into the existing life management blueprint. The required outcome is one accountable coordinator that turns incoming information into traceable tasks, assigns each task to an appropriately restricted assistant, completes routine work autonomously after validation, and escalates anomalies and consequential exceptions to Matthew. In parallel, build a continuous, copy-only document intake and organization system across email, phone submissions, the Mac, iCloud Drive, Dropbox, and Google Drive.</w:t>
      </w:r>
    </w:p>
    <w:p>
      <w:pPr>
        <w:pStyle w:val="Heading1"/>
      </w:pPr>
      <w:r>
        <w:t>Decisions and nonnegotiable rules</w:t>
      </w:r>
    </w:p>
    <w:p>
      <w:pPr>
        <w:pStyle w:val="ListBullet"/>
      </w:pPr>
      <w:r>
        <w:t>Routine bills and routine operational actions may be completed without per-item sign-off when they satisfy a preconfigured authorization policy and a thorough, documented anomaly review. Exceptions, nonroutine transfers, deletion, legal or tax filings, production changes, and sensitive disclosures require Matthew’s approval.</w:t>
      </w:r>
    </w:p>
    <w:p>
      <w:pPr>
        <w:pStyle w:val="ListBullet"/>
      </w:pPr>
      <w:r>
        <w:t>Source documents and original folders remain untouched. The system creates its managed copies only inside a new iCloud Drive folder named OpenClaw. It never silently rewrites, renames, moves, merges, or deletes originals.</w:t>
      </w:r>
    </w:p>
    <w:p>
      <w:pPr>
        <w:pStyle w:val="ListBullet"/>
      </w:pPr>
      <w:r>
        <w:t>The copy-only rule prevents reclaiming space occupied by originals. Deduplication can avoid redundant managed copies and produce a reviewable deletion proposal, but cannot lower original-drive usage without a separate, explicit authorization and backup plan.</w:t>
      </w:r>
    </w:p>
    <w:p>
      <w:pPr>
        <w:pStyle w:val="ListBullet"/>
      </w:pPr>
      <w:r>
        <w:t>Separate personal, MRECAI, MLECA, Atlase AI Inc, and each Atlase product entity in the metadata, permissions, work queues, and records. Do not infer an entity from a logo or email alias alone when the evidence conflicts.</w:t>
      </w:r>
    </w:p>
    <w:p>
      <w:pPr>
        <w:pStyle w:val="ListBullet"/>
      </w:pPr>
      <w:r>
        <w:t>Phone intake must use supported app sharing, capture, connector, or explicit upload paths. Do not promise perpetual background inspection of every iPhone app; device and app permissions limit that coverage.</w:t>
      </w:r>
    </w:p>
    <w:p>
      <w:pPr>
        <w:pStyle w:val="Heading1"/>
      </w:pPr>
      <w:r>
        <w:t>1 Task coordinator and specialist assistants</w:t>
      </w:r>
    </w:p>
    <w:p>
      <w:r>
        <w:t>Create a chief of staff or coordinator as Matthew’s single contact and system of record. Start with a small, stable group of agents. Spawn a temporary specialist only when an existing specialist lacks the necessary domain or isolation; agent creation and expanded access must be approved and logged. A specialist receives only the minimum documents and tools required for its assigned task.</w:t>
      </w:r>
    </w:p>
    <w:tbl>
      <w:tblPr>
        <w:tblW w:type="auto" w:w="0"/>
        <w:jc w:val="center"/>
        <w:tblLayout w:type="fixed"/>
        <w:tblLook w:firstColumn="1" w:firstRow="1" w:lastColumn="0" w:lastRow="0" w:noHBand="0" w:noVBand="1" w:val="04A0"/>
      </w:tblPr>
      <w:tblGrid>
        <w:gridCol w:w="1627"/>
        <w:gridCol w:w="4608"/>
        <w:gridCol w:w="3643"/>
      </w:tblGrid>
      <w:tr>
        <w:trPr>
          <w:cantSplit/>
          <w:tblHeader/>
        </w:trPr>
        <w:tc>
          <w:tcPr>
            <w:tcW w:type="dxa" w:w="1627"/>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Role</w:t>
            </w:r>
          </w:p>
        </w:tc>
        <w:tc>
          <w:tcPr>
            <w:tcW w:type="dxa" w:w="4608"/>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Responsibility</w:t>
            </w:r>
          </w:p>
        </w:tc>
        <w:tc>
          <w:tcPr>
            <w:tcW w:type="dxa" w:w="3643"/>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Access boundary</w:t>
            </w:r>
          </w:p>
        </w:tc>
      </w:tr>
      <w:tr>
        <w:trPr>
          <w:cantSplit/>
        </w:trPr>
        <w:tc>
          <w:tcPr>
            <w:tcW w:type="dxa" w:w="1627"/>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Coordinator</w:t>
            </w:r>
          </w:p>
        </w:tc>
        <w:tc>
          <w:tcPr>
            <w:tcW w:type="dxa" w:w="4608"/>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Capture, prioritize, route, track dependencies, request approval, verify completion, brief Matthew.</w:t>
            </w:r>
          </w:p>
        </w:tc>
        <w:tc>
          <w:tcPr>
            <w:tcW w:type="dxa" w:w="3643"/>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Task ledger and sanitized summaries; no blanket access to credentials.</w:t>
            </w:r>
          </w:p>
        </w:tc>
      </w:tr>
      <w:tr>
        <w:trPr>
          <w:cantSplit/>
        </w:trPr>
        <w:tc>
          <w:tcPr>
            <w:tcW w:type="dxa" w:w="1627"/>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Communications</w:t>
            </w:r>
          </w:p>
        </w:tc>
        <w:tc>
          <w:tcPr>
            <w:tcW w:type="dxa" w:w="4608"/>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Classify email, draft or send routine replies, extract attachments and commitments, suggest calendar actions.</w:t>
            </w:r>
          </w:p>
        </w:tc>
        <w:tc>
          <w:tcPr>
            <w:tcW w:type="dxa" w:w="3643"/>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Read authorized mailboxes; send only inside the routine-action mandate.</w:t>
            </w:r>
          </w:p>
        </w:tc>
      </w:tr>
      <w:tr>
        <w:trPr>
          <w:cantSplit/>
        </w:trPr>
        <w:tc>
          <w:tcPr>
            <w:tcW w:type="dxa" w:w="1627"/>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Documents</w:t>
            </w:r>
          </w:p>
        </w:tc>
        <w:tc>
          <w:tcPr>
            <w:tcW w:type="dxa" w:w="4608"/>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Ingest, OCR, tag, organize managed copies, find and compare duplicates.</w:t>
            </w:r>
          </w:p>
        </w:tc>
        <w:tc>
          <w:tcPr>
            <w:tcW w:type="dxa" w:w="3643"/>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Read approved source locations; write only into OpenClaw managed root.</w:t>
            </w:r>
          </w:p>
        </w:tc>
      </w:tr>
      <w:tr>
        <w:trPr>
          <w:cantSplit/>
        </w:trPr>
        <w:tc>
          <w:tcPr>
            <w:tcW w:type="dxa" w:w="1627"/>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Finance and records</w:t>
            </w:r>
          </w:p>
        </w:tc>
        <w:tc>
          <w:tcPr>
            <w:tcW w:type="dxa" w:w="4608"/>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Extract and reconcile bills, statements, checks, due dates, tax records and payment evidence.</w:t>
            </w:r>
          </w:p>
        </w:tc>
        <w:tc>
          <w:tcPr>
            <w:tcW w:type="dxa" w:w="3643"/>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Restricted financial sources; pay only through a policy-gated payment executor.</w:t>
            </w:r>
          </w:p>
        </w:tc>
      </w:tr>
      <w:tr>
        <w:trPr>
          <w:cantSplit/>
        </w:trPr>
        <w:tc>
          <w:tcPr>
            <w:tcW w:type="dxa" w:w="1627"/>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Calendar and personal</w:t>
            </w:r>
          </w:p>
        </w:tc>
        <w:tc>
          <w:tcPr>
            <w:tcW w:type="dxa" w:w="4608"/>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Track meetings, household duties, travel, health administration and reminders.</w:t>
            </w:r>
          </w:p>
        </w:tc>
        <w:tc>
          <w:tcPr>
            <w:tcW w:type="dxa" w:w="3643"/>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Personal calendar and approved personal records.</w:t>
            </w:r>
          </w:p>
        </w:tc>
      </w:tr>
      <w:tr>
        <w:trPr>
          <w:cantSplit/>
        </w:trPr>
        <w:tc>
          <w:tcPr>
            <w:tcW w:type="dxa" w:w="1627"/>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Business operations</w:t>
            </w:r>
          </w:p>
        </w:tc>
        <w:tc>
          <w:tcPr>
            <w:tcW w:type="dxa" w:w="4608"/>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Track separate entity obligations, client delivery, insurance and vendor tasks.</w:t>
            </w:r>
          </w:p>
        </w:tc>
        <w:tc>
          <w:tcPr>
            <w:tcW w:type="dxa" w:w="3643"/>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Entity-scoped business records; sensitive work needs review.</w:t>
            </w:r>
          </w:p>
        </w:tc>
      </w:tr>
      <w:tr>
        <w:trPr>
          <w:cantSplit/>
        </w:trPr>
        <w:tc>
          <w:tcPr>
            <w:tcW w:type="dxa" w:w="1627"/>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Reviewer</w:t>
            </w:r>
          </w:p>
        </w:tc>
        <w:tc>
          <w:tcPr>
            <w:tcW w:type="dxa" w:w="4608"/>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Check citations, identity, numbers, duplication, requested action and policy compliance.</w:t>
            </w:r>
          </w:p>
        </w:tc>
        <w:tc>
          <w:tcPr>
            <w:tcW w:type="dxa" w:w="3643"/>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Read task packet, evidence and proposed output; no execution tools.</w:t>
            </w:r>
          </w:p>
        </w:tc>
      </w:tr>
    </w:tbl>
    <w:p>
      <w:pPr>
        <w:spacing w:after="0"/>
      </w:pPr>
    </w:p>
    <w:p>
      <w:pPr>
        <w:pStyle w:val="Heading1"/>
      </w:pPr>
      <w:r>
        <w:t>2 Task lifecycle and required record</w:t>
      </w:r>
    </w:p>
    <w:p>
      <w:r>
        <w:t>Each source event creates or updates one durable task record. The coordinator deduplicates events before work starts; a forwarded email, attached invoice and bank transaction can be evidence for the same obligation rather than three tasks.</w:t>
      </w:r>
    </w:p>
    <w:p>
      <w:r>
        <w:t>Required task fields: task ID; source and link; received time; owner and entity; personal or business classification; subject; requested outcome; evidence and extraction confidence; priority and due date; dependencies; assigned agent; permitted tools; sensitivity; action risk; approval policy and approver; status; retry count; artifact links; audit trail; verification evidence; final outcome. Every action stores the exact document version, destination, recipient and amount where applicable.</w:t>
      </w:r>
    </w:p>
    <w:p>
      <w:r>
        <w:t>State progression: detected → classified → triaged → delegated → in progress → prepared → awaiting approval if required → executed → independently verified → closed. Exception states: needs clarification, blocked, failed, duplicate, canceled. A denial returns the task for revision or closes it; it never becomes an implicit approval. Repeated runs must be idempotent, with a unique event key and conflict check before execution.</w:t>
      </w:r>
    </w:p>
    <w:p>
      <w:pPr>
        <w:pStyle w:val="ListBullet"/>
      </w:pPr>
      <w:r>
        <w:t>Priority rules should combine deadline, financial exposure, legal consequence, client commitment, reversibility and effort. A detected due date is provisional until verified against the source. Escalate imminent obligations immediately; provide a daily digest and weekly backlog review.</w:t>
      </w:r>
    </w:p>
    <w:p>
      <w:pPr>
        <w:pStyle w:val="ListBullet"/>
      </w:pPr>
      <w:r>
        <w:t>Ask Matthew focused questions when entity, recipient, due date, ownership or intended action is uncertain. Record his answer as a scoped rule with provenance; do not generalize one exception across unrelated clients or accounts.</w:t>
      </w:r>
    </w:p>
    <w:p>
      <w:pPr>
        <w:pStyle w:val="ListBullet"/>
      </w:pPr>
      <w:r>
        <w:t>The reviewer confirms the completed task against source evidence and intended outcome. A tool reporting success alone is insufficient; verify a sent item, calendar event, saved file, or transaction from the destination when possible.</w:t>
      </w:r>
    </w:p>
    <w:p>
      <w:pPr>
        <w:pStyle w:val="Heading1"/>
      </w:pPr>
      <w:r>
        <w:t>3 Approval matrix</w:t>
      </w:r>
    </w:p>
    <w:tbl>
      <w:tblPr>
        <w:tblW w:type="auto" w:w="0"/>
        <w:jc w:val="center"/>
        <w:tblLayout w:type="fixed"/>
        <w:tblLook w:firstColumn="1" w:firstRow="1" w:lastColumn="0" w:lastRow="0" w:noHBand="0" w:noVBand="1" w:val="04A0"/>
      </w:tblPr>
      <w:tblGrid>
        <w:gridCol w:w="1512"/>
        <w:gridCol w:w="5400"/>
        <w:gridCol w:w="2966"/>
      </w:tblGrid>
      <w:tr>
        <w:trPr>
          <w:cantSplit/>
          <w:tblHeader/>
        </w:trPr>
        <w:tc>
          <w:tcPr>
            <w:tcW w:type="dxa" w:w="1512"/>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Level</w:t>
            </w:r>
          </w:p>
        </w:tc>
        <w:tc>
          <w:tcPr>
            <w:tcW w:type="dxa" w:w="5400"/>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Examples</w:t>
            </w:r>
          </w:p>
        </w:tc>
        <w:tc>
          <w:tcPr>
            <w:tcW w:type="dxa" w:w="2966"/>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Default rule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A Observe</w:t>
            </w:r>
          </w:p>
        </w:tc>
        <w:tc>
          <w:tcPr>
            <w:tcW w:type="dxa" w:w="540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Read, classify, OCR, summarize, search, deduplicate metadata.</w:t>
            </w:r>
          </w:p>
        </w:tc>
        <w:tc>
          <w:tcPr>
            <w:tcW w:type="dxa" w:w="296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Automatic within preauthorized sources; log access.</w:t>
            </w:r>
          </w:p>
        </w:tc>
      </w:tr>
      <w:tr>
        <w:trPr>
          <w:cantSplit/>
        </w:trPr>
        <w:tc>
          <w:tcPr>
            <w:tcW w:type="dxa" w:w="151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B Prepare</w:t>
            </w:r>
          </w:p>
        </w:tc>
        <w:tc>
          <w:tcPr>
            <w:tcW w:type="dxa" w:w="540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Draft replies, prepare calendar invitations, organize new copies, generate reports.</w:t>
            </w:r>
          </w:p>
        </w:tc>
        <w:tc>
          <w:tcPr>
            <w:tcW w:type="dxa" w:w="296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Automatic in staging; review exceptions and low-confidence fields.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 Routine execution</w:t>
            </w:r>
          </w:p>
        </w:tc>
        <w:tc>
          <w:tcPr>
            <w:tcW w:type="dxa" w:w="540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Pay a verified recurring bill; send a routine reply to a known party; create an ordinary calendar event; update a managed record.</w:t>
            </w:r>
          </w:p>
        </w:tc>
        <w:tc>
          <w:tcPr>
            <w:tcW w:type="dxa" w:w="296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Automatic only inside a preconfigured scope after independent anomaly checks and audit logging.</w:t>
            </w:r>
          </w:p>
        </w:tc>
      </w:tr>
      <w:tr>
        <w:trPr>
          <w:cantSplit/>
        </w:trPr>
        <w:tc>
          <w:tcPr>
            <w:tcW w:type="dxa" w:w="151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D Exception</w:t>
            </w:r>
          </w:p>
        </w:tc>
        <w:tc>
          <w:tcPr>
            <w:tcW w:type="dxa" w:w="540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New payee, changed bank details, unusual bill, nonroutine transfer, deletion, access change, legal/tax/insurance submission, sensitive disclosure.</w:t>
            </w:r>
          </w:p>
        </w:tc>
        <w:tc>
          <w:tcPr>
            <w:tcW w:type="dxa" w:w="296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Matthew approves exact action and stronger verification occurs before execution.</w:t>
            </w:r>
          </w:p>
        </w:tc>
      </w:tr>
    </w:tbl>
    <w:p>
      <w:pPr>
        <w:spacing w:after="0"/>
      </w:pPr>
    </w:p>
    <w:p>
      <w:r>
        <w:t>At setup, create a bounded routine-action mandate: permitted source accounts, payees or correspondents, payment rails, categories, amount ranges or payee-specific ceilings, permitted reply classes, frequency, daily aggregate exposure, effective period and revocation. Historic paid bills may establish a recurring pattern, but they do not authorize a new bank destination. The policy engine, separate from the language model, checks the mandate at execution time. A task outside scope must pause; an unavailable approval channel must not silently authorize it.</w:t>
      </w:r>
    </w:p>
    <w:p>
      <w:r>
        <w:t>For any exception, the approval object states task ID, exact action, draft or before/after, payee and bank destination, amount, affected files, evidence links, anomaly, expiration and approve/revise/deny controls. Approval applies only to those exact details and expires if a material field changes. Never convert one exception approval into an unlimited grant.</w:t>
      </w:r>
    </w:p>
    <w:p>
      <w:pPr>
        <w:pStyle w:val="Heading1"/>
      </w:pPr>
      <w:r>
        <w:t>Execution ready exception proposals</w:t>
      </w:r>
    </w:p>
    <w:p>
      <w:r>
        <w:t>Complete the analysis before asking Matthew to approve a fix. Identify the root cause and affected sources; verify the facts independently; compare practical remedies; select one recommendation; prepare the exact corrected draft, transaction, file operation or account change; identify the target, amount, timing, dependencies and expected result; assess reversibility, exposure and failure modes; and define the post-action check. Present the recommendation with concise evidence and an exact preview of what approval will authorize.</w:t>
      </w:r>
    </w:p>
    <w:p>
      <w:r>
        <w:t>When more than one sensible resolution exists, present no more than three options, with the recommended option first. For each, explain its advantages, disadvantages, the situation where it performs best, and where it underperforms. Compare time to resolution, cost or financial exposure, operational effort, reversibility, and risk when relevant. Do not invent weak alternatives to reach three. Complete the implementation work, code, tests, exact action and verification plan only for the recommended option. It must be ready for one approval and execution.</w:t>
      </w:r>
    </w:p>
    <w:p>
      <w:r>
        <w:t>For options two and three, produce a precise build brief rather than code or a completed execution package. State the prerequisites, required permissions and inputs; components or files to create or change; ordered implementation steps; key decision rules or pseudocode; tests and acceptance criteria; expected effort; likely risks; and the exact trigger for switching to that option. Do not write, run, integrate or test alternative code until Matthew selects that option. This avoids spending development time on paths that will usually go unused.</w:t>
      </w:r>
    </w:p>
    <w:p>
      <w:r>
        <w:t>If Matthew chooses an alternative, the assigned AI agent uses its build brief to create and test that option, then prepares its exact action. The selection authorizes that preparatory work without another routine question; any consequential execution still uses the applicable approval policy, with the completed details shown if they materially differ from what he selected.</w:t>
      </w:r>
    </w:p>
    <w:p>
      <w:r>
        <w:t>An approval of the proposed fix should run the prepared action without another routine confirmation. Immediately before execution, recheck the source version, account or recipient, amount, authorization scope, current state and duplicates. If a material fact changed, stop and return an updated proposal. If the approved action fails, preserve the audit trail, avoid blind retries of payments or sends, diagnose the failure and present a prepared repair. Ask a narrow question only when an essential fact cannot be determined from authorized sources.</w:t>
      </w:r>
    </w:p>
    <w:p>
      <w:pPr>
        <w:pStyle w:val="Heading1"/>
      </w:pPr>
      <w:r>
        <w:t>Routine bill payment verification</w:t>
      </w:r>
    </w:p>
    <w:p>
      <w:r>
        <w:t>Before payment, inspect the original bill and extraction, match the legal payee and beneficiary account to a previously verified destination, confirm the account belongs to the correct personal or business entity, compare amount and billing period against the contract and payment history, check due date and credits, confirm the bill has not already been paid or scheduled, and reconcile independent evidence where available. Check for changed remittance details, suspicious messages, missing pages, altered PDFs, unexpected urgency, unusual amounts, and inconsistencies with account or vendor portals. Use a second deterministic check independent of the drafting model.</w:t>
      </w:r>
    </w:p>
    <w:p>
      <w:r>
        <w:t>If every check passes and the transaction fits the mandate, the payment executor may pay through the existing approved rail, record the confirmation ID and receipt, and verify the payment status and subsequent bank posting. Notify Matthew in a same-day digest. If any check fails or evidence is incomplete, pause without payment and prepare a specific correction or verification plan with the exact payment ready for one approval. Avoid retrying an uncertain payment until status is reconciled, to prevent double payment.</w:t>
      </w:r>
    </w:p>
    <w:p>
      <w:r>
        <w:t>The same pattern applies to routine communications and calendar work: check identity, recipient, contents, privacy, prior commitments and scope; execute predictable actions; escalate changes to contracts, price, sensitive data, client advice or external commitments.</w:t>
      </w:r>
    </w:p>
    <w:p>
      <w:pPr>
        <w:pStyle w:val="Heading1"/>
      </w:pPr>
      <w:r>
        <w:t>4 Continuous intake and document organization</w:t>
      </w:r>
    </w:p>
    <w:p>
      <w:pPr>
        <w:pStyle w:val="ListNumber"/>
      </w:pPr>
      <w:r>
        <w:t>Inventory and connect sources. Establish authorized accounts and folder scopes for personal and work email; iCloud Drive on the Mac; Dropbox; Google Drive; and approved local Mac directories. Use connector APIs or synced folders with read-only source access. Add phone share-sheet intake, photo capture and scan upload. Enumerate unsupported apps and required permissions in a coverage register.</w:t>
      </w:r>
    </w:p>
    <w:p>
      <w:pPr>
        <w:pStyle w:val="ListNumber"/>
      </w:pPr>
      <w:r>
        <w:t>Backfill safely. Inventory all accessible files and mail attachments first, record source IDs, paths, owners, dates, sizes and checksums, then ingest in bounded batches. Prefer incremental change tokens or webhooks when supported; otherwise poll with rate limits and last-seen cursors. Schedule retry, reconciliation and a periodic full inventory for missed events.</w:t>
      </w:r>
    </w:p>
    <w:p>
      <w:pPr>
        <w:pStyle w:val="ListNumber"/>
      </w:pPr>
      <w:r>
        <w:t>Extract and classify. OCR image and PDF scans; preserve the original; capture issuer, account ending, invoice number, payee, amount, currency, period, due date, entity, address and document type. Types include bank and credit card statements, invoices, bills, rent records, checks, receipts, tax documents, contracts, insurance policies, mail, correspondence and identity records. Confidence below the configured threshold goes to review.</w:t>
      </w:r>
    </w:p>
    <w:p>
      <w:pPr>
        <w:pStyle w:val="ListNumber"/>
      </w:pPr>
      <w:r>
        <w:t>Store in the OpenClaw iCloud folder only. Suggested managed structure: OpenClaw/00 Inbox, 01 Personal, 02 MRECAI, 03 MLECA, 04 Atlase AI Inc, 05 Atlase Products, 90 Review, 99 System Manifests. Nest by document type and tax or calendar year only where useful; use stable filenames and retain links to source originals. Prevent client and entity cross-filing.</w:t>
      </w:r>
    </w:p>
    <w:p>
      <w:pPr>
        <w:pStyle w:val="ListNumber"/>
      </w:pPr>
      <w:r>
        <w:t>Detect duplicates. Exact duplicates require a cryptographic hash of complete bytes and same file size. Near duplicates use text similarity and visual comparison only as candidates; retain distinct versions, annotated scans, different statement periods and different signed copies. The canonical managed record may point to multiple source locations while storing one managed content copy, subject to required retention and access boundaries.</w:t>
      </w:r>
    </w:p>
    <w:p>
      <w:pPr>
        <w:pStyle w:val="ListNumber"/>
      </w:pPr>
      <w:r>
        <w:t>Reconcile and surface action. Link bill to statement transaction and proof of payment when supported; detect missing statements and duplicate invoices; create tasks for due dates, renewals and unanswered mail. Flag discrepancies rather than treating OCR as authoritative for amounts or routing details.</w:t>
      </w:r>
    </w:p>
    <w:p>
      <w:pPr>
        <w:pStyle w:val="ListNumber"/>
      </w:pPr>
      <w:r>
        <w:t>Report storage accurately. Show original bytes by source, bytes copied into OpenClaw, bytes saved within the managed collection by deduplication, and potential original bytes that could be reclaimed after a separately approved cleanup. Avoid adding a second full copy if a sufficient backup or existing version is already present without making the preservation tradeoff clear.</w:t>
      </w:r>
    </w:p>
    <w:p>
      <w:pPr>
        <w:pStyle w:val="Heading1"/>
      </w:pPr>
      <w:r>
        <w:t>5 Security and reliability controls</w:t>
      </w:r>
    </w:p>
    <w:p>
      <w:pPr>
        <w:pStyle w:val="ListBullet"/>
      </w:pPr>
      <w:r>
        <w:t>Use per-agent least-privilege scopes and separate read versus write identities. Do not grant one agent full unrestricted Mac, cloud, email and financial access simply because it coordinates work. Protect secrets in the system credential store; never write credentials to task notes, prompts or logs.</w:t>
      </w:r>
    </w:p>
    <w:p>
      <w:pPr>
        <w:pStyle w:val="ListBullet"/>
      </w:pPr>
      <w:r>
        <w:t>Treat email bodies, PDF contents, webpages and OCR as untrusted data. Embedded instructions cannot modify rules, request new permissions, approve transactions or cause external sends. Validate tool arguments and destinations in code.</w:t>
      </w:r>
    </w:p>
    <w:p>
      <w:pPr>
        <w:pStyle w:val="ListBullet"/>
      </w:pPr>
      <w:r>
        <w:t>Encrypt stored documents and audit records; restrict access by entity and client; define retention and secure backup of the managed folder. Test restore. Redact taxpayer IDs, health details and credentials from routine digests. Have a licensed professional review filings, coverage recommendations and regulated client work as appropriate.</w:t>
      </w:r>
    </w:p>
    <w:p>
      <w:pPr>
        <w:pStyle w:val="ListBullet"/>
      </w:pPr>
      <w:r>
        <w:t>Log source access, model classification, task assignment, file copy, approval, execution, result and operator changes. Provide a pause switch that stops scheduled actions, credential revocation, alerting on failed jobs, and a clear way to undo reversible managed-folder changes.</w:t>
      </w:r>
    </w:p>
    <w:p>
      <w:pPr>
        <w:pStyle w:val="Heading1"/>
      </w:pPr>
      <w:r>
        <w:t>6 ChatGPT master to do list integration</w:t>
      </w:r>
    </w:p>
    <w:p>
      <w:r>
        <w:t>Treat Matthew’s ChatGPT project labeled master to-do list as a primary planning input and collaboration surface. Its running tasks, project instructions, linked files, and newer corrections must be reconciled with tasks discovered from email, calendar, the phone, the Mac, iCloud Drive, Dropbox, and Google Drive. Maintain one canonical task ledger with stable IDs and source links so the same obligation is not created twice. The project is a source of context and updates; its chat transcript alone must not be assumed to be a supported external database API.</w:t>
      </w:r>
    </w:p>
    <w:p>
      <w:r>
        <w:t>During setup, identify the exact project, authorized account, project instructions and current task-bearing chats and sources. Compare the latest project state with the September 24, 2026 working-session master list, action tracker, and exhaustive-context files in the Master To Do Lists collection. These are candidate seed documents, not proof that they are still current. Import unresolved tasks with their descriptions, history, due dates, priority, category, entity, dependencies and evidence; preserve completed or superseded items as history. Record where each fact came from and when it was last confirmed.</w:t>
      </w:r>
    </w:p>
    <w:tbl>
      <w:tblPr>
        <w:tblW w:type="auto" w:w="0"/>
        <w:jc w:val="center"/>
        <w:tblLayout w:type="fixed"/>
        <w:tblLook w:firstColumn="1" w:firstRow="1" w:lastColumn="0" w:lastRow="0" w:noHBand="0" w:noVBand="1" w:val="04A0"/>
      </w:tblPr>
      <w:tblGrid>
        <w:gridCol w:w="1512"/>
        <w:gridCol w:w="3816"/>
        <w:gridCol w:w="4550"/>
      </w:tblGrid>
      <w:tr>
        <w:trPr>
          <w:cantSplit/>
          <w:tblHeader/>
        </w:trPr>
        <w:tc>
          <w:tcPr>
            <w:tcW w:type="dxa" w:w="1512"/>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Task field</w:t>
            </w:r>
          </w:p>
        </w:tc>
        <w:tc>
          <w:tcPr>
            <w:tcW w:type="dxa" w:w="3816"/>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Required meaning</w:t>
            </w:r>
          </w:p>
        </w:tc>
        <w:tc>
          <w:tcPr>
            <w:tcW w:type="dxa" w:w="4550"/>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Reconciliation rule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Identity</w:t>
            </w:r>
          </w:p>
        </w:tc>
        <w:tc>
          <w:tcPr>
            <w:tcW w:type="dxa" w:w="381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Stable task ID, title, entity, personal/business, source links.</w:t>
            </w:r>
          </w:p>
        </w:tc>
        <w:tc>
          <w:tcPr>
            <w:tcW w:type="dxa" w:w="455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Merge duplicate mentions; preserve all evidence and entity boundaries.</w:t>
            </w:r>
          </w:p>
        </w:tc>
      </w:tr>
      <w:tr>
        <w:trPr>
          <w:cantSplit/>
        </w:trPr>
        <w:tc>
          <w:tcPr>
            <w:tcW w:type="dxa" w:w="151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Work state</w:t>
            </w:r>
          </w:p>
        </w:tc>
        <w:tc>
          <w:tcPr>
            <w:tcW w:type="dxa" w:w="381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New, ready, in progress, blocked, approval needed, completed, verified.</w:t>
            </w:r>
          </w:p>
        </w:tc>
        <w:tc>
          <w:tcPr>
            <w:tcW w:type="dxa" w:w="455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A completed claim requires outcome evidence; later corrections supersede stale snapshots.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Ownership</w:t>
            </w:r>
          </w:p>
        </w:tc>
        <w:tc>
          <w:tcPr>
            <w:tcW w:type="dxa" w:w="381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Matthew, OpenClaw, ChatGPT, Claude, developer, CPA, attorney or other person.</w:t>
            </w:r>
          </w:p>
        </w:tc>
        <w:tc>
          <w:tcPr>
            <w:tcW w:type="dxa" w:w="455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One accountable owner; assistants may be contributors to separate steps.</w:t>
            </w:r>
          </w:p>
        </w:tc>
      </w:tr>
      <w:tr>
        <w:trPr>
          <w:cantSplit/>
        </w:trPr>
        <w:tc>
          <w:tcPr>
            <w:tcW w:type="dxa" w:w="151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Capability</w:t>
            </w:r>
          </w:p>
        </w:tc>
        <w:tc>
          <w:tcPr>
            <w:tcW w:type="dxa" w:w="381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Estimated AI work share, human time, confidence, access gaps and gate.</w:t>
            </w:r>
          </w:p>
        </w:tc>
        <w:tc>
          <w:tcPr>
            <w:tcW w:type="dxa" w:w="455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Assess each tool separately; do not add overlapping percentages.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Control</w:t>
            </w:r>
          </w:p>
        </w:tc>
        <w:tc>
          <w:tcPr>
            <w:tcW w:type="dxa" w:w="381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Due date, priority, dependency, next action, approval and audit trail.</w:t>
            </w:r>
          </w:p>
        </w:tc>
        <w:tc>
          <w:tcPr>
            <w:tcW w:type="dxa" w:w="455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Escalate conflicts; retain change history and source version.</w:t>
            </w:r>
          </w:p>
        </w:tc>
      </w:tr>
    </w:tbl>
    <w:p>
      <w:pPr>
        <w:spacing w:after="0"/>
      </w:pPr>
    </w:p>
    <w:p>
      <w:r>
        <w:t>For each open task, estimate what portion of the end-to-end work OpenClaw, ChatGPT, and Claude can each perform with current tools and permissions. Use a 0–100% estimate per assistant, plus the residual human work in minutes or hours and a confidence rating. These figures overlap: a task might be 80% feasible for either ChatGPT or Claude, not 160% feasible in total. Distinguish research and drafting from actual execution, external submission, identity verification and regulated professional review. State the specific blocker that prevents 100% automation and the access or decision that would remove it.</w:t>
      </w:r>
    </w:p>
    <w:p>
      <w:r>
        <w:t>Assign the executor with the strongest combination of authorized access, reliability, speed, cost and fit for the task. OpenClaw coordinates intake, scheduling, routing, reminders and policy-gated execution; ChatGPT or Claude can research, analyze, draft or build when their connected capabilities are suitable. Do not claim either can operate an app or finish a transaction without a tested route. Exchange bounded task packets containing the objective, current evidence, permissions, deliverable, deadline, expected result and return path. On completion, record artifacts, verification evidence, actual time spent and revised capability estimates.</w:t>
      </w:r>
    </w:p>
    <w:p>
      <w:r>
        <w:t>Synchronization must be bidirectional where supported: import project changes and publish task status, completed work, exceptions and daily or weekly summaries back to the project or its connected canonical tracker. Use supported project sources, connected storage, or an approved integration. If a reliable project write/read path is unavailable, keep the canonical structured tracker in an accessible shared file and attach or link it in the ChatGPT project; generate a project-ready change summary rather than silently assuming chat history can be scraped or modified. Flag sync failures and version conflicts without overwriting either side.</w:t>
      </w:r>
    </w:p>
    <w:p>
      <w:r>
        <w:t>Run an extensive end-of-day communications sweep in Matthew’s America/New_York timezone, at a configurable evening time and again after any outage. Maintain an explicit coverage register for each authorized personal and business email account; iPhone and Mac texts or iMessage; Google Voice messages, voicemail and available call transcripts; phone logs; WhatsApp or other work chats; calendar invitations and notes; and any additional communication app Matthew approves. For each source, document its supported API, export, sync, share-sheet or capture method, permissions, last successful checkpoint, failures and gaps. A phone call without a transcript proves contact occurred, not what was promised; surface the missing content for review.</w:t>
      </w:r>
    </w:p>
    <w:p>
      <w:r>
        <w:t>Refresh supported communication sources throughout the day. Check active and operationally important sources every hour on the hour where that cadence is most helpful and conducive. Check all less-active fields of communication at least once every three hours. Log successful checks and disclose or retry missed intervals.</w:t>
      </w:r>
    </w:p>
    <w:p>
      <w:r>
        <w:t>The sweep searches all new communications since the last successful checkpoint and a rolling overlap window for late sync, edited messages and delayed transcripts. Compare both incoming and outgoing threads, attachments, meeting notes and follow-up replies. Extract commitments, requests, deadlines, promised deliverables, payments, appointments, waiting-on-other-person items and explicit completion signals. Link each finding to the original message, call or file with participants and timestamp. Cross-check the project, task ledger, calendar, sent items, receipts and destination systems before changing status to completed. A statement such as “I sent it” is evidence to investigate, not automatic proof that the intended recipient or destination received it.</w:t>
      </w:r>
    </w:p>
    <w:p>
      <w:r>
        <w:t>At day end, create missing tasks, update existing task IDs, close only verified work, reschedule stale follow-ups, and identify commitments with no owner or due date. Record confidence and a question when the conversation is ambiguous. Generate a concise daily reconciliation: new tasks, changed tasks, verified completions, overdue or at-risk items, tomorrow’s priorities, pending approvals, and sources that could not be checked. Never report the day as fully reviewed unless every registered source completed or its gap is explicitly disclosed. Keep an audit record of source cursors and task changes; deduplicate repeat runs.</w:t>
      </w:r>
    </w:p>
    <w:p>
      <w:r>
        <w:t>The dashboard should show business versus personal work, separate entities, overdue and upcoming tasks, blocked items, approval-ready proposals, delegated assistant, estimated human hours remaining, estimated AI hours saved, and proof of completion. Reassess the entire open backlog daily, reconcile sources at least weekly, and immediately incorporate an explicit correction Matthew makes in the project or to the coordinator. A new task should appear once with its best next action, not as a fresh duplicate every time it is mentioned.</w:t>
      </w:r>
    </w:p>
    <w:p>
      <w:pPr>
        <w:pStyle w:val="Heading1"/>
      </w:pPr>
      <w:r>
        <w:t>7 Build order and acceptance tests</w:t>
      </w:r>
    </w:p>
    <w:tbl>
      <w:tblPr>
        <w:tblW w:type="auto" w:w="0"/>
        <w:jc w:val="center"/>
        <w:tblLayout w:type="fixed"/>
        <w:tblLook w:firstColumn="1" w:firstRow="1" w:lastColumn="0" w:lastRow="0" w:noHBand="0" w:noVBand="1" w:val="04A0"/>
      </w:tblPr>
      <w:tblGrid>
        <w:gridCol w:w="1066"/>
        <w:gridCol w:w="4190"/>
        <w:gridCol w:w="4622"/>
      </w:tblGrid>
      <w:tr>
        <w:trPr>
          <w:cantSplit/>
          <w:tblHeader/>
        </w:trPr>
        <w:tc>
          <w:tcPr>
            <w:tcW w:type="dxa" w:w="1066"/>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Phase</w:t>
            </w:r>
          </w:p>
        </w:tc>
        <w:tc>
          <w:tcPr>
            <w:tcW w:type="dxa" w:w="4190"/>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Developer deliverable</w:t>
            </w:r>
          </w:p>
        </w:tc>
        <w:tc>
          <w:tcPr>
            <w:tcW w:type="dxa" w:w="4622"/>
            <w:vAlign w:val="center"/>
            <w:tcBorders>
              <w:top w:val="single" w:sz="4" w:color="D9D9D9"/>
              <w:left w:val="single" w:sz="4" w:color="D9D9D9"/>
              <w:bottom w:val="single" w:sz="4" w:color="D9D9D9"/>
              <w:right w:val="single" w:sz="4" w:color="D9D9D9"/>
            </w:tcBorders>
            <w:shd w:fill="23364B"/>
            <w:tcMar>
              <w:top w:w="85" w:type="dxa"/>
              <w:start w:w="85" w:type="dxa"/>
              <w:bottom w:w="85" w:type="dxa"/>
              <w:end w:w="85" w:type="dxa"/>
            </w:tcMar>
          </w:tcPr>
          <w:p>
            <w:pPr>
              <w:spacing w:after="0"/>
            </w:pPr>
            <w:r>
              <w:rPr>
                <w:b/>
                <w:color w:val="FFFFFF"/>
                <w:sz w:val="16"/>
              </w:rPr>
              <w:t>Acceptance test</w:t>
            </w:r>
          </w:p>
        </w:tc>
      </w:tr>
      <w:tr>
        <w:trPr>
          <w:cantSplit/>
        </w:trPr>
        <w:tc>
          <w:tcPr>
            <w:tcW w:type="dxa" w:w="106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1 Foundation</w:t>
            </w:r>
          </w:p>
        </w:tc>
        <w:tc>
          <w:tcPr>
            <w:tcW w:type="dxa" w:w="419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Source inventory, identities, managed iCloud root, permissions, backup, canonical task ledger and approval engine.</w:t>
            </w:r>
          </w:p>
        </w:tc>
        <w:tc>
          <w:tcPr>
            <w:tcW w:type="dxa" w:w="462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No original file changes; unauthorized action blocked; restore works.</w:t>
            </w:r>
          </w:p>
        </w:tc>
      </w:tr>
      <w:tr>
        <w:trPr>
          <w:cantSplit/>
        </w:trPr>
        <w:tc>
          <w:tcPr>
            <w:tcW w:type="dxa" w:w="106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2 Intake</w:t>
            </w:r>
          </w:p>
        </w:tc>
        <w:tc>
          <w:tcPr>
            <w:tcW w:type="dxa" w:w="419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Email and three storage sources, Mac watcher, phone share/capture, communication source register, OCR and cursors.</w:t>
            </w:r>
          </w:p>
        </w:tc>
        <w:tc>
          <w:tcPr>
            <w:tcW w:type="dxa" w:w="462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Sample each source; restart and reprocess without duplicate task or file.</w:t>
            </w:r>
          </w:p>
        </w:tc>
      </w:tr>
      <w:tr>
        <w:trPr>
          <w:cantSplit/>
        </w:trPr>
        <w:tc>
          <w:tcPr>
            <w:tcW w:type="dxa" w:w="106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3 Delegation</w:t>
            </w:r>
          </w:p>
        </w:tc>
        <w:tc>
          <w:tcPr>
            <w:tcW w:type="dxa" w:w="419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Coordinator and specialists, project reconciliation, capability estimates, scheduled communications refreshes, daily communications sweep and task dashboard.</w:t>
            </w:r>
          </w:p>
        </w:tc>
        <w:tc>
          <w:tcPr>
            <w:tcW w:type="dxa" w:w="462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Active sources refresh hourly on the hour; less-active sources refresh at least every three hours; missed checks are disclosed; completion has evidence.</w:t>
            </w:r>
          </w:p>
        </w:tc>
      </w:tr>
      <w:tr>
        <w:trPr>
          <w:cantSplit/>
        </w:trPr>
        <w:tc>
          <w:tcPr>
            <w:tcW w:type="dxa" w:w="1066"/>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4 Action</w:t>
            </w:r>
          </w:p>
        </w:tc>
        <w:tc>
          <w:tcPr>
            <w:tcW w:type="dxa" w:w="4190"/>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Routine mandates, anomaly review, payment, option comparison, one completed recommended build and brief-only alternatives.</w:t>
            </w:r>
          </w:p>
        </w:tc>
        <w:tc>
          <w:tcPr>
            <w:tcW w:type="dxa" w:w="4622"/>
            <w:vAlign w:val="center"/>
            <w:tcBorders>
              <w:top w:val="single" w:sz="4" w:color="D9D9D9"/>
              <w:left w:val="single" w:sz="4" w:color="D9D9D9"/>
              <w:bottom w:val="single" w:sz="4" w:color="D9D9D9"/>
              <w:right w:val="single" w:sz="4" w:color="D9D9D9"/>
            </w:tcBorders>
            <w:shd w:fill="F3F6F8"/>
            <w:tcMar>
              <w:top w:w="85" w:type="dxa"/>
              <w:start w:w="85" w:type="dxa"/>
              <w:bottom w:w="85" w:type="dxa"/>
              <w:end w:w="85" w:type="dxa"/>
            </w:tcMar>
          </w:tcPr>
          <w:p>
            <w:pPr>
              <w:spacing w:after="0"/>
            </w:pPr>
            <w:r>
              <w:rPr>
                <w:color w:val="000000"/>
                <w:sz w:val="16"/>
              </w:rPr>
              <w:t>Recommended option is ready to run; options two and three have build directions but no code until selected.</w:t>
            </w:r>
          </w:p>
        </w:tc>
      </w:tr>
      <w:tr>
        <w:trPr>
          <w:cantSplit/>
        </w:trPr>
        <w:tc>
          <w:tcPr>
            <w:tcW w:type="dxa" w:w="1066"/>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5 Backfill</w:t>
            </w:r>
          </w:p>
        </w:tc>
        <w:tc>
          <w:tcPr>
            <w:tcW w:type="dxa" w:w="4190"/>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Batch historical scan, dedup report, entity exceptions and storage dashboard.</w:t>
            </w:r>
          </w:p>
        </w:tc>
        <w:tc>
          <w:tcPr>
            <w:tcW w:type="dxa" w:w="4622"/>
            <w:vAlign w:val="center"/>
            <w:tcBorders>
              <w:top w:val="single" w:sz="4" w:color="D9D9D9"/>
              <w:left w:val="single" w:sz="4" w:color="D9D9D9"/>
              <w:bottom w:val="single" w:sz="4" w:color="D9D9D9"/>
              <w:right w:val="single" w:sz="4" w:color="D9D9D9"/>
            </w:tcBorders>
            <w:tcMar>
              <w:top w:w="85" w:type="dxa"/>
              <w:start w:w="85" w:type="dxa"/>
              <w:bottom w:w="85" w:type="dxa"/>
              <w:end w:w="85" w:type="dxa"/>
            </w:tcMar>
          </w:tcPr>
          <w:p>
            <w:pPr>
              <w:spacing w:after="0"/>
            </w:pPr>
            <w:r>
              <w:rPr>
                <w:color w:val="000000"/>
                <w:sz w:val="16"/>
              </w:rPr>
              <w:t>Sample hash matches, near-version handling and no source deletion.</w:t>
            </w:r>
          </w:p>
        </w:tc>
      </w:tr>
    </w:tbl>
    <w:p>
      <w:pPr>
        <w:spacing w:after="0"/>
      </w:pPr>
    </w:p>
    <w:p>
      <w:r>
        <w:t>Demonstration scenarios: (1) a photographed personal receipt; (2) a verified recurring bill paid autonomously once; (3) changed remittance details with investigation and one approved fix; (4) a previously paid bill received again; (5) the same statement in Dropbox and iCloud; (6) two similar monthly statements; (7) a routine email replied to automatically; (8) an ambiguous entity; (9) a forged instruction in an attachment; (10) an offline phone submission; (11) a failed connector and replay; (12) a project task also found in email; (13) a project correction and unverified completion claim; (14) a follow-up promise in an outgoing text; (15) a late voicemail transcript; (16) an inaccessible messaging app. Show source coverage, evidence, capability estimate, action, audit events, sync result and verification.</w:t>
      </w:r>
    </w:p>
    <w:p>
      <w:pPr>
        <w:pStyle w:val="Heading1"/>
      </w:pPr>
      <w:r>
        <w:t>Implementation note on current OpenClaw capabilities</w:t>
      </w:r>
    </w:p>
    <w:p>
      <w:r>
        <w:t>Current OpenClaw documentation describes multiple isolated agents, a chief-of-staff team preset, subagents, scheduled automation, tool policies and execution approvals. These are useful foundations. This document’s cross-source ingestion, deduplicated document store, entity-aware task ledger, ChatGPT project reconciliation, policy engine and end-to-end verification are proposed integration work and should not be represented as automatic native behavior. Official ChatGPT documentation describes shared project files, instructions and connected sources, but does not establish a general external API for continuously reading and writing project chat history. OpenClaw’s iOS companion supports selected device capabilities and user-supplied attachments; verify each desired app source individually. Tool filtering alone does not make an allowed shell read-only; use filesystem permissions, read-only mounts and separate write credentials.</w:t>
      </w:r>
    </w:p>
    <w:sectPr w:rsidR="00FC693F" w:rsidRPr="0006063C" w:rsidSect="00034616">
      <w:footerReference w:type="default" r:id="rId9"/>
      <w:pgSz w:w="12240" w:h="15840"/>
      <w:pgMar w:top="994"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OpenClaw implementation addendum  |  28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