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2D" w:rsidP="005113DC" w:rsidRDefault="001F0C2D">
      <w:pPr>
        <w:jc w:val="center"/>
      </w:pPr>
      <w:bookmarkStart w:name="_GoBack" w:id="0"/>
      <w:bookmarkEnd w:id="0"/>
    </w:p>
    <w:p w:rsidR="001F0C2D" w:rsidP="005113DC" w:rsidRDefault="001F0C2D">
      <w:pPr>
        <w:jc w:val="center"/>
      </w:pPr>
    </w:p>
    <w:p w:rsidRPr="00273822" w:rsidR="005113DC" w:rsidP="005113DC" w:rsidRDefault="005113DC">
      <w:pPr>
        <w:jc w:val="center"/>
      </w:pPr>
    </w:p>
    <w:p w:rsidRPr="00273822" w:rsidR="005113DC" w:rsidP="005113DC" w:rsidRDefault="005113DC">
      <w:pPr>
        <w:jc w:val="center"/>
      </w:pPr>
      <w:r w:rsidRPr="00273822">
        <w:t>FIFTH SECTION</w:t>
      </w:r>
    </w:p>
    <w:p w:rsidR="001F0C2D" w:rsidP="005113DC" w:rsidRDefault="001F0C2D">
      <w:pPr>
        <w:jc w:val="center"/>
      </w:pPr>
    </w:p>
    <w:p w:rsidR="001F0C2D" w:rsidP="005113DC" w:rsidRDefault="001F0C2D">
      <w:pPr>
        <w:jc w:val="center"/>
      </w:pPr>
    </w:p>
    <w:p w:rsidR="001F0C2D" w:rsidP="005113DC" w:rsidRDefault="001F0C2D">
      <w:pPr>
        <w:jc w:val="center"/>
      </w:pPr>
    </w:p>
    <w:p w:rsidR="001F0C2D" w:rsidP="005113DC" w:rsidRDefault="001F0C2D">
      <w:pPr>
        <w:jc w:val="center"/>
      </w:pPr>
    </w:p>
    <w:p w:rsidR="001F0C2D" w:rsidP="005113DC" w:rsidRDefault="001F0C2D">
      <w:pPr>
        <w:jc w:val="center"/>
      </w:pPr>
    </w:p>
    <w:p w:rsidRPr="00273822" w:rsidR="005113DC" w:rsidP="005113DC" w:rsidRDefault="005113DC">
      <w:pPr>
        <w:jc w:val="center"/>
      </w:pPr>
    </w:p>
    <w:p w:rsidRPr="00273822" w:rsidR="005113DC" w:rsidP="005113DC" w:rsidRDefault="005113DC">
      <w:pPr>
        <w:jc w:val="center"/>
        <w:rPr>
          <w:b/>
        </w:rPr>
      </w:pPr>
      <w:bookmarkStart w:name="To" w:id="1"/>
      <w:r w:rsidRPr="00273822">
        <w:rPr>
          <w:b/>
        </w:rPr>
        <w:t xml:space="preserve">CASE OF </w:t>
      </w:r>
      <w:bookmarkEnd w:id="1"/>
      <w:r w:rsidRPr="00273822">
        <w:rPr>
          <w:b/>
        </w:rPr>
        <w:t xml:space="preserve">USTYANTSEV v. </w:t>
      </w:r>
      <w:smartTag w:uri="urn:schemas-microsoft-com:office:smarttags" w:element="place">
        <w:smartTag w:uri="urn:schemas-microsoft-com:office:smarttags" w:element="country-region">
          <w:r w:rsidRPr="00273822">
            <w:rPr>
              <w:b/>
            </w:rPr>
            <w:t>UKRAINE</w:t>
          </w:r>
        </w:smartTag>
      </w:smartTag>
    </w:p>
    <w:p w:rsidRPr="00273822" w:rsidR="005113DC" w:rsidP="005113DC" w:rsidRDefault="005113DC">
      <w:pPr>
        <w:jc w:val="center"/>
      </w:pPr>
    </w:p>
    <w:p w:rsidRPr="00273822" w:rsidR="005113DC" w:rsidP="005113DC" w:rsidRDefault="005113DC">
      <w:pPr>
        <w:jc w:val="center"/>
        <w:rPr>
          <w:i/>
        </w:rPr>
      </w:pPr>
      <w:r w:rsidRPr="00273822">
        <w:rPr>
          <w:i/>
        </w:rPr>
        <w:t>(Application no. 3299/05)</w:t>
      </w:r>
    </w:p>
    <w:p w:rsidRPr="00AC5EB9" w:rsidR="005113DC" w:rsidP="005113DC" w:rsidRDefault="005113DC">
      <w:pPr>
        <w:jc w:val="center"/>
        <w:rPr>
          <w:sz w:val="22"/>
          <w:szCs w:val="22"/>
        </w:rPr>
      </w:pPr>
    </w:p>
    <w:p w:rsidRPr="00AC5EB9" w:rsidR="005113DC" w:rsidP="005113DC" w:rsidRDefault="005113DC">
      <w:pPr>
        <w:jc w:val="center"/>
        <w:rPr>
          <w:sz w:val="22"/>
          <w:szCs w:val="22"/>
        </w:rPr>
      </w:pPr>
    </w:p>
    <w:p w:rsidRPr="00AC5EB9" w:rsidR="005113DC" w:rsidP="005113DC" w:rsidRDefault="005113DC">
      <w:pPr>
        <w:jc w:val="center"/>
        <w:rPr>
          <w:sz w:val="22"/>
          <w:szCs w:val="22"/>
        </w:rPr>
      </w:pPr>
    </w:p>
    <w:p w:rsidRPr="00AC5EB9" w:rsidR="005113DC" w:rsidP="005113DC" w:rsidRDefault="005113DC">
      <w:pPr>
        <w:jc w:val="center"/>
        <w:rPr>
          <w:sz w:val="22"/>
          <w:szCs w:val="22"/>
        </w:rPr>
      </w:pPr>
    </w:p>
    <w:p w:rsidRPr="00AC5EB9" w:rsidR="005113DC" w:rsidP="005113DC" w:rsidRDefault="005113DC">
      <w:pPr>
        <w:jc w:val="center"/>
        <w:rPr>
          <w:sz w:val="22"/>
          <w:szCs w:val="22"/>
        </w:rPr>
      </w:pPr>
    </w:p>
    <w:p w:rsidRPr="00AC5EB9" w:rsidR="005113DC" w:rsidP="005113DC" w:rsidRDefault="005113DC">
      <w:pPr>
        <w:jc w:val="center"/>
        <w:rPr>
          <w:sz w:val="22"/>
          <w:szCs w:val="22"/>
        </w:rPr>
      </w:pPr>
    </w:p>
    <w:p w:rsidRPr="00AC5EB9" w:rsidR="005113DC" w:rsidP="001F0C2D" w:rsidRDefault="001F0C2D">
      <w:pPr>
        <w:jc w:val="center"/>
        <w:rPr>
          <w:sz w:val="22"/>
          <w:szCs w:val="22"/>
        </w:rPr>
      </w:pPr>
      <w:r w:rsidRPr="00AC5EB9">
        <w:rPr>
          <w:sz w:val="22"/>
          <w:szCs w:val="22"/>
        </w:rPr>
        <w:t>JUDGMENT</w:t>
      </w:r>
    </w:p>
    <w:p w:rsidRPr="00AC5EB9" w:rsidR="005113DC" w:rsidP="001F0C2D" w:rsidRDefault="005113DC">
      <w:pPr>
        <w:jc w:val="center"/>
        <w:rPr>
          <w:sz w:val="22"/>
          <w:szCs w:val="22"/>
        </w:rPr>
      </w:pPr>
    </w:p>
    <w:p w:rsidRPr="00AC5EB9" w:rsidR="001F0C2D" w:rsidP="001F0C2D" w:rsidRDefault="001F0C2D">
      <w:pPr>
        <w:pStyle w:val="JuCase"/>
        <w:ind w:firstLine="0"/>
        <w:jc w:val="center"/>
        <w:rPr>
          <w:b w:val="0"/>
          <w:sz w:val="22"/>
          <w:szCs w:val="22"/>
        </w:rPr>
      </w:pPr>
    </w:p>
    <w:p w:rsidRPr="00AC5EB9" w:rsidR="001F0C2D" w:rsidP="001F0C2D" w:rsidRDefault="001F0C2D">
      <w:pPr>
        <w:pStyle w:val="JuCase"/>
        <w:ind w:firstLine="0"/>
        <w:jc w:val="center"/>
        <w:rPr>
          <w:b w:val="0"/>
          <w:sz w:val="22"/>
          <w:szCs w:val="22"/>
        </w:rPr>
      </w:pPr>
    </w:p>
    <w:p w:rsidRPr="00AC5EB9" w:rsidR="001F0C2D" w:rsidP="001F0C2D" w:rsidRDefault="001F0C2D">
      <w:pPr>
        <w:pStyle w:val="JuCase"/>
        <w:ind w:firstLine="0"/>
        <w:jc w:val="center"/>
        <w:rPr>
          <w:b w:val="0"/>
          <w:sz w:val="22"/>
          <w:szCs w:val="22"/>
        </w:rPr>
      </w:pPr>
      <w:smartTag w:uri="urn:schemas-microsoft-com:office:smarttags" w:element="place">
        <w:smartTag w:uri="urn:schemas-microsoft-com:office:smarttags" w:element="City">
          <w:r w:rsidRPr="00AC5EB9">
            <w:rPr>
              <w:b w:val="0"/>
              <w:sz w:val="22"/>
              <w:szCs w:val="22"/>
            </w:rPr>
            <w:t>STRASBOURG</w:t>
          </w:r>
        </w:smartTag>
      </w:smartTag>
    </w:p>
    <w:p w:rsidRPr="00AC5EB9" w:rsidR="001F0C2D" w:rsidP="001F0C2D" w:rsidRDefault="001F0C2D">
      <w:pPr>
        <w:pStyle w:val="JuCase"/>
        <w:ind w:firstLine="0"/>
        <w:jc w:val="center"/>
        <w:rPr>
          <w:b w:val="0"/>
          <w:sz w:val="22"/>
          <w:szCs w:val="22"/>
        </w:rPr>
      </w:pPr>
    </w:p>
    <w:p w:rsidRPr="00AC5EB9" w:rsidR="001F0C2D" w:rsidP="001F0C2D" w:rsidRDefault="001F0C2D">
      <w:pPr>
        <w:pStyle w:val="JuCase"/>
        <w:ind w:firstLine="0"/>
        <w:jc w:val="center"/>
        <w:rPr>
          <w:b w:val="0"/>
          <w:sz w:val="22"/>
          <w:szCs w:val="22"/>
        </w:rPr>
      </w:pPr>
      <w:r w:rsidRPr="00AC5EB9">
        <w:rPr>
          <w:b w:val="0"/>
          <w:sz w:val="22"/>
          <w:szCs w:val="22"/>
        </w:rPr>
        <w:t>12 January 2012</w:t>
      </w:r>
    </w:p>
    <w:p w:rsidRPr="00AC5EB9" w:rsidR="001F0C2D" w:rsidP="001F0C2D" w:rsidRDefault="001F0C2D">
      <w:pPr>
        <w:pStyle w:val="JuCase"/>
        <w:ind w:firstLine="0"/>
        <w:jc w:val="center"/>
        <w:rPr>
          <w:b w:val="0"/>
          <w:sz w:val="22"/>
          <w:szCs w:val="22"/>
        </w:rPr>
      </w:pPr>
    </w:p>
    <w:p w:rsidRPr="005428F6" w:rsidR="005355EA" w:rsidP="005355EA" w:rsidRDefault="005355EA">
      <w:pPr>
        <w:jc w:val="center"/>
        <w:rPr>
          <w:b/>
          <w:bCs/>
          <w:color w:val="FF0000"/>
          <w:sz w:val="28"/>
          <w:szCs w:val="28"/>
          <w:u w:val="single"/>
        </w:rPr>
      </w:pPr>
      <w:r w:rsidRPr="005428F6">
        <w:rPr>
          <w:b/>
          <w:bCs/>
          <w:color w:val="FF0000"/>
          <w:sz w:val="28"/>
          <w:szCs w:val="28"/>
          <w:u w:val="single"/>
        </w:rPr>
        <w:t>FINAL</w:t>
      </w:r>
    </w:p>
    <w:p w:rsidRPr="00B54AEE" w:rsidR="005355EA" w:rsidP="005355EA" w:rsidRDefault="005355EA">
      <w:pPr>
        <w:jc w:val="center"/>
        <w:rPr>
          <w:b/>
          <w:color w:val="FF0000"/>
          <w:u w:val="single"/>
        </w:rPr>
      </w:pPr>
    </w:p>
    <w:p w:rsidRPr="00B54AEE" w:rsidR="005355EA" w:rsidP="005355EA" w:rsidRDefault="005355EA">
      <w:pPr>
        <w:jc w:val="center"/>
        <w:rPr>
          <w:i/>
          <w:color w:val="FF0000"/>
          <w:sz w:val="28"/>
          <w:szCs w:val="28"/>
        </w:rPr>
      </w:pPr>
      <w:r>
        <w:rPr>
          <w:i/>
          <w:color w:val="FF0000"/>
          <w:sz w:val="28"/>
          <w:szCs w:val="28"/>
        </w:rPr>
        <w:t>12/04/2012</w:t>
      </w:r>
    </w:p>
    <w:p w:rsidRPr="00B54AEE" w:rsidR="005355EA" w:rsidP="005355EA" w:rsidRDefault="005355EA">
      <w:pPr>
        <w:jc w:val="center"/>
        <w:rPr>
          <w:i/>
        </w:rPr>
      </w:pPr>
    </w:p>
    <w:p w:rsidRPr="005355EA" w:rsidR="005355EA" w:rsidP="005355EA" w:rsidRDefault="005355EA">
      <w:pPr>
        <w:jc w:val="center"/>
        <w:rPr>
          <w:i/>
        </w:rPr>
      </w:pPr>
    </w:p>
    <w:p w:rsidRPr="005355EA" w:rsidR="001F0C2D" w:rsidP="005355EA" w:rsidRDefault="005355EA">
      <w:pPr>
        <w:pStyle w:val="JuCase"/>
        <w:ind w:firstLine="0"/>
        <w:rPr>
          <w:b w:val="0"/>
          <w:i/>
          <w:sz w:val="22"/>
          <w:szCs w:val="22"/>
        </w:rPr>
      </w:pPr>
      <w:r w:rsidRPr="005355EA">
        <w:rPr>
          <w:b w:val="0"/>
          <w:i/>
          <w:color w:val="000000"/>
        </w:rPr>
        <w:t>This judgment has become final under Article 44 § 2 of the Convention. It may be subject to editorial revision</w:t>
      </w:r>
      <w:r w:rsidRPr="005355EA">
        <w:rPr>
          <w:b w:val="0"/>
          <w:i/>
          <w:sz w:val="22"/>
        </w:rPr>
        <w:t>.</w:t>
      </w:r>
    </w:p>
    <w:p w:rsidRPr="00AC5EB9" w:rsidR="001F0C2D" w:rsidP="001F0C2D" w:rsidRDefault="001F0C2D">
      <w:pPr>
        <w:pStyle w:val="JuPara"/>
        <w:rPr>
          <w:sz w:val="22"/>
          <w:szCs w:val="22"/>
        </w:rPr>
        <w:sectPr w:rsidRPr="00AC5EB9" w:rsidR="001F0C2D" w:rsidSect="001F0C2D">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254"/>
        </w:sectPr>
      </w:pPr>
    </w:p>
    <w:p w:rsidRPr="00273822" w:rsidR="005113DC" w:rsidP="005113DC" w:rsidRDefault="005113DC">
      <w:pPr>
        <w:pStyle w:val="JuCase"/>
      </w:pPr>
      <w:r w:rsidRPr="00273822">
        <w:t xml:space="preserve">In the case of </w:t>
      </w:r>
      <w:r w:rsidRPr="00273822">
        <w:rPr>
          <w:rStyle w:val="JuCaseChar"/>
        </w:rPr>
        <w:t xml:space="preserve">Ustyantsev v. </w:t>
      </w:r>
      <w:smartTag w:uri="urn:schemas-microsoft-com:office:smarttags" w:element="place">
        <w:smartTag w:uri="urn:schemas-microsoft-com:office:smarttags" w:element="country-region">
          <w:r w:rsidRPr="00273822">
            <w:rPr>
              <w:rStyle w:val="JuCaseChar"/>
            </w:rPr>
            <w:t>Ukraine</w:t>
          </w:r>
        </w:smartTag>
      </w:smartTag>
      <w:r w:rsidRPr="00273822">
        <w:t>,</w:t>
      </w:r>
    </w:p>
    <w:p w:rsidRPr="00273822" w:rsidR="005113DC" w:rsidP="005113DC" w:rsidRDefault="005113DC">
      <w:pPr>
        <w:pStyle w:val="JuPara"/>
      </w:pPr>
      <w:r w:rsidRPr="00273822">
        <w:t>The European Court of Human Rights (Fifth Section), sitting as a Chamber composed of:</w:t>
      </w:r>
    </w:p>
    <w:p w:rsidRPr="00273822" w:rsidR="005113DC" w:rsidP="005113DC" w:rsidRDefault="001F0C2D">
      <w:pPr>
        <w:pStyle w:val="JuJudges"/>
      </w:pPr>
      <w:r>
        <w:tab/>
      </w:r>
      <w:r w:rsidRPr="0015151C">
        <w:t>Dean</w:t>
      </w:r>
      <w:r>
        <w:t xml:space="preserve"> </w:t>
      </w:r>
      <w:r w:rsidRPr="0015151C">
        <w:t>Spielmann</w:t>
      </w:r>
      <w:r>
        <w:t>,</w:t>
      </w:r>
      <w:r w:rsidRPr="0015151C">
        <w:rPr>
          <w:i/>
        </w:rPr>
        <w:t xml:space="preserve"> President,</w:t>
      </w:r>
      <w:r>
        <w:rPr>
          <w:rStyle w:val="JuJudgesChar"/>
          <w:i/>
        </w:rPr>
        <w:br/>
      </w:r>
      <w:r w:rsidRPr="0015151C">
        <w:rPr>
          <w:rStyle w:val="JuJudgesChar"/>
        </w:rPr>
        <w:tab/>
      </w:r>
      <w:r w:rsidRPr="0015151C">
        <w:t>Elisabet</w:t>
      </w:r>
      <w:r>
        <w:t xml:space="preserve"> </w:t>
      </w:r>
      <w:r w:rsidRPr="0015151C">
        <w:t>Fura</w:t>
      </w:r>
      <w:r>
        <w:t>,</w:t>
      </w:r>
      <w:r>
        <w:rPr>
          <w:rStyle w:val="JuJudgesChar"/>
          <w:i/>
        </w:rPr>
        <w:br/>
      </w:r>
      <w:r w:rsidRPr="0015151C">
        <w:rPr>
          <w:rStyle w:val="JuJudgesChar"/>
        </w:rPr>
        <w:tab/>
      </w:r>
      <w:r w:rsidRPr="0015151C">
        <w:t>Karel</w:t>
      </w:r>
      <w:r>
        <w:t xml:space="preserve"> </w:t>
      </w:r>
      <w:r w:rsidRPr="0015151C">
        <w:t>Jungwiert</w:t>
      </w:r>
      <w:r>
        <w:t>,</w:t>
      </w:r>
      <w:r>
        <w:rPr>
          <w:rStyle w:val="JuJudgesChar"/>
          <w:i/>
        </w:rPr>
        <w:br/>
      </w:r>
      <w:r w:rsidRPr="0015151C">
        <w:rPr>
          <w:rStyle w:val="JuJudgesChar"/>
        </w:rPr>
        <w:tab/>
      </w:r>
      <w:r w:rsidRPr="0015151C">
        <w:t>Boštjan M.</w:t>
      </w:r>
      <w:r>
        <w:t xml:space="preserve"> </w:t>
      </w:r>
      <w:r w:rsidRPr="0015151C">
        <w:t>Zupančič</w:t>
      </w:r>
      <w:r>
        <w:t>,</w:t>
      </w:r>
      <w:r>
        <w:rPr>
          <w:rStyle w:val="JuJudgesChar"/>
          <w:i/>
        </w:rPr>
        <w:br/>
      </w:r>
      <w:r w:rsidRPr="0015151C">
        <w:rPr>
          <w:rStyle w:val="JuJudgesChar"/>
        </w:rPr>
        <w:tab/>
      </w:r>
      <w:r w:rsidRPr="0015151C">
        <w:t>Mark</w:t>
      </w:r>
      <w:r>
        <w:t xml:space="preserve"> </w:t>
      </w:r>
      <w:r w:rsidRPr="0015151C">
        <w:t>Villiger</w:t>
      </w:r>
      <w:r>
        <w:t>,</w:t>
      </w:r>
      <w:r>
        <w:rPr>
          <w:rStyle w:val="JuJudgesChar"/>
          <w:i/>
        </w:rPr>
        <w:br/>
      </w:r>
      <w:r w:rsidRPr="0015151C">
        <w:rPr>
          <w:rStyle w:val="JuJudgesChar"/>
        </w:rPr>
        <w:tab/>
      </w:r>
      <w:r w:rsidRPr="0015151C">
        <w:t>Ganna</w:t>
      </w:r>
      <w:r>
        <w:t xml:space="preserve"> </w:t>
      </w:r>
      <w:r w:rsidRPr="0015151C">
        <w:t>Yudkivska</w:t>
      </w:r>
      <w:r>
        <w:t>,</w:t>
      </w:r>
      <w:r>
        <w:rPr>
          <w:rStyle w:val="JuJudgesChar"/>
          <w:i/>
        </w:rPr>
        <w:br/>
      </w:r>
      <w:r w:rsidRPr="0015151C">
        <w:rPr>
          <w:rStyle w:val="JuJudgesChar"/>
        </w:rPr>
        <w:tab/>
      </w:r>
      <w:r w:rsidRPr="0015151C">
        <w:t>Angelika</w:t>
      </w:r>
      <w:r>
        <w:t xml:space="preserve"> </w:t>
      </w:r>
      <w:r w:rsidRPr="0015151C">
        <w:t>Nußberger</w:t>
      </w:r>
      <w:r>
        <w:t>,</w:t>
      </w:r>
      <w:r w:rsidRPr="0015151C">
        <w:rPr>
          <w:i/>
        </w:rPr>
        <w:t xml:space="preserve"> judges,</w:t>
      </w:r>
      <w:r>
        <w:rPr>
          <w:rStyle w:val="JuJudgesChar"/>
          <w:i/>
        </w:rPr>
        <w:br/>
      </w:r>
      <w:r w:rsidRPr="00273822" w:rsidR="005113DC">
        <w:t>and Claudia Westerdiek</w:t>
      </w:r>
      <w:r w:rsidRPr="00273822" w:rsidR="005113DC">
        <w:rPr>
          <w:rStyle w:val="JuJudgesChar"/>
        </w:rPr>
        <w:t xml:space="preserve">, </w:t>
      </w:r>
      <w:r w:rsidRPr="00273822" w:rsidR="005113DC">
        <w:rPr>
          <w:i/>
        </w:rPr>
        <w:t xml:space="preserve">Section </w:t>
      </w:r>
      <w:r w:rsidRPr="00273822" w:rsidR="005113DC">
        <w:rPr>
          <w:i/>
          <w:iCs/>
        </w:rPr>
        <w:t>Registrar</w:t>
      </w:r>
      <w:r w:rsidRPr="00273822" w:rsidR="005113DC">
        <w:rPr>
          <w:i/>
        </w:rPr>
        <w:t>,</w:t>
      </w:r>
    </w:p>
    <w:p w:rsidRPr="00273822" w:rsidR="005113DC" w:rsidP="005113DC" w:rsidRDefault="005113DC">
      <w:pPr>
        <w:pStyle w:val="JuPara"/>
      </w:pPr>
      <w:r w:rsidRPr="00273822">
        <w:t xml:space="preserve">Having deliberated in private on </w:t>
      </w:r>
      <w:r w:rsidRPr="0015151C" w:rsidR="001F0C2D">
        <w:t>6 December 2011</w:t>
      </w:r>
      <w:r w:rsidRPr="00273822">
        <w:t>,</w:t>
      </w:r>
    </w:p>
    <w:p w:rsidRPr="00273822" w:rsidR="005113DC" w:rsidP="005113DC" w:rsidRDefault="005113DC">
      <w:pPr>
        <w:pStyle w:val="JuPara"/>
      </w:pPr>
      <w:r w:rsidRPr="00273822">
        <w:t>Delivers the following judgment, which was adopted on that date:</w:t>
      </w:r>
    </w:p>
    <w:p w:rsidRPr="00273822" w:rsidR="005113DC" w:rsidP="005113DC" w:rsidRDefault="005113DC">
      <w:pPr>
        <w:pStyle w:val="JuHHead"/>
      </w:pPr>
      <w:r w:rsidRPr="00273822">
        <w:t>PROCEDURE</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1</w:t>
      </w:r>
      <w:r w:rsidRPr="00333751">
        <w:fldChar w:fldCharType="end"/>
      </w:r>
      <w:r w:rsidRPr="00333751">
        <w:t xml:space="preserve">.  The case originated in an application (no. 3299/05) against </w:t>
      </w:r>
      <w:smartTag w:uri="urn:schemas-microsoft-com:office:smarttags" w:element="place">
        <w:smartTag w:uri="urn:schemas-microsoft-com:office:smarttags" w:element="country-region">
          <w:r w:rsidRPr="00333751">
            <w:t>Ukraine</w:t>
          </w:r>
        </w:smartTag>
      </w:smartTag>
      <w:r w:rsidRPr="00333751">
        <w:t xml:space="preserve"> lodged with the Court under Article 34 of the Convention for the Protection of Human Rights and Fundamental Freedoms (“the Convention”) by a Ukrainian national, Mr Sergey Vladimirovich Ustyantsev (“the applicant”), on 1 November 2004.</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2</w:t>
      </w:r>
      <w:r w:rsidRPr="00333751">
        <w:fldChar w:fldCharType="end"/>
      </w:r>
      <w:r w:rsidRPr="00333751">
        <w:t xml:space="preserve">.  The Ukrainian Government (“the Government”) were represented by their Agent, </w:t>
      </w:r>
      <w:r>
        <w:rPr>
          <w:color w:val="000000"/>
        </w:rPr>
        <w:t>Mr Y. Zaytsev.</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3</w:t>
      </w:r>
      <w:r w:rsidRPr="00333751">
        <w:fldChar w:fldCharType="end"/>
      </w:r>
      <w:r w:rsidRPr="00333751">
        <w:t>.  The applicant</w:t>
      </w:r>
      <w:r>
        <w:t xml:space="preserve"> alleged</w:t>
      </w:r>
      <w:r w:rsidRPr="00333751">
        <w:t xml:space="preserve">, in particular, </w:t>
      </w:r>
      <w:r>
        <w:t>that the conditions of his detention in</w:t>
      </w:r>
      <w:r w:rsidRPr="00961E57">
        <w:t xml:space="preserve"> the Odessa </w:t>
      </w:r>
      <w:r>
        <w:t xml:space="preserve">Remand </w:t>
      </w:r>
      <w:r w:rsidRPr="00961E57">
        <w:t>Centre</w:t>
      </w:r>
      <w:r>
        <w:t xml:space="preserve"> had been in breach of Article 3 of the Convention</w:t>
      </w:r>
      <w:r w:rsidR="006E0504">
        <w:t>, that his pre-trial detention and trial had been excessively long and that he could not receive compensation for his lengthy detention.</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4</w:t>
      </w:r>
      <w:r w:rsidRPr="00333751">
        <w:fldChar w:fldCharType="end"/>
      </w:r>
      <w:r w:rsidRPr="00333751">
        <w:t xml:space="preserve">.  On </w:t>
      </w:r>
      <w:r>
        <w:t>16 March 2009</w:t>
      </w:r>
      <w:r w:rsidRPr="00333751">
        <w:t xml:space="preserve"> the President of the Fifth Section decided to communicate the </w:t>
      </w:r>
      <w:r>
        <w:t>above</w:t>
      </w:r>
      <w:r w:rsidR="001137DB">
        <w:t>-</w:t>
      </w:r>
      <w:r>
        <w:t xml:space="preserve">mentioned </w:t>
      </w:r>
      <w:r w:rsidRPr="00333751">
        <w:t>complaint</w:t>
      </w:r>
      <w:r>
        <w:t>s</w:t>
      </w:r>
      <w:r w:rsidRPr="00333751">
        <w:t xml:space="preserve"> to the Government. It was also decided to examine the merits of the application at the same time as its admissibility (Article 29 § 1).</w:t>
      </w:r>
    </w:p>
    <w:p w:rsidRPr="00273822" w:rsidR="005113DC" w:rsidP="005113DC" w:rsidRDefault="005113DC">
      <w:pPr>
        <w:pStyle w:val="JuHHead"/>
      </w:pPr>
      <w:r w:rsidRPr="00273822">
        <w:t>THE FACTS</w:t>
      </w:r>
    </w:p>
    <w:p w:rsidRPr="00273822" w:rsidR="005113DC" w:rsidP="005113DC" w:rsidRDefault="005113DC">
      <w:pPr>
        <w:pStyle w:val="JuHIRoman"/>
        <w:outlineLvl w:val="0"/>
      </w:pPr>
      <w:r w:rsidRPr="00273822">
        <w:t>I.  THE CIRCUMSTANCES OF THE CASE</w:t>
      </w:r>
    </w:p>
    <w:p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5</w:t>
      </w:r>
      <w:r w:rsidRPr="00333751">
        <w:fldChar w:fldCharType="end"/>
      </w:r>
      <w:r w:rsidRPr="00333751">
        <w:t xml:space="preserve">.  The applicant was born in </w:t>
      </w:r>
      <w:r>
        <w:t>1972</w:t>
      </w:r>
      <w:r w:rsidRPr="00333751">
        <w:t xml:space="preserve"> and </w:t>
      </w:r>
      <w:r>
        <w:rPr>
          <w:color w:val="000000"/>
        </w:rPr>
        <w:t xml:space="preserve">is currently </w:t>
      </w:r>
      <w:r w:rsidR="001137DB">
        <w:rPr>
          <w:color w:val="000000"/>
        </w:rPr>
        <w:t>in custody</w:t>
      </w:r>
      <w:r w:rsidRPr="00333751">
        <w:t>.</w:t>
      </w:r>
    </w:p>
    <w:p w:rsidR="00AC0C6B" w:rsidP="00AC0C6B" w:rsidRDefault="00AC0C6B">
      <w:pPr>
        <w:pStyle w:val="JuHA"/>
      </w:pPr>
      <w:r>
        <w:t>A.  Criminal proceedings against the applicant</w:t>
      </w:r>
    </w:p>
    <w:p w:rsidRPr="00333751" w:rsidR="00AC0C6B" w:rsidP="00AC0C6B" w:rsidRDefault="00AC0C6B">
      <w:pPr>
        <w:pStyle w:val="JuH1"/>
      </w:pPr>
      <w:r>
        <w:t xml:space="preserve">1.  Events </w:t>
      </w:r>
      <w:r w:rsidR="001137DB">
        <w:t xml:space="preserve">of </w:t>
      </w:r>
      <w:r>
        <w:t>September 2001 and investigation into them</w:t>
      </w:r>
    </w:p>
    <w:p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6</w:t>
      </w:r>
      <w:r w:rsidRPr="00333751">
        <w:fldChar w:fldCharType="end"/>
      </w:r>
      <w:r w:rsidRPr="00333751">
        <w:t>.  </w:t>
      </w:r>
      <w:r>
        <w:t>On 7 September 2001 a group of persons, allegedly</w:t>
      </w:r>
      <w:r w:rsidRPr="00B05507">
        <w:t xml:space="preserve"> </w:t>
      </w:r>
      <w:r>
        <w:t>including the applicant, entered the house of a certain S. and burgled it.</w:t>
      </w:r>
    </w:p>
    <w:bookmarkStart w:name="theft_proceedings_instituted" w:id="2"/>
    <w:p w:rsidR="00AC0C6B" w:rsidP="00AC0C6B" w:rsidRDefault="00AC0C6B">
      <w:pPr>
        <w:pStyle w:val="JuPara"/>
      </w:pPr>
      <w:r>
        <w:fldChar w:fldCharType="begin"/>
      </w:r>
      <w:r>
        <w:instrText xml:space="preserve"> SEQ level0 \*arabic </w:instrText>
      </w:r>
      <w:r>
        <w:fldChar w:fldCharType="separate"/>
      </w:r>
      <w:r w:rsidR="005355EA">
        <w:rPr>
          <w:noProof/>
        </w:rPr>
        <w:t>7</w:t>
      </w:r>
      <w:r>
        <w:fldChar w:fldCharType="end"/>
      </w:r>
      <w:bookmarkEnd w:id="2"/>
      <w:r>
        <w:t>.  On 10 September 2001 the police instituted an investigation into the burglary. In the course of the investigation, charges were brought against several persons and proceedings were pending against them in parallel.</w:t>
      </w:r>
    </w:p>
    <w:p w:rsidR="00AC0C6B" w:rsidP="00AC0C6B" w:rsidRDefault="00AC0C6B">
      <w:pPr>
        <w:pStyle w:val="JuPara"/>
      </w:pPr>
      <w:r>
        <w:fldChar w:fldCharType="begin"/>
      </w:r>
      <w:r>
        <w:instrText xml:space="preserve"> SEQ level0 \*arabic </w:instrText>
      </w:r>
      <w:r>
        <w:fldChar w:fldCharType="separate"/>
      </w:r>
      <w:r w:rsidR="005355EA">
        <w:rPr>
          <w:noProof/>
        </w:rPr>
        <w:t>8</w:t>
      </w:r>
      <w:r>
        <w:fldChar w:fldCharType="end"/>
      </w:r>
      <w:r>
        <w:t>.  On 12 September 2001 the applicant stole a car belonging to a certain K. and was involved in a collision. He was caught by the police on the same day and criminal proceedings were instituted against him.</w:t>
      </w:r>
    </w:p>
    <w:p w:rsidRPr="00601458" w:rsidR="00AC0C6B" w:rsidP="00AC0C6B" w:rsidRDefault="00AC0C6B">
      <w:pPr>
        <w:pStyle w:val="JuPara"/>
      </w:pPr>
      <w:r>
        <w:fldChar w:fldCharType="begin"/>
      </w:r>
      <w:r>
        <w:instrText xml:space="preserve"> SEQ level0 \*arabic </w:instrText>
      </w:r>
      <w:r>
        <w:fldChar w:fldCharType="separate"/>
      </w:r>
      <w:r w:rsidR="005355EA">
        <w:rPr>
          <w:noProof/>
        </w:rPr>
        <w:t>9</w:t>
      </w:r>
      <w:r>
        <w:fldChar w:fldCharType="end"/>
      </w:r>
      <w:r>
        <w:t>.  The next day the applicant was charged with car theft.</w:t>
      </w:r>
    </w:p>
    <w:p w:rsidR="00AC0C6B" w:rsidP="00AC0C6B" w:rsidRDefault="00AC0C6B">
      <w:pPr>
        <w:pStyle w:val="JuPara"/>
      </w:pPr>
      <w:r>
        <w:fldChar w:fldCharType="begin"/>
      </w:r>
      <w:r>
        <w:instrText xml:space="preserve"> SEQ level0 \*arabic </w:instrText>
      </w:r>
      <w:r>
        <w:fldChar w:fldCharType="separate"/>
      </w:r>
      <w:r w:rsidR="005355EA">
        <w:rPr>
          <w:noProof/>
        </w:rPr>
        <w:t>10</w:t>
      </w:r>
      <w:r>
        <w:fldChar w:fldCharType="end"/>
      </w:r>
      <w:r>
        <w:t>.  On 14 September 2001 the applicant</w:t>
      </w:r>
      <w:r w:rsidR="005355EA">
        <w:t>’</w:t>
      </w:r>
      <w:r>
        <w:t xml:space="preserve">s detention on remand </w:t>
      </w:r>
      <w:r w:rsidRPr="003A2AF8">
        <w:t>on account of the car</w:t>
      </w:r>
      <w:r>
        <w:t xml:space="preserve"> theft</w:t>
      </w:r>
      <w:r w:rsidRPr="003A2AF8">
        <w:t xml:space="preserve"> charge against him</w:t>
      </w:r>
      <w:r>
        <w:t xml:space="preserve"> was authorised by the Leninskyy District Court of Odessa (“the District Court”, which was apparently joined to the Suvorovsky District Court of Odessa after </w:t>
      </w:r>
      <w:r w:rsidR="001137DB">
        <w:t xml:space="preserve">an </w:t>
      </w:r>
      <w:r>
        <w:t>administrative reform).</w:t>
      </w:r>
    </w:p>
    <w:p w:rsidR="00AC0C6B" w:rsidP="00AC0C6B" w:rsidRDefault="00AC0C6B">
      <w:pPr>
        <w:pStyle w:val="JuPara"/>
      </w:pPr>
      <w:r>
        <w:fldChar w:fldCharType="begin"/>
      </w:r>
      <w:r>
        <w:instrText xml:space="preserve"> SEQ level0 \*arabic </w:instrText>
      </w:r>
      <w:r>
        <w:fldChar w:fldCharType="separate"/>
      </w:r>
      <w:r w:rsidR="005355EA">
        <w:rPr>
          <w:noProof/>
        </w:rPr>
        <w:t>11</w:t>
      </w:r>
      <w:r>
        <w:fldChar w:fldCharType="end"/>
      </w:r>
      <w:r>
        <w:t>.  By 7 November 2001 the pre-trial investigation was completed and the applicant</w:t>
      </w:r>
      <w:r w:rsidR="005355EA">
        <w:t>’</w:t>
      </w:r>
      <w:r>
        <w:t>s car theft case was transferred to the District Court for examination on the merits.</w:t>
      </w:r>
    </w:p>
    <w:bookmarkStart w:name="parallel_proceedings_discovered" w:id="3"/>
    <w:p w:rsidR="00AC0C6B" w:rsidP="00AC0C6B" w:rsidRDefault="00AC0C6B">
      <w:pPr>
        <w:pStyle w:val="JuPara"/>
      </w:pPr>
      <w:r>
        <w:fldChar w:fldCharType="begin"/>
      </w:r>
      <w:r>
        <w:instrText xml:space="preserve"> SEQ level0 \*arabic </w:instrText>
      </w:r>
      <w:r>
        <w:fldChar w:fldCharType="separate"/>
      </w:r>
      <w:r w:rsidR="005355EA">
        <w:rPr>
          <w:noProof/>
        </w:rPr>
        <w:t>12</w:t>
      </w:r>
      <w:r>
        <w:fldChar w:fldCharType="end"/>
      </w:r>
      <w:bookmarkEnd w:id="3"/>
      <w:r>
        <w:t>.  On 11 January 2002 the court, having found out that criminal proceedings on other charges were also pending against the applicant (i.e. burglary</w:t>
      </w:r>
      <w:r w:rsidRPr="00292C78">
        <w:t xml:space="preserve"> </w:t>
      </w:r>
      <w:r>
        <w:t xml:space="preserve">charges, of which the applicant claims to have been unaware), remitted the car theft case to the investigator to </w:t>
      </w:r>
      <w:r w:rsidR="001137DB">
        <w:t xml:space="preserve">be </w:t>
      </w:r>
      <w:r>
        <w:t>join</w:t>
      </w:r>
      <w:r w:rsidR="001137DB">
        <w:t>ed</w:t>
      </w:r>
      <w:r>
        <w:t xml:space="preserve"> </w:t>
      </w:r>
      <w:r w:rsidR="001137DB">
        <w:t xml:space="preserve">to </w:t>
      </w:r>
      <w:r>
        <w:t>the burglary case and investigate</w:t>
      </w:r>
      <w:r w:rsidR="001137DB">
        <w:t>d</w:t>
      </w:r>
      <w:r>
        <w:t xml:space="preserve"> further. The court also confirmed the applicant</w:t>
      </w:r>
      <w:r w:rsidR="005355EA">
        <w:t>’</w:t>
      </w:r>
      <w:r>
        <w:t>s further detention on remand.</w:t>
      </w:r>
    </w:p>
    <w:bookmarkStart w:name="suicides" w:id="4"/>
    <w:p w:rsidR="00AC0C6B" w:rsidP="00AC0C6B" w:rsidRDefault="00AC0C6B">
      <w:pPr>
        <w:pStyle w:val="JuPara"/>
      </w:pPr>
      <w:r>
        <w:fldChar w:fldCharType="begin"/>
      </w:r>
      <w:r>
        <w:instrText xml:space="preserve"> SEQ level0 \*arabic </w:instrText>
      </w:r>
      <w:r>
        <w:fldChar w:fldCharType="separate"/>
      </w:r>
      <w:r w:rsidR="005355EA">
        <w:rPr>
          <w:noProof/>
        </w:rPr>
        <w:t>13</w:t>
      </w:r>
      <w:r>
        <w:fldChar w:fldCharType="end"/>
      </w:r>
      <w:bookmarkEnd w:id="4"/>
      <w:r>
        <w:t>.  On 17 January 2002, after the</w:t>
      </w:r>
      <w:r w:rsidRPr="0091662D">
        <w:t xml:space="preserve"> </w:t>
      </w:r>
      <w:r>
        <w:t xml:space="preserve">District Court </w:t>
      </w:r>
      <w:r w:rsidR="001137DB">
        <w:t xml:space="preserve">had </w:t>
      </w:r>
      <w:r>
        <w:t>decided to join the applicant</w:t>
      </w:r>
      <w:r w:rsidR="005355EA">
        <w:t>’</w:t>
      </w:r>
      <w:r>
        <w:t>s car theft and burglary cases, the applicant attempted to commit suicide in protest. There were further attempts to commit suicide on 28 February 2003 and 11 November 2005, in response to the court</w:t>
      </w:r>
      <w:r w:rsidR="005355EA">
        <w:t>’</w:t>
      </w:r>
      <w:r>
        <w:t xml:space="preserve">s allegedly unlawful acts. On several occasions </w:t>
      </w:r>
      <w:r w:rsidRPr="00551832">
        <w:t>t</w:t>
      </w:r>
      <w:r>
        <w:t>he applicant went on hunger strike.</w:t>
      </w:r>
    </w:p>
    <w:p w:rsidR="00AC0C6B" w:rsidP="00AC0C6B" w:rsidRDefault="00AC0C6B">
      <w:pPr>
        <w:pStyle w:val="JuH1"/>
      </w:pPr>
      <w:r>
        <w:t>2.  Joined examination of the charges against the applicant and his conviction for car theft</w:t>
      </w:r>
    </w:p>
    <w:bookmarkStart w:name="joinder" w:id="5"/>
    <w:p w:rsidR="00AC0C6B" w:rsidP="00AC0C6B" w:rsidRDefault="00AC0C6B">
      <w:pPr>
        <w:pStyle w:val="JuPara"/>
      </w:pPr>
      <w:r>
        <w:fldChar w:fldCharType="begin"/>
      </w:r>
      <w:r>
        <w:instrText xml:space="preserve"> SEQ level0 \*arabic </w:instrText>
      </w:r>
      <w:r>
        <w:fldChar w:fldCharType="separate"/>
      </w:r>
      <w:r w:rsidR="005355EA">
        <w:rPr>
          <w:noProof/>
        </w:rPr>
        <w:t>14</w:t>
      </w:r>
      <w:r>
        <w:fldChar w:fldCharType="end"/>
      </w:r>
      <w:bookmarkEnd w:id="5"/>
      <w:r>
        <w:t>.  On an unspecified date the investigator, having taken over the remitted case, joined the two cases against the applicant.</w:t>
      </w:r>
    </w:p>
    <w:p w:rsidR="00AC0C6B" w:rsidP="00AC0C6B" w:rsidRDefault="00AC0C6B">
      <w:pPr>
        <w:pStyle w:val="JuPara"/>
      </w:pPr>
      <w:r>
        <w:fldChar w:fldCharType="begin"/>
      </w:r>
      <w:r>
        <w:instrText xml:space="preserve"> SEQ level0 \*arabic </w:instrText>
      </w:r>
      <w:r>
        <w:fldChar w:fldCharType="separate"/>
      </w:r>
      <w:r w:rsidR="005355EA">
        <w:rPr>
          <w:noProof/>
        </w:rPr>
        <w:t>15</w:t>
      </w:r>
      <w:r>
        <w:fldChar w:fldCharType="end"/>
      </w:r>
      <w:r>
        <w:t>.  On 2 February 2002 the applicant was formally charged with burglary.</w:t>
      </w:r>
    </w:p>
    <w:p w:rsidR="00AC0C6B" w:rsidP="00AC0C6B" w:rsidRDefault="00AC0C6B">
      <w:pPr>
        <w:pStyle w:val="JuPara"/>
      </w:pPr>
      <w:r>
        <w:fldChar w:fldCharType="begin"/>
      </w:r>
      <w:r>
        <w:instrText xml:space="preserve"> SEQ level0 \*arabic </w:instrText>
      </w:r>
      <w:r>
        <w:fldChar w:fldCharType="separate"/>
      </w:r>
      <w:r w:rsidR="005355EA">
        <w:rPr>
          <w:noProof/>
        </w:rPr>
        <w:t>16</w:t>
      </w:r>
      <w:r>
        <w:fldChar w:fldCharType="end"/>
      </w:r>
      <w:r>
        <w:t>.  By 14 March 2002 the pre-trial investigation was completed and the applicant</w:t>
      </w:r>
      <w:r w:rsidR="005355EA">
        <w:t>’</w:t>
      </w:r>
      <w:r>
        <w:t xml:space="preserve">s case </w:t>
      </w:r>
      <w:r w:rsidR="001137DB">
        <w:t xml:space="preserve">in respect of </w:t>
      </w:r>
      <w:r>
        <w:t>the car theft and burglary charges was transferred to the District Court for examination on the merits.</w:t>
      </w:r>
    </w:p>
    <w:bookmarkStart w:name="delay" w:id="6"/>
    <w:p w:rsidR="00AC0C6B" w:rsidP="00AC0C6B" w:rsidRDefault="00AC0C6B">
      <w:pPr>
        <w:pStyle w:val="JuPara"/>
      </w:pPr>
      <w:r>
        <w:fldChar w:fldCharType="begin"/>
      </w:r>
      <w:r>
        <w:instrText xml:space="preserve"> SEQ level0 \*arabic </w:instrText>
      </w:r>
      <w:r>
        <w:fldChar w:fldCharType="separate"/>
      </w:r>
      <w:r w:rsidR="005355EA">
        <w:rPr>
          <w:noProof/>
        </w:rPr>
        <w:t>17</w:t>
      </w:r>
      <w:r>
        <w:fldChar w:fldCharType="end"/>
      </w:r>
      <w:bookmarkEnd w:id="6"/>
      <w:r>
        <w:t>.  On 11 November 2002 the victim and witnesses failed to appear before the court. The court rescheduled the hearing and ordered</w:t>
      </w:r>
      <w:r w:rsidR="001137DB">
        <w:t xml:space="preserve"> that</w:t>
      </w:r>
      <w:r>
        <w:t xml:space="preserve"> </w:t>
      </w:r>
      <w:r w:rsidR="001137DB">
        <w:t>their</w:t>
      </w:r>
      <w:r>
        <w:t xml:space="preserve"> </w:t>
      </w:r>
      <w:r>
        <w:rPr>
          <w:color w:val="000000"/>
        </w:rPr>
        <w:t>attendance at the next court hearing be secured by the</w:t>
      </w:r>
      <w:r>
        <w:t xml:space="preserve"> authorities (prosecutor and police). T</w:t>
      </w:r>
      <w:r>
        <w:rPr>
          <w:color w:val="000000"/>
        </w:rPr>
        <w:t>he next four court hearings were also rescheduled for the same reason, extending the proceedings by three months. On</w:t>
      </w:r>
      <w:r>
        <w:t xml:space="preserve"> 26 November and 13 December 2002</w:t>
      </w:r>
      <w:r w:rsidRPr="008F0C85">
        <w:t xml:space="preserve"> </w:t>
      </w:r>
      <w:r>
        <w:t xml:space="preserve">and 21 January 2003 the court complained to the authorities about their failure to enforce its instructions to secure attendance at its hearings. It noted, </w:t>
      </w:r>
      <w:r w:rsidRPr="008F0C85">
        <w:rPr>
          <w:i/>
        </w:rPr>
        <w:t>inter alia</w:t>
      </w:r>
      <w:r>
        <w:t>, that delays in the examination of a case lengthened the detention of the accused in the SIZO, which was</w:t>
      </w:r>
      <w:r w:rsidRPr="00CC6BF2">
        <w:t xml:space="preserve"> </w:t>
      </w:r>
      <w:r>
        <w:t>overcrowded and had poor sanitary conditions.</w:t>
      </w:r>
    </w:p>
    <w:bookmarkStart w:name="conviction" w:id="7"/>
    <w:p w:rsidR="00AC0C6B" w:rsidP="00AC0C6B" w:rsidRDefault="00AC0C6B">
      <w:pPr>
        <w:pStyle w:val="JuPara"/>
      </w:pPr>
      <w:r>
        <w:fldChar w:fldCharType="begin"/>
      </w:r>
      <w:r>
        <w:instrText xml:space="preserve"> SEQ level0 \*arabic </w:instrText>
      </w:r>
      <w:r>
        <w:fldChar w:fldCharType="separate"/>
      </w:r>
      <w:r w:rsidR="005355EA">
        <w:rPr>
          <w:noProof/>
        </w:rPr>
        <w:t>18</w:t>
      </w:r>
      <w:r>
        <w:fldChar w:fldCharType="end"/>
      </w:r>
      <w:bookmarkEnd w:id="7"/>
      <w:r>
        <w:t>.  On 3 March 2003 the District Court convicted the applicant as charged and sentenced him to nine years</w:t>
      </w:r>
      <w:r w:rsidR="005355EA">
        <w:t>’</w:t>
      </w:r>
      <w:r>
        <w:t xml:space="preserve"> imprisonment. It also ordered </w:t>
      </w:r>
      <w:r w:rsidR="001137DB">
        <w:t xml:space="preserve">that </w:t>
      </w:r>
      <w:r>
        <w:t xml:space="preserve">his detention </w:t>
      </w:r>
      <w:r w:rsidR="001137DB">
        <w:t xml:space="preserve">be continued </w:t>
      </w:r>
      <w:r>
        <w:t>pending the appeal proceedings. According to the applicant, the judgment was given in his and his lawyer</w:t>
      </w:r>
      <w:r w:rsidR="005355EA">
        <w:t>’</w:t>
      </w:r>
      <w:r>
        <w:t>s absence and he was informed of it only on 11 March 2003.</w:t>
      </w:r>
    </w:p>
    <w:bookmarkStart w:name="appeal_decision" w:id="8"/>
    <w:p w:rsidR="00AC0C6B" w:rsidP="00AC0C6B" w:rsidRDefault="00AC0C6B">
      <w:pPr>
        <w:pStyle w:val="JuPara"/>
      </w:pPr>
      <w:r>
        <w:fldChar w:fldCharType="begin"/>
      </w:r>
      <w:r>
        <w:instrText xml:space="preserve"> SEQ level0 \*arabic </w:instrText>
      </w:r>
      <w:r>
        <w:fldChar w:fldCharType="separate"/>
      </w:r>
      <w:r w:rsidR="005355EA">
        <w:rPr>
          <w:noProof/>
        </w:rPr>
        <w:t>19</w:t>
      </w:r>
      <w:r>
        <w:fldChar w:fldCharType="end"/>
      </w:r>
      <w:bookmarkEnd w:id="8"/>
      <w:r>
        <w:t>.  On 31 July 2003 the Odessa Regional Court of Appeal partly allowed the applicant</w:t>
      </w:r>
      <w:r w:rsidR="005355EA">
        <w:t>’</w:t>
      </w:r>
      <w:r>
        <w:t xml:space="preserve">s appeal, quashing the judgment relating to the burglary charge and remitting it for retrial, and reducing his sentence to five years and six months for car theft. When the applicant complained that he had been deprived of </w:t>
      </w:r>
      <w:r>
        <w:rPr>
          <w:lang w:eastAsia="en-GB"/>
        </w:rPr>
        <w:t>an opportunity to complete his last appeal, the court found that he had waived his right as he had failed to take several opportunities provided by the lower court. With respect to the applicant</w:t>
      </w:r>
      <w:r w:rsidR="005355EA">
        <w:rPr>
          <w:lang w:eastAsia="en-GB"/>
        </w:rPr>
        <w:t>’</w:t>
      </w:r>
      <w:r>
        <w:rPr>
          <w:lang w:eastAsia="en-GB"/>
        </w:rPr>
        <w:t>s complaint that</w:t>
      </w:r>
      <w:r>
        <w:t xml:space="preserve"> the judgment had not been pronounced in his presence, the court noted that initially the judgment had been pronounced in the applicant</w:t>
      </w:r>
      <w:r w:rsidR="005355EA">
        <w:t>’</w:t>
      </w:r>
      <w:r>
        <w:t>s absence as the applicant had refused to be present in the courtroom; however, on 11 March 2003 the applicant had been taken to the courtroom once again and the judgment had ultimately been pronounced in his presence.</w:t>
      </w:r>
    </w:p>
    <w:bookmarkStart w:name="cassation_decision" w:id="9"/>
    <w:p w:rsidR="00AC0C6B" w:rsidP="00AC0C6B" w:rsidRDefault="00AC0C6B">
      <w:pPr>
        <w:pStyle w:val="JuPara"/>
      </w:pPr>
      <w:r>
        <w:fldChar w:fldCharType="begin"/>
      </w:r>
      <w:r>
        <w:instrText xml:space="preserve"> SEQ level0 \*arabic </w:instrText>
      </w:r>
      <w:r>
        <w:fldChar w:fldCharType="separate"/>
      </w:r>
      <w:r w:rsidR="005355EA">
        <w:rPr>
          <w:noProof/>
        </w:rPr>
        <w:t>20</w:t>
      </w:r>
      <w:r>
        <w:fldChar w:fldCharType="end"/>
      </w:r>
      <w:bookmarkEnd w:id="9"/>
      <w:r>
        <w:t xml:space="preserve">.  On 22 March 2005 the Supreme Court of Ukraine dismissed </w:t>
      </w:r>
      <w:r w:rsidR="00C00710">
        <w:t xml:space="preserve">a cassation </w:t>
      </w:r>
      <w:r>
        <w:t xml:space="preserve">appeal by the applicant. As the applicant had appealed against the sentence, the Supreme Court did not examine the remitted part of the case but limited its examination to the challenged part </w:t>
      </w:r>
      <w:r w:rsidR="00AB1BB9">
        <w:t>alone</w:t>
      </w:r>
      <w:r>
        <w:t>. The applicant received that decision on 11 April 2005.</w:t>
      </w:r>
    </w:p>
    <w:p w:rsidR="00AC0C6B" w:rsidP="00AC0C6B" w:rsidRDefault="00AC0C6B">
      <w:pPr>
        <w:pStyle w:val="JuPara"/>
      </w:pPr>
      <w:r>
        <w:fldChar w:fldCharType="begin"/>
      </w:r>
      <w:r>
        <w:instrText xml:space="preserve"> SEQ level0 \*arabic </w:instrText>
      </w:r>
      <w:r>
        <w:fldChar w:fldCharType="separate"/>
      </w:r>
      <w:r w:rsidR="005355EA">
        <w:rPr>
          <w:noProof/>
        </w:rPr>
        <w:t>21</w:t>
      </w:r>
      <w:r>
        <w:fldChar w:fldCharType="end"/>
      </w:r>
      <w:r>
        <w:t>.  The applicant further attempted to have his case reviewed under the extraordinary procedure</w:t>
      </w:r>
      <w:r w:rsidR="001137DB">
        <w:t xml:space="preserve"> but was </w:t>
      </w:r>
      <w:r w:rsidR="00423319">
        <w:t>unsuccessful</w:t>
      </w:r>
      <w:r>
        <w:t>.</w:t>
      </w:r>
    </w:p>
    <w:p w:rsidR="00AC0C6B" w:rsidP="00AC0C6B" w:rsidRDefault="00AC0C6B">
      <w:pPr>
        <w:pStyle w:val="JuH1"/>
      </w:pPr>
      <w:r>
        <w:t>3.  Retrial on the burglary charge</w:t>
      </w:r>
    </w:p>
    <w:p w:rsidR="00AC0C6B" w:rsidP="00AC0C6B" w:rsidRDefault="00AC0C6B">
      <w:pPr>
        <w:pStyle w:val="JuPara"/>
      </w:pPr>
      <w:r>
        <w:fldChar w:fldCharType="begin"/>
      </w:r>
      <w:r>
        <w:instrText xml:space="preserve"> SEQ level0 \*arabic </w:instrText>
      </w:r>
      <w:r>
        <w:fldChar w:fldCharType="separate"/>
      </w:r>
      <w:r w:rsidR="005355EA">
        <w:rPr>
          <w:noProof/>
        </w:rPr>
        <w:t>22</w:t>
      </w:r>
      <w:r>
        <w:fldChar w:fldCharType="end"/>
      </w:r>
      <w:r>
        <w:t>.  On an unspecified date the District Court resumed examination of the burglary charge against the applicant.</w:t>
      </w:r>
    </w:p>
    <w:bookmarkStart w:name="lawyers_nonappearence" w:id="10"/>
    <w:p w:rsidR="00AC0C6B" w:rsidP="00AC0C6B" w:rsidRDefault="00AC0C6B">
      <w:pPr>
        <w:pStyle w:val="JuPara"/>
      </w:pPr>
      <w:r>
        <w:fldChar w:fldCharType="begin"/>
      </w:r>
      <w:r>
        <w:instrText xml:space="preserve"> SEQ level0 \*arabic </w:instrText>
      </w:r>
      <w:r>
        <w:fldChar w:fldCharType="separate"/>
      </w:r>
      <w:r w:rsidR="005355EA">
        <w:rPr>
          <w:noProof/>
        </w:rPr>
        <w:t>23</w:t>
      </w:r>
      <w:r>
        <w:fldChar w:fldCharType="end"/>
      </w:r>
      <w:bookmarkEnd w:id="10"/>
      <w:r>
        <w:t>.  From 23 October 2003 to 2 March 2004 all seven court hearings were rescheduled owing to the applicant</w:t>
      </w:r>
      <w:r w:rsidR="005355EA">
        <w:t>’</w:t>
      </w:r>
      <w:r>
        <w:t>s lawyer</w:t>
      </w:r>
      <w:r w:rsidR="005355EA">
        <w:t>’</w:t>
      </w:r>
      <w:r>
        <w:t>s and other defence lawyers</w:t>
      </w:r>
      <w:r w:rsidR="005355EA">
        <w:t>’</w:t>
      </w:r>
      <w:r>
        <w:t xml:space="preserve"> failure to appear before the court. Later, for the same reasons, the hearings were rescheduled at least eleven times, delaying the proceedings by approximately two months</w:t>
      </w:r>
      <w:r w:rsidR="00AB1BB9">
        <w:t xml:space="preserve"> more</w:t>
      </w:r>
      <w:r>
        <w:t xml:space="preserve">. In addition, on numerous occasions the witnesses and other participants also failed to appear and the court ordered </w:t>
      </w:r>
      <w:r w:rsidR="00AB1BB9">
        <w:t xml:space="preserve">that </w:t>
      </w:r>
      <w:r>
        <w:t xml:space="preserve">their </w:t>
      </w:r>
      <w:r>
        <w:rPr>
          <w:color w:val="000000"/>
        </w:rPr>
        <w:t>attendance at the following hearing be secured by the police.</w:t>
      </w:r>
    </w:p>
    <w:p w:rsidR="00AC0C6B" w:rsidP="00AC0C6B" w:rsidRDefault="00AC0C6B">
      <w:pPr>
        <w:pStyle w:val="JuPara"/>
      </w:pPr>
      <w:r>
        <w:fldChar w:fldCharType="begin"/>
      </w:r>
      <w:r>
        <w:instrText xml:space="preserve"> SEQ level0 \*arabic </w:instrText>
      </w:r>
      <w:r>
        <w:fldChar w:fldCharType="separate"/>
      </w:r>
      <w:r w:rsidR="005355EA">
        <w:rPr>
          <w:noProof/>
        </w:rPr>
        <w:t>24</w:t>
      </w:r>
      <w:r>
        <w:fldChar w:fldCharType="end"/>
      </w:r>
      <w:r>
        <w:t>.  On 29 April 2005 a forensic handwriting examination was ordered, in order to check the authenticity of the applicant</w:t>
      </w:r>
      <w:r w:rsidR="005355EA">
        <w:t>’</w:t>
      </w:r>
      <w:r>
        <w:t>s signatures on several procedural documents. The report was completed by 19 May 2005.</w:t>
      </w:r>
    </w:p>
    <w:bookmarkStart w:name="forgery" w:id="11"/>
    <w:p w:rsidR="00AC0C6B" w:rsidP="00AC0C6B" w:rsidRDefault="00AC0C6B">
      <w:pPr>
        <w:pStyle w:val="JuPara"/>
      </w:pPr>
      <w:r>
        <w:fldChar w:fldCharType="begin"/>
      </w:r>
      <w:r>
        <w:instrText xml:space="preserve"> SEQ level0 \*arabic </w:instrText>
      </w:r>
      <w:r>
        <w:fldChar w:fldCharType="separate"/>
      </w:r>
      <w:r w:rsidR="005355EA">
        <w:rPr>
          <w:noProof/>
        </w:rPr>
        <w:t>25</w:t>
      </w:r>
      <w:r>
        <w:fldChar w:fldCharType="end"/>
      </w:r>
      <w:bookmarkEnd w:id="11"/>
      <w:r>
        <w:t>.  On 1 June 2005, referring to the above report, the court found that the applicant</w:t>
      </w:r>
      <w:r w:rsidR="005355EA">
        <w:t>’</w:t>
      </w:r>
      <w:r>
        <w:t xml:space="preserve">s signature had been forged on a number of crucial procedural documents drawn up at the beginning of 2002, and accordingly remitted the case for additional investigation. On the same date the court </w:t>
      </w:r>
      <w:r>
        <w:rPr>
          <w:color w:val="000000"/>
          <w:szCs w:val="24"/>
          <w:lang w:eastAsia="en-GB"/>
        </w:rPr>
        <w:t>issued a special ruling (</w:t>
      </w:r>
      <w:r>
        <w:rPr>
          <w:i/>
          <w:iCs/>
          <w:color w:val="000000"/>
          <w:szCs w:val="24"/>
          <w:lang w:eastAsia="en-GB"/>
        </w:rPr>
        <w:t xml:space="preserve">окрема </w:t>
      </w:r>
      <w:r>
        <w:rPr>
          <w:i/>
          <w:iCs/>
          <w:color w:val="000000"/>
          <w:szCs w:val="24"/>
          <w:lang w:val="uk-UA" w:eastAsia="en-GB"/>
        </w:rPr>
        <w:t>постанова</w:t>
      </w:r>
      <w:r>
        <w:rPr>
          <w:color w:val="000000"/>
          <w:szCs w:val="24"/>
          <w:lang w:eastAsia="en-GB"/>
        </w:rPr>
        <w:t>) informing the local prosecutor and the head of the police that it was the investigator who had forged the applicant</w:t>
      </w:r>
      <w:r w:rsidR="005355EA">
        <w:rPr>
          <w:color w:val="000000"/>
          <w:szCs w:val="24"/>
          <w:lang w:eastAsia="en-GB"/>
        </w:rPr>
        <w:t>’</w:t>
      </w:r>
      <w:r>
        <w:rPr>
          <w:color w:val="000000"/>
          <w:szCs w:val="24"/>
          <w:lang w:eastAsia="en-GB"/>
        </w:rPr>
        <w:t xml:space="preserve">s signature and that criminal proceedings should therefore be </w:t>
      </w:r>
      <w:r w:rsidR="00AB1BB9">
        <w:rPr>
          <w:color w:val="000000"/>
          <w:szCs w:val="24"/>
          <w:lang w:eastAsia="en-GB"/>
        </w:rPr>
        <w:t xml:space="preserve">brought </w:t>
      </w:r>
      <w:r>
        <w:rPr>
          <w:color w:val="000000"/>
          <w:szCs w:val="24"/>
          <w:lang w:eastAsia="en-GB"/>
        </w:rPr>
        <w:t>against him.</w:t>
      </w:r>
    </w:p>
    <w:bookmarkStart w:name="proceedings_discontinued" w:id="12"/>
    <w:p w:rsidR="00AC0C6B" w:rsidP="00AC0C6B" w:rsidRDefault="00AC0C6B">
      <w:pPr>
        <w:pStyle w:val="JuPara"/>
      </w:pPr>
      <w:r>
        <w:fldChar w:fldCharType="begin"/>
      </w:r>
      <w:r>
        <w:instrText xml:space="preserve"> SEQ level0 \*arabic </w:instrText>
      </w:r>
      <w:r>
        <w:fldChar w:fldCharType="separate"/>
      </w:r>
      <w:r w:rsidR="005355EA">
        <w:rPr>
          <w:noProof/>
        </w:rPr>
        <w:t>26</w:t>
      </w:r>
      <w:r>
        <w:fldChar w:fldCharType="end"/>
      </w:r>
      <w:bookmarkEnd w:id="12"/>
      <w:r>
        <w:t xml:space="preserve">.  On 4 October 2005 the investigator discontinued the proceedings against the applicant for </w:t>
      </w:r>
      <w:r w:rsidRPr="003A2AF8">
        <w:t>lack of</w:t>
      </w:r>
      <w:r>
        <w:t xml:space="preserve"> proof of his guilt. </w:t>
      </w:r>
      <w:r w:rsidRPr="00694B05">
        <w:t xml:space="preserve">According to the applicant, </w:t>
      </w:r>
      <w:r>
        <w:t>he found out about</w:t>
      </w:r>
      <w:r w:rsidRPr="00694B05">
        <w:t xml:space="preserve"> th</w:t>
      </w:r>
      <w:r>
        <w:t>at</w:t>
      </w:r>
      <w:r w:rsidRPr="00694B05">
        <w:t xml:space="preserve"> decision only after receipt of the Government</w:t>
      </w:r>
      <w:r w:rsidR="005355EA">
        <w:t>’</w:t>
      </w:r>
      <w:r w:rsidRPr="00694B05">
        <w:t>s observations.</w:t>
      </w:r>
    </w:p>
    <w:p w:rsidR="00AC0C6B" w:rsidP="00AC0C6B" w:rsidRDefault="00AC0C6B">
      <w:pPr>
        <w:pStyle w:val="JuHA"/>
      </w:pPr>
      <w:r>
        <w:t>B.  The applicant</w:t>
      </w:r>
      <w:r w:rsidR="005355EA">
        <w:t>’</w:t>
      </w:r>
      <w:r>
        <w:t>s detention</w:t>
      </w:r>
    </w:p>
    <w:p w:rsidR="00AC0C6B" w:rsidP="00AC0C6B" w:rsidRDefault="00AC0C6B">
      <w:pPr>
        <w:pStyle w:val="JuH1"/>
      </w:pPr>
      <w:r>
        <w:t>1.  Periods of detention</w:t>
      </w:r>
    </w:p>
    <w:bookmarkStart w:name="periods_of_detention_1" w:id="13"/>
    <w:p w:rsidR="00AC0C6B" w:rsidP="00AC0C6B" w:rsidRDefault="00AC0C6B">
      <w:pPr>
        <w:pStyle w:val="JuPara"/>
      </w:pPr>
      <w:r>
        <w:fldChar w:fldCharType="begin"/>
      </w:r>
      <w:r>
        <w:instrText xml:space="preserve"> SEQ level0 \*arabic </w:instrText>
      </w:r>
      <w:r>
        <w:fldChar w:fldCharType="separate"/>
      </w:r>
      <w:r w:rsidR="005355EA">
        <w:rPr>
          <w:noProof/>
        </w:rPr>
        <w:t>27</w:t>
      </w:r>
      <w:r>
        <w:fldChar w:fldCharType="end"/>
      </w:r>
      <w:bookmarkEnd w:id="13"/>
      <w:r>
        <w:t>.  According to the Government, the applicant was held in the SIZO from 1</w:t>
      </w:r>
      <w:r w:rsidR="002C4BB0">
        <w:t>5</w:t>
      </w:r>
      <w:r>
        <w:t xml:space="preserve"> September 2001 to 20 August 2003, from 2 October 2003 to 20 November 2005, from 6 to 8 December 2005, from 26 December 2005 to 8 January 2006 and from 8 to 10 February 2006. </w:t>
      </w:r>
      <w:r w:rsidR="002C4BB0">
        <w:t>From 23 November 2004 to 6 December 2005 the applicant was held in the Daryivska Correctional Colony No. 10. Between 9 and 24 December 2005 the applicant was held in the Buchach Correctional Colony No. 85. From 14 January 2003 to 2</w:t>
      </w:r>
      <w:r w:rsidR="001F0C2D">
        <w:t> </w:t>
      </w:r>
      <w:r w:rsidR="002C4BB0">
        <w:t>October 2003 and from 10 February 2006 to 22 January 2007 he was held in the Ray</w:t>
      </w:r>
      <w:r w:rsidR="00B27FB8">
        <w:t>kiv Correctional Colony No. 73.</w:t>
      </w:r>
    </w:p>
    <w:bookmarkStart w:name="periods_of_detention_2" w:id="14"/>
    <w:p w:rsidR="00AC0C6B" w:rsidP="00AC0C6B" w:rsidRDefault="00AC0C6B">
      <w:pPr>
        <w:pStyle w:val="JuPara"/>
      </w:pPr>
      <w:r>
        <w:fldChar w:fldCharType="begin"/>
      </w:r>
      <w:r>
        <w:instrText xml:space="preserve"> SEQ level0 \*arabic </w:instrText>
      </w:r>
      <w:r>
        <w:fldChar w:fldCharType="separate"/>
      </w:r>
      <w:r w:rsidR="005355EA">
        <w:rPr>
          <w:noProof/>
        </w:rPr>
        <w:t>28</w:t>
      </w:r>
      <w:r>
        <w:fldChar w:fldCharType="end"/>
      </w:r>
      <w:bookmarkEnd w:id="14"/>
      <w:r>
        <w:t>.  According to the applicant, however, in the periods from 1 to 28 February and from 9 to 17 July 2002 he was detained in a temporary detention centre (</w:t>
      </w:r>
      <w:r w:rsidRPr="006C04D0">
        <w:rPr>
          <w:i/>
          <w:lang w:val="uk-UA"/>
        </w:rPr>
        <w:t>Ізолятор тимчасового тримання</w:t>
      </w:r>
      <w:r>
        <w:t>), and from 20 November to 26 December 2005 he was detained in correctional colonies nos. 10 and 85, where he underwent medical treatment.</w:t>
      </w:r>
    </w:p>
    <w:p w:rsidR="00AC0C6B" w:rsidP="00AC0C6B" w:rsidRDefault="00AC0C6B">
      <w:pPr>
        <w:pStyle w:val="JuPara"/>
      </w:pPr>
      <w:r>
        <w:fldChar w:fldCharType="begin"/>
      </w:r>
      <w:r>
        <w:instrText xml:space="preserve"> SEQ level0 \*arabic </w:instrText>
      </w:r>
      <w:r>
        <w:fldChar w:fldCharType="separate"/>
      </w:r>
      <w:r w:rsidR="005355EA">
        <w:rPr>
          <w:noProof/>
        </w:rPr>
        <w:t>29</w:t>
      </w:r>
      <w:r>
        <w:fldChar w:fldCharType="end"/>
      </w:r>
      <w:r>
        <w:t>.  On 22 January 2007 the applicant was released on parole.</w:t>
      </w:r>
    </w:p>
    <w:p w:rsidR="00AC0C6B" w:rsidP="00AC0C6B" w:rsidRDefault="00AC0C6B">
      <w:pPr>
        <w:pStyle w:val="JuPara"/>
      </w:pPr>
      <w:r>
        <w:fldChar w:fldCharType="begin"/>
      </w:r>
      <w:r>
        <w:instrText xml:space="preserve"> SEQ level0 \*arabic </w:instrText>
      </w:r>
      <w:r>
        <w:fldChar w:fldCharType="separate"/>
      </w:r>
      <w:r w:rsidR="005355EA">
        <w:rPr>
          <w:noProof/>
        </w:rPr>
        <w:t>30</w:t>
      </w:r>
      <w:r>
        <w:fldChar w:fldCharType="end"/>
      </w:r>
      <w:r>
        <w:t xml:space="preserve">.  On 22 August 2007, being suspected of having committed a new crime, the applicant was </w:t>
      </w:r>
      <w:r w:rsidR="002C4BB0">
        <w:t>arrested again.</w:t>
      </w:r>
    </w:p>
    <w:p w:rsidR="00AC0C6B" w:rsidP="00AC0C6B" w:rsidRDefault="00AC0C6B">
      <w:pPr>
        <w:pStyle w:val="JuH1"/>
      </w:pPr>
      <w:r>
        <w:t>2.  Conditions of the applicant</w:t>
      </w:r>
      <w:r w:rsidR="005355EA">
        <w:t>’</w:t>
      </w:r>
      <w:r>
        <w:t>s detention</w:t>
      </w:r>
    </w:p>
    <w:p w:rsidR="00AC0C6B" w:rsidP="00AC0C6B" w:rsidRDefault="00AB1BB9">
      <w:pPr>
        <w:pStyle w:val="JuHa0"/>
      </w:pPr>
      <w:r>
        <w:t>(</w:t>
      </w:r>
      <w:r w:rsidR="00AC0C6B">
        <w:t>a</w:t>
      </w:r>
      <w:r>
        <w:t>)  </w:t>
      </w:r>
      <w:r w:rsidR="00AC0C6B">
        <w:t>Facts submitted by the applicant</w:t>
      </w:r>
    </w:p>
    <w:p w:rsidRPr="00310430" w:rsidR="00AC0C6B" w:rsidP="00AC0C6B" w:rsidRDefault="00AC0C6B">
      <w:pPr>
        <w:pStyle w:val="JuPara"/>
      </w:pPr>
      <w:r>
        <w:fldChar w:fldCharType="begin"/>
      </w:r>
      <w:r>
        <w:instrText xml:space="preserve"> SEQ level0 \*arabic </w:instrText>
      </w:r>
      <w:r>
        <w:fldChar w:fldCharType="separate"/>
      </w:r>
      <w:r w:rsidR="005355EA">
        <w:rPr>
          <w:noProof/>
        </w:rPr>
        <w:t>31</w:t>
      </w:r>
      <w:r>
        <w:fldChar w:fldCharType="end"/>
      </w:r>
      <w:r>
        <w:t>.  According to the applicant, in the temporary detention centre the detainees were fed only once a day and the lights were not switched off at night. The poor conditions of detention prevented him from keeping basic standards of personal hygiene and preparing his defence.</w:t>
      </w:r>
    </w:p>
    <w:bookmarkStart w:name="complaint_of_lack_of_medical_care" w:id="15"/>
    <w:p w:rsidR="00AC0C6B" w:rsidP="00AC0C6B" w:rsidRDefault="00AC0C6B">
      <w:pPr>
        <w:pStyle w:val="JuPara"/>
      </w:pPr>
      <w:r>
        <w:fldChar w:fldCharType="begin"/>
      </w:r>
      <w:r>
        <w:instrText xml:space="preserve"> SEQ level0 \*arabic </w:instrText>
      </w:r>
      <w:r>
        <w:fldChar w:fldCharType="separate"/>
      </w:r>
      <w:r w:rsidR="005355EA">
        <w:rPr>
          <w:noProof/>
        </w:rPr>
        <w:t>32</w:t>
      </w:r>
      <w:r>
        <w:fldChar w:fldCharType="end"/>
      </w:r>
      <w:bookmarkEnd w:id="15"/>
      <w:r>
        <w:t>.  As to the SIZO, in the cell where the applicant was held on 4 July 2005 space was limited to one square metre per person (later, in reply to the Government</w:t>
      </w:r>
      <w:r w:rsidR="005355EA">
        <w:t>’</w:t>
      </w:r>
      <w:r>
        <w:t>s</w:t>
      </w:r>
      <w:r w:rsidRPr="00E451EA">
        <w:t xml:space="preserve"> </w:t>
      </w:r>
      <w:r>
        <w:t xml:space="preserve">observations, the applicant explained that the cell, in which four detainees were held, measured 7.5-10 square metres, 1.5 square metres of which was taken up by a toilet and </w:t>
      </w:r>
      <w:r w:rsidRPr="00E451EA">
        <w:t>washstand</w:t>
      </w:r>
      <w:r>
        <w:t>), the lighting remained on at night, there was a concrete floor, which the applicant considered unacceptable, and he had no facilities to prepare his defence. The SIZO authorities did not provide him with basic necessities, normal medical assistance, press or audiovisual media, gym facilities or the right to have private correspondence. The applicant accepted that after his suicide attempts (see paragraph </w:t>
      </w:r>
      <w:r>
        <w:fldChar w:fldCharType="begin"/>
      </w:r>
      <w:r>
        <w:instrText xml:space="preserve"> REF  suicides </w:instrText>
      </w:r>
      <w:r>
        <w:fldChar w:fldCharType="separate"/>
      </w:r>
      <w:r w:rsidR="005355EA">
        <w:rPr>
          <w:noProof/>
        </w:rPr>
        <w:t>13</w:t>
      </w:r>
      <w:r>
        <w:fldChar w:fldCharType="end"/>
      </w:r>
      <w:r>
        <w:t xml:space="preserve"> above) his life had been saved by the SIZO</w:t>
      </w:r>
      <w:r w:rsidR="005355EA">
        <w:t>’</w:t>
      </w:r>
      <w:r>
        <w:t>s medical personnel.</w:t>
      </w:r>
    </w:p>
    <w:p w:rsidR="00AC0C6B" w:rsidP="00AC0C6B" w:rsidRDefault="00AC0C6B">
      <w:pPr>
        <w:pStyle w:val="JuPara"/>
      </w:pPr>
      <w:r>
        <w:fldChar w:fldCharType="begin"/>
      </w:r>
      <w:r>
        <w:instrText xml:space="preserve"> SEQ level0 \*arabic </w:instrText>
      </w:r>
      <w:r>
        <w:fldChar w:fldCharType="separate"/>
      </w:r>
      <w:r w:rsidR="005355EA">
        <w:rPr>
          <w:noProof/>
        </w:rPr>
        <w:t>33</w:t>
      </w:r>
      <w:r>
        <w:fldChar w:fldCharType="end"/>
      </w:r>
      <w:r>
        <w:t>.  According to the applicant, prison vans were overcrowded, the detainees</w:t>
      </w:r>
      <w:r w:rsidR="005355EA">
        <w:t>’</w:t>
      </w:r>
      <w:r>
        <w:t xml:space="preserve"> room in the District</w:t>
      </w:r>
      <w:r w:rsidRPr="007715B8">
        <w:t xml:space="preserve"> </w:t>
      </w:r>
      <w:r>
        <w:t>Court lacked normal standards of detention and detainees were not fed.</w:t>
      </w:r>
    </w:p>
    <w:bookmarkStart w:name="worsened_state_of_health" w:id="16"/>
    <w:p w:rsidR="00AC0C6B" w:rsidP="00AC0C6B" w:rsidRDefault="00AC0C6B">
      <w:pPr>
        <w:pStyle w:val="JuPara"/>
      </w:pPr>
      <w:r>
        <w:fldChar w:fldCharType="begin"/>
      </w:r>
      <w:r>
        <w:instrText xml:space="preserve"> SEQ level0 \*arabic </w:instrText>
      </w:r>
      <w:r>
        <w:fldChar w:fldCharType="separate"/>
      </w:r>
      <w:r w:rsidR="005355EA">
        <w:rPr>
          <w:noProof/>
        </w:rPr>
        <w:t>34</w:t>
      </w:r>
      <w:r>
        <w:fldChar w:fldCharType="end"/>
      </w:r>
      <w:bookmarkEnd w:id="16"/>
      <w:r>
        <w:t>.  As a result of the above conditions of detention, the applicant</w:t>
      </w:r>
      <w:r w:rsidR="005355EA">
        <w:t>’</w:t>
      </w:r>
      <w:r>
        <w:t xml:space="preserve">s state of health has deteriorated. In particular, he suffers from chronic prostatitis, </w:t>
      </w:r>
      <w:r w:rsidRPr="009A210A">
        <w:t>t</w:t>
      </w:r>
      <w:r>
        <w:t>h</w:t>
      </w:r>
      <w:r w:rsidRPr="009A210A">
        <w:t>rombophlebitis</w:t>
      </w:r>
      <w:r>
        <w:t xml:space="preserve"> and a venereal disease.</w:t>
      </w:r>
    </w:p>
    <w:p w:rsidRPr="009A210A" w:rsidR="00AC0C6B" w:rsidP="00AC0C6B" w:rsidRDefault="00AB1BB9">
      <w:pPr>
        <w:pStyle w:val="JuHa0"/>
      </w:pPr>
      <w:r>
        <w:t>(</w:t>
      </w:r>
      <w:r w:rsidR="00AC0C6B">
        <w:t>b</w:t>
      </w:r>
      <w:r>
        <w:t>)  </w:t>
      </w:r>
      <w:r w:rsidR="00AC0C6B">
        <w:t>Facts submitted by the Government</w:t>
      </w:r>
    </w:p>
    <w:p w:rsidR="00AC0C6B" w:rsidP="00AC0C6B" w:rsidRDefault="00AC0C6B">
      <w:pPr>
        <w:pStyle w:val="JuPara"/>
      </w:pPr>
      <w:r>
        <w:fldChar w:fldCharType="begin"/>
      </w:r>
      <w:r>
        <w:instrText xml:space="preserve"> SEQ level0 \*arabic </w:instrText>
      </w:r>
      <w:r>
        <w:fldChar w:fldCharType="separate"/>
      </w:r>
      <w:r w:rsidR="005355EA">
        <w:rPr>
          <w:noProof/>
        </w:rPr>
        <w:t>35</w:t>
      </w:r>
      <w:r>
        <w:fldChar w:fldCharType="end"/>
      </w:r>
      <w:r>
        <w:t>.  According to the Government, cells in the SIZO are equipped with basic furniture, toilets separated from the living space, sufficient artificial light, and windows and ventilation that let in sufficient fresh air and daylight. The detainees are fed in compliance with the requirements of the domestic legislation, and allowed daily one-hour walks and eight hours</w:t>
      </w:r>
      <w:r w:rsidR="005355EA">
        <w:t>’</w:t>
      </w:r>
      <w:r>
        <w:t xml:space="preserve"> uninterrupted </w:t>
      </w:r>
      <w:bookmarkStart w:name="HIT7" w:id="17"/>
      <w:bookmarkEnd w:id="17"/>
      <w:r w:rsidRPr="00603705">
        <w:rPr>
          <w:bCs/>
        </w:rPr>
        <w:t>sleep</w:t>
      </w:r>
      <w:r>
        <w:t xml:space="preserve"> a day. Each of them has access to a bath once a week for half an hour. The SIZO has its own library open to the detainees.</w:t>
      </w:r>
    </w:p>
    <w:bookmarkStart w:name="cell_space_Gov" w:id="18"/>
    <w:p w:rsidR="00AC0C6B" w:rsidP="00AC0C6B" w:rsidRDefault="00AC0C6B">
      <w:pPr>
        <w:pStyle w:val="JuPara"/>
      </w:pPr>
      <w:r>
        <w:fldChar w:fldCharType="begin"/>
      </w:r>
      <w:r>
        <w:instrText xml:space="preserve"> SEQ level0 \*arabic </w:instrText>
      </w:r>
      <w:r>
        <w:fldChar w:fldCharType="separate"/>
      </w:r>
      <w:r w:rsidR="005355EA">
        <w:rPr>
          <w:noProof/>
        </w:rPr>
        <w:t>36</w:t>
      </w:r>
      <w:r>
        <w:fldChar w:fldCharType="end"/>
      </w:r>
      <w:bookmarkEnd w:id="18"/>
      <w:r>
        <w:t>.  The SIZO cells in which the applicant was held measured no less than 2.5 square metres per person. Upon arrival, he was provided with a bunk and basic necessities.</w:t>
      </w:r>
    </w:p>
    <w:bookmarkStart w:name="applicants_medical_treatment" w:id="19"/>
    <w:p w:rsidRPr="009376C0" w:rsidR="00AC0C6B" w:rsidP="00AC0C6B" w:rsidRDefault="00AC0C6B">
      <w:pPr>
        <w:pStyle w:val="JuPara"/>
      </w:pPr>
      <w:r>
        <w:fldChar w:fldCharType="begin"/>
      </w:r>
      <w:r>
        <w:instrText xml:space="preserve"> SEQ level0 \*arabic </w:instrText>
      </w:r>
      <w:r>
        <w:fldChar w:fldCharType="separate"/>
      </w:r>
      <w:r w:rsidR="005355EA">
        <w:rPr>
          <w:noProof/>
        </w:rPr>
        <w:t>37</w:t>
      </w:r>
      <w:r>
        <w:fldChar w:fldCharType="end"/>
      </w:r>
      <w:bookmarkEnd w:id="19"/>
      <w:r>
        <w:t>.  According to the outline of the applicant</w:t>
      </w:r>
      <w:r w:rsidR="005355EA">
        <w:t>’</w:t>
      </w:r>
      <w:r>
        <w:t xml:space="preserve">s medical record submitted by the Government, upon arrival at the SIZO the applicant also underwent </w:t>
      </w:r>
      <w:r w:rsidR="00AB1BB9">
        <w:t xml:space="preserve">a </w:t>
      </w:r>
      <w:r>
        <w:t xml:space="preserve">medical examination. It was established as a result that in 2000 he had been diagnosed with chronic prostatitis and in 2001 (but before his arrival) he had had a </w:t>
      </w:r>
      <w:r w:rsidRPr="00C001F1">
        <w:t>craniocerebral trauma</w:t>
      </w:r>
      <w:r>
        <w:t xml:space="preserve">. Later, in 2003, the applicant was diagnosed with </w:t>
      </w:r>
      <w:r w:rsidRPr="00C42668">
        <w:t>syphilis</w:t>
      </w:r>
      <w:r>
        <w:t xml:space="preserve">. In 2005 he underwent medical treatment for his prostatitis in a correctional colony. On 3 April 2008 the applicant was examined by a </w:t>
      </w:r>
      <w:r w:rsidRPr="009376C0">
        <w:t>dermatovenereologist</w:t>
      </w:r>
      <w:r>
        <w:t xml:space="preserve"> and diagnosed with active chronic </w:t>
      </w:r>
      <w:r w:rsidRPr="009376C0">
        <w:t>mycotic urethritis</w:t>
      </w:r>
      <w:r>
        <w:t xml:space="preserve"> (</w:t>
      </w:r>
      <w:r w:rsidRPr="00664040">
        <w:rPr>
          <w:i/>
          <w:lang w:val="uk-UA"/>
        </w:rPr>
        <w:t>хронічний трихомонадний уретрит в стадії загострення</w:t>
      </w:r>
      <w:r>
        <w:t>). On 21 May 2008, after proper treatment, no pathology was revealed. The applicant was prescribed further treatment for his prostatitis on 19 September 2008 and 3 March 2009.</w:t>
      </w:r>
    </w:p>
    <w:p w:rsidR="00AC0C6B" w:rsidP="00AC0C6B" w:rsidRDefault="00AC0C6B">
      <w:pPr>
        <w:pStyle w:val="JuH1"/>
      </w:pPr>
      <w:r>
        <w:t>3.  Proceedings instituted by the applicant</w:t>
      </w:r>
    </w:p>
    <w:p w:rsidR="00AC0C6B" w:rsidP="00AC0C6B" w:rsidRDefault="00AC0C6B">
      <w:pPr>
        <w:pStyle w:val="JuPara"/>
      </w:pPr>
      <w:r>
        <w:fldChar w:fldCharType="begin"/>
      </w:r>
      <w:r>
        <w:instrText xml:space="preserve"> SEQ level0 \*arabic </w:instrText>
      </w:r>
      <w:r>
        <w:fldChar w:fldCharType="separate"/>
      </w:r>
      <w:r w:rsidR="005355EA">
        <w:rPr>
          <w:noProof/>
        </w:rPr>
        <w:t>38</w:t>
      </w:r>
      <w:r>
        <w:fldChar w:fldCharType="end"/>
      </w:r>
      <w:r>
        <w:t>.  On 15 March 2006 the applicant brought a civil action against the SIZO, seeking compensation for the inappropriate conditions of his detention, among other things.</w:t>
      </w:r>
    </w:p>
    <w:p w:rsidR="00AC0C6B" w:rsidP="00AC0C6B" w:rsidRDefault="00AC0C6B">
      <w:pPr>
        <w:pStyle w:val="JuPara"/>
      </w:pPr>
      <w:r>
        <w:fldChar w:fldCharType="begin"/>
      </w:r>
      <w:r>
        <w:instrText xml:space="preserve"> SEQ level0 \*arabic </w:instrText>
      </w:r>
      <w:r>
        <w:fldChar w:fldCharType="separate"/>
      </w:r>
      <w:r w:rsidR="005355EA">
        <w:rPr>
          <w:noProof/>
        </w:rPr>
        <w:t>39</w:t>
      </w:r>
      <w:r>
        <w:fldChar w:fldCharType="end"/>
      </w:r>
      <w:r>
        <w:t>.  On 17 April 2006 the Prymorskyy District Court of Odessa dismissed the applicant</w:t>
      </w:r>
      <w:r w:rsidR="005355EA">
        <w:t>’</w:t>
      </w:r>
      <w:r>
        <w:t>s claim on account of his failure to rectify its procedural shortcomings within the time-limit allotted by the court.</w:t>
      </w:r>
    </w:p>
    <w:p w:rsidR="00AC0C6B" w:rsidP="00AC0C6B" w:rsidRDefault="00AC0C6B">
      <w:pPr>
        <w:pStyle w:val="JuPara"/>
        <w:rPr>
          <w:color w:val="000000"/>
        </w:rPr>
      </w:pPr>
      <w:r>
        <w:fldChar w:fldCharType="begin"/>
      </w:r>
      <w:r>
        <w:instrText xml:space="preserve"> SEQ level0 \*arabic </w:instrText>
      </w:r>
      <w:r>
        <w:fldChar w:fldCharType="separate"/>
      </w:r>
      <w:r w:rsidR="005355EA">
        <w:rPr>
          <w:noProof/>
        </w:rPr>
        <w:t>40</w:t>
      </w:r>
      <w:r>
        <w:fldChar w:fldCharType="end"/>
      </w:r>
      <w:r>
        <w:t xml:space="preserve">.  The applicant appealed against that decision but on 11 September 2006 the Odessa Regional Court of Appeal dismissed his appeal </w:t>
      </w:r>
      <w:r>
        <w:rPr>
          <w:color w:val="000000"/>
        </w:rPr>
        <w:t>as having been lodged without a request for renewal of a missed statutory time-limit.</w:t>
      </w:r>
    </w:p>
    <w:p w:rsidR="00AC0C6B" w:rsidP="00AC0C6B" w:rsidRDefault="00AC0C6B">
      <w:pPr>
        <w:pStyle w:val="JuH1"/>
      </w:pPr>
      <w:r>
        <w:t>4.  Other relevant facts</w:t>
      </w:r>
    </w:p>
    <w:p w:rsidR="00AC0C6B" w:rsidP="00AC0C6B" w:rsidRDefault="00AC0C6B">
      <w:pPr>
        <w:pStyle w:val="JuPara"/>
      </w:pPr>
      <w:r>
        <w:fldChar w:fldCharType="begin"/>
      </w:r>
      <w:r>
        <w:instrText xml:space="preserve"> SEQ level0 \*arabic </w:instrText>
      </w:r>
      <w:r>
        <w:fldChar w:fldCharType="separate"/>
      </w:r>
      <w:r w:rsidR="005355EA">
        <w:rPr>
          <w:noProof/>
        </w:rPr>
        <w:t>41</w:t>
      </w:r>
      <w:r>
        <w:fldChar w:fldCharType="end"/>
      </w:r>
      <w:r>
        <w:t>.  According to the applicant, on 2 June 2009 he submitted a written complaint concerning the conditions of his detention to a prosecutor who visited the SIZO.</w:t>
      </w:r>
    </w:p>
    <w:p w:rsidR="00AC0C6B" w:rsidP="00AC0C6B" w:rsidRDefault="00AC0C6B">
      <w:pPr>
        <w:pStyle w:val="JuHA"/>
      </w:pPr>
      <w:r>
        <w:t>C.  Other domestic proceedings</w:t>
      </w:r>
    </w:p>
    <w:p w:rsidR="00AC0C6B" w:rsidP="00AC0C6B" w:rsidRDefault="00AC0C6B">
      <w:pPr>
        <w:pStyle w:val="JuPara"/>
      </w:pPr>
      <w:r>
        <w:fldChar w:fldCharType="begin"/>
      </w:r>
      <w:r>
        <w:instrText xml:space="preserve"> SEQ level0 \*arabic </w:instrText>
      </w:r>
      <w:r>
        <w:fldChar w:fldCharType="separate"/>
      </w:r>
      <w:r w:rsidR="005355EA">
        <w:rPr>
          <w:noProof/>
        </w:rPr>
        <w:t>42</w:t>
      </w:r>
      <w:r>
        <w:fldChar w:fldCharType="end"/>
      </w:r>
      <w:r>
        <w:t>.  According to the applicant, on 23 March 2005, in the course of the criminal proceedings against him, he brought an action before the Prymorskyy District Court of Odessa (no copy is available and no details are specified) claiming a violation of his rights as a result of a miscarriage of justice. On 19 April 2005 he repeated his application, but received no reply.</w:t>
      </w:r>
    </w:p>
    <w:p w:rsidR="00AC0C6B" w:rsidP="00AC0C6B" w:rsidRDefault="00AC0C6B">
      <w:pPr>
        <w:pStyle w:val="JuHA"/>
      </w:pPr>
      <w:r>
        <w:t>D.  Proceedings before the Court</w:t>
      </w:r>
    </w:p>
    <w:p w:rsidR="00AC0C6B" w:rsidP="00AC0C6B" w:rsidRDefault="00AC0C6B">
      <w:pPr>
        <w:pStyle w:val="JuPara"/>
      </w:pPr>
      <w:r>
        <w:fldChar w:fldCharType="begin"/>
      </w:r>
      <w:r>
        <w:instrText xml:space="preserve"> SEQ level0 \*arabic </w:instrText>
      </w:r>
      <w:r>
        <w:fldChar w:fldCharType="separate"/>
      </w:r>
      <w:r w:rsidR="005355EA">
        <w:rPr>
          <w:noProof/>
        </w:rPr>
        <w:t>43</w:t>
      </w:r>
      <w:r>
        <w:fldChar w:fldCharType="end"/>
      </w:r>
      <w:r>
        <w:t xml:space="preserve">.  The applicant </w:t>
      </w:r>
      <w:r w:rsidR="009F2B60">
        <w:t xml:space="preserve">initially </w:t>
      </w:r>
      <w:r>
        <w:t xml:space="preserve">submitted </w:t>
      </w:r>
      <w:r w:rsidR="006D4F03">
        <w:t xml:space="preserve">only a </w:t>
      </w:r>
      <w:r>
        <w:t>few documents to the Court in support of his complaints. He contended that the authorities had not provided him with copies of any other documents.</w:t>
      </w:r>
    </w:p>
    <w:p w:rsidR="00AC0C6B" w:rsidP="00AC0C6B" w:rsidRDefault="00AC0C6B">
      <w:pPr>
        <w:pStyle w:val="JuPara"/>
      </w:pPr>
      <w:r>
        <w:fldChar w:fldCharType="begin"/>
      </w:r>
      <w:r>
        <w:instrText xml:space="preserve"> SEQ level0 \*arabic </w:instrText>
      </w:r>
      <w:r>
        <w:fldChar w:fldCharType="separate"/>
      </w:r>
      <w:r w:rsidR="005355EA">
        <w:rPr>
          <w:noProof/>
        </w:rPr>
        <w:t>44</w:t>
      </w:r>
      <w:r>
        <w:fldChar w:fldCharType="end"/>
      </w:r>
      <w:r>
        <w:t>.  On 11 August 2005 (followed by a reminder on 3 October 2005) the Court</w:t>
      </w:r>
      <w:r w:rsidR="005355EA">
        <w:t>’</w:t>
      </w:r>
      <w:r>
        <w:t>s Registry requested the applicant to provide copies of all the court decisions taken in his case(s) after 31 July 2003, as well as proof of the alleged ill-treatment.</w:t>
      </w:r>
    </w:p>
    <w:bookmarkStart w:name="Art34_no_attachment" w:id="20"/>
    <w:p w:rsidR="00AC0C6B" w:rsidP="00AC0C6B" w:rsidRDefault="00AC0C6B">
      <w:pPr>
        <w:pStyle w:val="JuPara"/>
      </w:pPr>
      <w:r>
        <w:fldChar w:fldCharType="begin"/>
      </w:r>
      <w:r>
        <w:instrText xml:space="preserve"> SEQ level0 \*arabic </w:instrText>
      </w:r>
      <w:r>
        <w:fldChar w:fldCharType="separate"/>
      </w:r>
      <w:r w:rsidR="005355EA">
        <w:rPr>
          <w:noProof/>
        </w:rPr>
        <w:t>45</w:t>
      </w:r>
      <w:r>
        <w:fldChar w:fldCharType="end"/>
      </w:r>
      <w:bookmarkEnd w:id="20"/>
      <w:r>
        <w:t>.  In his reply of 12 September 2005 the applicant stated that he was unable to provide the requested copies. He explained, in particular, that on 25 August 2005, following the Registry</w:t>
      </w:r>
      <w:r w:rsidR="005355EA">
        <w:t>’</w:t>
      </w:r>
      <w:r>
        <w:t>s request, he had sent a letter to the District Court requesting copies of the court decisions taken in his case within the specified period. On 8 September 2005 the applicant was informed that the District Court had sent his case file to the prosecutor. The applicant then complained to the prosecutor, but he never received the requested documents.</w:t>
      </w:r>
      <w:r w:rsidRPr="00857251">
        <w:t xml:space="preserve"> </w:t>
      </w:r>
      <w:r>
        <w:t>In his letters to the domestic authorities the applicant did not refer to the Registry</w:t>
      </w:r>
      <w:r w:rsidR="005355EA">
        <w:t>’</w:t>
      </w:r>
      <w:r>
        <w:t>s request; nor is it apparent from the available documents that the Registry</w:t>
      </w:r>
      <w:r w:rsidR="005355EA">
        <w:t>’</w:t>
      </w:r>
      <w:r>
        <w:t>s request was appended to his letters.</w:t>
      </w:r>
    </w:p>
    <w:bookmarkStart w:name="access_to_file" w:id="21"/>
    <w:p w:rsidR="00AC0C6B" w:rsidP="00AC0C6B" w:rsidRDefault="00AC0C6B">
      <w:pPr>
        <w:pStyle w:val="JuPara"/>
      </w:pPr>
      <w:r>
        <w:fldChar w:fldCharType="begin"/>
      </w:r>
      <w:r>
        <w:instrText xml:space="preserve"> SEQ level0 \*arabic </w:instrText>
      </w:r>
      <w:r>
        <w:fldChar w:fldCharType="separate"/>
      </w:r>
      <w:r w:rsidR="005355EA">
        <w:rPr>
          <w:noProof/>
        </w:rPr>
        <w:t>46</w:t>
      </w:r>
      <w:r>
        <w:fldChar w:fldCharType="end"/>
      </w:r>
      <w:bookmarkEnd w:id="21"/>
      <w:r>
        <w:t>.  The applicant further explained that he had also requested the SIZO authorities to provide him with copies of his medical file (no copy of his request is available). The authorities gave him access to the file but refused to make copies</w:t>
      </w:r>
      <w:r w:rsidRPr="00300693">
        <w:t xml:space="preserve"> </w:t>
      </w:r>
      <w:r>
        <w:t>for him, stating that they could be given only to legal entities.</w:t>
      </w:r>
    </w:p>
    <w:p w:rsidR="0078141C" w:rsidP="005113DC" w:rsidRDefault="005113DC">
      <w:pPr>
        <w:pStyle w:val="JuHIRoman"/>
        <w:outlineLvl w:val="0"/>
      </w:pPr>
      <w:r w:rsidRPr="00273822">
        <w:t>II.  RELEVANT DOMESTIC LAW</w:t>
      </w:r>
    </w:p>
    <w:p w:rsidRPr="00FE5FF0" w:rsidR="0048392D" w:rsidP="0048392D" w:rsidRDefault="0048392D">
      <w:pPr>
        <w:pStyle w:val="JuHA"/>
      </w:pPr>
      <w:r>
        <w:t>A</w:t>
      </w:r>
      <w:r w:rsidRPr="00FE5FF0">
        <w:t>.  Pre-trial Detention Act</w:t>
      </w:r>
    </w:p>
    <w:p w:rsidR="0048392D" w:rsidP="0048392D" w:rsidRDefault="0048392D">
      <w:pPr>
        <w:pStyle w:val="JuPara"/>
      </w:pPr>
      <w:r>
        <w:fldChar w:fldCharType="begin"/>
      </w:r>
      <w:r>
        <w:instrText xml:space="preserve"> SEQ level0 \*arabic </w:instrText>
      </w:r>
      <w:r>
        <w:fldChar w:fldCharType="separate"/>
      </w:r>
      <w:r w:rsidR="005355EA">
        <w:rPr>
          <w:noProof/>
        </w:rPr>
        <w:t>47</w:t>
      </w:r>
      <w:r>
        <w:fldChar w:fldCharType="end"/>
      </w:r>
      <w:r>
        <w:t xml:space="preserve">.  Under </w:t>
      </w:r>
      <w:r w:rsidR="005D22F2">
        <w:t xml:space="preserve">section </w:t>
      </w:r>
      <w:r>
        <w:t xml:space="preserve">4 </w:t>
      </w:r>
      <w:r w:rsidRPr="00FE5FF0">
        <w:t xml:space="preserve">of the </w:t>
      </w:r>
      <w:r w:rsidR="000E550F">
        <w:t xml:space="preserve">Pre-trial Detention </w:t>
      </w:r>
      <w:r w:rsidRPr="00FE5FF0">
        <w:t>Act,</w:t>
      </w:r>
      <w:r>
        <w:t xml:space="preserve"> during the investigation and trial suspects </w:t>
      </w:r>
      <w:r w:rsidR="000E550F">
        <w:t xml:space="preserve">may </w:t>
      </w:r>
      <w:r>
        <w:t xml:space="preserve">be </w:t>
      </w:r>
      <w:r w:rsidR="000E550F">
        <w:t xml:space="preserve">held </w:t>
      </w:r>
      <w:r>
        <w:t xml:space="preserve">in </w:t>
      </w:r>
      <w:r w:rsidR="005D22F2">
        <w:t xml:space="preserve">a </w:t>
      </w:r>
      <w:r>
        <w:t xml:space="preserve">SIZO (temporary detention centre) or in </w:t>
      </w:r>
      <w:r w:rsidR="005D22F2">
        <w:t xml:space="preserve">a </w:t>
      </w:r>
      <w:r>
        <w:t xml:space="preserve">prison that </w:t>
      </w:r>
      <w:r w:rsidR="005D22F2">
        <w:t xml:space="preserve">serves </w:t>
      </w:r>
      <w:r>
        <w:t>as</w:t>
      </w:r>
      <w:r w:rsidR="005D22F2">
        <w:t xml:space="preserve"> a</w:t>
      </w:r>
      <w:r>
        <w:t xml:space="preserve"> SIZO. Exceptionally suspects </w:t>
      </w:r>
      <w:r w:rsidR="000E550F">
        <w:t xml:space="preserve">may </w:t>
      </w:r>
      <w:r>
        <w:t xml:space="preserve">be kept in </w:t>
      </w:r>
      <w:r w:rsidR="005D22F2">
        <w:t>a</w:t>
      </w:r>
      <w:r w:rsidR="00C00710">
        <w:t>n</w:t>
      </w:r>
      <w:r w:rsidR="005D22F2">
        <w:t xml:space="preserve"> </w:t>
      </w:r>
      <w:r>
        <w:t xml:space="preserve">IVS (cells for </w:t>
      </w:r>
      <w:r w:rsidR="000E550F">
        <w:t xml:space="preserve">short-term </w:t>
      </w:r>
      <w:r>
        <w:t xml:space="preserve">detention in police stations). If </w:t>
      </w:r>
      <w:r w:rsidR="00C00710">
        <w:t xml:space="preserve">a </w:t>
      </w:r>
      <w:r>
        <w:t xml:space="preserve">convicted person is under investigation in respect of </w:t>
      </w:r>
      <w:r w:rsidR="000E550F">
        <w:t>another</w:t>
      </w:r>
      <w:r w:rsidR="00C00710">
        <w:t xml:space="preserve"> offence</w:t>
      </w:r>
      <w:r>
        <w:t xml:space="preserve">, he or she </w:t>
      </w:r>
      <w:r w:rsidR="000E550F">
        <w:t xml:space="preserve">may </w:t>
      </w:r>
      <w:r>
        <w:t xml:space="preserve">be </w:t>
      </w:r>
      <w:r w:rsidR="000E550F">
        <w:t xml:space="preserve">held </w:t>
      </w:r>
      <w:r>
        <w:t>in the disciplinary detention unit of the correctional colony.</w:t>
      </w:r>
      <w:r w:rsidRPr="005C239C">
        <w:t xml:space="preserve"> </w:t>
      </w:r>
      <w:r w:rsidR="005D22F2">
        <w:t xml:space="preserve">Section </w:t>
      </w:r>
      <w:r>
        <w:t xml:space="preserve">8 of the Act </w:t>
      </w:r>
      <w:r w:rsidR="005D22F2">
        <w:t xml:space="preserve">provides </w:t>
      </w:r>
      <w:r>
        <w:t xml:space="preserve">that </w:t>
      </w:r>
      <w:r w:rsidR="009F2B60">
        <w:t xml:space="preserve">suspects </w:t>
      </w:r>
      <w:r w:rsidR="005D22F2">
        <w:t xml:space="preserve">who </w:t>
      </w:r>
      <w:r w:rsidR="009F2B60">
        <w:t xml:space="preserve">have been </w:t>
      </w:r>
      <w:r>
        <w:t xml:space="preserve">convicted </w:t>
      </w:r>
      <w:r w:rsidR="000E550F">
        <w:t>of</w:t>
      </w:r>
      <w:r>
        <w:t xml:space="preserve"> </w:t>
      </w:r>
      <w:r w:rsidR="00387E4B">
        <w:t>a different offence</w:t>
      </w:r>
      <w:r>
        <w:t xml:space="preserve"> </w:t>
      </w:r>
      <w:r w:rsidR="00C00710">
        <w:t xml:space="preserve">must </w:t>
      </w:r>
      <w:r>
        <w:t>be separate</w:t>
      </w:r>
      <w:r w:rsidR="000E550F">
        <w:t>d</w:t>
      </w:r>
      <w:r>
        <w:t xml:space="preserve"> from other detainees.</w:t>
      </w:r>
    </w:p>
    <w:p w:rsidR="0048392D" w:rsidP="0048392D" w:rsidRDefault="0048392D">
      <w:pPr>
        <w:pStyle w:val="JuHA"/>
      </w:pPr>
      <w:r>
        <w:t>B.  </w:t>
      </w:r>
      <w:r w:rsidRPr="005C7635">
        <w:t xml:space="preserve">Correctional Labour Code </w:t>
      </w:r>
      <w:r>
        <w:t>(prior to 1 January 2004).</w:t>
      </w:r>
    </w:p>
    <w:p w:rsidR="0048392D" w:rsidP="0048392D" w:rsidRDefault="0048392D">
      <w:pPr>
        <w:pStyle w:val="JuPara"/>
      </w:pPr>
      <w:r>
        <w:fldChar w:fldCharType="begin"/>
      </w:r>
      <w:r>
        <w:instrText xml:space="preserve"> SEQ level0 \*arabic </w:instrText>
      </w:r>
      <w:r>
        <w:fldChar w:fldCharType="separate"/>
      </w:r>
      <w:r w:rsidR="005355EA">
        <w:rPr>
          <w:noProof/>
        </w:rPr>
        <w:t>48</w:t>
      </w:r>
      <w:r>
        <w:fldChar w:fldCharType="end"/>
      </w:r>
      <w:r>
        <w:t xml:space="preserve">.  The </w:t>
      </w:r>
      <w:r w:rsidR="000E550F">
        <w:t xml:space="preserve">Correctional Labour </w:t>
      </w:r>
      <w:r>
        <w:t xml:space="preserve">Code provided that a convicted person should normally </w:t>
      </w:r>
      <w:r w:rsidR="005D22F2">
        <w:t xml:space="preserve">be </w:t>
      </w:r>
      <w:r w:rsidR="000E550F">
        <w:t xml:space="preserve">held </w:t>
      </w:r>
      <w:r>
        <w:t xml:space="preserve">in the same </w:t>
      </w:r>
      <w:r w:rsidR="005D22F2">
        <w:t xml:space="preserve">custodial </w:t>
      </w:r>
      <w:r>
        <w:t>institution (Article 22). Under Article 23 of the Code</w:t>
      </w:r>
      <w:r w:rsidR="005D22F2">
        <w:t>,</w:t>
      </w:r>
      <w:r>
        <w:t xml:space="preserve"> a person who was sentenced to imprisonment in a colony could be temporarily </w:t>
      </w:r>
      <w:r w:rsidR="000E550F">
        <w:t xml:space="preserve">held </w:t>
      </w:r>
      <w:r>
        <w:t xml:space="preserve">in </w:t>
      </w:r>
      <w:r w:rsidR="005D22F2">
        <w:t xml:space="preserve">a </w:t>
      </w:r>
      <w:r>
        <w:t xml:space="preserve">SIZO or prison in </w:t>
      </w:r>
      <w:r w:rsidR="00C00710">
        <w:t>connection with</w:t>
      </w:r>
      <w:r>
        <w:t xml:space="preserve"> different criminal proceedings</w:t>
      </w:r>
      <w:r w:rsidR="00C00710">
        <w:t>,</w:t>
      </w:r>
      <w:r>
        <w:t xml:space="preserve"> as a witness (for up to six month</w:t>
      </w:r>
      <w:r w:rsidR="005D22F2">
        <w:t>s</w:t>
      </w:r>
      <w:r>
        <w:t xml:space="preserve"> with </w:t>
      </w:r>
      <w:r w:rsidR="005D22F2">
        <w:t xml:space="preserve">the </w:t>
      </w:r>
      <w:r>
        <w:t xml:space="preserve">authorisation of the prosecutor) or as a suspect, </w:t>
      </w:r>
      <w:r w:rsidR="000E550F">
        <w:t xml:space="preserve">in accordance with </w:t>
      </w:r>
      <w:r>
        <w:t xml:space="preserve">the general rules </w:t>
      </w:r>
      <w:r w:rsidR="00C00710">
        <w:t>governing</w:t>
      </w:r>
      <w:r>
        <w:t xml:space="preserve"> detained suspects under Article 156 of the Code of Criminal Procedure.</w:t>
      </w:r>
    </w:p>
    <w:p w:rsidRPr="0048392D" w:rsidR="0048392D" w:rsidP="0048392D" w:rsidRDefault="0048392D">
      <w:pPr>
        <w:pStyle w:val="JuHA"/>
      </w:pPr>
      <w:r w:rsidRPr="0048392D">
        <w:t xml:space="preserve">C.  Code </w:t>
      </w:r>
      <w:r w:rsidR="00387E4B">
        <w:t>on</w:t>
      </w:r>
      <w:r w:rsidRPr="0048392D" w:rsidR="00387E4B">
        <w:t xml:space="preserve"> </w:t>
      </w:r>
      <w:r w:rsidRPr="0048392D">
        <w:t>Enforcement of Criminal Sanctions</w:t>
      </w:r>
      <w:r w:rsidR="006D4F03">
        <w:t xml:space="preserve"> (since </w:t>
      </w:r>
      <w:r w:rsidRPr="0048392D">
        <w:t>1 January 2004</w:t>
      </w:r>
      <w:r w:rsidR="006D4F03">
        <w:t>)</w:t>
      </w:r>
    </w:p>
    <w:p w:rsidRPr="00BA587A" w:rsidR="0048392D" w:rsidP="0048392D" w:rsidRDefault="0048392D">
      <w:pPr>
        <w:pStyle w:val="JuPara"/>
      </w:pPr>
      <w:r>
        <w:fldChar w:fldCharType="begin"/>
      </w:r>
      <w:r>
        <w:instrText xml:space="preserve"> SEQ level0 \*arabic </w:instrText>
      </w:r>
      <w:r>
        <w:fldChar w:fldCharType="separate"/>
      </w:r>
      <w:r w:rsidR="005355EA">
        <w:rPr>
          <w:noProof/>
        </w:rPr>
        <w:t>49</w:t>
      </w:r>
      <w:r>
        <w:fldChar w:fldCharType="end"/>
      </w:r>
      <w:r>
        <w:t>.  </w:t>
      </w:r>
      <w:r w:rsidR="000E550F">
        <w:t xml:space="preserve">The </w:t>
      </w:r>
      <w:r>
        <w:t xml:space="preserve">Code </w:t>
      </w:r>
      <w:r w:rsidR="000E550F">
        <w:t xml:space="preserve">on Enforcement of Criminal Sanctions </w:t>
      </w:r>
      <w:r>
        <w:t xml:space="preserve">replaced the </w:t>
      </w:r>
      <w:r w:rsidRPr="00BA587A">
        <w:t>Correctional Labour Code.</w:t>
      </w:r>
    </w:p>
    <w:p w:rsidR="0048392D" w:rsidP="0048392D" w:rsidRDefault="0048392D">
      <w:pPr>
        <w:pStyle w:val="JuPara"/>
      </w:pPr>
      <w:r>
        <w:fldChar w:fldCharType="begin"/>
      </w:r>
      <w:r>
        <w:instrText xml:space="preserve"> SEQ level0 \*arabic </w:instrText>
      </w:r>
      <w:r>
        <w:fldChar w:fldCharType="separate"/>
      </w:r>
      <w:r w:rsidR="005355EA">
        <w:rPr>
          <w:noProof/>
        </w:rPr>
        <w:t>50</w:t>
      </w:r>
      <w:r>
        <w:fldChar w:fldCharType="end"/>
      </w:r>
      <w:r>
        <w:t xml:space="preserve">.  Article 87 of </w:t>
      </w:r>
      <w:r w:rsidR="000E550F">
        <w:t xml:space="preserve">this </w:t>
      </w:r>
      <w:r>
        <w:t xml:space="preserve">Code provides that convicted persons </w:t>
      </w:r>
      <w:r w:rsidR="005D22F2">
        <w:t xml:space="preserve">must </w:t>
      </w:r>
      <w:r>
        <w:t xml:space="preserve">be sent </w:t>
      </w:r>
      <w:r w:rsidR="005D22F2">
        <w:t xml:space="preserve">to serve </w:t>
      </w:r>
      <w:r>
        <w:t xml:space="preserve">their sentence within ten days after the conviction </w:t>
      </w:r>
      <w:r w:rsidR="005D22F2">
        <w:t xml:space="preserve">becomes </w:t>
      </w:r>
      <w:r>
        <w:t>final.</w:t>
      </w:r>
    </w:p>
    <w:p w:rsidRPr="006631F3" w:rsidR="0048392D" w:rsidP="00AC0C6B" w:rsidRDefault="0048392D">
      <w:pPr>
        <w:pStyle w:val="JuPara"/>
        <w:rPr>
          <w:szCs w:val="24"/>
          <w:lang w:eastAsia="en-US"/>
        </w:rPr>
      </w:pPr>
      <w:r>
        <w:fldChar w:fldCharType="begin"/>
      </w:r>
      <w:r>
        <w:instrText xml:space="preserve"> SEQ level0 \*arabic </w:instrText>
      </w:r>
      <w:r>
        <w:fldChar w:fldCharType="separate"/>
      </w:r>
      <w:r w:rsidR="005355EA">
        <w:rPr>
          <w:noProof/>
        </w:rPr>
        <w:t>51</w:t>
      </w:r>
      <w:r>
        <w:fldChar w:fldCharType="end"/>
      </w:r>
      <w:r>
        <w:t xml:space="preserve">.  Article 90 of the Code provides that the convicted person can remain in the SIZO or be temporarily transferred from a prison or a colony back to the SIZO for investigative activities or </w:t>
      </w:r>
      <w:r w:rsidR="00FA0CE1">
        <w:t>to put</w:t>
      </w:r>
      <w:r w:rsidR="005D22F2">
        <w:t xml:space="preserve"> </w:t>
      </w:r>
      <w:r>
        <w:t>him/her</w:t>
      </w:r>
      <w:r w:rsidR="00FA0CE1">
        <w:t xml:space="preserve"> on trial</w:t>
      </w:r>
      <w:r>
        <w:t xml:space="preserve"> (for </w:t>
      </w:r>
      <w:r w:rsidR="005D22F2">
        <w:t xml:space="preserve">a </w:t>
      </w:r>
      <w:r>
        <w:t xml:space="preserve">different </w:t>
      </w:r>
      <w:r w:rsidR="005D22F2">
        <w:t>offence</w:t>
      </w:r>
      <w:r>
        <w:t xml:space="preserve">) or </w:t>
      </w:r>
      <w:r w:rsidR="00FA0CE1">
        <w:t xml:space="preserve">for the purposes of proceedings </w:t>
      </w:r>
      <w:r>
        <w:t>against a third party.</w:t>
      </w:r>
    </w:p>
    <w:p w:rsidRPr="00273822" w:rsidR="005113DC" w:rsidP="005113DC" w:rsidRDefault="005113DC">
      <w:pPr>
        <w:pStyle w:val="JuHHead"/>
      </w:pPr>
      <w:r w:rsidRPr="00273822">
        <w:t>THE LAW</w:t>
      </w:r>
    </w:p>
    <w:p w:rsidRPr="00333751" w:rsidR="00AC0C6B" w:rsidP="00AC0C6B" w:rsidRDefault="00AC0C6B">
      <w:pPr>
        <w:pStyle w:val="JuHIRoman"/>
      </w:pPr>
      <w:r w:rsidRPr="00333751">
        <w:t xml:space="preserve">I.  ALLEGED VIOLATION OF ARTICLE </w:t>
      </w:r>
      <w:r>
        <w:t>3</w:t>
      </w:r>
      <w:r w:rsidRPr="00333751">
        <w:t xml:space="preserve"> OF THE CONVENTION</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52</w:t>
      </w:r>
      <w:r w:rsidRPr="00333751">
        <w:fldChar w:fldCharType="end"/>
      </w:r>
      <w:r w:rsidRPr="00333751">
        <w:t xml:space="preserve">.  The applicant complained that </w:t>
      </w:r>
      <w:r>
        <w:t xml:space="preserve">the conditions of his detention in </w:t>
      </w:r>
      <w:r w:rsidRPr="00961E57">
        <w:t xml:space="preserve">the </w:t>
      </w:r>
      <w:r>
        <w:t>t</w:t>
      </w:r>
      <w:r w:rsidRPr="00961E57">
        <w:t xml:space="preserve">emporary </w:t>
      </w:r>
      <w:r>
        <w:t>d</w:t>
      </w:r>
      <w:r w:rsidRPr="00961E57">
        <w:t xml:space="preserve">etention </w:t>
      </w:r>
      <w:r>
        <w:t>c</w:t>
      </w:r>
      <w:r w:rsidRPr="00961E57">
        <w:t>entre</w:t>
      </w:r>
      <w:r>
        <w:t>,</w:t>
      </w:r>
      <w:r w:rsidRPr="00961E57">
        <w:t xml:space="preserve"> </w:t>
      </w:r>
      <w:r w:rsidR="00B34917">
        <w:t xml:space="preserve">in </w:t>
      </w:r>
      <w:r>
        <w:t>the detainees</w:t>
      </w:r>
      <w:r w:rsidR="005355EA">
        <w:t>’</w:t>
      </w:r>
      <w:r>
        <w:t xml:space="preserve"> room at the District</w:t>
      </w:r>
      <w:r w:rsidRPr="007715B8">
        <w:t xml:space="preserve"> </w:t>
      </w:r>
      <w:r>
        <w:t xml:space="preserve">Court and </w:t>
      </w:r>
      <w:r w:rsidR="00B34917">
        <w:t xml:space="preserve">in </w:t>
      </w:r>
      <w:r>
        <w:t xml:space="preserve">the SIZO, his medical treatment in the last-mentioned facility, </w:t>
      </w:r>
      <w:r w:rsidR="00B34917">
        <w:t>and</w:t>
      </w:r>
      <w:r>
        <w:t xml:space="preserve"> the conditions of his transportation in the</w:t>
      </w:r>
      <w:r w:rsidRPr="00B1776E">
        <w:t xml:space="preserve"> </w:t>
      </w:r>
      <w:r>
        <w:t>prison vans</w:t>
      </w:r>
      <w:r w:rsidR="00B34917">
        <w:t>,</w:t>
      </w:r>
      <w:r>
        <w:t xml:space="preserve"> had been in breach of</w:t>
      </w:r>
      <w:r w:rsidRPr="00333751">
        <w:t xml:space="preserve"> Article </w:t>
      </w:r>
      <w:r>
        <w:t>3</w:t>
      </w:r>
      <w:r w:rsidRPr="00333751">
        <w:t xml:space="preserve"> of the Convention, which reads as follows:</w:t>
      </w:r>
    </w:p>
    <w:p w:rsidRPr="00333751" w:rsidR="00AC0C6B" w:rsidP="00AC0C6B" w:rsidRDefault="00AC0C6B">
      <w:pPr>
        <w:pStyle w:val="JuQuot"/>
      </w:pPr>
      <w:r>
        <w:t>“No one shall be subjected to torture or to inhuman or degrading treatment or punishment.”</w:t>
      </w:r>
    </w:p>
    <w:p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53</w:t>
      </w:r>
      <w:r w:rsidRPr="00333751">
        <w:fldChar w:fldCharType="end"/>
      </w:r>
      <w:r w:rsidRPr="00333751">
        <w:t>.  </w:t>
      </w:r>
      <w:r>
        <w:t xml:space="preserve">In his complaints relating to the conditions of detention and medical treatment in </w:t>
      </w:r>
      <w:r w:rsidRPr="00961E57">
        <w:t>the</w:t>
      </w:r>
      <w:r>
        <w:t xml:space="preserve"> SIZO, the applicant referred to the whole period between 17 September 2001 and 10 November 2005.</w:t>
      </w:r>
    </w:p>
    <w:p w:rsidRPr="00333751" w:rsidR="00AC0C6B" w:rsidP="00AC0C6B" w:rsidRDefault="00AC0C6B">
      <w:pPr>
        <w:pStyle w:val="JuHA"/>
      </w:pPr>
      <w:r w:rsidRPr="00333751">
        <w:t>A.  Admissibility</w:t>
      </w:r>
    </w:p>
    <w:p w:rsidR="00AC0C6B" w:rsidP="00AC0C6B" w:rsidRDefault="00AC0C6B">
      <w:pPr>
        <w:pStyle w:val="JuH1"/>
      </w:pPr>
      <w:r>
        <w:t>1.  The applicant</w:t>
      </w:r>
      <w:r w:rsidR="005355EA">
        <w:t>’</w:t>
      </w:r>
      <w:r>
        <w:t>s detention in the t</w:t>
      </w:r>
      <w:r w:rsidRPr="00961E57">
        <w:t xml:space="preserve">emporary </w:t>
      </w:r>
      <w:r>
        <w:t>d</w:t>
      </w:r>
      <w:r w:rsidRPr="00961E57">
        <w:t xml:space="preserve">etention </w:t>
      </w:r>
      <w:r>
        <w:t>c</w:t>
      </w:r>
      <w:r w:rsidRPr="00961E57">
        <w:t>entre</w:t>
      </w:r>
    </w:p>
    <w:p w:rsidRPr="00F31EB3" w:rsidR="00AC0C6B" w:rsidP="00AC0C6B" w:rsidRDefault="00AC0C6B">
      <w:pPr>
        <w:pStyle w:val="JuPara"/>
        <w:rPr>
          <w:i/>
          <w:lang w:eastAsia="en-US"/>
        </w:rPr>
      </w:pPr>
      <w:r>
        <w:fldChar w:fldCharType="begin"/>
      </w:r>
      <w:r>
        <w:instrText xml:space="preserve"> SEQ level0 \*arabic </w:instrText>
      </w:r>
      <w:r>
        <w:fldChar w:fldCharType="separate"/>
      </w:r>
      <w:r w:rsidR="005355EA">
        <w:rPr>
          <w:noProof/>
        </w:rPr>
        <w:t>54</w:t>
      </w:r>
      <w:r>
        <w:fldChar w:fldCharType="end"/>
      </w:r>
      <w:r>
        <w:t>.  The Court notes that the applicant</w:t>
      </w:r>
      <w:r w:rsidR="005355EA">
        <w:t>’</w:t>
      </w:r>
      <w:r>
        <w:t xml:space="preserve">s detention </w:t>
      </w:r>
      <w:r w:rsidRPr="00961E57">
        <w:t xml:space="preserve">in the </w:t>
      </w:r>
      <w:r>
        <w:t>t</w:t>
      </w:r>
      <w:r w:rsidRPr="00961E57">
        <w:t xml:space="preserve">emporary </w:t>
      </w:r>
      <w:r>
        <w:t>d</w:t>
      </w:r>
      <w:r w:rsidRPr="00961E57">
        <w:t xml:space="preserve">etention </w:t>
      </w:r>
      <w:r>
        <w:t>c</w:t>
      </w:r>
      <w:r w:rsidRPr="00961E57">
        <w:t>entre</w:t>
      </w:r>
      <w:r>
        <w:t xml:space="preserve"> ended on </w:t>
      </w:r>
      <w:r w:rsidRPr="00961E57">
        <w:t>17 July 2002</w:t>
      </w:r>
      <w:r>
        <w:t xml:space="preserve"> at the latest, whereas the </w:t>
      </w:r>
      <w:r w:rsidRPr="00961E57">
        <w:t xml:space="preserve">complaints about conditions of detention </w:t>
      </w:r>
      <w:r>
        <w:t>were</w:t>
      </w:r>
      <w:r w:rsidRPr="00961E57">
        <w:t xml:space="preserve"> lodged with the Court </w:t>
      </w:r>
      <w:r>
        <w:t>on 1 </w:t>
      </w:r>
      <w:r w:rsidRPr="00961E57">
        <w:t>November 2004</w:t>
      </w:r>
      <w:r>
        <w:t>, that is,</w:t>
      </w:r>
      <w:r w:rsidRPr="00961E57">
        <w:t xml:space="preserve"> more than </w:t>
      </w:r>
      <w:r w:rsidRPr="00FB4ACE">
        <w:t>six months</w:t>
      </w:r>
      <w:r w:rsidRPr="00961E57">
        <w:t xml:space="preserve"> </w:t>
      </w:r>
      <w:r>
        <w:t>later</w:t>
      </w:r>
      <w:r w:rsidRPr="00961E57">
        <w:t xml:space="preserve"> (see </w:t>
      </w:r>
      <w:r>
        <w:rPr>
          <w:rStyle w:val="ju-005fpara-002cleft-002cfirst-0020line-003a-0020-00200-0020cm--char"/>
          <w:i/>
          <w:iCs/>
        </w:rPr>
        <w:t>Novinskiy v. Russia</w:t>
      </w:r>
      <w:r>
        <w:t xml:space="preserve"> (dec.), no. </w:t>
      </w:r>
      <w:r w:rsidRPr="003C2DBF">
        <w:rPr>
          <w:bCs/>
        </w:rPr>
        <w:t>11982</w:t>
      </w:r>
      <w:r w:rsidRPr="003C2DBF">
        <w:t>/</w:t>
      </w:r>
      <w:r w:rsidRPr="003C2DBF">
        <w:rPr>
          <w:bCs/>
        </w:rPr>
        <w:t>02</w:t>
      </w:r>
      <w:r>
        <w:t>, 6 December 2007</w:t>
      </w:r>
      <w:r w:rsidR="00B34917">
        <w:t>,</w:t>
      </w:r>
      <w:r>
        <w:rPr>
          <w:lang w:eastAsia="en-US"/>
        </w:rPr>
        <w:t xml:space="preserve"> and </w:t>
      </w:r>
      <w:r w:rsidRPr="00F31EB3">
        <w:rPr>
          <w:i/>
          <w:lang w:eastAsia="en-US"/>
        </w:rPr>
        <w:t>Malenko v. Ukraine</w:t>
      </w:r>
      <w:r>
        <w:rPr>
          <w:lang w:eastAsia="en-US"/>
        </w:rPr>
        <w:t>, no. </w:t>
      </w:r>
      <w:r w:rsidRPr="00F31EB3">
        <w:rPr>
          <w:lang w:eastAsia="en-US"/>
        </w:rPr>
        <w:t>18660/03, §</w:t>
      </w:r>
      <w:r>
        <w:rPr>
          <w:lang w:eastAsia="en-US"/>
        </w:rPr>
        <w:t> 40, 19 </w:t>
      </w:r>
      <w:r w:rsidRPr="00F31EB3">
        <w:rPr>
          <w:lang w:eastAsia="en-US"/>
        </w:rPr>
        <w:t>February 2009</w:t>
      </w:r>
      <w:r>
        <w:t xml:space="preserve">). It follows that – assuming that the applicant was detained in the temporary detention centre until 17 July 2002, and that </w:t>
      </w:r>
      <w:r w:rsidR="00B34917">
        <w:t xml:space="preserve">these </w:t>
      </w:r>
      <w:r>
        <w:t>complaint</w:t>
      </w:r>
      <w:r w:rsidR="00B34917">
        <w:t>s</w:t>
      </w:r>
      <w:r>
        <w:t xml:space="preserve"> </w:t>
      </w:r>
      <w:r w:rsidR="00B34917">
        <w:t>can be regarded as</w:t>
      </w:r>
      <w:r>
        <w:t xml:space="preserve"> separate from th</w:t>
      </w:r>
      <w:r w:rsidR="00B34917">
        <w:t>ose concerning the</w:t>
      </w:r>
      <w:r>
        <w:t xml:space="preserve"> remainder of </w:t>
      </w:r>
      <w:r w:rsidR="00B34917">
        <w:t>his</w:t>
      </w:r>
      <w:r>
        <w:t xml:space="preserve"> detention – the complaints in respect of the conditions of detention in the t</w:t>
      </w:r>
      <w:r w:rsidRPr="00961E57">
        <w:t xml:space="preserve">emporary </w:t>
      </w:r>
      <w:r>
        <w:t>d</w:t>
      </w:r>
      <w:r w:rsidRPr="00961E57">
        <w:t xml:space="preserve">etention </w:t>
      </w:r>
      <w:r>
        <w:t>c</w:t>
      </w:r>
      <w:r w:rsidRPr="00961E57">
        <w:t>entre</w:t>
      </w:r>
      <w:r>
        <w:t xml:space="preserve"> have been introduced out of time and must be rejected pursuant to Article 35 §§ 1 and 4 of the Convention.</w:t>
      </w:r>
    </w:p>
    <w:p w:rsidR="00AC0C6B" w:rsidP="00AC0C6B" w:rsidRDefault="00AC0C6B">
      <w:pPr>
        <w:pStyle w:val="JuH1"/>
      </w:pPr>
      <w:r>
        <w:t>2.  The applicant</w:t>
      </w:r>
      <w:r w:rsidR="005355EA">
        <w:t>’</w:t>
      </w:r>
      <w:r>
        <w:t>s transportation in the</w:t>
      </w:r>
      <w:r w:rsidRPr="00B1776E">
        <w:t xml:space="preserve"> </w:t>
      </w:r>
      <w:r>
        <w:t>prison vans and his detention in the detainees</w:t>
      </w:r>
      <w:r w:rsidR="005355EA">
        <w:t>’</w:t>
      </w:r>
      <w:r>
        <w:t xml:space="preserve"> room at the court</w:t>
      </w:r>
    </w:p>
    <w:p w:rsidR="00AC0C6B" w:rsidP="00AC0C6B" w:rsidRDefault="00AC0C6B">
      <w:pPr>
        <w:pStyle w:val="LtrBody"/>
      </w:pPr>
      <w:r>
        <w:fldChar w:fldCharType="begin"/>
      </w:r>
      <w:r>
        <w:instrText xml:space="preserve"> SEQ level0 \*arabic </w:instrText>
      </w:r>
      <w:r>
        <w:fldChar w:fldCharType="separate"/>
      </w:r>
      <w:r w:rsidR="005355EA">
        <w:rPr>
          <w:noProof/>
        </w:rPr>
        <w:t>55</w:t>
      </w:r>
      <w:r>
        <w:fldChar w:fldCharType="end"/>
      </w:r>
      <w:r>
        <w:t>.  The Court further notes that the applicant</w:t>
      </w:r>
      <w:r w:rsidR="005355EA">
        <w:t>’</w:t>
      </w:r>
      <w:r>
        <w:t>s complaints about the conditions of his transportation in the</w:t>
      </w:r>
      <w:r w:rsidRPr="00B1776E">
        <w:t xml:space="preserve"> </w:t>
      </w:r>
      <w:r>
        <w:t>prison vans and his detention in the detainees</w:t>
      </w:r>
      <w:r w:rsidR="005355EA">
        <w:t>’</w:t>
      </w:r>
      <w:r>
        <w:t xml:space="preserve"> room at the court are unclear and lacking in detail such as dates, duration of trips and stays in the detainees</w:t>
      </w:r>
      <w:r w:rsidR="005355EA">
        <w:t>’</w:t>
      </w:r>
      <w:r>
        <w:t xml:space="preserve"> room. The Court therefore concludes that the applicant has not made out an arguable claim in that </w:t>
      </w:r>
      <w:r w:rsidR="00D54A57">
        <w:t>connection</w:t>
      </w:r>
      <w:r>
        <w:t xml:space="preserve">. It dismisses this complaint as manifestly ill-founded in accordance with Article 35 §§ 3 </w:t>
      </w:r>
      <w:r w:rsidR="006E0504">
        <w:t xml:space="preserve">(a) </w:t>
      </w:r>
      <w:r>
        <w:t>and 4 of the Convention.</w:t>
      </w:r>
    </w:p>
    <w:p w:rsidR="00AC0C6B" w:rsidP="00AC0C6B" w:rsidRDefault="00AC0C6B">
      <w:pPr>
        <w:pStyle w:val="JuH1"/>
      </w:pPr>
      <w:r>
        <w:t>3.  The applicant</w:t>
      </w:r>
      <w:r w:rsidR="005355EA">
        <w:t>’</w:t>
      </w:r>
      <w:r>
        <w:t>s detention in the SIZO</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56</w:t>
      </w:r>
      <w:r w:rsidRPr="00333751">
        <w:fldChar w:fldCharType="end"/>
      </w:r>
      <w:r w:rsidRPr="00333751">
        <w:t xml:space="preserve">.  The Government </w:t>
      </w:r>
      <w:r>
        <w:t>objected that the applicant had not exhausted the effective domestic remedies available to him. In particular, they contended that all decisions, actions or omissions of State bodies could be challenged in court. In support of the effectiveness of the proposed remedy, they submitted a copy of the domestic court</w:t>
      </w:r>
      <w:r w:rsidR="005355EA">
        <w:t>’</w:t>
      </w:r>
      <w:r>
        <w:t>s decision of 4 February 2009 in the case of K. and B. against SIZO no. 13. The claimants</w:t>
      </w:r>
      <w:r w:rsidR="005355EA">
        <w:t>’</w:t>
      </w:r>
      <w:r>
        <w:t xml:space="preserve"> daughter and mother had died in th</w:t>
      </w:r>
      <w:r w:rsidR="00D54A57">
        <w:t>at</w:t>
      </w:r>
      <w:r>
        <w:t xml:space="preserve"> SIZO because of a lack of medical assistance. The court awarded the claimants 25,000</w:t>
      </w:r>
      <w:r>
        <w:rPr>
          <w:rStyle w:val="FootnoteReference"/>
        </w:rPr>
        <w:footnoteReference w:id="1"/>
      </w:r>
      <w:r>
        <w:t xml:space="preserve"> Ukrainian hryvnias (UAH) each in compensation for non-pecuniary damage. Although the applicant had instituted proceedings against the SIZO administration, he had failed to comply with the procedural requirements and his claim had thus not been examined on the merits; his appeal had been dismissed as being lodged out</w:t>
      </w:r>
      <w:r w:rsidR="008127E5">
        <w:t>side</w:t>
      </w:r>
      <w:r>
        <w:t xml:space="preserve"> the statutory time-limit. Nor had the applicant complained to the prosecutor, a remedy which in the Government</w:t>
      </w:r>
      <w:r w:rsidR="005355EA">
        <w:t>’</w:t>
      </w:r>
      <w:r>
        <w:t>s view was also effective.</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57</w:t>
      </w:r>
      <w:r w:rsidRPr="00333751">
        <w:fldChar w:fldCharType="end"/>
      </w:r>
      <w:r w:rsidRPr="00333751">
        <w:t>.  </w:t>
      </w:r>
      <w:r>
        <w:t>The applicant disagreed, noting that he had complained to the prosecutor in June 2009.</w:t>
      </w:r>
    </w:p>
    <w:p w:rsidRPr="00597D77" w:rsidR="00AC0C6B" w:rsidP="00AC0C6B" w:rsidRDefault="00AC0C6B">
      <w:pPr>
        <w:pStyle w:val="JuPara"/>
        <w:rPr>
          <w:i/>
          <w:lang w:eastAsia="en-US"/>
        </w:rPr>
      </w:pPr>
      <w:r>
        <w:fldChar w:fldCharType="begin"/>
      </w:r>
      <w:r>
        <w:instrText xml:space="preserve"> SEQ level0 \*arabic </w:instrText>
      </w:r>
      <w:r>
        <w:fldChar w:fldCharType="separate"/>
      </w:r>
      <w:r w:rsidR="005355EA">
        <w:rPr>
          <w:noProof/>
        </w:rPr>
        <w:t>58</w:t>
      </w:r>
      <w:r>
        <w:fldChar w:fldCharType="end"/>
      </w:r>
      <w:r>
        <w:t>.  The Court notes that it has already dismissed similar objections by the Government in a number of cases</w:t>
      </w:r>
      <w:r w:rsidR="005B2F23">
        <w:t xml:space="preserve">, having found that the problems arising from the conditions of detention were of a structural nature and no effective remedy was available in this respect, as it had not been sufficiently established that recourse to the remedies suggested by the Government would have been capable of affording redress to the applicant and that a single example of successful litigation, cited by the Government in this case too (see paragraph 56 above), in a case in which a violation had previously been found by this Court (see </w:t>
      </w:r>
      <w:r w:rsidR="005B2F23">
        <w:rPr>
          <w:rStyle w:val="ju-005fpara-002cleft-002cfirst-0020line-003a-0020-00200-0020cm--char"/>
          <w:i/>
          <w:iCs/>
        </w:rPr>
        <w:t>Kats and Others v. Ukraine</w:t>
      </w:r>
      <w:r w:rsidR="005B2F23">
        <w:t>, no. 29971/04, 18</w:t>
      </w:r>
      <w:r w:rsidR="001F0C2D">
        <w:t> </w:t>
      </w:r>
      <w:r w:rsidR="005B2F23">
        <w:t>December 2008), could not serve as proof of the effectiveness of the remedies proposed by the Government</w:t>
      </w:r>
      <w:r>
        <w:t xml:space="preserve"> (see </w:t>
      </w:r>
      <w:r>
        <w:rPr>
          <w:i/>
        </w:rPr>
        <w:t>Petukhov</w:t>
      </w:r>
      <w:r w:rsidRPr="00856439">
        <w:rPr>
          <w:i/>
        </w:rPr>
        <w:t xml:space="preserve"> </w:t>
      </w:r>
      <w:r>
        <w:rPr>
          <w:i/>
        </w:rPr>
        <w:t xml:space="preserve">v. </w:t>
      </w:r>
      <w:smartTag w:uri="urn:schemas-microsoft-com:office:smarttags" w:element="country-region">
        <w:smartTag w:uri="urn:schemas-microsoft-com:office:smarttags" w:element="place">
          <w:r>
            <w:rPr>
              <w:i/>
            </w:rPr>
            <w:t>Ukraine</w:t>
          </w:r>
        </w:smartTag>
      </w:smartTag>
      <w:r>
        <w:t>, no. </w:t>
      </w:r>
      <w:r w:rsidRPr="00856439">
        <w:t>43374/02</w:t>
      </w:r>
      <w:r>
        <w:t xml:space="preserve">, §§ 76-79, </w:t>
      </w:r>
      <w:r w:rsidRPr="00597D77">
        <w:rPr>
          <w:szCs w:val="24"/>
          <w:lang w:val="pt-BR" w:eastAsia="en-US"/>
        </w:rPr>
        <w:t>21</w:t>
      </w:r>
      <w:r w:rsidRPr="00597D77">
        <w:rPr>
          <w:snapToGrid w:val="0"/>
          <w:szCs w:val="24"/>
          <w:lang w:val="pt-BR" w:eastAsia="en-US"/>
        </w:rPr>
        <w:t xml:space="preserve"> October 2010</w:t>
      </w:r>
      <w:r>
        <w:rPr>
          <w:snapToGrid w:val="0"/>
          <w:szCs w:val="24"/>
          <w:lang w:val="pt-BR" w:eastAsia="en-US"/>
        </w:rPr>
        <w:t xml:space="preserve"> </w:t>
      </w:r>
      <w:r>
        <w:t>with further references). The Court sees no reason to depart from th</w:t>
      </w:r>
      <w:r w:rsidR="005B2F23">
        <w:t xml:space="preserve">ose </w:t>
      </w:r>
      <w:r>
        <w:t>finding in the present case and therefore considers that this complaint cannot be rejected for failure to exhaust domestic remedies.</w:t>
      </w:r>
    </w:p>
    <w:p w:rsidR="00AC0C6B" w:rsidP="00AC0C6B" w:rsidRDefault="00AC0C6B">
      <w:pPr>
        <w:pStyle w:val="JuPara"/>
        <w:rPr>
          <w:lang w:eastAsia="en-US"/>
        </w:rPr>
      </w:pPr>
      <w:r>
        <w:fldChar w:fldCharType="begin"/>
      </w:r>
      <w:r>
        <w:instrText xml:space="preserve"> SEQ level0 \*arabic </w:instrText>
      </w:r>
      <w:r>
        <w:fldChar w:fldCharType="separate"/>
      </w:r>
      <w:r w:rsidR="005355EA">
        <w:rPr>
          <w:noProof/>
        </w:rPr>
        <w:t>59</w:t>
      </w:r>
      <w:r>
        <w:fldChar w:fldCharType="end"/>
      </w:r>
      <w:r>
        <w:t xml:space="preserve">.  However, by virtue of Article 35 § 4 of the Convention, the Court may declare a complaint inadmissible “at any stage of the proceedings”, and the six-month rule is a mandatory one which the Court has jurisdiction to apply of its own motion (see, among other authorities, </w:t>
      </w:r>
      <w:r w:rsidRPr="00D22F6A">
        <w:rPr>
          <w:i/>
          <w:lang w:eastAsia="en-US"/>
        </w:rPr>
        <w:t xml:space="preserve">Assanidze v. Georgia </w:t>
      </w:r>
      <w:r w:rsidRPr="00D22F6A">
        <w:rPr>
          <w:lang w:eastAsia="en-US"/>
        </w:rPr>
        <w:t>[GC], no. 71503/01, §</w:t>
      </w:r>
      <w:r>
        <w:rPr>
          <w:lang w:eastAsia="en-US"/>
        </w:rPr>
        <w:t> 160</w:t>
      </w:r>
      <w:r w:rsidRPr="00D22F6A">
        <w:rPr>
          <w:lang w:eastAsia="en-US"/>
        </w:rPr>
        <w:t>, ECHR 2004</w:t>
      </w:r>
      <w:r w:rsidRPr="00D22F6A">
        <w:rPr>
          <w:lang w:eastAsia="en-US"/>
        </w:rPr>
        <w:noBreakHyphen/>
        <w:t>II</w:t>
      </w:r>
      <w:r>
        <w:rPr>
          <w:lang w:eastAsia="en-US"/>
        </w:rPr>
        <w:t xml:space="preserve">). The absence of an objection from </w:t>
      </w:r>
      <w:r>
        <w:t xml:space="preserve">the respondent Government does not change the situation (see </w:t>
      </w:r>
      <w:r w:rsidRPr="00D22F6A">
        <w:rPr>
          <w:i/>
          <w:lang w:eastAsia="en-US"/>
        </w:rPr>
        <w:t xml:space="preserve">Walker v. the </w:t>
      </w:r>
      <w:smartTag w:uri="urn:schemas-microsoft-com:office:smarttags" w:element="country-region">
        <w:smartTag w:uri="urn:schemas-microsoft-com:office:smarttags" w:element="place">
          <w:r w:rsidRPr="00D22F6A">
            <w:rPr>
              <w:i/>
              <w:lang w:eastAsia="en-US"/>
            </w:rPr>
            <w:t>United Kingdom</w:t>
          </w:r>
        </w:smartTag>
      </w:smartTag>
      <w:r w:rsidRPr="00D22F6A">
        <w:rPr>
          <w:i/>
          <w:lang w:eastAsia="en-US"/>
        </w:rPr>
        <w:t xml:space="preserve"> </w:t>
      </w:r>
      <w:r w:rsidRPr="00D22F6A">
        <w:rPr>
          <w:lang w:eastAsia="en-US"/>
        </w:rPr>
        <w:t>(dec.), no.</w:t>
      </w:r>
      <w:r>
        <w:rPr>
          <w:lang w:eastAsia="en-US"/>
        </w:rPr>
        <w:t> </w:t>
      </w:r>
      <w:r w:rsidRPr="00D22F6A">
        <w:rPr>
          <w:lang w:eastAsia="en-US"/>
        </w:rPr>
        <w:t>34979/97</w:t>
      </w:r>
      <w:r w:rsidRPr="00D22F6A">
        <w:rPr>
          <w:szCs w:val="24"/>
          <w:lang w:eastAsia="en-US"/>
        </w:rPr>
        <w:t xml:space="preserve">, </w:t>
      </w:r>
      <w:r w:rsidRPr="00D22F6A">
        <w:rPr>
          <w:lang w:eastAsia="en-US"/>
        </w:rPr>
        <w:t>ECHR 2000</w:t>
      </w:r>
      <w:r w:rsidRPr="00D22F6A">
        <w:rPr>
          <w:lang w:eastAsia="en-US"/>
        </w:rPr>
        <w:noBreakHyphen/>
        <w:t>I</w:t>
      </w:r>
      <w:r>
        <w:rPr>
          <w:lang w:eastAsia="en-US"/>
        </w:rPr>
        <w:t>).</w:t>
      </w:r>
    </w:p>
    <w:p w:rsidR="00AC0C6B" w:rsidP="00AC0C6B" w:rsidRDefault="00AC0C6B">
      <w:pPr>
        <w:pStyle w:val="JuPara"/>
      </w:pPr>
      <w:r>
        <w:rPr>
          <w:lang w:eastAsia="en-US"/>
        </w:rPr>
        <w:fldChar w:fldCharType="begin"/>
      </w:r>
      <w:r>
        <w:rPr>
          <w:lang w:eastAsia="en-US"/>
        </w:rPr>
        <w:instrText xml:space="preserve"> SEQ level0 \*arabic </w:instrText>
      </w:r>
      <w:r>
        <w:rPr>
          <w:lang w:eastAsia="en-US"/>
        </w:rPr>
        <w:fldChar w:fldCharType="separate"/>
      </w:r>
      <w:r w:rsidR="005355EA">
        <w:rPr>
          <w:noProof/>
          <w:lang w:eastAsia="en-US"/>
        </w:rPr>
        <w:t>60</w:t>
      </w:r>
      <w:r>
        <w:rPr>
          <w:lang w:eastAsia="en-US"/>
        </w:rPr>
        <w:fldChar w:fldCharType="end"/>
      </w:r>
      <w:r>
        <w:rPr>
          <w:lang w:eastAsia="en-US"/>
        </w:rPr>
        <w:t>.  The Court observes that the applicant</w:t>
      </w:r>
      <w:r w:rsidR="005355EA">
        <w:rPr>
          <w:lang w:eastAsia="en-US"/>
        </w:rPr>
        <w:t>’</w:t>
      </w:r>
      <w:r>
        <w:rPr>
          <w:lang w:eastAsia="en-US"/>
        </w:rPr>
        <w:t>s detention in the SIZO consists of several periods interrupted apparently by transfers to other detention facilities (see paragraphs </w:t>
      </w:r>
      <w:r>
        <w:rPr>
          <w:lang w:eastAsia="en-US"/>
        </w:rPr>
        <w:fldChar w:fldCharType="begin"/>
      </w:r>
      <w:r>
        <w:rPr>
          <w:lang w:eastAsia="en-US"/>
        </w:rPr>
        <w:instrText xml:space="preserve"> REF  periods_of_detention_1 </w:instrText>
      </w:r>
      <w:r>
        <w:rPr>
          <w:lang w:eastAsia="en-US"/>
        </w:rPr>
        <w:fldChar w:fldCharType="separate"/>
      </w:r>
      <w:r w:rsidR="005355EA">
        <w:rPr>
          <w:noProof/>
        </w:rPr>
        <w:t>27</w:t>
      </w:r>
      <w:r>
        <w:rPr>
          <w:lang w:eastAsia="en-US"/>
        </w:rPr>
        <w:fldChar w:fldCharType="end"/>
      </w:r>
      <w:r>
        <w:rPr>
          <w:lang w:eastAsia="en-US"/>
        </w:rPr>
        <w:t xml:space="preserve"> and </w:t>
      </w:r>
      <w:r>
        <w:rPr>
          <w:lang w:eastAsia="en-US"/>
        </w:rPr>
        <w:fldChar w:fldCharType="begin"/>
      </w:r>
      <w:r>
        <w:rPr>
          <w:lang w:eastAsia="en-US"/>
        </w:rPr>
        <w:instrText xml:space="preserve"> REF  periods_of_detention_2 </w:instrText>
      </w:r>
      <w:r>
        <w:rPr>
          <w:lang w:eastAsia="en-US"/>
        </w:rPr>
        <w:fldChar w:fldCharType="separate"/>
      </w:r>
      <w:r w:rsidR="005355EA">
        <w:rPr>
          <w:noProof/>
        </w:rPr>
        <w:t>28</w:t>
      </w:r>
      <w:r>
        <w:rPr>
          <w:lang w:eastAsia="en-US"/>
        </w:rPr>
        <w:fldChar w:fldCharType="end"/>
      </w:r>
      <w:r>
        <w:rPr>
          <w:lang w:eastAsia="en-US"/>
        </w:rPr>
        <w:t xml:space="preserve"> above). Given that these facilities were </w:t>
      </w:r>
      <w:r>
        <w:t>located in different places, the applicant</w:t>
      </w:r>
      <w:r w:rsidR="005355EA">
        <w:t>’</w:t>
      </w:r>
      <w:r>
        <w:t>s detention in these facilities ended on clearly identifiable dates and nothing in the parties</w:t>
      </w:r>
      <w:r w:rsidR="005355EA">
        <w:t>’</w:t>
      </w:r>
      <w:r>
        <w:t xml:space="preserve"> submissions suggests that the measurements of the applicant</w:t>
      </w:r>
      <w:r w:rsidR="005355EA">
        <w:t>’</w:t>
      </w:r>
      <w:r>
        <w:t>s cells, the cell layouts or any other relevant characteristics were identical or remarkably similar</w:t>
      </w:r>
      <w:r w:rsidR="008127E5">
        <w:t>,</w:t>
      </w:r>
      <w:r>
        <w:rPr>
          <w:lang w:eastAsia="en-US"/>
        </w:rPr>
        <w:t xml:space="preserve"> and</w:t>
      </w:r>
      <w:r w:rsidR="008127E5">
        <w:rPr>
          <w:lang w:eastAsia="en-US"/>
        </w:rPr>
        <w:t xml:space="preserve"> especially as,</w:t>
      </w:r>
      <w:r>
        <w:rPr>
          <w:lang w:eastAsia="en-US"/>
        </w:rPr>
        <w:t xml:space="preserve"> in respect of certain facilities</w:t>
      </w:r>
      <w:r w:rsidR="008127E5">
        <w:rPr>
          <w:lang w:eastAsia="en-US"/>
        </w:rPr>
        <w:t>,</w:t>
      </w:r>
      <w:r>
        <w:rPr>
          <w:lang w:eastAsia="en-US"/>
        </w:rPr>
        <w:t xml:space="preserve"> the applicant did not raise any complaint, these periods cannot be </w:t>
      </w:r>
      <w:r>
        <w:t>regarded as a “continuing situation” for the purposes of calculation of the six-month time-limit (see</w:t>
      </w:r>
      <w:r w:rsidRPr="00404603">
        <w:t xml:space="preserve"> </w:t>
      </w:r>
      <w:r>
        <w:t xml:space="preserve">and compare, for example, </w:t>
      </w:r>
      <w:r>
        <w:rPr>
          <w:rStyle w:val="ju-005fpara-002cleft-002cfirst-0020line-003a-0020-00200-0020cm--char"/>
          <w:i/>
          <w:iCs/>
        </w:rPr>
        <w:t>Novinskiy</w:t>
      </w:r>
      <w:r>
        <w:t>, cited above). The Court concludes therefore that the six-month period provided for in Article 35 § 1 of the Convention must be counted from the dates on which the periods in question ended. Thus, only the complaint relating to the period between 2 October 2003 and 10 November 2005 falls within its six-month jurisdiction and the complaints concerning other periods must be rejected pursuant to Article 35 §§ 1 and 4 of the Convention.</w:t>
      </w:r>
    </w:p>
    <w:p w:rsidR="00AC0C6B" w:rsidP="00AC0C6B" w:rsidRDefault="00AC0C6B">
      <w:pPr>
        <w:pStyle w:val="JuPara"/>
      </w:pPr>
      <w:r>
        <w:fldChar w:fldCharType="begin"/>
      </w:r>
      <w:r>
        <w:instrText xml:space="preserve"> SEQ level0 \*arabic </w:instrText>
      </w:r>
      <w:r>
        <w:fldChar w:fldCharType="separate"/>
      </w:r>
      <w:r w:rsidR="005355EA">
        <w:rPr>
          <w:noProof/>
        </w:rPr>
        <w:t>61</w:t>
      </w:r>
      <w:r>
        <w:fldChar w:fldCharType="end"/>
      </w:r>
      <w:r>
        <w:t>.  The Court further notes that there are two distinguishable aspects of the complaint relating to the period between 2 October 2003 and 10 November 2005, the admissibility of which should be examined separately. The first part concerns the material conditions of the applicant</w:t>
      </w:r>
      <w:r w:rsidR="005355EA">
        <w:t>’</w:t>
      </w:r>
      <w:r>
        <w:t>s detention (overcrowding in cells, lighting regime, and so on) and the second concerns the allegations of inadequate medical care.</w:t>
      </w:r>
    </w:p>
    <w:p w:rsidRPr="00B45CB0" w:rsidR="00AC0C6B" w:rsidP="00AC0C6B" w:rsidRDefault="008127E5">
      <w:pPr>
        <w:pStyle w:val="JuHa0"/>
        <w:rPr>
          <w:szCs w:val="24"/>
          <w:lang w:eastAsia="en-US"/>
        </w:rPr>
      </w:pPr>
      <w:r>
        <w:t>(</w:t>
      </w:r>
      <w:r w:rsidR="00AC0C6B">
        <w:t>a</w:t>
      </w:r>
      <w:r>
        <w:t>)  </w:t>
      </w:r>
      <w:r w:rsidR="00AC0C6B">
        <w:t>Material conditions of the applicant</w:t>
      </w:r>
      <w:r w:rsidR="005355EA">
        <w:t>’</w:t>
      </w:r>
      <w:r w:rsidR="00AC0C6B">
        <w:t>s detention</w:t>
      </w:r>
    </w:p>
    <w:p w:rsidR="00AC0C6B" w:rsidP="00AC0C6B" w:rsidRDefault="00AC0C6B">
      <w:pPr>
        <w:pStyle w:val="JuPara"/>
        <w:keepNext/>
        <w:keepLines/>
      </w:pPr>
      <w:r>
        <w:fldChar w:fldCharType="begin"/>
      </w:r>
      <w:r>
        <w:instrText xml:space="preserve"> SEQ level0 \*arabic </w:instrText>
      </w:r>
      <w:r>
        <w:fldChar w:fldCharType="separate"/>
      </w:r>
      <w:r w:rsidR="005355EA">
        <w:rPr>
          <w:noProof/>
        </w:rPr>
        <w:t>62</w:t>
      </w:r>
      <w:r>
        <w:fldChar w:fldCharType="end"/>
      </w:r>
      <w:r>
        <w:t>.  </w:t>
      </w:r>
      <w:r w:rsidRPr="00CC5CE6">
        <w:t>The Court notes that this complaint is not manifestly ill-founded within the meaning of A</w:t>
      </w:r>
      <w:r>
        <w:t xml:space="preserve">rticle 35 § 3 </w:t>
      </w:r>
      <w:r w:rsidR="006E0504">
        <w:t xml:space="preserve">(a) </w:t>
      </w:r>
      <w:r>
        <w:t>of the Convention and is</w:t>
      </w:r>
      <w:r w:rsidRPr="00CC5CE6">
        <w:t xml:space="preserve"> not inadmissible on any other grounds. It must therefore be declared admissible.</w:t>
      </w:r>
    </w:p>
    <w:p w:rsidR="00AC0C6B" w:rsidP="00AC0C6B" w:rsidRDefault="008127E5">
      <w:pPr>
        <w:pStyle w:val="JuHa0"/>
      </w:pPr>
      <w:r>
        <w:t>(</w:t>
      </w:r>
      <w:r w:rsidR="00AC0C6B">
        <w:t>b</w:t>
      </w:r>
      <w:r>
        <w:t>)  </w:t>
      </w:r>
      <w:r w:rsidR="00AC0C6B">
        <w:t>Medical treatment and assistance to the applicant</w:t>
      </w:r>
    </w:p>
    <w:p w:rsidRPr="00522B31" w:rsidR="00AC0C6B" w:rsidP="00AC0C6B" w:rsidRDefault="00AC0C6B">
      <w:pPr>
        <w:pStyle w:val="JuPara"/>
        <w:rPr>
          <w:i/>
          <w:lang w:eastAsia="en-US"/>
        </w:rPr>
      </w:pPr>
      <w:r>
        <w:fldChar w:fldCharType="begin"/>
      </w:r>
      <w:r>
        <w:instrText xml:space="preserve"> SEQ level0 \*arabic </w:instrText>
      </w:r>
      <w:r>
        <w:fldChar w:fldCharType="separate"/>
      </w:r>
      <w:r w:rsidR="005355EA">
        <w:rPr>
          <w:noProof/>
        </w:rPr>
        <w:t>63</w:t>
      </w:r>
      <w:r>
        <w:fldChar w:fldCharType="end"/>
      </w:r>
      <w:r>
        <w:t>.  The Court notes that the applicant</w:t>
      </w:r>
      <w:r w:rsidR="005355EA">
        <w:t>’</w:t>
      </w:r>
      <w:r>
        <w:t xml:space="preserve">s submissions in this </w:t>
      </w:r>
      <w:r w:rsidR="008127E5">
        <w:t xml:space="preserve">connection </w:t>
      </w:r>
      <w:r>
        <w:t>are limited to general statements</w:t>
      </w:r>
      <w:r w:rsidR="008127E5">
        <w:t>,</w:t>
      </w:r>
      <w:r>
        <w:t xml:space="preserve"> either that there was no adequate medical treatment </w:t>
      </w:r>
      <w:r w:rsidR="008127E5">
        <w:t xml:space="preserve">or </w:t>
      </w:r>
      <w:r>
        <w:t>assistance</w:t>
      </w:r>
      <w:r w:rsidR="008127E5">
        <w:t>,</w:t>
      </w:r>
      <w:r>
        <w:t xml:space="preserve"> or that his state of health deteriorated </w:t>
      </w:r>
      <w:r w:rsidR="008127E5">
        <w:t xml:space="preserve">during his </w:t>
      </w:r>
      <w:r>
        <w:t>detention (see paragraphs </w:t>
      </w:r>
      <w:r>
        <w:fldChar w:fldCharType="begin"/>
      </w:r>
      <w:r>
        <w:instrText xml:space="preserve"> REF  complaint_of_lack_of_medical_care </w:instrText>
      </w:r>
      <w:r>
        <w:fldChar w:fldCharType="separate"/>
      </w:r>
      <w:r w:rsidR="005355EA">
        <w:rPr>
          <w:noProof/>
        </w:rPr>
        <w:t>32</w:t>
      </w:r>
      <w:r>
        <w:fldChar w:fldCharType="end"/>
      </w:r>
      <w:r>
        <w:t xml:space="preserve"> and </w:t>
      </w:r>
      <w:r>
        <w:fldChar w:fldCharType="begin"/>
      </w:r>
      <w:r>
        <w:instrText xml:space="preserve"> REF  worsened_state_of_health </w:instrText>
      </w:r>
      <w:r>
        <w:fldChar w:fldCharType="separate"/>
      </w:r>
      <w:r w:rsidR="005355EA">
        <w:rPr>
          <w:noProof/>
        </w:rPr>
        <w:t>34</w:t>
      </w:r>
      <w:r>
        <w:fldChar w:fldCharType="end"/>
      </w:r>
      <w:r>
        <w:t xml:space="preserve"> above). Neither allegation is sufficient </w:t>
      </w:r>
      <w:r w:rsidRPr="00AB51E8">
        <w:rPr>
          <w:i/>
        </w:rPr>
        <w:t>per se</w:t>
      </w:r>
      <w:r>
        <w:t xml:space="preserve"> for the Court to reach the conclusion that Article 3 of the Convention has been breached. In particular, there is no evidence that the applicant</w:t>
      </w:r>
      <w:r w:rsidR="005355EA">
        <w:t>’</w:t>
      </w:r>
      <w:r>
        <w:t>s diseases were caused or exacerbated by inadequate medical treatment. Indeed, the Court takes note of the applicant</w:t>
      </w:r>
      <w:r w:rsidR="005355EA">
        <w:t>’</w:t>
      </w:r>
      <w:r>
        <w:t>s statements to the contrary concerning his medical treatment after his suicide attempts (see paragraph </w:t>
      </w:r>
      <w:r>
        <w:fldChar w:fldCharType="begin"/>
      </w:r>
      <w:r>
        <w:instrText xml:space="preserve"> REF  complaint_of_lack_of_medical_care </w:instrText>
      </w:r>
      <w:r>
        <w:fldChar w:fldCharType="separate"/>
      </w:r>
      <w:r w:rsidR="005355EA">
        <w:rPr>
          <w:noProof/>
        </w:rPr>
        <w:t>32</w:t>
      </w:r>
      <w:r>
        <w:fldChar w:fldCharType="end"/>
      </w:r>
      <w:r>
        <w:t xml:space="preserve"> </w:t>
      </w:r>
      <w:r w:rsidRPr="00F608CE">
        <w:rPr>
          <w:i/>
        </w:rPr>
        <w:t>in fine</w:t>
      </w:r>
      <w:r>
        <w:t>). Nor did the applicant suggest that medical assistance had been delayed or that his requests for assistance had been ignored. On the contrary, it appears from the Government</w:t>
      </w:r>
      <w:r w:rsidR="005355EA">
        <w:t>’</w:t>
      </w:r>
      <w:r>
        <w:t>s submissions (see paragraph </w:t>
      </w:r>
      <w:r>
        <w:fldChar w:fldCharType="begin"/>
      </w:r>
      <w:r>
        <w:instrText xml:space="preserve"> REF  applicants_medical_treatment </w:instrText>
      </w:r>
      <w:r>
        <w:fldChar w:fldCharType="separate"/>
      </w:r>
      <w:r w:rsidR="005355EA">
        <w:rPr>
          <w:noProof/>
        </w:rPr>
        <w:t>37</w:t>
      </w:r>
      <w:r>
        <w:fldChar w:fldCharType="end"/>
      </w:r>
      <w:r>
        <w:t xml:space="preserve"> above), which the applicant did not challenge, that, albeit </w:t>
      </w:r>
      <w:r w:rsidR="008127E5">
        <w:t xml:space="preserve">during </w:t>
      </w:r>
      <w:r>
        <w:t xml:space="preserve">other periods, he </w:t>
      </w:r>
      <w:r w:rsidR="00D54A57">
        <w:t xml:space="preserve">did </w:t>
      </w:r>
      <w:r>
        <w:t>receive medical treatment for his ailments with some degree of success.</w:t>
      </w:r>
      <w:r w:rsidRPr="00522B31">
        <w:t xml:space="preserve"> </w:t>
      </w:r>
      <w:r>
        <w:t>The Court is not in a position to speculate on the adequacy of the medical treatment prescribed to the applicant.</w:t>
      </w:r>
    </w:p>
    <w:p w:rsidR="00AC0C6B" w:rsidP="00AC0C6B" w:rsidRDefault="00AC0C6B">
      <w:pPr>
        <w:pStyle w:val="JuPara"/>
      </w:pPr>
      <w:r>
        <w:fldChar w:fldCharType="begin"/>
      </w:r>
      <w:r>
        <w:instrText xml:space="preserve"> SEQ level0 \*arabic </w:instrText>
      </w:r>
      <w:r>
        <w:fldChar w:fldCharType="separate"/>
      </w:r>
      <w:r w:rsidR="005355EA">
        <w:rPr>
          <w:noProof/>
        </w:rPr>
        <w:t>64</w:t>
      </w:r>
      <w:r>
        <w:fldChar w:fldCharType="end"/>
      </w:r>
      <w:r>
        <w:t xml:space="preserve">.  In the absence of </w:t>
      </w:r>
      <w:r w:rsidR="009F2B60">
        <w:t>concrete facts and necessary details in support of these allegations</w:t>
      </w:r>
      <w:r>
        <w:t xml:space="preserve">, the Court finds that the applicant has not </w:t>
      </w:r>
      <w:r w:rsidR="005B2F23">
        <w:t xml:space="preserve">sufficiently </w:t>
      </w:r>
      <w:r>
        <w:t xml:space="preserve">made out his complaints under Article 3 of the Convention as to the </w:t>
      </w:r>
      <w:r w:rsidR="006E0504">
        <w:t>alleged in</w:t>
      </w:r>
      <w:r>
        <w:t>adequacy of medical treatment and assistance in the SIZO (</w:t>
      </w:r>
      <w:r w:rsidRPr="001119E8">
        <w:rPr>
          <w:szCs w:val="24"/>
          <w:lang w:eastAsia="en-GB"/>
        </w:rPr>
        <w:t xml:space="preserve">see, </w:t>
      </w:r>
      <w:r w:rsidRPr="001119E8">
        <w:rPr>
          <w:i/>
          <w:szCs w:val="24"/>
          <w:lang w:eastAsia="en-GB"/>
        </w:rPr>
        <w:t>mutatis mutandis</w:t>
      </w:r>
      <w:r w:rsidRPr="001119E8">
        <w:rPr>
          <w:szCs w:val="24"/>
          <w:lang w:eastAsia="en-GB"/>
        </w:rPr>
        <w:t xml:space="preserve">, </w:t>
      </w:r>
      <w:r w:rsidRPr="00F34221">
        <w:rPr>
          <w:i/>
          <w:lang w:eastAsia="en-US"/>
        </w:rPr>
        <w:t>Dvoynykh v. Ukraine</w:t>
      </w:r>
      <w:r>
        <w:rPr>
          <w:lang w:eastAsia="en-US"/>
        </w:rPr>
        <w:t xml:space="preserve">, cited above, §§ 55-58, and </w:t>
      </w:r>
      <w:r w:rsidRPr="00522B31">
        <w:rPr>
          <w:i/>
          <w:lang w:val="pt-BR" w:eastAsia="en-US"/>
        </w:rPr>
        <w:t>Okhrimenko v.</w:t>
      </w:r>
      <w:r w:rsidR="001F0C2D">
        <w:rPr>
          <w:i/>
          <w:lang w:val="pt-BR" w:eastAsia="en-US"/>
        </w:rPr>
        <w:t> </w:t>
      </w:r>
      <w:r w:rsidRPr="00522B31">
        <w:rPr>
          <w:i/>
          <w:lang w:val="pt-BR" w:eastAsia="en-US"/>
        </w:rPr>
        <w:t>Ukraine</w:t>
      </w:r>
      <w:r>
        <w:rPr>
          <w:lang w:val="pt-BR" w:eastAsia="en-US"/>
        </w:rPr>
        <w:t>, no. </w:t>
      </w:r>
      <w:r w:rsidRPr="00522B31">
        <w:rPr>
          <w:lang w:val="pt-BR" w:eastAsia="en-US"/>
        </w:rPr>
        <w:t>53896/07</w:t>
      </w:r>
      <w:r w:rsidRPr="00522B31">
        <w:rPr>
          <w:snapToGrid w:val="0"/>
          <w:lang w:val="pt-BR" w:eastAsia="en-US"/>
        </w:rPr>
        <w:t xml:space="preserve">, </w:t>
      </w:r>
      <w:r w:rsidRPr="00522B31">
        <w:rPr>
          <w:snapToGrid w:val="0"/>
          <w:lang w:eastAsia="en-US"/>
        </w:rPr>
        <w:t>§</w:t>
      </w:r>
      <w:r>
        <w:rPr>
          <w:snapToGrid w:val="0"/>
          <w:lang w:eastAsia="en-US"/>
        </w:rPr>
        <w:t>§ 70-74</w:t>
      </w:r>
      <w:r w:rsidRPr="00522B31">
        <w:rPr>
          <w:snapToGrid w:val="0"/>
          <w:lang w:eastAsia="en-US"/>
        </w:rPr>
        <w:t>, 15 October 2009</w:t>
      </w:r>
      <w:r>
        <w:rPr>
          <w:snapToGrid w:val="0"/>
          <w:lang w:eastAsia="en-US"/>
        </w:rPr>
        <w:t>)</w:t>
      </w:r>
      <w:r>
        <w:t>.</w:t>
      </w:r>
    </w:p>
    <w:p w:rsidR="00AC0C6B" w:rsidP="00AC0C6B" w:rsidRDefault="00AC0C6B">
      <w:pPr>
        <w:pStyle w:val="JuPara"/>
      </w:pPr>
      <w:r>
        <w:fldChar w:fldCharType="begin"/>
      </w:r>
      <w:r>
        <w:instrText xml:space="preserve"> SEQ level0 \*arabic </w:instrText>
      </w:r>
      <w:r>
        <w:fldChar w:fldCharType="separate"/>
      </w:r>
      <w:r w:rsidR="005355EA">
        <w:rPr>
          <w:noProof/>
        </w:rPr>
        <w:t>65</w:t>
      </w:r>
      <w:r>
        <w:fldChar w:fldCharType="end"/>
      </w:r>
      <w:r>
        <w:t>.  It follows that this part of the application must be declared inadmissible as being manifestly ill-founded, pursuant to Article 35 §§ 3</w:t>
      </w:r>
      <w:r w:rsidR="006E0504">
        <w:t> (a)</w:t>
      </w:r>
      <w:r>
        <w:t xml:space="preserve"> and 4 of the Convention.</w:t>
      </w:r>
    </w:p>
    <w:p w:rsidRPr="00333751" w:rsidR="00AC0C6B" w:rsidP="00AC0C6B" w:rsidRDefault="00AC0C6B">
      <w:pPr>
        <w:pStyle w:val="JuHA"/>
      </w:pPr>
      <w:r w:rsidRPr="00333751">
        <w:t>B.  Merits</w:t>
      </w:r>
    </w:p>
    <w:p w:rsidRPr="00333751" w:rsidR="00AC0C6B" w:rsidP="00AC0C6B" w:rsidRDefault="00AC0C6B">
      <w:pPr>
        <w:pStyle w:val="JuPara"/>
      </w:pPr>
      <w:r>
        <w:fldChar w:fldCharType="begin"/>
      </w:r>
      <w:r>
        <w:instrText xml:space="preserve"> SEQ level0 \*arabic </w:instrText>
      </w:r>
      <w:r>
        <w:fldChar w:fldCharType="separate"/>
      </w:r>
      <w:r w:rsidR="005355EA">
        <w:rPr>
          <w:noProof/>
        </w:rPr>
        <w:t>66</w:t>
      </w:r>
      <w:r>
        <w:fldChar w:fldCharType="end"/>
      </w:r>
      <w:r>
        <w:t>.  </w:t>
      </w:r>
      <w:r w:rsidRPr="00333751">
        <w:t>The applicant</w:t>
      </w:r>
      <w:r>
        <w:t>,</w:t>
      </w:r>
      <w:r w:rsidRPr="00333751">
        <w:t xml:space="preserve"> </w:t>
      </w:r>
      <w:r>
        <w:t>referring to his above</w:t>
      </w:r>
      <w:r w:rsidR="008127E5">
        <w:t>-</w:t>
      </w:r>
      <w:r>
        <w:t>mentioned submissions on the facts, argued that the authorities had failed to comply with their obligations under Article 3 of the Convention.</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67</w:t>
      </w:r>
      <w:r w:rsidRPr="00333751">
        <w:fldChar w:fldCharType="end"/>
      </w:r>
      <w:r>
        <w:t xml:space="preserve">.  The Government, referring to their own submissions on the facts, argued that there </w:t>
      </w:r>
      <w:r w:rsidR="008127E5">
        <w:t xml:space="preserve">had been </w:t>
      </w:r>
      <w:r>
        <w:t>no violation of that provision.</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68</w:t>
      </w:r>
      <w:r w:rsidRPr="00333751">
        <w:fldChar w:fldCharType="end"/>
      </w:r>
      <w:r w:rsidRPr="00333751">
        <w:t xml:space="preserve">.  The Court reiterates that </w:t>
      </w:r>
      <w:r>
        <w:t xml:space="preserve">under Article 3 of the Convention the State must ensure that a person is detained in conditions which are compatible with respect for his human dignity, and that the manner and method of the execution of the measure do not subject him to distress or hardship of an intensity exceeding the unavoidable level of suffering inherent in detention (see </w:t>
      </w:r>
      <w:r>
        <w:rPr>
          <w:rStyle w:val="ju--005fpara--0020char--0020char----char--char"/>
          <w:i/>
          <w:iCs/>
        </w:rPr>
        <w:t xml:space="preserve">Kudła v. Poland </w:t>
      </w:r>
      <w:r>
        <w:t>[GC], no. 30210/96, § 94, ECHR 2000-XI).</w:t>
      </w:r>
    </w:p>
    <w:p w:rsidR="00AC0C6B" w:rsidP="00AC0C6B" w:rsidRDefault="00AC0C6B">
      <w:pPr>
        <w:pStyle w:val="JuPara"/>
      </w:pPr>
      <w:r>
        <w:fldChar w:fldCharType="begin"/>
      </w:r>
      <w:r>
        <w:instrText xml:space="preserve"> SEQ level0 \*arabic </w:instrText>
      </w:r>
      <w:r>
        <w:fldChar w:fldCharType="separate"/>
      </w:r>
      <w:r w:rsidR="005355EA">
        <w:rPr>
          <w:noProof/>
        </w:rPr>
        <w:t>69</w:t>
      </w:r>
      <w:r>
        <w:fldChar w:fldCharType="end"/>
      </w:r>
      <w:r>
        <w:t>.  The Court considers that in the present case the respondent Government alone had access to information capable of disproving the applicant</w:t>
      </w:r>
      <w:r w:rsidR="005355EA">
        <w:t>’</w:t>
      </w:r>
      <w:r>
        <w:t>s allegations. A failure on the Government</w:t>
      </w:r>
      <w:r w:rsidR="005355EA">
        <w:t>’</w:t>
      </w:r>
      <w:r>
        <w:t>s part to submit such information which is in their hands without a satisfactory explanation may give rise to the drawing of inferences as to the well-foundedness of the applicant</w:t>
      </w:r>
      <w:r w:rsidR="005355EA">
        <w:t>’</w:t>
      </w:r>
      <w:r>
        <w:t xml:space="preserve">s allegations (see, </w:t>
      </w:r>
      <w:r>
        <w:rPr>
          <w:rStyle w:val="ju-005fpara--char"/>
          <w:i/>
          <w:iCs/>
        </w:rPr>
        <w:t>mutatis mutandis</w:t>
      </w:r>
      <w:r>
        <w:t xml:space="preserve">, </w:t>
      </w:r>
      <w:r w:rsidR="009321C6">
        <w:rPr>
          <w:rStyle w:val="ju-005fpara--char"/>
          <w:i/>
          <w:iCs/>
        </w:rPr>
        <w:t>Ahmet Özkan</w:t>
      </w:r>
      <w:r>
        <w:rPr>
          <w:rStyle w:val="ju-005fpara--char"/>
          <w:i/>
          <w:iCs/>
        </w:rPr>
        <w:t xml:space="preserve"> and Others v. Turkey</w:t>
      </w:r>
      <w:r>
        <w:t>, no. 21689/93, § 426, 6 April 2004).</w:t>
      </w:r>
    </w:p>
    <w:p w:rsidR="00AC0C6B" w:rsidP="00AC0C6B" w:rsidRDefault="00AC0C6B">
      <w:pPr>
        <w:pStyle w:val="JuPara"/>
        <w:rPr>
          <w:lang w:eastAsia="en-US"/>
        </w:rPr>
      </w:pPr>
      <w:r w:rsidRPr="00333751">
        <w:fldChar w:fldCharType="begin"/>
      </w:r>
      <w:r w:rsidRPr="00333751">
        <w:instrText xml:space="preserve"> SEQ level0 \*arabic </w:instrText>
      </w:r>
      <w:r w:rsidRPr="00333751">
        <w:fldChar w:fldCharType="separate"/>
      </w:r>
      <w:r w:rsidR="005355EA">
        <w:rPr>
          <w:noProof/>
        </w:rPr>
        <w:t>70</w:t>
      </w:r>
      <w:r w:rsidRPr="00333751">
        <w:fldChar w:fldCharType="end"/>
      </w:r>
      <w:r w:rsidRPr="00333751">
        <w:t xml:space="preserve">.  The Court </w:t>
      </w:r>
      <w:r>
        <w:t>observes</w:t>
      </w:r>
      <w:r w:rsidRPr="00333751">
        <w:t xml:space="preserve"> that </w:t>
      </w:r>
      <w:r>
        <w:t xml:space="preserve">the Government did not provide any information as to the number of persons detained together with the applicant in the relevant cells, thus precluding any estimation of the living space per detainee. However, even if the applicant had approximately 2.5 square metres of space, as submitted by the Government </w:t>
      </w:r>
      <w:r w:rsidR="00154A87">
        <w:t>(</w:t>
      </w:r>
      <w:r>
        <w:t>see paragraph </w:t>
      </w:r>
      <w:r>
        <w:fldChar w:fldCharType="begin"/>
      </w:r>
      <w:r>
        <w:instrText xml:space="preserve"> REF  cell_space_Gov </w:instrText>
      </w:r>
      <w:r>
        <w:fldChar w:fldCharType="separate"/>
      </w:r>
      <w:r w:rsidR="005355EA">
        <w:rPr>
          <w:noProof/>
        </w:rPr>
        <w:t>36</w:t>
      </w:r>
      <w:r>
        <w:fldChar w:fldCharType="end"/>
      </w:r>
      <w:r>
        <w:t xml:space="preserve"> above</w:t>
      </w:r>
      <w:r w:rsidR="00154A87">
        <w:t>)</w:t>
      </w:r>
      <w:r>
        <w:t xml:space="preserve">, that was clearly insufficient in view of the relevant standards developed by the European Committee for the Prevention of Torture and Inhuman or Degrading Treatment or Punishment (which are quoted, for example, in </w:t>
      </w:r>
      <w:r w:rsidRPr="0066535F">
        <w:rPr>
          <w:i/>
          <w:lang w:eastAsia="en-US"/>
        </w:rPr>
        <w:t>Kalashnikov v. Russia</w:t>
      </w:r>
      <w:r w:rsidRPr="0066535F">
        <w:rPr>
          <w:lang w:eastAsia="en-US"/>
        </w:rPr>
        <w:t xml:space="preserve">, no. 47095/99, </w:t>
      </w:r>
      <w:r>
        <w:t>§ 97</w:t>
      </w:r>
      <w:r>
        <w:rPr>
          <w:lang w:eastAsia="en-US"/>
        </w:rPr>
        <w:t>, ECHR 2002</w:t>
      </w:r>
      <w:r>
        <w:rPr>
          <w:lang w:eastAsia="en-US"/>
        </w:rPr>
        <w:noBreakHyphen/>
        <w:t xml:space="preserve">VI, </w:t>
      </w:r>
      <w:r>
        <w:t xml:space="preserve">and </w:t>
      </w:r>
      <w:r w:rsidRPr="00095BAF">
        <w:rPr>
          <w:i/>
          <w:szCs w:val="24"/>
          <w:lang w:eastAsia="en-US"/>
        </w:rPr>
        <w:t>Melnik</w:t>
      </w:r>
      <w:r>
        <w:t>, cited above, § 47).</w:t>
      </w:r>
    </w:p>
    <w:p w:rsidRPr="00333751" w:rsidR="00AC0C6B" w:rsidP="00AC0C6B" w:rsidRDefault="00AC0C6B">
      <w:pPr>
        <w:pStyle w:val="JuPara"/>
      </w:pPr>
      <w:r>
        <w:fldChar w:fldCharType="begin"/>
      </w:r>
      <w:r>
        <w:instrText xml:space="preserve"> SEQ level0 \*arabic </w:instrText>
      </w:r>
      <w:r>
        <w:fldChar w:fldCharType="separate"/>
      </w:r>
      <w:r w:rsidR="005355EA">
        <w:rPr>
          <w:noProof/>
        </w:rPr>
        <w:t>71</w:t>
      </w:r>
      <w:r>
        <w:fldChar w:fldCharType="end"/>
      </w:r>
      <w:r>
        <w:t>.  Neither did the Government prove in any manner that the lighting regime was adequate. Certain inferences in this respect, however, can be drawn from the domestic court</w:t>
      </w:r>
      <w:r w:rsidR="005355EA">
        <w:t>’</w:t>
      </w:r>
      <w:r>
        <w:t>s assessment of such conditions (see paragraph </w:t>
      </w:r>
      <w:r>
        <w:fldChar w:fldCharType="begin"/>
      </w:r>
      <w:r>
        <w:instrText xml:space="preserve"> REF  delay </w:instrText>
      </w:r>
      <w:r>
        <w:fldChar w:fldCharType="separate"/>
      </w:r>
      <w:r w:rsidR="005355EA">
        <w:rPr>
          <w:noProof/>
        </w:rPr>
        <w:t>17</w:t>
      </w:r>
      <w:r>
        <w:fldChar w:fldCharType="end"/>
      </w:r>
      <w:r>
        <w:t xml:space="preserve"> </w:t>
      </w:r>
      <w:r w:rsidR="00154A87">
        <w:t xml:space="preserve">above </w:t>
      </w:r>
      <w:r w:rsidRPr="00526E3F">
        <w:rPr>
          <w:i/>
        </w:rPr>
        <w:t>in fine</w:t>
      </w:r>
      <w:r>
        <w:t>).</w:t>
      </w:r>
    </w:p>
    <w:p w:rsidRPr="00D368FC" w:rsidR="00AC0C6B" w:rsidP="00AC0C6B" w:rsidRDefault="00AC0C6B">
      <w:pPr>
        <w:pStyle w:val="JuPara"/>
        <w:rPr>
          <w:i/>
          <w:lang w:eastAsia="en-US"/>
        </w:rPr>
      </w:pPr>
      <w:r w:rsidRPr="00333751">
        <w:fldChar w:fldCharType="begin"/>
      </w:r>
      <w:r w:rsidRPr="00333751">
        <w:instrText xml:space="preserve"> SEQ level0 \*arabic </w:instrText>
      </w:r>
      <w:r w:rsidRPr="00333751">
        <w:fldChar w:fldCharType="separate"/>
      </w:r>
      <w:r w:rsidR="005355EA">
        <w:rPr>
          <w:noProof/>
        </w:rPr>
        <w:t>72</w:t>
      </w:r>
      <w:r w:rsidRPr="00333751">
        <w:fldChar w:fldCharType="end"/>
      </w:r>
      <w:r w:rsidRPr="00333751">
        <w:t xml:space="preserve">.  The foregoing considerations are sufficient to enable the Court to conclude that </w:t>
      </w:r>
      <w:r>
        <w:t>the conditions of the applicant</w:t>
      </w:r>
      <w:r w:rsidR="005355EA">
        <w:t>’</w:t>
      </w:r>
      <w:r>
        <w:t xml:space="preserve">s detention during the period under review </w:t>
      </w:r>
      <w:r w:rsidR="005B2F23">
        <w:t>amounted to degrading treatment contrary to</w:t>
      </w:r>
      <w:r>
        <w:t xml:space="preserve"> the requirements of </w:t>
      </w:r>
      <w:r w:rsidRPr="00333751">
        <w:t xml:space="preserve">Article </w:t>
      </w:r>
      <w:r>
        <w:t>3</w:t>
      </w:r>
      <w:r w:rsidRPr="00333751">
        <w:t xml:space="preserve"> of the Convention</w:t>
      </w:r>
      <w:r>
        <w:t xml:space="preserve"> (see, </w:t>
      </w:r>
      <w:r>
        <w:rPr>
          <w:rStyle w:val="ju-005fpara--char"/>
          <w:i/>
          <w:iCs/>
        </w:rPr>
        <w:t>mutatis mutandis</w:t>
      </w:r>
      <w:r>
        <w:t xml:space="preserve">, </w:t>
      </w:r>
      <w:r w:rsidRPr="00D368FC">
        <w:rPr>
          <w:i/>
          <w:lang w:val="pt-BR" w:eastAsia="en-US"/>
        </w:rPr>
        <w:t>Koktysh v. Ukraine</w:t>
      </w:r>
      <w:r>
        <w:rPr>
          <w:lang w:val="pt-BR" w:eastAsia="en-US"/>
        </w:rPr>
        <w:t>, no. </w:t>
      </w:r>
      <w:r w:rsidRPr="00D368FC">
        <w:rPr>
          <w:lang w:val="pt-BR" w:eastAsia="en-US"/>
        </w:rPr>
        <w:t>43707/07</w:t>
      </w:r>
      <w:r w:rsidRPr="00D368FC">
        <w:rPr>
          <w:snapToGrid w:val="0"/>
          <w:lang w:val="pt-BR" w:eastAsia="en-US"/>
        </w:rPr>
        <w:t xml:space="preserve">, </w:t>
      </w:r>
      <w:r w:rsidRPr="00D368FC">
        <w:rPr>
          <w:snapToGrid w:val="0"/>
          <w:lang w:eastAsia="en-US"/>
        </w:rPr>
        <w:t>§</w:t>
      </w:r>
      <w:r>
        <w:rPr>
          <w:snapToGrid w:val="0"/>
          <w:lang w:eastAsia="en-US"/>
        </w:rPr>
        <w:t>§ 98-100, 10 </w:t>
      </w:r>
      <w:r w:rsidRPr="00D368FC">
        <w:rPr>
          <w:snapToGrid w:val="0"/>
          <w:lang w:eastAsia="en-US"/>
        </w:rPr>
        <w:t>December 2009</w:t>
      </w:r>
      <w:r>
        <w:t>).</w:t>
      </w:r>
    </w:p>
    <w:p w:rsidRPr="00333751" w:rsidR="00AC0C6B" w:rsidP="00AC0C6B" w:rsidRDefault="00AC0C6B">
      <w:pPr>
        <w:pStyle w:val="JuPara"/>
      </w:pPr>
      <w:r w:rsidRPr="00333751">
        <w:t xml:space="preserve">There has accordingly been a violation of Article </w:t>
      </w:r>
      <w:r>
        <w:t>3</w:t>
      </w:r>
      <w:r w:rsidRPr="00333751">
        <w:t xml:space="preserve"> of the Convention.</w:t>
      </w:r>
    </w:p>
    <w:p w:rsidRPr="00333751" w:rsidR="00AC0C6B" w:rsidP="00AC0C6B" w:rsidRDefault="00AC0C6B">
      <w:pPr>
        <w:pStyle w:val="JuHIRoman"/>
      </w:pPr>
      <w:r>
        <w:t>II</w:t>
      </w:r>
      <w:r w:rsidRPr="00333751">
        <w:t xml:space="preserve">.  ALLEGED VIOLATION OF ARTICLE </w:t>
      </w:r>
      <w:r>
        <w:t>5 § 3</w:t>
      </w:r>
      <w:r w:rsidRPr="00333751">
        <w:t xml:space="preserve"> OF THE CONVENTION</w:t>
      </w:r>
    </w:p>
    <w:p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73</w:t>
      </w:r>
      <w:r w:rsidRPr="00333751">
        <w:fldChar w:fldCharType="end"/>
      </w:r>
      <w:r w:rsidRPr="00333751">
        <w:t xml:space="preserve">.  The applicant complained </w:t>
      </w:r>
      <w:r>
        <w:t>that the length of his detention on remand had been excessive.</w:t>
      </w:r>
      <w:r w:rsidRPr="00333751">
        <w:t xml:space="preserve"> He relied on Article </w:t>
      </w:r>
      <w:r>
        <w:t xml:space="preserve">5 § 3 of the Convention, </w:t>
      </w:r>
      <w:r w:rsidRPr="00333751">
        <w:t>which reads as follows:</w:t>
      </w:r>
    </w:p>
    <w:p w:rsidRPr="00333751" w:rsidR="00AC0C6B" w:rsidP="00AC0C6B" w:rsidRDefault="00AC0C6B">
      <w:pPr>
        <w:pStyle w:val="JuQuot"/>
      </w:pPr>
      <w:r>
        <w:t>“Everyone arrested or detained in accordance with the provisions of paragraph 1 (c) of this Article shall be ... entitled to trial within a reasonable time or to release pending trial. Release may be conditioned by guarantees to appear for trial.”</w:t>
      </w:r>
    </w:p>
    <w:p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74</w:t>
      </w:r>
      <w:r w:rsidRPr="00333751">
        <w:fldChar w:fldCharType="end"/>
      </w:r>
      <w:r w:rsidRPr="00333751">
        <w:t>.  The Gove</w:t>
      </w:r>
      <w:r>
        <w:t xml:space="preserve">rnment contended that the complaint had been introduced outside the six-month period set out in </w:t>
      </w:r>
      <w:r w:rsidRPr="00333751">
        <w:t xml:space="preserve">Article </w:t>
      </w:r>
      <w:r>
        <w:t>35 § 1</w:t>
      </w:r>
      <w:r w:rsidRPr="00333751">
        <w:t xml:space="preserve"> of the Convention</w:t>
      </w:r>
      <w:r>
        <w:t xml:space="preserve">. In particular, referring to </w:t>
      </w:r>
      <w:r w:rsidRPr="00AF15D3">
        <w:rPr>
          <w:i/>
          <w:lang w:eastAsia="en-US"/>
        </w:rPr>
        <w:t>B. v. Austria</w:t>
      </w:r>
      <w:r>
        <w:rPr>
          <w:lang w:eastAsia="en-US"/>
        </w:rPr>
        <w:t xml:space="preserve"> (28 March 1990, </w:t>
      </w:r>
      <w:r w:rsidRPr="00AF15D3">
        <w:rPr>
          <w:lang w:eastAsia="en-US"/>
        </w:rPr>
        <w:t>Ser</w:t>
      </w:r>
      <w:r>
        <w:rPr>
          <w:lang w:eastAsia="en-US"/>
        </w:rPr>
        <w:t>ies A no. </w:t>
      </w:r>
      <w:r w:rsidRPr="00AF15D3">
        <w:rPr>
          <w:lang w:eastAsia="en-US"/>
        </w:rPr>
        <w:t>175</w:t>
      </w:r>
      <w:r>
        <w:t xml:space="preserve">), they submitted that, for the purposes of </w:t>
      </w:r>
      <w:r w:rsidRPr="00333751">
        <w:t xml:space="preserve">Article </w:t>
      </w:r>
      <w:r>
        <w:t>5 § 3 of the Convention, the applicant</w:t>
      </w:r>
      <w:r w:rsidR="005355EA">
        <w:t>’</w:t>
      </w:r>
      <w:r>
        <w:t xml:space="preserve">s detention on remand had </w:t>
      </w:r>
      <w:r w:rsidR="00154A87">
        <w:t xml:space="preserve">ended </w:t>
      </w:r>
      <w:r>
        <w:t xml:space="preserve">on 3 March 2003, the date when the District Court convicted the applicant; from that date on, the applicant had been detained “after conviction by a competent court”, within the meaning of Article 5 § 1 (a). </w:t>
      </w:r>
      <w:r w:rsidRPr="00333751">
        <w:t>The Gove</w:t>
      </w:r>
      <w:r>
        <w:t>rnment consequently invited the Court to declare this complaint inadmissible.</w:t>
      </w:r>
    </w:p>
    <w:p w:rsidR="004206B1" w:rsidP="00AC0C6B" w:rsidRDefault="00807DDB">
      <w:pPr>
        <w:pStyle w:val="JuPara"/>
      </w:pPr>
      <w:r>
        <w:fldChar w:fldCharType="begin"/>
      </w:r>
      <w:r>
        <w:instrText xml:space="preserve"> SEQ level0 \*arabic </w:instrText>
      </w:r>
      <w:r>
        <w:fldChar w:fldCharType="separate"/>
      </w:r>
      <w:r w:rsidR="005355EA">
        <w:rPr>
          <w:noProof/>
        </w:rPr>
        <w:t>75</w:t>
      </w:r>
      <w:r>
        <w:fldChar w:fldCharType="end"/>
      </w:r>
      <w:r>
        <w:t>.  </w:t>
      </w:r>
      <w:r w:rsidR="006C48A0">
        <w:t>The applicant</w:t>
      </w:r>
      <w:r>
        <w:t xml:space="preserve"> considered that his detention in the SIZO had been too long.</w:t>
      </w:r>
    </w:p>
    <w:p w:rsidR="004D1092" w:rsidP="004D1092" w:rsidRDefault="004D1092">
      <w:pPr>
        <w:pStyle w:val="JuPara"/>
        <w:rPr>
          <w:lang w:eastAsia="en-US"/>
        </w:rPr>
      </w:pPr>
      <w:r>
        <w:rPr>
          <w:szCs w:val="24"/>
        </w:rPr>
        <w:fldChar w:fldCharType="begin"/>
      </w:r>
      <w:r>
        <w:rPr>
          <w:szCs w:val="24"/>
        </w:rPr>
        <w:instrText xml:space="preserve"> SEQ level0 \*arabic </w:instrText>
      </w:r>
      <w:r>
        <w:rPr>
          <w:szCs w:val="24"/>
        </w:rPr>
        <w:fldChar w:fldCharType="separate"/>
      </w:r>
      <w:r w:rsidR="005355EA">
        <w:rPr>
          <w:noProof/>
          <w:szCs w:val="24"/>
        </w:rPr>
        <w:t>76</w:t>
      </w:r>
      <w:r>
        <w:rPr>
          <w:szCs w:val="24"/>
        </w:rPr>
        <w:fldChar w:fldCharType="end"/>
      </w:r>
      <w:r>
        <w:rPr>
          <w:szCs w:val="24"/>
        </w:rPr>
        <w:t>.  </w:t>
      </w:r>
      <w:r w:rsidRPr="00D950DB">
        <w:rPr>
          <w:szCs w:val="24"/>
        </w:rPr>
        <w:t xml:space="preserve">The Court reiterates that Article 5 of the Convention is in the first rank of the fundamental rights that protect the physical security of an individual, and that </w:t>
      </w:r>
      <w:r w:rsidRPr="00D950DB">
        <w:t>three strands in particular may be identified as running through the Court</w:t>
      </w:r>
      <w:r w:rsidR="005355EA">
        <w:t>’</w:t>
      </w:r>
      <w:r w:rsidRPr="00D950DB">
        <w:t xml:space="preserve">s case-law: the exhaustive nature of the exceptions, which must be interpreted strictly and which do not allow for the broad range of justifications under other provisions (Articles 8-11 of the Convention in particular); the repeated emphasis on the lawfulness of the detention, procedurally and substantively, requiring scrupulous adherence to the rule of law; and the importance of the promptness or speediness of the requisite judicial controls under Article 5 §§ 3 and 4 </w:t>
      </w:r>
      <w:r w:rsidRPr="00D950DB">
        <w:rPr>
          <w:szCs w:val="24"/>
        </w:rPr>
        <w:t xml:space="preserve">(see </w:t>
      </w:r>
      <w:r w:rsidRPr="006F6CC1">
        <w:rPr>
          <w:i/>
          <w:lang w:eastAsia="en-US"/>
        </w:rPr>
        <w:t xml:space="preserve">McKay v. the </w:t>
      </w:r>
      <w:smartTag w:uri="urn:schemas-microsoft-com:office:smarttags" w:element="country-region">
        <w:smartTag w:uri="urn:schemas-microsoft-com:office:smarttags" w:element="place">
          <w:r w:rsidRPr="006F6CC1">
            <w:rPr>
              <w:i/>
              <w:lang w:eastAsia="en-US"/>
            </w:rPr>
            <w:t>United Kingdom</w:t>
          </w:r>
        </w:smartTag>
      </w:smartTag>
      <w:r w:rsidRPr="006F6CC1">
        <w:rPr>
          <w:i/>
          <w:lang w:eastAsia="en-US"/>
        </w:rPr>
        <w:t xml:space="preserve"> </w:t>
      </w:r>
      <w:r w:rsidRPr="006F6CC1">
        <w:rPr>
          <w:lang w:eastAsia="en-US"/>
        </w:rPr>
        <w:t>[GC], no. 543/03, §</w:t>
      </w:r>
      <w:r w:rsidRPr="00D950DB">
        <w:rPr>
          <w:szCs w:val="24"/>
        </w:rPr>
        <w:t xml:space="preserve"> 30</w:t>
      </w:r>
      <w:r w:rsidRPr="006F6CC1">
        <w:rPr>
          <w:lang w:eastAsia="en-US"/>
        </w:rPr>
        <w:t>, ECHR 2006</w:t>
      </w:r>
      <w:r w:rsidRPr="006F6CC1">
        <w:rPr>
          <w:lang w:eastAsia="en-US"/>
        </w:rPr>
        <w:noBreakHyphen/>
        <w:t>X</w:t>
      </w:r>
      <w:r w:rsidRPr="00D950DB">
        <w:rPr>
          <w:szCs w:val="24"/>
        </w:rPr>
        <w:t>).</w:t>
      </w:r>
      <w:r>
        <w:rPr>
          <w:szCs w:val="24"/>
        </w:rPr>
        <w:t xml:space="preserve"> On this latter point, it should be recalled that </w:t>
      </w:r>
      <w:r>
        <w:t>Article 5 § 3 applies solely in the situation envisaged in Article 5 § 1 (c), with which it forms a whole</w:t>
      </w:r>
      <w:r>
        <w:rPr>
          <w:lang w:eastAsia="en-US"/>
        </w:rPr>
        <w:t xml:space="preserve">. It ceases to apply on the day when the charge is determined, even if only by a court of first instance, as from that day on the person is detained “after conviction by a competent court” within the meaning of Article 5 § 1 </w:t>
      </w:r>
      <w:r w:rsidRPr="00901740">
        <w:rPr>
          <w:lang w:eastAsia="en-US"/>
        </w:rPr>
        <w:t>(a)</w:t>
      </w:r>
      <w:r w:rsidRPr="00901740">
        <w:t xml:space="preserve"> (see, among many other authorities, </w:t>
      </w:r>
      <w:r w:rsidRPr="00901740">
        <w:rPr>
          <w:i/>
          <w:lang w:eastAsia="en-US"/>
        </w:rPr>
        <w:t>Labita v. Italy</w:t>
      </w:r>
      <w:r w:rsidRPr="00901740">
        <w:rPr>
          <w:lang w:eastAsia="en-US"/>
        </w:rPr>
        <w:t xml:space="preserve"> [GC], no. 26772/95, §§ 145 and 147, ECHR 2000</w:t>
      </w:r>
      <w:r w:rsidRPr="00901740">
        <w:rPr>
          <w:lang w:eastAsia="en-US"/>
        </w:rPr>
        <w:noBreakHyphen/>
        <w:t>IV</w:t>
      </w:r>
      <w:r w:rsidRPr="00901740">
        <w:t>).</w:t>
      </w:r>
      <w:r>
        <w:rPr>
          <w:lang w:eastAsia="en-US"/>
        </w:rPr>
        <w:t xml:space="preserve"> Furthermore, a person who has cause to complain of continuation of his detention after conviction because of delay in determining his appeal, cannot avail himself of Article 5 § 3 but could possibly allege a disregard of the “reasonable time” provided for by Article 6 § 1 </w:t>
      </w:r>
      <w:r>
        <w:t xml:space="preserve">(see </w:t>
      </w:r>
      <w:bookmarkStart w:name="File1" w:id="22"/>
      <w:r w:rsidRPr="00531620">
        <w:rPr>
          <w:i/>
          <w:szCs w:val="24"/>
          <w:lang w:eastAsia="en-US"/>
        </w:rPr>
        <w:t>Solmaz</w:t>
      </w:r>
      <w:bookmarkEnd w:id="22"/>
      <w:r w:rsidRPr="00531620">
        <w:rPr>
          <w:i/>
          <w:szCs w:val="24"/>
          <w:lang w:eastAsia="en-US"/>
        </w:rPr>
        <w:t xml:space="preserve"> v. </w:t>
      </w:r>
      <w:smartTag w:uri="urn:schemas-microsoft-com:office:smarttags" w:element="place">
        <w:smartTag w:uri="urn:schemas-microsoft-com:office:smarttags" w:element="country-region">
          <w:r w:rsidRPr="00531620">
            <w:rPr>
              <w:i/>
              <w:szCs w:val="24"/>
              <w:lang w:eastAsia="en-US"/>
            </w:rPr>
            <w:t>Turkey</w:t>
          </w:r>
        </w:smartTag>
      </w:smartTag>
      <w:r w:rsidRPr="00531620">
        <w:rPr>
          <w:szCs w:val="24"/>
          <w:lang w:eastAsia="en-US"/>
        </w:rPr>
        <w:t xml:space="preserve">, no. 27561/02, </w:t>
      </w:r>
      <w:r>
        <w:rPr>
          <w:szCs w:val="24"/>
          <w:lang w:eastAsia="en-US"/>
        </w:rPr>
        <w:t>§§ 24 to 26</w:t>
      </w:r>
      <w:r w:rsidRPr="00531620">
        <w:rPr>
          <w:szCs w:val="24"/>
          <w:lang w:eastAsia="en-US"/>
        </w:rPr>
        <w:t>, 16 January 2007</w:t>
      </w:r>
      <w:r>
        <w:rPr>
          <w:szCs w:val="24"/>
          <w:lang w:eastAsia="en-US"/>
        </w:rPr>
        <w:t xml:space="preserve">, </w:t>
      </w:r>
      <w:r>
        <w:rPr>
          <w:lang w:eastAsia="en-US"/>
        </w:rPr>
        <w:t>with further references).</w:t>
      </w:r>
    </w:p>
    <w:p w:rsidR="004D1092" w:rsidP="004D1092" w:rsidRDefault="004D1092">
      <w:pPr>
        <w:pStyle w:val="JuPara"/>
        <w:rPr>
          <w:lang w:eastAsia="en-US"/>
        </w:rPr>
      </w:pPr>
      <w:r>
        <w:fldChar w:fldCharType="begin"/>
      </w:r>
      <w:r>
        <w:instrText xml:space="preserve"> SEQ level0 \*arabic </w:instrText>
      </w:r>
      <w:r>
        <w:fldChar w:fldCharType="separate"/>
      </w:r>
      <w:r w:rsidR="005355EA">
        <w:rPr>
          <w:noProof/>
        </w:rPr>
        <w:t>77</w:t>
      </w:r>
      <w:r>
        <w:fldChar w:fldCharType="end"/>
      </w:r>
      <w:r>
        <w:t xml:space="preserve">.  The Court further reiterates that the applicability of one ground listed in Article 5 § 1 of the Convention does not necessarily preclude the applicability of another and detention may be justified under more than one sub-paragraph of that provision (see, among many others, </w:t>
      </w:r>
      <w:r w:rsidRPr="0099279E">
        <w:rPr>
          <w:i/>
          <w:lang w:eastAsia="en-US"/>
        </w:rPr>
        <w:t xml:space="preserve">Brand v. the </w:t>
      </w:r>
      <w:smartTag w:uri="urn:schemas-microsoft-com:office:smarttags" w:element="country-region">
        <w:smartTag w:uri="urn:schemas-microsoft-com:office:smarttags" w:element="place">
          <w:r w:rsidRPr="0099279E">
            <w:rPr>
              <w:i/>
              <w:lang w:eastAsia="en-US"/>
            </w:rPr>
            <w:t>Netherlands</w:t>
          </w:r>
        </w:smartTag>
      </w:smartTag>
      <w:r w:rsidRPr="0099279E">
        <w:rPr>
          <w:lang w:eastAsia="en-US"/>
        </w:rPr>
        <w:t>, no. 49902/99, § </w:t>
      </w:r>
      <w:r>
        <w:rPr>
          <w:lang w:eastAsia="en-US"/>
        </w:rPr>
        <w:t>58</w:t>
      </w:r>
      <w:r w:rsidRPr="0099279E">
        <w:rPr>
          <w:lang w:eastAsia="en-US"/>
        </w:rPr>
        <w:t>, 11 May 2004</w:t>
      </w:r>
      <w:r>
        <w:rPr>
          <w:lang w:eastAsia="en-US"/>
        </w:rPr>
        <w:t xml:space="preserve">, and </w:t>
      </w:r>
      <w:r w:rsidRPr="0099279E">
        <w:rPr>
          <w:i/>
          <w:lang w:eastAsia="en-US"/>
        </w:rPr>
        <w:t>Johnson v. the United Kingdom</w:t>
      </w:r>
      <w:r>
        <w:rPr>
          <w:lang w:eastAsia="en-US"/>
        </w:rPr>
        <w:t>, 24 </w:t>
      </w:r>
      <w:r w:rsidRPr="0099279E">
        <w:rPr>
          <w:lang w:eastAsia="en-US"/>
        </w:rPr>
        <w:t>October 1997, § </w:t>
      </w:r>
      <w:r>
        <w:rPr>
          <w:lang w:eastAsia="en-US"/>
        </w:rPr>
        <w:t>58</w:t>
      </w:r>
      <w:r w:rsidRPr="0099279E">
        <w:rPr>
          <w:lang w:eastAsia="en-US"/>
        </w:rPr>
        <w:t xml:space="preserve">, </w:t>
      </w:r>
      <w:r w:rsidRPr="0099279E">
        <w:rPr>
          <w:i/>
          <w:lang w:eastAsia="en-US"/>
        </w:rPr>
        <w:t>Reports</w:t>
      </w:r>
      <w:r>
        <w:rPr>
          <w:i/>
          <w:lang w:eastAsia="en-US"/>
        </w:rPr>
        <w:t xml:space="preserve"> of Judgments and Decisions</w:t>
      </w:r>
      <w:r w:rsidRPr="0099279E">
        <w:rPr>
          <w:i/>
          <w:lang w:eastAsia="en-US"/>
        </w:rPr>
        <w:t xml:space="preserve"> </w:t>
      </w:r>
      <w:r w:rsidRPr="0099279E">
        <w:rPr>
          <w:lang w:eastAsia="en-US"/>
        </w:rPr>
        <w:t>1997</w:t>
      </w:r>
      <w:r w:rsidRPr="0099279E">
        <w:rPr>
          <w:lang w:eastAsia="en-US"/>
        </w:rPr>
        <w:noBreakHyphen/>
        <w:t>VII</w:t>
      </w:r>
      <w:r>
        <w:rPr>
          <w:lang w:eastAsia="en-US"/>
        </w:rPr>
        <w:t>). Therefore, the Court is called upon to decide whether in such circumstances Article 5 § 3 is applicable to the period in question too.</w:t>
      </w:r>
    </w:p>
    <w:p w:rsidR="004D1092" w:rsidP="004D1092" w:rsidRDefault="004D1092">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5355EA">
        <w:rPr>
          <w:noProof/>
          <w:lang w:eastAsia="en-US"/>
        </w:rPr>
        <w:t>78</w:t>
      </w:r>
      <w:r>
        <w:rPr>
          <w:lang w:eastAsia="en-US"/>
        </w:rPr>
        <w:fldChar w:fldCharType="end"/>
      </w:r>
      <w:r>
        <w:rPr>
          <w:lang w:eastAsia="en-US"/>
        </w:rPr>
        <w:t>.  </w:t>
      </w:r>
      <w:r w:rsidRPr="00BE2B83">
        <w:t xml:space="preserve"> Article 5 § 3</w:t>
      </w:r>
      <w:r>
        <w:t xml:space="preserve"> </w:t>
      </w:r>
      <w:r w:rsidRPr="00BE2B83">
        <w:t xml:space="preserve">is structurally concerned with two separate matters: the early stages following an arrest, when an individual is taken into the power of the authorities, and the period pending any trial before a criminal court, during which the suspect may be detained or released with or without conditions. These two limbs confer distinct rights and are not on their face logically or temporally linked (see </w:t>
      </w:r>
      <w:r w:rsidRPr="00B148EF">
        <w:rPr>
          <w:i/>
          <w:lang w:eastAsia="en-US"/>
        </w:rPr>
        <w:t xml:space="preserve">McKay v. the United Kingdom </w:t>
      </w:r>
      <w:r w:rsidRPr="00B148EF">
        <w:rPr>
          <w:lang w:eastAsia="en-US"/>
        </w:rPr>
        <w:t xml:space="preserve">[GC], </w:t>
      </w:r>
      <w:r w:rsidR="00343F8D">
        <w:rPr>
          <w:lang w:eastAsia="en-US"/>
        </w:rPr>
        <w:t>cited above</w:t>
      </w:r>
      <w:r w:rsidRPr="00B148EF">
        <w:rPr>
          <w:lang w:eastAsia="en-US"/>
        </w:rPr>
        <w:t xml:space="preserve">, § </w:t>
      </w:r>
      <w:r>
        <w:rPr>
          <w:lang w:eastAsia="en-US"/>
        </w:rPr>
        <w:t>31</w:t>
      </w:r>
      <w:r w:rsidRPr="00BE2B83">
        <w:t>)</w:t>
      </w:r>
      <w:r>
        <w:t>.</w:t>
      </w:r>
    </w:p>
    <w:p w:rsidR="004D1092" w:rsidP="004D1092" w:rsidRDefault="004D1092">
      <w:pPr>
        <w:pStyle w:val="JuPara"/>
        <w:rPr>
          <w:lang w:eastAsia="en-US"/>
        </w:rPr>
      </w:pPr>
      <w:r>
        <w:fldChar w:fldCharType="begin"/>
      </w:r>
      <w:r>
        <w:instrText xml:space="preserve"> SEQ level0 \*arabic </w:instrText>
      </w:r>
      <w:r>
        <w:fldChar w:fldCharType="separate"/>
      </w:r>
      <w:r w:rsidR="005355EA">
        <w:rPr>
          <w:noProof/>
        </w:rPr>
        <w:t>79</w:t>
      </w:r>
      <w:r>
        <w:fldChar w:fldCharType="end"/>
      </w:r>
      <w:r>
        <w:t xml:space="preserve">.  Since the case of </w:t>
      </w:r>
      <w:r w:rsidRPr="008D45D5">
        <w:rPr>
          <w:i/>
        </w:rPr>
        <w:t>Wemhoff v. Germany</w:t>
      </w:r>
      <w:r>
        <w:t>,</w:t>
      </w:r>
      <w:r w:rsidRPr="00B767CE">
        <w:t xml:space="preserve"> </w:t>
      </w:r>
      <w:r>
        <w:t xml:space="preserve">the Court, in deciding the moment from which Article 5 § 3 ceased to apply, has considered the legal basis for detention “autonomously”. It noted, among other things, that guarantees of Article 5 § 3 could not depend on the specificities of the domestic legal system and that the person complaining of the continuation of his detention after conviction cannot avail himself of Article 5 § 3. In the above </w:t>
      </w:r>
      <w:r w:rsidR="00343F8D">
        <w:t>judgment</w:t>
      </w:r>
      <w:r>
        <w:t xml:space="preserve">, Court further noted that it could not be overlooked that the guilt of a person who was detained during appeal or review proceedings had been established in the course of a trial conducted in accordance with the requirements of Article 6 (see </w:t>
      </w:r>
      <w:r w:rsidRPr="00B767CE">
        <w:rPr>
          <w:i/>
          <w:lang w:eastAsia="en-US"/>
        </w:rPr>
        <w:t xml:space="preserve">Wemhoff v. </w:t>
      </w:r>
      <w:smartTag w:uri="urn:schemas-microsoft-com:office:smarttags" w:element="country-region">
        <w:smartTag w:uri="urn:schemas-microsoft-com:office:smarttags" w:element="place">
          <w:r w:rsidRPr="00B767CE">
            <w:rPr>
              <w:i/>
              <w:lang w:eastAsia="en-US"/>
            </w:rPr>
            <w:t>Germany</w:t>
          </w:r>
        </w:smartTag>
      </w:smartTag>
      <w:r w:rsidRPr="00B767CE">
        <w:rPr>
          <w:lang w:eastAsia="en-US"/>
        </w:rPr>
        <w:t xml:space="preserve">, 27 June 1968, p. </w:t>
      </w:r>
      <w:r>
        <w:rPr>
          <w:lang w:eastAsia="en-US"/>
        </w:rPr>
        <w:t>23</w:t>
      </w:r>
      <w:r w:rsidRPr="00B767CE">
        <w:rPr>
          <w:lang w:eastAsia="en-US"/>
        </w:rPr>
        <w:t>, §</w:t>
      </w:r>
      <w:r w:rsidR="001F0C2D">
        <w:rPr>
          <w:lang w:eastAsia="en-US"/>
        </w:rPr>
        <w:t> </w:t>
      </w:r>
      <w:r>
        <w:rPr>
          <w:lang w:eastAsia="en-US"/>
        </w:rPr>
        <w:t>9</w:t>
      </w:r>
      <w:r w:rsidRPr="00B767CE">
        <w:rPr>
          <w:lang w:eastAsia="en-US"/>
        </w:rPr>
        <w:t xml:space="preserve">, Series A no. </w:t>
      </w:r>
      <w:r>
        <w:rPr>
          <w:lang w:eastAsia="en-US"/>
        </w:rPr>
        <w:t>7).</w:t>
      </w:r>
    </w:p>
    <w:p w:rsidR="00B27FB8" w:rsidP="00B27FB8" w:rsidRDefault="00B27FB8">
      <w:pPr>
        <w:pStyle w:val="JuPara"/>
        <w:rPr>
          <w:lang w:eastAsia="en-US"/>
        </w:rPr>
      </w:pPr>
      <w:r>
        <w:fldChar w:fldCharType="begin"/>
      </w:r>
      <w:r>
        <w:instrText xml:space="preserve"> SEQ level0 \*arabic </w:instrText>
      </w:r>
      <w:r>
        <w:fldChar w:fldCharType="separate"/>
      </w:r>
      <w:r w:rsidR="005355EA">
        <w:rPr>
          <w:noProof/>
        </w:rPr>
        <w:t>80</w:t>
      </w:r>
      <w:r>
        <w:fldChar w:fldCharType="end"/>
      </w:r>
      <w:r>
        <w:t>.  Turning to the circumstances of the present case, the Court notes that from 31 July 2003, when the applicant</w:t>
      </w:r>
      <w:r w:rsidR="005355EA">
        <w:t>’</w:t>
      </w:r>
      <w:r>
        <w:t>s conviction for car theft was upheld and his</w:t>
      </w:r>
      <w:r w:rsidRPr="005B11C6">
        <w:t xml:space="preserve"> </w:t>
      </w:r>
      <w:r>
        <w:t>conviction for burglary was quashed on appeal and remitted for additional investigation, until 4 October 2005, when the investigator discontinued these proceedings, the applicant</w:t>
      </w:r>
      <w:r w:rsidR="005355EA">
        <w:t>’</w:t>
      </w:r>
      <w:r>
        <w:t>s deprivation of liberty could be argued to have fallen within the ambit of both sub-paragraphs (a) and (c) of Article 5 § 1</w:t>
      </w:r>
      <w:r>
        <w:rPr>
          <w:lang w:eastAsia="en-US"/>
        </w:rPr>
        <w:t xml:space="preserve">. </w:t>
      </w:r>
      <w:r w:rsidR="00E25C9B">
        <w:rPr>
          <w:lang w:eastAsia="en-US"/>
        </w:rPr>
        <w:t xml:space="preserve">However this period was </w:t>
      </w:r>
      <w:r w:rsidR="00A661B1">
        <w:rPr>
          <w:lang w:eastAsia="en-US"/>
        </w:rPr>
        <w:t xml:space="preserve">a part of a longer period </w:t>
      </w:r>
      <w:r w:rsidR="00E25C9B">
        <w:rPr>
          <w:lang w:eastAsia="en-US"/>
        </w:rPr>
        <w:t>which started on 3 March 2003 with the applicant</w:t>
      </w:r>
      <w:r w:rsidR="005355EA">
        <w:rPr>
          <w:lang w:eastAsia="en-US"/>
        </w:rPr>
        <w:t>’</w:t>
      </w:r>
      <w:r w:rsidR="00E25C9B">
        <w:rPr>
          <w:lang w:eastAsia="en-US"/>
        </w:rPr>
        <w:t>s conviction and ended with his release on parole on 22 January 2007</w:t>
      </w:r>
      <w:r>
        <w:rPr>
          <w:lang w:eastAsia="en-US"/>
        </w:rPr>
        <w:t>. This deprivation of liberty of the applicant was clearly justified under Article 5 § 1 (a) of the Convention.</w:t>
      </w:r>
    </w:p>
    <w:bookmarkStart w:name="OLE_LINK1" w:id="23"/>
    <w:bookmarkStart w:name="OLE_LINK2" w:id="24"/>
    <w:p w:rsidR="004D1092" w:rsidP="004D1092" w:rsidRDefault="004D1092">
      <w:pPr>
        <w:pStyle w:val="JuPara"/>
      </w:pPr>
      <w:r>
        <w:fldChar w:fldCharType="begin"/>
      </w:r>
      <w:r>
        <w:instrText xml:space="preserve"> SEQ level0 \*arabic </w:instrText>
      </w:r>
      <w:r>
        <w:fldChar w:fldCharType="separate"/>
      </w:r>
      <w:r w:rsidR="005355EA">
        <w:rPr>
          <w:noProof/>
        </w:rPr>
        <w:t>81</w:t>
      </w:r>
      <w:r>
        <w:fldChar w:fldCharType="end"/>
      </w:r>
      <w:r>
        <w:t>.  The applicant</w:t>
      </w:r>
      <w:r w:rsidR="005355EA">
        <w:t>’</w:t>
      </w:r>
      <w:r>
        <w:t xml:space="preserve">s complaint concerns the </w:t>
      </w:r>
      <w:r w:rsidR="00343F8D">
        <w:t>detention pending trial</w:t>
      </w:r>
      <w:r>
        <w:t>, in respect of which this Court has constantly held that</w:t>
      </w:r>
      <w:r w:rsidRPr="000A08A7">
        <w:t xml:space="preserve"> </w:t>
      </w:r>
      <w:r>
        <w:t xml:space="preserve">the presumption under Article 5 is in favour of release. As established in </w:t>
      </w:r>
      <w:r>
        <w:rPr>
          <w:rStyle w:val="ju-005fpara--char"/>
          <w:i/>
          <w:iCs/>
        </w:rPr>
        <w:t>Neumeister v. Austria</w:t>
      </w:r>
      <w:r>
        <w:t xml:space="preserve"> (27 June 1968, § 4, Series A no. 8), the second limb of Article </w:t>
      </w:r>
      <w:r w:rsidRPr="00DC1703">
        <w:t>5</w:t>
      </w:r>
      <w:r>
        <w:t xml:space="preserve"> § </w:t>
      </w:r>
      <w:r w:rsidRPr="00DC1703">
        <w:t>3</w:t>
      </w:r>
      <w:r>
        <w:t xml:space="preserve"> does not give judicial authorities a choice between either bringing an accused to trial within a reasonable time or granting him provisional release pending trial. Until conviction, he must be presumed innocent, and the purpose of the provision under consideration is essentially to require his provisional release once his continuing detention ceases to be reasonable (as confirmed in </w:t>
      </w:r>
      <w:r w:rsidRPr="00B148EF">
        <w:rPr>
          <w:i/>
        </w:rPr>
        <w:t>McKay</w:t>
      </w:r>
      <w:r>
        <w:t>, cited above, § 41).</w:t>
      </w:r>
    </w:p>
    <w:p w:rsidR="00B27FB8" w:rsidP="00B27FB8" w:rsidRDefault="00B27FB8">
      <w:pPr>
        <w:pStyle w:val="JuPara"/>
        <w:rPr>
          <w:snapToGrid w:val="0"/>
          <w:lang w:eastAsia="en-US"/>
        </w:rPr>
      </w:pPr>
      <w:r>
        <w:rPr>
          <w:lang w:eastAsia="en-US"/>
        </w:rPr>
        <w:fldChar w:fldCharType="begin"/>
      </w:r>
      <w:r>
        <w:rPr>
          <w:lang w:eastAsia="en-US"/>
        </w:rPr>
        <w:instrText xml:space="preserve"> SEQ level0 \*arabic </w:instrText>
      </w:r>
      <w:r>
        <w:rPr>
          <w:lang w:eastAsia="en-US"/>
        </w:rPr>
        <w:fldChar w:fldCharType="separate"/>
      </w:r>
      <w:r w:rsidR="005355EA">
        <w:rPr>
          <w:noProof/>
          <w:lang w:eastAsia="en-US"/>
        </w:rPr>
        <w:t>82</w:t>
      </w:r>
      <w:r>
        <w:rPr>
          <w:lang w:eastAsia="en-US"/>
        </w:rPr>
        <w:fldChar w:fldCharType="end"/>
      </w:r>
      <w:r>
        <w:rPr>
          <w:lang w:eastAsia="en-US"/>
        </w:rPr>
        <w:t xml:space="preserve">.  Indeed, the </w:t>
      </w:r>
      <w:r>
        <w:t xml:space="preserve">Court finds </w:t>
      </w:r>
      <w:r w:rsidR="00154A87">
        <w:t>it difficult to see</w:t>
      </w:r>
      <w:r>
        <w:t xml:space="preserve"> any practical purpose in requesting the State authorities to justify the applicant</w:t>
      </w:r>
      <w:r w:rsidR="005355EA">
        <w:t>’</w:t>
      </w:r>
      <w:r>
        <w:t xml:space="preserve">s detention under Article 5 §§ 1 (c) and 3 of the Convention in the circumstances, when such detention </w:t>
      </w:r>
      <w:r w:rsidR="00001F8B">
        <w:t xml:space="preserve">was </w:t>
      </w:r>
      <w:r>
        <w:t>justified under Article 5 § 1 (a). Any request for release would th</w:t>
      </w:r>
      <w:r w:rsidR="00001F8B">
        <w:t>us</w:t>
      </w:r>
      <w:r>
        <w:t xml:space="preserve"> </w:t>
      </w:r>
      <w:r w:rsidR="00154A87">
        <w:t xml:space="preserve">be </w:t>
      </w:r>
      <w:r>
        <w:t xml:space="preserve">limited to </w:t>
      </w:r>
      <w:r w:rsidR="00001F8B">
        <w:t xml:space="preserve">the </w:t>
      </w:r>
      <w:r>
        <w:t xml:space="preserve">purely hypothetical question whether </w:t>
      </w:r>
      <w:r w:rsidR="00FD14F3">
        <w:t xml:space="preserve">the </w:t>
      </w:r>
      <w:r>
        <w:t>person could be released</w:t>
      </w:r>
      <w:r w:rsidR="00001F8B">
        <w:t xml:space="preserve"> if</w:t>
      </w:r>
      <w:r>
        <w:t xml:space="preserve"> he </w:t>
      </w:r>
      <w:r w:rsidR="00001F8B">
        <w:t xml:space="preserve">was </w:t>
      </w:r>
      <w:r>
        <w:t xml:space="preserve">not </w:t>
      </w:r>
      <w:r w:rsidR="00001F8B">
        <w:t xml:space="preserve">already </w:t>
      </w:r>
      <w:r>
        <w:t xml:space="preserve">serving </w:t>
      </w:r>
      <w:r w:rsidR="00FD14F3">
        <w:t xml:space="preserve">a </w:t>
      </w:r>
      <w:r>
        <w:t xml:space="preserve">prison </w:t>
      </w:r>
      <w:r w:rsidR="00A661B1">
        <w:t>sentence</w:t>
      </w:r>
      <w:r>
        <w:t>. Therefore, even if the applicant</w:t>
      </w:r>
      <w:r w:rsidR="005355EA">
        <w:t>’</w:t>
      </w:r>
      <w:r>
        <w:t xml:space="preserve">s continuing detention within the meaning of Article 5 § 1 (c) </w:t>
      </w:r>
      <w:r w:rsidR="00FD14F3">
        <w:t xml:space="preserve">ceased </w:t>
      </w:r>
      <w:r>
        <w:t xml:space="preserve">to be reasonable, it would not automatically cease to be lawful and justified under Article 5 § 1 (a). In short, the applicant cannot argue that while serving his prison sentence, he </w:t>
      </w:r>
      <w:r w:rsidR="00001F8B">
        <w:t>was “</w:t>
      </w:r>
      <w:r>
        <w:t xml:space="preserve">entitled </w:t>
      </w:r>
      <w:r w:rsidR="0078141C">
        <w:t>...</w:t>
      </w:r>
      <w:r>
        <w:t xml:space="preserve"> to release pending trial” in the parallel judicial proceedings which did not concern his original conviction. Accordingly, Article 5 § 3 of the Convention does not apply to </w:t>
      </w:r>
      <w:r>
        <w:rPr>
          <w:snapToGrid w:val="0"/>
          <w:lang w:eastAsia="en-US"/>
        </w:rPr>
        <w:t>the applicant</w:t>
      </w:r>
      <w:r w:rsidR="005355EA">
        <w:rPr>
          <w:snapToGrid w:val="0"/>
          <w:lang w:eastAsia="en-US"/>
        </w:rPr>
        <w:t>’</w:t>
      </w:r>
      <w:r>
        <w:rPr>
          <w:snapToGrid w:val="0"/>
          <w:lang w:eastAsia="en-US"/>
        </w:rPr>
        <w:t xml:space="preserve">s detention between </w:t>
      </w:r>
      <w:r>
        <w:t>31 July 2003</w:t>
      </w:r>
      <w:r>
        <w:rPr>
          <w:snapToGrid w:val="0"/>
          <w:lang w:eastAsia="en-US"/>
        </w:rPr>
        <w:t xml:space="preserve"> and </w:t>
      </w:r>
      <w:r>
        <w:t>4 October 2005</w:t>
      </w:r>
      <w:r w:rsidR="00001F8B">
        <w:t>,</w:t>
      </w:r>
      <w:r>
        <w:rPr>
          <w:snapToGrid w:val="0"/>
          <w:lang w:eastAsia="en-US"/>
        </w:rPr>
        <w:t xml:space="preserve"> which </w:t>
      </w:r>
      <w:r w:rsidR="00D54A57">
        <w:rPr>
          <w:snapToGrid w:val="0"/>
          <w:lang w:eastAsia="en-US"/>
        </w:rPr>
        <w:t>amounted to</w:t>
      </w:r>
      <w:r>
        <w:rPr>
          <w:snapToGrid w:val="0"/>
          <w:lang w:eastAsia="en-US"/>
        </w:rPr>
        <w:t xml:space="preserve"> “lawful detention after conviction by a competent court” within the meaning of Article 5 § 1 (a) of the Convention.</w:t>
      </w:r>
    </w:p>
    <w:bookmarkEnd w:id="23"/>
    <w:bookmarkEnd w:id="24"/>
    <w:p w:rsidR="00B27FB8" w:rsidP="00B27FB8" w:rsidRDefault="00B27FB8">
      <w:pPr>
        <w:pStyle w:val="JuPara"/>
        <w:rPr>
          <w:snapToGrid w:val="0"/>
          <w:lang w:eastAsia="en-US"/>
        </w:rPr>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5355EA">
        <w:rPr>
          <w:noProof/>
          <w:snapToGrid w:val="0"/>
          <w:lang w:eastAsia="en-US"/>
        </w:rPr>
        <w:t>83</w:t>
      </w:r>
      <w:r>
        <w:rPr>
          <w:snapToGrid w:val="0"/>
          <w:lang w:eastAsia="en-US"/>
        </w:rPr>
        <w:fldChar w:fldCharType="end"/>
      </w:r>
      <w:r>
        <w:rPr>
          <w:snapToGrid w:val="0"/>
          <w:lang w:eastAsia="en-US"/>
        </w:rPr>
        <w:t>.  The Court further notes that the applicant</w:t>
      </w:r>
      <w:r w:rsidR="005355EA">
        <w:rPr>
          <w:snapToGrid w:val="0"/>
          <w:lang w:eastAsia="en-US"/>
        </w:rPr>
        <w:t>’</w:t>
      </w:r>
      <w:r>
        <w:rPr>
          <w:snapToGrid w:val="0"/>
          <w:lang w:eastAsia="en-US"/>
        </w:rPr>
        <w:t xml:space="preserve">s stay in a pre-trial detention facility </w:t>
      </w:r>
      <w:r w:rsidR="00001F8B">
        <w:rPr>
          <w:snapToGrid w:val="0"/>
          <w:lang w:eastAsia="en-US"/>
        </w:rPr>
        <w:t>(</w:t>
      </w:r>
      <w:r>
        <w:rPr>
          <w:snapToGrid w:val="0"/>
          <w:lang w:eastAsia="en-US"/>
        </w:rPr>
        <w:t>SIZO</w:t>
      </w:r>
      <w:r w:rsidR="00001F8B">
        <w:rPr>
          <w:snapToGrid w:val="0"/>
          <w:lang w:eastAsia="en-US"/>
        </w:rPr>
        <w:t>)</w:t>
      </w:r>
      <w:r>
        <w:rPr>
          <w:snapToGrid w:val="0"/>
          <w:lang w:eastAsia="en-US"/>
        </w:rPr>
        <w:t xml:space="preserve"> rather than in a correctional colony </w:t>
      </w:r>
      <w:r w:rsidR="00001F8B">
        <w:rPr>
          <w:snapToGrid w:val="0"/>
          <w:lang w:eastAsia="en-US"/>
        </w:rPr>
        <w:t>for</w:t>
      </w:r>
      <w:r>
        <w:rPr>
          <w:snapToGrid w:val="0"/>
          <w:lang w:eastAsia="en-US"/>
        </w:rPr>
        <w:t xml:space="preserve"> part of this period does not affect his status </w:t>
      </w:r>
      <w:r w:rsidR="00001F8B">
        <w:rPr>
          <w:snapToGrid w:val="0"/>
          <w:lang w:eastAsia="en-US"/>
        </w:rPr>
        <w:t>as</w:t>
      </w:r>
      <w:r>
        <w:rPr>
          <w:snapToGrid w:val="0"/>
          <w:lang w:eastAsia="en-US"/>
        </w:rPr>
        <w:t xml:space="preserve"> detainee within the meaning of Article 5</w:t>
      </w:r>
      <w:r w:rsidR="00B84F85">
        <w:rPr>
          <w:snapToGrid w:val="0"/>
          <w:lang w:eastAsia="en-US"/>
        </w:rPr>
        <w:t> </w:t>
      </w:r>
      <w:r>
        <w:rPr>
          <w:snapToGrid w:val="0"/>
          <w:lang w:eastAsia="en-US"/>
        </w:rPr>
        <w:t>of the Convention.</w:t>
      </w:r>
    </w:p>
    <w:p w:rsidR="00B27FB8" w:rsidP="00B27FB8" w:rsidRDefault="00B27FB8">
      <w:pPr>
        <w:pStyle w:val="JuPara"/>
      </w:pPr>
      <w:r>
        <w:fldChar w:fldCharType="begin"/>
      </w:r>
      <w:r>
        <w:instrText xml:space="preserve"> SEQ level0 \*arabic </w:instrText>
      </w:r>
      <w:r>
        <w:fldChar w:fldCharType="separate"/>
      </w:r>
      <w:r w:rsidR="005355EA">
        <w:rPr>
          <w:noProof/>
        </w:rPr>
        <w:t>84</w:t>
      </w:r>
      <w:r>
        <w:fldChar w:fldCharType="end"/>
      </w:r>
      <w:r>
        <w:t xml:space="preserve">.  Accordingly, </w:t>
      </w:r>
      <w:r w:rsidRPr="005B1D21">
        <w:t>the</w:t>
      </w:r>
      <w:r>
        <w:t xml:space="preserve"> period to be taken into consideration </w:t>
      </w:r>
      <w:r w:rsidR="00A661B1">
        <w:t xml:space="preserve">for the purposes of Article 5 § 3 </w:t>
      </w:r>
      <w:r>
        <w:t xml:space="preserve">ended on 3 March 2003. It follows that this complaint must be rejected for </w:t>
      </w:r>
      <w:r w:rsidR="00D54A57">
        <w:t xml:space="preserve">having been </w:t>
      </w:r>
      <w:r>
        <w:t xml:space="preserve">submitted outside the six-month time-limit </w:t>
      </w:r>
      <w:r w:rsidR="00001F8B">
        <w:t>for the purposes</w:t>
      </w:r>
      <w:r>
        <w:t xml:space="preserve"> of Article 35 § 1 of the Convention.</w:t>
      </w:r>
    </w:p>
    <w:p w:rsidRPr="00333751" w:rsidR="00AC0C6B" w:rsidP="00AC0C6B" w:rsidRDefault="00AC0C6B">
      <w:pPr>
        <w:pStyle w:val="JuHIRoman"/>
      </w:pPr>
      <w:r>
        <w:t>III</w:t>
      </w:r>
      <w:r w:rsidRPr="00333751">
        <w:t xml:space="preserve">.  ALLEGED VIOLATION OF ARTICLE </w:t>
      </w:r>
      <w:r>
        <w:t>5 § 5</w:t>
      </w:r>
      <w:r w:rsidRPr="00333751">
        <w:t xml:space="preserve"> OF THE CONVENTION</w:t>
      </w:r>
    </w:p>
    <w:p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85</w:t>
      </w:r>
      <w:r w:rsidRPr="00333751">
        <w:fldChar w:fldCharType="end"/>
      </w:r>
      <w:r w:rsidRPr="00333751">
        <w:t xml:space="preserve">.  The applicant complained </w:t>
      </w:r>
      <w:r>
        <w:t>that he had had no right to compensation for his unlawful detention.</w:t>
      </w:r>
      <w:r w:rsidRPr="00333751">
        <w:t xml:space="preserve"> He relied on </w:t>
      </w:r>
      <w:r w:rsidRPr="006509F4">
        <w:t>Article </w:t>
      </w:r>
      <w:r w:rsidRPr="006509F4">
        <w:rPr>
          <w:bCs/>
        </w:rPr>
        <w:t>5</w:t>
      </w:r>
      <w:r w:rsidRPr="006509F4">
        <w:t> § </w:t>
      </w:r>
      <w:r w:rsidRPr="006509F4">
        <w:rPr>
          <w:bCs/>
        </w:rPr>
        <w:t>5</w:t>
      </w:r>
      <w:r>
        <w:rPr>
          <w:bCs/>
        </w:rPr>
        <w:t xml:space="preserve"> </w:t>
      </w:r>
      <w:r w:rsidRPr="00333751">
        <w:t>of the Convention</w:t>
      </w:r>
      <w:r>
        <w:t xml:space="preserve">, </w:t>
      </w:r>
      <w:r w:rsidRPr="00333751">
        <w:t>which reads as follows:</w:t>
      </w:r>
    </w:p>
    <w:p w:rsidRPr="00333751" w:rsidR="00AC0C6B" w:rsidP="00AC0C6B" w:rsidRDefault="00AC0C6B">
      <w:pPr>
        <w:pStyle w:val="JuQuot"/>
      </w:pPr>
      <w:r>
        <w:t>“Everyone who has been the victim of arrest or detention in contravention of the provisions of this Article shall have an enforceable right to compensation.”</w:t>
      </w:r>
    </w:p>
    <w:p w:rsidRPr="006509F4" w:rsidR="00AC0C6B" w:rsidP="00AC0C6B" w:rsidRDefault="00AC0C6B">
      <w:pPr>
        <w:pStyle w:val="JuPara"/>
      </w:pPr>
      <w:r>
        <w:fldChar w:fldCharType="begin"/>
      </w:r>
      <w:r>
        <w:instrText xml:space="preserve"> SEQ level0 \*arabic </w:instrText>
      </w:r>
      <w:r>
        <w:fldChar w:fldCharType="separate"/>
      </w:r>
      <w:r w:rsidR="005355EA">
        <w:rPr>
          <w:noProof/>
        </w:rPr>
        <w:t>86</w:t>
      </w:r>
      <w:r>
        <w:fldChar w:fldCharType="end"/>
      </w:r>
      <w:r>
        <w:t>.  In the Government</w:t>
      </w:r>
      <w:r w:rsidR="005355EA">
        <w:t>’</w:t>
      </w:r>
      <w:r>
        <w:t xml:space="preserve">s view, as the complaint under </w:t>
      </w:r>
      <w:r w:rsidRPr="006509F4">
        <w:t>Article </w:t>
      </w:r>
      <w:r w:rsidRPr="006509F4">
        <w:rPr>
          <w:bCs/>
        </w:rPr>
        <w:t>5</w:t>
      </w:r>
      <w:r w:rsidRPr="006509F4">
        <w:t> § </w:t>
      </w:r>
      <w:r>
        <w:rPr>
          <w:bCs/>
        </w:rPr>
        <w:t xml:space="preserve">3 of the Convention was inadmissible, </w:t>
      </w:r>
      <w:r w:rsidRPr="006509F4">
        <w:t>Article </w:t>
      </w:r>
      <w:r w:rsidRPr="006509F4">
        <w:rPr>
          <w:bCs/>
        </w:rPr>
        <w:t>5</w:t>
      </w:r>
      <w:r w:rsidRPr="006509F4">
        <w:t> § </w:t>
      </w:r>
      <w:r w:rsidRPr="006509F4">
        <w:rPr>
          <w:bCs/>
        </w:rPr>
        <w:t>5</w:t>
      </w:r>
      <w:r>
        <w:rPr>
          <w:bCs/>
        </w:rPr>
        <w:t xml:space="preserve"> was therefore inapplicable</w:t>
      </w:r>
      <w:r w:rsidRPr="006509F4">
        <w:t>.</w:t>
      </w:r>
    </w:p>
    <w:p w:rsidR="004206B1" w:rsidP="00AC0C6B" w:rsidRDefault="00AC0C6B">
      <w:pPr>
        <w:pStyle w:val="JuPara"/>
      </w:pPr>
      <w:r>
        <w:fldChar w:fldCharType="begin"/>
      </w:r>
      <w:r>
        <w:instrText xml:space="preserve"> SEQ level0 \*arabic </w:instrText>
      </w:r>
      <w:r>
        <w:fldChar w:fldCharType="separate"/>
      </w:r>
      <w:r w:rsidR="005355EA">
        <w:rPr>
          <w:noProof/>
        </w:rPr>
        <w:t>87</w:t>
      </w:r>
      <w:r>
        <w:fldChar w:fldCharType="end"/>
      </w:r>
      <w:r>
        <w:t xml:space="preserve">.  The Court reiterates that </w:t>
      </w:r>
      <w:r w:rsidRPr="006509F4">
        <w:t xml:space="preserve">Article </w:t>
      </w:r>
      <w:bookmarkStart w:name="HIT17" w:id="25"/>
      <w:bookmarkEnd w:id="25"/>
      <w:r w:rsidRPr="006509F4">
        <w:rPr>
          <w:bCs/>
        </w:rPr>
        <w:t>5</w:t>
      </w:r>
      <w:r w:rsidRPr="006509F4">
        <w:t xml:space="preserve"> § </w:t>
      </w:r>
      <w:bookmarkStart w:name="HIT18" w:id="26"/>
      <w:bookmarkEnd w:id="26"/>
      <w:r w:rsidRPr="006509F4">
        <w:rPr>
          <w:bCs/>
        </w:rPr>
        <w:t>5</w:t>
      </w:r>
      <w:r w:rsidRPr="006509F4">
        <w:t xml:space="preserve"> is complied with where it is possible to apply for compensation in respect of a deprivation of liberty effected in conditions contrary to paragraphs 1, 2, 3 or 4 (see </w:t>
      </w:r>
      <w:r w:rsidRPr="006509F4">
        <w:rPr>
          <w:rStyle w:val="ju-005fpara-002cleft-002cfirst-0020line-003a-0020-00200-0020cm--char"/>
          <w:i/>
          <w:iCs/>
        </w:rPr>
        <w:t>Stoichkov v.</w:t>
      </w:r>
      <w:r w:rsidR="00B84F85">
        <w:rPr>
          <w:rStyle w:val="ju-005fpara-002cleft-002cfirst-0020line-003a-0020-00200-0020cm--char"/>
          <w:i/>
          <w:iCs/>
        </w:rPr>
        <w:t> </w:t>
      </w:r>
      <w:r w:rsidRPr="006509F4">
        <w:rPr>
          <w:rStyle w:val="ju-005fpara-002cleft-002cfirst-0020line-003a-0020-00200-0020cm--char"/>
          <w:i/>
          <w:iCs/>
        </w:rPr>
        <w:t>Bulgaria</w:t>
      </w:r>
      <w:r w:rsidRPr="006509F4">
        <w:t>, no. 9808/02, § 72, 24 March 2005). The right to compensation set forth in paragraph 5 therefore presupposes that a violation of one of the preceding paragraphs of Article 5 has been established, either by a domestic authority or by the Court</w:t>
      </w:r>
      <w:r>
        <w:t xml:space="preserve"> (see </w:t>
      </w:r>
      <w:r w:rsidRPr="00797E9C">
        <w:rPr>
          <w:i/>
          <w:lang w:eastAsia="en-US"/>
        </w:rPr>
        <w:t xml:space="preserve">N.C. v. </w:t>
      </w:r>
      <w:smartTag w:uri="urn:schemas-microsoft-com:office:smarttags" w:element="place">
        <w:smartTag w:uri="urn:schemas-microsoft-com:office:smarttags" w:element="country-region">
          <w:r w:rsidRPr="00797E9C">
            <w:rPr>
              <w:i/>
              <w:lang w:eastAsia="en-US"/>
            </w:rPr>
            <w:t>Italy</w:t>
          </w:r>
        </w:smartTag>
      </w:smartTag>
      <w:r w:rsidRPr="00797E9C">
        <w:rPr>
          <w:i/>
          <w:lang w:eastAsia="en-US"/>
        </w:rPr>
        <w:t xml:space="preserve"> </w:t>
      </w:r>
      <w:r w:rsidRPr="00797E9C">
        <w:rPr>
          <w:lang w:eastAsia="en-US"/>
        </w:rPr>
        <w:t>[GC], no. 24952/94, §</w:t>
      </w:r>
      <w:r>
        <w:rPr>
          <w:lang w:eastAsia="en-US"/>
        </w:rPr>
        <w:t> 49</w:t>
      </w:r>
      <w:r w:rsidRPr="00797E9C">
        <w:rPr>
          <w:lang w:eastAsia="en-US"/>
        </w:rPr>
        <w:t>, ECHR 2002</w:t>
      </w:r>
      <w:r w:rsidRPr="00797E9C">
        <w:rPr>
          <w:lang w:eastAsia="en-US"/>
        </w:rPr>
        <w:noBreakHyphen/>
        <w:t>X</w:t>
      </w:r>
      <w:r w:rsidRPr="006509F4">
        <w:t>.</w:t>
      </w:r>
      <w:r>
        <w:t>). In the absence of any such finding in the present case, it follows that this complaint is manifestly ill-founded and must be rejected in accordance with Article 35 §§ 3 and 4 of the Convention.</w:t>
      </w:r>
      <w:bookmarkStart w:name="HIT10" w:id="27"/>
      <w:bookmarkStart w:name="HIT11" w:id="28"/>
      <w:bookmarkEnd w:id="27"/>
      <w:bookmarkEnd w:id="28"/>
    </w:p>
    <w:p w:rsidRPr="00333751" w:rsidR="00AC0C6B" w:rsidP="00AC0C6B" w:rsidRDefault="00AC0C6B">
      <w:pPr>
        <w:pStyle w:val="JuHIRoman"/>
      </w:pPr>
      <w:r>
        <w:t>IV</w:t>
      </w:r>
      <w:r w:rsidRPr="00333751">
        <w:t xml:space="preserve">.  ALLEGED VIOLATION OF ARTICLE </w:t>
      </w:r>
      <w:r>
        <w:t>6 § 1</w:t>
      </w:r>
      <w:r w:rsidRPr="00333751">
        <w:t xml:space="preserve"> OF THE CONVENTION</w:t>
      </w:r>
      <w:r>
        <w:t xml:space="preserve"> (LENGTH OF THE CRIMINAL </w:t>
      </w:r>
      <w:r w:rsidRPr="00FB6040">
        <w:t>PROCEEDINGS</w:t>
      </w:r>
      <w:r>
        <w:t xml:space="preserve"> AGAINST THE APPLICANT)</w:t>
      </w:r>
    </w:p>
    <w:p w:rsidR="00AC0C6B" w:rsidP="00AC0C6B" w:rsidRDefault="00AC0C6B">
      <w:pPr>
        <w:pStyle w:val="JuPara"/>
      </w:pPr>
      <w:r>
        <w:fldChar w:fldCharType="begin"/>
      </w:r>
      <w:r>
        <w:instrText xml:space="preserve"> SEQ level0 \*arabic </w:instrText>
      </w:r>
      <w:r>
        <w:fldChar w:fldCharType="separate"/>
      </w:r>
      <w:r w:rsidR="005355EA">
        <w:rPr>
          <w:noProof/>
        </w:rPr>
        <w:t>88</w:t>
      </w:r>
      <w:r>
        <w:fldChar w:fldCharType="end"/>
      </w:r>
      <w:r>
        <w:t>.  </w:t>
      </w:r>
      <w:r w:rsidRPr="00333751">
        <w:t xml:space="preserve">The applicant further complained that </w:t>
      </w:r>
      <w:r>
        <w:t>the length of the criminal proceedings against him had been excessive.</w:t>
      </w:r>
      <w:r w:rsidRPr="00333751">
        <w:t xml:space="preserve"> He relied on Article </w:t>
      </w:r>
      <w:r>
        <w:t>6 § 1</w:t>
      </w:r>
      <w:r w:rsidRPr="00333751">
        <w:t xml:space="preserve"> of the Convention</w:t>
      </w:r>
      <w:r>
        <w:t xml:space="preserve">, </w:t>
      </w:r>
      <w:r w:rsidRPr="00333751">
        <w:t>which reads as follows:</w:t>
      </w:r>
    </w:p>
    <w:p w:rsidRPr="00333751" w:rsidR="00AC0C6B" w:rsidP="00AC0C6B" w:rsidRDefault="00AC0C6B">
      <w:pPr>
        <w:pStyle w:val="JuQuot"/>
      </w:pPr>
      <w:r>
        <w:t>“In the determination of ... any criminal charge against him, everyone is entitled to a ... hearing within a reasonable time by [a] ... tribunal ...”</w:t>
      </w:r>
    </w:p>
    <w:p w:rsidR="00AC0C6B" w:rsidP="00AC0C6B" w:rsidRDefault="00AC0C6B">
      <w:pPr>
        <w:pStyle w:val="JuHA"/>
      </w:pPr>
      <w:r>
        <w:t>A.  Periods to be taken into consideration</w:t>
      </w:r>
    </w:p>
    <w:p w:rsidRPr="00333751" w:rsidR="00AC0C6B" w:rsidP="00AC0C6B" w:rsidRDefault="00AC0C6B">
      <w:pPr>
        <w:pStyle w:val="JuH1"/>
      </w:pPr>
      <w:r>
        <w:t>1</w:t>
      </w:r>
      <w:r w:rsidRPr="00333751">
        <w:t>.  </w:t>
      </w:r>
      <w:r>
        <w:t>Proceedings concerning the c</w:t>
      </w:r>
      <w:r w:rsidRPr="00CF4D02">
        <w:t>ar</w:t>
      </w:r>
      <w:r>
        <w:t xml:space="preserve"> theft</w:t>
      </w:r>
      <w:r w:rsidRPr="00CF4D02">
        <w:t xml:space="preserve"> </w:t>
      </w:r>
      <w:r>
        <w:t>charge</w:t>
      </w:r>
    </w:p>
    <w:p w:rsidR="00AC0C6B" w:rsidP="00AC0C6B" w:rsidRDefault="00AC0C6B">
      <w:pPr>
        <w:pStyle w:val="JuPara"/>
      </w:pPr>
      <w:r>
        <w:fldChar w:fldCharType="begin"/>
      </w:r>
      <w:r>
        <w:instrText xml:space="preserve"> SEQ level0 \*arabic </w:instrText>
      </w:r>
      <w:r>
        <w:fldChar w:fldCharType="separate"/>
      </w:r>
      <w:r w:rsidR="005355EA">
        <w:rPr>
          <w:noProof/>
        </w:rPr>
        <w:t>89</w:t>
      </w:r>
      <w:r>
        <w:fldChar w:fldCharType="end"/>
      </w:r>
      <w:r>
        <w:t>.  The period to be taken into consideration began on 12 </w:t>
      </w:r>
      <w:r w:rsidRPr="00CF4D02">
        <w:t xml:space="preserve">September 2001 </w:t>
      </w:r>
      <w:r>
        <w:t>and ended on</w:t>
      </w:r>
      <w:r w:rsidRPr="00CF4D02">
        <w:t xml:space="preserve"> 22</w:t>
      </w:r>
      <w:r>
        <w:t> </w:t>
      </w:r>
      <w:r w:rsidRPr="00CF4D02">
        <w:t>March 2005</w:t>
      </w:r>
      <w:r>
        <w:t>. It thus lasted three</w:t>
      </w:r>
      <w:r w:rsidRPr="00CF4D02">
        <w:t xml:space="preserve"> years</w:t>
      </w:r>
      <w:r>
        <w:t xml:space="preserve"> and six</w:t>
      </w:r>
      <w:r w:rsidRPr="00CF4D02">
        <w:t xml:space="preserve"> months before the investigating authorities and the courts at </w:t>
      </w:r>
      <w:r>
        <w:t>three</w:t>
      </w:r>
      <w:r w:rsidRPr="00CF4D02">
        <w:t xml:space="preserve"> levels of jurisdiction</w:t>
      </w:r>
      <w:r>
        <w:t>.</w:t>
      </w:r>
    </w:p>
    <w:p w:rsidR="00AC0C6B" w:rsidP="00AC0C6B" w:rsidRDefault="00AC0C6B">
      <w:pPr>
        <w:pStyle w:val="JuH1"/>
      </w:pPr>
      <w:r>
        <w:t>2.  Proceedings concerning the burglary charge</w:t>
      </w:r>
    </w:p>
    <w:p w:rsidR="00AC0C6B" w:rsidP="00AC0C6B" w:rsidRDefault="00AC0C6B">
      <w:pPr>
        <w:pStyle w:val="JuPara"/>
      </w:pPr>
      <w:r>
        <w:fldChar w:fldCharType="begin"/>
      </w:r>
      <w:r>
        <w:instrText xml:space="preserve"> SEQ level0 \*arabic </w:instrText>
      </w:r>
      <w:r>
        <w:fldChar w:fldCharType="separate"/>
      </w:r>
      <w:r w:rsidR="005355EA">
        <w:rPr>
          <w:noProof/>
        </w:rPr>
        <w:t>90</w:t>
      </w:r>
      <w:r>
        <w:fldChar w:fldCharType="end"/>
      </w:r>
      <w:r>
        <w:t>.  The Government pleaded that the period to be taken into consideration had started on 2 February 2002, when the applicant had been charged, and ended on 4 October 2005 when the proceedings against him had been discontinued. The impugned proceedings, in their view, had thus lasted three years and eight months before the courts at three levels of jurisdiction.</w:t>
      </w:r>
    </w:p>
    <w:p w:rsidR="00AC0C6B" w:rsidP="00AC0C6B" w:rsidRDefault="00AC0C6B">
      <w:pPr>
        <w:pStyle w:val="JuPara"/>
      </w:pPr>
      <w:r>
        <w:fldChar w:fldCharType="begin"/>
      </w:r>
      <w:r>
        <w:instrText xml:space="preserve"> SEQ level0 \*arabic </w:instrText>
      </w:r>
      <w:r>
        <w:fldChar w:fldCharType="separate"/>
      </w:r>
      <w:r w:rsidR="005355EA">
        <w:rPr>
          <w:noProof/>
        </w:rPr>
        <w:t>91</w:t>
      </w:r>
      <w:r>
        <w:fldChar w:fldCharType="end"/>
      </w:r>
      <w:r>
        <w:t>.  The Court observes that, although the investigation was instituted on 10 September 2001, there is no evidence that the applicant was “charged” within the meaning of Article 6 § 1 of the Convention at that stage. The first mention of the proceedings pending against the applicant was made on 11 January 2002 and, according to him, he had been unaware of those proceedings before that (see paragraph </w:t>
      </w:r>
      <w:r>
        <w:fldChar w:fldCharType="begin"/>
      </w:r>
      <w:r>
        <w:instrText xml:space="preserve"> REF  parallel_proceedings_discovered </w:instrText>
      </w:r>
      <w:r>
        <w:fldChar w:fldCharType="separate"/>
      </w:r>
      <w:r w:rsidR="005355EA">
        <w:rPr>
          <w:noProof/>
        </w:rPr>
        <w:t>12</w:t>
      </w:r>
      <w:r>
        <w:fldChar w:fldCharType="end"/>
      </w:r>
      <w:r>
        <w:t xml:space="preserve"> above). In the absence of more specific information, the Court will take this date as the </w:t>
      </w:r>
      <w:r w:rsidRPr="00C16A79">
        <w:rPr>
          <w:i/>
          <w:iCs/>
          <w:color w:val="000000"/>
        </w:rPr>
        <w:t>dies a quo</w:t>
      </w:r>
      <w:r>
        <w:rPr>
          <w:iCs/>
          <w:color w:val="000000"/>
        </w:rPr>
        <w:t xml:space="preserve"> for the purposes of the present examination. The proceedings in question ended on </w:t>
      </w:r>
      <w:r>
        <w:t>4 </w:t>
      </w:r>
      <w:r w:rsidRPr="00CF4D02">
        <w:t>October 2005</w:t>
      </w:r>
      <w:r>
        <w:t>. The period to be taken into consideration thus lasted three</w:t>
      </w:r>
      <w:r w:rsidRPr="00CF4D02">
        <w:t xml:space="preserve"> years </w:t>
      </w:r>
      <w:r>
        <w:t>and almost nine</w:t>
      </w:r>
      <w:r w:rsidRPr="00CF4D02">
        <w:t xml:space="preserve"> months before the investigating authorities and the courts at two levels of jurisdiction</w:t>
      </w:r>
      <w:r>
        <w:t xml:space="preserve"> (as the Supreme Court did not deal with this part of the applicant</w:t>
      </w:r>
      <w:r w:rsidR="005355EA">
        <w:t>’</w:t>
      </w:r>
      <w:r>
        <w:t>s cas</w:t>
      </w:r>
      <w:r w:rsidR="00AC5EB9">
        <w:t xml:space="preserve">e in the cassation proceedings: </w:t>
      </w:r>
      <w:r>
        <w:t>see paragraph </w:t>
      </w:r>
      <w:r>
        <w:fldChar w:fldCharType="begin"/>
      </w:r>
      <w:r>
        <w:instrText xml:space="preserve"> REF  cassation_decision </w:instrText>
      </w:r>
      <w:r>
        <w:fldChar w:fldCharType="separate"/>
      </w:r>
      <w:r w:rsidR="005355EA">
        <w:rPr>
          <w:noProof/>
        </w:rPr>
        <w:t>20</w:t>
      </w:r>
      <w:r>
        <w:fldChar w:fldCharType="end"/>
      </w:r>
      <w:r>
        <w:t xml:space="preserve"> above).</w:t>
      </w:r>
    </w:p>
    <w:p w:rsidR="00AC0C6B" w:rsidP="00AC0C6B" w:rsidRDefault="00AC0C6B">
      <w:pPr>
        <w:pStyle w:val="JuHA"/>
      </w:pPr>
      <w:smartTag w:uri="urn:schemas-microsoft-com:office:smarttags" w:element="Street">
        <w:smartTag w:uri="urn:schemas-microsoft-com:office:smarttags" w:element="address">
          <w:r>
            <w:t>B.  Court</w:t>
          </w:r>
        </w:smartTag>
      </w:smartTag>
      <w:r w:rsidR="005355EA">
        <w:t>’</w:t>
      </w:r>
      <w:r>
        <w:t>s assessment</w:t>
      </w:r>
    </w:p>
    <w:p w:rsidR="00AC0C6B" w:rsidP="00AC0C6B" w:rsidRDefault="00AC0C6B">
      <w:pPr>
        <w:pStyle w:val="JuPara"/>
      </w:pPr>
      <w:r w:rsidRPr="00B1633F">
        <w:fldChar w:fldCharType="begin"/>
      </w:r>
      <w:r w:rsidRPr="00B1633F">
        <w:instrText xml:space="preserve"> SEQ level0 \*arabic </w:instrText>
      </w:r>
      <w:r w:rsidRPr="00B1633F">
        <w:fldChar w:fldCharType="separate"/>
      </w:r>
      <w:r w:rsidR="005355EA">
        <w:rPr>
          <w:noProof/>
        </w:rPr>
        <w:t>92</w:t>
      </w:r>
      <w:r w:rsidRPr="00B1633F">
        <w:fldChar w:fldCharType="end"/>
      </w:r>
      <w:r w:rsidRPr="00B1633F">
        <w:t>.  The Court reiterates that the reasonableness of the length of proceedings must be assessed in the light of the circumstances of the case and with reference to the complexity of the case</w:t>
      </w:r>
      <w:r>
        <w:t xml:space="preserve"> and</w:t>
      </w:r>
      <w:r w:rsidRPr="00B1633F">
        <w:t xml:space="preserve"> the conduct of the applicant and the relevant authorities (see, among many other authorities, </w:t>
      </w:r>
      <w:r w:rsidRPr="00B1633F">
        <w:rPr>
          <w:i/>
        </w:rPr>
        <w:t>Pélissier and Sassi v. France</w:t>
      </w:r>
      <w:r w:rsidRPr="00B1633F">
        <w:t xml:space="preserve"> [GC], no. 25444/94, § 67, ECHR 1999-II)</w:t>
      </w:r>
      <w:r>
        <w:t>.</w:t>
      </w:r>
    </w:p>
    <w:p w:rsidR="00AC0C6B" w:rsidP="00AC0C6B" w:rsidRDefault="00AC0C6B">
      <w:pPr>
        <w:pStyle w:val="JuPara"/>
      </w:pPr>
      <w:r>
        <w:fldChar w:fldCharType="begin"/>
      </w:r>
      <w:r>
        <w:instrText xml:space="preserve"> SEQ level0 \*arabic </w:instrText>
      </w:r>
      <w:r>
        <w:fldChar w:fldCharType="separate"/>
      </w:r>
      <w:r w:rsidR="005355EA">
        <w:rPr>
          <w:noProof/>
        </w:rPr>
        <w:t>93</w:t>
      </w:r>
      <w:r>
        <w:fldChar w:fldCharType="end"/>
      </w:r>
      <w:r>
        <w:t xml:space="preserve">.  Regard being had to all the circumstances, the Court considers that in the present case the overall length of the impugned proceedings was not excessive and cannot be considered unreasonable (see, for example, </w:t>
      </w:r>
      <w:r>
        <w:rPr>
          <w:rStyle w:val="ju-005fpara-002cleft-002cfirst-0020line-003a-0020-00200-0020cm--char"/>
          <w:i/>
          <w:iCs/>
        </w:rPr>
        <w:t>Shavrov v. Ukraine</w:t>
      </w:r>
      <w:r>
        <w:t xml:space="preserve"> (dec.), no. 11098/03, 11 March 2008).</w:t>
      </w:r>
    </w:p>
    <w:p w:rsidRPr="00B1633F" w:rsidR="00AC0C6B" w:rsidP="00AC0C6B" w:rsidRDefault="00AC0C6B">
      <w:pPr>
        <w:pStyle w:val="JuPara"/>
      </w:pPr>
      <w:r>
        <w:fldChar w:fldCharType="begin"/>
      </w:r>
      <w:r>
        <w:instrText xml:space="preserve"> SEQ level0 \*arabic </w:instrText>
      </w:r>
      <w:r>
        <w:fldChar w:fldCharType="separate"/>
      </w:r>
      <w:r w:rsidR="005355EA">
        <w:rPr>
          <w:noProof/>
        </w:rPr>
        <w:t>94</w:t>
      </w:r>
      <w:r>
        <w:fldChar w:fldCharType="end"/>
      </w:r>
      <w:r>
        <w:t xml:space="preserve">.  It follows that this complaint is manifestly ill-founded and must be rejected in accordance with Article 35 §§ 3 </w:t>
      </w:r>
      <w:r w:rsidR="004D1092">
        <w:t xml:space="preserve">(a) </w:t>
      </w:r>
      <w:r>
        <w:t>and 4 of the Convention.</w:t>
      </w:r>
    </w:p>
    <w:p w:rsidRPr="00333751" w:rsidR="00AC0C6B" w:rsidP="00AC0C6B" w:rsidRDefault="00AC0C6B">
      <w:pPr>
        <w:pStyle w:val="JuHIRoman"/>
      </w:pPr>
      <w:r>
        <w:t>V</w:t>
      </w:r>
      <w:r w:rsidRPr="00333751">
        <w:t xml:space="preserve">.  ALLEGED VIOLATION OF ARTICLE </w:t>
      </w:r>
      <w:r>
        <w:t>34</w:t>
      </w:r>
      <w:r w:rsidRPr="00333751">
        <w:t xml:space="preserve"> OF THE CONVENTION</w:t>
      </w:r>
    </w:p>
    <w:p w:rsidR="00AC0C6B" w:rsidP="00AC0C6B" w:rsidRDefault="00AC0C6B">
      <w:pPr>
        <w:pStyle w:val="JuPara"/>
      </w:pPr>
      <w:r>
        <w:fldChar w:fldCharType="begin"/>
      </w:r>
      <w:r>
        <w:instrText xml:space="preserve"> SEQ level0 \*arabic </w:instrText>
      </w:r>
      <w:r>
        <w:fldChar w:fldCharType="separate"/>
      </w:r>
      <w:r w:rsidR="005355EA">
        <w:rPr>
          <w:noProof/>
        </w:rPr>
        <w:t>95</w:t>
      </w:r>
      <w:r>
        <w:fldChar w:fldCharType="end"/>
      </w:r>
      <w:r>
        <w:t>.  </w:t>
      </w:r>
      <w:r w:rsidRPr="00333751">
        <w:t xml:space="preserve">The applicant further complained that </w:t>
      </w:r>
      <w:r>
        <w:t>he had been unable to adduce copies of documents in support of his application and that his relevant requests and complaints had been disregarded by the authorities.</w:t>
      </w:r>
    </w:p>
    <w:p w:rsidRPr="00333751" w:rsidR="00AC0C6B" w:rsidP="00AC0C6B" w:rsidRDefault="00AC0C6B">
      <w:pPr>
        <w:pStyle w:val="JuPara"/>
      </w:pPr>
      <w:r>
        <w:t>The above complaints fall to be examined under Article 34 of the Convention, which reads as follows:</w:t>
      </w:r>
    </w:p>
    <w:p w:rsidR="00AC0C6B" w:rsidP="00AC0C6B" w:rsidRDefault="00AC0C6B">
      <w:pPr>
        <w:pStyle w:val="JuQuot"/>
      </w:pPr>
      <w:r>
        <w:t>“The Court may receive applications from any person, non-governmental organisation or group of individuals claiming to be the victim of a violation by one of the High Contracting Parties of the rights set forth in the Convention or the Protocols thereto. The High Contracting Parties undertake not to hinder in any way the effective exercise of this right.”</w:t>
      </w:r>
    </w:p>
    <w:p w:rsidRPr="00333751" w:rsidR="00AC0C6B" w:rsidP="00AC0C6B" w:rsidRDefault="00AC0C6B">
      <w:pPr>
        <w:pStyle w:val="JuPara"/>
      </w:pPr>
      <w:r>
        <w:fldChar w:fldCharType="begin"/>
      </w:r>
      <w:r>
        <w:instrText xml:space="preserve"> SEQ level0 \*arabic </w:instrText>
      </w:r>
      <w:r>
        <w:fldChar w:fldCharType="separate"/>
      </w:r>
      <w:r w:rsidR="005355EA">
        <w:rPr>
          <w:noProof/>
        </w:rPr>
        <w:t>96</w:t>
      </w:r>
      <w:r>
        <w:fldChar w:fldCharType="end"/>
      </w:r>
      <w:r>
        <w:t>.  </w:t>
      </w:r>
      <w:r w:rsidRPr="00333751">
        <w:t>The Gove</w:t>
      </w:r>
      <w:r>
        <w:t>rnment limited their submissions to the objection that the complaint was inadmissible for non-exhaustion of domestic remedies.</w:t>
      </w:r>
    </w:p>
    <w:p w:rsidR="00AC0C6B" w:rsidP="00AC0C6B" w:rsidRDefault="00AC0C6B">
      <w:pPr>
        <w:pStyle w:val="JuPara"/>
        <w:rPr>
          <w:snapToGrid w:val="0"/>
          <w:lang w:eastAsia="en-US"/>
        </w:rPr>
      </w:pPr>
      <w:r w:rsidRPr="00333751">
        <w:fldChar w:fldCharType="begin"/>
      </w:r>
      <w:r w:rsidRPr="00333751">
        <w:instrText xml:space="preserve"> SEQ level0 \*arabic </w:instrText>
      </w:r>
      <w:r w:rsidRPr="00333751">
        <w:fldChar w:fldCharType="separate"/>
      </w:r>
      <w:r w:rsidR="005355EA">
        <w:rPr>
          <w:noProof/>
        </w:rPr>
        <w:t>97</w:t>
      </w:r>
      <w:r w:rsidRPr="00333751">
        <w:fldChar w:fldCharType="end"/>
      </w:r>
      <w:r w:rsidRPr="00333751">
        <w:t>.  </w:t>
      </w:r>
      <w:r>
        <w:t>According to the Court</w:t>
      </w:r>
      <w:r w:rsidR="005355EA">
        <w:t>’</w:t>
      </w:r>
      <w:r>
        <w:t xml:space="preserve">s case-law, a complaint under Article </w:t>
      </w:r>
      <w:r w:rsidRPr="00B5044E">
        <w:rPr>
          <w:bCs/>
        </w:rPr>
        <w:t>34</w:t>
      </w:r>
      <w:r>
        <w:t xml:space="preserve"> of the Convention is of a procedural nature and therefore does not give rise to any issue of admissibility under the Convention (see </w:t>
      </w:r>
      <w:r w:rsidRPr="00B5044E">
        <w:rPr>
          <w:i/>
          <w:lang w:eastAsia="en-US"/>
        </w:rPr>
        <w:t xml:space="preserve">Chaykovskiy </w:t>
      </w:r>
      <w:r w:rsidRPr="00B5044E">
        <w:rPr>
          <w:i/>
          <w:lang w:val="pt-BR" w:eastAsia="en-US"/>
        </w:rPr>
        <w:t>v.</w:t>
      </w:r>
      <w:r w:rsidR="00B84F85">
        <w:rPr>
          <w:i/>
          <w:lang w:val="pt-BR" w:eastAsia="en-US"/>
        </w:rPr>
        <w:t> </w:t>
      </w:r>
      <w:r w:rsidRPr="00B5044E">
        <w:rPr>
          <w:i/>
          <w:lang w:val="pt-BR" w:eastAsia="en-US"/>
        </w:rPr>
        <w:t>Ukraine</w:t>
      </w:r>
      <w:r w:rsidRPr="00B5044E">
        <w:rPr>
          <w:lang w:val="pt-BR" w:eastAsia="en-US"/>
        </w:rPr>
        <w:t>, no. 2295/06</w:t>
      </w:r>
      <w:r w:rsidRPr="00B5044E">
        <w:rPr>
          <w:snapToGrid w:val="0"/>
          <w:lang w:val="pt-BR" w:eastAsia="en-US"/>
        </w:rPr>
        <w:t xml:space="preserve">, </w:t>
      </w:r>
      <w:r w:rsidRPr="00B5044E">
        <w:rPr>
          <w:snapToGrid w:val="0"/>
          <w:lang w:eastAsia="en-US"/>
        </w:rPr>
        <w:t>§</w:t>
      </w:r>
      <w:r>
        <w:rPr>
          <w:snapToGrid w:val="0"/>
          <w:lang w:eastAsia="en-US"/>
        </w:rPr>
        <w:t> 83</w:t>
      </w:r>
      <w:r w:rsidRPr="00B5044E">
        <w:rPr>
          <w:snapToGrid w:val="0"/>
          <w:lang w:eastAsia="en-US"/>
        </w:rPr>
        <w:t>, 15 October 2009</w:t>
      </w:r>
      <w:r>
        <w:rPr>
          <w:snapToGrid w:val="0"/>
          <w:lang w:eastAsia="en-US"/>
        </w:rPr>
        <w:t>, with further references). The Government</w:t>
      </w:r>
      <w:r w:rsidR="005355EA">
        <w:rPr>
          <w:snapToGrid w:val="0"/>
          <w:lang w:eastAsia="en-US"/>
        </w:rPr>
        <w:t>’</w:t>
      </w:r>
      <w:r>
        <w:rPr>
          <w:snapToGrid w:val="0"/>
          <w:lang w:eastAsia="en-US"/>
        </w:rPr>
        <w:t>s objection is therefore not appropriate.</w:t>
      </w:r>
    </w:p>
    <w:p w:rsidRPr="00DB24B4" w:rsidR="00AC0C6B" w:rsidP="00AC0C6B" w:rsidRDefault="00AC0C6B">
      <w:pPr>
        <w:pStyle w:val="JuPara"/>
      </w:pPr>
      <w:r>
        <w:rPr>
          <w:snapToGrid w:val="0"/>
          <w:lang w:eastAsia="en-US"/>
        </w:rPr>
        <w:fldChar w:fldCharType="begin"/>
      </w:r>
      <w:r>
        <w:rPr>
          <w:snapToGrid w:val="0"/>
          <w:lang w:eastAsia="en-US"/>
        </w:rPr>
        <w:instrText xml:space="preserve"> SEQ level0 \*arabic </w:instrText>
      </w:r>
      <w:r>
        <w:rPr>
          <w:snapToGrid w:val="0"/>
          <w:lang w:eastAsia="en-US"/>
        </w:rPr>
        <w:fldChar w:fldCharType="separate"/>
      </w:r>
      <w:r w:rsidR="005355EA">
        <w:rPr>
          <w:noProof/>
          <w:snapToGrid w:val="0"/>
          <w:lang w:eastAsia="en-US"/>
        </w:rPr>
        <w:t>98</w:t>
      </w:r>
      <w:r>
        <w:rPr>
          <w:snapToGrid w:val="0"/>
          <w:lang w:eastAsia="en-US"/>
        </w:rPr>
        <w:fldChar w:fldCharType="end"/>
      </w:r>
      <w:r>
        <w:rPr>
          <w:snapToGrid w:val="0"/>
          <w:lang w:eastAsia="en-US"/>
        </w:rPr>
        <w:t>.  </w:t>
      </w:r>
      <w:r>
        <w:rPr>
          <w:color w:val="000000"/>
        </w:rPr>
        <w:t xml:space="preserve">The Court points out that the general principles regarding the obligation </w:t>
      </w:r>
      <w:r w:rsidRPr="00DB24B4">
        <w:t xml:space="preserve">on a Contracting State not to </w:t>
      </w:r>
      <w:r w:rsidRPr="00DB24B4">
        <w:rPr>
          <w:bCs/>
        </w:rPr>
        <w:t>hinder</w:t>
      </w:r>
      <w:r w:rsidRPr="00DB24B4">
        <w:t xml:space="preserve"> the right of individual petition</w:t>
      </w:r>
      <w:r>
        <w:rPr>
          <w:color w:val="000000"/>
        </w:rPr>
        <w:t xml:space="preserve">, as guaranteed by Article 34 of the Convention, </w:t>
      </w:r>
      <w:r w:rsidR="00136A26">
        <w:rPr>
          <w:color w:val="000000"/>
        </w:rPr>
        <w:t xml:space="preserve">have been </w:t>
      </w:r>
      <w:r>
        <w:rPr>
          <w:color w:val="000000"/>
        </w:rPr>
        <w:t xml:space="preserve">stated in a number of its previous judgments (for instance, </w:t>
      </w:r>
      <w:r w:rsidR="00136A26">
        <w:rPr>
          <w:lang w:eastAsia="en-US"/>
        </w:rPr>
        <w:t>ibid.</w:t>
      </w:r>
      <w:r>
        <w:rPr>
          <w:lang w:val="pt-BR" w:eastAsia="en-US"/>
        </w:rPr>
        <w:t>, §§ 84-88).</w:t>
      </w:r>
    </w:p>
    <w:p w:rsidR="00AC0C6B" w:rsidP="00AC0C6B" w:rsidRDefault="00AC0C6B">
      <w:pPr>
        <w:pStyle w:val="JuPara"/>
        <w:rPr>
          <w:lang w:eastAsia="en-US"/>
        </w:rPr>
      </w:pPr>
      <w:r>
        <w:rPr>
          <w:szCs w:val="24"/>
          <w:lang w:eastAsia="en-US"/>
        </w:rPr>
        <w:fldChar w:fldCharType="begin"/>
      </w:r>
      <w:r>
        <w:rPr>
          <w:szCs w:val="24"/>
          <w:lang w:eastAsia="en-US"/>
        </w:rPr>
        <w:instrText xml:space="preserve"> SEQ level0 \*arabic </w:instrText>
      </w:r>
      <w:r>
        <w:rPr>
          <w:szCs w:val="24"/>
          <w:lang w:eastAsia="en-US"/>
        </w:rPr>
        <w:fldChar w:fldCharType="separate"/>
      </w:r>
      <w:r w:rsidR="005355EA">
        <w:rPr>
          <w:noProof/>
          <w:szCs w:val="24"/>
          <w:lang w:eastAsia="en-US"/>
        </w:rPr>
        <w:t>99</w:t>
      </w:r>
      <w:r>
        <w:rPr>
          <w:szCs w:val="24"/>
          <w:lang w:eastAsia="en-US"/>
        </w:rPr>
        <w:fldChar w:fldCharType="end"/>
      </w:r>
      <w:r>
        <w:rPr>
          <w:szCs w:val="24"/>
          <w:lang w:eastAsia="en-US"/>
        </w:rPr>
        <w:t xml:space="preserve">.  Turning to the facts of the present case, the Court observes that there is nothing in the case file to suggest that the applicant ever </w:t>
      </w:r>
      <w:r>
        <w:t>informed the State authorities, either explicitly or implicitly, that the requested copies of documents were necessary for him for the purpose of defending his rights before the Court (see paragraph </w:t>
      </w:r>
      <w:r>
        <w:fldChar w:fldCharType="begin"/>
      </w:r>
      <w:r>
        <w:instrText xml:space="preserve"> REF  Art34_no_attachment </w:instrText>
      </w:r>
      <w:r>
        <w:fldChar w:fldCharType="separate"/>
      </w:r>
      <w:r w:rsidR="005355EA">
        <w:rPr>
          <w:noProof/>
        </w:rPr>
        <w:t>45</w:t>
      </w:r>
      <w:r>
        <w:fldChar w:fldCharType="end"/>
      </w:r>
      <w:r>
        <w:t xml:space="preserve"> </w:t>
      </w:r>
      <w:r w:rsidRPr="0003609A">
        <w:rPr>
          <w:i/>
        </w:rPr>
        <w:t>in fine</w:t>
      </w:r>
      <w:r>
        <w:t xml:space="preserve"> and compare </w:t>
      </w:r>
      <w:r w:rsidRPr="0003609A">
        <w:rPr>
          <w:i/>
          <w:lang w:eastAsia="en-US"/>
        </w:rPr>
        <w:t>Boicenco v.</w:t>
      </w:r>
      <w:r w:rsidR="00B84F85">
        <w:rPr>
          <w:i/>
          <w:lang w:eastAsia="en-US"/>
        </w:rPr>
        <w:t> </w:t>
      </w:r>
      <w:r w:rsidRPr="0003609A">
        <w:rPr>
          <w:i/>
          <w:lang w:eastAsia="en-US"/>
        </w:rPr>
        <w:t>Moldova</w:t>
      </w:r>
      <w:r>
        <w:rPr>
          <w:lang w:eastAsia="en-US"/>
        </w:rPr>
        <w:t>, no. </w:t>
      </w:r>
      <w:r w:rsidRPr="0003609A">
        <w:rPr>
          <w:lang w:eastAsia="en-US"/>
        </w:rPr>
        <w:t>41088/05, §</w:t>
      </w:r>
      <w:r>
        <w:rPr>
          <w:lang w:eastAsia="en-US"/>
        </w:rPr>
        <w:t> 158</w:t>
      </w:r>
      <w:r w:rsidRPr="0003609A">
        <w:rPr>
          <w:lang w:eastAsia="en-US"/>
        </w:rPr>
        <w:t>, 11 July 2006</w:t>
      </w:r>
      <w:r>
        <w:rPr>
          <w:lang w:eastAsia="en-US"/>
        </w:rPr>
        <w:t xml:space="preserve">). </w:t>
      </w:r>
      <w:r w:rsidR="00CD13B4">
        <w:rPr>
          <w:lang w:eastAsia="en-US"/>
        </w:rPr>
        <w:t>Furthermore, it should be observed that the requested documents – the courts</w:t>
      </w:r>
      <w:r w:rsidR="005355EA">
        <w:rPr>
          <w:lang w:eastAsia="en-US"/>
        </w:rPr>
        <w:t>’</w:t>
      </w:r>
      <w:r w:rsidR="00CD13B4">
        <w:rPr>
          <w:lang w:eastAsia="en-US"/>
        </w:rPr>
        <w:t xml:space="preserve"> decisions – </w:t>
      </w:r>
      <w:r w:rsidR="008D23B4">
        <w:rPr>
          <w:lang w:eastAsia="en-US"/>
        </w:rPr>
        <w:t xml:space="preserve">had to be served on the convicted person </w:t>
      </w:r>
      <w:r w:rsidR="00136A26">
        <w:rPr>
          <w:lang w:eastAsia="en-US"/>
        </w:rPr>
        <w:t>by</w:t>
      </w:r>
      <w:r w:rsidR="008D23B4">
        <w:rPr>
          <w:lang w:eastAsia="en-US"/>
        </w:rPr>
        <w:t xml:space="preserve"> law and </w:t>
      </w:r>
      <w:r w:rsidR="00A661B1">
        <w:rPr>
          <w:lang w:eastAsia="en-US"/>
        </w:rPr>
        <w:t>from the facts of the case it appears that</w:t>
      </w:r>
      <w:r w:rsidR="00E3739C">
        <w:rPr>
          <w:lang w:eastAsia="en-US"/>
        </w:rPr>
        <w:t xml:space="preserve"> he challenged th</w:t>
      </w:r>
      <w:r w:rsidR="00A661B1">
        <w:rPr>
          <w:lang w:eastAsia="en-US"/>
        </w:rPr>
        <w:t>ose decisions</w:t>
      </w:r>
      <w:r w:rsidR="00E3739C">
        <w:rPr>
          <w:lang w:eastAsia="en-US"/>
        </w:rPr>
        <w:t xml:space="preserve"> in higher </w:t>
      </w:r>
      <w:r w:rsidR="00136A26">
        <w:rPr>
          <w:lang w:eastAsia="en-US"/>
        </w:rPr>
        <w:t>courts and</w:t>
      </w:r>
      <w:r w:rsidR="00A661B1">
        <w:rPr>
          <w:lang w:eastAsia="en-US"/>
        </w:rPr>
        <w:t xml:space="preserve"> might have had copies</w:t>
      </w:r>
      <w:r w:rsidR="00136A26">
        <w:rPr>
          <w:lang w:eastAsia="en-US"/>
        </w:rPr>
        <w:t xml:space="preserve"> of them in that connection</w:t>
      </w:r>
      <w:r w:rsidR="00A661B1">
        <w:rPr>
          <w:lang w:eastAsia="en-US"/>
        </w:rPr>
        <w:t>.</w:t>
      </w:r>
      <w:r w:rsidR="00CD13B4">
        <w:rPr>
          <w:lang w:eastAsia="en-US"/>
        </w:rPr>
        <w:t xml:space="preserve"> </w:t>
      </w:r>
      <w:r w:rsidR="00E3739C">
        <w:rPr>
          <w:lang w:eastAsia="en-US"/>
        </w:rPr>
        <w:t>In the light of the above, the alleged inacti</w:t>
      </w:r>
      <w:r w:rsidR="00136A26">
        <w:rPr>
          <w:lang w:eastAsia="en-US"/>
        </w:rPr>
        <w:t>on on the part of</w:t>
      </w:r>
      <w:r w:rsidR="00E3739C">
        <w:rPr>
          <w:lang w:eastAsia="en-US"/>
        </w:rPr>
        <w:t xml:space="preserve"> the domestic authorities </w:t>
      </w:r>
      <w:r>
        <w:rPr>
          <w:lang w:eastAsia="en-US"/>
        </w:rPr>
        <w:t xml:space="preserve">does not amount to “hindrance” within the meaning of </w:t>
      </w:r>
      <w:r>
        <w:rPr>
          <w:color w:val="000000"/>
        </w:rPr>
        <w:t>Article 34.</w:t>
      </w:r>
    </w:p>
    <w:p w:rsidR="00AC0C6B" w:rsidP="00AC0C6B" w:rsidRDefault="00AC0C6B">
      <w:pPr>
        <w:pStyle w:val="JuPara"/>
      </w:pPr>
      <w:r>
        <w:rPr>
          <w:lang w:eastAsia="en-US"/>
        </w:rPr>
        <w:fldChar w:fldCharType="begin"/>
      </w:r>
      <w:r>
        <w:rPr>
          <w:lang w:eastAsia="en-US"/>
        </w:rPr>
        <w:instrText xml:space="preserve"> SEQ level0 \*arabic </w:instrText>
      </w:r>
      <w:r>
        <w:rPr>
          <w:lang w:eastAsia="en-US"/>
        </w:rPr>
        <w:fldChar w:fldCharType="separate"/>
      </w:r>
      <w:r w:rsidR="005355EA">
        <w:rPr>
          <w:noProof/>
          <w:lang w:eastAsia="en-US"/>
        </w:rPr>
        <w:t>100</w:t>
      </w:r>
      <w:r>
        <w:rPr>
          <w:lang w:eastAsia="en-US"/>
        </w:rPr>
        <w:fldChar w:fldCharType="end"/>
      </w:r>
      <w:r>
        <w:rPr>
          <w:lang w:eastAsia="en-US"/>
        </w:rPr>
        <w:t>.  As to the authorities</w:t>
      </w:r>
      <w:r w:rsidR="005355EA">
        <w:rPr>
          <w:lang w:eastAsia="en-US"/>
        </w:rPr>
        <w:t>’</w:t>
      </w:r>
      <w:r>
        <w:rPr>
          <w:lang w:eastAsia="en-US"/>
        </w:rPr>
        <w:t xml:space="preserve"> alleged refusal to make </w:t>
      </w:r>
      <w:r>
        <w:t>copies from the applicant</w:t>
      </w:r>
      <w:r w:rsidR="005355EA">
        <w:t>’</w:t>
      </w:r>
      <w:r>
        <w:t xml:space="preserve">s medical file, </w:t>
      </w:r>
      <w:r>
        <w:rPr>
          <w:szCs w:val="24"/>
          <w:lang w:eastAsia="en-US"/>
        </w:rPr>
        <w:t xml:space="preserve">the Court notes that, even assuming that the authorities were informed </w:t>
      </w:r>
      <w:r>
        <w:t xml:space="preserve">what the applicant intended to do with them, the applicant was given access to the file in question, and he has not suggested that he was denied the possibility </w:t>
      </w:r>
      <w:r w:rsidR="003B7674">
        <w:t xml:space="preserve">of </w:t>
      </w:r>
      <w:r>
        <w:t>copy</w:t>
      </w:r>
      <w:r w:rsidR="003B7674">
        <w:t>ing</w:t>
      </w:r>
      <w:r>
        <w:t xml:space="preserve"> the documents himself (by hand, for instance; compare </w:t>
      </w:r>
      <w:r w:rsidRPr="00B5044E">
        <w:rPr>
          <w:i/>
          <w:lang w:eastAsia="en-US"/>
        </w:rPr>
        <w:t>Chaykovskiy</w:t>
      </w:r>
      <w:r w:rsidRPr="00B5044E">
        <w:rPr>
          <w:lang w:val="pt-BR" w:eastAsia="en-US"/>
        </w:rPr>
        <w:t>,</w:t>
      </w:r>
      <w:r>
        <w:rPr>
          <w:lang w:val="pt-BR" w:eastAsia="en-US"/>
        </w:rPr>
        <w:t xml:space="preserve"> cited above, §§ 94-97).</w:t>
      </w:r>
    </w:p>
    <w:p w:rsidRPr="0003609A" w:rsidR="00AC0C6B" w:rsidP="00AC0C6B" w:rsidRDefault="00AC0C6B">
      <w:pPr>
        <w:pStyle w:val="JuPara"/>
        <w:rPr>
          <w:lang w:eastAsia="en-US"/>
        </w:rPr>
      </w:pPr>
      <w:r>
        <w:rPr>
          <w:lang w:eastAsia="en-US"/>
        </w:rPr>
        <w:fldChar w:fldCharType="begin"/>
      </w:r>
      <w:r>
        <w:rPr>
          <w:lang w:eastAsia="en-US"/>
        </w:rPr>
        <w:instrText xml:space="preserve"> SEQ level0 \*arabic </w:instrText>
      </w:r>
      <w:r>
        <w:rPr>
          <w:lang w:eastAsia="en-US"/>
        </w:rPr>
        <w:fldChar w:fldCharType="separate"/>
      </w:r>
      <w:r w:rsidR="005355EA">
        <w:rPr>
          <w:noProof/>
          <w:lang w:eastAsia="en-US"/>
        </w:rPr>
        <w:t>101</w:t>
      </w:r>
      <w:r>
        <w:rPr>
          <w:lang w:eastAsia="en-US"/>
        </w:rPr>
        <w:fldChar w:fldCharType="end"/>
      </w:r>
      <w:r>
        <w:rPr>
          <w:lang w:eastAsia="en-US"/>
        </w:rPr>
        <w:t>.  </w:t>
      </w:r>
      <w:r>
        <w:t xml:space="preserve">Accordingly, </w:t>
      </w:r>
      <w:r w:rsidR="004D1092">
        <w:t>the authorities did not fail to comply with their obligations under</w:t>
      </w:r>
      <w:r>
        <w:t xml:space="preserve"> Article </w:t>
      </w:r>
      <w:r w:rsidRPr="00875813">
        <w:rPr>
          <w:bCs/>
        </w:rPr>
        <w:t>34</w:t>
      </w:r>
      <w:r>
        <w:t xml:space="preserve"> of the Convention.</w:t>
      </w:r>
    </w:p>
    <w:p w:rsidRPr="00333751" w:rsidR="00AC0C6B" w:rsidP="00AC0C6B" w:rsidRDefault="00AC0C6B">
      <w:pPr>
        <w:pStyle w:val="JuHIRoman"/>
      </w:pPr>
      <w:r>
        <w:t>VI</w:t>
      </w:r>
      <w:r w:rsidRPr="00333751">
        <w:t>.  OTHER ALLEGED VIOLATIONS OF THE CONVENTION</w:t>
      </w:r>
    </w:p>
    <w:p w:rsidRPr="00333751" w:rsidR="00AC0C6B" w:rsidP="00AC0C6B" w:rsidRDefault="00AC0C6B">
      <w:pPr>
        <w:pStyle w:val="JuPara"/>
      </w:pPr>
      <w:r>
        <w:fldChar w:fldCharType="begin"/>
      </w:r>
      <w:r>
        <w:instrText xml:space="preserve"> SEQ level0 \*arabic </w:instrText>
      </w:r>
      <w:r>
        <w:fldChar w:fldCharType="separate"/>
      </w:r>
      <w:r w:rsidR="005355EA">
        <w:rPr>
          <w:noProof/>
        </w:rPr>
        <w:t>102</w:t>
      </w:r>
      <w:r>
        <w:fldChar w:fldCharType="end"/>
      </w:r>
      <w:r>
        <w:t>.  </w:t>
      </w:r>
      <w:r w:rsidRPr="00333751">
        <w:t xml:space="preserve">Lastly, the applicant </w:t>
      </w:r>
      <w:r>
        <w:t xml:space="preserve">complained </w:t>
      </w:r>
      <w:r w:rsidRPr="00601458">
        <w:t xml:space="preserve">under Article </w:t>
      </w:r>
      <w:r>
        <w:t xml:space="preserve">6 §§ 1 and 3 (b) and (d) </w:t>
      </w:r>
      <w:r w:rsidRPr="00601458">
        <w:t>of the Convention</w:t>
      </w:r>
      <w:r>
        <w:t xml:space="preserve"> that the criminal proceedings against him had been unfair.</w:t>
      </w:r>
      <w:r w:rsidRPr="00601458">
        <w:t xml:space="preserve"> </w:t>
      </w:r>
      <w:r>
        <w:t xml:space="preserve">In this context he also </w:t>
      </w:r>
      <w:r w:rsidRPr="00333751">
        <w:t xml:space="preserve">complained </w:t>
      </w:r>
      <w:r>
        <w:t xml:space="preserve">that from 31 July 2003 his detention had been unlawful and contrary to </w:t>
      </w:r>
      <w:r w:rsidRPr="00601458">
        <w:t xml:space="preserve">Article </w:t>
      </w:r>
      <w:r>
        <w:t>5 § 1 (a)</w:t>
      </w:r>
      <w:r w:rsidRPr="00601458">
        <w:t xml:space="preserve"> of the Convention</w:t>
      </w:r>
      <w:r>
        <w:t xml:space="preserve">. </w:t>
      </w:r>
      <w:r w:rsidRPr="00601458">
        <w:t>The applicant</w:t>
      </w:r>
      <w:r>
        <w:t xml:space="preserve"> further stated that he had no means of obtaining compensation for his wrongful conviction and ensuing detention, in breach of </w:t>
      </w:r>
      <w:r w:rsidRPr="001119E8">
        <w:t xml:space="preserve">Article </w:t>
      </w:r>
      <w:r>
        <w:t>3</w:t>
      </w:r>
      <w:r w:rsidRPr="001119E8">
        <w:t xml:space="preserve"> of Protocol No. 7</w:t>
      </w:r>
      <w:r>
        <w:t xml:space="preserve">. He also relied on Article 14 </w:t>
      </w:r>
      <w:r w:rsidRPr="00601458">
        <w:t>of the Convention</w:t>
      </w:r>
      <w:r>
        <w:t>.</w:t>
      </w:r>
    </w:p>
    <w:p w:rsidRPr="00B251FE" w:rsidR="00AC0C6B" w:rsidP="00AC0C6B" w:rsidRDefault="00AC0C6B">
      <w:pPr>
        <w:pStyle w:val="JuPara"/>
      </w:pPr>
      <w:r>
        <w:fldChar w:fldCharType="begin"/>
      </w:r>
      <w:r>
        <w:instrText xml:space="preserve"> SEQ level0 \*arabic </w:instrText>
      </w:r>
      <w:r>
        <w:fldChar w:fldCharType="separate"/>
      </w:r>
      <w:r w:rsidR="005355EA">
        <w:rPr>
          <w:noProof/>
        </w:rPr>
        <w:t>103</w:t>
      </w:r>
      <w:r>
        <w:fldChar w:fldCharType="end"/>
      </w:r>
      <w:r>
        <w:t>.  </w:t>
      </w:r>
      <w:r w:rsidRPr="00BA5CFB">
        <w:t>Having carefully considered the applicant</w:t>
      </w:r>
      <w:r w:rsidR="005355EA">
        <w:t>’</w:t>
      </w:r>
      <w:r w:rsidRPr="00BA5CFB">
        <w:t>s submissions in the light of all the material in its possession, the Court finds that, in</w:t>
      </w:r>
      <w:r>
        <w:t xml:space="preserve"> </w:t>
      </w:r>
      <w:r w:rsidRPr="00BA5CFB">
        <w:t>so</w:t>
      </w:r>
      <w:r>
        <w:t xml:space="preserve"> </w:t>
      </w:r>
      <w:r w:rsidRPr="00BA5CFB">
        <w:t>far as the matters complained of are within its competence, they do not disclose any appearance of a violation of the rights and freedoms set out in the Convention.</w:t>
      </w:r>
    </w:p>
    <w:p w:rsidRPr="003A341A" w:rsidR="00AC0C6B" w:rsidP="00AC0C6B" w:rsidRDefault="00AC0C6B">
      <w:pPr>
        <w:pStyle w:val="JuPara"/>
      </w:pPr>
      <w:r>
        <w:fldChar w:fldCharType="begin"/>
      </w:r>
      <w:r>
        <w:instrText xml:space="preserve"> SEQ level0 \*arabic </w:instrText>
      </w:r>
      <w:r>
        <w:fldChar w:fldCharType="separate"/>
      </w:r>
      <w:r w:rsidR="005355EA">
        <w:rPr>
          <w:noProof/>
        </w:rPr>
        <w:t>104</w:t>
      </w:r>
      <w:r>
        <w:fldChar w:fldCharType="end"/>
      </w:r>
      <w:r>
        <w:t>.  </w:t>
      </w:r>
      <w:r w:rsidRPr="00B251FE">
        <w:t>It follows that this part of the application must be declared inadmissible as being manifestly ill-fou</w:t>
      </w:r>
      <w:r>
        <w:t xml:space="preserve">nded, pursuant to Article 35 §§ 3 </w:t>
      </w:r>
      <w:r w:rsidR="004D1092">
        <w:t xml:space="preserve">(a) </w:t>
      </w:r>
      <w:r>
        <w:t>a</w:t>
      </w:r>
      <w:r w:rsidRPr="00B251FE">
        <w:t>nd</w:t>
      </w:r>
      <w:r>
        <w:t> </w:t>
      </w:r>
      <w:r w:rsidRPr="00B251FE">
        <w:t>4 of the Convention</w:t>
      </w:r>
      <w:r>
        <w:t>.</w:t>
      </w:r>
    </w:p>
    <w:p w:rsidRPr="00333751" w:rsidR="00AC0C6B" w:rsidP="00AC0C6B" w:rsidRDefault="00AC0C6B">
      <w:pPr>
        <w:pStyle w:val="JuHIRoman"/>
      </w:pPr>
      <w:r>
        <w:t>VII</w:t>
      </w:r>
      <w:r w:rsidRPr="00333751">
        <w:t>.  APPLICATION OF ARTICLE 41 OF THE CONVENTION</w:t>
      </w:r>
    </w:p>
    <w:p w:rsidRPr="00333751" w:rsidR="00AC0C6B" w:rsidP="00AC0C6B" w:rsidRDefault="00AC0C6B">
      <w:pPr>
        <w:pStyle w:val="JuPara"/>
        <w:keepNext/>
        <w:keepLines/>
      </w:pPr>
      <w:r w:rsidRPr="00333751">
        <w:fldChar w:fldCharType="begin"/>
      </w:r>
      <w:r w:rsidRPr="00333751">
        <w:instrText xml:space="preserve"> SEQ level0 \*arabic </w:instrText>
      </w:r>
      <w:r w:rsidRPr="00333751">
        <w:fldChar w:fldCharType="separate"/>
      </w:r>
      <w:r w:rsidR="005355EA">
        <w:rPr>
          <w:noProof/>
        </w:rPr>
        <w:t>105</w:t>
      </w:r>
      <w:r w:rsidRPr="00333751">
        <w:fldChar w:fldCharType="end"/>
      </w:r>
      <w:r w:rsidRPr="00333751">
        <w:t>.  Article 41 of the Convention provides:</w:t>
      </w:r>
    </w:p>
    <w:p w:rsidRPr="00333751" w:rsidR="00AC0C6B" w:rsidP="00AC0C6B" w:rsidRDefault="00AC0C6B">
      <w:pPr>
        <w:pStyle w:val="JuQuot"/>
        <w:keepNext/>
        <w:keepLines/>
      </w:pPr>
      <w:r w:rsidRPr="00333751">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33751" w:rsidR="00AC0C6B" w:rsidP="00AC0C6B" w:rsidRDefault="00AC0C6B">
      <w:pPr>
        <w:pStyle w:val="JuHA"/>
        <w:keepLines w:val="0"/>
      </w:pPr>
      <w:r w:rsidRPr="00333751">
        <w:t>A.  Damage</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106</w:t>
      </w:r>
      <w:r w:rsidRPr="00333751">
        <w:fldChar w:fldCharType="end"/>
      </w:r>
      <w:r w:rsidRPr="00333751">
        <w:t xml:space="preserve">.  The applicant claimed </w:t>
      </w:r>
      <w:r>
        <w:t>UAH 20,000</w:t>
      </w:r>
      <w:r>
        <w:rPr>
          <w:rStyle w:val="FootnoteReference"/>
          <w:color w:val="000000"/>
          <w:szCs w:val="24"/>
        </w:rPr>
        <w:footnoteReference w:id="2"/>
      </w:r>
      <w:r>
        <w:rPr>
          <w:color w:val="000000"/>
          <w:szCs w:val="24"/>
        </w:rPr>
        <w:t xml:space="preserve"> </w:t>
      </w:r>
      <w:r w:rsidRPr="00333751">
        <w:t xml:space="preserve">in respect of </w:t>
      </w:r>
      <w:r>
        <w:t>pecuniary damage and UAH 200,000</w:t>
      </w:r>
      <w:r>
        <w:rPr>
          <w:rStyle w:val="FootnoteReference"/>
        </w:rPr>
        <w:footnoteReference w:id="3"/>
      </w:r>
      <w:r w:rsidRPr="00333751">
        <w:t xml:space="preserve"> in respect of non-pecuniary damage.</w:t>
      </w:r>
      <w:r>
        <w:t xml:space="preserve"> The first-mentioned amount was for income lost because of his detention in the SIZO, where no </w:t>
      </w:r>
      <w:r w:rsidR="00136A26">
        <w:t xml:space="preserve">work </w:t>
      </w:r>
      <w:r>
        <w:t>was available.</w:t>
      </w:r>
    </w:p>
    <w:p w:rsidRPr="00333751" w:rsidR="00AC0C6B" w:rsidP="00AC0C6B" w:rsidRDefault="00AC0C6B">
      <w:pPr>
        <w:pStyle w:val="JuPara"/>
      </w:pPr>
      <w:r>
        <w:fldChar w:fldCharType="begin"/>
      </w:r>
      <w:r>
        <w:instrText xml:space="preserve"> SEQ level0 \*arabic </w:instrText>
      </w:r>
      <w:r>
        <w:fldChar w:fldCharType="separate"/>
      </w:r>
      <w:r w:rsidR="005355EA">
        <w:rPr>
          <w:noProof/>
        </w:rPr>
        <w:t>107</w:t>
      </w:r>
      <w:r>
        <w:fldChar w:fldCharType="end"/>
      </w:r>
      <w:r>
        <w:t>.  </w:t>
      </w:r>
      <w:r w:rsidRPr="00333751">
        <w:t xml:space="preserve">The Government </w:t>
      </w:r>
      <w:r>
        <w:t>challenged these amounts.</w:t>
      </w:r>
    </w:p>
    <w:p w:rsidRPr="00333751" w:rsidR="00AC0C6B" w:rsidP="00AC0C6B" w:rsidRDefault="00AC0C6B">
      <w:pPr>
        <w:pStyle w:val="JuPara"/>
      </w:pPr>
      <w:r>
        <w:fldChar w:fldCharType="begin"/>
      </w:r>
      <w:r>
        <w:instrText xml:space="preserve"> SEQ level0 \*arabic </w:instrText>
      </w:r>
      <w:r>
        <w:fldChar w:fldCharType="separate"/>
      </w:r>
      <w:r w:rsidR="005355EA">
        <w:rPr>
          <w:noProof/>
        </w:rPr>
        <w:t>108</w:t>
      </w:r>
      <w:r>
        <w:fldChar w:fldCharType="end"/>
      </w:r>
      <w:r>
        <w:t xml:space="preserve">.  The Court </w:t>
      </w:r>
      <w:r w:rsidRPr="00333751">
        <w:t xml:space="preserve">does not discern any causal link between the violation found and the pecuniary damage alleged; it therefore rejects this claim. On the other hand, </w:t>
      </w:r>
      <w:r>
        <w:rPr>
          <w:color w:val="000000"/>
          <w:szCs w:val="24"/>
          <w:lang w:eastAsia="en-GB"/>
        </w:rPr>
        <w:t xml:space="preserve">it considers that the applicant must have sustained non-pecuniary damage. </w:t>
      </w:r>
      <w:bookmarkStart w:name="OLE_LINK4" w:id="29"/>
      <w:bookmarkStart w:name="OLE_LINK5" w:id="30"/>
      <w:r>
        <w:rPr>
          <w:color w:val="000000"/>
          <w:szCs w:val="24"/>
          <w:lang w:eastAsia="en-GB"/>
        </w:rPr>
        <w:t>Ruling on an equitable basis</w:t>
      </w:r>
      <w:bookmarkEnd w:id="29"/>
      <w:bookmarkEnd w:id="30"/>
      <w:r>
        <w:rPr>
          <w:color w:val="000000"/>
          <w:szCs w:val="24"/>
          <w:lang w:eastAsia="en-GB"/>
        </w:rPr>
        <w:t xml:space="preserve">, it awards him </w:t>
      </w:r>
      <w:r>
        <w:t>6,000</w:t>
      </w:r>
      <w:r w:rsidRPr="00333751">
        <w:t xml:space="preserve"> </w:t>
      </w:r>
      <w:r w:rsidR="00D54A57">
        <w:t>euros (</w:t>
      </w:r>
      <w:r w:rsidRPr="00333751" w:rsidR="00D54A57">
        <w:t>EUR</w:t>
      </w:r>
      <w:r w:rsidR="00D54A57">
        <w:t>)</w:t>
      </w:r>
      <w:r w:rsidRPr="00333751" w:rsidR="00D54A57">
        <w:t xml:space="preserve"> </w:t>
      </w:r>
      <w:r>
        <w:t>under that head</w:t>
      </w:r>
      <w:r w:rsidRPr="00333751">
        <w:t>.</w:t>
      </w:r>
    </w:p>
    <w:p w:rsidRPr="00333751" w:rsidR="00AC0C6B" w:rsidP="00AC0C6B" w:rsidRDefault="00AC0C6B">
      <w:pPr>
        <w:pStyle w:val="JuHA"/>
      </w:pPr>
      <w:r w:rsidRPr="00333751">
        <w:t>B.  Costs and expenses</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109</w:t>
      </w:r>
      <w:r w:rsidRPr="00333751">
        <w:fldChar w:fldCharType="end"/>
      </w:r>
      <w:r w:rsidRPr="00333751">
        <w:t>.  </w:t>
      </w:r>
      <w:r>
        <w:rPr>
          <w:color w:val="000000"/>
          <w:szCs w:val="24"/>
          <w:lang w:eastAsia="en-GB"/>
        </w:rPr>
        <w:t>The applicant did not submit any claim under this head. The Court therefore makes no award.</w:t>
      </w:r>
    </w:p>
    <w:p w:rsidRPr="00333751" w:rsidR="00AC0C6B" w:rsidP="00AC0C6B" w:rsidRDefault="00AC0C6B">
      <w:pPr>
        <w:pStyle w:val="JuHA"/>
      </w:pPr>
      <w:r w:rsidRPr="00333751">
        <w:t>C.  Default interest</w:t>
      </w:r>
    </w:p>
    <w:p w:rsidRPr="00333751" w:rsidR="00AC0C6B" w:rsidP="00AC0C6B" w:rsidRDefault="00AC0C6B">
      <w:pPr>
        <w:pStyle w:val="JuPara"/>
      </w:pPr>
      <w:r w:rsidRPr="00333751">
        <w:fldChar w:fldCharType="begin"/>
      </w:r>
      <w:r w:rsidRPr="00333751">
        <w:instrText xml:space="preserve"> SEQ level0 \*arabic </w:instrText>
      </w:r>
      <w:r w:rsidRPr="00333751">
        <w:fldChar w:fldCharType="separate"/>
      </w:r>
      <w:r w:rsidR="005355EA">
        <w:rPr>
          <w:noProof/>
        </w:rPr>
        <w:t>110</w:t>
      </w:r>
      <w:r w:rsidRPr="00333751">
        <w:fldChar w:fldCharType="end"/>
      </w:r>
      <w:r w:rsidRPr="00333751">
        <w:t>.  The Court considers it appropriate that the default interest should be based on the marginal lending rate of the European Central Bank, to which should be added three percentage points.</w:t>
      </w:r>
    </w:p>
    <w:p w:rsidR="00243408" w:rsidP="00AC0C6B" w:rsidRDefault="00AC0C6B">
      <w:pPr>
        <w:pStyle w:val="JuHHead"/>
      </w:pPr>
      <w:r w:rsidRPr="00333751">
        <w:t>FOR THESE REASONS, THE COURT</w:t>
      </w:r>
    </w:p>
    <w:p w:rsidR="00AC0C6B" w:rsidP="00AC0C6B" w:rsidRDefault="00AC0C6B">
      <w:pPr>
        <w:pStyle w:val="JuList"/>
      </w:pPr>
      <w:r w:rsidRPr="00333751">
        <w:t>1.  </w:t>
      </w:r>
      <w:r w:rsidRPr="00333751">
        <w:rPr>
          <w:i/>
        </w:rPr>
        <w:t>Declares</w:t>
      </w:r>
      <w:r w:rsidRPr="00333751">
        <w:t xml:space="preserve"> unanimously</w:t>
      </w:r>
      <w:r>
        <w:t xml:space="preserve"> </w:t>
      </w:r>
      <w:r w:rsidRPr="00333751">
        <w:t xml:space="preserve">the complaint </w:t>
      </w:r>
      <w:r>
        <w:t xml:space="preserve">under Article 3 of the Convention </w:t>
      </w:r>
      <w:r w:rsidRPr="00333751">
        <w:t xml:space="preserve">concerning </w:t>
      </w:r>
      <w:r>
        <w:t>the conditions of the applicant</w:t>
      </w:r>
      <w:r w:rsidR="005355EA">
        <w:t>’</w:t>
      </w:r>
      <w:r>
        <w:t>s detention in the SIZO in the period between</w:t>
      </w:r>
      <w:r w:rsidRPr="00333751">
        <w:t xml:space="preserve"> </w:t>
      </w:r>
      <w:r>
        <w:t xml:space="preserve">2 October 2003 and 10 November 2005 </w:t>
      </w:r>
      <w:r w:rsidRPr="00333751">
        <w:t>admissible;</w:t>
      </w:r>
    </w:p>
    <w:p w:rsidR="00033A96" w:rsidP="00AC0C6B" w:rsidRDefault="00033A96">
      <w:pPr>
        <w:pStyle w:val="JuList"/>
      </w:pPr>
    </w:p>
    <w:p w:rsidR="00492E69" w:rsidP="00AC0C6B" w:rsidRDefault="00033A96">
      <w:pPr>
        <w:pStyle w:val="JuList"/>
      </w:pPr>
      <w:r>
        <w:t>2</w:t>
      </w:r>
      <w:r w:rsidRPr="00333751">
        <w:t>.  </w:t>
      </w:r>
      <w:r w:rsidRPr="00333751">
        <w:rPr>
          <w:i/>
        </w:rPr>
        <w:t>Declares</w:t>
      </w:r>
      <w:r w:rsidRPr="00333751">
        <w:t xml:space="preserve"> by a majority</w:t>
      </w:r>
      <w:r w:rsidRPr="00033A96">
        <w:t xml:space="preserve"> </w:t>
      </w:r>
      <w:r w:rsidR="00492E69">
        <w:t>the complaint under Article 5 § 3 of the Convention inadmissible;</w:t>
      </w:r>
    </w:p>
    <w:p w:rsidR="00492E69" w:rsidP="00AC0C6B" w:rsidRDefault="00492E69">
      <w:pPr>
        <w:pStyle w:val="JuList"/>
      </w:pPr>
    </w:p>
    <w:p w:rsidRPr="00333751" w:rsidR="00033A96" w:rsidP="00AC0C6B" w:rsidRDefault="00492E69">
      <w:pPr>
        <w:pStyle w:val="JuList"/>
      </w:pPr>
      <w:r>
        <w:t>3.</w:t>
      </w:r>
      <w:r>
        <w:tab/>
      </w:r>
      <w:r w:rsidRPr="00333751">
        <w:rPr>
          <w:i/>
        </w:rPr>
        <w:t>Declares</w:t>
      </w:r>
      <w:r w:rsidRPr="00333751">
        <w:t xml:space="preserve"> unanimously</w:t>
      </w:r>
      <w:r>
        <w:t xml:space="preserve"> </w:t>
      </w:r>
      <w:r w:rsidRPr="00333751" w:rsidR="00033A96">
        <w:t>the remainder of the application inadmissible</w:t>
      </w:r>
      <w:r w:rsidR="00033A96">
        <w:t>;</w:t>
      </w:r>
    </w:p>
    <w:p w:rsidR="00AC0C6B" w:rsidP="00AC0C6B" w:rsidRDefault="00AC0C6B">
      <w:pPr>
        <w:pStyle w:val="JuList"/>
      </w:pPr>
    </w:p>
    <w:p w:rsidRPr="00333751" w:rsidR="00AC0C6B" w:rsidP="00AC0C6B" w:rsidRDefault="00492E69">
      <w:pPr>
        <w:pStyle w:val="JuList"/>
      </w:pPr>
      <w:r>
        <w:t>4</w:t>
      </w:r>
      <w:r w:rsidRPr="00333751" w:rsidR="00AC0C6B">
        <w:t>.  </w:t>
      </w:r>
      <w:r w:rsidRPr="00333751" w:rsidR="00AC0C6B">
        <w:rPr>
          <w:i/>
        </w:rPr>
        <w:t>Holds</w:t>
      </w:r>
      <w:r w:rsidR="00033A96">
        <w:t xml:space="preserve"> </w:t>
      </w:r>
      <w:r w:rsidRPr="00333751" w:rsidR="00AC0C6B">
        <w:t>unanimously</w:t>
      </w:r>
      <w:r w:rsidR="00AC0C6B">
        <w:t xml:space="preserve"> </w:t>
      </w:r>
      <w:r w:rsidRPr="00333751" w:rsidR="00AC0C6B">
        <w:t xml:space="preserve">that there has been a violation of Article </w:t>
      </w:r>
      <w:r w:rsidR="00AC0C6B">
        <w:t>3</w:t>
      </w:r>
      <w:r w:rsidRPr="00333751" w:rsidR="00AC0C6B">
        <w:t xml:space="preserve"> of the Convention;</w:t>
      </w:r>
    </w:p>
    <w:p w:rsidRPr="00333751" w:rsidR="00AC0C6B" w:rsidP="00AC0C6B" w:rsidRDefault="00AC0C6B">
      <w:pPr>
        <w:pStyle w:val="JuList"/>
      </w:pPr>
    </w:p>
    <w:p w:rsidRPr="00333751" w:rsidR="00AC0C6B" w:rsidP="00AC0C6B" w:rsidRDefault="00492E69">
      <w:pPr>
        <w:pStyle w:val="JuList"/>
      </w:pPr>
      <w:r>
        <w:t>5</w:t>
      </w:r>
      <w:r w:rsidRPr="00333751" w:rsidR="00AC0C6B">
        <w:t>.  </w:t>
      </w:r>
      <w:r w:rsidRPr="00333751" w:rsidR="00AC0C6B">
        <w:rPr>
          <w:i/>
        </w:rPr>
        <w:t>Holds</w:t>
      </w:r>
      <w:r w:rsidRPr="00333751" w:rsidR="00AC0C6B">
        <w:t xml:space="preserve"> unanimously that </w:t>
      </w:r>
      <w:smartTag w:uri="urn:schemas-microsoft-com:office:smarttags" w:element="place">
        <w:smartTag w:uri="urn:schemas-microsoft-com:office:smarttags" w:element="country-region">
          <w:r w:rsidR="00AC0C6B">
            <w:t>Ukraine</w:t>
          </w:r>
        </w:smartTag>
      </w:smartTag>
      <w:r w:rsidR="00AC0C6B">
        <w:t xml:space="preserve"> has not failed to comply with its obligations under Article </w:t>
      </w:r>
      <w:r w:rsidRPr="001E3F51" w:rsidR="00AC0C6B">
        <w:rPr>
          <w:bCs/>
        </w:rPr>
        <w:t>34</w:t>
      </w:r>
      <w:r w:rsidR="00AC0C6B">
        <w:t xml:space="preserve"> of the Convention</w:t>
      </w:r>
      <w:r w:rsidRPr="00333751" w:rsidR="00AC0C6B">
        <w:t>;</w:t>
      </w:r>
    </w:p>
    <w:p w:rsidRPr="00333751" w:rsidR="00AC0C6B" w:rsidP="00AC0C6B" w:rsidRDefault="00AC0C6B">
      <w:pPr>
        <w:pStyle w:val="JuList"/>
      </w:pPr>
    </w:p>
    <w:p w:rsidRPr="00333751" w:rsidR="00AC0C6B" w:rsidP="00AC0C6B" w:rsidRDefault="00492E69">
      <w:pPr>
        <w:pStyle w:val="JuList"/>
      </w:pPr>
      <w:r>
        <w:t>6</w:t>
      </w:r>
      <w:r w:rsidRPr="00333751" w:rsidR="00AC0C6B">
        <w:t>.  </w:t>
      </w:r>
      <w:r w:rsidRPr="00333751" w:rsidR="00AC0C6B">
        <w:rPr>
          <w:i/>
        </w:rPr>
        <w:t>Holds</w:t>
      </w:r>
      <w:r w:rsidRPr="00333751" w:rsidR="00AC0C6B">
        <w:t xml:space="preserve"> unanimously</w:t>
      </w:r>
    </w:p>
    <w:p w:rsidRPr="00333751" w:rsidR="00AC0C6B" w:rsidP="00AC0C6B" w:rsidRDefault="00AC0C6B">
      <w:pPr>
        <w:pStyle w:val="JuLista"/>
      </w:pPr>
      <w:r w:rsidRPr="00333751">
        <w:t xml:space="preserve">(a)  that the respondent State is to pay the applicant, within three months from the date on which the judgment becomes final in accordance with Article 44 § 2 of the Convention, EUR </w:t>
      </w:r>
      <w:r>
        <w:t>6,000</w:t>
      </w:r>
      <w:r w:rsidRPr="00333751">
        <w:t xml:space="preserve"> (</w:t>
      </w:r>
      <w:r>
        <w:t>six thousand euros)</w:t>
      </w:r>
      <w:r w:rsidRPr="00333751">
        <w:t xml:space="preserve">, plus any tax that may be chargeable, in respect of non-pecuniary damage, to be converted into </w:t>
      </w:r>
      <w:r>
        <w:rPr>
          <w:color w:val="000000"/>
          <w:szCs w:val="24"/>
          <w:lang w:eastAsia="en-GB"/>
        </w:rPr>
        <w:t>the national currency of the respondent State</w:t>
      </w:r>
      <w:r w:rsidRPr="00333751">
        <w:t xml:space="preserve"> at the rate applicable at the date of settlement;</w:t>
      </w:r>
    </w:p>
    <w:p w:rsidRPr="00333751" w:rsidR="00AC0C6B" w:rsidP="00AC0C6B" w:rsidRDefault="00AC0C6B">
      <w:pPr>
        <w:pStyle w:val="JuLista"/>
      </w:pPr>
      <w:r w:rsidRPr="00333751">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333751" w:rsidR="00AC0C6B" w:rsidP="00AC0C6B" w:rsidRDefault="00AC0C6B">
      <w:pPr>
        <w:pStyle w:val="JuList"/>
      </w:pPr>
    </w:p>
    <w:p w:rsidR="00AC0C6B" w:rsidP="00AC0C6B" w:rsidRDefault="00492E69">
      <w:pPr>
        <w:pStyle w:val="JuList"/>
      </w:pPr>
      <w:r>
        <w:t>7</w:t>
      </w:r>
      <w:r w:rsidRPr="00333751" w:rsidR="00AC0C6B">
        <w:t>.  </w:t>
      </w:r>
      <w:r w:rsidRPr="00333751" w:rsidR="00AC0C6B">
        <w:rPr>
          <w:i/>
        </w:rPr>
        <w:t>Dismisses</w:t>
      </w:r>
      <w:r w:rsidRPr="00333751" w:rsidR="00AC0C6B">
        <w:t xml:space="preserve"> unanimously the remainder of the applicant</w:t>
      </w:r>
      <w:r w:rsidR="005355EA">
        <w:t>’</w:t>
      </w:r>
      <w:r w:rsidRPr="00333751" w:rsidR="00AC0C6B">
        <w:t>s claim for just satisfaction.</w:t>
      </w:r>
    </w:p>
    <w:p w:rsidRPr="00333751" w:rsidR="00AC0C6B" w:rsidP="00AC0C6B" w:rsidRDefault="00AC0C6B">
      <w:pPr>
        <w:pStyle w:val="JuParaLast"/>
      </w:pPr>
      <w:r w:rsidRPr="00333751">
        <w:t xml:space="preserve">Done in English, and notified in writing on </w:t>
      </w:r>
      <w:r w:rsidR="001F0C2D">
        <w:t>12 January 2012</w:t>
      </w:r>
      <w:r w:rsidRPr="00333751">
        <w:t>, pursuant to Rule 77 §§ 2 and 3 of the Rules of Court.</w:t>
      </w:r>
    </w:p>
    <w:p w:rsidRPr="005113DC" w:rsidR="0079187F" w:rsidP="000856F0" w:rsidRDefault="00AC0C6B">
      <w:pPr>
        <w:pStyle w:val="JuSigned"/>
        <w:keepNext/>
        <w:keepLines/>
      </w:pPr>
      <w:r w:rsidRPr="00333751">
        <w:tab/>
        <w:t>Claudia Westerdiek</w:t>
      </w:r>
      <w:r w:rsidRPr="00333751">
        <w:tab/>
      </w:r>
      <w:r>
        <w:t>Dean Spielmann</w:t>
      </w:r>
      <w:r w:rsidRPr="00333751">
        <w:br/>
      </w:r>
      <w:r w:rsidRPr="00333751">
        <w:tab/>
        <w:t>Registrar</w:t>
      </w:r>
      <w:r w:rsidRPr="00333751">
        <w:tab/>
        <w:t>President</w:t>
      </w:r>
    </w:p>
    <w:sectPr w:rsidRPr="005113DC" w:rsidR="0079187F" w:rsidSect="001F0C2D">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F60" w:rsidRDefault="006F4F60">
      <w:r>
        <w:separator/>
      </w:r>
    </w:p>
  </w:endnote>
  <w:endnote w:type="continuationSeparator" w:id="0">
    <w:p w:rsidR="006F4F60" w:rsidRDefault="006F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60" w:rsidRPr="00150BFA" w:rsidRDefault="006F4F60" w:rsidP="00B84F85">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6F4F60" w:rsidRDefault="006F4F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F60" w:rsidRDefault="006F4F60">
      <w:r>
        <w:separator/>
      </w:r>
    </w:p>
  </w:footnote>
  <w:footnote w:type="continuationSeparator" w:id="0">
    <w:p w:rsidR="006F4F60" w:rsidRDefault="006F4F60">
      <w:r>
        <w:continuationSeparator/>
      </w:r>
    </w:p>
  </w:footnote>
  <w:footnote w:id="1">
    <w:p w:rsidR="006F4F60" w:rsidRDefault="006F4F60" w:rsidP="00AC0C6B">
      <w:pPr>
        <w:pStyle w:val="FootnoteText"/>
      </w:pPr>
      <w:r>
        <w:rPr>
          <w:rStyle w:val="FootnoteReference"/>
        </w:rPr>
        <w:footnoteRef/>
      </w:r>
      <w:r>
        <w:t xml:space="preserve"> At the material time around 2,411 euros (EUR).</w:t>
      </w:r>
    </w:p>
  </w:footnote>
  <w:footnote w:id="2">
    <w:p w:rsidR="006F4F60" w:rsidRDefault="006F4F60" w:rsidP="00AC0C6B">
      <w:pPr>
        <w:pStyle w:val="FootnoteText"/>
      </w:pPr>
      <w:r>
        <w:rPr>
          <w:rStyle w:val="FootnoteReference"/>
        </w:rPr>
        <w:footnoteRef/>
      </w:r>
      <w:r>
        <w:t xml:space="preserve"> About EUR </w:t>
      </w:r>
      <w:r w:rsidRPr="0092489A">
        <w:rPr>
          <w:color w:val="000000"/>
          <w:szCs w:val="24"/>
        </w:rPr>
        <w:t>1</w:t>
      </w:r>
      <w:r>
        <w:rPr>
          <w:color w:val="000000"/>
          <w:szCs w:val="24"/>
        </w:rPr>
        <w:t>,</w:t>
      </w:r>
      <w:r w:rsidRPr="0092489A">
        <w:rPr>
          <w:color w:val="000000"/>
          <w:szCs w:val="24"/>
        </w:rPr>
        <w:t>895</w:t>
      </w:r>
      <w:r>
        <w:rPr>
          <w:color w:val="000000"/>
          <w:szCs w:val="24"/>
        </w:rPr>
        <w:t>.</w:t>
      </w:r>
      <w:r w:rsidRPr="0092489A">
        <w:rPr>
          <w:color w:val="000000"/>
          <w:szCs w:val="24"/>
        </w:rPr>
        <w:t>85</w:t>
      </w:r>
      <w:r>
        <w:t>.</w:t>
      </w:r>
    </w:p>
  </w:footnote>
  <w:footnote w:id="3">
    <w:p w:rsidR="006F4F60" w:rsidRDefault="006F4F60" w:rsidP="00AC0C6B">
      <w:pPr>
        <w:pStyle w:val="FootnoteText"/>
      </w:pPr>
      <w:r>
        <w:rPr>
          <w:rStyle w:val="FootnoteReference"/>
        </w:rPr>
        <w:footnoteRef/>
      </w:r>
      <w:r>
        <w:t xml:space="preserve"> About EUR </w:t>
      </w:r>
      <w:r w:rsidRPr="0092489A">
        <w:t>18</w:t>
      </w:r>
      <w:r>
        <w:t>,</w:t>
      </w:r>
      <w:r w:rsidRPr="0092489A">
        <w:t>958</w:t>
      </w:r>
      <w:r>
        <w:t>.</w:t>
      </w:r>
      <w:r w:rsidRPr="0092489A">
        <w:t>5</w:t>
      </w:r>
      <w:r>
        <w:t>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60" w:rsidRPr="001F0C2D" w:rsidRDefault="006F4F60" w:rsidP="001F0C2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60" w:rsidRPr="00C00F0F" w:rsidRDefault="006F4F60">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6F4F60" w:rsidRDefault="006F4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60" w:rsidRDefault="006F4F60">
    <w:pPr>
      <w:pStyle w:val="JuHeader"/>
    </w:pPr>
    <w:r>
      <w:rPr>
        <w:rStyle w:val="PageNumber"/>
      </w:rPr>
      <w:fldChar w:fldCharType="begin"/>
    </w:r>
    <w:r>
      <w:rPr>
        <w:rStyle w:val="PageNumber"/>
      </w:rPr>
      <w:instrText xml:space="preserve"> PAGE </w:instrText>
    </w:r>
    <w:r>
      <w:rPr>
        <w:rStyle w:val="PageNumber"/>
      </w:rPr>
      <w:fldChar w:fldCharType="separate"/>
    </w:r>
    <w:r w:rsidR="005355EA">
      <w:rPr>
        <w:rStyle w:val="PageNumber"/>
        <w:noProof/>
      </w:rPr>
      <w:t>18</w:t>
    </w:r>
    <w:r>
      <w:rPr>
        <w:rStyle w:val="PageNumber"/>
      </w:rPr>
      <w:fldChar w:fldCharType="end"/>
    </w:r>
    <w:r>
      <w:tab/>
      <w:t xml:space="preserve">USTYANTSEV v. </w:t>
    </w:r>
    <w:smartTag w:uri="urn:schemas-microsoft-com:office:smarttags" w:element="country-region">
      <w:smartTag w:uri="urn:schemas-microsoft-com:office:smarttags" w:element="place">
        <w:r>
          <w:t>UKRAINE</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60" w:rsidRDefault="006F4F60">
    <w:pPr>
      <w:pStyle w:val="JuHeader"/>
    </w:pPr>
    <w:r>
      <w:tab/>
      <w:t xml:space="preserve">USTYANTSEV v. </w:t>
    </w:r>
    <w:smartTag w:uri="urn:schemas-microsoft-com:office:smarttags" w:element="country-region">
      <w:smartTag w:uri="urn:schemas-microsoft-com:office:smarttags" w:element="place">
        <w:r>
          <w:t>UKRAINE</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5355EA">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30D81817"/>
    <w:multiLevelType w:val="hybridMultilevel"/>
    <w:tmpl w:val="E8AA85B0"/>
    <w:lvl w:ilvl="0" w:tplc="B03C9C28">
      <w:numFmt w:val="bullet"/>
      <w:lvlText w:val="-"/>
      <w:lvlJc w:val="left"/>
      <w:pPr>
        <w:tabs>
          <w:tab w:val="num" w:pos="1004"/>
        </w:tabs>
        <w:ind w:left="1004" w:hanging="360"/>
      </w:pPr>
      <w:rPr>
        <w:rFonts w:ascii="Times New Roman" w:eastAsia="Times New Roman" w:hAnsi="Times New Roman" w:cs="Times New Roma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58BD04D4"/>
    <w:multiLevelType w:val="hybridMultilevel"/>
    <w:tmpl w:val="D18A3CD6"/>
    <w:lvl w:ilvl="0" w:tplc="B03C9C28">
      <w:numFmt w:val="bullet"/>
      <w:lvlText w:val="-"/>
      <w:lvlJc w:val="left"/>
      <w:pPr>
        <w:tabs>
          <w:tab w:val="num" w:pos="1004"/>
        </w:tabs>
        <w:ind w:left="1004" w:hanging="360"/>
      </w:pPr>
      <w:rPr>
        <w:rFonts w:ascii="Times New Roman" w:eastAsia="Times New Roman" w:hAnsi="Times New Roman" w:cs="Times New Roma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
    <w:nsid w:val="5A8B3CC6"/>
    <w:multiLevelType w:val="hybridMultilevel"/>
    <w:tmpl w:val="3FAC23F0"/>
    <w:lvl w:ilvl="0" w:tplc="E4203DB8">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nsid w:val="7BBE6CBD"/>
    <w:multiLevelType w:val="hybridMultilevel"/>
    <w:tmpl w:val="5B122094"/>
    <w:lvl w:ilvl="0" w:tplc="4FDAD2AA">
      <w:start w:val="1"/>
      <w:numFmt w:val="decimal"/>
      <w:pStyle w:val="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87"/>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EMM" w:val="0"/>
    <w:docVar w:name="ETRANSMISSION" w:val=" "/>
    <w:docVar w:name="L4_1Annex" w:val="0"/>
    <w:docVar w:name="L4_1Anonymity" w:val="0"/>
    <w:docVar w:name="NBEMMDOC" w:val="0"/>
    <w:docVar w:name="SignForeName" w:val="0"/>
  </w:docVars>
  <w:rsids>
    <w:rsidRoot w:val="009B76D8"/>
    <w:rsid w:val="00001F8B"/>
    <w:rsid w:val="000322A1"/>
    <w:rsid w:val="00033A96"/>
    <w:rsid w:val="00033FD2"/>
    <w:rsid w:val="0003679E"/>
    <w:rsid w:val="00055AC1"/>
    <w:rsid w:val="000726F6"/>
    <w:rsid w:val="00076A67"/>
    <w:rsid w:val="000856F0"/>
    <w:rsid w:val="00085837"/>
    <w:rsid w:val="00085B3A"/>
    <w:rsid w:val="00090C82"/>
    <w:rsid w:val="000D6108"/>
    <w:rsid w:val="000E1449"/>
    <w:rsid w:val="000E550F"/>
    <w:rsid w:val="000E78EB"/>
    <w:rsid w:val="000F19E9"/>
    <w:rsid w:val="000F699D"/>
    <w:rsid w:val="00104AD1"/>
    <w:rsid w:val="00111D99"/>
    <w:rsid w:val="001137DB"/>
    <w:rsid w:val="0011665B"/>
    <w:rsid w:val="00126213"/>
    <w:rsid w:val="001345EF"/>
    <w:rsid w:val="00136A26"/>
    <w:rsid w:val="00154A87"/>
    <w:rsid w:val="001812B2"/>
    <w:rsid w:val="0018360A"/>
    <w:rsid w:val="00197C29"/>
    <w:rsid w:val="001A0EBE"/>
    <w:rsid w:val="001B62B1"/>
    <w:rsid w:val="001B74F7"/>
    <w:rsid w:val="001F0C2D"/>
    <w:rsid w:val="001F5586"/>
    <w:rsid w:val="00222170"/>
    <w:rsid w:val="00225BE5"/>
    <w:rsid w:val="00225E76"/>
    <w:rsid w:val="002266CD"/>
    <w:rsid w:val="002300DE"/>
    <w:rsid w:val="00237414"/>
    <w:rsid w:val="002403DB"/>
    <w:rsid w:val="00243408"/>
    <w:rsid w:val="00252B31"/>
    <w:rsid w:val="0026789F"/>
    <w:rsid w:val="00297942"/>
    <w:rsid w:val="002C4BB0"/>
    <w:rsid w:val="002F6FE9"/>
    <w:rsid w:val="00312B31"/>
    <w:rsid w:val="0031573C"/>
    <w:rsid w:val="0032093A"/>
    <w:rsid w:val="00325C2B"/>
    <w:rsid w:val="00332547"/>
    <w:rsid w:val="00336887"/>
    <w:rsid w:val="00337600"/>
    <w:rsid w:val="00343F8D"/>
    <w:rsid w:val="00371277"/>
    <w:rsid w:val="003812A2"/>
    <w:rsid w:val="003832D5"/>
    <w:rsid w:val="00387E4B"/>
    <w:rsid w:val="00391EE9"/>
    <w:rsid w:val="003A2FD6"/>
    <w:rsid w:val="003B50D7"/>
    <w:rsid w:val="003B7674"/>
    <w:rsid w:val="003E2006"/>
    <w:rsid w:val="003E319C"/>
    <w:rsid w:val="003F3BFD"/>
    <w:rsid w:val="00401C5B"/>
    <w:rsid w:val="00413EFC"/>
    <w:rsid w:val="004206B1"/>
    <w:rsid w:val="00423319"/>
    <w:rsid w:val="00432AE1"/>
    <w:rsid w:val="004406AA"/>
    <w:rsid w:val="00442ED9"/>
    <w:rsid w:val="00457A18"/>
    <w:rsid w:val="00460FAD"/>
    <w:rsid w:val="0048392D"/>
    <w:rsid w:val="00485A6F"/>
    <w:rsid w:val="00486BC9"/>
    <w:rsid w:val="004920B1"/>
    <w:rsid w:val="00492E69"/>
    <w:rsid w:val="004954A1"/>
    <w:rsid w:val="004C5438"/>
    <w:rsid w:val="004D1092"/>
    <w:rsid w:val="004E5DFC"/>
    <w:rsid w:val="0050096C"/>
    <w:rsid w:val="005113DC"/>
    <w:rsid w:val="00516EBF"/>
    <w:rsid w:val="00522362"/>
    <w:rsid w:val="005355EA"/>
    <w:rsid w:val="005419B6"/>
    <w:rsid w:val="00546F49"/>
    <w:rsid w:val="0056771C"/>
    <w:rsid w:val="005777BA"/>
    <w:rsid w:val="00577E6A"/>
    <w:rsid w:val="005859B7"/>
    <w:rsid w:val="005B16A8"/>
    <w:rsid w:val="005B2F23"/>
    <w:rsid w:val="005B4233"/>
    <w:rsid w:val="005C1929"/>
    <w:rsid w:val="005C1956"/>
    <w:rsid w:val="005C2C88"/>
    <w:rsid w:val="005C41CB"/>
    <w:rsid w:val="005D22F2"/>
    <w:rsid w:val="005E384F"/>
    <w:rsid w:val="005F7A10"/>
    <w:rsid w:val="006111FF"/>
    <w:rsid w:val="00613D01"/>
    <w:rsid w:val="0062787C"/>
    <w:rsid w:val="00640B82"/>
    <w:rsid w:val="00655126"/>
    <w:rsid w:val="006639B6"/>
    <w:rsid w:val="00691B8D"/>
    <w:rsid w:val="00697F14"/>
    <w:rsid w:val="006A3D9D"/>
    <w:rsid w:val="006A7C48"/>
    <w:rsid w:val="006C2B52"/>
    <w:rsid w:val="006C35C5"/>
    <w:rsid w:val="006C48A0"/>
    <w:rsid w:val="006D19ED"/>
    <w:rsid w:val="006D4F03"/>
    <w:rsid w:val="006E0504"/>
    <w:rsid w:val="006E54CF"/>
    <w:rsid w:val="006E6D33"/>
    <w:rsid w:val="006F4F60"/>
    <w:rsid w:val="006F6CC1"/>
    <w:rsid w:val="007156E0"/>
    <w:rsid w:val="00716B5D"/>
    <w:rsid w:val="00730053"/>
    <w:rsid w:val="00730433"/>
    <w:rsid w:val="007352DD"/>
    <w:rsid w:val="00750E5E"/>
    <w:rsid w:val="00756D5B"/>
    <w:rsid w:val="0077789B"/>
    <w:rsid w:val="0078062F"/>
    <w:rsid w:val="0078141C"/>
    <w:rsid w:val="007827E7"/>
    <w:rsid w:val="00785484"/>
    <w:rsid w:val="0079187F"/>
    <w:rsid w:val="007A1FFE"/>
    <w:rsid w:val="007A357A"/>
    <w:rsid w:val="007A6DBA"/>
    <w:rsid w:val="007A7456"/>
    <w:rsid w:val="007C1CE3"/>
    <w:rsid w:val="007D0D75"/>
    <w:rsid w:val="007E1E48"/>
    <w:rsid w:val="007F2FAC"/>
    <w:rsid w:val="007F55EC"/>
    <w:rsid w:val="008024F8"/>
    <w:rsid w:val="00806E5F"/>
    <w:rsid w:val="00807DDB"/>
    <w:rsid w:val="008127E5"/>
    <w:rsid w:val="00845750"/>
    <w:rsid w:val="00846856"/>
    <w:rsid w:val="00853345"/>
    <w:rsid w:val="008824B9"/>
    <w:rsid w:val="0088315D"/>
    <w:rsid w:val="00886BB5"/>
    <w:rsid w:val="008C6F68"/>
    <w:rsid w:val="008D23B4"/>
    <w:rsid w:val="008D71C5"/>
    <w:rsid w:val="008E05A3"/>
    <w:rsid w:val="008F1366"/>
    <w:rsid w:val="00910566"/>
    <w:rsid w:val="00930CD7"/>
    <w:rsid w:val="009321C6"/>
    <w:rsid w:val="00932C7B"/>
    <w:rsid w:val="0094239F"/>
    <w:rsid w:val="0095033E"/>
    <w:rsid w:val="00956501"/>
    <w:rsid w:val="00965BD4"/>
    <w:rsid w:val="0098535B"/>
    <w:rsid w:val="00995F44"/>
    <w:rsid w:val="009B039E"/>
    <w:rsid w:val="009B15A1"/>
    <w:rsid w:val="009B76D8"/>
    <w:rsid w:val="009C278A"/>
    <w:rsid w:val="009D4B87"/>
    <w:rsid w:val="009E4FD6"/>
    <w:rsid w:val="009F07CC"/>
    <w:rsid w:val="009F18CE"/>
    <w:rsid w:val="009F2B60"/>
    <w:rsid w:val="009F5625"/>
    <w:rsid w:val="00A012A5"/>
    <w:rsid w:val="00A135BE"/>
    <w:rsid w:val="00A32B81"/>
    <w:rsid w:val="00A371E2"/>
    <w:rsid w:val="00A5331A"/>
    <w:rsid w:val="00A661B1"/>
    <w:rsid w:val="00A7049C"/>
    <w:rsid w:val="00A71150"/>
    <w:rsid w:val="00A80135"/>
    <w:rsid w:val="00A824EF"/>
    <w:rsid w:val="00A8381C"/>
    <w:rsid w:val="00A95382"/>
    <w:rsid w:val="00AA0A20"/>
    <w:rsid w:val="00AA373E"/>
    <w:rsid w:val="00AA7CA2"/>
    <w:rsid w:val="00AB1BB9"/>
    <w:rsid w:val="00AB2166"/>
    <w:rsid w:val="00AC0C6B"/>
    <w:rsid w:val="00AC134B"/>
    <w:rsid w:val="00AC5EB9"/>
    <w:rsid w:val="00AD57B2"/>
    <w:rsid w:val="00AE2F4F"/>
    <w:rsid w:val="00B0594B"/>
    <w:rsid w:val="00B27FB8"/>
    <w:rsid w:val="00B34917"/>
    <w:rsid w:val="00B3608A"/>
    <w:rsid w:val="00B37991"/>
    <w:rsid w:val="00B460AF"/>
    <w:rsid w:val="00B520A7"/>
    <w:rsid w:val="00B64488"/>
    <w:rsid w:val="00B662B2"/>
    <w:rsid w:val="00B6763B"/>
    <w:rsid w:val="00B767CE"/>
    <w:rsid w:val="00B81192"/>
    <w:rsid w:val="00B84F85"/>
    <w:rsid w:val="00B921A8"/>
    <w:rsid w:val="00BC341C"/>
    <w:rsid w:val="00BC7EEE"/>
    <w:rsid w:val="00BD19AE"/>
    <w:rsid w:val="00BD1D4A"/>
    <w:rsid w:val="00BE50FE"/>
    <w:rsid w:val="00BE5958"/>
    <w:rsid w:val="00C00710"/>
    <w:rsid w:val="00C01E1C"/>
    <w:rsid w:val="00C02E48"/>
    <w:rsid w:val="00C0325E"/>
    <w:rsid w:val="00C27EF9"/>
    <w:rsid w:val="00C30671"/>
    <w:rsid w:val="00C6454F"/>
    <w:rsid w:val="00C94EDA"/>
    <w:rsid w:val="00C96EBF"/>
    <w:rsid w:val="00CD13B4"/>
    <w:rsid w:val="00CD5D90"/>
    <w:rsid w:val="00CE1C9D"/>
    <w:rsid w:val="00CF166A"/>
    <w:rsid w:val="00D00569"/>
    <w:rsid w:val="00D02BAD"/>
    <w:rsid w:val="00D102A7"/>
    <w:rsid w:val="00D15473"/>
    <w:rsid w:val="00D33169"/>
    <w:rsid w:val="00D353F4"/>
    <w:rsid w:val="00D357B5"/>
    <w:rsid w:val="00D37D45"/>
    <w:rsid w:val="00D54A57"/>
    <w:rsid w:val="00D630AC"/>
    <w:rsid w:val="00D63793"/>
    <w:rsid w:val="00D67CD7"/>
    <w:rsid w:val="00D72F19"/>
    <w:rsid w:val="00D90810"/>
    <w:rsid w:val="00DB6D67"/>
    <w:rsid w:val="00DC2093"/>
    <w:rsid w:val="00DC5C22"/>
    <w:rsid w:val="00DE5E8F"/>
    <w:rsid w:val="00E25C9B"/>
    <w:rsid w:val="00E32971"/>
    <w:rsid w:val="00E3739C"/>
    <w:rsid w:val="00E526A4"/>
    <w:rsid w:val="00E81663"/>
    <w:rsid w:val="00E818FF"/>
    <w:rsid w:val="00E835E7"/>
    <w:rsid w:val="00E9155E"/>
    <w:rsid w:val="00EB1FE8"/>
    <w:rsid w:val="00EB41E9"/>
    <w:rsid w:val="00EB5EBC"/>
    <w:rsid w:val="00EC34DF"/>
    <w:rsid w:val="00ED12C3"/>
    <w:rsid w:val="00ED3AC7"/>
    <w:rsid w:val="00EE1252"/>
    <w:rsid w:val="00EE47FF"/>
    <w:rsid w:val="00EE7911"/>
    <w:rsid w:val="00EF2384"/>
    <w:rsid w:val="00F10E8E"/>
    <w:rsid w:val="00F22E8B"/>
    <w:rsid w:val="00F43FF3"/>
    <w:rsid w:val="00F5124B"/>
    <w:rsid w:val="00F71A6A"/>
    <w:rsid w:val="00F73D18"/>
    <w:rsid w:val="00F846DC"/>
    <w:rsid w:val="00F94742"/>
    <w:rsid w:val="00F95CB4"/>
    <w:rsid w:val="00FA0CE1"/>
    <w:rsid w:val="00FA36A5"/>
    <w:rsid w:val="00FD14F3"/>
    <w:rsid w:val="00FD3E2F"/>
    <w:rsid w:val="00FE6E31"/>
    <w:rsid w:val="00FE7B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8824B9"/>
    <w:pPr>
      <w:tabs>
        <w:tab w:val="clear" w:pos="357"/>
      </w:tabs>
    </w:pPr>
    <w:rPr>
      <w:b/>
    </w:rPr>
  </w:style>
  <w:style w:type="paragraph" w:customStyle="1" w:styleId="JuHIRoman">
    <w:name w:val="Ju_H_I_Roman"/>
    <w:basedOn w:val="JuHHead"/>
    <w:next w:val="JuPara"/>
    <w:rsid w:val="008824B9"/>
    <w:pPr>
      <w:tabs>
        <w:tab w:val="left" w:pos="357"/>
      </w:tabs>
      <w:spacing w:before="360"/>
      <w:ind w:left="357" w:hanging="357"/>
      <w:outlineLvl w:val="1"/>
    </w:pPr>
    <w:rPr>
      <w:sz w:val="24"/>
    </w:rPr>
  </w:style>
  <w:style w:type="paragraph" w:customStyle="1" w:styleId="JuHHead">
    <w:name w:val="Ju_H_Head"/>
    <w:basedOn w:val="Normal"/>
    <w:next w:val="JuPara"/>
    <w:rsid w:val="008824B9"/>
    <w:pPr>
      <w:keepNext/>
      <w:keepLines/>
      <w:spacing w:before="720" w:after="240"/>
      <w:jc w:val="both"/>
      <w:outlineLvl w:val="0"/>
    </w:pPr>
    <w:rPr>
      <w:sz w:val="28"/>
    </w:rPr>
  </w:style>
  <w:style w:type="paragraph" w:customStyle="1" w:styleId="JuPara">
    <w:name w:val="Ju_Para"/>
    <w:aliases w:val="Left,First line:  0 cm"/>
    <w:basedOn w:val="Normal"/>
    <w:link w:val="JuParaChar"/>
    <w:rsid w:val="008824B9"/>
    <w:pPr>
      <w:ind w:firstLine="284"/>
      <w:jc w:val="both"/>
    </w:pPr>
  </w:style>
  <w:style w:type="paragraph" w:customStyle="1" w:styleId="OpiPara">
    <w:name w:val="Opi_Para"/>
    <w:basedOn w:val="JuPara"/>
    <w:rsid w:val="008824B9"/>
  </w:style>
  <w:style w:type="paragraph" w:customStyle="1" w:styleId="OpiH1">
    <w:name w:val="Opi_H_1."/>
    <w:basedOn w:val="OpiHA"/>
    <w:next w:val="OpiPara"/>
    <w:rsid w:val="008824B9"/>
    <w:pPr>
      <w:spacing w:before="240" w:after="120"/>
      <w:ind w:left="635"/>
    </w:pPr>
    <w:rPr>
      <w:b w:val="0"/>
      <w:i/>
    </w:rPr>
  </w:style>
  <w:style w:type="paragraph" w:customStyle="1" w:styleId="OpiHa0">
    <w:name w:val="Opi_H_a"/>
    <w:basedOn w:val="OpiH1"/>
    <w:next w:val="OpiPara"/>
    <w:rsid w:val="008824B9"/>
    <w:pPr>
      <w:ind w:left="834"/>
    </w:pPr>
    <w:rPr>
      <w:b/>
      <w:i w:val="0"/>
      <w:sz w:val="20"/>
    </w:rPr>
  </w:style>
  <w:style w:type="paragraph" w:customStyle="1" w:styleId="OpiHHead">
    <w:name w:val="Opi_H_Head"/>
    <w:basedOn w:val="JuHHead"/>
    <w:next w:val="OpiPara"/>
    <w:rsid w:val="008824B9"/>
    <w:pPr>
      <w:spacing w:before="0"/>
      <w:jc w:val="center"/>
    </w:pPr>
  </w:style>
  <w:style w:type="paragraph" w:customStyle="1" w:styleId="OpiHi">
    <w:name w:val="Opi_H_i"/>
    <w:basedOn w:val="OpiHa0"/>
    <w:next w:val="OpiPara"/>
    <w:rsid w:val="008824B9"/>
    <w:pPr>
      <w:ind w:left="1038"/>
    </w:pPr>
    <w:rPr>
      <w:b w:val="0"/>
      <w:i/>
    </w:rPr>
  </w:style>
  <w:style w:type="paragraph" w:styleId="Footer">
    <w:name w:val="footer"/>
    <w:basedOn w:val="Normal"/>
    <w:rsid w:val="008824B9"/>
    <w:pPr>
      <w:tabs>
        <w:tab w:val="center" w:pos="3686"/>
        <w:tab w:val="right" w:pos="7371"/>
      </w:tabs>
    </w:pPr>
    <w:rPr>
      <w:sz w:val="18"/>
    </w:rPr>
  </w:style>
  <w:style w:type="paragraph" w:customStyle="1" w:styleId="JuJudges">
    <w:name w:val="Ju_Judges"/>
    <w:basedOn w:val="Normal"/>
    <w:link w:val="JuJudgesChar"/>
    <w:rsid w:val="008824B9"/>
    <w:pPr>
      <w:tabs>
        <w:tab w:val="left" w:pos="567"/>
        <w:tab w:val="left" w:pos="1134"/>
      </w:tabs>
    </w:pPr>
  </w:style>
  <w:style w:type="character" w:customStyle="1" w:styleId="JuParaChar">
    <w:name w:val="Ju_Para Char"/>
    <w:basedOn w:val="DefaultParagraphFont"/>
    <w:link w:val="JuPara"/>
    <w:rsid w:val="00B921A8"/>
    <w:rPr>
      <w:sz w:val="24"/>
      <w:lang w:val="en-GB" w:eastAsia="fr-FR" w:bidi="ar-SA"/>
    </w:rPr>
  </w:style>
  <w:style w:type="paragraph" w:customStyle="1" w:styleId="JuHA">
    <w:name w:val="Ju_H_A"/>
    <w:basedOn w:val="JuHIRoman"/>
    <w:next w:val="JuPara"/>
    <w:link w:val="JuHAChar"/>
    <w:rsid w:val="008824B9"/>
    <w:pPr>
      <w:tabs>
        <w:tab w:val="clear" w:pos="357"/>
        <w:tab w:val="left" w:pos="584"/>
      </w:tabs>
      <w:ind w:left="584" w:hanging="352"/>
      <w:outlineLvl w:val="2"/>
    </w:pPr>
    <w:rPr>
      <w:b/>
    </w:rPr>
  </w:style>
  <w:style w:type="paragraph" w:customStyle="1" w:styleId="JuQuot">
    <w:name w:val="Ju_Quot"/>
    <w:basedOn w:val="JuPara"/>
    <w:link w:val="JuQuotChar"/>
    <w:rsid w:val="008824B9"/>
    <w:pPr>
      <w:spacing w:before="120" w:after="120"/>
      <w:ind w:left="425" w:firstLine="142"/>
    </w:pPr>
    <w:rPr>
      <w:sz w:val="20"/>
    </w:rPr>
  </w:style>
  <w:style w:type="paragraph" w:customStyle="1" w:styleId="JuSigned">
    <w:name w:val="Ju_Signed"/>
    <w:basedOn w:val="Normal"/>
    <w:next w:val="JuParaLast"/>
    <w:link w:val="JuSignedChar"/>
    <w:rsid w:val="008824B9"/>
    <w:pPr>
      <w:tabs>
        <w:tab w:val="center" w:pos="851"/>
        <w:tab w:val="center" w:pos="6407"/>
      </w:tabs>
      <w:spacing w:before="720"/>
    </w:pPr>
  </w:style>
  <w:style w:type="paragraph" w:customStyle="1" w:styleId="JuParaLast">
    <w:name w:val="Ju_Para_Last"/>
    <w:basedOn w:val="JuPara"/>
    <w:next w:val="JuPara"/>
    <w:rsid w:val="008824B9"/>
    <w:pPr>
      <w:keepNext/>
      <w:keepLines/>
      <w:spacing w:before="240"/>
    </w:pPr>
  </w:style>
  <w:style w:type="paragraph" w:customStyle="1" w:styleId="JuCase">
    <w:name w:val="Ju_Case"/>
    <w:basedOn w:val="JuPara"/>
    <w:next w:val="JuPara"/>
    <w:link w:val="JuCaseChar"/>
    <w:rsid w:val="008824B9"/>
    <w:rPr>
      <w:b/>
    </w:rPr>
  </w:style>
  <w:style w:type="paragraph" w:customStyle="1" w:styleId="JuList">
    <w:name w:val="Ju_List"/>
    <w:basedOn w:val="JuPara"/>
    <w:link w:val="JuListChar"/>
    <w:rsid w:val="008824B9"/>
    <w:pPr>
      <w:ind w:left="340" w:hanging="340"/>
    </w:pPr>
  </w:style>
  <w:style w:type="paragraph" w:customStyle="1" w:styleId="JuHArticle">
    <w:name w:val="Ju_H_Article"/>
    <w:basedOn w:val="JuHa0"/>
    <w:next w:val="JuQuot"/>
    <w:rsid w:val="008824B9"/>
    <w:pPr>
      <w:ind w:left="0" w:firstLine="0"/>
      <w:jc w:val="center"/>
    </w:pPr>
  </w:style>
  <w:style w:type="paragraph" w:customStyle="1" w:styleId="JuHa0">
    <w:name w:val="Ju_H_a"/>
    <w:basedOn w:val="JuH1"/>
    <w:next w:val="JuPara"/>
    <w:rsid w:val="008824B9"/>
    <w:pPr>
      <w:tabs>
        <w:tab w:val="clear" w:pos="731"/>
        <w:tab w:val="left" w:pos="975"/>
      </w:tabs>
      <w:ind w:left="975" w:hanging="340"/>
    </w:pPr>
    <w:rPr>
      <w:b/>
      <w:i w:val="0"/>
      <w:sz w:val="20"/>
    </w:rPr>
  </w:style>
  <w:style w:type="paragraph" w:customStyle="1" w:styleId="JuH1">
    <w:name w:val="Ju_H_1."/>
    <w:basedOn w:val="JuHA"/>
    <w:next w:val="JuPara"/>
    <w:rsid w:val="008824B9"/>
    <w:pPr>
      <w:tabs>
        <w:tab w:val="clear" w:pos="584"/>
        <w:tab w:val="left" w:pos="731"/>
      </w:tabs>
      <w:spacing w:before="240" w:after="120"/>
      <w:ind w:left="732" w:hanging="301"/>
      <w:outlineLvl w:val="9"/>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8824B9"/>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8824B9"/>
  </w:style>
  <w:style w:type="paragraph" w:customStyle="1" w:styleId="OpiTranslation">
    <w:name w:val="Opi_Translation"/>
    <w:basedOn w:val="OpiHHead"/>
    <w:next w:val="OpiPara"/>
    <w:rsid w:val="008824B9"/>
    <w:rPr>
      <w:i/>
      <w:sz w:val="24"/>
    </w:rPr>
  </w:style>
  <w:style w:type="paragraph" w:styleId="FootnoteText">
    <w:name w:val="footnote text"/>
    <w:basedOn w:val="Normal"/>
    <w:semiHidden/>
    <w:rsid w:val="008824B9"/>
    <w:pPr>
      <w:jc w:val="both"/>
    </w:pPr>
    <w:rPr>
      <w:sz w:val="20"/>
    </w:rPr>
  </w:style>
  <w:style w:type="character" w:styleId="FootnoteReference">
    <w:name w:val="footnote reference"/>
    <w:basedOn w:val="DefaultParagraphFont"/>
    <w:semiHidden/>
    <w:rsid w:val="008824B9"/>
    <w:rPr>
      <w:vertAlign w:val="superscript"/>
    </w:rPr>
  </w:style>
  <w:style w:type="paragraph" w:customStyle="1" w:styleId="JuHi">
    <w:name w:val="Ju_H_i"/>
    <w:basedOn w:val="JuHa0"/>
    <w:next w:val="JuPara"/>
    <w:rsid w:val="008824B9"/>
    <w:pPr>
      <w:tabs>
        <w:tab w:val="clear" w:pos="975"/>
        <w:tab w:val="left" w:pos="1191"/>
      </w:tabs>
      <w:ind w:left="1190" w:hanging="357"/>
    </w:pPr>
    <w:rPr>
      <w:b w:val="0"/>
      <w:i/>
    </w:rPr>
  </w:style>
  <w:style w:type="paragraph" w:styleId="Header">
    <w:name w:val="header"/>
    <w:basedOn w:val="Normal"/>
    <w:rsid w:val="008824B9"/>
    <w:pPr>
      <w:tabs>
        <w:tab w:val="center" w:pos="3686"/>
        <w:tab w:val="right" w:pos="7371"/>
      </w:tabs>
    </w:pPr>
    <w:rPr>
      <w:sz w:val="18"/>
    </w:rPr>
  </w:style>
  <w:style w:type="character" w:styleId="PageNumber">
    <w:name w:val="page number"/>
    <w:basedOn w:val="DefaultParagraphFont"/>
    <w:rsid w:val="008824B9"/>
    <w:rPr>
      <w:sz w:val="18"/>
    </w:rPr>
  </w:style>
  <w:style w:type="paragraph" w:customStyle="1" w:styleId="JuH">
    <w:name w:val="Ju_H_–"/>
    <w:basedOn w:val="JuHalpha"/>
    <w:next w:val="JuPara"/>
    <w:rsid w:val="008824B9"/>
    <w:pPr>
      <w:tabs>
        <w:tab w:val="clear" w:pos="1372"/>
      </w:tabs>
      <w:ind w:left="1236" w:firstLine="0"/>
    </w:pPr>
    <w:rPr>
      <w:i/>
    </w:rPr>
  </w:style>
  <w:style w:type="paragraph" w:customStyle="1" w:styleId="JuHalpha">
    <w:name w:val="Ju_H_alpha"/>
    <w:basedOn w:val="JuHi"/>
    <w:next w:val="JuPara"/>
    <w:rsid w:val="008824B9"/>
    <w:pPr>
      <w:tabs>
        <w:tab w:val="clear" w:pos="1191"/>
        <w:tab w:val="left" w:pos="1372"/>
      </w:tabs>
      <w:ind w:left="1373" w:hanging="335"/>
    </w:pPr>
    <w:rPr>
      <w:i w:val="0"/>
    </w:rPr>
  </w:style>
  <w:style w:type="paragraph" w:customStyle="1" w:styleId="JuLista">
    <w:name w:val="Ju_List_a"/>
    <w:basedOn w:val="JuList"/>
    <w:rsid w:val="008824B9"/>
    <w:pPr>
      <w:ind w:left="346" w:firstLine="0"/>
    </w:pPr>
  </w:style>
  <w:style w:type="paragraph" w:customStyle="1" w:styleId="JuListi">
    <w:name w:val="Ju_List_i"/>
    <w:basedOn w:val="JuLista"/>
    <w:rsid w:val="008824B9"/>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8824B9"/>
    <w:pPr>
      <w:tabs>
        <w:tab w:val="clear" w:pos="851"/>
      </w:tabs>
      <w:jc w:val="right"/>
    </w:pPr>
  </w:style>
  <w:style w:type="paragraph" w:customStyle="1" w:styleId="JuHeader">
    <w:name w:val="Ju_Header"/>
    <w:basedOn w:val="Header"/>
    <w:rsid w:val="008824B9"/>
  </w:style>
  <w:style w:type="paragraph" w:customStyle="1" w:styleId="DecHTitle">
    <w:name w:val="Dec_H_Title"/>
    <w:basedOn w:val="Normal"/>
    <w:rsid w:val="008824B9"/>
    <w:pPr>
      <w:spacing w:after="240"/>
      <w:jc w:val="center"/>
    </w:pPr>
    <w:rPr>
      <w:sz w:val="28"/>
    </w:rPr>
  </w:style>
  <w:style w:type="paragraph" w:customStyle="1" w:styleId="DecHCase">
    <w:name w:val="Dec_H_Case"/>
    <w:basedOn w:val="DecHTitle"/>
    <w:next w:val="JuPara"/>
    <w:rsid w:val="008824B9"/>
    <w:rPr>
      <w:sz w:val="24"/>
    </w:rPr>
  </w:style>
  <w:style w:type="paragraph" w:customStyle="1" w:styleId="DecList">
    <w:name w:val="Dec_List"/>
    <w:basedOn w:val="Normal"/>
    <w:rsid w:val="008824B9"/>
    <w:pPr>
      <w:spacing w:before="240"/>
      <w:ind w:left="284"/>
      <w:jc w:val="both"/>
    </w:pPr>
  </w:style>
  <w:style w:type="paragraph" w:customStyle="1" w:styleId="JuParaSub">
    <w:name w:val="Ju_Para_Sub"/>
    <w:basedOn w:val="JuPara"/>
    <w:rsid w:val="008824B9"/>
    <w:pPr>
      <w:ind w:left="284"/>
    </w:pPr>
    <w:rPr>
      <w:szCs w:val="24"/>
    </w:rPr>
  </w:style>
  <w:style w:type="paragraph" w:customStyle="1" w:styleId="JuQuotSub">
    <w:name w:val="Ju_Quot_Sub"/>
    <w:basedOn w:val="JuQuot"/>
    <w:rsid w:val="008824B9"/>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paragraph" w:customStyle="1" w:styleId="PJuPara">
    <w:name w:val="P_Ju_Para"/>
    <w:basedOn w:val="Normal"/>
    <w:rsid w:val="008824B9"/>
    <w:pPr>
      <w:ind w:firstLine="284"/>
      <w:jc w:val="both"/>
    </w:pPr>
  </w:style>
  <w:style w:type="paragraph" w:customStyle="1" w:styleId="PJuQuot">
    <w:name w:val="P_Ju_Quot"/>
    <w:basedOn w:val="Normal"/>
    <w:rsid w:val="008824B9"/>
    <w:pPr>
      <w:spacing w:before="120" w:after="120"/>
      <w:ind w:left="403" w:firstLine="176"/>
      <w:jc w:val="both"/>
    </w:pPr>
    <w:rPr>
      <w:sz w:val="20"/>
    </w:rPr>
  </w:style>
  <w:style w:type="paragraph" w:customStyle="1" w:styleId="PListArticleSubject">
    <w:name w:val="P_List_ArticleSubject"/>
    <w:basedOn w:val="Normal"/>
    <w:rsid w:val="008824B9"/>
    <w:pPr>
      <w:tabs>
        <w:tab w:val="left" w:pos="2977"/>
      </w:tabs>
      <w:ind w:left="2977" w:hanging="2977"/>
    </w:pPr>
  </w:style>
  <w:style w:type="paragraph" w:customStyle="1" w:styleId="SuCoverTitle1">
    <w:name w:val="Su_Cover_Title1"/>
    <w:basedOn w:val="Normal"/>
    <w:next w:val="SuCoverTitle2"/>
    <w:rsid w:val="008824B9"/>
    <w:pPr>
      <w:spacing w:before="2500"/>
      <w:jc w:val="center"/>
    </w:pPr>
    <w:rPr>
      <w:sz w:val="22"/>
    </w:rPr>
  </w:style>
  <w:style w:type="paragraph" w:customStyle="1" w:styleId="SuCoverTitle2">
    <w:name w:val="Su_Cover_Title2"/>
    <w:basedOn w:val="SuCoverTitle1"/>
    <w:next w:val="Normal"/>
    <w:rsid w:val="008824B9"/>
    <w:pPr>
      <w:spacing w:before="240"/>
    </w:pPr>
    <w:rPr>
      <w:sz w:val="18"/>
    </w:rPr>
  </w:style>
  <w:style w:type="paragraph" w:customStyle="1" w:styleId="SuPara">
    <w:name w:val="Su_Para"/>
    <w:basedOn w:val="SuKeywords"/>
    <w:rsid w:val="008824B9"/>
    <w:pPr>
      <w:spacing w:before="0" w:after="0"/>
    </w:pPr>
    <w:rPr>
      <w:i w:val="0"/>
    </w:rPr>
  </w:style>
  <w:style w:type="paragraph" w:customStyle="1" w:styleId="SuKeywords">
    <w:name w:val="Su_Keywords"/>
    <w:basedOn w:val="SuHHead"/>
    <w:rsid w:val="008824B9"/>
    <w:pPr>
      <w:spacing w:before="120"/>
    </w:pPr>
    <w:rPr>
      <w:b w:val="0"/>
      <w:i/>
    </w:rPr>
  </w:style>
  <w:style w:type="paragraph" w:customStyle="1" w:styleId="SuHHead">
    <w:name w:val="Su_H_Head"/>
    <w:basedOn w:val="SuSubject"/>
    <w:rsid w:val="008824B9"/>
    <w:pPr>
      <w:spacing w:after="120"/>
    </w:pPr>
  </w:style>
  <w:style w:type="paragraph" w:customStyle="1" w:styleId="SuSubject">
    <w:name w:val="Su_Subject"/>
    <w:basedOn w:val="SuSummary"/>
    <w:rsid w:val="008824B9"/>
    <w:pPr>
      <w:spacing w:before="360"/>
      <w:jc w:val="both"/>
    </w:pPr>
    <w:rPr>
      <w:b/>
      <w:sz w:val="22"/>
    </w:rPr>
  </w:style>
  <w:style w:type="paragraph" w:customStyle="1" w:styleId="SuSummary">
    <w:name w:val="Su_Summary"/>
    <w:basedOn w:val="Normal"/>
    <w:next w:val="SuSubject"/>
    <w:rsid w:val="008824B9"/>
    <w:pPr>
      <w:spacing w:after="240"/>
      <w:jc w:val="center"/>
    </w:pPr>
  </w:style>
  <w:style w:type="paragraph" w:customStyle="1" w:styleId="PListCaseNo">
    <w:name w:val="P_List_CaseNo"/>
    <w:basedOn w:val="Normal"/>
    <w:rsid w:val="008824B9"/>
    <w:pPr>
      <w:tabs>
        <w:tab w:val="left" w:pos="1276"/>
      </w:tabs>
      <w:spacing w:line="288" w:lineRule="auto"/>
      <w:ind w:left="1276" w:hanging="1276"/>
    </w:pPr>
  </w:style>
  <w:style w:type="paragraph" w:customStyle="1" w:styleId="PListCases">
    <w:name w:val="P_List_Cases"/>
    <w:basedOn w:val="Normal"/>
    <w:rsid w:val="008824B9"/>
    <w:pPr>
      <w:spacing w:line="288" w:lineRule="auto"/>
    </w:pPr>
  </w:style>
  <w:style w:type="paragraph" w:customStyle="1" w:styleId="PTextIntro">
    <w:name w:val="P_Text_Intro"/>
    <w:basedOn w:val="Normal"/>
    <w:rsid w:val="008824B9"/>
    <w:pPr>
      <w:jc w:val="both"/>
    </w:pPr>
    <w:rPr>
      <w:i/>
      <w:sz w:val="20"/>
    </w:rPr>
  </w:style>
  <w:style w:type="paragraph" w:customStyle="1" w:styleId="PTitleCover">
    <w:name w:val="P_Title_Cover"/>
    <w:basedOn w:val="Normal"/>
    <w:rsid w:val="008824B9"/>
    <w:pPr>
      <w:spacing w:before="2500"/>
      <w:jc w:val="center"/>
    </w:pPr>
    <w:rPr>
      <w:b/>
      <w:smallCaps/>
      <w:sz w:val="30"/>
    </w:rPr>
  </w:style>
  <w:style w:type="paragraph" w:customStyle="1" w:styleId="PTitle1Alpha">
    <w:name w:val="P_Title1_Alpha"/>
    <w:basedOn w:val="Normal"/>
    <w:next w:val="Normal"/>
    <w:rsid w:val="008824B9"/>
    <w:pPr>
      <w:spacing w:after="120"/>
      <w:jc w:val="center"/>
    </w:pPr>
    <w:rPr>
      <w:b/>
      <w:smallCaps/>
      <w:sz w:val="30"/>
    </w:rPr>
  </w:style>
  <w:style w:type="paragraph" w:customStyle="1" w:styleId="PTitle1IndexArticle">
    <w:name w:val="P_Title1_IndexArticle"/>
    <w:basedOn w:val="Normal"/>
    <w:rsid w:val="008824B9"/>
    <w:pPr>
      <w:spacing w:after="120"/>
      <w:jc w:val="center"/>
    </w:pPr>
    <w:rPr>
      <w:b/>
      <w:smallCaps/>
      <w:sz w:val="30"/>
    </w:rPr>
  </w:style>
  <w:style w:type="paragraph" w:customStyle="1" w:styleId="PTitle1IndexKey">
    <w:name w:val="P_Title1_IndexKey"/>
    <w:basedOn w:val="Normal"/>
    <w:rsid w:val="008824B9"/>
    <w:pPr>
      <w:spacing w:after="600"/>
      <w:jc w:val="center"/>
    </w:pPr>
    <w:rPr>
      <w:b/>
      <w:smallCaps/>
      <w:sz w:val="30"/>
    </w:rPr>
  </w:style>
  <w:style w:type="paragraph" w:customStyle="1" w:styleId="PTitle1Num">
    <w:name w:val="P_Title1_Num"/>
    <w:basedOn w:val="Normal"/>
    <w:next w:val="PListCaseNo"/>
    <w:rsid w:val="008824B9"/>
    <w:pPr>
      <w:spacing w:after="720"/>
      <w:jc w:val="center"/>
    </w:pPr>
    <w:rPr>
      <w:b/>
      <w:smallCaps/>
      <w:sz w:val="30"/>
    </w:rPr>
  </w:style>
  <w:style w:type="paragraph" w:customStyle="1" w:styleId="PTitle2Country">
    <w:name w:val="P_Title2_Country"/>
    <w:basedOn w:val="Normal"/>
    <w:next w:val="PListCases"/>
    <w:rsid w:val="008824B9"/>
    <w:pPr>
      <w:keepNext/>
      <w:keepLines/>
      <w:spacing w:before="600" w:after="360"/>
    </w:pPr>
    <w:rPr>
      <w:b/>
    </w:rPr>
  </w:style>
  <w:style w:type="paragraph" w:customStyle="1" w:styleId="PTitle2Letters">
    <w:name w:val="P_Title2_Letters"/>
    <w:basedOn w:val="Normal"/>
    <w:next w:val="PListCases"/>
    <w:rsid w:val="008824B9"/>
    <w:pPr>
      <w:keepNext/>
      <w:keepLines/>
      <w:spacing w:before="600" w:after="360"/>
    </w:pPr>
    <w:rPr>
      <w:b/>
      <w:sz w:val="28"/>
    </w:rPr>
  </w:style>
  <w:style w:type="paragraph" w:customStyle="1" w:styleId="PTitle2Part">
    <w:name w:val="P_Title2_Part"/>
    <w:basedOn w:val="Normal"/>
    <w:rsid w:val="008824B9"/>
    <w:pPr>
      <w:keepNext/>
      <w:keepLines/>
      <w:spacing w:before="600" w:after="240"/>
      <w:jc w:val="center"/>
    </w:pPr>
    <w:rPr>
      <w:b/>
      <w:caps/>
    </w:rPr>
  </w:style>
  <w:style w:type="paragraph" w:customStyle="1" w:styleId="PTitle3Article">
    <w:name w:val="P_Title3_Article"/>
    <w:basedOn w:val="Normal"/>
    <w:rsid w:val="008824B9"/>
    <w:pPr>
      <w:keepNext/>
      <w:keepLines/>
      <w:spacing w:before="360" w:after="120"/>
      <w:jc w:val="center"/>
    </w:pPr>
    <w:rPr>
      <w:b/>
      <w:smallCaps/>
      <w:sz w:val="22"/>
    </w:rPr>
  </w:style>
  <w:style w:type="paragraph" w:customStyle="1" w:styleId="PTitle4ArticleSub">
    <w:name w:val="P_Title4_Article_Sub"/>
    <w:basedOn w:val="PTitle3Article"/>
    <w:rsid w:val="008824B9"/>
    <w:pPr>
      <w:spacing w:before="240"/>
    </w:pPr>
    <w:rPr>
      <w:smallCaps w:val="0"/>
      <w:sz w:val="20"/>
    </w:rPr>
  </w:style>
  <w:style w:type="paragraph" w:customStyle="1" w:styleId="PTitle5Subject">
    <w:name w:val="P_Title5_Subject"/>
    <w:basedOn w:val="Normal"/>
    <w:rsid w:val="008824B9"/>
    <w:pPr>
      <w:keepNext/>
      <w:keepLines/>
      <w:spacing w:before="240" w:after="120"/>
      <w:jc w:val="both"/>
    </w:pPr>
    <w:rPr>
      <w:b/>
      <w:i/>
    </w:rPr>
  </w:style>
  <w:style w:type="paragraph" w:customStyle="1" w:styleId="PTitle6SubjectSub">
    <w:name w:val="P_Title6_Subject_Sub"/>
    <w:basedOn w:val="Normal"/>
    <w:rsid w:val="008824B9"/>
    <w:pPr>
      <w:keepNext/>
      <w:keepLines/>
      <w:spacing w:before="240" w:after="120"/>
      <w:ind w:left="284"/>
      <w:jc w:val="both"/>
    </w:pPr>
    <w:rPr>
      <w:b/>
      <w:sz w:val="20"/>
    </w:rPr>
  </w:style>
  <w:style w:type="paragraph" w:customStyle="1" w:styleId="PTitle7CaseName">
    <w:name w:val="P_Title7_CaseName"/>
    <w:basedOn w:val="Normal"/>
    <w:rsid w:val="008824B9"/>
    <w:pPr>
      <w:keepLines/>
      <w:spacing w:after="240"/>
      <w:jc w:val="right"/>
    </w:pPr>
    <w:rPr>
      <w:sz w:val="22"/>
    </w:rPr>
  </w:style>
  <w:style w:type="paragraph" w:customStyle="1" w:styleId="OpiParaSub">
    <w:name w:val="Opi_Para_Sub"/>
    <w:basedOn w:val="JuParaSub"/>
    <w:rsid w:val="008824B9"/>
  </w:style>
  <w:style w:type="paragraph" w:customStyle="1" w:styleId="OpiQuotSub">
    <w:name w:val="Opi_Quot_Sub"/>
    <w:basedOn w:val="JuQuotSub"/>
    <w:rsid w:val="008824B9"/>
  </w:style>
  <w:style w:type="character" w:customStyle="1" w:styleId="JuSignedChar">
    <w:name w:val="Ju_Signed Char"/>
    <w:basedOn w:val="DefaultParagraphFont"/>
    <w:link w:val="JuSigned"/>
    <w:rsid w:val="000726F6"/>
    <w:rPr>
      <w:sz w:val="24"/>
      <w:lang w:val="en-GB" w:eastAsia="fr-FR" w:bidi="ar-SA"/>
    </w:rPr>
  </w:style>
  <w:style w:type="character" w:customStyle="1" w:styleId="JuJudgesChar">
    <w:name w:val="Ju_Judges Char"/>
    <w:basedOn w:val="DefaultParagraphFont"/>
    <w:link w:val="JuJudges"/>
    <w:locked/>
    <w:rsid w:val="00D15473"/>
    <w:rPr>
      <w:sz w:val="24"/>
      <w:lang w:val="en-GB" w:eastAsia="fr-FR" w:bidi="ar-SA"/>
    </w:rPr>
  </w:style>
  <w:style w:type="character" w:customStyle="1" w:styleId="JuCaseChar">
    <w:name w:val="Ju_Case Char"/>
    <w:basedOn w:val="JuParaChar"/>
    <w:link w:val="JuCase"/>
    <w:rsid w:val="00B921A8"/>
    <w:rPr>
      <w:b/>
      <w:sz w:val="24"/>
      <w:lang w:val="en-GB" w:eastAsia="fr-FR" w:bidi="ar-SA"/>
    </w:rPr>
  </w:style>
  <w:style w:type="character" w:customStyle="1" w:styleId="JuParaCar">
    <w:name w:val="Ju_Para Car"/>
    <w:basedOn w:val="DefaultParagraphFont"/>
    <w:rsid w:val="00B460AF"/>
    <w:rPr>
      <w:sz w:val="24"/>
      <w:lang w:val="en-GB" w:eastAsia="fr-FR" w:bidi="ar-SA"/>
    </w:rPr>
  </w:style>
  <w:style w:type="character" w:customStyle="1" w:styleId="JuListChar">
    <w:name w:val="Ju_List Char"/>
    <w:basedOn w:val="DefaultParagraphFont"/>
    <w:link w:val="JuList"/>
    <w:rsid w:val="00930CD7"/>
    <w:rPr>
      <w:sz w:val="24"/>
      <w:lang w:val="en-GB" w:eastAsia="fr-FR" w:bidi="ar-SA"/>
    </w:rPr>
  </w:style>
  <w:style w:type="character" w:styleId="Strong">
    <w:name w:val="Strong"/>
    <w:basedOn w:val="DefaultParagraphFont"/>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basedOn w:val="DefaultParagraphFont"/>
    <w:rsid w:val="008824B9"/>
    <w:rPr>
      <w:smallCaps/>
    </w:rPr>
  </w:style>
  <w:style w:type="paragraph" w:customStyle="1" w:styleId="NormalJustified">
    <w:name w:val="Normal_Justified"/>
    <w:basedOn w:val="Normal"/>
    <w:rsid w:val="008824B9"/>
    <w:pPr>
      <w:jc w:val="both"/>
    </w:pPr>
  </w:style>
  <w:style w:type="paragraph" w:customStyle="1" w:styleId="AppQuestion">
    <w:name w:val="App_Question"/>
    <w:basedOn w:val="ListBullet"/>
    <w:rsid w:val="008824B9"/>
    <w:pPr>
      <w:numPr>
        <w:numId w:val="3"/>
      </w:numPr>
    </w:pPr>
    <w:rPr>
      <w:b/>
      <w:color w:val="333333"/>
    </w:rPr>
  </w:style>
  <w:style w:type="paragraph" w:styleId="ListBullet">
    <w:name w:val="List Bullet"/>
    <w:basedOn w:val="Normal"/>
    <w:rsid w:val="008824B9"/>
    <w:pPr>
      <w:numPr>
        <w:numId w:val="2"/>
      </w:numPr>
    </w:pPr>
  </w:style>
  <w:style w:type="character" w:styleId="Hyperlink">
    <w:name w:val="Hyperlink"/>
    <w:basedOn w:val="DefaultParagraphFont"/>
    <w:rsid w:val="009B76D8"/>
    <w:rPr>
      <w:color w:val="0000FF"/>
      <w:u w:val="single"/>
    </w:rPr>
  </w:style>
  <w:style w:type="character" w:customStyle="1" w:styleId="JuHAChar">
    <w:name w:val="Ju_H_A Char"/>
    <w:basedOn w:val="DefaultParagraphFont"/>
    <w:link w:val="JuHA"/>
    <w:rsid w:val="00AC0C6B"/>
    <w:rPr>
      <w:b/>
      <w:sz w:val="24"/>
      <w:lang w:val="en-GB" w:eastAsia="fr-FR" w:bidi="ar-SA"/>
    </w:rPr>
  </w:style>
  <w:style w:type="character" w:customStyle="1" w:styleId="hyperlink--char">
    <w:name w:val="hyperlink--char"/>
    <w:basedOn w:val="DefaultParagraphFont"/>
    <w:rsid w:val="00AC0C6B"/>
  </w:style>
  <w:style w:type="character" w:customStyle="1" w:styleId="normal--char">
    <w:name w:val="normal--char"/>
    <w:basedOn w:val="DefaultParagraphFont"/>
    <w:rsid w:val="00AC0C6B"/>
  </w:style>
  <w:style w:type="paragraph" w:customStyle="1" w:styleId="ju-005fpara-002cleft-002cfirst-0020line-003a-0020-00200-0020cm">
    <w:name w:val="ju-005fpara-002cleft-002cfirst-0020line-003a-0020-00200-0020cm"/>
    <w:basedOn w:val="Normal"/>
    <w:rsid w:val="00AC0C6B"/>
    <w:pPr>
      <w:suppressAutoHyphens w:val="0"/>
      <w:spacing w:before="100" w:beforeAutospacing="1" w:after="100" w:afterAutospacing="1"/>
    </w:pPr>
    <w:rPr>
      <w:szCs w:val="24"/>
      <w:lang w:eastAsia="en-GB"/>
    </w:rPr>
  </w:style>
  <w:style w:type="paragraph" w:customStyle="1" w:styleId="ju-005fquot">
    <w:name w:val="ju-005fquot"/>
    <w:basedOn w:val="Normal"/>
    <w:rsid w:val="00AC0C6B"/>
    <w:pPr>
      <w:suppressAutoHyphens w:val="0"/>
      <w:spacing w:before="100" w:beforeAutospacing="1" w:after="100" w:afterAutospacing="1"/>
    </w:pPr>
    <w:rPr>
      <w:szCs w:val="24"/>
      <w:lang w:eastAsia="en-GB"/>
    </w:rPr>
  </w:style>
  <w:style w:type="character" w:customStyle="1" w:styleId="ju-005fpara-002cleft-002cfirst-0020line-003a-0020-00200-0020cm--char">
    <w:name w:val="ju-005fpara-002cleft-002cfirst-0020line-003a-0020-00200-0020cm--char"/>
    <w:basedOn w:val="DefaultParagraphFont"/>
    <w:rsid w:val="00AC0C6B"/>
  </w:style>
  <w:style w:type="character" w:customStyle="1" w:styleId="ju--005fpara----char--char">
    <w:name w:val="ju--005fpara----char--char"/>
    <w:basedOn w:val="DefaultParagraphFont"/>
    <w:rsid w:val="00AC0C6B"/>
  </w:style>
  <w:style w:type="character" w:customStyle="1" w:styleId="ju-005fpara-0020char--char">
    <w:name w:val="ju-005fpara-0020char--char"/>
    <w:basedOn w:val="DefaultParagraphFont"/>
    <w:rsid w:val="00AC0C6B"/>
  </w:style>
  <w:style w:type="character" w:customStyle="1" w:styleId="JuParaChar1">
    <w:name w:val="Ju_Para Char1"/>
    <w:basedOn w:val="DefaultParagraphFont"/>
    <w:rsid w:val="00AC0C6B"/>
    <w:rPr>
      <w:sz w:val="24"/>
      <w:lang w:val="en-GB" w:eastAsia="fr-FR" w:bidi="ar-SA"/>
    </w:rPr>
  </w:style>
  <w:style w:type="character" w:customStyle="1" w:styleId="ju-005fpara--char">
    <w:name w:val="ju-005fpara--char"/>
    <w:basedOn w:val="DefaultParagraphFont"/>
    <w:rsid w:val="00AC0C6B"/>
  </w:style>
  <w:style w:type="character" w:customStyle="1" w:styleId="ju-005fpara-0020char-0020char--char">
    <w:name w:val="ju-005fpara-0020char-0020char--char"/>
    <w:basedOn w:val="DefaultParagraphFont"/>
    <w:rsid w:val="00AC0C6B"/>
  </w:style>
  <w:style w:type="paragraph" w:customStyle="1" w:styleId="LtrBody">
    <w:name w:val="Ltr_Body"/>
    <w:basedOn w:val="Normal"/>
    <w:rsid w:val="00AC0C6B"/>
    <w:pPr>
      <w:suppressAutoHyphens w:val="0"/>
      <w:ind w:firstLine="567"/>
      <w:jc w:val="both"/>
    </w:pPr>
    <w:rPr>
      <w:lang w:eastAsia="en-GB"/>
    </w:rPr>
  </w:style>
  <w:style w:type="character" w:customStyle="1" w:styleId="ju--005fpara--0020char--0020char----char--char">
    <w:name w:val="ju--005fpara--0020char--0020char----char--char"/>
    <w:basedOn w:val="DefaultParagraphFont"/>
    <w:rsid w:val="00AC0C6B"/>
  </w:style>
  <w:style w:type="character" w:styleId="FollowedHyperlink">
    <w:name w:val="FollowedHyperlink"/>
    <w:basedOn w:val="DefaultParagraphFont"/>
    <w:rsid w:val="00AC0C6B"/>
    <w:rPr>
      <w:color w:val="800080"/>
      <w:u w:val="single"/>
    </w:rPr>
  </w:style>
  <w:style w:type="character" w:customStyle="1" w:styleId="JuQuotChar">
    <w:name w:val="Ju_Quot Char"/>
    <w:basedOn w:val="DefaultParagraphFont"/>
    <w:link w:val="JuQuot"/>
    <w:rsid w:val="0048392D"/>
    <w:rPr>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1344167227">
      <w:bodyDiv w:val="1"/>
      <w:marLeft w:val="0"/>
      <w:marRight w:val="0"/>
      <w:marTop w:val="0"/>
      <w:marBottom w:val="0"/>
      <w:divBdr>
        <w:top w:val="none" w:sz="0" w:space="0" w:color="auto"/>
        <w:left w:val="none" w:sz="0" w:space="0" w:color="auto"/>
        <w:bottom w:val="none" w:sz="0" w:space="0" w:color="auto"/>
        <w:right w:val="none" w:sz="0" w:space="0" w:color="auto"/>
      </w:divBdr>
    </w:div>
    <w:div w:id="16833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B9B1DB-F3F9-4BF8-8BB6-67B814F9488E}"/>
</file>

<file path=customXml/itemProps2.xml><?xml version="1.0" encoding="utf-8"?>
<ds:datastoreItem xmlns:ds="http://schemas.openxmlformats.org/officeDocument/2006/customXml" ds:itemID="{718072E7-09E2-4042-B2C0-00857207962B}"/>
</file>

<file path=customXml/itemProps3.xml><?xml version="1.0" encoding="utf-8"?>
<ds:datastoreItem xmlns:ds="http://schemas.openxmlformats.org/officeDocument/2006/customXml" ds:itemID="{D3983EED-B3D2-490A-A115-517BAB954578}"/>
</file>

<file path=docProps/app.xml><?xml version="1.0" encoding="utf-8"?>
<Properties xmlns="http://schemas.openxmlformats.org/officeDocument/2006/extended-properties" xmlns:vt="http://schemas.openxmlformats.org/officeDocument/2006/docPropsVTypes">
  <Template>Normal.dotm</Template>
  <TotalTime>1</TotalTime>
  <Pages>1</Pages>
  <Words>7441</Words>
  <Characters>42418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2</cp:revision>
  <cp:lastPrinted>2011-12-13T10:21:00Z</cp:lastPrinted>
  <dcterms:created xsi:type="dcterms:W3CDTF">2015-03-18T19:09:00Z</dcterms:created>
  <dcterms:modified xsi:type="dcterms:W3CDTF">2015-03-18T19:09:00Z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