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0D71CC" w:rsidR="00F71A6A" w:rsidP="00042867" w:rsidRDefault="00F71A6A">
      <w:pPr>
        <w:jc w:val="center"/>
      </w:pPr>
      <w:bookmarkStart w:name="_GoBack" w:id="0"/>
      <w:bookmarkEnd w:id="0"/>
    </w:p>
    <w:p w:rsidRPr="000D71CC" w:rsidR="00F71A6A" w:rsidP="00042867" w:rsidRDefault="001948A0">
      <w:pPr>
        <w:jc w:val="center"/>
      </w:pPr>
      <w:r w:rsidRPr="000D71CC">
        <w:t>THIRD SECTION</w:t>
      </w:r>
    </w:p>
    <w:p w:rsidRPr="000D71CC" w:rsidR="00F71A6A" w:rsidP="00042867" w:rsidRDefault="00F71A6A">
      <w:pPr>
        <w:jc w:val="center"/>
      </w:pPr>
    </w:p>
    <w:p w:rsidRPr="000D71CC" w:rsidR="00F71A6A" w:rsidP="00042867" w:rsidRDefault="00F71A6A">
      <w:pPr>
        <w:jc w:val="center"/>
      </w:pPr>
    </w:p>
    <w:p w:rsidRPr="000D71CC" w:rsidR="00F71A6A" w:rsidP="00042867" w:rsidRDefault="00F71A6A">
      <w:pPr>
        <w:jc w:val="center"/>
      </w:pPr>
    </w:p>
    <w:p w:rsidRPr="000D71CC" w:rsidR="00F71A6A" w:rsidP="00042867" w:rsidRDefault="00F71A6A">
      <w:pPr>
        <w:jc w:val="center"/>
      </w:pPr>
    </w:p>
    <w:p w:rsidRPr="000D71CC" w:rsidR="00F71A6A" w:rsidP="00042867" w:rsidRDefault="00F71A6A">
      <w:pPr>
        <w:jc w:val="center"/>
        <w:rPr>
          <w:b/>
        </w:rPr>
      </w:pPr>
      <w:bookmarkStart w:name="To" w:id="1"/>
      <w:r w:rsidRPr="000D71CC">
        <w:rPr>
          <w:b/>
        </w:rPr>
        <w:t xml:space="preserve">CASE OF </w:t>
      </w:r>
      <w:bookmarkEnd w:id="1"/>
      <w:r w:rsidRPr="000D71CC" w:rsidR="001948A0">
        <w:rPr>
          <w:b/>
        </w:rPr>
        <w:t>SINDICATUL “</w:t>
      </w:r>
      <w:r w:rsidRPr="000D71CC" w:rsidR="00F741AF">
        <w:rPr>
          <w:b/>
        </w:rPr>
        <w:t>PĂ</w:t>
      </w:r>
      <w:r w:rsidRPr="000D71CC" w:rsidR="001948A0">
        <w:rPr>
          <w:b/>
        </w:rPr>
        <w:t>STORUL CEL BUN” v. ROMANIA</w:t>
      </w:r>
    </w:p>
    <w:p w:rsidRPr="000D71CC" w:rsidR="00F71A6A" w:rsidP="00042867" w:rsidRDefault="00F71A6A">
      <w:pPr>
        <w:jc w:val="center"/>
      </w:pPr>
    </w:p>
    <w:p w:rsidRPr="000D71CC" w:rsidR="00F71A6A" w:rsidP="00042867" w:rsidRDefault="00F71A6A">
      <w:pPr>
        <w:jc w:val="center"/>
        <w:rPr>
          <w:i/>
        </w:rPr>
      </w:pPr>
      <w:r w:rsidRPr="000D71CC">
        <w:rPr>
          <w:i/>
        </w:rPr>
        <w:t>(</w:t>
      </w:r>
      <w:r w:rsidRPr="000D71CC" w:rsidR="001948A0">
        <w:rPr>
          <w:i/>
        </w:rPr>
        <w:t>Application no. 2330/09</w:t>
      </w:r>
      <w:r w:rsidRPr="000D71CC">
        <w:rPr>
          <w:i/>
        </w:rPr>
        <w:t>)</w:t>
      </w:r>
    </w:p>
    <w:p w:rsidRPr="000D71CC" w:rsidR="00F71A6A" w:rsidP="00042867" w:rsidRDefault="00F71A6A">
      <w:pPr>
        <w:jc w:val="center"/>
      </w:pPr>
    </w:p>
    <w:p w:rsidRPr="000D71CC" w:rsidR="00F71A6A" w:rsidP="00042867" w:rsidRDefault="00F71A6A">
      <w:pPr>
        <w:jc w:val="center"/>
      </w:pPr>
    </w:p>
    <w:p w:rsidRPr="000D71CC" w:rsidR="00F71A6A" w:rsidP="00042867" w:rsidRDefault="00F71A6A">
      <w:pPr>
        <w:jc w:val="center"/>
      </w:pPr>
    </w:p>
    <w:p w:rsidRPr="000D71CC" w:rsidR="00F71A6A" w:rsidP="00042867" w:rsidRDefault="00F71A6A">
      <w:pPr>
        <w:jc w:val="center"/>
      </w:pPr>
    </w:p>
    <w:p w:rsidRPr="000D71CC" w:rsidR="00F71A6A" w:rsidP="00042867" w:rsidRDefault="00F71A6A">
      <w:pPr>
        <w:jc w:val="center"/>
      </w:pPr>
    </w:p>
    <w:p w:rsidRPr="000D71CC" w:rsidR="00D73611" w:rsidP="001948A0" w:rsidRDefault="001948A0">
      <w:pPr>
        <w:jc w:val="center"/>
        <w:rPr>
          <w:szCs w:val="24"/>
        </w:rPr>
      </w:pPr>
      <w:r w:rsidRPr="000D71CC">
        <w:rPr>
          <w:szCs w:val="24"/>
        </w:rPr>
        <w:t>JUDGMENT</w:t>
      </w:r>
    </w:p>
    <w:p w:rsidRPr="000D71CC" w:rsidR="00B921A8" w:rsidP="00ED4401" w:rsidRDefault="00B921A8">
      <w:pPr>
        <w:jc w:val="center"/>
        <w:rPr>
          <w:szCs w:val="24"/>
        </w:rPr>
      </w:pPr>
    </w:p>
    <w:p w:rsidR="001948A0" w:rsidP="00ED4401" w:rsidRDefault="001948A0">
      <w:pPr>
        <w:pStyle w:val="JuCase"/>
        <w:ind w:firstLine="0"/>
        <w:jc w:val="center"/>
        <w:rPr>
          <w:b w:val="0"/>
        </w:rPr>
      </w:pPr>
    </w:p>
    <w:p w:rsidR="00F47D5E" w:rsidP="00F47D5E" w:rsidRDefault="00F47D5E">
      <w:pPr>
        <w:pStyle w:val="JuPara"/>
      </w:pPr>
    </w:p>
    <w:p w:rsidR="00F47D5E" w:rsidP="00F47D5E" w:rsidRDefault="00F47D5E">
      <w:pPr>
        <w:pStyle w:val="JuPara"/>
      </w:pPr>
    </w:p>
    <w:p w:rsidRPr="00F47D5E" w:rsidR="00F47D5E" w:rsidP="00F47D5E" w:rsidRDefault="00F47D5E">
      <w:pPr>
        <w:pStyle w:val="JuPara"/>
      </w:pPr>
    </w:p>
    <w:p w:rsidRPr="000D71CC" w:rsidR="001948A0" w:rsidP="00ED4401" w:rsidRDefault="001948A0">
      <w:pPr>
        <w:pStyle w:val="JuCase"/>
        <w:ind w:firstLine="0"/>
        <w:jc w:val="center"/>
        <w:rPr>
          <w:b w:val="0"/>
        </w:rPr>
      </w:pPr>
    </w:p>
    <w:p w:rsidRPr="000D71CC" w:rsidR="001948A0" w:rsidP="00ED4401" w:rsidRDefault="001948A0">
      <w:pPr>
        <w:pStyle w:val="JuCase"/>
        <w:ind w:firstLine="0"/>
        <w:jc w:val="center"/>
        <w:rPr>
          <w:b w:val="0"/>
        </w:rPr>
      </w:pPr>
      <w:r w:rsidRPr="000D71CC">
        <w:rPr>
          <w:b w:val="0"/>
        </w:rPr>
        <w:t>STRASBOURG</w:t>
      </w:r>
    </w:p>
    <w:p w:rsidRPr="000D71CC" w:rsidR="001948A0" w:rsidP="00ED4401" w:rsidRDefault="001948A0">
      <w:pPr>
        <w:pStyle w:val="JuCase"/>
        <w:ind w:firstLine="0"/>
        <w:jc w:val="center"/>
        <w:rPr>
          <w:b w:val="0"/>
        </w:rPr>
      </w:pPr>
    </w:p>
    <w:p w:rsidRPr="000D71CC" w:rsidR="001948A0" w:rsidP="00ED4401" w:rsidRDefault="001948A0">
      <w:pPr>
        <w:pStyle w:val="JuCase"/>
        <w:ind w:firstLine="0"/>
        <w:jc w:val="center"/>
        <w:rPr>
          <w:b w:val="0"/>
        </w:rPr>
      </w:pPr>
      <w:r w:rsidRPr="000D71CC">
        <w:rPr>
          <w:b w:val="0"/>
        </w:rPr>
        <w:t>31 January 2012</w:t>
      </w:r>
    </w:p>
    <w:p w:rsidRPr="000D71CC" w:rsidR="001948A0" w:rsidP="00ED4401" w:rsidRDefault="001948A0">
      <w:pPr>
        <w:pStyle w:val="JuCase"/>
        <w:ind w:firstLine="0"/>
        <w:jc w:val="center"/>
        <w:rPr>
          <w:b w:val="0"/>
        </w:rPr>
      </w:pPr>
    </w:p>
    <w:p w:rsidR="00760CCC" w:rsidP="00ED4401" w:rsidRDefault="00760CCC">
      <w:pPr>
        <w:pStyle w:val="JuPara"/>
        <w:jc w:val="center"/>
      </w:pPr>
    </w:p>
    <w:p w:rsidRPr="000D71CC" w:rsidR="00F47D5E" w:rsidP="00ED4401" w:rsidRDefault="00F47D5E">
      <w:pPr>
        <w:pStyle w:val="JuPara"/>
        <w:jc w:val="center"/>
      </w:pPr>
    </w:p>
    <w:p w:rsidRPr="008D480A" w:rsidR="00F47D5E" w:rsidP="00F47D5E" w:rsidRDefault="00F47D5E">
      <w:pPr>
        <w:autoSpaceDE w:val="0"/>
        <w:autoSpaceDN w:val="0"/>
        <w:adjustRightInd w:val="0"/>
        <w:jc w:val="center"/>
        <w:rPr>
          <w:color w:val="FF0000"/>
          <w:sz w:val="28"/>
          <w:szCs w:val="28"/>
          <w:lang w:val="en-US" w:eastAsia="en-US"/>
        </w:rPr>
      </w:pPr>
      <w:r w:rsidRPr="008D480A">
        <w:rPr>
          <w:color w:val="FF0000"/>
          <w:sz w:val="28"/>
          <w:szCs w:val="28"/>
          <w:lang w:val="en-US" w:eastAsia="en-US"/>
        </w:rPr>
        <w:t>THIS CASE WAS REFERRED TO THE GRAND CHAMBER</w:t>
      </w:r>
    </w:p>
    <w:p w:rsidRPr="008D480A" w:rsidR="00F47D5E" w:rsidP="00F47D5E" w:rsidRDefault="00F47D5E">
      <w:pPr>
        <w:autoSpaceDE w:val="0"/>
        <w:autoSpaceDN w:val="0"/>
        <w:adjustRightInd w:val="0"/>
        <w:jc w:val="center"/>
        <w:rPr>
          <w:color w:val="FF0000"/>
          <w:sz w:val="28"/>
          <w:szCs w:val="28"/>
          <w:lang w:val="en-US" w:eastAsia="en-US"/>
        </w:rPr>
      </w:pPr>
      <w:r w:rsidRPr="008D480A">
        <w:rPr>
          <w:color w:val="FF0000"/>
          <w:sz w:val="28"/>
          <w:szCs w:val="28"/>
          <w:lang w:val="en-US" w:eastAsia="en-US"/>
        </w:rPr>
        <w:t>WHICH DELIVERED JUDGMENT IN THE CASE ON</w:t>
      </w:r>
    </w:p>
    <w:p w:rsidRPr="008D480A" w:rsidR="00F47D5E" w:rsidP="00F47D5E" w:rsidRDefault="00F47D5E">
      <w:pPr>
        <w:autoSpaceDE w:val="0"/>
        <w:autoSpaceDN w:val="0"/>
        <w:adjustRightInd w:val="0"/>
        <w:jc w:val="center"/>
        <w:rPr>
          <w:color w:val="FF0000"/>
          <w:sz w:val="28"/>
          <w:szCs w:val="28"/>
          <w:lang w:val="en-US" w:eastAsia="en-US"/>
        </w:rPr>
      </w:pPr>
      <w:r>
        <w:rPr>
          <w:color w:val="FF0000"/>
          <w:sz w:val="28"/>
          <w:szCs w:val="28"/>
          <w:lang w:val="en-US" w:eastAsia="en-US"/>
        </w:rPr>
        <w:t>09/07/2013</w:t>
      </w:r>
    </w:p>
    <w:p w:rsidRPr="008D480A" w:rsidR="00F47D5E" w:rsidP="00F47D5E" w:rsidRDefault="00F47D5E">
      <w:pPr>
        <w:autoSpaceDE w:val="0"/>
        <w:autoSpaceDN w:val="0"/>
        <w:adjustRightInd w:val="0"/>
        <w:jc w:val="center"/>
        <w:rPr>
          <w:color w:val="FF0000"/>
          <w:sz w:val="28"/>
          <w:szCs w:val="28"/>
          <w:lang w:val="en-US" w:eastAsia="en-US"/>
        </w:rPr>
      </w:pPr>
    </w:p>
    <w:p w:rsidRPr="00F47D5E" w:rsidR="001948A0" w:rsidP="00F47D5E" w:rsidRDefault="00F47D5E">
      <w:pPr>
        <w:pStyle w:val="JuCase"/>
        <w:ind w:firstLine="0"/>
        <w:rPr>
          <w:b w:val="0"/>
          <w:i/>
          <w:sz w:val="22"/>
        </w:rPr>
      </w:pPr>
      <w:r w:rsidRPr="00F47D5E">
        <w:rPr>
          <w:b w:val="0"/>
          <w:i/>
          <w:iCs/>
          <w:color w:val="000000"/>
          <w:lang w:val="en-US" w:eastAsia="en-US"/>
        </w:rPr>
        <w:t>This judgment may be subject to editorial revision.</w:t>
      </w:r>
    </w:p>
    <w:p w:rsidRPr="00F47D5E" w:rsidR="001948A0" w:rsidP="001948A0" w:rsidRDefault="001948A0">
      <w:pPr>
        <w:pStyle w:val="JuPara"/>
        <w:sectPr w:rsidRPr="00F47D5E" w:rsidR="001948A0" w:rsidSect="001948A0">
          <w:headerReference w:type="default" r:id="rId7"/>
          <w:headerReference w:type="first" r:id="rId8"/>
          <w:footerReference w:type="first" r:id="rId9"/>
          <w:footnotePr>
            <w:numRestart w:val="eachPage"/>
          </w:footnotePr>
          <w:pgSz w:w="11906" w:h="16838" w:code="9"/>
          <w:pgMar w:top="2274" w:right="2274" w:bottom="2274" w:left="2274" w:header="1701" w:footer="720" w:gutter="0"/>
          <w:pgNumType w:start="1"/>
          <w:cols w:space="720"/>
          <w:titlePg/>
          <w:docGrid w:linePitch="326"/>
        </w:sectPr>
      </w:pPr>
    </w:p>
    <w:p w:rsidRPr="000D71CC" w:rsidR="00F71A6A" w:rsidP="00ED4401" w:rsidRDefault="00F71A6A">
      <w:pPr>
        <w:pStyle w:val="JuCase"/>
      </w:pPr>
      <w:r w:rsidRPr="000D71CC">
        <w:t xml:space="preserve">In the case of </w:t>
      </w:r>
      <w:r w:rsidRPr="000D71CC" w:rsidR="001948A0">
        <w:rPr>
          <w:rStyle w:val="JuCaseChar"/>
        </w:rPr>
        <w:t xml:space="preserve">Sindicatul </w:t>
      </w:r>
      <w:r w:rsidRPr="000D71CC" w:rsidR="00090354">
        <w:rPr>
          <w:rStyle w:val="JuCaseChar"/>
        </w:rPr>
        <w:t>“</w:t>
      </w:r>
      <w:r w:rsidRPr="000D71CC" w:rsidR="00271FC0">
        <w:rPr>
          <w:rStyle w:val="JuCaseChar"/>
        </w:rPr>
        <w:t>Pă</w:t>
      </w:r>
      <w:r w:rsidRPr="000D71CC" w:rsidR="001948A0">
        <w:rPr>
          <w:rStyle w:val="JuCaseChar"/>
        </w:rPr>
        <w:t>storul cel Bun</w:t>
      </w:r>
      <w:r w:rsidRPr="000D71CC" w:rsidR="00090354">
        <w:rPr>
          <w:rStyle w:val="JuCaseChar"/>
        </w:rPr>
        <w:t>”</w:t>
      </w:r>
      <w:r w:rsidRPr="000D71CC" w:rsidR="001948A0">
        <w:rPr>
          <w:rStyle w:val="JuCaseChar"/>
        </w:rPr>
        <w:t xml:space="preserve"> v. Romania</w:t>
      </w:r>
      <w:r w:rsidRPr="000D71CC">
        <w:t>,</w:t>
      </w:r>
    </w:p>
    <w:p w:rsidRPr="000D71CC" w:rsidR="00730433" w:rsidP="009F0055" w:rsidRDefault="00F71A6A">
      <w:pPr>
        <w:pStyle w:val="JuPara"/>
      </w:pPr>
      <w:r w:rsidRPr="000D71CC">
        <w:t>The European Court of Human Rights (</w:t>
      </w:r>
      <w:r w:rsidRPr="000D71CC" w:rsidR="00090354">
        <w:t>Third Section</w:t>
      </w:r>
      <w:r w:rsidRPr="000D71CC">
        <w:t xml:space="preserve">), sitting as a </w:t>
      </w:r>
      <w:r w:rsidRPr="000D71CC" w:rsidR="001948A0">
        <w:t>Chamber</w:t>
      </w:r>
      <w:r w:rsidRPr="000D71CC" w:rsidR="00730433">
        <w:t xml:space="preserve"> composed of:</w:t>
      </w:r>
    </w:p>
    <w:p w:rsidRPr="000D71CC" w:rsidR="00F71A6A" w:rsidP="008824B9" w:rsidRDefault="00BF6A3C">
      <w:pPr>
        <w:pStyle w:val="JuJudges"/>
      </w:pPr>
      <w:r w:rsidRPr="000D71CC">
        <w:tab/>
        <w:t>Josep Casadevall,</w:t>
      </w:r>
      <w:r w:rsidRPr="000D71CC">
        <w:rPr>
          <w:i/>
        </w:rPr>
        <w:t xml:space="preserve"> President</w:t>
      </w:r>
      <w:r w:rsidRPr="003B0210">
        <w:t>,</w:t>
      </w:r>
      <w:r w:rsidRPr="000D71CC">
        <w:rPr>
          <w:i/>
        </w:rPr>
        <w:br/>
      </w:r>
      <w:r w:rsidRPr="000D71CC">
        <w:tab/>
        <w:t>Egbert Myjer,</w:t>
      </w:r>
      <w:r w:rsidRPr="000D71CC">
        <w:rPr>
          <w:i/>
        </w:rPr>
        <w:br/>
      </w:r>
      <w:r w:rsidRPr="000D71CC">
        <w:tab/>
        <w:t>Ján Šikuta,</w:t>
      </w:r>
      <w:r w:rsidRPr="000D71CC">
        <w:rPr>
          <w:i/>
        </w:rPr>
        <w:br/>
      </w:r>
      <w:r w:rsidRPr="000D71CC">
        <w:tab/>
        <w:t>Ineta Ziemele,</w:t>
      </w:r>
      <w:r w:rsidRPr="000D71CC">
        <w:rPr>
          <w:i/>
        </w:rPr>
        <w:br/>
      </w:r>
      <w:r w:rsidRPr="000D71CC">
        <w:tab/>
        <w:t>Nona Tsotsoria,</w:t>
      </w:r>
      <w:r w:rsidRPr="000D71CC">
        <w:rPr>
          <w:i/>
        </w:rPr>
        <w:br/>
      </w:r>
      <w:r w:rsidRPr="000D71CC">
        <w:tab/>
        <w:t>Mihai Poalelungi,</w:t>
      </w:r>
      <w:r w:rsidRPr="000D71CC">
        <w:rPr>
          <w:i/>
        </w:rPr>
        <w:br/>
      </w:r>
      <w:r w:rsidRPr="000D71CC">
        <w:tab/>
        <w:t>Kristina Pardalos,</w:t>
      </w:r>
      <w:r w:rsidRPr="000D71CC">
        <w:rPr>
          <w:i/>
        </w:rPr>
        <w:t xml:space="preserve"> judges</w:t>
      </w:r>
      <w:r w:rsidRPr="005003DC">
        <w:t>,</w:t>
      </w:r>
      <w:r w:rsidRPr="000D71CC">
        <w:rPr>
          <w:i/>
        </w:rPr>
        <w:br/>
      </w:r>
      <w:r w:rsidRPr="000D71CC" w:rsidR="00F71A6A">
        <w:t>and</w:t>
      </w:r>
      <w:r w:rsidRPr="000D71CC" w:rsidR="000726F6">
        <w:t xml:space="preserve"> </w:t>
      </w:r>
      <w:r w:rsidRPr="000D71CC" w:rsidR="001948A0">
        <w:t>Santiago Quesada</w:t>
      </w:r>
      <w:r w:rsidRPr="000D71CC" w:rsidR="009D4B87">
        <w:rPr>
          <w:rStyle w:val="JuJudgesChar"/>
        </w:rPr>
        <w:t xml:space="preserve">, </w:t>
      </w:r>
      <w:r w:rsidRPr="000D71CC" w:rsidR="001948A0">
        <w:rPr>
          <w:i/>
        </w:rPr>
        <w:t xml:space="preserve">Section </w:t>
      </w:r>
      <w:r w:rsidRPr="000D71CC" w:rsidR="001948A0">
        <w:rPr>
          <w:i/>
          <w:iCs/>
        </w:rPr>
        <w:t>Registrar</w:t>
      </w:r>
      <w:r w:rsidRPr="000D71CC" w:rsidR="00F71A6A">
        <w:t>,</w:t>
      </w:r>
    </w:p>
    <w:p w:rsidRPr="000D71CC" w:rsidR="00F71A6A" w:rsidP="002F4BCF" w:rsidRDefault="00F71A6A">
      <w:pPr>
        <w:pStyle w:val="JuPara"/>
      </w:pPr>
      <w:r w:rsidRPr="000D71CC">
        <w:t xml:space="preserve">Having deliberated in private on </w:t>
      </w:r>
      <w:r w:rsidRPr="000D71CC" w:rsidR="00BF6A3C">
        <w:t>13 December 2011</w:t>
      </w:r>
      <w:r w:rsidRPr="000D71CC">
        <w:t>,</w:t>
      </w:r>
    </w:p>
    <w:p w:rsidRPr="000D71CC" w:rsidR="00F71A6A" w:rsidP="002F4BCF" w:rsidRDefault="00F71A6A">
      <w:pPr>
        <w:pStyle w:val="JuPara"/>
      </w:pPr>
      <w:r w:rsidRPr="000D71CC">
        <w:t>Delivers the following judgment, which was adopted on that date:</w:t>
      </w:r>
    </w:p>
    <w:p w:rsidRPr="000D71CC" w:rsidR="00F71A6A" w:rsidP="008824B9" w:rsidRDefault="00F71A6A">
      <w:pPr>
        <w:pStyle w:val="JuHHead"/>
      </w:pPr>
      <w:r w:rsidRPr="000D71CC">
        <w:t>PROCEDURE</w:t>
      </w:r>
    </w:p>
    <w:p w:rsidRPr="000D71CC" w:rsidR="00F71A6A" w:rsidP="002F4BCF" w:rsidRDefault="001948A0">
      <w:pPr>
        <w:pStyle w:val="JuPara"/>
      </w:pPr>
      <w:r w:rsidRPr="000D71CC">
        <w:fldChar w:fldCharType="begin"/>
      </w:r>
      <w:r w:rsidRPr="000D71CC">
        <w:instrText xml:space="preserve"> SEQ level0 \*arabic </w:instrText>
      </w:r>
      <w:r w:rsidRPr="000D71CC">
        <w:fldChar w:fldCharType="separate"/>
      </w:r>
      <w:r w:rsidR="00F47D5E">
        <w:rPr>
          <w:noProof/>
        </w:rPr>
        <w:t>1</w:t>
      </w:r>
      <w:r w:rsidRPr="000D71CC">
        <w:fldChar w:fldCharType="end"/>
      </w:r>
      <w:r w:rsidRPr="000D71CC" w:rsidR="00F71A6A">
        <w:t>.  </w:t>
      </w:r>
      <w:r w:rsidRPr="000D71CC" w:rsidR="008F0174">
        <w:t>The case originated in an application (no. 2330/09) against Romania lodged with the Court under Article 34 of the Convention for the Protection of Human Rights and Fundamental Freedoms (“the Convention”) by a trade union, Păstorul cel Bun (“The Good Shepherd”</w:t>
      </w:r>
      <w:r w:rsidR="006B34EC">
        <w:t xml:space="preserve"> – </w:t>
      </w:r>
      <w:r w:rsidRPr="000D71CC" w:rsidR="008F0174">
        <w:t>“the applicant union”), on 30 December 2008.</w:t>
      </w:r>
    </w:p>
    <w:p w:rsidRPr="000D71CC" w:rsidR="001948A0" w:rsidP="002F4BCF" w:rsidRDefault="001948A0">
      <w:pPr>
        <w:pStyle w:val="JuPara"/>
      </w:pPr>
      <w:r w:rsidRPr="000D71CC">
        <w:fldChar w:fldCharType="begin"/>
      </w:r>
      <w:r w:rsidRPr="000D71CC">
        <w:instrText xml:space="preserve"> SEQ level0 \*arabic </w:instrText>
      </w:r>
      <w:r w:rsidRPr="000D71CC">
        <w:fldChar w:fldCharType="separate"/>
      </w:r>
      <w:r w:rsidR="00F47D5E">
        <w:rPr>
          <w:noProof/>
        </w:rPr>
        <w:t>2</w:t>
      </w:r>
      <w:r w:rsidRPr="000D71CC">
        <w:fldChar w:fldCharType="end"/>
      </w:r>
      <w:r w:rsidRPr="000D71CC" w:rsidR="00F71A6A">
        <w:t>.  </w:t>
      </w:r>
      <w:r w:rsidRPr="000D71CC" w:rsidR="008F0174">
        <w:t>The applicant union was represented by Mr I. Gruia, a lawyer practising in Craiova. The Romanian Government (“the Government”) were represented by their Agent, Mr R.-H. Radu, of the Ministry of Foreign Affairs.</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3</w:t>
      </w:r>
      <w:r w:rsidRPr="000D71CC">
        <w:fldChar w:fldCharType="end"/>
      </w:r>
      <w:r w:rsidRPr="000D71CC">
        <w:t>.  </w:t>
      </w:r>
      <w:r w:rsidRPr="000D71CC" w:rsidR="00090354">
        <w:t>Corneliu Bîrsan, the judge elected in respect of Romania, withdrew from sitting in the case (Rule 28</w:t>
      </w:r>
      <w:r w:rsidR="006B34EC">
        <w:t xml:space="preserve"> of the Rules of Court</w:t>
      </w:r>
      <w:r w:rsidRPr="000D71CC" w:rsidR="00090354">
        <w:t xml:space="preserve">). The President of the Chamber accordingly appointed Mihai Poalelungi to sit as an </w:t>
      </w:r>
      <w:r w:rsidRPr="000D71CC" w:rsidR="00090354">
        <w:rPr>
          <w:i/>
        </w:rPr>
        <w:t xml:space="preserve">ad hoc </w:t>
      </w:r>
      <w:r w:rsidRPr="000D71CC" w:rsidR="00090354">
        <w:t>judge in his place (Article 2</w:t>
      </w:r>
      <w:r w:rsidR="006B34EC">
        <w:t xml:space="preserve">6 § 4 </w:t>
      </w:r>
      <w:r w:rsidRPr="000D71CC" w:rsidR="00090354">
        <w:t>of the Convention and Rule 29 § 1).</w:t>
      </w:r>
    </w:p>
    <w:p w:rsidRPr="000D71CC" w:rsidR="00090354" w:rsidP="00090354" w:rsidRDefault="00090354">
      <w:pPr>
        <w:pStyle w:val="JuPara"/>
      </w:pPr>
      <w:r w:rsidRPr="000D71CC">
        <w:fldChar w:fldCharType="begin"/>
      </w:r>
      <w:r w:rsidRPr="000D71CC">
        <w:instrText xml:space="preserve"> SEQ level0 \*arabic </w:instrText>
      </w:r>
      <w:r w:rsidRPr="000D71CC">
        <w:fldChar w:fldCharType="separate"/>
      </w:r>
      <w:r w:rsidR="00F47D5E">
        <w:rPr>
          <w:noProof/>
        </w:rPr>
        <w:t>4</w:t>
      </w:r>
      <w:r w:rsidRPr="000D71CC">
        <w:fldChar w:fldCharType="end"/>
      </w:r>
      <w:r w:rsidRPr="000D71CC">
        <w:t xml:space="preserve">.  The applicant union alleged that the refusal of its application for registration had infringed </w:t>
      </w:r>
      <w:r w:rsidR="0091527A">
        <w:t xml:space="preserve">the right of </w:t>
      </w:r>
      <w:r w:rsidRPr="000D71CC">
        <w:t>its members to form trade unions within the meaning of Article 11 of the Convention.</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5</w:t>
      </w:r>
      <w:r w:rsidRPr="000D71CC">
        <w:fldChar w:fldCharType="end"/>
      </w:r>
      <w:r w:rsidRPr="000D71CC">
        <w:t>.  </w:t>
      </w:r>
      <w:r w:rsidRPr="000D71CC" w:rsidR="00090354">
        <w:t>On 31 March 2010 the President of the Third Section decided to communicate the application to the Government. It was also decided that the Chamber would examine the merits of the application at the same time as i</w:t>
      </w:r>
      <w:r w:rsidR="005003DC">
        <w:t>ts admissibility (Article 29 § 1</w:t>
      </w:r>
      <w:r w:rsidRPr="000D71CC" w:rsidR="00090354">
        <w:t xml:space="preserve"> of the Convention). The parties replied in writing to each other</w:t>
      </w:r>
      <w:r w:rsidR="00F47D5E">
        <w:t>’</w:t>
      </w:r>
      <w:r w:rsidRPr="000D71CC" w:rsidR="00090354">
        <w:t xml:space="preserve">s observations. </w:t>
      </w:r>
      <w:bookmarkStart w:name="OLE_LINK1" w:id="2"/>
      <w:bookmarkStart w:name="OLE_LINK2" w:id="3"/>
      <w:bookmarkEnd w:id="2"/>
      <w:bookmarkEnd w:id="3"/>
      <w:r w:rsidRPr="000D71CC" w:rsidR="00090354">
        <w:t>In addition, third-party comments were received from the Archdiocese of Craiova and the non-governmental organisation European Centre for Law and Justice, which had been given leave by the President to intervene in the written procedure (Article 36 § 2 of the Convention and Rule 44 § 3).</w:t>
      </w:r>
    </w:p>
    <w:p w:rsidRPr="000D71CC" w:rsidR="00090354" w:rsidP="00090354" w:rsidRDefault="00090354">
      <w:pPr>
        <w:pStyle w:val="JuHHead"/>
      </w:pPr>
      <w:r w:rsidRPr="000D71CC">
        <w:t>THE FACTS</w:t>
      </w:r>
    </w:p>
    <w:p w:rsidRPr="000D71CC" w:rsidR="00090354" w:rsidP="00090354" w:rsidRDefault="00090354">
      <w:pPr>
        <w:pStyle w:val="JuHIRoman"/>
        <w:outlineLvl w:val="0"/>
      </w:pPr>
      <w:r w:rsidRPr="000D71CC">
        <w:t>I.  THE CIRCUMSTANCES OF THE CASE</w:t>
      </w:r>
    </w:p>
    <w:p w:rsidRPr="000D71CC" w:rsidR="00090354" w:rsidP="006F14EF" w:rsidRDefault="00090354">
      <w:pPr>
        <w:pStyle w:val="JuPara"/>
      </w:pPr>
      <w:r w:rsidRPr="000D71CC">
        <w:fldChar w:fldCharType="begin"/>
      </w:r>
      <w:r w:rsidRPr="000D71CC">
        <w:instrText xml:space="preserve"> SEQ level0 \*arabic </w:instrText>
      </w:r>
      <w:r w:rsidRPr="000D71CC">
        <w:fldChar w:fldCharType="separate"/>
      </w:r>
      <w:r w:rsidR="00F47D5E">
        <w:rPr>
          <w:noProof/>
        </w:rPr>
        <w:t>6</w:t>
      </w:r>
      <w:r w:rsidRPr="000D71CC">
        <w:fldChar w:fldCharType="end"/>
      </w:r>
      <w:r w:rsidRPr="000D71CC">
        <w:t>.  </w:t>
      </w:r>
      <w:r w:rsidRPr="006F14EF" w:rsidR="009D4FA5">
        <w:t>On 4</w:t>
      </w:r>
      <w:r w:rsidRPr="006F14EF">
        <w:t xml:space="preserve"> </w:t>
      </w:r>
      <w:r w:rsidRPr="006F14EF" w:rsidR="009D4FA5">
        <w:t>April</w:t>
      </w:r>
      <w:r w:rsidRPr="006F14EF">
        <w:t xml:space="preserve"> 2008 </w:t>
      </w:r>
      <w:r w:rsidRPr="006F14EF" w:rsidR="009D4FA5">
        <w:t>thirty</w:t>
      </w:r>
      <w:r w:rsidRPr="006F14EF">
        <w:t>-</w:t>
      </w:r>
      <w:r w:rsidRPr="006F14EF" w:rsidR="009D4FA5">
        <w:t>five</w:t>
      </w:r>
      <w:r w:rsidRPr="006F14EF">
        <w:t xml:space="preserve"> </w:t>
      </w:r>
      <w:r w:rsidR="00810A48">
        <w:t>clergy</w:t>
      </w:r>
      <w:r w:rsidR="00EA6493">
        <w:t>me</w:t>
      </w:r>
      <w:r w:rsidR="007B19B1">
        <w:t>n</w:t>
      </w:r>
      <w:r w:rsidR="00810A48">
        <w:t xml:space="preserve"> and lay staff of </w:t>
      </w:r>
      <w:r w:rsidRPr="006F14EF" w:rsidR="000D71CC">
        <w:t>the Romanian Orthodox Church</w:t>
      </w:r>
      <w:r w:rsidRPr="006F14EF">
        <w:t xml:space="preserve">, </w:t>
      </w:r>
      <w:r w:rsidRPr="006F14EF" w:rsidR="009E083E">
        <w:t>the</w:t>
      </w:r>
      <w:r w:rsidRPr="006F14EF">
        <w:t xml:space="preserve"> majorit</w:t>
      </w:r>
      <w:r w:rsidRPr="006F14EF" w:rsidR="009E083E">
        <w:t>y of them</w:t>
      </w:r>
      <w:r w:rsidRPr="006F14EF">
        <w:t xml:space="preserve"> </w:t>
      </w:r>
      <w:r w:rsidRPr="006F14EF" w:rsidR="002E46E8">
        <w:t xml:space="preserve">Orthodox </w:t>
      </w:r>
      <w:r w:rsidRPr="006F14EF" w:rsidR="000D71CC">
        <w:t>priest</w:t>
      </w:r>
      <w:r w:rsidRPr="006F14EF">
        <w:t xml:space="preserve">s </w:t>
      </w:r>
      <w:r w:rsidRPr="006F14EF" w:rsidR="009E083E">
        <w:t>in</w:t>
      </w:r>
      <w:r w:rsidRPr="006F14EF" w:rsidR="002E46E8">
        <w:t xml:space="preserve"> parishes </w:t>
      </w:r>
      <w:r w:rsidRPr="006F14EF" w:rsidR="009E083E">
        <w:t>of</w:t>
      </w:r>
      <w:r w:rsidRPr="006F14EF" w:rsidR="00CD168B">
        <w:t xml:space="preserve"> the </w:t>
      </w:r>
      <w:r w:rsidR="00EF6617">
        <w:t>Metropoli</w:t>
      </w:r>
      <w:r w:rsidR="008846BF">
        <w:t>s</w:t>
      </w:r>
      <w:r w:rsidR="00EF6617">
        <w:t xml:space="preserve"> </w:t>
      </w:r>
      <w:r w:rsidRPr="006F14EF" w:rsidR="009E083E">
        <w:t>of Olte</w:t>
      </w:r>
      <w:r w:rsidRPr="006F14EF">
        <w:t>ni</w:t>
      </w:r>
      <w:r w:rsidRPr="006F14EF" w:rsidR="009E083E">
        <w:t>a</w:t>
      </w:r>
      <w:r w:rsidRPr="006F14EF">
        <w:t xml:space="preserve"> (</w:t>
      </w:r>
      <w:r w:rsidRPr="006F14EF" w:rsidR="000D71CC">
        <w:t xml:space="preserve">a region of south-western </w:t>
      </w:r>
      <w:r w:rsidRPr="006F14EF" w:rsidR="009D4FA5">
        <w:t>Romania</w:t>
      </w:r>
      <w:r w:rsidRPr="006F14EF">
        <w:t xml:space="preserve">), </w:t>
      </w:r>
      <w:r w:rsidRPr="006F14EF" w:rsidR="00BC6CE0">
        <w:t xml:space="preserve">held a general meeting at which they </w:t>
      </w:r>
      <w:r w:rsidRPr="006F14EF" w:rsidR="000D71CC">
        <w:t xml:space="preserve">decided to form the </w:t>
      </w:r>
      <w:r w:rsidRPr="006F14EF">
        <w:t>Păstorul cel Bun</w:t>
      </w:r>
      <w:r w:rsidRPr="006F14EF" w:rsidR="000D71CC">
        <w:t xml:space="preserve"> trade union</w:t>
      </w:r>
      <w:r w:rsidRPr="006F14EF">
        <w:t xml:space="preserve">. The relevant parts of the </w:t>
      </w:r>
      <w:r w:rsidRPr="006F14EF" w:rsidR="000D71CC">
        <w:t>union</w:t>
      </w:r>
      <w:r w:rsidR="00F47D5E">
        <w:t>’</w:t>
      </w:r>
      <w:r w:rsidRPr="006F14EF" w:rsidR="000D71CC">
        <w:t xml:space="preserve">s </w:t>
      </w:r>
      <w:r w:rsidRPr="006F14EF">
        <w:t>constitution read as follows</w:t>
      </w:r>
      <w:r w:rsidRPr="006F14EF" w:rsidR="009D4FA5">
        <w:t>:</w:t>
      </w:r>
    </w:p>
    <w:p w:rsidRPr="000D71CC" w:rsidR="00090354" w:rsidP="00090354" w:rsidRDefault="000D71CC">
      <w:pPr>
        <w:pStyle w:val="JuQuot"/>
      </w:pPr>
      <w:r>
        <w:t>“</w:t>
      </w:r>
      <w:r w:rsidR="00021FBB">
        <w:t xml:space="preserve">The </w:t>
      </w:r>
      <w:r w:rsidR="00656B15">
        <w:t>aim</w:t>
      </w:r>
      <w:r w:rsidR="00021FBB">
        <w:t xml:space="preserve"> of the union of clergy and lay persons working in parishes or other ecclesiastical bodies within the</w:t>
      </w:r>
      <w:r w:rsidRPr="000D71CC" w:rsidR="00090354">
        <w:t xml:space="preserve"> administrative </w:t>
      </w:r>
      <w:r w:rsidRPr="000D71CC" w:rsidR="009D4FA5">
        <w:t>and</w:t>
      </w:r>
      <w:r w:rsidRPr="000D71CC" w:rsidR="00090354">
        <w:t xml:space="preserve"> territorial</w:t>
      </w:r>
      <w:r w:rsidRPr="000D71CC" w:rsidR="00021FBB">
        <w:t xml:space="preserve"> </w:t>
      </w:r>
      <w:r w:rsidR="00021FBB">
        <w:t xml:space="preserve">jurisdiction of the </w:t>
      </w:r>
      <w:r w:rsidR="00EA6493">
        <w:t>Metropoli</w:t>
      </w:r>
      <w:r w:rsidR="008846BF">
        <w:t>s</w:t>
      </w:r>
      <w:r w:rsidR="00D65339">
        <w:t xml:space="preserve"> of Oltenia</w:t>
      </w:r>
      <w:r w:rsidR="00021FBB">
        <w:t xml:space="preserve"> </w:t>
      </w:r>
      <w:r w:rsidR="003708F2">
        <w:t>shall be</w:t>
      </w:r>
      <w:r w:rsidR="008F6A79">
        <w:t xml:space="preserve"> </w:t>
      </w:r>
      <w:r w:rsidR="003708F2">
        <w:t>accepted voluntarily</w:t>
      </w:r>
      <w:r w:rsidR="008F6A79">
        <w:t xml:space="preserve"> and concerns the representation </w:t>
      </w:r>
      <w:r w:rsidRPr="000D71CC" w:rsidR="009D4FA5">
        <w:t>and</w:t>
      </w:r>
      <w:r w:rsidRPr="000D71CC" w:rsidR="00090354">
        <w:t xml:space="preserve"> </w:t>
      </w:r>
      <w:r w:rsidR="008F6A79">
        <w:t xml:space="preserve">protection of the </w:t>
      </w:r>
      <w:r w:rsidRPr="00021FBB" w:rsidR="00021FBB">
        <w:t xml:space="preserve">professional, economic, social and cultural </w:t>
      </w:r>
      <w:r w:rsidR="008F6A79">
        <w:t xml:space="preserve">rights and </w:t>
      </w:r>
      <w:r w:rsidRPr="00021FBB" w:rsidR="00021FBB">
        <w:t xml:space="preserve">interests of </w:t>
      </w:r>
      <w:r w:rsidR="008F6A79">
        <w:t>clergy and lay</w:t>
      </w:r>
      <w:r w:rsidRPr="00021FBB" w:rsidR="00021FBB">
        <w:t xml:space="preserve"> members</w:t>
      </w:r>
      <w:r w:rsidR="008F6A79">
        <w:t xml:space="preserve"> of the union </w:t>
      </w:r>
      <w:r w:rsidRPr="00021FBB" w:rsidR="00021FBB">
        <w:t>in their dealings with the Church hierarchy and the Ministry of Cultur</w:t>
      </w:r>
      <w:r w:rsidR="008F6A79">
        <w:t>e</w:t>
      </w:r>
      <w:r w:rsidRPr="00021FBB" w:rsidR="00021FBB">
        <w:t xml:space="preserve"> and Religious Affairs</w:t>
      </w:r>
      <w:r w:rsidRPr="000D71CC" w:rsidR="00090354">
        <w:t>.</w:t>
      </w:r>
    </w:p>
    <w:p w:rsidRPr="000D71CC" w:rsidR="00090354" w:rsidP="00090354" w:rsidRDefault="00D23414">
      <w:pPr>
        <w:pStyle w:val="JuQuot"/>
      </w:pPr>
      <w:r>
        <w:t>In order to achieve the above aim, the union shall seek to</w:t>
      </w:r>
      <w:r w:rsidRPr="000D71CC" w:rsidR="009D4FA5">
        <w:t>:</w:t>
      </w:r>
    </w:p>
    <w:p w:rsidRPr="000D71CC" w:rsidR="00090354" w:rsidP="00090354" w:rsidRDefault="00D23414">
      <w:pPr>
        <w:pStyle w:val="JuQuot"/>
      </w:pPr>
      <w:r>
        <w:t>(a)  ensure</w:t>
      </w:r>
      <w:r w:rsidRPr="000D71CC" w:rsidR="00090354">
        <w:t xml:space="preserve"> respect</w:t>
      </w:r>
      <w:r>
        <w:t xml:space="preserve"> for th</w:t>
      </w:r>
      <w:r w:rsidRPr="00D23414">
        <w:t xml:space="preserve">e fundamental rights of its members to work, dignity, </w:t>
      </w:r>
      <w:r>
        <w:t>social protection</w:t>
      </w:r>
      <w:r w:rsidRPr="00D23414">
        <w:t>, safety at work, rest, social insurance, unemployment</w:t>
      </w:r>
      <w:r>
        <w:t xml:space="preserve"> benefits</w:t>
      </w:r>
      <w:r w:rsidRPr="00D23414">
        <w:t xml:space="preserve">, pension rights and other rights </w:t>
      </w:r>
      <w:r>
        <w:t>laid down in the legislation in force</w:t>
      </w:r>
      <w:r w:rsidRPr="000D71CC" w:rsidR="009D4FA5">
        <w:t>;</w:t>
      </w:r>
    </w:p>
    <w:p w:rsidRPr="000D71CC" w:rsidR="00090354" w:rsidP="00090354" w:rsidRDefault="00D23414">
      <w:pPr>
        <w:pStyle w:val="JuQuot"/>
      </w:pPr>
      <w:r>
        <w:t xml:space="preserve">(b)  ensure that each of its members is provided with work </w:t>
      </w:r>
      <w:r w:rsidR="007B19B1">
        <w:t xml:space="preserve">corresponding to </w:t>
      </w:r>
      <w:r>
        <w:t>his professional training and skills</w:t>
      </w:r>
      <w:r w:rsidRPr="000D71CC" w:rsidR="009D4FA5">
        <w:t>;</w:t>
      </w:r>
    </w:p>
    <w:p w:rsidRPr="000D71CC" w:rsidR="00090354" w:rsidP="00090354" w:rsidRDefault="00D23414">
      <w:pPr>
        <w:pStyle w:val="JuQuot"/>
      </w:pPr>
      <w:r>
        <w:t>(c)  </w:t>
      </w:r>
      <w:r w:rsidRPr="00D23414">
        <w:t>ensure compliance with</w:t>
      </w:r>
      <w:r>
        <w:t xml:space="preserve"> the statutory</w:t>
      </w:r>
      <w:r w:rsidRPr="00D23414">
        <w:t xml:space="preserve"> provisions concerning the duration of leave and days </w:t>
      </w:r>
      <w:r w:rsidR="00D026C6">
        <w:t>of rest</w:t>
      </w:r>
      <w:r w:rsidRPr="000D71CC" w:rsidR="009D4FA5">
        <w:t>;</w:t>
      </w:r>
    </w:p>
    <w:p w:rsidRPr="000D71CC" w:rsidR="00090354" w:rsidP="00090354" w:rsidRDefault="00D026C6">
      <w:pPr>
        <w:pStyle w:val="JuQuot"/>
      </w:pPr>
      <w:r>
        <w:t>(d)  </w:t>
      </w:r>
      <w:r w:rsidRPr="00D026C6">
        <w:t>promot</w:t>
      </w:r>
      <w:r>
        <w:t>e</w:t>
      </w:r>
      <w:r w:rsidRPr="00D026C6">
        <w:t xml:space="preserve"> initiative, competition and freedom of expression </w:t>
      </w:r>
      <w:r>
        <w:t>among its members</w:t>
      </w:r>
      <w:r w:rsidRPr="000D71CC" w:rsidR="009D4FA5">
        <w:t>;</w:t>
      </w:r>
    </w:p>
    <w:p w:rsidRPr="000D71CC" w:rsidR="00090354" w:rsidP="00090354" w:rsidRDefault="00D026C6">
      <w:pPr>
        <w:pStyle w:val="JuQuot"/>
      </w:pPr>
      <w:r>
        <w:t>(</w:t>
      </w:r>
      <w:r w:rsidRPr="000D71CC" w:rsidR="00090354">
        <w:t>e)</w:t>
      </w:r>
      <w:r>
        <w:t>  </w:t>
      </w:r>
      <w:r w:rsidRPr="00997320" w:rsidR="00997320">
        <w:t xml:space="preserve">ensure the implementation and strict </w:t>
      </w:r>
      <w:r w:rsidR="00997320">
        <w:t>observance of</w:t>
      </w:r>
      <w:r w:rsidRPr="00997320" w:rsidR="00997320">
        <w:t xml:space="preserve"> the </w:t>
      </w:r>
      <w:r w:rsidR="00997320">
        <w:t>statutory</w:t>
      </w:r>
      <w:r w:rsidRPr="00997320" w:rsidR="00997320">
        <w:t xml:space="preserve"> provisions concerning protection </w:t>
      </w:r>
      <w:r w:rsidR="00997320">
        <w:t>of employment and the rights deriving therefrom</w:t>
      </w:r>
      <w:r w:rsidRPr="000D71CC" w:rsidR="009D4FA5">
        <w:t>;</w:t>
      </w:r>
    </w:p>
    <w:p w:rsidRPr="000D71CC" w:rsidR="00090354" w:rsidP="00090354" w:rsidRDefault="00997320">
      <w:pPr>
        <w:pStyle w:val="JuQuot"/>
      </w:pPr>
      <w:r>
        <w:t>(f)  </w:t>
      </w:r>
      <w:r w:rsidRPr="007B719C" w:rsidR="007B719C">
        <w:t xml:space="preserve">apply </w:t>
      </w:r>
      <w:r w:rsidR="007B719C">
        <w:t>full</w:t>
      </w:r>
      <w:r w:rsidR="0058758A">
        <w:t>y</w:t>
      </w:r>
      <w:r w:rsidR="007B719C">
        <w:t xml:space="preserve"> </w:t>
      </w:r>
      <w:r w:rsidRPr="007B719C" w:rsidR="007B719C">
        <w:t xml:space="preserve">the provisions of </w:t>
      </w:r>
      <w:r w:rsidR="007B719C">
        <w:t>Law</w:t>
      </w:r>
      <w:r w:rsidRPr="007B719C" w:rsidR="007B719C">
        <w:t xml:space="preserve"> </w:t>
      </w:r>
      <w:r w:rsidR="0077491A">
        <w:t>n</w:t>
      </w:r>
      <w:r w:rsidRPr="007B719C" w:rsidR="007B719C">
        <w:t xml:space="preserve">o. 489/2006 on </w:t>
      </w:r>
      <w:r w:rsidR="000F6C07">
        <w:t xml:space="preserve">religious freedom </w:t>
      </w:r>
      <w:r w:rsidRPr="007B719C" w:rsidR="007B719C">
        <w:t xml:space="preserve">and the legal </w:t>
      </w:r>
      <w:r w:rsidR="007B719C">
        <w:t>status of religious denominations</w:t>
      </w:r>
      <w:r w:rsidRPr="007B719C" w:rsidR="007B719C">
        <w:t xml:space="preserve">, the </w:t>
      </w:r>
      <w:r w:rsidR="005B218B">
        <w:t>Statute</w:t>
      </w:r>
      <w:r w:rsidRPr="007B719C" w:rsidR="007B719C">
        <w:t xml:space="preserve"> of the Romanian Orthodox Church and the </w:t>
      </w:r>
      <w:r w:rsidR="007B719C">
        <w:t>H</w:t>
      </w:r>
      <w:r w:rsidRPr="007B719C" w:rsidR="007B719C">
        <w:t xml:space="preserve">oly </w:t>
      </w:r>
      <w:r w:rsidR="007B719C">
        <w:t>C</w:t>
      </w:r>
      <w:r w:rsidRPr="007B719C" w:rsidR="007B719C">
        <w:t>anons of the Romanian Orthodox Church</w:t>
      </w:r>
      <w:r w:rsidRPr="000D71CC" w:rsidR="009D4FA5">
        <w:t>;</w:t>
      </w:r>
    </w:p>
    <w:p w:rsidRPr="000D71CC" w:rsidR="00090354" w:rsidP="00090354" w:rsidRDefault="007B719C">
      <w:pPr>
        <w:pStyle w:val="JuQuot"/>
      </w:pPr>
      <w:r>
        <w:t>(g)  </w:t>
      </w:r>
      <w:r w:rsidRPr="00FA4DCD" w:rsidR="00FA4DCD">
        <w:t xml:space="preserve">negotiate </w:t>
      </w:r>
      <w:r w:rsidRPr="00FA4DCD" w:rsidR="00043BA2">
        <w:t>collective and individual labo</w:t>
      </w:r>
      <w:r w:rsidR="00043BA2">
        <w:t>u</w:t>
      </w:r>
      <w:r w:rsidRPr="00FA4DCD" w:rsidR="00043BA2">
        <w:t xml:space="preserve">r </w:t>
      </w:r>
      <w:r w:rsidR="00043BA2">
        <w:t xml:space="preserve">agreements </w:t>
      </w:r>
      <w:r w:rsidRPr="00FA4DCD" w:rsidR="00FA4DCD">
        <w:t xml:space="preserve">with the </w:t>
      </w:r>
      <w:r w:rsidR="00FA4DCD">
        <w:t>Archdiocese</w:t>
      </w:r>
      <w:r w:rsidRPr="000D71CC" w:rsidR="00FA4DCD">
        <w:t xml:space="preserve"> and </w:t>
      </w:r>
      <w:r w:rsidR="00FA4DCD">
        <w:t>the</w:t>
      </w:r>
      <w:r w:rsidRPr="000D71CC" w:rsidR="00FA4DCD">
        <w:t xml:space="preserve"> </w:t>
      </w:r>
      <w:r w:rsidR="00FA4DCD">
        <w:t>Metropolis</w:t>
      </w:r>
      <w:r w:rsidR="00043BA2">
        <w:t xml:space="preserve"> </w:t>
      </w:r>
      <w:r w:rsidR="0097519C">
        <w:t xml:space="preserve">expressly </w:t>
      </w:r>
      <w:r w:rsidR="00FA4DCD">
        <w:t xml:space="preserve">setting out </w:t>
      </w:r>
      <w:r w:rsidR="0097519C">
        <w:t>all</w:t>
      </w:r>
      <w:r w:rsidRPr="00FA4DCD" w:rsidR="00FA4DCD">
        <w:t xml:space="preserve"> the rights and duties of the clergy and laity</w:t>
      </w:r>
      <w:r w:rsidRPr="000D71CC" w:rsidR="009D4FA5">
        <w:t>;</w:t>
      </w:r>
    </w:p>
    <w:p w:rsidRPr="000D71CC" w:rsidR="00090354" w:rsidP="00090354" w:rsidRDefault="0097519C">
      <w:pPr>
        <w:pStyle w:val="JuQuot"/>
      </w:pPr>
      <w:r>
        <w:t>(</w:t>
      </w:r>
      <w:r w:rsidRPr="000D71CC" w:rsidR="00090354">
        <w:t>h</w:t>
      </w:r>
      <w:r>
        <w:t>)  </w:t>
      </w:r>
      <w:r w:rsidR="00043BA2">
        <w:t>afford</w:t>
      </w:r>
      <w:r w:rsidRPr="0097519C">
        <w:t xml:space="preserve"> protection </w:t>
      </w:r>
      <w:r w:rsidR="00043BA2">
        <w:t>to its</w:t>
      </w:r>
      <w:r w:rsidRPr="0097519C">
        <w:t xml:space="preserve"> President and representatives, </w:t>
      </w:r>
      <w:r w:rsidR="00043BA2">
        <w:t xml:space="preserve">both </w:t>
      </w:r>
      <w:r w:rsidRPr="0097519C">
        <w:t>during and after their term</w:t>
      </w:r>
      <w:r>
        <w:t>s of office</w:t>
      </w:r>
      <w:r w:rsidRPr="000D71CC" w:rsidR="009D4FA5">
        <w:t>;</w:t>
      </w:r>
    </w:p>
    <w:p w:rsidRPr="000D71CC" w:rsidR="00090354" w:rsidP="00090354" w:rsidRDefault="0097519C">
      <w:pPr>
        <w:pStyle w:val="JuQuot"/>
      </w:pPr>
      <w:r>
        <w:t>(i)  </w:t>
      </w:r>
      <w:r w:rsidRPr="00AB3F13" w:rsidR="00AB3F13">
        <w:t>ensure th</w:t>
      </w:r>
      <w:r w:rsidR="00043BA2">
        <w:t xml:space="preserve">at it is involved and represented </w:t>
      </w:r>
      <w:r w:rsidRPr="00AB3F13" w:rsidR="00AB3F13">
        <w:t xml:space="preserve">at all levels and </w:t>
      </w:r>
      <w:r w:rsidR="00AB3F13">
        <w:t>on</w:t>
      </w:r>
      <w:r w:rsidRPr="00AB3F13" w:rsidR="00AB3F13">
        <w:t xml:space="preserve"> all decision-making</w:t>
      </w:r>
      <w:r w:rsidR="00AB3F13">
        <w:t xml:space="preserve"> bodies</w:t>
      </w:r>
      <w:r w:rsidRPr="00AB3F13" w:rsidR="00AB3F13">
        <w:t xml:space="preserve">, </w:t>
      </w:r>
      <w:r w:rsidR="00AB3F13">
        <w:t>in accordance with the statutory</w:t>
      </w:r>
      <w:r w:rsidRPr="00AB3F13" w:rsidR="00AB3F13">
        <w:t xml:space="preserve"> provisions</w:t>
      </w:r>
      <w:r w:rsidR="00AB3F13">
        <w:t xml:space="preserve"> in force</w:t>
      </w:r>
      <w:r w:rsidRPr="000D71CC" w:rsidR="009D4FA5">
        <w:t>;</w:t>
      </w:r>
    </w:p>
    <w:p w:rsidRPr="000D71CC" w:rsidR="00090354" w:rsidP="00090354" w:rsidRDefault="006A21EE">
      <w:pPr>
        <w:pStyle w:val="JuQuot"/>
      </w:pPr>
      <w:r>
        <w:t>(</w:t>
      </w:r>
      <w:r w:rsidRPr="000D71CC" w:rsidR="00090354">
        <w:t>j)</w:t>
      </w:r>
      <w:r>
        <w:t>  </w:t>
      </w:r>
      <w:r w:rsidRPr="00194507" w:rsidR="00194507">
        <w:t>use petition</w:t>
      </w:r>
      <w:r w:rsidR="00194507">
        <w:t>s</w:t>
      </w:r>
      <w:r w:rsidRPr="00194507" w:rsidR="00194507">
        <w:t>, demonstration</w:t>
      </w:r>
      <w:r w:rsidR="00194507">
        <w:t>s</w:t>
      </w:r>
      <w:r w:rsidRPr="00194507" w:rsidR="00194507">
        <w:t xml:space="preserve"> and strike</w:t>
      </w:r>
      <w:r w:rsidR="00194507">
        <w:t>s as</w:t>
      </w:r>
      <w:r w:rsidRPr="00194507" w:rsidR="00194507">
        <w:t xml:space="preserve"> means of defending </w:t>
      </w:r>
      <w:r w:rsidR="00194507">
        <w:t>its members</w:t>
      </w:r>
      <w:r w:rsidR="00F47D5E">
        <w:t>’</w:t>
      </w:r>
      <w:r w:rsidRPr="00194507" w:rsidR="00194507">
        <w:t xml:space="preserve"> interests and </w:t>
      </w:r>
      <w:r w:rsidR="00194507">
        <w:t xml:space="preserve">protecting </w:t>
      </w:r>
      <w:r w:rsidRPr="00194507" w:rsidR="00194507">
        <w:t xml:space="preserve">their dignity and </w:t>
      </w:r>
      <w:r w:rsidR="00194507">
        <w:t>fundamental</w:t>
      </w:r>
      <w:r w:rsidRPr="00194507" w:rsidR="00194507">
        <w:t xml:space="preserve"> rights</w:t>
      </w:r>
      <w:r w:rsidRPr="000D71CC" w:rsidR="009D4FA5">
        <w:t>;</w:t>
      </w:r>
    </w:p>
    <w:p w:rsidRPr="000D71CC" w:rsidR="00090354" w:rsidP="00090354" w:rsidRDefault="00194507">
      <w:pPr>
        <w:pStyle w:val="JuQuot"/>
      </w:pPr>
      <w:r>
        <w:t>(</w:t>
      </w:r>
      <w:r w:rsidRPr="000D71CC" w:rsidR="00090354">
        <w:t>k)</w:t>
      </w:r>
      <w:r>
        <w:t>  </w:t>
      </w:r>
      <w:r w:rsidR="00936A34">
        <w:t xml:space="preserve">take legal action against any individuals or </w:t>
      </w:r>
      <w:r w:rsidR="00043BA2">
        <w:t xml:space="preserve">other </w:t>
      </w:r>
      <w:r w:rsidRPr="00936A34" w:rsidR="00936A34">
        <w:t xml:space="preserve">entities </w:t>
      </w:r>
      <w:r w:rsidR="00043BA2">
        <w:t>that</w:t>
      </w:r>
      <w:r w:rsidRPr="00936A34" w:rsidR="00936A34">
        <w:t xml:space="preserve"> </w:t>
      </w:r>
      <w:r w:rsidR="00936A34">
        <w:t>disregard employment legislation, trade-</w:t>
      </w:r>
      <w:r w:rsidRPr="00936A34" w:rsidR="00936A34">
        <w:t xml:space="preserve">union </w:t>
      </w:r>
      <w:r w:rsidR="00936A34">
        <w:t>law,</w:t>
      </w:r>
      <w:r w:rsidRPr="00936A34" w:rsidR="00936A34">
        <w:t xml:space="preserve"> the provisions of the collective agreement </w:t>
      </w:r>
      <w:r w:rsidR="00043BA2">
        <w:t>drawn up within the Metropolis</w:t>
      </w:r>
      <w:r w:rsidRPr="00936A34" w:rsidR="00936A34">
        <w:t xml:space="preserve"> or </w:t>
      </w:r>
      <w:r w:rsidR="00043BA2">
        <w:t xml:space="preserve">employment </w:t>
      </w:r>
      <w:r w:rsidRPr="00936A34" w:rsidR="00936A34">
        <w:t>contracts</w:t>
      </w:r>
      <w:r w:rsidR="00043BA2">
        <w:t>,</w:t>
      </w:r>
      <w:r w:rsidRPr="00936A34" w:rsidR="00936A34">
        <w:t xml:space="preserve"> if</w:t>
      </w:r>
      <w:r w:rsidR="00043BA2">
        <w:t xml:space="preserve"> it has proved impossible to resolve</w:t>
      </w:r>
      <w:r w:rsidRPr="00936A34" w:rsidR="00936A34">
        <w:t xml:space="preserve"> </w:t>
      </w:r>
      <w:r w:rsidR="00936A34">
        <w:t xml:space="preserve">the </w:t>
      </w:r>
      <w:r w:rsidRPr="00936A34" w:rsidR="00936A34">
        <w:t xml:space="preserve">disputes </w:t>
      </w:r>
      <w:r w:rsidR="007B19B1">
        <w:t xml:space="preserve">in question </w:t>
      </w:r>
      <w:r w:rsidRPr="00936A34" w:rsidR="00936A34">
        <w:t xml:space="preserve">by </w:t>
      </w:r>
      <w:r w:rsidR="00936A34">
        <w:t xml:space="preserve">means of </w:t>
      </w:r>
      <w:r w:rsidRPr="00936A34" w:rsidR="00936A34">
        <w:t>negotiation</w:t>
      </w:r>
      <w:r w:rsidRPr="000D71CC" w:rsidR="009D4FA5">
        <w:t>;</w:t>
      </w:r>
    </w:p>
    <w:p w:rsidRPr="000D71CC" w:rsidR="00090354" w:rsidP="00090354" w:rsidRDefault="00936A34">
      <w:pPr>
        <w:pStyle w:val="JuQuot"/>
      </w:pPr>
      <w:r>
        <w:t>(l)  </w:t>
      </w:r>
      <w:r w:rsidRPr="0043669D" w:rsidR="0043669D">
        <w:t xml:space="preserve">ensure </w:t>
      </w:r>
      <w:r w:rsidR="00043BA2">
        <w:t xml:space="preserve">the observance and implementation of </w:t>
      </w:r>
      <w:r w:rsidR="0043669D">
        <w:t>statutory</w:t>
      </w:r>
      <w:r w:rsidRPr="0043669D" w:rsidR="0043669D">
        <w:t xml:space="preserve"> provisions relating to remuneration and guarantee</w:t>
      </w:r>
      <w:r w:rsidR="0043669D">
        <w:t>s of</w:t>
      </w:r>
      <w:r w:rsidRPr="0043669D" w:rsidR="0043669D">
        <w:t xml:space="preserve"> decent living conditions;</w:t>
      </w:r>
    </w:p>
    <w:p w:rsidRPr="000D71CC" w:rsidR="00090354" w:rsidP="00090354" w:rsidRDefault="0043669D">
      <w:pPr>
        <w:pStyle w:val="JuQuot"/>
      </w:pPr>
      <w:r>
        <w:t>(m)  </w:t>
      </w:r>
      <w:r w:rsidR="00043BA2">
        <w:t>secure to the</w:t>
      </w:r>
      <w:r w:rsidRPr="001750AC" w:rsidR="001750AC">
        <w:t xml:space="preserve"> cle</w:t>
      </w:r>
      <w:r w:rsidR="001750AC">
        <w:t>rgy and la</w:t>
      </w:r>
      <w:r w:rsidR="00043BA2">
        <w:t xml:space="preserve">ity the benefit of </w:t>
      </w:r>
      <w:r w:rsidRPr="001750AC" w:rsidR="001750AC">
        <w:t xml:space="preserve">all the rights enjoyed by other </w:t>
      </w:r>
      <w:r w:rsidR="00043BA2">
        <w:t>sectors</w:t>
      </w:r>
      <w:r w:rsidR="001750AC">
        <w:t xml:space="preserve"> of society</w:t>
      </w:r>
      <w:r w:rsidRPr="000D71CC" w:rsidR="009D4FA5">
        <w:t>;</w:t>
      </w:r>
    </w:p>
    <w:p w:rsidRPr="000D71CC" w:rsidR="00090354" w:rsidP="00090354" w:rsidRDefault="001750AC">
      <w:pPr>
        <w:pStyle w:val="JuQuot"/>
      </w:pPr>
      <w:r>
        <w:t>(</w:t>
      </w:r>
      <w:r w:rsidRPr="000D71CC" w:rsidR="00090354">
        <w:t>n)</w:t>
      </w:r>
      <w:r>
        <w:t>  </w:t>
      </w:r>
      <w:r w:rsidR="004563D4">
        <w:t>set up its own mutual-aid funds</w:t>
      </w:r>
      <w:r w:rsidRPr="000D71CC" w:rsidR="009D4FA5">
        <w:t>;</w:t>
      </w:r>
    </w:p>
    <w:p w:rsidRPr="000D71CC" w:rsidR="00090354" w:rsidP="00090354" w:rsidRDefault="004563D4">
      <w:pPr>
        <w:pStyle w:val="JuQuot"/>
      </w:pPr>
      <w:r>
        <w:t>(</w:t>
      </w:r>
      <w:r w:rsidRPr="000D71CC" w:rsidR="00090354">
        <w:t>o)</w:t>
      </w:r>
      <w:r>
        <w:t>  </w:t>
      </w:r>
      <w:r w:rsidR="00D11793">
        <w:t xml:space="preserve">produce </w:t>
      </w:r>
      <w:r w:rsidRPr="00D11793" w:rsidR="00D11793">
        <w:t xml:space="preserve">and </w:t>
      </w:r>
      <w:r w:rsidR="00CB0E94">
        <w:t>issue</w:t>
      </w:r>
      <w:r w:rsidRPr="00D11793" w:rsidR="00D11793">
        <w:t xml:space="preserve"> publications</w:t>
      </w:r>
      <w:r w:rsidR="00D11793">
        <w:t xml:space="preserve"> provi</w:t>
      </w:r>
      <w:r w:rsidR="004A1268">
        <w:t>ding</w:t>
      </w:r>
      <w:r w:rsidR="00D11793">
        <w:t xml:space="preserve"> </w:t>
      </w:r>
      <w:r w:rsidRPr="00D11793" w:rsidR="00D11793">
        <w:t>inform</w:t>
      </w:r>
      <w:r w:rsidR="00D11793">
        <w:t>ation to</w:t>
      </w:r>
      <w:r w:rsidRPr="00D11793" w:rsidR="00D11793">
        <w:t xml:space="preserve"> its members and </w:t>
      </w:r>
      <w:r w:rsidR="004A1268">
        <w:t xml:space="preserve">defending </w:t>
      </w:r>
      <w:r w:rsidRPr="00D11793" w:rsidR="00D11793">
        <w:t>their interests</w:t>
      </w:r>
      <w:r w:rsidRPr="000D71CC" w:rsidR="009D4FA5">
        <w:t>;</w:t>
      </w:r>
    </w:p>
    <w:p w:rsidRPr="000D71CC" w:rsidR="00090354" w:rsidP="00090354" w:rsidRDefault="00D11793">
      <w:pPr>
        <w:pStyle w:val="JuQuot"/>
      </w:pPr>
      <w:r>
        <w:t>(</w:t>
      </w:r>
      <w:r w:rsidRPr="000D71CC" w:rsidR="00090354">
        <w:t>p)</w:t>
      </w:r>
      <w:r>
        <w:t>  </w:t>
      </w:r>
      <w:r w:rsidRPr="007754D9" w:rsidR="007754D9">
        <w:t xml:space="preserve">establish and operate </w:t>
      </w:r>
      <w:r w:rsidR="007754D9">
        <w:t xml:space="preserve">cultural, educational and research </w:t>
      </w:r>
      <w:r w:rsidRPr="007754D9" w:rsidR="007754D9">
        <w:t>organi</w:t>
      </w:r>
      <w:r w:rsidR="007754D9">
        <w:t>s</w:t>
      </w:r>
      <w:r w:rsidRPr="007754D9" w:rsidR="007754D9">
        <w:t>ations in the trade</w:t>
      </w:r>
      <w:r w:rsidR="007754D9">
        <w:t>-</w:t>
      </w:r>
      <w:r w:rsidRPr="007754D9" w:rsidR="007754D9">
        <w:t xml:space="preserve">union </w:t>
      </w:r>
      <w:r w:rsidR="004A1268">
        <w:t>sphere</w:t>
      </w:r>
      <w:r w:rsidR="00CB0E94">
        <w:t>, as well as</w:t>
      </w:r>
      <w:r w:rsidRPr="007754D9" w:rsidR="007754D9">
        <w:t xml:space="preserve"> social and socio-economic institutions</w:t>
      </w:r>
      <w:r w:rsidR="004A1268">
        <w:t>,</w:t>
      </w:r>
      <w:r w:rsidRPr="007754D9" w:rsidR="004A1268">
        <w:t xml:space="preserve"> in </w:t>
      </w:r>
      <w:r w:rsidR="004A1268">
        <w:t>accordance</w:t>
      </w:r>
      <w:r w:rsidRPr="007754D9" w:rsidR="004A1268">
        <w:t xml:space="preserve"> with </w:t>
      </w:r>
      <w:r w:rsidR="004A1268">
        <w:t xml:space="preserve">the relevant statutory provisions </w:t>
      </w:r>
      <w:r w:rsidRPr="007754D9" w:rsidR="004A1268">
        <w:t>and in the interests of its members</w:t>
      </w:r>
      <w:r w:rsidRPr="000D71CC" w:rsidR="009D4FA5">
        <w:t>;</w:t>
      </w:r>
    </w:p>
    <w:p w:rsidRPr="000D71CC" w:rsidR="00090354" w:rsidP="00090354" w:rsidRDefault="006A5A18">
      <w:pPr>
        <w:pStyle w:val="JuQuot"/>
      </w:pPr>
      <w:r>
        <w:t>(</w:t>
      </w:r>
      <w:r w:rsidRPr="000D71CC" w:rsidR="00090354">
        <w:t>r)</w:t>
      </w:r>
      <w:r>
        <w:t>  </w:t>
      </w:r>
      <w:r w:rsidRPr="000F6E30" w:rsidR="000F6E30">
        <w:t>raise equity to support its members;</w:t>
      </w:r>
    </w:p>
    <w:p w:rsidRPr="000D71CC" w:rsidR="00090354" w:rsidP="00090354" w:rsidRDefault="000F6E30">
      <w:pPr>
        <w:pStyle w:val="JuQuot"/>
      </w:pPr>
      <w:r>
        <w:t>(s)  </w:t>
      </w:r>
      <w:r w:rsidRPr="000D71CC" w:rsidR="00090354">
        <w:t xml:space="preserve">organise </w:t>
      </w:r>
      <w:r w:rsidRPr="000D71CC" w:rsidR="009D4FA5">
        <w:t>and</w:t>
      </w:r>
      <w:r w:rsidRPr="000D71CC" w:rsidR="00090354">
        <w:t xml:space="preserve"> </w:t>
      </w:r>
      <w:r w:rsidR="001B5AAF">
        <w:t>fund religious activities</w:t>
      </w:r>
      <w:r w:rsidRPr="000D71CC" w:rsidR="009D4FA5">
        <w:t>;</w:t>
      </w:r>
    </w:p>
    <w:p w:rsidRPr="000D71CC" w:rsidR="00090354" w:rsidP="00090354" w:rsidRDefault="000F6E30">
      <w:pPr>
        <w:pStyle w:val="JuQuot"/>
      </w:pPr>
      <w:r>
        <w:t>(ş)  </w:t>
      </w:r>
      <w:r w:rsidRPr="00AD70E4" w:rsidR="00AD70E4">
        <w:t xml:space="preserve">make proposals for elections </w:t>
      </w:r>
      <w:r w:rsidR="00AD70E4">
        <w:t>to</w:t>
      </w:r>
      <w:r w:rsidRPr="00AD70E4" w:rsidR="00AD70E4">
        <w:t xml:space="preserve"> local </w:t>
      </w:r>
      <w:r w:rsidRPr="00AD70E4" w:rsidR="004A1268">
        <w:t xml:space="preserve">Church </w:t>
      </w:r>
      <w:r w:rsidR="00AD70E4">
        <w:t>bodies</w:t>
      </w:r>
      <w:r w:rsidRPr="00AD70E4" w:rsidR="00AD70E4">
        <w:t xml:space="preserve"> and </w:t>
      </w:r>
      <w:r w:rsidR="00AD70E4">
        <w:t xml:space="preserve">put forward a priest from among its members to </w:t>
      </w:r>
      <w:r w:rsidR="00CB0E94">
        <w:t>take</w:t>
      </w:r>
      <w:r w:rsidR="00AD70E4">
        <w:t xml:space="preserve"> part </w:t>
      </w:r>
      <w:r w:rsidR="00CB0E94">
        <w:t>in</w:t>
      </w:r>
      <w:r w:rsidRPr="00AD70E4" w:rsidR="00AD70E4">
        <w:t xml:space="preserve"> the Holy Synod of the Romanian Orthodox Church</w:t>
      </w:r>
      <w:r w:rsidR="004A1268">
        <w:t>;</w:t>
      </w:r>
    </w:p>
    <w:p w:rsidRPr="000D71CC" w:rsidR="00090354" w:rsidP="00090354" w:rsidRDefault="000F6E30">
      <w:pPr>
        <w:pStyle w:val="JuQuot"/>
      </w:pPr>
      <w:r>
        <w:t>(t)  </w:t>
      </w:r>
      <w:r w:rsidRPr="00AD70E4" w:rsidR="00AD70E4">
        <w:t>ask the Arch</w:t>
      </w:r>
      <w:r w:rsidR="00AD70E4">
        <w:t xml:space="preserve">diocese to </w:t>
      </w:r>
      <w:r w:rsidR="00F7345B">
        <w:t xml:space="preserve">submit </w:t>
      </w:r>
      <w:r w:rsidRPr="00AD70E4" w:rsidR="00AD70E4">
        <w:t xml:space="preserve">a report on </w:t>
      </w:r>
      <w:r w:rsidR="004A1268">
        <w:t xml:space="preserve">its </w:t>
      </w:r>
      <w:r w:rsidRPr="00AD70E4" w:rsidR="00AD70E4">
        <w:t>revenue</w:t>
      </w:r>
      <w:r w:rsidR="00AD70E4">
        <w:t>s</w:t>
      </w:r>
      <w:r w:rsidRPr="00AD70E4" w:rsidR="00AD70E4">
        <w:t xml:space="preserve"> and expenditure </w:t>
      </w:r>
      <w:r w:rsidR="00F7345B">
        <w:t>to</w:t>
      </w:r>
      <w:r w:rsidR="00AD70E4">
        <w:t xml:space="preserve"> the </w:t>
      </w:r>
      <w:r w:rsidR="00EB72EE">
        <w:t>Assembly of P</w:t>
      </w:r>
      <w:r w:rsidRPr="00AD70E4" w:rsidR="00AD70E4">
        <w:t>riests</w:t>
      </w:r>
      <w:r w:rsidRPr="000D71CC" w:rsidR="009D4FA5">
        <w:t>;</w:t>
      </w:r>
      <w:r w:rsidR="00F7345B">
        <w:t xml:space="preserve"> and</w:t>
      </w:r>
    </w:p>
    <w:p w:rsidRPr="000D71CC" w:rsidR="00090354" w:rsidP="00090354" w:rsidRDefault="000F6E30">
      <w:pPr>
        <w:pStyle w:val="JuQuot"/>
      </w:pPr>
      <w:r>
        <w:t>(ţ)  </w:t>
      </w:r>
      <w:r w:rsidR="00EB72EE">
        <w:t>ask the Archdiocesan Council</w:t>
      </w:r>
      <w:r w:rsidRPr="00EB72EE" w:rsidR="00EB72EE">
        <w:t xml:space="preserve"> to </w:t>
      </w:r>
      <w:r w:rsidR="00F7345B">
        <w:t>notify</w:t>
      </w:r>
      <w:r w:rsidR="007B6827">
        <w:t xml:space="preserve"> it, </w:t>
      </w:r>
      <w:r w:rsidR="00EB72EE">
        <w:t>on a quarterly or annual basis</w:t>
      </w:r>
      <w:r w:rsidRPr="00EB72EE" w:rsidR="00EB72EE">
        <w:t xml:space="preserve">, </w:t>
      </w:r>
      <w:r w:rsidR="007B6827">
        <w:t xml:space="preserve">of any </w:t>
      </w:r>
      <w:r w:rsidRPr="00EB72EE" w:rsidR="00EB72EE">
        <w:t xml:space="preserve">decisions </w:t>
      </w:r>
      <w:r w:rsidR="007B6827">
        <w:t>relating to</w:t>
      </w:r>
      <w:r w:rsidRPr="00EB72EE" w:rsidR="00EB72EE">
        <w:t xml:space="preserve"> appointments, transfers and allocation of budget</w:t>
      </w:r>
      <w:r w:rsidR="007B6827">
        <w:t>ary resources</w:t>
      </w:r>
      <w:r w:rsidRPr="000D71CC" w:rsidR="00090354">
        <w:t>.</w:t>
      </w:r>
      <w:r>
        <w:t>”</w:t>
      </w:r>
    </w:p>
    <w:p w:rsidRPr="003974E4" w:rsidR="00090354" w:rsidP="003974E4" w:rsidRDefault="008F0174">
      <w:pPr>
        <w:pStyle w:val="JuPara"/>
      </w:pPr>
      <w:r w:rsidRPr="000D71CC">
        <w:fldChar w:fldCharType="begin"/>
      </w:r>
      <w:r w:rsidRPr="000D71CC">
        <w:instrText xml:space="preserve"> SEQ level0 \*arabic </w:instrText>
      </w:r>
      <w:r w:rsidRPr="000D71CC">
        <w:fldChar w:fldCharType="separate"/>
      </w:r>
      <w:r w:rsidR="00F47D5E">
        <w:rPr>
          <w:noProof/>
        </w:rPr>
        <w:t>7</w:t>
      </w:r>
      <w:r w:rsidRPr="000D71CC">
        <w:fldChar w:fldCharType="end"/>
      </w:r>
      <w:r w:rsidRPr="000D71CC">
        <w:t>.  </w:t>
      </w:r>
      <w:r w:rsidR="001E60AD">
        <w:t xml:space="preserve">In accordance with the Trade Unions Act (Law no. </w:t>
      </w:r>
      <w:r w:rsidRPr="000D71CC" w:rsidR="00090354">
        <w:t>54/2003</w:t>
      </w:r>
      <w:r w:rsidR="001E60AD">
        <w:t>)</w:t>
      </w:r>
      <w:r w:rsidRPr="000D71CC" w:rsidR="00090354">
        <w:t xml:space="preserve">, </w:t>
      </w:r>
      <w:r w:rsidR="003974E4">
        <w:t xml:space="preserve">the </w:t>
      </w:r>
      <w:r w:rsidR="005677F1">
        <w:t>union</w:t>
      </w:r>
      <w:r w:rsidR="00F47D5E">
        <w:t>’</w:t>
      </w:r>
      <w:r w:rsidR="005677F1">
        <w:t xml:space="preserve">s elected president </w:t>
      </w:r>
      <w:r w:rsidR="003974E4">
        <w:t xml:space="preserve">applied to the Craiova Court of First Instance </w:t>
      </w:r>
      <w:r w:rsidR="005677F1">
        <w:t>for the union to be</w:t>
      </w:r>
      <w:r w:rsidR="003974E4">
        <w:t xml:space="preserve"> grant</w:t>
      </w:r>
      <w:r w:rsidR="005677F1">
        <w:t>ed</w:t>
      </w:r>
      <w:r w:rsidR="003974E4">
        <w:t xml:space="preserve"> legal personality and enter</w:t>
      </w:r>
      <w:r w:rsidR="005677F1">
        <w:t>ed</w:t>
      </w:r>
      <w:r w:rsidR="003974E4">
        <w:t xml:space="preserve"> in the </w:t>
      </w:r>
      <w:r w:rsidR="005677F1">
        <w:t xml:space="preserve">register of </w:t>
      </w:r>
      <w:r w:rsidR="003974E4">
        <w:t>trade</w:t>
      </w:r>
      <w:r w:rsidR="005677F1">
        <w:t xml:space="preserve"> unions</w:t>
      </w:r>
      <w:r w:rsidR="003974E4">
        <w:t>.</w:t>
      </w:r>
    </w:p>
    <w:p w:rsidRPr="003974E4"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8</w:t>
      </w:r>
      <w:r w:rsidRPr="000D71CC">
        <w:fldChar w:fldCharType="end"/>
      </w:r>
      <w:r w:rsidRPr="000D71CC">
        <w:t>.  </w:t>
      </w:r>
      <w:r w:rsidRPr="003974E4" w:rsidR="003974E4">
        <w:t>The representative of the A</w:t>
      </w:r>
      <w:r w:rsidR="003974E4">
        <w:t>rchdiocese opposed the application.</w:t>
      </w:r>
      <w:r w:rsidRPr="003974E4" w:rsidR="003974E4">
        <w:t xml:space="preserve"> He acknowledged that the members </w:t>
      </w:r>
      <w:r w:rsidR="003974E4">
        <w:t xml:space="preserve">of the union </w:t>
      </w:r>
      <w:r w:rsidRPr="003974E4" w:rsidR="003974E4">
        <w:t>were employe</w:t>
      </w:r>
      <w:r w:rsidR="003974E4">
        <w:t>d by</w:t>
      </w:r>
      <w:r w:rsidRPr="003974E4" w:rsidR="003974E4">
        <w:t xml:space="preserve"> the Archdiocese </w:t>
      </w:r>
      <w:r w:rsidR="003974E4">
        <w:t>on</w:t>
      </w:r>
      <w:r w:rsidRPr="003974E4" w:rsidR="003974E4">
        <w:t xml:space="preserve"> individual contracts, but argued that the internal </w:t>
      </w:r>
      <w:r w:rsidR="006437A0">
        <w:t>regulations</w:t>
      </w:r>
      <w:r w:rsidRPr="003974E4" w:rsidR="003974E4">
        <w:t xml:space="preserve"> of the Orthodox Church, </w:t>
      </w:r>
      <w:r w:rsidR="000B59F9">
        <w:t>approved</w:t>
      </w:r>
      <w:r w:rsidRPr="003974E4" w:rsidR="003974E4">
        <w:t xml:space="preserve"> by Government </w:t>
      </w:r>
      <w:r w:rsidR="006437A0">
        <w:t>Ordinance n</w:t>
      </w:r>
      <w:r w:rsidRPr="003974E4" w:rsidR="003974E4">
        <w:t xml:space="preserve">o. 53/2008, prohibited the </w:t>
      </w:r>
      <w:r w:rsidR="002635FF">
        <w:t xml:space="preserve">establishment </w:t>
      </w:r>
      <w:r w:rsidRPr="003974E4" w:rsidR="003974E4">
        <w:t xml:space="preserve">of any form of association without the </w:t>
      </w:r>
      <w:r w:rsidRPr="003974E4" w:rsidR="002635FF">
        <w:t>archbishop</w:t>
      </w:r>
      <w:r w:rsidR="00F47D5E">
        <w:t>’</w:t>
      </w:r>
      <w:r w:rsidR="002635FF">
        <w:t xml:space="preserve">s </w:t>
      </w:r>
      <w:r w:rsidRPr="003974E4" w:rsidR="003974E4">
        <w:t>prior consent</w:t>
      </w:r>
      <w:r w:rsidR="00912C13">
        <w:t>.</w:t>
      </w:r>
    </w:p>
    <w:p w:rsidRPr="000D71CC" w:rsidR="00090354" w:rsidP="008054E4" w:rsidRDefault="008F0174">
      <w:pPr>
        <w:pStyle w:val="JuPara"/>
      </w:pPr>
      <w:r w:rsidRPr="000D71CC">
        <w:fldChar w:fldCharType="begin"/>
      </w:r>
      <w:r w:rsidRPr="000D71CC">
        <w:instrText xml:space="preserve"> SEQ level0 \*arabic </w:instrText>
      </w:r>
      <w:r w:rsidRPr="000D71CC">
        <w:fldChar w:fldCharType="separate"/>
      </w:r>
      <w:r w:rsidR="00F47D5E">
        <w:rPr>
          <w:noProof/>
        </w:rPr>
        <w:t>9</w:t>
      </w:r>
      <w:r w:rsidRPr="000D71CC">
        <w:fldChar w:fldCharType="end"/>
      </w:r>
      <w:r w:rsidRPr="000D71CC">
        <w:t>.  </w:t>
      </w:r>
      <w:r w:rsidR="00912C13">
        <w:t>The union</w:t>
      </w:r>
      <w:r w:rsidR="00F47D5E">
        <w:t>’</w:t>
      </w:r>
      <w:r w:rsidR="00F94A37">
        <w:t>s</w:t>
      </w:r>
      <w:r w:rsidR="00912C13">
        <w:t xml:space="preserve"> representative </w:t>
      </w:r>
      <w:r w:rsidR="00483AFB">
        <w:t xml:space="preserve">pursued </w:t>
      </w:r>
      <w:r w:rsidR="00912C13">
        <w:t xml:space="preserve">his </w:t>
      </w:r>
      <w:r w:rsidR="00F94A37">
        <w:t>application</w:t>
      </w:r>
      <w:r w:rsidR="00912C13">
        <w:t xml:space="preserve">, </w:t>
      </w:r>
      <w:r w:rsidR="00F94A37">
        <w:t xml:space="preserve">pointing out that the statutory requirements for </w:t>
      </w:r>
      <w:r w:rsidR="00566BC8">
        <w:t>establishing</w:t>
      </w:r>
      <w:r w:rsidR="00F94A37">
        <w:t xml:space="preserve"> a trade union, as set out in the Trade</w:t>
      </w:r>
      <w:r w:rsidR="005C4FF0">
        <w:t xml:space="preserve"> </w:t>
      </w:r>
      <w:r w:rsidR="00F94A37">
        <w:t>Union</w:t>
      </w:r>
      <w:r w:rsidR="005C4FF0">
        <w:t>s</w:t>
      </w:r>
      <w:r w:rsidR="00CB0E94">
        <w:t xml:space="preserve"> Act,</w:t>
      </w:r>
      <w:r w:rsidR="00F94A37">
        <w:t xml:space="preserve"> were </w:t>
      </w:r>
      <w:r w:rsidR="008054E4">
        <w:t>fulfilled</w:t>
      </w:r>
      <w:r w:rsidR="00F94A37">
        <w:t xml:space="preserve"> and that the Act in question did not </w:t>
      </w:r>
      <w:r w:rsidR="00566BC8">
        <w:t xml:space="preserve">bar </w:t>
      </w:r>
      <w:r w:rsidR="00F94A37">
        <w:t>the professional groups concerned in this case</w:t>
      </w:r>
      <w:r w:rsidR="00566BC8">
        <w:t xml:space="preserve"> from forming a union</w:t>
      </w:r>
      <w:r w:rsidR="00F94A37">
        <w:t>.</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10</w:t>
      </w:r>
      <w:r w:rsidRPr="000D71CC">
        <w:fldChar w:fldCharType="end"/>
      </w:r>
      <w:r w:rsidRPr="000D71CC">
        <w:t>.  </w:t>
      </w:r>
      <w:r w:rsidR="00F94A37">
        <w:t>The public prosecutor</w:t>
      </w:r>
      <w:r w:rsidR="00F47D5E">
        <w:t>’</w:t>
      </w:r>
      <w:r w:rsidR="00F94A37">
        <w:t>s office supported</w:t>
      </w:r>
      <w:r w:rsidRPr="00F94A37" w:rsidR="00F94A37">
        <w:t xml:space="preserve"> </w:t>
      </w:r>
      <w:r w:rsidR="00F94A37">
        <w:t>the application</w:t>
      </w:r>
      <w:r w:rsidRPr="00F94A37" w:rsidR="00F94A37">
        <w:t xml:space="preserve">, </w:t>
      </w:r>
      <w:r w:rsidR="00566BC8">
        <w:t>expressing the view</w:t>
      </w:r>
      <w:r w:rsidRPr="00F94A37" w:rsidR="00F94A37">
        <w:t xml:space="preserve"> that the establishment of the union was law</w:t>
      </w:r>
      <w:r w:rsidR="00F94A37">
        <w:t>ful</w:t>
      </w:r>
      <w:r w:rsidRPr="00F94A37" w:rsidR="00F94A37">
        <w:t xml:space="preserve"> and that the Church</w:t>
      </w:r>
      <w:r w:rsidR="00F47D5E">
        <w:t>’</w:t>
      </w:r>
      <w:r w:rsidRPr="00F94A37" w:rsidR="00F94A37">
        <w:t>s internal regulations could not prohibit it, as the priests and lay persons concerned were all employed by the Church and as such were entitled to form an association to defend their rights</w:t>
      </w:r>
      <w:r w:rsidRPr="000D71CC" w:rsidR="00090354">
        <w:t>.</w:t>
      </w:r>
    </w:p>
    <w:p w:rsidRPr="000D71CC" w:rsidR="00090354" w:rsidP="00C86858" w:rsidRDefault="008F0174">
      <w:pPr>
        <w:pStyle w:val="JuPara"/>
      </w:pPr>
      <w:r w:rsidRPr="000D71CC">
        <w:fldChar w:fldCharType="begin"/>
      </w:r>
      <w:r w:rsidRPr="000D71CC">
        <w:instrText xml:space="preserve"> SEQ level0 \*arabic </w:instrText>
      </w:r>
      <w:r w:rsidRPr="000D71CC">
        <w:fldChar w:fldCharType="separate"/>
      </w:r>
      <w:r w:rsidR="00F47D5E">
        <w:rPr>
          <w:noProof/>
        </w:rPr>
        <w:t>11</w:t>
      </w:r>
      <w:r w:rsidRPr="000D71CC">
        <w:fldChar w:fldCharType="end"/>
      </w:r>
      <w:r w:rsidRPr="000D71CC">
        <w:t>.  </w:t>
      </w:r>
      <w:r w:rsidR="009E083E">
        <w:t>In a judgment of</w:t>
      </w:r>
      <w:r w:rsidRPr="000D71CC" w:rsidR="00090354">
        <w:t xml:space="preserve"> 22 </w:t>
      </w:r>
      <w:r w:rsidRPr="000D71CC" w:rsidR="009D4FA5">
        <w:t>May</w:t>
      </w:r>
      <w:r w:rsidRPr="000D71CC" w:rsidR="00090354">
        <w:t xml:space="preserve"> 2008 </w:t>
      </w:r>
      <w:r w:rsidR="00F94A37">
        <w:t xml:space="preserve">the court </w:t>
      </w:r>
      <w:r w:rsidR="00566BC8">
        <w:t>allowed</w:t>
      </w:r>
      <w:r w:rsidR="00C86858">
        <w:t xml:space="preserve"> the union</w:t>
      </w:r>
      <w:r w:rsidR="00F47D5E">
        <w:t>’</w:t>
      </w:r>
      <w:r w:rsidR="00C86858">
        <w:t>s application and ordered its entry in the register of trade unions, thereby granting it legal personality.</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12</w:t>
      </w:r>
      <w:r w:rsidRPr="000D71CC">
        <w:fldChar w:fldCharType="end"/>
      </w:r>
      <w:r w:rsidRPr="000D71CC">
        <w:t>.  </w:t>
      </w:r>
      <w:r w:rsidR="00C86858">
        <w:t>T</w:t>
      </w:r>
      <w:r w:rsidRPr="00C86858" w:rsidR="00C86858">
        <w:t xml:space="preserve">he court </w:t>
      </w:r>
      <w:r w:rsidR="00C86858">
        <w:t>based</w:t>
      </w:r>
      <w:r w:rsidRPr="00C86858" w:rsidR="00C86858">
        <w:t xml:space="preserve"> its decision on the provisions of </w:t>
      </w:r>
      <w:r w:rsidR="00C86858">
        <w:t>section</w:t>
      </w:r>
      <w:r w:rsidRPr="00C86858" w:rsidR="00C86858">
        <w:t xml:space="preserve"> 2 of Law </w:t>
      </w:r>
      <w:r w:rsidR="00372E51">
        <w:t>n</w:t>
      </w:r>
      <w:r w:rsidRPr="00C86858" w:rsidR="00C86858">
        <w:t xml:space="preserve">o. 54/2003, </w:t>
      </w:r>
      <w:r w:rsidR="00C86858">
        <w:t xml:space="preserve">Article </w:t>
      </w:r>
      <w:r w:rsidRPr="00C86858" w:rsidR="00C86858">
        <w:t xml:space="preserve">39 of the Labour Code, </w:t>
      </w:r>
      <w:r w:rsidR="00C86858">
        <w:t xml:space="preserve">Article </w:t>
      </w:r>
      <w:r w:rsidRPr="00C86858" w:rsidR="00C86858">
        <w:t xml:space="preserve">40 of the Constitution, </w:t>
      </w:r>
      <w:r w:rsidR="00C86858">
        <w:t xml:space="preserve">Article </w:t>
      </w:r>
      <w:r w:rsidRPr="00C86858" w:rsidR="00C86858">
        <w:t xml:space="preserve">22 of the International Covenant on Civil and Political Rights and </w:t>
      </w:r>
      <w:r w:rsidR="00C86858">
        <w:t xml:space="preserve">Article </w:t>
      </w:r>
      <w:r w:rsidRPr="00C86858" w:rsidR="00C86858">
        <w:t>11 of the European Convention o</w:t>
      </w:r>
      <w:r w:rsidR="00C86858">
        <w:t>n</w:t>
      </w:r>
      <w:r w:rsidRPr="00C86858" w:rsidR="00C86858">
        <w:t xml:space="preserve"> Human </w:t>
      </w:r>
      <w:r w:rsidR="00C86858">
        <w:t>R</w:t>
      </w:r>
      <w:r w:rsidRPr="00C86858" w:rsidR="00C86858">
        <w:t>ights.</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13</w:t>
      </w:r>
      <w:r w:rsidRPr="000D71CC">
        <w:fldChar w:fldCharType="end"/>
      </w:r>
      <w:r w:rsidRPr="000D71CC">
        <w:t>.  </w:t>
      </w:r>
      <w:r w:rsidR="00C86858">
        <w:t xml:space="preserve">It noted that </w:t>
      </w:r>
      <w:r w:rsidR="007A0BC0">
        <w:t>the Religious Freedom Act (Law</w:t>
      </w:r>
      <w:r w:rsidR="00C86858">
        <w:t xml:space="preserve"> </w:t>
      </w:r>
      <w:r w:rsidRPr="000D71CC" w:rsidR="00090354">
        <w:t>n</w:t>
      </w:r>
      <w:r w:rsidR="007A0BC0">
        <w:t>o.</w:t>
      </w:r>
      <w:r w:rsidRPr="000D71CC" w:rsidR="00090354">
        <w:t xml:space="preserve"> 489/2006</w:t>
      </w:r>
      <w:r w:rsidR="007A0BC0">
        <w:t xml:space="preserve">) </w:t>
      </w:r>
      <w:r w:rsidRPr="007A0BC0" w:rsidR="007A0BC0">
        <w:t xml:space="preserve">allowed </w:t>
      </w:r>
      <w:r w:rsidR="007A0BC0">
        <w:t>religious organis</w:t>
      </w:r>
      <w:r w:rsidRPr="007A0BC0" w:rsidR="007A0BC0">
        <w:t xml:space="preserve">ations </w:t>
      </w:r>
      <w:r w:rsidR="00872673">
        <w:t xml:space="preserve">to operate independently </w:t>
      </w:r>
      <w:r w:rsidRPr="007A0BC0" w:rsidR="007A0BC0">
        <w:t xml:space="preserve">as long as </w:t>
      </w:r>
      <w:r w:rsidR="00872673">
        <w:t>there was no threat to</w:t>
      </w:r>
      <w:r w:rsidRPr="007A0BC0" w:rsidR="007A0BC0">
        <w:t xml:space="preserve"> national security, </w:t>
      </w:r>
      <w:r w:rsidR="0005737E">
        <w:t xml:space="preserve">public </w:t>
      </w:r>
      <w:r w:rsidRPr="007A0BC0" w:rsidR="007A0BC0">
        <w:t>order</w:t>
      </w:r>
      <w:r w:rsidR="00872673">
        <w:t>,</w:t>
      </w:r>
      <w:r w:rsidRPr="007A0BC0" w:rsidR="007A0BC0">
        <w:t xml:space="preserve"> public health, moral</w:t>
      </w:r>
      <w:r w:rsidR="0005737E">
        <w:t>s</w:t>
      </w:r>
      <w:r w:rsidRPr="007A0BC0" w:rsidR="007A0BC0">
        <w:t xml:space="preserve"> and fundamental rights and freedoms. </w:t>
      </w:r>
      <w:r w:rsidR="0005737E">
        <w:t xml:space="preserve">Noting further that it was not disputed that the </w:t>
      </w:r>
      <w:r w:rsidRPr="007A0BC0" w:rsidR="007A0BC0">
        <w:t>union</w:t>
      </w:r>
      <w:r w:rsidR="00F47D5E">
        <w:t>’</w:t>
      </w:r>
      <w:r w:rsidR="0005737E">
        <w:t>s</w:t>
      </w:r>
      <w:r w:rsidRPr="007A0BC0" w:rsidR="007A0BC0">
        <w:t xml:space="preserve"> members were </w:t>
      </w:r>
      <w:r w:rsidRPr="007A0BC0" w:rsidR="000F743D">
        <w:t xml:space="preserve">employed </w:t>
      </w:r>
      <w:r w:rsidR="00872673">
        <w:t>on</w:t>
      </w:r>
      <w:r w:rsidRPr="007A0BC0" w:rsidR="000F743D">
        <w:t xml:space="preserve"> contract</w:t>
      </w:r>
      <w:r w:rsidR="00872673">
        <w:t>s</w:t>
      </w:r>
      <w:r w:rsidRPr="007A0BC0" w:rsidR="000F743D">
        <w:t xml:space="preserve">, </w:t>
      </w:r>
      <w:r w:rsidR="000F743D">
        <w:t xml:space="preserve">it </w:t>
      </w:r>
      <w:r w:rsidR="00872673">
        <w:t xml:space="preserve">held </w:t>
      </w:r>
      <w:r w:rsidR="00CB0E94">
        <w:t>that as a result,</w:t>
      </w:r>
      <w:r w:rsidR="000F743D">
        <w:t xml:space="preserve"> </w:t>
      </w:r>
      <w:r w:rsidRPr="000F743D" w:rsidR="000F743D">
        <w:t>the</w:t>
      </w:r>
      <w:r w:rsidR="000F743D">
        <w:t>ir</w:t>
      </w:r>
      <w:r w:rsidRPr="000F743D" w:rsidR="000F743D">
        <w:t xml:space="preserve"> right to organise</w:t>
      </w:r>
      <w:r w:rsidR="000F743D">
        <w:t>, which was guaranteed by labour law,</w:t>
      </w:r>
      <w:r w:rsidRPr="000F743D" w:rsidR="000F743D">
        <w:t xml:space="preserve"> could not be </w:t>
      </w:r>
      <w:r w:rsidR="000F743D">
        <w:t xml:space="preserve">made </w:t>
      </w:r>
      <w:r w:rsidRPr="000F743D" w:rsidR="000F743D">
        <w:t>subject to their employe</w:t>
      </w:r>
      <w:r w:rsidR="00EC7D22">
        <w:t>r</w:t>
      </w:r>
      <w:r w:rsidR="00F47D5E">
        <w:t>’</w:t>
      </w:r>
      <w:r w:rsidR="00872673">
        <w:t>s</w:t>
      </w:r>
      <w:r w:rsidRPr="000F743D" w:rsidR="00872673">
        <w:t xml:space="preserve"> prior consent</w:t>
      </w:r>
      <w:r w:rsidRPr="000D71CC" w:rsidR="00090354">
        <w:t>.</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14</w:t>
      </w:r>
      <w:r w:rsidRPr="000D71CC">
        <w:fldChar w:fldCharType="end"/>
      </w:r>
      <w:r w:rsidRPr="000D71CC">
        <w:t>.  </w:t>
      </w:r>
      <w:r w:rsidR="000F743D">
        <w:t>Regarding the Church</w:t>
      </w:r>
      <w:r w:rsidR="00F47D5E">
        <w:t>’</w:t>
      </w:r>
      <w:r w:rsidR="000F743D">
        <w:t xml:space="preserve">s internal </w:t>
      </w:r>
      <w:r w:rsidR="006437A0">
        <w:t>regulations</w:t>
      </w:r>
      <w:r w:rsidR="000F743D">
        <w:t xml:space="preserve">, the court held that </w:t>
      </w:r>
      <w:r w:rsidR="00903A6C">
        <w:t>the fact that priests had a duty of</w:t>
      </w:r>
      <w:r w:rsidRPr="00EC7D22" w:rsidR="00EC7D22">
        <w:t xml:space="preserve"> subordination and obedience </w:t>
      </w:r>
      <w:r w:rsidR="00366AE7">
        <w:rPr>
          <w:i/>
        </w:rPr>
        <w:t>vis-à-vis</w:t>
      </w:r>
      <w:r w:rsidR="00EC7D22">
        <w:t xml:space="preserve"> their employer </w:t>
      </w:r>
      <w:r w:rsidRPr="00EC7D22" w:rsidR="00EC7D22">
        <w:t xml:space="preserve">under </w:t>
      </w:r>
      <w:r w:rsidR="006437A0">
        <w:t>the Church</w:t>
      </w:r>
      <w:r w:rsidR="00F47D5E">
        <w:t>’</w:t>
      </w:r>
      <w:r w:rsidR="006437A0">
        <w:t xml:space="preserve">s Statute </w:t>
      </w:r>
      <w:r w:rsidRPr="00EC7D22" w:rsidR="00EC7D22">
        <w:t>could not justify restricti</w:t>
      </w:r>
      <w:r w:rsidR="00903A6C">
        <w:t>ng</w:t>
      </w:r>
      <w:r w:rsidRPr="00EC7D22" w:rsidR="00EC7D22">
        <w:t xml:space="preserve"> a right guaranteed by labo</w:t>
      </w:r>
      <w:r w:rsidR="00A0461B">
        <w:t>u</w:t>
      </w:r>
      <w:r w:rsidRPr="00EC7D22" w:rsidR="00EC7D22">
        <w:t xml:space="preserve">r </w:t>
      </w:r>
      <w:r w:rsidR="00A0461B">
        <w:t xml:space="preserve">legislation since </w:t>
      </w:r>
      <w:r w:rsidR="00903A6C">
        <w:t>such a duty</w:t>
      </w:r>
      <w:r w:rsidR="00A0461B">
        <w:t xml:space="preserve"> did not </w:t>
      </w:r>
      <w:r w:rsidRPr="00EC7D22" w:rsidR="00EC7D22">
        <w:t xml:space="preserve">constitute </w:t>
      </w:r>
      <w:r w:rsidR="00903A6C">
        <w:t xml:space="preserve">a </w:t>
      </w:r>
      <w:r w:rsidRPr="00EC7D22" w:rsidR="00EC7D22">
        <w:t xml:space="preserve">measure </w:t>
      </w:r>
      <w:r w:rsidR="00A0461B">
        <w:t xml:space="preserve">that </w:t>
      </w:r>
      <w:r w:rsidR="00903A6C">
        <w:t>was</w:t>
      </w:r>
      <w:r w:rsidR="00A0461B">
        <w:t xml:space="preserve"> </w:t>
      </w:r>
      <w:r w:rsidRPr="000D71CC" w:rsidR="00090354">
        <w:t>ne</w:t>
      </w:r>
      <w:r w:rsidR="00A0461B">
        <w:t>cessary in a democratic society</w:t>
      </w:r>
      <w:r w:rsidRPr="000D71CC" w:rsidR="00090354">
        <w:t xml:space="preserve"> in the interests of national security, public safety, the prevention of disorder or crime, the protection of health or morals, or the protection of the rights and freedoms of others.</w:t>
      </w:r>
    </w:p>
    <w:p w:rsidR="00A0461B" w:rsidP="00A0461B" w:rsidRDefault="008F0174">
      <w:pPr>
        <w:pStyle w:val="JuPara"/>
      </w:pPr>
      <w:r w:rsidRPr="000D71CC">
        <w:fldChar w:fldCharType="begin"/>
      </w:r>
      <w:r w:rsidRPr="000D71CC">
        <w:instrText xml:space="preserve"> SEQ level0 \*arabic </w:instrText>
      </w:r>
      <w:r w:rsidRPr="000D71CC">
        <w:fldChar w:fldCharType="separate"/>
      </w:r>
      <w:r w:rsidR="00F47D5E">
        <w:rPr>
          <w:noProof/>
        </w:rPr>
        <w:t>15</w:t>
      </w:r>
      <w:r w:rsidRPr="000D71CC">
        <w:fldChar w:fldCharType="end"/>
      </w:r>
      <w:r w:rsidRPr="000D71CC">
        <w:t>.  </w:t>
      </w:r>
      <w:r w:rsidR="00A0461B">
        <w:t>Reviewing the union</w:t>
      </w:r>
      <w:r w:rsidR="00F47D5E">
        <w:t>’</w:t>
      </w:r>
      <w:r w:rsidR="00A0461B">
        <w:t xml:space="preserve">s constitution, the court found that its </w:t>
      </w:r>
      <w:r w:rsidR="00792677">
        <w:t>establishment</w:t>
      </w:r>
      <w:r w:rsidR="00A0461B">
        <w:t xml:space="preserve"> was not necessarily a </w:t>
      </w:r>
      <w:r w:rsidR="00792677">
        <w:t xml:space="preserve">manifestation of a dissident </w:t>
      </w:r>
      <w:r w:rsidR="0010673B">
        <w:t>faction</w:t>
      </w:r>
      <w:r w:rsidR="00792677">
        <w:t xml:space="preserve"> </w:t>
      </w:r>
      <w:r w:rsidR="00A0461B">
        <w:t xml:space="preserve">within the Romanian Orthodox Church </w:t>
      </w:r>
      <w:r w:rsidR="00482160">
        <w:t>with a disregard for</w:t>
      </w:r>
      <w:r w:rsidR="00A0461B">
        <w:t xml:space="preserve"> hierarchy and traditions, but </w:t>
      </w:r>
      <w:r w:rsidR="00792677">
        <w:t xml:space="preserve">that, on the contrary, it might encourage </w:t>
      </w:r>
      <w:r w:rsidR="00482160">
        <w:t xml:space="preserve">employer-employee </w:t>
      </w:r>
      <w:r w:rsidR="00A0461B">
        <w:t xml:space="preserve">dialogue </w:t>
      </w:r>
      <w:r w:rsidR="00792677">
        <w:t>regarding the negotiation of</w:t>
      </w:r>
      <w:r w:rsidR="00A0461B">
        <w:t xml:space="preserve"> </w:t>
      </w:r>
      <w:r w:rsidR="00792677">
        <w:t>employment</w:t>
      </w:r>
      <w:r w:rsidR="0010673B">
        <w:t xml:space="preserve"> contracts</w:t>
      </w:r>
      <w:r w:rsidR="00A0461B">
        <w:t xml:space="preserve">, </w:t>
      </w:r>
      <w:r w:rsidR="00792677">
        <w:t xml:space="preserve">observance of </w:t>
      </w:r>
      <w:r w:rsidR="00A0461B">
        <w:t xml:space="preserve">working </w:t>
      </w:r>
      <w:r w:rsidR="00792677">
        <w:t xml:space="preserve">and non-working hours and the rules on remuneration, </w:t>
      </w:r>
      <w:r w:rsidR="00A0461B">
        <w:t xml:space="preserve">protection of health and safety at work, vocational training, medical cover and the right to elect representatives </w:t>
      </w:r>
      <w:r w:rsidR="0010673B">
        <w:t xml:space="preserve">and stand for election to </w:t>
      </w:r>
      <w:r w:rsidR="00A0461B">
        <w:t xml:space="preserve">decision-making </w:t>
      </w:r>
      <w:r w:rsidR="00792677">
        <w:t xml:space="preserve">bodies, </w:t>
      </w:r>
      <w:r w:rsidR="00A0461B">
        <w:t>in accordance with the speci</w:t>
      </w:r>
      <w:r w:rsidR="00296DA0">
        <w:t>al</w:t>
      </w:r>
      <w:r w:rsidR="0010673B">
        <w:t xml:space="preserve"> </w:t>
      </w:r>
      <w:r w:rsidR="00296DA0">
        <w:t>characteristics</w:t>
      </w:r>
      <w:r w:rsidR="00792677">
        <w:t xml:space="preserve"> of t</w:t>
      </w:r>
      <w:r w:rsidR="00A0461B">
        <w:t>he Church and its spiritual, cultural, educational, social and charitable</w:t>
      </w:r>
      <w:r w:rsidR="00792677">
        <w:t xml:space="preserve"> </w:t>
      </w:r>
      <w:r w:rsidR="00897619">
        <w:t>purpose</w:t>
      </w:r>
      <w:r w:rsidR="00A0461B">
        <w:t>.</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16</w:t>
      </w:r>
      <w:r w:rsidRPr="000D71CC">
        <w:fldChar w:fldCharType="end"/>
      </w:r>
      <w:r w:rsidRPr="000D71CC">
        <w:t>.  </w:t>
      </w:r>
      <w:r w:rsidR="001E60AD">
        <w:t>The Archdiocese</w:t>
      </w:r>
      <w:r w:rsidRPr="000D71CC" w:rsidR="00090354">
        <w:t xml:space="preserve"> </w:t>
      </w:r>
      <w:r w:rsidRPr="003472B8" w:rsidR="003472B8">
        <w:t>appealed</w:t>
      </w:r>
      <w:r w:rsidR="003472B8">
        <w:t xml:space="preserve"> against</w:t>
      </w:r>
      <w:r w:rsidR="005E4705">
        <w:t xml:space="preserve"> the court</w:t>
      </w:r>
      <w:r w:rsidR="00F47D5E">
        <w:t>’</w:t>
      </w:r>
      <w:r w:rsidRPr="003472B8" w:rsidR="003472B8">
        <w:t xml:space="preserve">s </w:t>
      </w:r>
      <w:r w:rsidR="005E4705">
        <w:t>judgment</w:t>
      </w:r>
      <w:r w:rsidRPr="003472B8" w:rsidR="003472B8">
        <w:t xml:space="preserve">, </w:t>
      </w:r>
      <w:r w:rsidR="003472B8">
        <w:t>submitting</w:t>
      </w:r>
      <w:r w:rsidRPr="003472B8" w:rsidR="003472B8">
        <w:t xml:space="preserve"> that the </w:t>
      </w:r>
      <w:r w:rsidRPr="003472B8" w:rsidR="005E4705">
        <w:t xml:space="preserve">provisions </w:t>
      </w:r>
      <w:r w:rsidR="005E4705">
        <w:t xml:space="preserve">of </w:t>
      </w:r>
      <w:r w:rsidRPr="003472B8" w:rsidR="003472B8">
        <w:t xml:space="preserve">domestic and international </w:t>
      </w:r>
      <w:r w:rsidR="005E4705">
        <w:t>law</w:t>
      </w:r>
      <w:r w:rsidRPr="003472B8" w:rsidR="003472B8">
        <w:t xml:space="preserve"> on which it </w:t>
      </w:r>
      <w:r w:rsidR="003472B8">
        <w:t>had</w:t>
      </w:r>
      <w:r w:rsidR="005E4705">
        <w:t xml:space="preserve"> been</w:t>
      </w:r>
      <w:r w:rsidR="003472B8">
        <w:t xml:space="preserve"> </w:t>
      </w:r>
      <w:r w:rsidRPr="003472B8" w:rsidR="003472B8">
        <w:t xml:space="preserve">based </w:t>
      </w:r>
      <w:r w:rsidR="003472B8">
        <w:t>were not applicable</w:t>
      </w:r>
      <w:r w:rsidRPr="003472B8" w:rsidR="003472B8">
        <w:t xml:space="preserve"> to </w:t>
      </w:r>
      <w:r w:rsidR="003472B8">
        <w:t>the present</w:t>
      </w:r>
      <w:r w:rsidRPr="003472B8" w:rsidR="003472B8">
        <w:t xml:space="preserve"> case. </w:t>
      </w:r>
      <w:r w:rsidR="000A286A">
        <w:t>It</w:t>
      </w:r>
      <w:r w:rsidRPr="003472B8" w:rsidR="003472B8">
        <w:t xml:space="preserve"> argued that Article 29 of the Constitution guarantee</w:t>
      </w:r>
      <w:r w:rsidR="003472B8">
        <w:t>d</w:t>
      </w:r>
      <w:r w:rsidRPr="003472B8" w:rsidR="003472B8">
        <w:t xml:space="preserve"> religious freedom and </w:t>
      </w:r>
      <w:r w:rsidR="003472B8">
        <w:t xml:space="preserve">the </w:t>
      </w:r>
      <w:r w:rsidRPr="003472B8" w:rsidR="003472B8">
        <w:t xml:space="preserve">autonomy of religious communities and that this </w:t>
      </w:r>
      <w:r w:rsidR="000A286A">
        <w:t xml:space="preserve">principle </w:t>
      </w:r>
      <w:r w:rsidRPr="003472B8" w:rsidR="003472B8">
        <w:t xml:space="preserve">could not </w:t>
      </w:r>
      <w:r w:rsidR="006570C4">
        <w:t xml:space="preserve">be </w:t>
      </w:r>
      <w:r w:rsidR="005E4705">
        <w:t xml:space="preserve">overridden by </w:t>
      </w:r>
      <w:r w:rsidRPr="003472B8" w:rsidR="003472B8">
        <w:t xml:space="preserve">freedom of association. </w:t>
      </w:r>
      <w:r w:rsidR="000A286A">
        <w:t>It further submitted that by acknowledging</w:t>
      </w:r>
      <w:r w:rsidRPr="003472B8" w:rsidR="003472B8">
        <w:t xml:space="preserve"> the </w:t>
      </w:r>
      <w:r w:rsidR="000A286A">
        <w:t xml:space="preserve">trade </w:t>
      </w:r>
      <w:r w:rsidRPr="003472B8" w:rsidR="003472B8">
        <w:t>union</w:t>
      </w:r>
      <w:r w:rsidR="00F47D5E">
        <w:t>’</w:t>
      </w:r>
      <w:r w:rsidR="00AF30BD">
        <w:t xml:space="preserve">s </w:t>
      </w:r>
      <w:r w:rsidRPr="003472B8" w:rsidR="00AF30BD">
        <w:t>existence</w:t>
      </w:r>
      <w:r w:rsidRPr="003472B8" w:rsidR="003472B8">
        <w:t>, the court had interfe</w:t>
      </w:r>
      <w:r w:rsidR="000A286A">
        <w:t>red with the traditional organis</w:t>
      </w:r>
      <w:r w:rsidRPr="003472B8" w:rsidR="003472B8">
        <w:t xml:space="preserve">ation of the Church, thus undermining its </w:t>
      </w:r>
      <w:r w:rsidR="00AF30BD">
        <w:t>autonomy</w:t>
      </w:r>
      <w:r w:rsidRPr="003472B8" w:rsidR="003472B8">
        <w:t>.</w:t>
      </w:r>
    </w:p>
    <w:p w:rsidRPr="000D71CC" w:rsidR="00090354" w:rsidP="00090354" w:rsidRDefault="00481F5C">
      <w:pPr>
        <w:pStyle w:val="JuPara"/>
      </w:pPr>
      <w:r>
        <w:fldChar w:fldCharType="begin"/>
      </w:r>
      <w:r>
        <w:instrText xml:space="preserve"> SEQ level0 \*arabic </w:instrText>
      </w:r>
      <w:r>
        <w:fldChar w:fldCharType="separate"/>
      </w:r>
      <w:r w:rsidR="00F47D5E">
        <w:rPr>
          <w:noProof/>
        </w:rPr>
        <w:t>17</w:t>
      </w:r>
      <w:r>
        <w:fldChar w:fldCharType="end"/>
      </w:r>
      <w:r>
        <w:t>.  </w:t>
      </w:r>
      <w:r w:rsidRPr="00481F5C">
        <w:t xml:space="preserve">In a final judgment of 11 July 2008 the Dolj County Court </w:t>
      </w:r>
      <w:r>
        <w:t xml:space="preserve">allowed the appeal, quashed the first-instance judgment and, on the merits, refused the application for </w:t>
      </w:r>
      <w:r w:rsidRPr="00481F5C">
        <w:t xml:space="preserve">legal personality and </w:t>
      </w:r>
      <w:r w:rsidR="00F242D5">
        <w:t xml:space="preserve">for </w:t>
      </w:r>
      <w:r w:rsidR="00AF30BD">
        <w:t>entry</w:t>
      </w:r>
      <w:r w:rsidRPr="00481F5C">
        <w:t xml:space="preserve"> </w:t>
      </w:r>
      <w:r>
        <w:t>i</w:t>
      </w:r>
      <w:r w:rsidRPr="00481F5C">
        <w:t>n the register of trade unions.</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18</w:t>
      </w:r>
      <w:r w:rsidRPr="000D71CC">
        <w:fldChar w:fldCharType="end"/>
      </w:r>
      <w:r w:rsidRPr="000D71CC">
        <w:t>.  </w:t>
      </w:r>
      <w:r w:rsidR="00473D0E">
        <w:t xml:space="preserve">The County Court observed that the </w:t>
      </w:r>
      <w:r w:rsidRPr="000D71CC" w:rsidR="00090354">
        <w:t xml:space="preserve">Constitution </w:t>
      </w:r>
      <w:r w:rsidRPr="000D71CC" w:rsidR="009D4FA5">
        <w:t>and</w:t>
      </w:r>
      <w:r w:rsidRPr="000D71CC" w:rsidR="00090354">
        <w:t xml:space="preserve"> </w:t>
      </w:r>
      <w:r w:rsidR="005B218B">
        <w:t>Law no. </w:t>
      </w:r>
      <w:r w:rsidRPr="000D71CC" w:rsidR="00090354">
        <w:t xml:space="preserve">489/2006 </w:t>
      </w:r>
      <w:r w:rsidRPr="00473D0E" w:rsidR="00473D0E">
        <w:t xml:space="preserve">guaranteed the autonomy of religious communities and their right to </w:t>
      </w:r>
      <w:r w:rsidR="00473D0E">
        <w:t xml:space="preserve">make their own organisational arrangements in accordance with their </w:t>
      </w:r>
      <w:r w:rsidR="00903A6C">
        <w:t xml:space="preserve">internal regulations. </w:t>
      </w:r>
      <w:r w:rsidRPr="00473D0E" w:rsidR="00473D0E">
        <w:t xml:space="preserve">It </w:t>
      </w:r>
      <w:r w:rsidR="00903A6C">
        <w:t>further</w:t>
      </w:r>
      <w:r w:rsidRPr="00473D0E" w:rsidR="00473D0E">
        <w:t xml:space="preserve"> noted that </w:t>
      </w:r>
      <w:r w:rsidR="006570C4">
        <w:t xml:space="preserve">there was no reference to </w:t>
      </w:r>
      <w:r w:rsidR="00903A6C">
        <w:t xml:space="preserve">the concept of a trade union in the </w:t>
      </w:r>
      <w:r w:rsidR="005B218B">
        <w:t>Statute</w:t>
      </w:r>
      <w:r w:rsidR="00903A6C">
        <w:t xml:space="preserve"> of the</w:t>
      </w:r>
      <w:r w:rsidRPr="00473D0E" w:rsidR="00473D0E">
        <w:t xml:space="preserve"> Orthodox Church, which </w:t>
      </w:r>
      <w:r w:rsidR="00903A6C">
        <w:t xml:space="preserve">provided that </w:t>
      </w:r>
      <w:r w:rsidRPr="00473D0E" w:rsidR="00473D0E">
        <w:t xml:space="preserve">the establishment, operation and dissolution of </w:t>
      </w:r>
      <w:r w:rsidR="00903A6C">
        <w:t xml:space="preserve">religious </w:t>
      </w:r>
      <w:r w:rsidRPr="00473D0E" w:rsidR="00473D0E">
        <w:t xml:space="preserve">associations and </w:t>
      </w:r>
      <w:r w:rsidR="00FF1441">
        <w:t>foundations</w:t>
      </w:r>
      <w:r w:rsidRPr="00473D0E" w:rsidR="00473D0E">
        <w:t xml:space="preserve"> were </w:t>
      </w:r>
      <w:r w:rsidR="00903A6C">
        <w:t>subject</w:t>
      </w:r>
      <w:r w:rsidRPr="00473D0E" w:rsidR="00473D0E">
        <w:t xml:space="preserve"> to the blessing of the </w:t>
      </w:r>
      <w:r w:rsidR="00FF1441">
        <w:t>Church</w:t>
      </w:r>
      <w:r w:rsidR="00F47D5E">
        <w:t>’</w:t>
      </w:r>
      <w:r w:rsidR="00FF1441">
        <w:t xml:space="preserve">s </w:t>
      </w:r>
      <w:r w:rsidRPr="00473D0E" w:rsidR="00473D0E">
        <w:t xml:space="preserve">Synod and </w:t>
      </w:r>
      <w:r w:rsidR="00E567DA">
        <w:t>that</w:t>
      </w:r>
      <w:r w:rsidRPr="00473D0E" w:rsidR="00473D0E">
        <w:t xml:space="preserve"> priests </w:t>
      </w:r>
      <w:r w:rsidR="00E567DA">
        <w:t>had a duty of obedience</w:t>
      </w:r>
      <w:r w:rsidRPr="00473D0E" w:rsidR="00473D0E">
        <w:t xml:space="preserve"> to</w:t>
      </w:r>
      <w:r w:rsidR="00E567DA">
        <w:t>wards</w:t>
      </w:r>
      <w:r w:rsidRPr="00473D0E" w:rsidR="00473D0E">
        <w:t xml:space="preserve"> their superiors and could not </w:t>
      </w:r>
      <w:r w:rsidR="000E203F">
        <w:t>undertake</w:t>
      </w:r>
      <w:r w:rsidRPr="00473D0E" w:rsidR="00473D0E">
        <w:t xml:space="preserve"> civil </w:t>
      </w:r>
      <w:r w:rsidR="000E203F">
        <w:t>transactions</w:t>
      </w:r>
      <w:r w:rsidRPr="00473D0E" w:rsidR="00473D0E">
        <w:t xml:space="preserve">, including </w:t>
      </w:r>
      <w:r w:rsidR="00E567DA">
        <w:t xml:space="preserve">those of a </w:t>
      </w:r>
      <w:r w:rsidRPr="00473D0E" w:rsidR="00473D0E">
        <w:t xml:space="preserve">personal </w:t>
      </w:r>
      <w:r w:rsidR="00E567DA">
        <w:t>nature</w:t>
      </w:r>
      <w:r w:rsidRPr="00473D0E" w:rsidR="00473D0E">
        <w:t xml:space="preserve">, without </w:t>
      </w:r>
      <w:r w:rsidR="00E567DA">
        <w:t xml:space="preserve">their </w:t>
      </w:r>
      <w:r w:rsidRPr="00473D0E" w:rsidR="00473D0E">
        <w:t>prior written approval</w:t>
      </w:r>
      <w:r w:rsidRPr="000D71CC" w:rsidR="00090354">
        <w:t>.</w:t>
      </w:r>
    </w:p>
    <w:p w:rsidRPr="000D71CC" w:rsidR="00090354" w:rsidP="006570C4" w:rsidRDefault="008F0174">
      <w:pPr>
        <w:pStyle w:val="JuPara"/>
      </w:pPr>
      <w:r w:rsidRPr="000D71CC">
        <w:fldChar w:fldCharType="begin"/>
      </w:r>
      <w:r w:rsidRPr="000D71CC">
        <w:instrText xml:space="preserve"> SEQ level0 \*arabic </w:instrText>
      </w:r>
      <w:r w:rsidRPr="000D71CC">
        <w:fldChar w:fldCharType="separate"/>
      </w:r>
      <w:r w:rsidR="00F47D5E">
        <w:rPr>
          <w:noProof/>
        </w:rPr>
        <w:t>19</w:t>
      </w:r>
      <w:r w:rsidRPr="000D71CC">
        <w:fldChar w:fldCharType="end"/>
      </w:r>
      <w:r w:rsidRPr="000D71CC">
        <w:t>.  </w:t>
      </w:r>
      <w:r w:rsidRPr="000D71CC" w:rsidR="00090354">
        <w:t>I</w:t>
      </w:r>
      <w:r w:rsidR="00636AF9">
        <w:t xml:space="preserve">t </w:t>
      </w:r>
      <w:r w:rsidR="000E203F">
        <w:t>held</w:t>
      </w:r>
      <w:r w:rsidRPr="00636AF9" w:rsidR="00636AF9">
        <w:t xml:space="preserve"> that the prohibition </w:t>
      </w:r>
      <w:r w:rsidR="006570C4">
        <w:t xml:space="preserve">on </w:t>
      </w:r>
      <w:r w:rsidR="000E203F">
        <w:t>setting up</w:t>
      </w:r>
      <w:r w:rsidR="006570C4">
        <w:t xml:space="preserve"> any</w:t>
      </w:r>
      <w:r w:rsidRPr="00636AF9" w:rsidR="00636AF9">
        <w:t xml:space="preserve"> form of association within the Church </w:t>
      </w:r>
      <w:r w:rsidR="006570C4">
        <w:t xml:space="preserve">without the consent of </w:t>
      </w:r>
      <w:r w:rsidRPr="00636AF9" w:rsidR="00636AF9">
        <w:t xml:space="preserve">the hierarchy was justified by the need to protect the </w:t>
      </w:r>
      <w:r w:rsidR="000E203F">
        <w:t xml:space="preserve">Orthodox </w:t>
      </w:r>
      <w:r w:rsidRPr="00636AF9" w:rsidR="00636AF9">
        <w:t>Christ</w:t>
      </w:r>
      <w:r w:rsidR="0004670E">
        <w:t xml:space="preserve">ian tradition and its </w:t>
      </w:r>
      <w:r w:rsidR="000E203F">
        <w:t>founding tenets</w:t>
      </w:r>
      <w:r w:rsidRPr="00636AF9" w:rsidR="00636AF9">
        <w:t xml:space="preserve">, and that if a union were to be established, the </w:t>
      </w:r>
      <w:r w:rsidRPr="00636AF9" w:rsidR="00436841">
        <w:t xml:space="preserve">Church </w:t>
      </w:r>
      <w:r w:rsidRPr="00636AF9" w:rsidR="00636AF9">
        <w:t xml:space="preserve">hierarchy would </w:t>
      </w:r>
      <w:r w:rsidR="00436841">
        <w:t>be obliged</w:t>
      </w:r>
      <w:r w:rsidRPr="00636AF9" w:rsidR="00636AF9">
        <w:t xml:space="preserve"> to work </w:t>
      </w:r>
      <w:r w:rsidR="00436841">
        <w:t xml:space="preserve">together </w:t>
      </w:r>
      <w:r w:rsidRPr="00636AF9" w:rsidR="00636AF9">
        <w:t xml:space="preserve">with a new body </w:t>
      </w:r>
      <w:r w:rsidR="00436841">
        <w:t>operating outside th</w:t>
      </w:r>
      <w:r w:rsidR="00F8114A">
        <w:t>at</w:t>
      </w:r>
      <w:r w:rsidR="00436841">
        <w:t xml:space="preserve"> </w:t>
      </w:r>
      <w:r w:rsidR="00F8114A">
        <w:t>tradition</w:t>
      </w:r>
      <w:r w:rsidR="00436841">
        <w:t xml:space="preserve"> and </w:t>
      </w:r>
      <w:r w:rsidR="00F8114A">
        <w:t>the rules</w:t>
      </w:r>
      <w:r w:rsidR="00436841">
        <w:t xml:space="preserve"> of canon law governing decision-making</w:t>
      </w:r>
      <w:r w:rsidR="006570C4">
        <w:t>.</w:t>
      </w:r>
    </w:p>
    <w:p w:rsidRPr="000D71CC" w:rsidR="00090354" w:rsidP="00090354" w:rsidRDefault="008F0174">
      <w:pPr>
        <w:pStyle w:val="JuPara"/>
      </w:pPr>
      <w:r w:rsidRPr="000D71CC">
        <w:fldChar w:fldCharType="begin"/>
      </w:r>
      <w:r w:rsidRPr="000D71CC">
        <w:instrText xml:space="preserve"> SEQ level0 \*arabic </w:instrText>
      </w:r>
      <w:r w:rsidRPr="000D71CC">
        <w:fldChar w:fldCharType="separate"/>
      </w:r>
      <w:r w:rsidR="00F47D5E">
        <w:rPr>
          <w:noProof/>
        </w:rPr>
        <w:t>20</w:t>
      </w:r>
      <w:r w:rsidRPr="000D71CC">
        <w:fldChar w:fldCharType="end"/>
      </w:r>
      <w:r w:rsidRPr="000D71CC">
        <w:t>.  </w:t>
      </w:r>
      <w:r w:rsidR="00436841">
        <w:t xml:space="preserve">Lastly, it noted that </w:t>
      </w:r>
      <w:r w:rsidRPr="00436841" w:rsidR="00436841">
        <w:t xml:space="preserve">under </w:t>
      </w:r>
      <w:r w:rsidR="00436841">
        <w:t>Law n</w:t>
      </w:r>
      <w:r w:rsidRPr="00436841" w:rsidR="00436841">
        <w:t xml:space="preserve">o. 54/2003, persons </w:t>
      </w:r>
      <w:r w:rsidR="00436841">
        <w:t>performing</w:t>
      </w:r>
      <w:r w:rsidRPr="00436841" w:rsidR="00436841">
        <w:t xml:space="preserve"> manage</w:t>
      </w:r>
      <w:r w:rsidR="00436841">
        <w:t>ment</w:t>
      </w:r>
      <w:r w:rsidRPr="00436841" w:rsidR="00436841">
        <w:t xml:space="preserve"> functions were not allowed to form trade unions and, </w:t>
      </w:r>
      <w:r w:rsidR="00F8114A">
        <w:t>bearing in mind</w:t>
      </w:r>
      <w:r w:rsidRPr="00436841" w:rsidR="00436841">
        <w:t xml:space="preserve"> that under the</w:t>
      </w:r>
      <w:r w:rsidR="00436841">
        <w:t xml:space="preserve"> </w:t>
      </w:r>
      <w:r w:rsidRPr="00436841" w:rsidR="00436841">
        <w:t>Church</w:t>
      </w:r>
      <w:r w:rsidR="00F47D5E">
        <w:t>’</w:t>
      </w:r>
      <w:r w:rsidR="00436841">
        <w:t xml:space="preserve">s </w:t>
      </w:r>
      <w:r w:rsidR="005B218B">
        <w:t>Statute</w:t>
      </w:r>
      <w:r w:rsidRPr="00436841" w:rsidR="00436841">
        <w:t xml:space="preserve">, priests assumed leadership of their parishes, concluded that they </w:t>
      </w:r>
      <w:r w:rsidR="00436841">
        <w:t>were covered by</w:t>
      </w:r>
      <w:r w:rsidRPr="00436841" w:rsidR="00436841">
        <w:t xml:space="preserve"> th</w:t>
      </w:r>
      <w:r w:rsidR="00296DA0">
        <w:t>is</w:t>
      </w:r>
      <w:r w:rsidRPr="00436841" w:rsidR="00436841">
        <w:t xml:space="preserve"> ban</w:t>
      </w:r>
      <w:r w:rsidRPr="000D71CC" w:rsidR="00090354">
        <w:t>.</w:t>
      </w:r>
    </w:p>
    <w:p w:rsidRPr="000D71CC" w:rsidR="00090354" w:rsidP="00090354" w:rsidRDefault="008F0174">
      <w:pPr>
        <w:pStyle w:val="JuHIRoman"/>
        <w:outlineLvl w:val="0"/>
      </w:pPr>
      <w:r w:rsidRPr="000D71CC">
        <w:t>II.  </w:t>
      </w:r>
      <w:r w:rsidRPr="000D71CC" w:rsidR="00090354">
        <w:t>RELEVANT LAW AND PRACTICE</w:t>
      </w:r>
    </w:p>
    <w:p w:rsidRPr="000D71CC" w:rsidR="00090354" w:rsidP="00090354" w:rsidRDefault="00090354">
      <w:pPr>
        <w:pStyle w:val="JuHA"/>
      </w:pPr>
      <w:r w:rsidRPr="000D71CC">
        <w:t>A.</w:t>
      </w:r>
      <w:r w:rsidR="00436841">
        <w:t>  </w:t>
      </w:r>
      <w:r w:rsidRPr="000D71CC">
        <w:t>Domestic law</w:t>
      </w:r>
    </w:p>
    <w:p w:rsidRPr="000D71CC" w:rsidR="00090354" w:rsidP="00090354" w:rsidRDefault="00090354">
      <w:pPr>
        <w:pStyle w:val="JuPara"/>
      </w:pPr>
      <w:r w:rsidRPr="000D71CC">
        <w:fldChar w:fldCharType="begin"/>
      </w:r>
      <w:r w:rsidRPr="000D71CC">
        <w:instrText xml:space="preserve"> SEQ level0 \*arabic </w:instrText>
      </w:r>
      <w:r w:rsidRPr="000D71CC">
        <w:fldChar w:fldCharType="separate"/>
      </w:r>
      <w:r w:rsidR="00F47D5E">
        <w:rPr>
          <w:noProof/>
        </w:rPr>
        <w:t>21</w:t>
      </w:r>
      <w:r w:rsidRPr="000D71CC">
        <w:fldChar w:fldCharType="end"/>
      </w:r>
      <w:r w:rsidR="00CF788E">
        <w:t>.  </w:t>
      </w:r>
      <w:r w:rsidRPr="000D71CC">
        <w:t>The relevant provisions of the Constitution read as follows</w:t>
      </w:r>
      <w:r w:rsidRPr="000D71CC" w:rsidR="009D4FA5">
        <w:t>:</w:t>
      </w:r>
    </w:p>
    <w:p w:rsidRPr="000D71CC" w:rsidR="00090354" w:rsidP="00090354" w:rsidRDefault="00090354">
      <w:pPr>
        <w:pStyle w:val="JuHArticle"/>
      </w:pPr>
      <w:r w:rsidRPr="000D71CC">
        <w:t>Article 40</w:t>
      </w:r>
    </w:p>
    <w:p w:rsidRPr="000D71CC" w:rsidR="00090354" w:rsidP="00090354" w:rsidRDefault="00BF0D1C">
      <w:pPr>
        <w:pStyle w:val="JuQuot"/>
      </w:pPr>
      <w:r>
        <w:t>“</w:t>
      </w:r>
      <w:r w:rsidRPr="00C32BE1" w:rsidR="00C32BE1">
        <w:t xml:space="preserve">Citizens may freely associate </w:t>
      </w:r>
      <w:r w:rsidR="00C32BE1">
        <w:t>to form</w:t>
      </w:r>
      <w:r w:rsidRPr="00C32BE1" w:rsidR="00C32BE1">
        <w:t xml:space="preserve"> political parties, trade unions, employers</w:t>
      </w:r>
      <w:r w:rsidR="00F47D5E">
        <w:t>’</w:t>
      </w:r>
      <w:r w:rsidRPr="00C32BE1" w:rsidR="00C32BE1">
        <w:t xml:space="preserve"> </w:t>
      </w:r>
      <w:r w:rsidR="00C32BE1">
        <w:t>organis</w:t>
      </w:r>
      <w:r w:rsidRPr="00C32BE1" w:rsidR="00C32BE1">
        <w:t>ations and other forms of association</w:t>
      </w:r>
      <w:r w:rsidRPr="000D71CC" w:rsidR="00090354">
        <w:t>.</w:t>
      </w:r>
      <w:r>
        <w:t>”</w:t>
      </w:r>
    </w:p>
    <w:p w:rsidRPr="000D71CC" w:rsidR="00090354" w:rsidP="00090354" w:rsidRDefault="00090354">
      <w:pPr>
        <w:pStyle w:val="JuHArticle"/>
      </w:pPr>
      <w:r w:rsidRPr="000D71CC">
        <w:t>Article 41</w:t>
      </w:r>
    </w:p>
    <w:p w:rsidR="001241E2" w:rsidP="001241E2" w:rsidRDefault="001241E2">
      <w:pPr>
        <w:pStyle w:val="JuQuot"/>
      </w:pPr>
      <w:r>
        <w:t xml:space="preserve">“The right to work shall not be restricted. Everyone </w:t>
      </w:r>
      <w:r w:rsidR="00256A69">
        <w:t xml:space="preserve">is free to choose his or her </w:t>
      </w:r>
      <w:r>
        <w:t>profession, trade or occupation</w:t>
      </w:r>
      <w:r w:rsidR="00256A69">
        <w:t xml:space="preserve"> and</w:t>
      </w:r>
      <w:r>
        <w:t xml:space="preserve"> work</w:t>
      </w:r>
      <w:r w:rsidR="00256A69">
        <w:t>place.</w:t>
      </w:r>
    </w:p>
    <w:p w:rsidR="00ED4401" w:rsidP="001241E2" w:rsidRDefault="00256A69">
      <w:pPr>
        <w:pStyle w:val="JuQuot"/>
      </w:pPr>
      <w:r>
        <w:t>Employees are entitled to social protection measures. These concern employees</w:t>
      </w:r>
      <w:r w:rsidR="00F47D5E">
        <w:t>’</w:t>
      </w:r>
      <w:r w:rsidR="001241E2">
        <w:t xml:space="preserve"> </w:t>
      </w:r>
      <w:r>
        <w:t>health</w:t>
      </w:r>
      <w:r w:rsidR="001241E2">
        <w:t xml:space="preserve"> and</w:t>
      </w:r>
      <w:r>
        <w:t xml:space="preserve"> safety</w:t>
      </w:r>
      <w:r w:rsidR="001241E2">
        <w:t xml:space="preserve">, working conditions for women and young people, the </w:t>
      </w:r>
      <w:r>
        <w:t>establishment</w:t>
      </w:r>
      <w:r w:rsidR="001241E2">
        <w:t xml:space="preserve"> </w:t>
      </w:r>
      <w:r>
        <w:t xml:space="preserve">of a </w:t>
      </w:r>
      <w:r w:rsidR="00F8114A">
        <w:t xml:space="preserve">national gross </w:t>
      </w:r>
      <w:r>
        <w:t>minimum wage</w:t>
      </w:r>
      <w:r w:rsidR="001241E2">
        <w:t>, week</w:t>
      </w:r>
      <w:r>
        <w:t xml:space="preserve">ly rest, </w:t>
      </w:r>
      <w:r w:rsidR="001241E2">
        <w:t xml:space="preserve">paid </w:t>
      </w:r>
      <w:r>
        <w:t>annual</w:t>
      </w:r>
      <w:r w:rsidR="001241E2">
        <w:t xml:space="preserve"> leave, work performed </w:t>
      </w:r>
      <w:r>
        <w:t>in</w:t>
      </w:r>
      <w:r w:rsidR="001241E2">
        <w:t xml:space="preserve"> </w:t>
      </w:r>
      <w:r>
        <w:t>particular</w:t>
      </w:r>
      <w:r w:rsidR="001241E2">
        <w:t xml:space="preserve"> </w:t>
      </w:r>
      <w:r>
        <w:t>or</w:t>
      </w:r>
      <w:r w:rsidR="001241E2">
        <w:t xml:space="preserve"> special conditions, </w:t>
      </w:r>
      <w:r>
        <w:t xml:space="preserve">vocational training, and </w:t>
      </w:r>
      <w:r w:rsidR="001241E2">
        <w:t xml:space="preserve">other specific </w:t>
      </w:r>
      <w:r>
        <w:t xml:space="preserve">situations </w:t>
      </w:r>
      <w:r w:rsidR="001241E2">
        <w:t xml:space="preserve">as </w:t>
      </w:r>
      <w:r>
        <w:t>provided for by</w:t>
      </w:r>
      <w:r w:rsidR="001241E2">
        <w:t xml:space="preserve"> law.</w:t>
      </w:r>
    </w:p>
    <w:p w:rsidR="001241E2" w:rsidP="001241E2" w:rsidRDefault="001241E2">
      <w:pPr>
        <w:pStyle w:val="JuQuot"/>
      </w:pPr>
      <w:r>
        <w:t>The normal</w:t>
      </w:r>
      <w:r w:rsidR="00256A69">
        <w:t xml:space="preserve"> average</w:t>
      </w:r>
      <w:r>
        <w:t xml:space="preserve"> working day is </w:t>
      </w:r>
      <w:r w:rsidR="00256A69">
        <w:t>a</w:t>
      </w:r>
      <w:r>
        <w:t xml:space="preserve"> maximum </w:t>
      </w:r>
      <w:r w:rsidR="00256A69">
        <w:t xml:space="preserve">of </w:t>
      </w:r>
      <w:r>
        <w:t>eight hours</w:t>
      </w:r>
      <w:r w:rsidR="00256A69">
        <w:t>.</w:t>
      </w:r>
    </w:p>
    <w:p w:rsidR="00256A69" w:rsidP="00256A69" w:rsidRDefault="00256A69">
      <w:pPr>
        <w:pStyle w:val="JuQuot"/>
      </w:pPr>
      <w:r>
        <w:t>For equal work, women shall receive equal pay to men.</w:t>
      </w:r>
    </w:p>
    <w:p w:rsidR="001241E2" w:rsidP="001241E2" w:rsidRDefault="001241E2">
      <w:pPr>
        <w:pStyle w:val="JuQuot"/>
      </w:pPr>
      <w:r>
        <w:t>The right to collective labour bargaining and the binding force of collective agreements shall be guaranteed</w:t>
      </w:r>
      <w:r w:rsidR="00256A69">
        <w:t>.”</w:t>
      </w:r>
    </w:p>
    <w:p w:rsidRPr="000D71CC" w:rsidR="00090354" w:rsidP="00090354" w:rsidRDefault="00090354">
      <w:pPr>
        <w:pStyle w:val="JuHArticle"/>
      </w:pPr>
      <w:r w:rsidRPr="000D71CC">
        <w:t>Article 29</w:t>
      </w:r>
    </w:p>
    <w:p w:rsidR="004F4407" w:rsidP="004F4407" w:rsidRDefault="004F4407">
      <w:pPr>
        <w:pStyle w:val="JuQuot"/>
      </w:pPr>
      <w:r>
        <w:t xml:space="preserve">“Freedom of thought and opinion and freedom of religion shall not be restricted in any form. No one shall be compelled to embrace an opinion or religion contrary to his </w:t>
      </w:r>
      <w:r w:rsidR="00F8114A">
        <w:t xml:space="preserve">or her </w:t>
      </w:r>
      <w:r>
        <w:t>own beliefs.</w:t>
      </w:r>
    </w:p>
    <w:p w:rsidR="004F4407" w:rsidP="004F4407" w:rsidRDefault="004F4407">
      <w:pPr>
        <w:pStyle w:val="JuQuot"/>
      </w:pPr>
      <w:r>
        <w:t>Freedom of conscience is guaranteed; it must be manifested in a spirit of tolerance and mutual respect.</w:t>
      </w:r>
    </w:p>
    <w:p w:rsidR="004F4407" w:rsidP="004F4407" w:rsidRDefault="004F4407">
      <w:pPr>
        <w:pStyle w:val="JuQuot"/>
      </w:pPr>
      <w:r>
        <w:t xml:space="preserve">Religious denominations shall be free and religious communities shall be organised in accordance with their own </w:t>
      </w:r>
      <w:r w:rsidR="00F8114A">
        <w:t>regulations</w:t>
      </w:r>
      <w:r>
        <w:t xml:space="preserve">, </w:t>
      </w:r>
      <w:r w:rsidR="00F8114A">
        <w:t>subject to the conditions laid down</w:t>
      </w:r>
      <w:r>
        <w:t xml:space="preserve"> by law.</w:t>
      </w:r>
    </w:p>
    <w:p w:rsidR="004F4407" w:rsidP="004F4407" w:rsidRDefault="004F4407">
      <w:pPr>
        <w:pStyle w:val="JuQuot"/>
      </w:pPr>
      <w:r>
        <w:t>All forms, means, acts and actions of religious enmity shall be prohibited in relations between religious denominations.</w:t>
      </w:r>
    </w:p>
    <w:p w:rsidRPr="000D71CC" w:rsidR="00090354" w:rsidP="00090354" w:rsidRDefault="004F4407">
      <w:pPr>
        <w:pStyle w:val="JuQuot"/>
      </w:pPr>
      <w:r>
        <w:t xml:space="preserve">Religious </w:t>
      </w:r>
      <w:r w:rsidR="00F8114A">
        <w:t>communities</w:t>
      </w:r>
      <w:r>
        <w:t xml:space="preserve"> shall </w:t>
      </w:r>
      <w:r w:rsidR="00F8114A">
        <w:t>enjoy autonomy in relation to the State and s</w:t>
      </w:r>
      <w:r>
        <w:t xml:space="preserve">hall </w:t>
      </w:r>
      <w:r w:rsidR="00F8114A">
        <w:t>receive State</w:t>
      </w:r>
      <w:r>
        <w:t xml:space="preserve"> support, including the </w:t>
      </w:r>
      <w:r w:rsidR="00F8114A">
        <w:t xml:space="preserve">provision of facilities </w:t>
      </w:r>
      <w:r>
        <w:t>of</w:t>
      </w:r>
      <w:r w:rsidR="00F8114A">
        <w:t>fering</w:t>
      </w:r>
      <w:r>
        <w:t xml:space="preserve"> religious assistance in the army, hospitals, prisons, asylums and orphanages.”</w:t>
      </w:r>
    </w:p>
    <w:p w:rsidRPr="000D71CC" w:rsidR="00090354" w:rsidP="00090354" w:rsidRDefault="00090354">
      <w:pPr>
        <w:pStyle w:val="JuPara"/>
      </w:pPr>
      <w:r w:rsidRPr="000D71CC">
        <w:fldChar w:fldCharType="begin"/>
      </w:r>
      <w:r w:rsidRPr="000D71CC">
        <w:instrText xml:space="preserve"> SEQ level0 \*arabic </w:instrText>
      </w:r>
      <w:r w:rsidRPr="000D71CC">
        <w:fldChar w:fldCharType="separate"/>
      </w:r>
      <w:r w:rsidR="00F47D5E">
        <w:rPr>
          <w:noProof/>
        </w:rPr>
        <w:t>22</w:t>
      </w:r>
      <w:r w:rsidRPr="000D71CC">
        <w:fldChar w:fldCharType="end"/>
      </w:r>
      <w:r w:rsidR="004F4407">
        <w:t>.  </w:t>
      </w:r>
      <w:r w:rsidRPr="000D71CC">
        <w:t>The relevant provisions of the T</w:t>
      </w:r>
      <w:r w:rsidR="005C4FF0">
        <w:t xml:space="preserve">rade </w:t>
      </w:r>
      <w:r w:rsidR="004F4407">
        <w:t>Union</w:t>
      </w:r>
      <w:r w:rsidR="005C4FF0">
        <w:t>s</w:t>
      </w:r>
      <w:r w:rsidR="004F4407">
        <w:t xml:space="preserve"> Act (Law no. </w:t>
      </w:r>
      <w:r w:rsidRPr="000D71CC">
        <w:t>54/2003) are worded as follows:</w:t>
      </w:r>
    </w:p>
    <w:p w:rsidRPr="000D71CC" w:rsidR="00090354" w:rsidP="00090354" w:rsidRDefault="005C4FF0">
      <w:pPr>
        <w:pStyle w:val="JuHArticle"/>
      </w:pPr>
      <w:r>
        <w:t>Section</w:t>
      </w:r>
      <w:r w:rsidRPr="000D71CC" w:rsidR="00090354">
        <w:t xml:space="preserve"> 2</w:t>
      </w:r>
    </w:p>
    <w:p w:rsidR="00F528A2" w:rsidP="00F528A2" w:rsidRDefault="00F528A2">
      <w:pPr>
        <w:pStyle w:val="JuQuot"/>
      </w:pPr>
      <w:r>
        <w:t>“</w:t>
      </w:r>
      <w:r w:rsidRPr="005C4FF0" w:rsidR="005C4FF0">
        <w:t xml:space="preserve">Anyone </w:t>
      </w:r>
      <w:r w:rsidR="005C4FF0">
        <w:t>working</w:t>
      </w:r>
      <w:r w:rsidRPr="005C4FF0" w:rsidR="005C4FF0">
        <w:t xml:space="preserve"> on the basis </w:t>
      </w:r>
      <w:r w:rsidR="005C4FF0">
        <w:t>of a</w:t>
      </w:r>
      <w:r w:rsidR="005F7AB3">
        <w:t xml:space="preserve"> </w:t>
      </w:r>
      <w:r w:rsidR="005C4FF0">
        <w:t>contract of employment</w:t>
      </w:r>
      <w:r w:rsidRPr="005C4FF0" w:rsidR="005C4FF0">
        <w:t xml:space="preserve">, including public officials, </w:t>
      </w:r>
      <w:r w:rsidR="005F7AB3">
        <w:t>shall have</w:t>
      </w:r>
      <w:r w:rsidRPr="005C4FF0" w:rsidR="005C4FF0">
        <w:t xml:space="preserve"> the right to form or to join trade unions.</w:t>
      </w:r>
    </w:p>
    <w:p w:rsidR="00F528A2" w:rsidP="005C4FF0" w:rsidRDefault="005C4FF0">
      <w:pPr>
        <w:pStyle w:val="JuQuot"/>
      </w:pPr>
      <w:r>
        <w:t xml:space="preserve">The </w:t>
      </w:r>
      <w:r w:rsidR="005F7AB3">
        <w:t>establishment</w:t>
      </w:r>
      <w:r>
        <w:t xml:space="preserve"> of a trade union </w:t>
      </w:r>
      <w:r w:rsidR="005F7AB3">
        <w:t>shall require a minimum</w:t>
      </w:r>
      <w:r>
        <w:t xml:space="preserve"> </w:t>
      </w:r>
      <w:r w:rsidR="005F7AB3">
        <w:t xml:space="preserve">of </w:t>
      </w:r>
      <w:r>
        <w:t>fifteen employees in the same occupation or branch of activity.</w:t>
      </w:r>
    </w:p>
    <w:p w:rsidRPr="000D71CC" w:rsidR="00090354" w:rsidP="00090354" w:rsidRDefault="005C4FF0">
      <w:pPr>
        <w:pStyle w:val="JuQuot"/>
      </w:pPr>
      <w:r w:rsidRPr="005C4FF0">
        <w:t xml:space="preserve">No one shall be compelled to join, not to join or to leave a </w:t>
      </w:r>
      <w:r>
        <w:t xml:space="preserve">trade </w:t>
      </w:r>
      <w:r w:rsidRPr="005C4FF0">
        <w:t>union</w:t>
      </w:r>
      <w:r w:rsidR="00F528A2">
        <w:t>.</w:t>
      </w:r>
      <w:r>
        <w:t>”</w:t>
      </w:r>
    </w:p>
    <w:p w:rsidRPr="000D71CC" w:rsidR="00090354" w:rsidP="00090354" w:rsidRDefault="005C4FF0">
      <w:pPr>
        <w:pStyle w:val="JuHArticle"/>
      </w:pPr>
      <w:r>
        <w:t>Section</w:t>
      </w:r>
      <w:r w:rsidRPr="000D71CC" w:rsidR="00090354">
        <w:t xml:space="preserve"> 3</w:t>
      </w:r>
    </w:p>
    <w:p w:rsidRPr="000D71CC" w:rsidR="00090354" w:rsidP="00090354" w:rsidRDefault="005C4FF0">
      <w:pPr>
        <w:pStyle w:val="JuQuot"/>
      </w:pPr>
      <w:r>
        <w:t>“</w:t>
      </w:r>
      <w:r w:rsidRPr="005C4FF0">
        <w:t xml:space="preserve">Persons </w:t>
      </w:r>
      <w:r>
        <w:t>performing</w:t>
      </w:r>
      <w:r w:rsidRPr="005C4FF0">
        <w:t xml:space="preserve"> manage</w:t>
      </w:r>
      <w:r>
        <w:t xml:space="preserve">ment </w:t>
      </w:r>
      <w:r w:rsidRPr="005C4FF0">
        <w:t xml:space="preserve">functions or functions involving the exercise of public authority, the judiciary, the military, </w:t>
      </w:r>
      <w:r>
        <w:t xml:space="preserve">the </w:t>
      </w:r>
      <w:r w:rsidRPr="005C4FF0">
        <w:t xml:space="preserve">police and </w:t>
      </w:r>
      <w:r>
        <w:t>members of the special forces</w:t>
      </w:r>
      <w:r w:rsidRPr="005C4FF0">
        <w:t xml:space="preserve"> </w:t>
      </w:r>
      <w:r>
        <w:t xml:space="preserve">may not set up </w:t>
      </w:r>
      <w:r w:rsidRPr="005C4FF0">
        <w:t>trade unions</w:t>
      </w:r>
      <w:r w:rsidRPr="000D71CC" w:rsidR="00090354">
        <w:t>.</w:t>
      </w:r>
      <w:r>
        <w:t>”</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23</w:t>
      </w:r>
      <w:r w:rsidRPr="000D71CC">
        <w:fldChar w:fldCharType="end"/>
      </w:r>
      <w:r w:rsidRPr="000D71CC">
        <w:t>.  </w:t>
      </w:r>
      <w:r w:rsidRPr="005C4FF0" w:rsidR="005C4FF0">
        <w:t xml:space="preserve">Under the </w:t>
      </w:r>
      <w:r w:rsidR="005C4FF0">
        <w:t>Religious Freedom Act (Law n</w:t>
      </w:r>
      <w:r w:rsidRPr="005C4FF0" w:rsidR="005C4FF0">
        <w:t>o. 489/2006</w:t>
      </w:r>
      <w:r w:rsidR="005C4FF0">
        <w:t>)</w:t>
      </w:r>
      <w:r w:rsidRPr="005C4FF0" w:rsidR="005C4FF0">
        <w:t>, freedom to practi</w:t>
      </w:r>
      <w:r w:rsidR="00296DA0">
        <w:t>s</w:t>
      </w:r>
      <w:r w:rsidRPr="005C4FF0" w:rsidR="005C4FF0">
        <w:t xml:space="preserve">e religious beliefs is guaranteed. </w:t>
      </w:r>
      <w:r w:rsidRPr="000D71CC" w:rsidR="00090354">
        <w:t xml:space="preserve">The relevant provisions of the Act </w:t>
      </w:r>
      <w:r w:rsidR="005C4FF0">
        <w:t>read</w:t>
      </w:r>
      <w:r w:rsidRPr="000D71CC" w:rsidR="00090354">
        <w:t xml:space="preserve"> as follows</w:t>
      </w:r>
      <w:r w:rsidRPr="000D71CC" w:rsidR="009D4FA5">
        <w:t>:</w:t>
      </w:r>
    </w:p>
    <w:p w:rsidRPr="000D71CC" w:rsidR="00090354" w:rsidP="00090354" w:rsidRDefault="005C4FF0">
      <w:pPr>
        <w:pStyle w:val="JuHArticle"/>
      </w:pPr>
      <w:r>
        <w:t>Section</w:t>
      </w:r>
      <w:r w:rsidRPr="000D71CC" w:rsidR="00090354">
        <w:t xml:space="preserve"> 1</w:t>
      </w:r>
    </w:p>
    <w:p w:rsidRPr="000D71CC" w:rsidR="00090354" w:rsidP="005C4FF0" w:rsidRDefault="005C4FF0">
      <w:pPr>
        <w:pStyle w:val="JuQuot"/>
      </w:pPr>
      <w:r>
        <w:t>“</w:t>
      </w:r>
      <w:r w:rsidRPr="000D71CC" w:rsidR="009D4FA5">
        <w:t xml:space="preserve">The </w:t>
      </w:r>
      <w:r w:rsidRPr="00AA5025" w:rsidR="00AA5025">
        <w:t xml:space="preserve">Romanian State </w:t>
      </w:r>
      <w:r w:rsidR="00F800EC">
        <w:t xml:space="preserve">shall </w:t>
      </w:r>
      <w:r w:rsidRPr="00AA5025" w:rsidR="00AA5025">
        <w:t xml:space="preserve">respect and guarantee the right to freedom of thought, conscience and religion of any person </w:t>
      </w:r>
      <w:r w:rsidR="00AA5025">
        <w:t>within the territory of</w:t>
      </w:r>
      <w:r w:rsidRPr="00AA5025" w:rsidR="00AA5025">
        <w:t xml:space="preserve"> Romania, </w:t>
      </w:r>
      <w:r w:rsidR="00AA5025">
        <w:t>in accordance with</w:t>
      </w:r>
      <w:r w:rsidRPr="00AA5025" w:rsidR="00AA5025">
        <w:t xml:space="preserve"> the Constitution and international treaties to which Romania is a party.</w:t>
      </w:r>
      <w:r>
        <w:t>”</w:t>
      </w:r>
    </w:p>
    <w:p w:rsidRPr="000D71CC" w:rsidR="00090354" w:rsidP="00090354" w:rsidRDefault="005C4FF0">
      <w:pPr>
        <w:pStyle w:val="JuHArticle"/>
      </w:pPr>
      <w:r>
        <w:t>Section</w:t>
      </w:r>
      <w:r w:rsidRPr="000D71CC" w:rsidR="00090354">
        <w:t xml:space="preserve"> 5</w:t>
      </w:r>
    </w:p>
    <w:p w:rsidR="00AA5025" w:rsidP="00AA5025" w:rsidRDefault="00AA5025">
      <w:pPr>
        <w:pStyle w:val="JuQuot"/>
      </w:pPr>
      <w:r>
        <w:t xml:space="preserve">“Members of religious communities </w:t>
      </w:r>
      <w:r w:rsidR="00F800EC">
        <w:t>shall be</w:t>
      </w:r>
      <w:r>
        <w:t xml:space="preserve"> free to choose the form of association in which they wish to practise their faith – religious </w:t>
      </w:r>
      <w:r w:rsidR="00DC44E3">
        <w:t>community, association or group </w:t>
      </w:r>
      <w:r>
        <w:t>–</w:t>
      </w:r>
      <w:r w:rsidR="00DC44E3">
        <w:t xml:space="preserve"> </w:t>
      </w:r>
      <w:r>
        <w:t>in accordance with the terms and conditions of this Act.</w:t>
      </w:r>
    </w:p>
    <w:p w:rsidR="00AA5025" w:rsidP="00AA5025" w:rsidRDefault="00AA5025">
      <w:pPr>
        <w:pStyle w:val="JuQuot"/>
      </w:pPr>
      <w:r>
        <w:t xml:space="preserve">Religious communities, associations and groups shall be required to observe the Constitution and the law and </w:t>
      </w:r>
      <w:r w:rsidR="00DC44E3">
        <w:t xml:space="preserve">not </w:t>
      </w:r>
      <w:r>
        <w:t>to threaten public safety, public order, health, morals and fundamental rights and freedoms.”</w:t>
      </w:r>
    </w:p>
    <w:p w:rsidRPr="000D71CC" w:rsidR="00090354" w:rsidP="00090354" w:rsidRDefault="00AA5025">
      <w:pPr>
        <w:pStyle w:val="JuHArticle"/>
      </w:pPr>
      <w:r>
        <w:t>Section</w:t>
      </w:r>
      <w:r w:rsidRPr="000D71CC" w:rsidR="00090354">
        <w:t xml:space="preserve"> 8</w:t>
      </w:r>
    </w:p>
    <w:p w:rsidRPr="000D71CC" w:rsidR="00090354" w:rsidP="00AA5025" w:rsidRDefault="00AA5025">
      <w:pPr>
        <w:pStyle w:val="JuQuot"/>
      </w:pPr>
      <w:r>
        <w:t>“</w:t>
      </w:r>
      <w:r w:rsidRPr="00AA5025">
        <w:t>Recogni</w:t>
      </w:r>
      <w:r>
        <w:t>s</w:t>
      </w:r>
      <w:r w:rsidRPr="00AA5025">
        <w:t xml:space="preserve">ed religious communities </w:t>
      </w:r>
      <w:r>
        <w:t xml:space="preserve">shall </w:t>
      </w:r>
      <w:r w:rsidRPr="00AA5025">
        <w:t xml:space="preserve">have the status of </w:t>
      </w:r>
      <w:r>
        <w:t xml:space="preserve">charitable corporations. </w:t>
      </w:r>
      <w:r w:rsidRPr="00AA5025">
        <w:t xml:space="preserve">Under the provisions of the Constitution and this Act, they </w:t>
      </w:r>
      <w:r w:rsidR="008049C3">
        <w:t>shall be</w:t>
      </w:r>
      <w:r w:rsidRPr="00AA5025">
        <w:t xml:space="preserve"> organi</w:t>
      </w:r>
      <w:r w:rsidR="008049C3">
        <w:t>s</w:t>
      </w:r>
      <w:r w:rsidRPr="00AA5025">
        <w:t xml:space="preserve">ed and </w:t>
      </w:r>
      <w:r w:rsidR="008049C3">
        <w:t xml:space="preserve">shall </w:t>
      </w:r>
      <w:r w:rsidRPr="00AA5025">
        <w:t xml:space="preserve">operate independently </w:t>
      </w:r>
      <w:r w:rsidR="008049C3">
        <w:t>in accordance with</w:t>
      </w:r>
      <w:r w:rsidRPr="00AA5025">
        <w:t xml:space="preserve"> their own statutes or canon</w:t>
      </w:r>
      <w:r w:rsidR="008049C3">
        <w:t>s.”</w:t>
      </w:r>
    </w:p>
    <w:p w:rsidRPr="000D71CC" w:rsidR="00090354" w:rsidP="00090354" w:rsidRDefault="00AA5025">
      <w:pPr>
        <w:pStyle w:val="JuHArticle"/>
      </w:pPr>
      <w:r>
        <w:t>Section</w:t>
      </w:r>
      <w:r w:rsidRPr="000D71CC" w:rsidR="00090354">
        <w:t xml:space="preserve"> 10</w:t>
      </w:r>
    </w:p>
    <w:p w:rsidRPr="000D71CC" w:rsidR="00090354" w:rsidP="008049C3" w:rsidRDefault="008049C3">
      <w:pPr>
        <w:pStyle w:val="JuQuot"/>
      </w:pPr>
      <w:r>
        <w:t>“</w:t>
      </w:r>
      <w:r w:rsidRPr="008049C3">
        <w:t xml:space="preserve">The </w:t>
      </w:r>
      <w:r>
        <w:t>S</w:t>
      </w:r>
      <w:r w:rsidRPr="008049C3">
        <w:t xml:space="preserve">tate </w:t>
      </w:r>
      <w:r>
        <w:t>shall contribute</w:t>
      </w:r>
      <w:r w:rsidRPr="008049C3">
        <w:t xml:space="preserve">, on request, to the </w:t>
      </w:r>
      <w:r>
        <w:t>remuneration</w:t>
      </w:r>
      <w:r w:rsidRPr="008049C3">
        <w:t xml:space="preserve"> of clergy and lay </w:t>
      </w:r>
      <w:r w:rsidR="00DC44E3">
        <w:t>staff</w:t>
      </w:r>
      <w:r w:rsidRPr="008049C3">
        <w:t xml:space="preserve"> of recogni</w:t>
      </w:r>
      <w:r>
        <w:t>s</w:t>
      </w:r>
      <w:r w:rsidRPr="008049C3">
        <w:t xml:space="preserve">ed religious communities, according to the number of </w:t>
      </w:r>
      <w:r>
        <w:t>worshippers</w:t>
      </w:r>
      <w:r w:rsidRPr="008049C3">
        <w:t xml:space="preserve"> and the </w:t>
      </w:r>
      <w:r>
        <w:t>actual</w:t>
      </w:r>
      <w:r w:rsidRPr="008049C3">
        <w:t xml:space="preserve"> needs of </w:t>
      </w:r>
      <w:r>
        <w:t xml:space="preserve">the </w:t>
      </w:r>
      <w:r w:rsidRPr="008049C3">
        <w:t>communities</w:t>
      </w:r>
      <w:r w:rsidRPr="000D71CC" w:rsidR="00090354">
        <w:t>.</w:t>
      </w:r>
      <w:r>
        <w:t>”</w:t>
      </w:r>
    </w:p>
    <w:p w:rsidRPr="000D71CC" w:rsidR="00090354" w:rsidP="00090354" w:rsidRDefault="00AA5025">
      <w:pPr>
        <w:pStyle w:val="JuHArticle"/>
      </w:pPr>
      <w:r>
        <w:t>Section</w:t>
      </w:r>
      <w:r w:rsidRPr="000D71CC" w:rsidR="00090354">
        <w:t xml:space="preserve"> 17</w:t>
      </w:r>
    </w:p>
    <w:p w:rsidR="008049C3" w:rsidP="008049C3" w:rsidRDefault="008049C3">
      <w:pPr>
        <w:pStyle w:val="JuQuot"/>
      </w:pPr>
      <w:r>
        <w:t xml:space="preserve">“On a proposal by the Ministry of Culture and Religious Affairs, the Government shall grant the status of a State-recognised religious community to religious associations which, through their activities and number of members, are of public interest and </w:t>
      </w:r>
      <w:r w:rsidR="00DC44E3">
        <w:t xml:space="preserve">of </w:t>
      </w:r>
      <w:r>
        <w:t>proven sustainability and stability.</w:t>
      </w:r>
    </w:p>
    <w:p w:rsidRPr="000D71CC" w:rsidR="00090354" w:rsidP="00090354" w:rsidRDefault="008049C3">
      <w:pPr>
        <w:pStyle w:val="JuQuot"/>
      </w:pPr>
      <w:r>
        <w:t xml:space="preserve">The State shall recognise statutes and canons </w:t>
      </w:r>
      <w:r w:rsidR="00002878">
        <w:t>to the extent that</w:t>
      </w:r>
      <w:r>
        <w:t xml:space="preserve"> their content does not </w:t>
      </w:r>
      <w:r w:rsidR="003C26DA">
        <w:t>threaten</w:t>
      </w:r>
      <w:r>
        <w:t xml:space="preserve"> public safety, public order, health, morals and fundamental rights and freedoms</w:t>
      </w:r>
      <w:r w:rsidRPr="000D71CC" w:rsidR="00090354">
        <w:t>.</w:t>
      </w:r>
      <w:r>
        <w:t>”</w:t>
      </w:r>
    </w:p>
    <w:p w:rsidRPr="000D71CC" w:rsidR="00090354" w:rsidP="00090354" w:rsidRDefault="008049C3">
      <w:pPr>
        <w:pStyle w:val="JuHArticle"/>
      </w:pPr>
      <w:r>
        <w:t>Section</w:t>
      </w:r>
      <w:r w:rsidRPr="000D71CC" w:rsidR="00090354">
        <w:t xml:space="preserve"> 23</w:t>
      </w:r>
    </w:p>
    <w:p w:rsidR="008049C3" w:rsidP="008049C3" w:rsidRDefault="008049C3">
      <w:pPr>
        <w:pStyle w:val="JuQuot"/>
      </w:pPr>
      <w:r>
        <w:t>“Religious communities shall select, appoint, employ and dismiss staff in accordance with their own statutes, codes of canon law and regulations.</w:t>
      </w:r>
    </w:p>
    <w:p w:rsidR="008049C3" w:rsidP="008049C3" w:rsidRDefault="008049C3">
      <w:pPr>
        <w:pStyle w:val="JuQuot"/>
      </w:pPr>
      <w:r>
        <w:t xml:space="preserve">Religious communities may </w:t>
      </w:r>
      <w:r w:rsidR="00036FB2">
        <w:t xml:space="preserve">impose disciplinary sanctions on </w:t>
      </w:r>
      <w:r>
        <w:t xml:space="preserve">their employees, </w:t>
      </w:r>
      <w:r w:rsidR="00036FB2">
        <w:t xml:space="preserve">in </w:t>
      </w:r>
      <w:r>
        <w:t>accord</w:t>
      </w:r>
      <w:r w:rsidR="00036FB2">
        <w:t xml:space="preserve">ance with </w:t>
      </w:r>
      <w:r>
        <w:t>their own statutes, codes</w:t>
      </w:r>
      <w:r w:rsidR="00036FB2">
        <w:t xml:space="preserve"> of canon law</w:t>
      </w:r>
      <w:r>
        <w:t xml:space="preserve"> and regulations, </w:t>
      </w:r>
      <w:r w:rsidR="00036FB2">
        <w:t>for breaches of</w:t>
      </w:r>
      <w:r>
        <w:t xml:space="preserve"> the </w:t>
      </w:r>
      <w:r w:rsidR="00036FB2">
        <w:t>community</w:t>
      </w:r>
      <w:r w:rsidR="00F47D5E">
        <w:t>’</w:t>
      </w:r>
      <w:r w:rsidR="00036FB2">
        <w:t xml:space="preserve">s </w:t>
      </w:r>
      <w:r>
        <w:t>doctrine or moral</w:t>
      </w:r>
      <w:r w:rsidR="003C26DA">
        <w:t xml:space="preserve"> principle</w:t>
      </w:r>
      <w:r>
        <w:t>s.</w:t>
      </w:r>
      <w:r w:rsidR="00036FB2">
        <w:t>”</w:t>
      </w:r>
    </w:p>
    <w:p w:rsidRPr="000D71CC" w:rsidR="00090354" w:rsidP="00090354" w:rsidRDefault="00036FB2">
      <w:pPr>
        <w:pStyle w:val="JuHArticle"/>
      </w:pPr>
      <w:r>
        <w:t>Section</w:t>
      </w:r>
      <w:r w:rsidRPr="000D71CC" w:rsidR="00090354">
        <w:t xml:space="preserve"> 24</w:t>
      </w:r>
    </w:p>
    <w:p w:rsidRPr="000D71CC" w:rsidR="00090354" w:rsidP="00036FB2" w:rsidRDefault="00036FB2">
      <w:pPr>
        <w:pStyle w:val="JuQuot"/>
      </w:pPr>
      <w:r>
        <w:t>“</w:t>
      </w:r>
      <w:r w:rsidRPr="00036FB2">
        <w:t>Employees of religious communities who</w:t>
      </w:r>
      <w:r>
        <w:t xml:space="preserve"> are insured within the State insurance scheme shall be subject to the legislation on the State social-insurance system.”</w:t>
      </w:r>
    </w:p>
    <w:p w:rsidRPr="000D71CC" w:rsidR="00090354" w:rsidP="00090354" w:rsidRDefault="00036FB2">
      <w:pPr>
        <w:pStyle w:val="JuHArticle"/>
      </w:pPr>
      <w:r>
        <w:t>Section</w:t>
      </w:r>
      <w:r w:rsidRPr="000D71CC" w:rsidR="00090354">
        <w:t xml:space="preserve"> 26</w:t>
      </w:r>
    </w:p>
    <w:p w:rsidRPr="000D71CC" w:rsidR="00090354" w:rsidP="00090354" w:rsidRDefault="00036FB2">
      <w:pPr>
        <w:pStyle w:val="JuQuot"/>
      </w:pPr>
      <w:r>
        <w:t>“Matters of internal discipline shall be exclusively subject to</w:t>
      </w:r>
      <w:r w:rsidRPr="00036FB2">
        <w:t xml:space="preserve"> the</w:t>
      </w:r>
      <w:r>
        <w:t xml:space="preserve"> provisions of internal regulations and canon law.”</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24</w:t>
      </w:r>
      <w:r w:rsidRPr="000D71CC">
        <w:fldChar w:fldCharType="end"/>
      </w:r>
      <w:r w:rsidRPr="000D71CC">
        <w:t>.  </w:t>
      </w:r>
      <w:r w:rsidR="00CE09F8">
        <w:t>The State-Funded Remuneration Act (</w:t>
      </w:r>
      <w:r w:rsidR="00E642F2">
        <w:t>Law no.</w:t>
      </w:r>
      <w:r w:rsidRPr="000D71CC" w:rsidR="00090354">
        <w:t xml:space="preserve"> 330/2009</w:t>
      </w:r>
      <w:r w:rsidR="00CE09F8">
        <w:t>)</w:t>
      </w:r>
      <w:r w:rsidR="009A4227">
        <w:t xml:space="preserve"> </w:t>
      </w:r>
      <w:r w:rsidRPr="009A4227" w:rsidR="009A4227">
        <w:t xml:space="preserve">contains provisions </w:t>
      </w:r>
      <w:r w:rsidR="009A4227">
        <w:t>on the</w:t>
      </w:r>
      <w:r w:rsidRPr="009A4227" w:rsidR="009A4227">
        <w:t xml:space="preserve"> </w:t>
      </w:r>
      <w:r w:rsidR="009A4227">
        <w:t>remuneration</w:t>
      </w:r>
      <w:r w:rsidRPr="009A4227" w:rsidR="009A4227">
        <w:t xml:space="preserve"> of </w:t>
      </w:r>
      <w:r w:rsidR="009A4227">
        <w:t xml:space="preserve">the clergy and lay </w:t>
      </w:r>
      <w:r w:rsidR="00CE09F8">
        <w:t>staff</w:t>
      </w:r>
      <w:r w:rsidR="009A4227">
        <w:t xml:space="preserve">. </w:t>
      </w:r>
      <w:r w:rsidRPr="009A4227" w:rsidR="009A4227">
        <w:t xml:space="preserve">It </w:t>
      </w:r>
      <w:r w:rsidR="009A4227">
        <w:t xml:space="preserve">provides </w:t>
      </w:r>
      <w:r w:rsidRPr="009A4227" w:rsidR="009A4227">
        <w:t xml:space="preserve">that the </w:t>
      </w:r>
      <w:r w:rsidR="009A4227">
        <w:t>S</w:t>
      </w:r>
      <w:r w:rsidRPr="009A4227" w:rsidR="009A4227">
        <w:t xml:space="preserve">tate </w:t>
      </w:r>
      <w:r w:rsidR="009A4227">
        <w:t xml:space="preserve">is to </w:t>
      </w:r>
      <w:r w:rsidRPr="009A4227" w:rsidR="009A4227">
        <w:t>contribute to</w:t>
      </w:r>
      <w:r w:rsidR="009A4227">
        <w:t xml:space="preserve"> the remuneration of</w:t>
      </w:r>
      <w:r w:rsidRPr="009A4227" w:rsidR="009A4227">
        <w:t xml:space="preserve"> </w:t>
      </w:r>
      <w:r w:rsidR="009A4227">
        <w:t>cler</w:t>
      </w:r>
      <w:r w:rsidR="00CE09F8">
        <w:t xml:space="preserve">gy members </w:t>
      </w:r>
      <w:r w:rsidR="009A4227">
        <w:t>and lay persons employed by recognis</w:t>
      </w:r>
      <w:r w:rsidRPr="009A4227" w:rsidR="009A4227">
        <w:t xml:space="preserve">ed religious communities. Thus, the </w:t>
      </w:r>
      <w:r w:rsidR="009A4227">
        <w:t>S</w:t>
      </w:r>
      <w:r w:rsidRPr="009A4227" w:rsidR="009A4227">
        <w:t>tate pays cler</w:t>
      </w:r>
      <w:r w:rsidR="009A4227">
        <w:t xml:space="preserve">gy </w:t>
      </w:r>
      <w:r w:rsidRPr="009A4227" w:rsidR="009A4227">
        <w:t>employe</w:t>
      </w:r>
      <w:r w:rsidR="009A4227">
        <w:t>d by recognis</w:t>
      </w:r>
      <w:r w:rsidRPr="009A4227" w:rsidR="009A4227">
        <w:t xml:space="preserve">ed religious communities a monthly </w:t>
      </w:r>
      <w:r w:rsidR="004760C6">
        <w:t>stipend</w:t>
      </w:r>
      <w:r w:rsidRPr="009A4227" w:rsidR="009A4227">
        <w:t xml:space="preserve"> equivalent to between 65% and 80% of the salary of a </w:t>
      </w:r>
      <w:r w:rsidR="009A4227">
        <w:t xml:space="preserve">secondary-school teacher. </w:t>
      </w:r>
      <w:r w:rsidR="004760C6">
        <w:t>The State</w:t>
      </w:r>
      <w:r w:rsidRPr="009A4227" w:rsidR="009A4227">
        <w:t xml:space="preserve"> also </w:t>
      </w:r>
      <w:r w:rsidR="009A4227">
        <w:t>covers</w:t>
      </w:r>
      <w:r w:rsidRPr="009A4227" w:rsidR="009A4227">
        <w:t xml:space="preserve"> all social contributions </w:t>
      </w:r>
      <w:r w:rsidR="00CE09F8">
        <w:t xml:space="preserve">payable by employers </w:t>
      </w:r>
      <w:r w:rsidRPr="009A4227" w:rsidR="009A4227">
        <w:t xml:space="preserve">in respect </w:t>
      </w:r>
      <w:r w:rsidR="009A4227">
        <w:t>of members of the clergy.</w:t>
      </w:r>
    </w:p>
    <w:p w:rsidRPr="000D71CC" w:rsidR="00090354" w:rsidP="007E645B" w:rsidRDefault="007E645B">
      <w:pPr>
        <w:pStyle w:val="JuPara"/>
      </w:pPr>
      <w:r w:rsidRPr="000D71CC">
        <w:fldChar w:fldCharType="begin"/>
      </w:r>
      <w:r w:rsidRPr="000D71CC">
        <w:instrText xml:space="preserve"> SEQ level0 \*arabic </w:instrText>
      </w:r>
      <w:r w:rsidRPr="000D71CC">
        <w:fldChar w:fldCharType="separate"/>
      </w:r>
      <w:r w:rsidR="00F47D5E">
        <w:rPr>
          <w:noProof/>
        </w:rPr>
        <w:t>25</w:t>
      </w:r>
      <w:r w:rsidRPr="000D71CC">
        <w:fldChar w:fldCharType="end"/>
      </w:r>
      <w:r w:rsidRPr="000D71CC">
        <w:t>.  </w:t>
      </w:r>
      <w:r w:rsidRPr="009A4227" w:rsidR="009A4227">
        <w:t xml:space="preserve">As </w:t>
      </w:r>
      <w:r w:rsidR="009A4227">
        <w:t>regards</w:t>
      </w:r>
      <w:r w:rsidRPr="009A4227" w:rsidR="009A4227">
        <w:t xml:space="preserve"> lay </w:t>
      </w:r>
      <w:r w:rsidR="00CE09F8">
        <w:t>staff</w:t>
      </w:r>
      <w:r w:rsidRPr="009A4227" w:rsidR="009A4227">
        <w:t xml:space="preserve">, </w:t>
      </w:r>
      <w:r w:rsidR="009A4227">
        <w:t>Law no. 330/2009 provides</w:t>
      </w:r>
      <w:r w:rsidRPr="009A4227" w:rsidR="009A4227">
        <w:t xml:space="preserve"> that they </w:t>
      </w:r>
      <w:r w:rsidR="009A4227">
        <w:t xml:space="preserve">are to </w:t>
      </w:r>
      <w:r w:rsidRPr="009A4227" w:rsidR="009A4227">
        <w:t xml:space="preserve">receive a monthly allowance equivalent to </w:t>
      </w:r>
      <w:r w:rsidR="00FA13B2">
        <w:t>the</w:t>
      </w:r>
      <w:r w:rsidRPr="009A4227" w:rsidR="009A4227">
        <w:t xml:space="preserve"> </w:t>
      </w:r>
      <w:r w:rsidR="00FA13B2">
        <w:t xml:space="preserve">national guaranteed </w:t>
      </w:r>
      <w:r w:rsidRPr="009A4227" w:rsidR="009A4227">
        <w:t xml:space="preserve">minimum wage. This </w:t>
      </w:r>
      <w:r w:rsidR="00FA13B2">
        <w:t>allowance</w:t>
      </w:r>
      <w:r w:rsidRPr="009A4227" w:rsidR="009A4227">
        <w:t xml:space="preserve"> and all </w:t>
      </w:r>
      <w:r w:rsidR="00FA13B2">
        <w:t xml:space="preserve">social contributions </w:t>
      </w:r>
      <w:r w:rsidR="00CE09F8">
        <w:t xml:space="preserve">payable by employers </w:t>
      </w:r>
      <w:r w:rsidR="00FA13B2">
        <w:t xml:space="preserve">in respect of </w:t>
      </w:r>
      <w:r w:rsidRPr="009A4227" w:rsidR="009A4227">
        <w:t xml:space="preserve">these employees are </w:t>
      </w:r>
      <w:r w:rsidR="00FA13B2">
        <w:t>covered</w:t>
      </w:r>
      <w:r w:rsidRPr="009A4227" w:rsidR="009A4227">
        <w:t xml:space="preserve"> by local </w:t>
      </w:r>
      <w:r w:rsidR="00CE09F8">
        <w:t xml:space="preserve">government </w:t>
      </w:r>
      <w:r w:rsidRPr="009A4227" w:rsidR="009A4227">
        <w:t xml:space="preserve">budgets. </w:t>
      </w:r>
      <w:r w:rsidR="00484382">
        <w:t>C</w:t>
      </w:r>
      <w:r w:rsidR="00AA32C2">
        <w:t>lergy</w:t>
      </w:r>
      <w:r w:rsidR="00484382">
        <w:t>men</w:t>
      </w:r>
      <w:r w:rsidR="00AA32C2">
        <w:t xml:space="preserve"> holding senior positions </w:t>
      </w:r>
      <w:r w:rsidRPr="009A4227" w:rsidR="009A4227">
        <w:t>receive</w:t>
      </w:r>
      <w:r w:rsidR="00AA32C2">
        <w:t xml:space="preserve"> a</w:t>
      </w:r>
      <w:r w:rsidRPr="009A4227" w:rsidR="009A4227">
        <w:t xml:space="preserve"> higher </w:t>
      </w:r>
      <w:r w:rsidR="00484382">
        <w:t>stipend</w:t>
      </w:r>
      <w:r w:rsidRPr="000D71CC" w:rsidR="00090354">
        <w:t>.</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26</w:t>
      </w:r>
      <w:r w:rsidRPr="000D71CC">
        <w:fldChar w:fldCharType="end"/>
      </w:r>
      <w:r w:rsidRPr="000D71CC">
        <w:t>.  </w:t>
      </w:r>
      <w:r w:rsidR="00210AED">
        <w:t xml:space="preserve">The </w:t>
      </w:r>
      <w:r w:rsidR="005B218B">
        <w:t>Statute</w:t>
      </w:r>
      <w:r w:rsidR="00210AED">
        <w:t xml:space="preserve"> of </w:t>
      </w:r>
      <w:r w:rsidR="000D71CC">
        <w:t>the Romanian Orthodox Church</w:t>
      </w:r>
      <w:r w:rsidRPr="000D71CC" w:rsidR="00090354">
        <w:t>, adopt</w:t>
      </w:r>
      <w:r w:rsidR="00D3371B">
        <w:t>ed by the</w:t>
      </w:r>
      <w:r w:rsidRPr="000D71CC" w:rsidR="00090354">
        <w:t xml:space="preserve"> </w:t>
      </w:r>
      <w:r w:rsidR="00484382">
        <w:t>Church</w:t>
      </w:r>
      <w:r w:rsidR="00F47D5E">
        <w:t>’</w:t>
      </w:r>
      <w:r w:rsidR="00484382">
        <w:t xml:space="preserve">s </w:t>
      </w:r>
      <w:r w:rsidRPr="000D71CC" w:rsidR="00090354">
        <w:t>Synod</w:t>
      </w:r>
      <w:r w:rsidR="00D3371B">
        <w:t xml:space="preserve"> i</w:t>
      </w:r>
      <w:r w:rsidRPr="000D71CC" w:rsidR="00090354">
        <w:t xml:space="preserve">n </w:t>
      </w:r>
      <w:r w:rsidRPr="000D71CC" w:rsidR="009D4FA5">
        <w:t>November</w:t>
      </w:r>
      <w:r w:rsidRPr="000D71CC" w:rsidR="00090354">
        <w:t xml:space="preserve"> 2007 </w:t>
      </w:r>
      <w:r w:rsidRPr="000D71CC" w:rsidR="009D4FA5">
        <w:t>and</w:t>
      </w:r>
      <w:r w:rsidRPr="000D71CC" w:rsidR="00090354">
        <w:t xml:space="preserve"> </w:t>
      </w:r>
      <w:r w:rsidR="00CE09F8">
        <w:t>approved</w:t>
      </w:r>
      <w:r w:rsidR="00D3371B">
        <w:t xml:space="preserve"> by</w:t>
      </w:r>
      <w:r w:rsidRPr="000D71CC" w:rsidR="00090354">
        <w:t xml:space="preserve"> </w:t>
      </w:r>
      <w:r w:rsidRPr="000D71CC" w:rsidR="009D4FA5">
        <w:t>Government</w:t>
      </w:r>
      <w:r w:rsidRPr="000D71CC" w:rsidR="00090354">
        <w:t xml:space="preserve"> </w:t>
      </w:r>
      <w:r w:rsidR="00CE09F8">
        <w:t>Ordinance</w:t>
      </w:r>
      <w:r w:rsidR="009C6E6C">
        <w:t xml:space="preserve"> </w:t>
      </w:r>
      <w:r w:rsidRPr="000D71CC" w:rsidR="00090354">
        <w:t>n</w:t>
      </w:r>
      <w:r w:rsidR="00D3371B">
        <w:t>o. </w:t>
      </w:r>
      <w:r w:rsidRPr="000D71CC" w:rsidR="00090354">
        <w:t xml:space="preserve">53 </w:t>
      </w:r>
      <w:r w:rsidR="00D3371B">
        <w:t>of</w:t>
      </w:r>
      <w:r w:rsidRPr="000D71CC" w:rsidR="00090354">
        <w:t xml:space="preserve"> 16 </w:t>
      </w:r>
      <w:r w:rsidRPr="000D71CC" w:rsidR="009D4FA5">
        <w:t>January</w:t>
      </w:r>
      <w:r w:rsidRPr="000D71CC" w:rsidR="00090354">
        <w:t xml:space="preserve"> 2008, </w:t>
      </w:r>
      <w:r w:rsidR="00210AED">
        <w:t xml:space="preserve">replaced the previous </w:t>
      </w:r>
      <w:r w:rsidR="005B218B">
        <w:t>Statute</w:t>
      </w:r>
      <w:r w:rsidRPr="000D71CC" w:rsidR="00090354">
        <w:t xml:space="preserve">, </w:t>
      </w:r>
      <w:r w:rsidR="00D3371B">
        <w:t xml:space="preserve">which dated from </w:t>
      </w:r>
      <w:r w:rsidRPr="000D71CC" w:rsidR="00090354">
        <w:t>1949. The relevant provisions read as follows</w:t>
      </w:r>
      <w:r w:rsidRPr="000D71CC" w:rsidR="009D4FA5">
        <w:t>:</w:t>
      </w:r>
    </w:p>
    <w:p w:rsidRPr="000D71CC" w:rsidR="00090354" w:rsidP="00090354" w:rsidRDefault="00090354">
      <w:pPr>
        <w:pStyle w:val="JuHArticle"/>
      </w:pPr>
      <w:r w:rsidRPr="000D71CC">
        <w:t>Article 6</w:t>
      </w:r>
    </w:p>
    <w:p w:rsidRPr="000D71CC" w:rsidR="00090354" w:rsidP="00213A4D" w:rsidRDefault="00D3371B">
      <w:pPr>
        <w:pStyle w:val="JuQuot"/>
      </w:pPr>
      <w:r>
        <w:t>“The</w:t>
      </w:r>
      <w:r w:rsidRPr="000D71CC" w:rsidR="00090354">
        <w:t xml:space="preserve"> Patriarch</w:t>
      </w:r>
      <w:r>
        <w:t>ate</w:t>
      </w:r>
      <w:r w:rsidRPr="000D71CC" w:rsidR="00090354">
        <w:t xml:space="preserve"> </w:t>
      </w:r>
      <w:r w:rsidR="00213A4D">
        <w:t>is made up of dioceses and archdioceses</w:t>
      </w:r>
      <w:r w:rsidR="001D30CE">
        <w:t>,</w:t>
      </w:r>
      <w:r w:rsidR="00213A4D">
        <w:t xml:space="preserve"> grouped in</w:t>
      </w:r>
      <w:r w:rsidR="00EC5EC9">
        <w:t>to m</w:t>
      </w:r>
      <w:r w:rsidR="00213A4D">
        <w:t>etropol</w:t>
      </w:r>
      <w:r w:rsidR="001D30CE">
        <w:t>ise</w:t>
      </w:r>
      <w:r w:rsidR="00213A4D">
        <w:t>s</w:t>
      </w:r>
      <w:r w:rsidRPr="000D71CC" w:rsidR="00090354">
        <w:t>.</w:t>
      </w:r>
      <w:r>
        <w:t>”</w:t>
      </w:r>
    </w:p>
    <w:p w:rsidRPr="000D71CC" w:rsidR="00090354" w:rsidP="00090354" w:rsidRDefault="00090354">
      <w:pPr>
        <w:pStyle w:val="JuHArticle"/>
      </w:pPr>
      <w:r w:rsidRPr="000D71CC">
        <w:t>Article 12</w:t>
      </w:r>
    </w:p>
    <w:p w:rsidRPr="000D71CC" w:rsidR="00090354" w:rsidP="00062964" w:rsidRDefault="00EC5EC9">
      <w:pPr>
        <w:pStyle w:val="JuQuot"/>
      </w:pPr>
      <w:r>
        <w:t>“The Holy Synod</w:t>
      </w:r>
      <w:r w:rsidRPr="000D71CC" w:rsidR="00090354">
        <w:t xml:space="preserve"> </w:t>
      </w:r>
      <w:r w:rsidR="00E70AD3">
        <w:t>shall take decisions</w:t>
      </w:r>
      <w:r w:rsidRPr="00A779F9" w:rsidR="00A779F9">
        <w:t xml:space="preserve"> on the </w:t>
      </w:r>
      <w:r w:rsidR="00E70AD3">
        <w:t>establishment, organis</w:t>
      </w:r>
      <w:r w:rsidRPr="00A779F9" w:rsidR="00A779F9">
        <w:t>ation and dissolution of</w:t>
      </w:r>
      <w:r w:rsidRPr="00A779F9" w:rsidR="00E70AD3">
        <w:t xml:space="preserve"> natio</w:t>
      </w:r>
      <w:r w:rsidR="00E70AD3">
        <w:t xml:space="preserve">nal ecclesiastical </w:t>
      </w:r>
      <w:r w:rsidRPr="00A779F9" w:rsidR="00A779F9">
        <w:t>associations and</w:t>
      </w:r>
      <w:r w:rsidR="00E70AD3">
        <w:t xml:space="preserve"> foundations </w:t>
      </w:r>
      <w:r w:rsidRPr="00A779F9" w:rsidR="00A779F9">
        <w:t xml:space="preserve">... It </w:t>
      </w:r>
      <w:r w:rsidR="00E70AD3">
        <w:t xml:space="preserve">shall </w:t>
      </w:r>
      <w:r w:rsidRPr="00A779F9" w:rsidR="00A779F9">
        <w:t>grant</w:t>
      </w:r>
      <w:r w:rsidR="00E70AD3">
        <w:t xml:space="preserve"> or refuse</w:t>
      </w:r>
      <w:r w:rsidRPr="00A779F9" w:rsidR="00A779F9">
        <w:t xml:space="preserve"> its blessing for the </w:t>
      </w:r>
      <w:r w:rsidR="00E70AD3">
        <w:t>establishment, organis</w:t>
      </w:r>
      <w:r w:rsidRPr="00A779F9" w:rsidR="00A779F9">
        <w:t xml:space="preserve">ation and dissolution of </w:t>
      </w:r>
      <w:r w:rsidR="00E70AD3">
        <w:t xml:space="preserve">Orthodox </w:t>
      </w:r>
      <w:r w:rsidRPr="00A779F9" w:rsidR="00A779F9">
        <w:t xml:space="preserve">associations and foundations </w:t>
      </w:r>
      <w:r w:rsidR="00E70AD3">
        <w:t>that operate</w:t>
      </w:r>
      <w:r w:rsidRPr="00A779F9" w:rsidR="00A779F9">
        <w:t xml:space="preserve"> in dioceses and have their own governing bodies</w:t>
      </w:r>
      <w:r w:rsidRPr="000D71CC" w:rsidR="00090354">
        <w:t>.</w:t>
      </w:r>
      <w:r w:rsidR="00E70AD3">
        <w:t>”</w:t>
      </w:r>
    </w:p>
    <w:p w:rsidRPr="000D71CC" w:rsidR="00090354" w:rsidP="00090354" w:rsidRDefault="00090354">
      <w:pPr>
        <w:pStyle w:val="JuHArticle"/>
      </w:pPr>
      <w:r w:rsidRPr="000D71CC">
        <w:t>Article 43</w:t>
      </w:r>
    </w:p>
    <w:p w:rsidRPr="000D71CC" w:rsidR="00090354" w:rsidP="00E70AD3" w:rsidRDefault="00E70AD3">
      <w:pPr>
        <w:pStyle w:val="JuQuot"/>
      </w:pPr>
      <w:r>
        <w:t>“</w:t>
      </w:r>
      <w:r w:rsidRPr="00E70AD3">
        <w:t xml:space="preserve">The parish is the community of believers, clergy and laity, </w:t>
      </w:r>
      <w:r>
        <w:t>within a specified</w:t>
      </w:r>
      <w:r w:rsidRPr="00E70AD3">
        <w:t xml:space="preserve"> geographical </w:t>
      </w:r>
      <w:r>
        <w:t>territory and subject to the canonical</w:t>
      </w:r>
      <w:r w:rsidRPr="00E70AD3">
        <w:t xml:space="preserve">, legal, administrative and </w:t>
      </w:r>
      <w:r w:rsidR="00B95B8A">
        <w:t>economic</w:t>
      </w:r>
      <w:r w:rsidRPr="000D71CC">
        <w:t xml:space="preserve"> </w:t>
      </w:r>
      <w:r>
        <w:t>authority</w:t>
      </w:r>
      <w:r w:rsidRPr="00E70AD3">
        <w:t xml:space="preserve"> of the diocese or archdiocese. It is led by a priest appointed by the bishop</w:t>
      </w:r>
      <w:r w:rsidRPr="000D71CC" w:rsidR="00090354">
        <w:t>.</w:t>
      </w:r>
      <w:r>
        <w:t>”</w:t>
      </w:r>
    </w:p>
    <w:p w:rsidRPr="000D71CC" w:rsidR="00090354" w:rsidP="00090354" w:rsidRDefault="00090354">
      <w:pPr>
        <w:pStyle w:val="JuHArticle"/>
      </w:pPr>
      <w:r w:rsidRPr="000D71CC">
        <w:t>Article 50</w:t>
      </w:r>
    </w:p>
    <w:p w:rsidRPr="000D71CC" w:rsidR="00090354" w:rsidP="00E70AD3" w:rsidRDefault="00E70AD3">
      <w:pPr>
        <w:pStyle w:val="JuQuot"/>
      </w:pPr>
      <w:r>
        <w:t>“</w:t>
      </w:r>
      <w:r w:rsidRPr="00E70AD3">
        <w:t xml:space="preserve">Without </w:t>
      </w:r>
      <w:r>
        <w:t xml:space="preserve">the </w:t>
      </w:r>
      <w:r w:rsidR="00A619B4">
        <w:t>bishop</w:t>
      </w:r>
      <w:r w:rsidR="00F47D5E">
        <w:t>’</w:t>
      </w:r>
      <w:r w:rsidR="00A619B4">
        <w:t xml:space="preserve">s </w:t>
      </w:r>
      <w:r w:rsidRPr="00E70AD3">
        <w:t xml:space="preserve">prior written </w:t>
      </w:r>
      <w:r>
        <w:t>consent</w:t>
      </w:r>
      <w:r w:rsidRPr="00E70AD3">
        <w:t>, the priest may not represent the parish in court</w:t>
      </w:r>
      <w:r>
        <w:t xml:space="preserve"> proceedings</w:t>
      </w:r>
      <w:r w:rsidRPr="00E70AD3">
        <w:t xml:space="preserve"> or </w:t>
      </w:r>
      <w:r>
        <w:t>in dealings with</w:t>
      </w:r>
      <w:r w:rsidRPr="00E70AD3">
        <w:t xml:space="preserve"> the authorities or third parties. </w:t>
      </w:r>
      <w:r>
        <w:t>By virtue of</w:t>
      </w:r>
      <w:r w:rsidRPr="00E70AD3">
        <w:t xml:space="preserve"> the oath of obedience </w:t>
      </w:r>
      <w:r>
        <w:t xml:space="preserve">taken at the time of </w:t>
      </w:r>
      <w:r w:rsidRPr="00E70AD3">
        <w:t xml:space="preserve">their ordination, </w:t>
      </w:r>
      <w:r w:rsidR="00133BD2">
        <w:t xml:space="preserve">members of </w:t>
      </w:r>
      <w:r w:rsidRPr="00E70AD3">
        <w:t xml:space="preserve">the clergy and monks </w:t>
      </w:r>
      <w:r w:rsidR="00133BD2">
        <w:t xml:space="preserve">may </w:t>
      </w:r>
      <w:r w:rsidRPr="00E70AD3">
        <w:t xml:space="preserve">not </w:t>
      </w:r>
      <w:r w:rsidR="009C5158">
        <w:t xml:space="preserve">take part in court proceedings save with </w:t>
      </w:r>
      <w:r w:rsidRPr="00E70AD3">
        <w:t>the prior written permission of the bishop</w:t>
      </w:r>
      <w:r w:rsidRPr="000D71CC" w:rsidR="00090354">
        <w:t>.</w:t>
      </w:r>
      <w:r w:rsidR="009C5158">
        <w:t>”</w:t>
      </w:r>
    </w:p>
    <w:p w:rsidRPr="000D71CC" w:rsidR="00090354" w:rsidP="00090354" w:rsidRDefault="00090354">
      <w:pPr>
        <w:pStyle w:val="JuHArticle"/>
      </w:pPr>
      <w:r w:rsidRPr="000D71CC">
        <w:t>Article 52</w:t>
      </w:r>
    </w:p>
    <w:p w:rsidRPr="000D71CC" w:rsidR="00090354" w:rsidP="009C5158" w:rsidRDefault="009C5158">
      <w:pPr>
        <w:pStyle w:val="JuQuot"/>
      </w:pPr>
      <w:r>
        <w:t>“P</w:t>
      </w:r>
      <w:r w:rsidRPr="009C5158">
        <w:t xml:space="preserve">riests and other church </w:t>
      </w:r>
      <w:r w:rsidR="00A619B4">
        <w:t>staff</w:t>
      </w:r>
      <w:r w:rsidRPr="009C5158">
        <w:t xml:space="preserve"> have the rights and are bound by the obligations </w:t>
      </w:r>
      <w:r>
        <w:t>set forth</w:t>
      </w:r>
      <w:r w:rsidRPr="009C5158">
        <w:t xml:space="preserve"> in the </w:t>
      </w:r>
      <w:r w:rsidR="00730CE5">
        <w:t>Holy C</w:t>
      </w:r>
      <w:r w:rsidRPr="009C5158">
        <w:t xml:space="preserve">anons, this Statute, </w:t>
      </w:r>
      <w:r>
        <w:t>church</w:t>
      </w:r>
      <w:r w:rsidRPr="009C5158">
        <w:t xml:space="preserve"> </w:t>
      </w:r>
      <w:r>
        <w:t>regulations</w:t>
      </w:r>
      <w:r w:rsidRPr="009C5158">
        <w:t xml:space="preserve"> and the decisions of the archdiocese</w:t>
      </w:r>
      <w:r>
        <w:t>.”</w:t>
      </w:r>
    </w:p>
    <w:p w:rsidRPr="000D71CC" w:rsidR="00090354" w:rsidP="00090354" w:rsidRDefault="00090354">
      <w:pPr>
        <w:pStyle w:val="JuHArticle"/>
      </w:pPr>
      <w:r w:rsidRPr="000D71CC">
        <w:t>Article 88</w:t>
      </w:r>
    </w:p>
    <w:p w:rsidRPr="000D71CC" w:rsidR="00090354" w:rsidP="009C5158" w:rsidRDefault="009C5158">
      <w:pPr>
        <w:pStyle w:val="JuQuot"/>
      </w:pPr>
      <w:r>
        <w:t>“</w:t>
      </w:r>
      <w:r w:rsidRPr="009C5158">
        <w:t xml:space="preserve">The bishop </w:t>
      </w:r>
      <w:r>
        <w:t xml:space="preserve">... </w:t>
      </w:r>
      <w:r w:rsidR="0020475F">
        <w:t>shall order</w:t>
      </w:r>
      <w:r w:rsidRPr="009C5158">
        <w:t xml:space="preserve"> the appointment, transfer or dismissal of clergy and l</w:t>
      </w:r>
      <w:r>
        <w:t>a</w:t>
      </w:r>
      <w:r w:rsidRPr="009C5158">
        <w:t>y</w:t>
      </w:r>
      <w:r>
        <w:t xml:space="preserve"> </w:t>
      </w:r>
      <w:r w:rsidR="00A619B4">
        <w:t>staff</w:t>
      </w:r>
      <w:r>
        <w:t xml:space="preserve"> in the various parishes </w:t>
      </w:r>
      <w:r w:rsidRPr="009C5158">
        <w:t xml:space="preserve">... He </w:t>
      </w:r>
      <w:r w:rsidR="0020475F">
        <w:t>shall ensure</w:t>
      </w:r>
      <w:r>
        <w:t xml:space="preserve"> the observance of discipline by members of the clergy and lay </w:t>
      </w:r>
      <w:r w:rsidR="004B0CCB">
        <w:t>staff</w:t>
      </w:r>
      <w:r>
        <w:t xml:space="preserve"> in his diocese</w:t>
      </w:r>
      <w:r w:rsidRPr="009C5158">
        <w:t xml:space="preserve">, </w:t>
      </w:r>
      <w:r>
        <w:t xml:space="preserve">whether </w:t>
      </w:r>
      <w:r w:rsidRPr="009C5158">
        <w:t>directly or through ecclesiastical bodies</w:t>
      </w:r>
      <w:r w:rsidRPr="000D71CC" w:rsidR="00090354">
        <w:t>.</w:t>
      </w:r>
      <w:r>
        <w:t>”</w:t>
      </w:r>
    </w:p>
    <w:p w:rsidRPr="000D71CC" w:rsidR="00090354" w:rsidP="00090354" w:rsidRDefault="00090354">
      <w:pPr>
        <w:pStyle w:val="JuHArticle"/>
      </w:pPr>
      <w:r w:rsidRPr="000D71CC">
        <w:t>Article 123</w:t>
      </w:r>
    </w:p>
    <w:p w:rsidR="009C5158" w:rsidP="009C5158" w:rsidRDefault="009C5158">
      <w:pPr>
        <w:pStyle w:val="JuQuot"/>
      </w:pPr>
      <w:r>
        <w:t xml:space="preserve">“Members of the clergy </w:t>
      </w:r>
      <w:r w:rsidR="004B0CCB">
        <w:t>shall</w:t>
      </w:r>
      <w:r>
        <w:t xml:space="preserve"> serve the diocese in accordance with the duties they have freely assumed and with the vows and </w:t>
      </w:r>
      <w:r w:rsidR="00A619B4">
        <w:t xml:space="preserve">the solemn </w:t>
      </w:r>
      <w:r>
        <w:t xml:space="preserve">public undertaking they </w:t>
      </w:r>
      <w:r w:rsidR="00A619B4">
        <w:t xml:space="preserve">have </w:t>
      </w:r>
      <w:r>
        <w:t xml:space="preserve">read out and signed </w:t>
      </w:r>
      <w:r w:rsidR="00355F3B">
        <w:t>prior to</w:t>
      </w:r>
      <w:r>
        <w:t xml:space="preserve"> their ordination. Before commencing their pastoral </w:t>
      </w:r>
      <w:r w:rsidR="00271B80">
        <w:t>functions</w:t>
      </w:r>
      <w:r>
        <w:t xml:space="preserve">, they shall receive a decision </w:t>
      </w:r>
      <w:r w:rsidR="00271B80">
        <w:t>from</w:t>
      </w:r>
      <w:r>
        <w:t xml:space="preserve"> the bishop</w:t>
      </w:r>
      <w:r w:rsidR="00271B80">
        <w:t xml:space="preserve"> setting out their r</w:t>
      </w:r>
      <w:r>
        <w:t>ights and duties.</w:t>
      </w:r>
    </w:p>
    <w:p w:rsidR="009C5158" w:rsidP="009C5158" w:rsidRDefault="009C5158">
      <w:pPr>
        <w:pStyle w:val="JuQuot"/>
      </w:pPr>
      <w:r>
        <w:t>Without the</w:t>
      </w:r>
      <w:r w:rsidR="00355F3B">
        <w:t xml:space="preserve"> bishop</w:t>
      </w:r>
      <w:r w:rsidR="00F47D5E">
        <w:t>’</w:t>
      </w:r>
      <w:r w:rsidR="00355F3B">
        <w:t>s</w:t>
      </w:r>
      <w:r>
        <w:t xml:space="preserve"> blessing, no priests, deacons </w:t>
      </w:r>
      <w:r w:rsidR="00271B80">
        <w:t>or</w:t>
      </w:r>
      <w:r>
        <w:t xml:space="preserve"> monks </w:t>
      </w:r>
      <w:r w:rsidR="00271B80">
        <w:t>may</w:t>
      </w:r>
      <w:r w:rsidR="00A619B4">
        <w:t xml:space="preserve"> form,</w:t>
      </w:r>
      <w:r w:rsidR="00271B80">
        <w:t xml:space="preserve"> be members of or take part in </w:t>
      </w:r>
      <w:r>
        <w:t>association</w:t>
      </w:r>
      <w:r w:rsidR="00271B80">
        <w:t>s</w:t>
      </w:r>
      <w:r>
        <w:t>, foundation</w:t>
      </w:r>
      <w:r w:rsidR="00271B80">
        <w:t>s</w:t>
      </w:r>
      <w:r>
        <w:t xml:space="preserve"> or other organi</w:t>
      </w:r>
      <w:r w:rsidR="00271B80">
        <w:t>sations of any kind</w:t>
      </w:r>
      <w:r>
        <w:t>.</w:t>
      </w:r>
    </w:p>
    <w:p w:rsidRPr="000D71CC" w:rsidR="00090354" w:rsidP="00090354" w:rsidRDefault="009C5158">
      <w:pPr>
        <w:pStyle w:val="JuQuot"/>
      </w:pPr>
      <w:r>
        <w:t xml:space="preserve">The status of priest, deacon or monk is incompatible with the </w:t>
      </w:r>
      <w:r w:rsidR="00271B80">
        <w:t>pursuit</w:t>
      </w:r>
      <w:r>
        <w:t xml:space="preserve"> of any other personal activities of an economic, financial or </w:t>
      </w:r>
      <w:r w:rsidR="00355F3B">
        <w:t>commercial</w:t>
      </w:r>
      <w:r>
        <w:t xml:space="preserve"> nature </w:t>
      </w:r>
      <w:r w:rsidR="00271B80">
        <w:t xml:space="preserve">that are </w:t>
      </w:r>
      <w:r>
        <w:t>contrary to Orthodox Christian moral</w:t>
      </w:r>
      <w:r w:rsidR="00355F3B">
        <w:t xml:space="preserve">s </w:t>
      </w:r>
      <w:r>
        <w:t>and the interests of the Church.</w:t>
      </w:r>
      <w:r w:rsidR="00271B80">
        <w:t>”</w:t>
      </w:r>
    </w:p>
    <w:p w:rsidRPr="000D71CC" w:rsidR="00090354" w:rsidP="00090354" w:rsidRDefault="00090354">
      <w:pPr>
        <w:pStyle w:val="JuHArticle"/>
      </w:pPr>
      <w:r w:rsidRPr="000D71CC">
        <w:t>Article 156</w:t>
      </w:r>
    </w:p>
    <w:p w:rsidRPr="000D71CC" w:rsidR="00090354" w:rsidP="00271B80" w:rsidRDefault="00271B80">
      <w:pPr>
        <w:pStyle w:val="JuQuot"/>
      </w:pPr>
      <w:r>
        <w:t xml:space="preserve">“By virtue of </w:t>
      </w:r>
      <w:r w:rsidRPr="00271B80">
        <w:t xml:space="preserve">the autonomy of religious communities under the law, the ecclesiastical courts </w:t>
      </w:r>
      <w:r>
        <w:t xml:space="preserve">shall </w:t>
      </w:r>
      <w:r w:rsidRPr="00271B80">
        <w:t xml:space="preserve">resolve </w:t>
      </w:r>
      <w:r>
        <w:t>matters</w:t>
      </w:r>
      <w:r w:rsidRPr="00271B80">
        <w:t xml:space="preserve"> of internal discipline. Their decisions are not subject to appeal </w:t>
      </w:r>
      <w:r>
        <w:t>in</w:t>
      </w:r>
      <w:r w:rsidRPr="00271B80">
        <w:t xml:space="preserve"> the civil courts</w:t>
      </w:r>
      <w:r>
        <w:t>.”</w:t>
      </w:r>
    </w:p>
    <w:p w:rsidRPr="000D71CC" w:rsidR="00090354" w:rsidP="00090354" w:rsidRDefault="007E645B">
      <w:pPr>
        <w:pStyle w:val="JuHA"/>
      </w:pPr>
      <w:r w:rsidRPr="000D71CC">
        <w:t>B.  </w:t>
      </w:r>
      <w:r w:rsidRPr="000D71CC" w:rsidR="00090354">
        <w:t>Domestic practice</w:t>
      </w:r>
    </w:p>
    <w:p w:rsidRPr="000D71CC" w:rsidR="00090354" w:rsidP="00090354" w:rsidRDefault="007E645B">
      <w:pPr>
        <w:pStyle w:val="JuH1"/>
      </w:pPr>
      <w:r w:rsidRPr="000D71CC">
        <w:t>1.  </w:t>
      </w:r>
      <w:r w:rsidRPr="000D71CC" w:rsidR="00090354">
        <w:t>Case-law of the domestic courts</w:t>
      </w:r>
    </w:p>
    <w:p w:rsidRPr="000D71CC" w:rsidR="00090354" w:rsidP="00090354" w:rsidRDefault="006C32FF">
      <w:pPr>
        <w:pStyle w:val="JuPara"/>
      </w:pPr>
      <w:r>
        <w:fldChar w:fldCharType="begin"/>
      </w:r>
      <w:r>
        <w:instrText xml:space="preserve"> SEQ level0 \*arabic </w:instrText>
      </w:r>
      <w:r>
        <w:fldChar w:fldCharType="separate"/>
      </w:r>
      <w:r w:rsidR="00F47D5E">
        <w:rPr>
          <w:noProof/>
        </w:rPr>
        <w:t>27</w:t>
      </w:r>
      <w:r>
        <w:fldChar w:fldCharType="end"/>
      </w:r>
      <w:r>
        <w:t>.  </w:t>
      </w:r>
      <w:r w:rsidR="003B64AC">
        <w:t>In a</w:t>
      </w:r>
      <w:r w:rsidRPr="000D71CC" w:rsidR="00090354">
        <w:t xml:space="preserve"> </w:t>
      </w:r>
      <w:r w:rsidRPr="000D71CC" w:rsidR="009D4FA5">
        <w:t>judgment of 1</w:t>
      </w:r>
      <w:r w:rsidRPr="000D71CC" w:rsidR="00090354">
        <w:t xml:space="preserve">9 </w:t>
      </w:r>
      <w:r w:rsidRPr="000D71CC" w:rsidR="009D4FA5">
        <w:t>September</w:t>
      </w:r>
      <w:r w:rsidRPr="000D71CC" w:rsidR="00090354">
        <w:t xml:space="preserve"> 2005 </w:t>
      </w:r>
      <w:r w:rsidR="003B64AC">
        <w:t xml:space="preserve">the High </w:t>
      </w:r>
      <w:r w:rsidRPr="000D71CC" w:rsidR="00090354">
        <w:t>Cour</w:t>
      </w:r>
      <w:r w:rsidR="003B64AC">
        <w:t>t</w:t>
      </w:r>
      <w:r w:rsidRPr="000D71CC" w:rsidR="00090354">
        <w:t xml:space="preserve"> </w:t>
      </w:r>
      <w:r w:rsidR="00AA159E">
        <w:t xml:space="preserve">held that it had jurisdiction to </w:t>
      </w:r>
      <w:r w:rsidR="00EA19B2">
        <w:t>review</w:t>
      </w:r>
      <w:r w:rsidRPr="00EA19B2" w:rsidR="00EA19B2">
        <w:t xml:space="preserve"> the </w:t>
      </w:r>
      <w:r w:rsidR="00EA19B2">
        <w:t>lawfulness</w:t>
      </w:r>
      <w:r w:rsidRPr="00EA19B2" w:rsidR="00EA19B2">
        <w:t xml:space="preserve"> of the dismissal or </w:t>
      </w:r>
      <w:r w:rsidR="00EA19B2">
        <w:t xml:space="preserve">enforced </w:t>
      </w:r>
      <w:r w:rsidRPr="00EA19B2" w:rsidR="00EA19B2">
        <w:t xml:space="preserve">retirement of Orthodox priests, </w:t>
      </w:r>
      <w:r w:rsidR="00EA19B2">
        <w:t>seeing that</w:t>
      </w:r>
      <w:r w:rsidRPr="00EA19B2" w:rsidR="00EA19B2">
        <w:t xml:space="preserve"> employees of the Orthodox Church </w:t>
      </w:r>
      <w:r w:rsidR="00EA19B2">
        <w:t>were covered by the</w:t>
      </w:r>
      <w:r w:rsidRPr="00EA19B2" w:rsidR="00EA19B2">
        <w:t xml:space="preserve"> general </w:t>
      </w:r>
      <w:r w:rsidR="00285CD0">
        <w:t>social-</w:t>
      </w:r>
      <w:r w:rsidRPr="00EA19B2" w:rsidR="00EA19B2">
        <w:t xml:space="preserve">security </w:t>
      </w:r>
      <w:r w:rsidR="00285CD0">
        <w:t xml:space="preserve">scheme </w:t>
      </w:r>
      <w:r w:rsidRPr="00EA19B2" w:rsidR="00EA19B2">
        <w:t xml:space="preserve">and, </w:t>
      </w:r>
      <w:r w:rsidR="00355F3B">
        <w:t>as a result</w:t>
      </w:r>
      <w:r w:rsidRPr="00EA19B2" w:rsidR="00EA19B2">
        <w:t xml:space="preserve">, the </w:t>
      </w:r>
      <w:r w:rsidR="00285CD0">
        <w:t>statutory</w:t>
      </w:r>
      <w:r w:rsidRPr="00EA19B2" w:rsidR="00EA19B2">
        <w:t xml:space="preserve"> provisions on social insurance. T</w:t>
      </w:r>
      <w:r w:rsidR="00285CD0">
        <w:t>hat</w:t>
      </w:r>
      <w:r w:rsidRPr="00EA19B2" w:rsidR="00EA19B2">
        <w:t xml:space="preserve"> position was confirmed </w:t>
      </w:r>
      <w:r w:rsidR="00355F3B">
        <w:t>in</w:t>
      </w:r>
      <w:r w:rsidRPr="00EA19B2" w:rsidR="00EA19B2">
        <w:t xml:space="preserve"> two </w:t>
      </w:r>
      <w:r w:rsidR="00D11F25">
        <w:t xml:space="preserve">judgments </w:t>
      </w:r>
      <w:r w:rsidR="00285CD0">
        <w:t>delivered by the</w:t>
      </w:r>
      <w:r w:rsidRPr="000D71CC" w:rsidR="00D11F25">
        <w:t xml:space="preserve"> Cluj and Iaşi </w:t>
      </w:r>
      <w:r w:rsidR="00D11F25">
        <w:t>C</w:t>
      </w:r>
      <w:r w:rsidRPr="000D71CC" w:rsidR="00090354">
        <w:t>our</w:t>
      </w:r>
      <w:r w:rsidR="00D11F25">
        <w:t>t</w:t>
      </w:r>
      <w:r w:rsidRPr="000D71CC" w:rsidR="00090354">
        <w:t xml:space="preserve">s </w:t>
      </w:r>
      <w:r w:rsidR="00D11F25">
        <w:t>of A</w:t>
      </w:r>
      <w:r w:rsidRPr="000D71CC" w:rsidR="00090354">
        <w:t>ppe</w:t>
      </w:r>
      <w:r w:rsidR="00D11F25">
        <w:t>a</w:t>
      </w:r>
      <w:r w:rsidRPr="000D71CC" w:rsidR="00090354">
        <w:t xml:space="preserve">l </w:t>
      </w:r>
      <w:r w:rsidR="00285CD0">
        <w:t>on 3 </w:t>
      </w:r>
      <w:r w:rsidRPr="000D71CC" w:rsidR="009D4FA5">
        <w:t>February</w:t>
      </w:r>
      <w:r w:rsidRPr="000D71CC" w:rsidR="00090354">
        <w:t xml:space="preserve"> 1998 </w:t>
      </w:r>
      <w:r w:rsidRPr="000D71CC" w:rsidR="009D4FA5">
        <w:t>and</w:t>
      </w:r>
      <w:r w:rsidRPr="000D71CC" w:rsidR="00090354">
        <w:t xml:space="preserve"> 3 </w:t>
      </w:r>
      <w:r w:rsidRPr="000D71CC" w:rsidR="009D4FA5">
        <w:t>June</w:t>
      </w:r>
      <w:r w:rsidRPr="000D71CC" w:rsidR="00090354">
        <w:t xml:space="preserve"> 2008</w:t>
      </w:r>
      <w:r w:rsidR="00285CD0">
        <w:t xml:space="preserve"> respectively</w:t>
      </w:r>
      <w:r w:rsidRPr="000D71CC" w:rsidR="00090354">
        <w:t>.</w:t>
      </w:r>
    </w:p>
    <w:p w:rsidRPr="000D71CC" w:rsidR="00090354" w:rsidP="00090354" w:rsidRDefault="006C32FF">
      <w:pPr>
        <w:pStyle w:val="JuPara"/>
      </w:pPr>
      <w:r>
        <w:fldChar w:fldCharType="begin"/>
      </w:r>
      <w:r>
        <w:instrText xml:space="preserve"> SEQ level0 \*arabic </w:instrText>
      </w:r>
      <w:r>
        <w:fldChar w:fldCharType="separate"/>
      </w:r>
      <w:r w:rsidR="00F47D5E">
        <w:rPr>
          <w:noProof/>
        </w:rPr>
        <w:t>28</w:t>
      </w:r>
      <w:r>
        <w:fldChar w:fldCharType="end"/>
      </w:r>
      <w:r>
        <w:t>.  </w:t>
      </w:r>
      <w:r w:rsidR="00285CD0">
        <w:t>In its</w:t>
      </w:r>
      <w:r w:rsidRPr="000D71CC" w:rsidR="00090354">
        <w:t xml:space="preserve"> </w:t>
      </w:r>
      <w:r w:rsidRPr="000D71CC" w:rsidR="009D4FA5">
        <w:t>judgment of 3</w:t>
      </w:r>
      <w:r w:rsidRPr="000D71CC" w:rsidR="00090354">
        <w:t xml:space="preserve"> </w:t>
      </w:r>
      <w:r w:rsidRPr="000D71CC" w:rsidR="009D4FA5">
        <w:t>June</w:t>
      </w:r>
      <w:r w:rsidRPr="000D71CC" w:rsidR="00090354">
        <w:t xml:space="preserve"> 2008 </w:t>
      </w:r>
      <w:r w:rsidRPr="000D71CC" w:rsidR="009D4FA5">
        <w:t xml:space="preserve">the </w:t>
      </w:r>
      <w:r w:rsidRPr="000D71CC" w:rsidR="00285CD0">
        <w:t xml:space="preserve">Iaşi </w:t>
      </w:r>
      <w:r w:rsidRPr="000D71CC" w:rsidR="009D4FA5">
        <w:t>Court of Appeal</w:t>
      </w:r>
      <w:r w:rsidRPr="000D71CC" w:rsidR="00090354">
        <w:t xml:space="preserve"> </w:t>
      </w:r>
      <w:r w:rsidR="00285CD0">
        <w:t xml:space="preserve">was required to determine </w:t>
      </w:r>
      <w:r w:rsidRPr="00285CD0" w:rsidR="00285CD0">
        <w:t xml:space="preserve">a case in which the </w:t>
      </w:r>
      <w:r w:rsidR="00285CD0">
        <w:t>appellant</w:t>
      </w:r>
      <w:r w:rsidRPr="00285CD0" w:rsidR="00285CD0">
        <w:t xml:space="preserve">, an Orthodox priest, challenged </w:t>
      </w:r>
      <w:r w:rsidR="00285CD0">
        <w:t xml:space="preserve">his enforced </w:t>
      </w:r>
      <w:r w:rsidRPr="00285CD0" w:rsidR="00285CD0">
        <w:t xml:space="preserve">retirement </w:t>
      </w:r>
      <w:r w:rsidR="00285CD0">
        <w:t>on grounds of age</w:t>
      </w:r>
      <w:r w:rsidRPr="00285CD0" w:rsidR="00285CD0">
        <w:t xml:space="preserve">, arguing that the measure was motivated by his </w:t>
      </w:r>
      <w:r w:rsidR="00285CD0">
        <w:t xml:space="preserve">membership of </w:t>
      </w:r>
      <w:r w:rsidRPr="00285CD0" w:rsidR="00285CD0">
        <w:t>the Sfântul Mare Mucenic Gheorghe</w:t>
      </w:r>
      <w:r w:rsidR="00285CD0">
        <w:t xml:space="preserve"> union of </w:t>
      </w:r>
      <w:r w:rsidRPr="00285CD0" w:rsidR="00285CD0">
        <w:t xml:space="preserve">Orthodox clergy. It rejected the </w:t>
      </w:r>
      <w:r w:rsidR="00285CD0">
        <w:t>priest</w:t>
      </w:r>
      <w:r w:rsidR="00F47D5E">
        <w:t>’</w:t>
      </w:r>
      <w:r w:rsidR="00285CD0">
        <w:t xml:space="preserve">s </w:t>
      </w:r>
      <w:r w:rsidRPr="00285CD0" w:rsidR="00285CD0">
        <w:t xml:space="preserve">argument, observing that the decision </w:t>
      </w:r>
      <w:r w:rsidR="00355F3B">
        <w:t xml:space="preserve">on his enforced retirement </w:t>
      </w:r>
      <w:r w:rsidR="00285CD0">
        <w:t>had been</w:t>
      </w:r>
      <w:r w:rsidRPr="00285CD0" w:rsidR="00285CD0">
        <w:t xml:space="preserve"> taken before the union</w:t>
      </w:r>
      <w:r w:rsidR="00285CD0">
        <w:t xml:space="preserve"> had been </w:t>
      </w:r>
      <w:r w:rsidR="00A619B4">
        <w:t>established.</w:t>
      </w:r>
    </w:p>
    <w:p w:rsidRPr="000D71CC" w:rsidR="00090354" w:rsidP="00090354" w:rsidRDefault="006C32FF">
      <w:pPr>
        <w:pStyle w:val="JuPara"/>
      </w:pPr>
      <w:r>
        <w:fldChar w:fldCharType="begin"/>
      </w:r>
      <w:r>
        <w:instrText xml:space="preserve"> SEQ level0 \*arabic </w:instrText>
      </w:r>
      <w:r>
        <w:fldChar w:fldCharType="separate"/>
      </w:r>
      <w:r w:rsidR="00F47D5E">
        <w:rPr>
          <w:noProof/>
        </w:rPr>
        <w:t>29</w:t>
      </w:r>
      <w:r>
        <w:fldChar w:fldCharType="end"/>
      </w:r>
      <w:r>
        <w:t>.  </w:t>
      </w:r>
      <w:r w:rsidR="00285CD0">
        <w:t xml:space="preserve">In a </w:t>
      </w:r>
      <w:r w:rsidRPr="000D71CC" w:rsidR="009D4FA5">
        <w:t>judgment of 4</w:t>
      </w:r>
      <w:r w:rsidRPr="000D71CC" w:rsidR="00090354">
        <w:t xml:space="preserve"> </w:t>
      </w:r>
      <w:r w:rsidRPr="000D71CC" w:rsidR="009D4FA5">
        <w:t>February</w:t>
      </w:r>
      <w:r w:rsidRPr="000D71CC" w:rsidR="00090354">
        <w:t xml:space="preserve"> 2010 </w:t>
      </w:r>
      <w:r w:rsidR="00285CD0">
        <w:t>the High</w:t>
      </w:r>
      <w:r w:rsidRPr="000D71CC" w:rsidR="00090354">
        <w:t xml:space="preserve"> </w:t>
      </w:r>
      <w:r w:rsidR="00285CD0">
        <w:t xml:space="preserve">Court of </w:t>
      </w:r>
      <w:r w:rsidRPr="000D71CC" w:rsidR="00090354">
        <w:t xml:space="preserve">Justice </w:t>
      </w:r>
      <w:r w:rsidRPr="000D71CC" w:rsidR="009D4FA5">
        <w:t>and</w:t>
      </w:r>
      <w:r w:rsidRPr="000D71CC" w:rsidR="00090354">
        <w:t xml:space="preserve"> </w:t>
      </w:r>
      <w:r w:rsidR="00285CD0">
        <w:t>C</w:t>
      </w:r>
      <w:r w:rsidRPr="000D71CC" w:rsidR="00090354">
        <w:t xml:space="preserve">assation, </w:t>
      </w:r>
      <w:r w:rsidR="00285CD0">
        <w:t>on an appeal by</w:t>
      </w:r>
      <w:r w:rsidRPr="00285CD0" w:rsidR="00285CD0">
        <w:t xml:space="preserve"> an Orthodox priest </w:t>
      </w:r>
      <w:r w:rsidR="00285CD0">
        <w:t>against</w:t>
      </w:r>
      <w:r w:rsidRPr="00285CD0" w:rsidR="00285CD0">
        <w:t xml:space="preserve"> the refusal of the Labour Inspectorate to </w:t>
      </w:r>
      <w:r w:rsidR="00285CD0">
        <w:t>review</w:t>
      </w:r>
      <w:r w:rsidRPr="00285CD0" w:rsidR="00285CD0">
        <w:t xml:space="preserve"> the application of labo</w:t>
      </w:r>
      <w:r w:rsidR="00285CD0">
        <w:t>u</w:t>
      </w:r>
      <w:r w:rsidRPr="00285CD0" w:rsidR="00285CD0">
        <w:t xml:space="preserve">r law by the </w:t>
      </w:r>
      <w:r w:rsidR="00285CD0">
        <w:t>diocese</w:t>
      </w:r>
      <w:r w:rsidRPr="00285CD0" w:rsidR="00285CD0">
        <w:t xml:space="preserve"> (his employer), upheld the </w:t>
      </w:r>
      <w:r w:rsidR="00285CD0">
        <w:t>refusal</w:t>
      </w:r>
      <w:r w:rsidRPr="00285CD0" w:rsidR="00285CD0">
        <w:t xml:space="preserve">, </w:t>
      </w:r>
      <w:r w:rsidR="00285CD0">
        <w:t>holding that in matters</w:t>
      </w:r>
      <w:r w:rsidRPr="00285CD0" w:rsidR="00285CD0">
        <w:t xml:space="preserve"> of internal discipline</w:t>
      </w:r>
      <w:r w:rsidR="00285CD0">
        <w:t>,</w:t>
      </w:r>
      <w:r w:rsidRPr="00285CD0" w:rsidR="00285CD0">
        <w:t xml:space="preserve"> the provisions </w:t>
      </w:r>
      <w:r w:rsidR="00285CD0">
        <w:t xml:space="preserve">of internal regulations </w:t>
      </w:r>
      <w:r w:rsidR="00355F3B">
        <w:t xml:space="preserve">alone </w:t>
      </w:r>
      <w:r w:rsidRPr="00285CD0" w:rsidR="00285CD0">
        <w:t>were applicable</w:t>
      </w:r>
      <w:r w:rsidRPr="000D71CC" w:rsidR="00090354">
        <w:t>.</w:t>
      </w:r>
    </w:p>
    <w:p w:rsidRPr="000D71CC" w:rsidR="00090354" w:rsidP="00090354" w:rsidRDefault="007E645B">
      <w:pPr>
        <w:pStyle w:val="JuH1"/>
      </w:pPr>
      <w:r w:rsidRPr="000D71CC">
        <w:t>2.  </w:t>
      </w:r>
      <w:r w:rsidRPr="000D71CC" w:rsidR="00090354">
        <w:t>Domestic practice concern</w:t>
      </w:r>
      <w:r w:rsidR="00285CD0">
        <w:t xml:space="preserve">ing the establishment of trade unions </w:t>
      </w:r>
      <w:r w:rsidR="00355F3B">
        <w:t>within</w:t>
      </w:r>
      <w:r w:rsidR="00285CD0">
        <w:t xml:space="preserve"> the </w:t>
      </w:r>
      <w:r w:rsidRPr="000D71CC" w:rsidR="00090354">
        <w:t>clerg</w:t>
      </w:r>
      <w:r w:rsidR="00285CD0">
        <w:t>y</w:t>
      </w:r>
    </w:p>
    <w:p w:rsidRPr="000D71CC" w:rsidR="00090354" w:rsidP="00090354" w:rsidRDefault="006C32FF">
      <w:pPr>
        <w:pStyle w:val="JuPara"/>
      </w:pPr>
      <w:r>
        <w:fldChar w:fldCharType="begin"/>
      </w:r>
      <w:r>
        <w:instrText xml:space="preserve"> SEQ level0 \*arabic </w:instrText>
      </w:r>
      <w:r>
        <w:fldChar w:fldCharType="separate"/>
      </w:r>
      <w:r w:rsidR="00F47D5E">
        <w:rPr>
          <w:noProof/>
        </w:rPr>
        <w:t>30</w:t>
      </w:r>
      <w:r>
        <w:fldChar w:fldCharType="end"/>
      </w:r>
      <w:r>
        <w:t>.  </w:t>
      </w:r>
      <w:r w:rsidR="00285CD0">
        <w:t>In a final judgment of</w:t>
      </w:r>
      <w:r w:rsidRPr="000D71CC" w:rsidR="00090354">
        <w:t xml:space="preserve"> 4 </w:t>
      </w:r>
      <w:r w:rsidRPr="000D71CC" w:rsidR="009D4FA5">
        <w:t>October</w:t>
      </w:r>
      <w:r w:rsidRPr="000D71CC" w:rsidR="00090354">
        <w:t xml:space="preserve"> 1990 </w:t>
      </w:r>
      <w:r w:rsidR="004646CB">
        <w:t xml:space="preserve">the </w:t>
      </w:r>
      <w:r w:rsidRPr="000D71CC" w:rsidR="00090354">
        <w:t xml:space="preserve">Medgidia </w:t>
      </w:r>
      <w:r w:rsidR="004646CB">
        <w:t xml:space="preserve">Court of First Instance </w:t>
      </w:r>
      <w:r w:rsidR="0065272A">
        <w:t xml:space="preserve">ordered the entry of </w:t>
      </w:r>
      <w:r w:rsidRPr="0065272A" w:rsidR="0065272A">
        <w:t>Solidaritatea</w:t>
      </w:r>
      <w:r w:rsidR="0065272A">
        <w:t>, a</w:t>
      </w:r>
      <w:r w:rsidRPr="0065272A" w:rsidR="0065272A">
        <w:t xml:space="preserve"> union</w:t>
      </w:r>
      <w:r w:rsidR="0065272A">
        <w:t xml:space="preserve"> of</w:t>
      </w:r>
      <w:r w:rsidRPr="0065272A" w:rsidR="0065272A">
        <w:t xml:space="preserve"> Orthodox clergy of the Archdiocese of Tomis </w:t>
      </w:r>
      <w:r w:rsidR="002648B1">
        <w:t>(</w:t>
      </w:r>
      <w:r w:rsidRPr="0065272A" w:rsidR="0065272A">
        <w:t>Constanţa</w:t>
      </w:r>
      <w:r w:rsidR="002648B1">
        <w:t>)</w:t>
      </w:r>
      <w:r w:rsidRPr="0065272A" w:rsidR="0065272A">
        <w:t xml:space="preserve">, </w:t>
      </w:r>
      <w:r w:rsidR="003813C7">
        <w:t xml:space="preserve">in the register of trade unions </w:t>
      </w:r>
      <w:r w:rsidRPr="0065272A" w:rsidR="0065272A">
        <w:t>and granted it legal personality</w:t>
      </w:r>
      <w:r w:rsidRPr="000D71CC" w:rsidR="00090354">
        <w:t>.</w:t>
      </w:r>
    </w:p>
    <w:p w:rsidRPr="000D71CC" w:rsidR="00090354" w:rsidP="00090354" w:rsidRDefault="006C32FF">
      <w:pPr>
        <w:pStyle w:val="JuPara"/>
      </w:pPr>
      <w:r>
        <w:fldChar w:fldCharType="begin"/>
      </w:r>
      <w:r>
        <w:instrText xml:space="preserve"> SEQ level0 \*arabic </w:instrText>
      </w:r>
      <w:r>
        <w:fldChar w:fldCharType="separate"/>
      </w:r>
      <w:r w:rsidR="00F47D5E">
        <w:rPr>
          <w:noProof/>
        </w:rPr>
        <w:t>31</w:t>
      </w:r>
      <w:r>
        <w:fldChar w:fldCharType="end"/>
      </w:r>
      <w:r>
        <w:t>.  </w:t>
      </w:r>
      <w:r w:rsidR="002648B1">
        <w:t>It further appears from the reasoning of the</w:t>
      </w:r>
      <w:r w:rsidRPr="000D71CC" w:rsidR="00D14E06">
        <w:t xml:space="preserve"> Iaşi Court of Appeal</w:t>
      </w:r>
      <w:r w:rsidR="00F47D5E">
        <w:t>’</w:t>
      </w:r>
      <w:r w:rsidR="00D14E06">
        <w:t>s</w:t>
      </w:r>
      <w:r w:rsidRPr="000D71CC" w:rsidR="00D14E06">
        <w:t xml:space="preserve"> </w:t>
      </w:r>
      <w:r w:rsidR="002648B1">
        <w:t xml:space="preserve">above-mentioned judgment of </w:t>
      </w:r>
      <w:r w:rsidRPr="000D71CC" w:rsidR="00090354">
        <w:t xml:space="preserve">3 </w:t>
      </w:r>
      <w:r w:rsidRPr="000D71CC" w:rsidR="009D4FA5">
        <w:t>June</w:t>
      </w:r>
      <w:r w:rsidRPr="000D71CC" w:rsidR="00090354">
        <w:t xml:space="preserve"> 2008 </w:t>
      </w:r>
      <w:r w:rsidR="002648B1">
        <w:t xml:space="preserve">that the </w:t>
      </w:r>
      <w:r w:rsidRPr="00567A0B" w:rsidR="00090354">
        <w:t xml:space="preserve">Sfântul Mare Mucenic Gheorghe </w:t>
      </w:r>
      <w:r w:rsidRPr="00567A0B" w:rsidR="00567A0B">
        <w:t xml:space="preserve">union of Orthodox clergy </w:t>
      </w:r>
      <w:r w:rsidR="00567A0B">
        <w:t xml:space="preserve">was </w:t>
      </w:r>
      <w:r w:rsidRPr="00567A0B" w:rsidR="00567A0B">
        <w:t xml:space="preserve">entered in the register of trade unions and </w:t>
      </w:r>
      <w:r w:rsidR="00D14E06">
        <w:t>granted</w:t>
      </w:r>
      <w:r w:rsidRPr="00567A0B" w:rsidR="00567A0B">
        <w:t xml:space="preserve"> legal personality </w:t>
      </w:r>
      <w:r w:rsidR="00567A0B">
        <w:t xml:space="preserve">as a result of </w:t>
      </w:r>
      <w:r w:rsidR="00D14E06">
        <w:t>a</w:t>
      </w:r>
      <w:r w:rsidRPr="00567A0B" w:rsidR="00567A0B">
        <w:t xml:space="preserve"> final judgment </w:t>
      </w:r>
      <w:r w:rsidR="00567A0B">
        <w:t>delivered on 5</w:t>
      </w:r>
      <w:r w:rsidRPr="00567A0B" w:rsidR="00567A0B">
        <w:t xml:space="preserve"> June 2007 by the Hârlau</w:t>
      </w:r>
      <w:r w:rsidR="00567A0B">
        <w:t xml:space="preserve"> </w:t>
      </w:r>
      <w:r w:rsidRPr="00567A0B" w:rsidR="00567A0B">
        <w:t xml:space="preserve">Court of </w:t>
      </w:r>
      <w:r w:rsidR="00567A0B">
        <w:t>First I</w:t>
      </w:r>
      <w:r w:rsidRPr="000D71CC" w:rsidR="00090354">
        <w:t>nstance.</w:t>
      </w:r>
    </w:p>
    <w:p w:rsidRPr="000D71CC" w:rsidR="00090354" w:rsidP="00090354" w:rsidRDefault="007E645B">
      <w:pPr>
        <w:pStyle w:val="JuHA"/>
      </w:pPr>
      <w:r w:rsidRPr="000D71CC">
        <w:t>C.  </w:t>
      </w:r>
      <w:r w:rsidRPr="000D71CC" w:rsidR="00090354">
        <w:t>International law</w:t>
      </w:r>
    </w:p>
    <w:p w:rsidRPr="000D71CC" w:rsidR="00090354" w:rsidP="00090354" w:rsidRDefault="006C32FF">
      <w:pPr>
        <w:pStyle w:val="JuPara"/>
      </w:pPr>
      <w:r>
        <w:fldChar w:fldCharType="begin"/>
      </w:r>
      <w:r>
        <w:instrText xml:space="preserve"> SEQ level0 \*arabic </w:instrText>
      </w:r>
      <w:r>
        <w:fldChar w:fldCharType="separate"/>
      </w:r>
      <w:r w:rsidR="00F47D5E">
        <w:rPr>
          <w:noProof/>
        </w:rPr>
        <w:t>32</w:t>
      </w:r>
      <w:r>
        <w:fldChar w:fldCharType="end"/>
      </w:r>
      <w:r>
        <w:t>.  </w:t>
      </w:r>
      <w:r w:rsidRPr="000D71CC" w:rsidR="00090354">
        <w:t>Romania ratified the revised European Social Charter on 7 May 1999. Article 5 of the Charter, concerning the right to organise, is worded as follows</w:t>
      </w:r>
      <w:r w:rsidRPr="000D71CC" w:rsidR="009D4FA5">
        <w:t>:</w:t>
      </w:r>
    </w:p>
    <w:p w:rsidRPr="000D71CC" w:rsidR="00090354" w:rsidP="00090354" w:rsidRDefault="007E645B">
      <w:pPr>
        <w:pStyle w:val="JuQuot"/>
      </w:pPr>
      <w:r w:rsidRPr="000D71CC">
        <w:t>“</w:t>
      </w:r>
      <w:r w:rsidRPr="000D71CC" w:rsidR="00090354">
        <w:t>With a view to ensuring or promoting the freedom of workers and employers to form local, national or international organisations for the protection of their economic and social interests and to join those organisations, the Contracting Parties undertake that national law shall not be such as to impair, nor shall it be so applied as to impair, this freedom. The extent to which the guarantees provided for in this Article shall apply to the police shall be determined by national laws or regulations. The principle governing the application to the members of the armed forces of these guarantees and the extent to which they shall apply to persons in this category shall equally be determined by national laws or regulations.”</w:t>
      </w:r>
    </w:p>
    <w:p w:rsidRPr="000D71CC" w:rsidR="00090354" w:rsidP="00090354" w:rsidRDefault="006C32FF">
      <w:pPr>
        <w:pStyle w:val="JuPara"/>
      </w:pPr>
      <w:r>
        <w:fldChar w:fldCharType="begin"/>
      </w:r>
      <w:r>
        <w:instrText xml:space="preserve"> SEQ level0 \*arabic </w:instrText>
      </w:r>
      <w:r>
        <w:fldChar w:fldCharType="separate"/>
      </w:r>
      <w:r w:rsidR="00F47D5E">
        <w:rPr>
          <w:noProof/>
        </w:rPr>
        <w:t>33</w:t>
      </w:r>
      <w:r>
        <w:fldChar w:fldCharType="end"/>
      </w:r>
      <w:r>
        <w:t>.  </w:t>
      </w:r>
      <w:r w:rsidRPr="000D71CC" w:rsidR="00090354">
        <w:t>Article 12 § 1 of the Charter of Fundamental Rights of the European Union reads as follows</w:t>
      </w:r>
      <w:r w:rsidRPr="000D71CC" w:rsidR="009D4FA5">
        <w:t>:</w:t>
      </w:r>
    </w:p>
    <w:p w:rsidRPr="000D71CC" w:rsidR="00090354" w:rsidP="00090354" w:rsidRDefault="006C32FF">
      <w:pPr>
        <w:pStyle w:val="JuQuot"/>
      </w:pPr>
      <w:r>
        <w:t>“</w:t>
      </w:r>
      <w:r w:rsidRPr="006B38AC" w:rsidR="006B38AC">
        <w:t>Everyone has the right to freedom of peaceful assembly and to freedom of association at all levels, in particular in political, trade union and civic matters, which implies the right of everyone to form and to join trade unions for the protection of his or her interests</w:t>
      </w:r>
      <w:r w:rsidRPr="000D71CC" w:rsidR="00090354">
        <w:t>.</w:t>
      </w:r>
      <w:r>
        <w:t>”</w:t>
      </w:r>
    </w:p>
    <w:p w:rsidR="00ED4401" w:rsidP="00090354" w:rsidRDefault="006C32FF">
      <w:pPr>
        <w:pStyle w:val="JuPara"/>
      </w:pPr>
      <w:r>
        <w:fldChar w:fldCharType="begin"/>
      </w:r>
      <w:r>
        <w:instrText xml:space="preserve"> SEQ level0 \*arabic </w:instrText>
      </w:r>
      <w:r>
        <w:fldChar w:fldCharType="separate"/>
      </w:r>
      <w:r w:rsidR="00F47D5E">
        <w:rPr>
          <w:noProof/>
        </w:rPr>
        <w:t>34</w:t>
      </w:r>
      <w:r>
        <w:fldChar w:fldCharType="end"/>
      </w:r>
      <w:r>
        <w:t>.  </w:t>
      </w:r>
      <w:r w:rsidRPr="00452EBC" w:rsidR="00452EBC">
        <w:t>Council Directive 2000/78/EC of 27 November 2000 establishing a general framework for equal treatment in employment and occupation</w:t>
      </w:r>
      <w:r w:rsidR="00452EBC">
        <w:t xml:space="preserve"> reads as follows, in so far as relevant:</w:t>
      </w:r>
    </w:p>
    <w:p w:rsidRPr="000D71CC" w:rsidR="00090354" w:rsidP="00090354" w:rsidRDefault="00452EBC">
      <w:pPr>
        <w:pStyle w:val="JuHArticle"/>
      </w:pPr>
      <w:r>
        <w:t>Whereas:</w:t>
      </w:r>
    </w:p>
    <w:p w:rsidR="009A1603" w:rsidP="00090354" w:rsidRDefault="006C32FF">
      <w:pPr>
        <w:pStyle w:val="JuQuot"/>
        <w:rPr>
          <w:lang w:eastAsia="en-GB"/>
        </w:rPr>
      </w:pPr>
      <w:r>
        <w:rPr>
          <w:lang w:eastAsia="en-GB"/>
        </w:rPr>
        <w:t>“</w:t>
      </w:r>
      <w:r w:rsidR="009A1603">
        <w:rPr>
          <w:lang w:eastAsia="en-GB"/>
        </w:rPr>
        <w:t>...</w:t>
      </w:r>
    </w:p>
    <w:p w:rsidR="00281AAC" w:rsidP="00281AAC" w:rsidRDefault="00090354">
      <w:pPr>
        <w:pStyle w:val="JuQuot"/>
        <w:rPr>
          <w:lang w:eastAsia="en-GB"/>
        </w:rPr>
      </w:pPr>
      <w:r w:rsidRPr="000D71CC">
        <w:rPr>
          <w:lang w:eastAsia="en-GB"/>
        </w:rPr>
        <w:t>(4)</w:t>
      </w:r>
      <w:r w:rsidR="009A1603">
        <w:rPr>
          <w:lang w:eastAsia="en-GB"/>
        </w:rPr>
        <w:t>  </w:t>
      </w:r>
      <w:r w:rsidR="00281AAC">
        <w:rPr>
          <w:lang w:eastAsia="en-GB"/>
        </w:rPr>
        <w:t>The right of all persons to equality before the law and protection against discrimination constitutes a universal right recognised by the Universal Declaration of Human Rights, the United Nations Convention on the Elimination of All Forms of Discrimination against Women, United Nations Covenants on Civil and Political Rights and on Economic, Social and Cultural Rights and by the European Convention for the Protection of Human Rights and Fundamental Freedoms, to which all Member States are signatories. Convention No. 111 of the International Labour Organisation (ILO) prohibits discrimination in the field of employment and occupation.</w:t>
      </w:r>
    </w:p>
    <w:p w:rsidR="00090354" w:rsidP="00090354" w:rsidRDefault="00281AAC">
      <w:pPr>
        <w:pStyle w:val="JuQuot"/>
        <w:rPr>
          <w:lang w:eastAsia="en-GB"/>
        </w:rPr>
      </w:pPr>
      <w:r>
        <w:rPr>
          <w:lang w:eastAsia="en-GB"/>
        </w:rPr>
        <w:t>(5)  It is important to respect such fundamental rights and freedoms. This Directive does not prejudice freedom of association, including the right to establish unions with others and to join unions to defend one</w:t>
      </w:r>
      <w:r w:rsidR="00F47D5E">
        <w:rPr>
          <w:lang w:eastAsia="en-GB"/>
        </w:rPr>
        <w:t>’</w:t>
      </w:r>
      <w:r>
        <w:rPr>
          <w:lang w:eastAsia="en-GB"/>
        </w:rPr>
        <w:t>s interests</w:t>
      </w:r>
      <w:r w:rsidRPr="000D71CC" w:rsidR="00090354">
        <w:rPr>
          <w:lang w:eastAsia="en-GB"/>
        </w:rPr>
        <w:t>.</w:t>
      </w:r>
    </w:p>
    <w:p w:rsidRPr="000D71CC" w:rsidR="009A1603" w:rsidP="00090354" w:rsidRDefault="009A1603">
      <w:pPr>
        <w:pStyle w:val="JuQuot"/>
        <w:rPr>
          <w:lang w:eastAsia="en-GB"/>
        </w:rPr>
      </w:pPr>
      <w:r>
        <w:rPr>
          <w:lang w:eastAsia="en-GB"/>
        </w:rPr>
        <w:t>...</w:t>
      </w:r>
    </w:p>
    <w:p w:rsidRPr="000D71CC" w:rsidR="00090354" w:rsidP="00090354" w:rsidRDefault="009A1603">
      <w:pPr>
        <w:pStyle w:val="JuQuot"/>
      </w:pPr>
      <w:r>
        <w:t>(24)  </w:t>
      </w:r>
      <w:r w:rsidRPr="007014AE" w:rsidR="007014AE">
        <w:t>The European Union in its Declaration No</w:t>
      </w:r>
      <w:r w:rsidR="007014AE">
        <w:t>.</w:t>
      </w:r>
      <w:r w:rsidRPr="007014AE" w:rsidR="007014AE">
        <w:t xml:space="preserve"> 11 on the status of churches and non-confessional organisations, annexed to the Final Act of the Amsterdam Treaty, has explicitly recognised that it respects and does not prejudice the status under national law of churches and religious associations or communities in the Member States and that it equally respects the status of philosophical and non-confessional organisations. With this in view, Member States may maintain or lay down specific provisions on genuine, legitimate and justified occupational requirements which might be required for carrying out an occupational activity</w:t>
      </w:r>
      <w:r w:rsidRPr="000D71CC" w:rsidR="00090354">
        <w:t>.</w:t>
      </w:r>
      <w:r>
        <w:t xml:space="preserve"> ...</w:t>
      </w:r>
      <w:r w:rsidR="006C32FF">
        <w:t>”</w:t>
      </w:r>
    </w:p>
    <w:p w:rsidRPr="000D71CC" w:rsidR="00090354" w:rsidP="00090354" w:rsidRDefault="00090354">
      <w:pPr>
        <w:pStyle w:val="JuHArticle"/>
      </w:pPr>
      <w:r w:rsidRPr="000D71CC">
        <w:t>Article 4</w:t>
      </w:r>
    </w:p>
    <w:p w:rsidRPr="000D71CC" w:rsidR="00090354" w:rsidP="00090354" w:rsidRDefault="004C0583">
      <w:pPr>
        <w:pStyle w:val="JuHArticle"/>
      </w:pPr>
      <w:r w:rsidRPr="004C0583">
        <w:t>Occupational requirements</w:t>
      </w:r>
    </w:p>
    <w:p w:rsidR="004C0583" w:rsidP="004C0583" w:rsidRDefault="006C32FF">
      <w:pPr>
        <w:pStyle w:val="JuQuot"/>
        <w:rPr>
          <w:lang w:eastAsia="en-GB"/>
        </w:rPr>
      </w:pPr>
      <w:r>
        <w:rPr>
          <w:lang w:eastAsia="en-GB"/>
        </w:rPr>
        <w:t>“</w:t>
      </w:r>
      <w:r w:rsidR="004C0583">
        <w:rPr>
          <w:lang w:eastAsia="en-GB"/>
        </w:rPr>
        <w:t>1.  </w:t>
      </w:r>
      <w:r w:rsidRPr="000D71CC" w:rsidR="009D4FA5">
        <w:rPr>
          <w:lang w:eastAsia="en-GB"/>
        </w:rPr>
        <w:t>...</w:t>
      </w:r>
      <w:r w:rsidRPr="000D71CC" w:rsidR="00090354">
        <w:rPr>
          <w:lang w:eastAsia="en-GB"/>
        </w:rPr>
        <w:t xml:space="preserve"> </w:t>
      </w:r>
      <w:r w:rsidR="004C0583">
        <w:rPr>
          <w:lang w:eastAsia="en-GB"/>
        </w:rPr>
        <w:t>Member States may provide that a difference of treatment which is based on</w:t>
      </w:r>
      <w:r w:rsidR="000462A5">
        <w:rPr>
          <w:lang w:eastAsia="en-GB"/>
        </w:rPr>
        <w:t xml:space="preserve"> [religion or belief]</w:t>
      </w:r>
      <w:r w:rsidR="004C0583">
        <w:rPr>
          <w:lang w:eastAsia="en-GB"/>
        </w:rPr>
        <w:t xml:space="preserve"> shall not constitute discrimination where, by reason of the nature of the particular occupational activities concerned or of the context in which they are carried out, such a characteristic constitutes a genuine and determining occupational requirement, provided that the objective is legitimate and the requirement is proportionate.</w:t>
      </w:r>
    </w:p>
    <w:p w:rsidR="004C0583" w:rsidP="004C0583" w:rsidRDefault="00D14E06">
      <w:pPr>
        <w:pStyle w:val="JuQuot"/>
        <w:rPr>
          <w:lang w:eastAsia="en-GB"/>
        </w:rPr>
      </w:pPr>
      <w:r>
        <w:rPr>
          <w:lang w:eastAsia="en-GB"/>
        </w:rPr>
        <w:t>2.  </w:t>
      </w:r>
      <w:r w:rsidR="004C0583">
        <w:rPr>
          <w:lang w:eastAsia="en-GB"/>
        </w:rPr>
        <w:t xml:space="preserve">Member States may maintain national legislation in force </w:t>
      </w:r>
      <w:r w:rsidR="000462A5">
        <w:rPr>
          <w:lang w:eastAsia="en-GB"/>
        </w:rPr>
        <w:t>...</w:t>
      </w:r>
      <w:r w:rsidR="004C0583">
        <w:rPr>
          <w:lang w:eastAsia="en-GB"/>
        </w:rPr>
        <w:t xml:space="preserve"> or provide for future legislation incorporating national practices existing at the date of adoption of this Directive pursuant to which, in the case of occupational activities within churches and other public or private organisations the ethos of which is based on religion or belief, a difference of treatment based on a person</w:t>
      </w:r>
      <w:r w:rsidR="00F47D5E">
        <w:rPr>
          <w:lang w:eastAsia="en-GB"/>
        </w:rPr>
        <w:t>’</w:t>
      </w:r>
      <w:r w:rsidR="004C0583">
        <w:rPr>
          <w:lang w:eastAsia="en-GB"/>
        </w:rPr>
        <w:t>s religion or belief shall not constitute discrimination where, by reason of the nature of these activities or of the context in which they are carried out, a person</w:t>
      </w:r>
      <w:r w:rsidR="00F47D5E">
        <w:rPr>
          <w:lang w:eastAsia="en-GB"/>
        </w:rPr>
        <w:t>’</w:t>
      </w:r>
      <w:r w:rsidR="004C0583">
        <w:rPr>
          <w:lang w:eastAsia="en-GB"/>
        </w:rPr>
        <w:t>s religion or belief constitute a genuine, legitimate and justified occupational requirement, having regard to the organisation</w:t>
      </w:r>
      <w:r w:rsidR="00F47D5E">
        <w:rPr>
          <w:lang w:eastAsia="en-GB"/>
        </w:rPr>
        <w:t>’</w:t>
      </w:r>
      <w:r w:rsidR="004C0583">
        <w:rPr>
          <w:lang w:eastAsia="en-GB"/>
        </w:rPr>
        <w:t>s ethos.</w:t>
      </w:r>
      <w:r w:rsidR="000462A5">
        <w:rPr>
          <w:lang w:eastAsia="en-GB"/>
        </w:rPr>
        <w:t xml:space="preserve"> ...</w:t>
      </w:r>
    </w:p>
    <w:p w:rsidRPr="000D71CC" w:rsidR="00090354" w:rsidP="00090354" w:rsidRDefault="004C0583">
      <w:pPr>
        <w:pStyle w:val="JuQuot"/>
        <w:rPr>
          <w:lang w:eastAsia="en-GB"/>
        </w:rPr>
      </w:pPr>
      <w:r>
        <w:rPr>
          <w:lang w:eastAsia="en-GB"/>
        </w:rPr>
        <w:t>Provided that its provisions are otherwise complied with, this Directive shall thus not prejudice the right of churches and other public or private organisations, the ethos of which is based on religion or belief, acting in conformity with national constitutions and laws, to require individuals working for them to act in good faith and with loyalty to the organisation</w:t>
      </w:r>
      <w:r w:rsidR="00F47D5E">
        <w:rPr>
          <w:lang w:eastAsia="en-GB"/>
        </w:rPr>
        <w:t>’</w:t>
      </w:r>
      <w:r>
        <w:rPr>
          <w:lang w:eastAsia="en-GB"/>
        </w:rPr>
        <w:t>s ethos</w:t>
      </w:r>
      <w:r w:rsidRPr="000D71CC" w:rsidR="00090354">
        <w:rPr>
          <w:lang w:eastAsia="en-GB"/>
        </w:rPr>
        <w:t>.</w:t>
      </w:r>
      <w:r w:rsidR="006C32FF">
        <w:rPr>
          <w:lang w:eastAsia="en-GB"/>
        </w:rPr>
        <w:t>”</w:t>
      </w:r>
    </w:p>
    <w:p w:rsidRPr="000D71CC" w:rsidR="007E645B" w:rsidP="007E645B" w:rsidRDefault="007E645B">
      <w:pPr>
        <w:pStyle w:val="JuHHead"/>
      </w:pPr>
      <w:r w:rsidRPr="000D71CC">
        <w:t>THE LAW</w:t>
      </w:r>
    </w:p>
    <w:p w:rsidRPr="000D71CC" w:rsidR="007E645B" w:rsidP="007E645B" w:rsidRDefault="007E645B">
      <w:pPr>
        <w:pStyle w:val="JuHIRoman"/>
      </w:pPr>
      <w:r w:rsidRPr="000D71CC">
        <w:t>I.  ALLEGED VIOLATION OF ARTICLE 11 OF THE CONVENTION</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35</w:t>
      </w:r>
      <w:r w:rsidRPr="000D71CC">
        <w:fldChar w:fldCharType="end"/>
      </w:r>
      <w:r w:rsidRPr="000D71CC">
        <w:t>.  </w:t>
      </w:r>
      <w:r w:rsidRPr="000D71CC" w:rsidR="00090354">
        <w:t>The applicant union submitted that the Dolj County Court had infringed its right to organise as guaranteed by Article 11 of the Convention, which provides</w:t>
      </w:r>
      <w:r w:rsidRPr="000D71CC" w:rsidR="009D4FA5">
        <w:t>:</w:t>
      </w:r>
    </w:p>
    <w:p w:rsidRPr="000D71CC" w:rsidR="00090354" w:rsidP="00090354" w:rsidRDefault="007E645B">
      <w:pPr>
        <w:pStyle w:val="JuQuot"/>
      </w:pPr>
      <w:r w:rsidRPr="000D71CC">
        <w:t>“</w:t>
      </w:r>
      <w:r w:rsidRPr="000D71CC" w:rsidR="00090354">
        <w:t>1.</w:t>
      </w:r>
      <w:r w:rsidRPr="000D71CC">
        <w:t>  </w:t>
      </w:r>
      <w:r w:rsidRPr="000D71CC" w:rsidR="00090354">
        <w:t>Everyone has the right to freedom of peaceful assembly and to freedom of association with others, including the right to form and to join trade unions for the protection of his interests.</w:t>
      </w:r>
    </w:p>
    <w:p w:rsidRPr="000D71CC" w:rsidR="00090354" w:rsidP="00090354" w:rsidRDefault="007E645B">
      <w:pPr>
        <w:pStyle w:val="JuQuot"/>
      </w:pPr>
      <w:r w:rsidRPr="000D71CC">
        <w:t>2.  </w:t>
      </w:r>
      <w:r w:rsidRPr="000D71CC" w:rsidR="00090354">
        <w:t>No restrictions shall be placed on the exercise of these rights other than such as are prescribed by law and are necessary in a democratic society in the interests of national security or public safety, for the prevention of disorder or crime, for the protection of health or morals or for the protection of the rights and freedoms of others. This Article shall not prevent the imposition of lawful restrictions on the exercise of these rights by members of the armed forces, of the police or of the administration of the State.”</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36</w:t>
      </w:r>
      <w:r w:rsidRPr="000D71CC">
        <w:fldChar w:fldCharType="end"/>
      </w:r>
      <w:r w:rsidRPr="000D71CC">
        <w:t>.  </w:t>
      </w:r>
      <w:r w:rsidRPr="000D71CC" w:rsidR="00090354">
        <w:t>The Government contested that argument.</w:t>
      </w:r>
    </w:p>
    <w:p w:rsidRPr="000D71CC" w:rsidR="00090354" w:rsidP="00090354" w:rsidRDefault="007E645B">
      <w:pPr>
        <w:pStyle w:val="JuHA"/>
        <w:outlineLvl w:val="0"/>
      </w:pPr>
      <w:r w:rsidRPr="000D71CC">
        <w:t>A.  </w:t>
      </w:r>
      <w:r w:rsidRPr="000D71CC" w:rsidR="00090354">
        <w:t>Admissibility</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37</w:t>
      </w:r>
      <w:r w:rsidRPr="000D71CC">
        <w:fldChar w:fldCharType="end"/>
      </w:r>
      <w:r w:rsidRPr="000D71CC">
        <w:t>.  </w:t>
      </w:r>
      <w:r w:rsidRPr="000D71CC" w:rsidR="00090354">
        <w:t>The Court observes that the application is not manifestly ill-founded within the meaning of Article 35 § 3 of the Convention. No other ground for declaring it inadmissible has been established. It must therefore be declared admissible.</w:t>
      </w:r>
    </w:p>
    <w:p w:rsidRPr="000D71CC" w:rsidR="00090354" w:rsidP="00090354" w:rsidRDefault="007E645B">
      <w:pPr>
        <w:pStyle w:val="JuHA"/>
        <w:outlineLvl w:val="0"/>
      </w:pPr>
      <w:r w:rsidRPr="000D71CC">
        <w:t>B.  </w:t>
      </w:r>
      <w:r w:rsidRPr="000D71CC" w:rsidR="00090354">
        <w:t>Merits</w:t>
      </w:r>
    </w:p>
    <w:p w:rsidRPr="000D71CC" w:rsidR="00090354" w:rsidP="00090354" w:rsidRDefault="007E645B">
      <w:pPr>
        <w:pStyle w:val="JuH1"/>
      </w:pPr>
      <w:r w:rsidRPr="000D71CC">
        <w:t>1.  </w:t>
      </w:r>
      <w:r w:rsidRPr="000D71CC" w:rsidR="00090354">
        <w:t>The parties</w:t>
      </w:r>
      <w:r w:rsidR="00F47D5E">
        <w:t>’</w:t>
      </w:r>
      <w:r w:rsidRPr="000D71CC" w:rsidR="00090354">
        <w:t xml:space="preserve"> submissions</w:t>
      </w:r>
    </w:p>
    <w:p w:rsidRPr="000D71CC" w:rsidR="00090354" w:rsidP="00090354" w:rsidRDefault="007E645B">
      <w:pPr>
        <w:pStyle w:val="JuHa0"/>
      </w:pPr>
      <w:r w:rsidRPr="000D71CC">
        <w:t>(a)  </w:t>
      </w:r>
      <w:r w:rsidRPr="000D71CC" w:rsidR="009D4FA5">
        <w:t>The applicant</w:t>
      </w:r>
      <w:r w:rsidR="006C32FF">
        <w:t xml:space="preserve"> union</w:t>
      </w:r>
    </w:p>
    <w:p w:rsidR="00D164FC" w:rsidP="00D164FC" w:rsidRDefault="007E645B">
      <w:pPr>
        <w:pStyle w:val="JuPara"/>
      </w:pPr>
      <w:r w:rsidRPr="000D71CC">
        <w:fldChar w:fldCharType="begin"/>
      </w:r>
      <w:r w:rsidRPr="000D71CC">
        <w:instrText xml:space="preserve"> SEQ level0 \*arabic </w:instrText>
      </w:r>
      <w:r w:rsidRPr="000D71CC">
        <w:fldChar w:fldCharType="separate"/>
      </w:r>
      <w:r w:rsidR="00F47D5E">
        <w:rPr>
          <w:noProof/>
        </w:rPr>
        <w:t>38</w:t>
      </w:r>
      <w:r w:rsidRPr="000D71CC">
        <w:fldChar w:fldCharType="end"/>
      </w:r>
      <w:r w:rsidRPr="000D71CC">
        <w:t>.  </w:t>
      </w:r>
      <w:r w:rsidRPr="000D71CC" w:rsidR="009D4FA5">
        <w:t>The applicant</w:t>
      </w:r>
      <w:r w:rsidRPr="000D71CC" w:rsidR="00090354">
        <w:t xml:space="preserve"> </w:t>
      </w:r>
      <w:r w:rsidR="006C32FF">
        <w:t xml:space="preserve">union </w:t>
      </w:r>
      <w:r w:rsidR="00D164FC">
        <w:t>submitted that the</w:t>
      </w:r>
      <w:r w:rsidR="00A619B4">
        <w:t xml:space="preserve"> sole</w:t>
      </w:r>
      <w:r w:rsidR="00D164FC">
        <w:t xml:space="preserve"> </w:t>
      </w:r>
      <w:r w:rsidR="00E77893">
        <w:t>purpose</w:t>
      </w:r>
      <w:r w:rsidR="00D164FC">
        <w:t xml:space="preserve"> of </w:t>
      </w:r>
      <w:r w:rsidR="006437A0">
        <w:t>its establishment</w:t>
      </w:r>
      <w:r w:rsidR="00D164FC">
        <w:t xml:space="preserve">, as reflected in its </w:t>
      </w:r>
      <w:r w:rsidR="006437A0">
        <w:t>constitution</w:t>
      </w:r>
      <w:r w:rsidR="00D164FC">
        <w:t xml:space="preserve">, was </w:t>
      </w:r>
      <w:r w:rsidR="00AC0126">
        <w:t>to</w:t>
      </w:r>
      <w:r w:rsidR="00D164FC">
        <w:t xml:space="preserve"> protect the non-religious, economic interests of the cler</w:t>
      </w:r>
      <w:r w:rsidR="00E77893">
        <w:t>gy</w:t>
      </w:r>
      <w:r w:rsidR="00D164FC">
        <w:t xml:space="preserve"> and la</w:t>
      </w:r>
      <w:r w:rsidR="00E77893">
        <w:t xml:space="preserve">y </w:t>
      </w:r>
      <w:r w:rsidR="008C0BE0">
        <w:t>staff</w:t>
      </w:r>
      <w:r w:rsidR="00D164FC">
        <w:t xml:space="preserve"> of the Church. It </w:t>
      </w:r>
      <w:r w:rsidR="00E77893">
        <w:t>emphasised</w:t>
      </w:r>
      <w:r w:rsidR="00D164FC">
        <w:t xml:space="preserve"> that </w:t>
      </w:r>
      <w:r w:rsidR="00A619B4">
        <w:t>it</w:t>
      </w:r>
      <w:r w:rsidR="00D164FC">
        <w:t xml:space="preserve"> </w:t>
      </w:r>
      <w:r w:rsidR="00E77893">
        <w:t>did</w:t>
      </w:r>
      <w:r w:rsidR="00D164FC">
        <w:t xml:space="preserve"> not challenge </w:t>
      </w:r>
      <w:r w:rsidR="00E77893">
        <w:t>the Church</w:t>
      </w:r>
      <w:r w:rsidR="00F47D5E">
        <w:t>’</w:t>
      </w:r>
      <w:r w:rsidR="00E77893">
        <w:t xml:space="preserve">s </w:t>
      </w:r>
      <w:r w:rsidR="008C0BE0">
        <w:t>tenets,</w:t>
      </w:r>
      <w:r w:rsidR="00D164FC">
        <w:t xml:space="preserve"> hierarchy </w:t>
      </w:r>
      <w:r w:rsidR="00E77893">
        <w:t>or operat</w:t>
      </w:r>
      <w:r w:rsidR="008C0BE0">
        <w:t>ing methods</w:t>
      </w:r>
      <w:r w:rsidR="00E77893">
        <w:t xml:space="preserve"> and that it did not represent or </w:t>
      </w:r>
      <w:r w:rsidR="00D164FC">
        <w:t xml:space="preserve">seek to represent or replace either the Church or its followers or </w:t>
      </w:r>
      <w:r w:rsidR="008C0BE0">
        <w:t>leadership</w:t>
      </w:r>
      <w:r w:rsidR="00D164FC">
        <w:t xml:space="preserve">, but </w:t>
      </w:r>
      <w:r w:rsidR="00E77893">
        <w:t xml:space="preserve">had been </w:t>
      </w:r>
      <w:r w:rsidR="00B730FD">
        <w:t>set up</w:t>
      </w:r>
      <w:r w:rsidR="00E77893">
        <w:t xml:space="preserve"> </w:t>
      </w:r>
      <w:r w:rsidR="00D164FC">
        <w:t xml:space="preserve">outside the </w:t>
      </w:r>
      <w:r w:rsidR="00B730FD">
        <w:t xml:space="preserve">structure of the </w:t>
      </w:r>
      <w:r w:rsidR="00D164FC">
        <w:t xml:space="preserve">Church </w:t>
      </w:r>
      <w:r w:rsidR="00B730FD">
        <w:t>purely in order</w:t>
      </w:r>
      <w:r w:rsidR="00D164FC">
        <w:t xml:space="preserve"> to represent </w:t>
      </w:r>
      <w:r w:rsidR="008C0BE0">
        <w:t>its own members, who were</w:t>
      </w:r>
      <w:r w:rsidR="00E77893">
        <w:t xml:space="preserve"> Church employees</w:t>
      </w:r>
      <w:r w:rsidR="008C0BE0">
        <w:t>,</w:t>
      </w:r>
      <w:r w:rsidR="00E77893">
        <w:t xml:space="preserve"> </w:t>
      </w:r>
      <w:r w:rsidR="00D164FC">
        <w:t>in their economic and administrative dealings with their employer and the Ministry of Culture and Religious Affairs.</w:t>
      </w:r>
    </w:p>
    <w:p w:rsidR="00D164FC" w:rsidP="00D164FC" w:rsidRDefault="00E77893">
      <w:pPr>
        <w:pStyle w:val="JuPara"/>
      </w:pPr>
      <w:r>
        <w:fldChar w:fldCharType="begin"/>
      </w:r>
      <w:r>
        <w:instrText xml:space="preserve"> SEQ level0 \*arabic </w:instrText>
      </w:r>
      <w:r>
        <w:fldChar w:fldCharType="separate"/>
      </w:r>
      <w:r w:rsidR="00F47D5E">
        <w:rPr>
          <w:noProof/>
        </w:rPr>
        <w:t>39</w:t>
      </w:r>
      <w:r>
        <w:fldChar w:fldCharType="end"/>
      </w:r>
      <w:r>
        <w:t>.  T</w:t>
      </w:r>
      <w:r w:rsidR="00D164FC">
        <w:t xml:space="preserve">he applicant </w:t>
      </w:r>
      <w:r>
        <w:t xml:space="preserve">union </w:t>
      </w:r>
      <w:r w:rsidR="008C0BE0">
        <w:t xml:space="preserve">thus maintained </w:t>
      </w:r>
      <w:r w:rsidR="00D164FC">
        <w:t xml:space="preserve">that </w:t>
      </w:r>
      <w:r w:rsidR="00C23A75">
        <w:t>both the Government</w:t>
      </w:r>
      <w:r w:rsidR="00F47D5E">
        <w:t>’</w:t>
      </w:r>
      <w:r w:rsidR="00C23A75">
        <w:t xml:space="preserve">s submissions and </w:t>
      </w:r>
      <w:r w:rsidR="00D164FC">
        <w:t xml:space="preserve">the </w:t>
      </w:r>
      <w:r w:rsidR="008C0BE0">
        <w:t>County Court</w:t>
      </w:r>
      <w:r w:rsidR="00F47D5E">
        <w:t>’</w:t>
      </w:r>
      <w:r w:rsidR="008C0BE0">
        <w:t xml:space="preserve">s </w:t>
      </w:r>
      <w:r>
        <w:t>findings in refusing</w:t>
      </w:r>
      <w:r w:rsidR="00D164FC">
        <w:t xml:space="preserve"> its application for registration</w:t>
      </w:r>
      <w:r w:rsidR="00C23A75">
        <w:t xml:space="preserve"> </w:t>
      </w:r>
      <w:r w:rsidR="00885DDF">
        <w:t>stemmed from</w:t>
      </w:r>
      <w:r w:rsidR="00D164FC">
        <w:t xml:space="preserve"> confusion between the religious freedom of believers and the </w:t>
      </w:r>
      <w:r>
        <w:t>C</w:t>
      </w:r>
      <w:r w:rsidR="00D164FC">
        <w:t xml:space="preserve">hurch and </w:t>
      </w:r>
      <w:r>
        <w:t xml:space="preserve">the </w:t>
      </w:r>
      <w:r w:rsidR="00D164FC">
        <w:t>trade</w:t>
      </w:r>
      <w:r>
        <w:t>-</w:t>
      </w:r>
      <w:r w:rsidR="00D164FC">
        <w:t xml:space="preserve">union rights of </w:t>
      </w:r>
      <w:r>
        <w:t>Church employees</w:t>
      </w:r>
      <w:r w:rsidR="00D164FC">
        <w:t xml:space="preserve">. </w:t>
      </w:r>
      <w:r>
        <w:t>Contending</w:t>
      </w:r>
      <w:r w:rsidR="00D164FC">
        <w:t xml:space="preserve"> that the two </w:t>
      </w:r>
      <w:r>
        <w:t>spheres were</w:t>
      </w:r>
      <w:r w:rsidR="00D164FC">
        <w:t xml:space="preserve"> </w:t>
      </w:r>
      <w:r w:rsidR="00885DDF">
        <w:t>distinct</w:t>
      </w:r>
      <w:r w:rsidR="00D164FC">
        <w:t xml:space="preserve">, </w:t>
      </w:r>
      <w:r w:rsidR="00885DDF">
        <w:t xml:space="preserve">it </w:t>
      </w:r>
      <w:r>
        <w:t>asserted</w:t>
      </w:r>
      <w:r w:rsidR="00D164FC">
        <w:t xml:space="preserve"> that religious </w:t>
      </w:r>
      <w:r>
        <w:t>freedom could not</w:t>
      </w:r>
      <w:r w:rsidR="00D164FC">
        <w:t xml:space="preserve"> justify</w:t>
      </w:r>
      <w:r w:rsidR="00B730FD">
        <w:t xml:space="preserve"> a</w:t>
      </w:r>
      <w:r w:rsidR="00D164FC">
        <w:t xml:space="preserve"> </w:t>
      </w:r>
      <w:r>
        <w:t>restricti</w:t>
      </w:r>
      <w:r w:rsidR="00B730FD">
        <w:t>on of</w:t>
      </w:r>
      <w:r w:rsidR="00D164FC">
        <w:t xml:space="preserve"> fundamental social rights.</w:t>
      </w:r>
    </w:p>
    <w:p w:rsidR="00E77893" w:rsidP="00E77893" w:rsidRDefault="00E77893">
      <w:pPr>
        <w:pStyle w:val="JuPara"/>
      </w:pPr>
      <w:r>
        <w:fldChar w:fldCharType="begin"/>
      </w:r>
      <w:r>
        <w:instrText xml:space="preserve"> SEQ level0 \*arabic </w:instrText>
      </w:r>
      <w:r>
        <w:fldChar w:fldCharType="separate"/>
      </w:r>
      <w:r w:rsidR="00F47D5E">
        <w:rPr>
          <w:noProof/>
        </w:rPr>
        <w:t>40</w:t>
      </w:r>
      <w:r>
        <w:fldChar w:fldCharType="end"/>
      </w:r>
      <w:r>
        <w:t>.  It also rejected the contention that priests performed management functions in their parishes and were accordingly barred from joining trade unions by Law no. 54/2003. In any event, it pointed out that the union also included lay employees of the Church.</w:t>
      </w:r>
    </w:p>
    <w:p w:rsidR="00E77893" w:rsidP="00E77893" w:rsidRDefault="00E77893">
      <w:pPr>
        <w:pStyle w:val="JuPara"/>
      </w:pPr>
      <w:r>
        <w:fldChar w:fldCharType="begin"/>
      </w:r>
      <w:r>
        <w:instrText xml:space="preserve"> SEQ level0 \*arabic </w:instrText>
      </w:r>
      <w:r>
        <w:fldChar w:fldCharType="separate"/>
      </w:r>
      <w:r w:rsidR="00F47D5E">
        <w:rPr>
          <w:noProof/>
        </w:rPr>
        <w:t>41</w:t>
      </w:r>
      <w:r>
        <w:fldChar w:fldCharType="end"/>
      </w:r>
      <w:r>
        <w:t xml:space="preserve">.  Lastly, the applicant union argued that the refusal to register it did not </w:t>
      </w:r>
      <w:r w:rsidR="003968F7">
        <w:t>accord with</w:t>
      </w:r>
      <w:r>
        <w:t xml:space="preserve"> national practice,</w:t>
      </w:r>
      <w:r w:rsidR="003968F7">
        <w:t xml:space="preserve"> since </w:t>
      </w:r>
      <w:r>
        <w:t xml:space="preserve">similar </w:t>
      </w:r>
      <w:r w:rsidR="006B0EC7">
        <w:t xml:space="preserve">trade unions </w:t>
      </w:r>
      <w:r w:rsidR="003968F7">
        <w:t>had been allowed to form</w:t>
      </w:r>
      <w:r w:rsidR="006B0EC7">
        <w:t xml:space="preserve"> </w:t>
      </w:r>
      <w:r>
        <w:t xml:space="preserve">both before and after the change of </w:t>
      </w:r>
      <w:r w:rsidR="006B0EC7">
        <w:t xml:space="preserve">political regime in </w:t>
      </w:r>
      <w:r>
        <w:t>1989.</w:t>
      </w:r>
    </w:p>
    <w:p w:rsidRPr="000D71CC" w:rsidR="00090354" w:rsidP="00090354" w:rsidRDefault="006B0EC7">
      <w:pPr>
        <w:pStyle w:val="JuPara"/>
      </w:pPr>
      <w:r>
        <w:fldChar w:fldCharType="begin"/>
      </w:r>
      <w:r>
        <w:instrText xml:space="preserve"> SEQ level0 \*arabic </w:instrText>
      </w:r>
      <w:r>
        <w:fldChar w:fldCharType="separate"/>
      </w:r>
      <w:r w:rsidR="00F47D5E">
        <w:rPr>
          <w:noProof/>
        </w:rPr>
        <w:t>42</w:t>
      </w:r>
      <w:r>
        <w:fldChar w:fldCharType="end"/>
      </w:r>
      <w:r>
        <w:t>.  In view of these considerations</w:t>
      </w:r>
      <w:r w:rsidR="00E77893">
        <w:t xml:space="preserve">, the applicant </w:t>
      </w:r>
      <w:r>
        <w:t>union submitted</w:t>
      </w:r>
      <w:r w:rsidR="00E77893">
        <w:t xml:space="preserve"> that the provision of the Statute of the Church </w:t>
      </w:r>
      <w:r w:rsidR="00504F52">
        <w:t xml:space="preserve">requiring </w:t>
      </w:r>
      <w:r w:rsidR="00E77893">
        <w:t>the employer</w:t>
      </w:r>
      <w:r w:rsidR="00F47D5E">
        <w:t>’</w:t>
      </w:r>
      <w:r>
        <w:t xml:space="preserve">s blessing </w:t>
      </w:r>
      <w:r w:rsidR="00504F52">
        <w:t xml:space="preserve">for a union to be set up </w:t>
      </w:r>
      <w:r>
        <w:t>was</w:t>
      </w:r>
      <w:r w:rsidR="00E77893">
        <w:t xml:space="preserve"> </w:t>
      </w:r>
      <w:r>
        <w:t xml:space="preserve">unlawful since it infringed </w:t>
      </w:r>
      <w:r w:rsidR="00E77893">
        <w:t>the rights and freedoms guaranteed by the Constituti</w:t>
      </w:r>
      <w:r>
        <w:t>on and the Convention. It contended</w:t>
      </w:r>
      <w:r w:rsidR="00E77893">
        <w:t xml:space="preserve"> that the clergy and laity </w:t>
      </w:r>
      <w:r w:rsidR="00504F52">
        <w:t xml:space="preserve">were not among the groups to which the </w:t>
      </w:r>
      <w:r w:rsidR="00E77893">
        <w:t xml:space="preserve">exceptions in the second paragraph of Article 11 </w:t>
      </w:r>
      <w:r w:rsidR="00504F52">
        <w:t xml:space="preserve">applied </w:t>
      </w:r>
      <w:r w:rsidR="00E77893">
        <w:t xml:space="preserve">and concluded that the refusal to register their </w:t>
      </w:r>
      <w:r w:rsidR="004C3198">
        <w:t xml:space="preserve">trade </w:t>
      </w:r>
      <w:r w:rsidR="00E77893">
        <w:t xml:space="preserve">union </w:t>
      </w:r>
      <w:r>
        <w:t xml:space="preserve">had caused them to suffer </w:t>
      </w:r>
      <w:r w:rsidR="00E77893">
        <w:t xml:space="preserve">unjustified discrimination </w:t>
      </w:r>
      <w:r>
        <w:t>in relation to</w:t>
      </w:r>
      <w:r w:rsidR="00E77893">
        <w:t xml:space="preserve"> other </w:t>
      </w:r>
      <w:r>
        <w:t>categories</w:t>
      </w:r>
      <w:r w:rsidR="00E77893">
        <w:t xml:space="preserve"> of workers</w:t>
      </w:r>
      <w:r>
        <w:t>.</w:t>
      </w:r>
    </w:p>
    <w:p w:rsidRPr="000D71CC" w:rsidR="00090354" w:rsidP="00090354" w:rsidRDefault="007E645B">
      <w:pPr>
        <w:pStyle w:val="JuHa0"/>
      </w:pPr>
      <w:r w:rsidRPr="000D71CC">
        <w:t>(</w:t>
      </w:r>
      <w:r w:rsidRPr="000D71CC" w:rsidR="00090354">
        <w:t>b)</w:t>
      </w:r>
      <w:r w:rsidRPr="000D71CC">
        <w:t>  The</w:t>
      </w:r>
      <w:r w:rsidR="005B218B">
        <w:t xml:space="preserve"> </w:t>
      </w:r>
      <w:r w:rsidRPr="000D71CC" w:rsidR="00090354">
        <w:t>Government</w:t>
      </w:r>
    </w:p>
    <w:p w:rsidR="006D4B4F" w:rsidP="006D4B4F" w:rsidRDefault="007E645B">
      <w:pPr>
        <w:pStyle w:val="JuPara"/>
      </w:pPr>
      <w:r w:rsidRPr="000D71CC">
        <w:fldChar w:fldCharType="begin"/>
      </w:r>
      <w:r w:rsidRPr="000D71CC">
        <w:instrText xml:space="preserve"> SEQ level0 \*arabic </w:instrText>
      </w:r>
      <w:r w:rsidRPr="000D71CC">
        <w:fldChar w:fldCharType="separate"/>
      </w:r>
      <w:r w:rsidR="00F47D5E">
        <w:rPr>
          <w:noProof/>
        </w:rPr>
        <w:t>43</w:t>
      </w:r>
      <w:r w:rsidRPr="000D71CC">
        <w:fldChar w:fldCharType="end"/>
      </w:r>
      <w:r w:rsidRPr="000D71CC">
        <w:t>.  </w:t>
      </w:r>
      <w:r w:rsidR="00FE7799">
        <w:t>The Government</w:t>
      </w:r>
      <w:r w:rsidR="006D4B4F">
        <w:t xml:space="preserve"> accepted that the refusal to register the applicant union had constituted interference with its right to freedom of association as protected by Article 11 of the Convention, but contended that such interference had been justified as it was prescribed by law, pursued a legitimate aim and was necessary in a democratic society.</w:t>
      </w:r>
    </w:p>
    <w:p w:rsidR="006D4B4F" w:rsidP="006D4B4F" w:rsidRDefault="00343F6E">
      <w:pPr>
        <w:pStyle w:val="JuPara"/>
      </w:pPr>
      <w:r>
        <w:fldChar w:fldCharType="begin"/>
      </w:r>
      <w:r>
        <w:instrText xml:space="preserve"> SEQ level0 \*arabic </w:instrText>
      </w:r>
      <w:r>
        <w:fldChar w:fldCharType="separate"/>
      </w:r>
      <w:r w:rsidR="00F47D5E">
        <w:rPr>
          <w:noProof/>
        </w:rPr>
        <w:t>44</w:t>
      </w:r>
      <w:r>
        <w:fldChar w:fldCharType="end"/>
      </w:r>
      <w:r>
        <w:t>.  </w:t>
      </w:r>
      <w:r w:rsidR="006D4B4F">
        <w:t xml:space="preserve">As to whether the interference had been lawful, the Government stated that the refusal to register the union had been justified by the provisions of the Trade Unions Act (Law no. 54/2003) and the </w:t>
      </w:r>
      <w:r w:rsidR="005B218B">
        <w:t>Statute</w:t>
      </w:r>
      <w:r w:rsidR="006D4B4F">
        <w:t xml:space="preserve"> of the Orthodox Church, </w:t>
      </w:r>
      <w:r w:rsidR="004767B4">
        <w:t xml:space="preserve">as </w:t>
      </w:r>
      <w:r w:rsidR="00504F52">
        <w:t>approved</w:t>
      </w:r>
      <w:r w:rsidR="006D4B4F">
        <w:t xml:space="preserve"> by Government Ord</w:t>
      </w:r>
      <w:r>
        <w:t>inance</w:t>
      </w:r>
      <w:r w:rsidR="006D4B4F">
        <w:t xml:space="preserve"> </w:t>
      </w:r>
      <w:r>
        <w:t>n</w:t>
      </w:r>
      <w:r w:rsidR="006D4B4F">
        <w:t xml:space="preserve">o. 53 of </w:t>
      </w:r>
      <w:r w:rsidR="005B218B">
        <w:t>16 </w:t>
      </w:r>
      <w:r>
        <w:t xml:space="preserve">January </w:t>
      </w:r>
      <w:r w:rsidR="006D4B4F">
        <w:t>2008.</w:t>
      </w:r>
    </w:p>
    <w:p w:rsidR="006D4B4F" w:rsidP="006D4B4F" w:rsidRDefault="00343F6E">
      <w:pPr>
        <w:pStyle w:val="JuPara"/>
      </w:pPr>
      <w:r>
        <w:fldChar w:fldCharType="begin"/>
      </w:r>
      <w:r>
        <w:instrText xml:space="preserve"> SEQ level0 \*arabic </w:instrText>
      </w:r>
      <w:r>
        <w:fldChar w:fldCharType="separate"/>
      </w:r>
      <w:r w:rsidR="00F47D5E">
        <w:rPr>
          <w:noProof/>
        </w:rPr>
        <w:t>45</w:t>
      </w:r>
      <w:r>
        <w:fldChar w:fldCharType="end"/>
      </w:r>
      <w:r>
        <w:t>.  </w:t>
      </w:r>
      <w:r w:rsidR="006D4B4F">
        <w:t xml:space="preserve">As to </w:t>
      </w:r>
      <w:r w:rsidR="00A16FE8">
        <w:t>whether a</w:t>
      </w:r>
      <w:r>
        <w:t xml:space="preserve"> legitima</w:t>
      </w:r>
      <w:r w:rsidR="00A16FE8">
        <w:t xml:space="preserve">te aim had been </w:t>
      </w:r>
      <w:r>
        <w:t>pursued</w:t>
      </w:r>
      <w:r w:rsidR="006D4B4F">
        <w:t xml:space="preserve">, </w:t>
      </w:r>
      <w:r>
        <w:t>the Government</w:t>
      </w:r>
      <w:r w:rsidR="006D4B4F">
        <w:t xml:space="preserve"> </w:t>
      </w:r>
      <w:r>
        <w:t>observed</w:t>
      </w:r>
      <w:r w:rsidR="006D4B4F">
        <w:t xml:space="preserve"> that the impugned measure was justified by the need to protect the Romanian Orthodox Church. </w:t>
      </w:r>
      <w:r>
        <w:t xml:space="preserve">Accordingly, the interference had pursued the legitimate aim of </w:t>
      </w:r>
      <w:r w:rsidR="00A16FE8">
        <w:t>acknowledging</w:t>
      </w:r>
      <w:r>
        <w:t xml:space="preserve"> the </w:t>
      </w:r>
      <w:r w:rsidR="006D4B4F">
        <w:t>freedom and autonomy of religious communities.</w:t>
      </w:r>
    </w:p>
    <w:p w:rsidR="006D4B4F" w:rsidP="006D4B4F" w:rsidRDefault="00343F6E">
      <w:pPr>
        <w:pStyle w:val="JuPara"/>
      </w:pPr>
      <w:r>
        <w:fldChar w:fldCharType="begin"/>
      </w:r>
      <w:r>
        <w:instrText xml:space="preserve"> SEQ level0 \*arabic </w:instrText>
      </w:r>
      <w:r>
        <w:fldChar w:fldCharType="separate"/>
      </w:r>
      <w:r w:rsidR="00F47D5E">
        <w:rPr>
          <w:noProof/>
        </w:rPr>
        <w:t>46</w:t>
      </w:r>
      <w:r>
        <w:fldChar w:fldCharType="end"/>
      </w:r>
      <w:r>
        <w:t>.  As to whether</w:t>
      </w:r>
      <w:r w:rsidR="006D4B4F">
        <w:t xml:space="preserve"> the measure </w:t>
      </w:r>
      <w:r>
        <w:t xml:space="preserve">was necessary </w:t>
      </w:r>
      <w:r w:rsidR="006D4B4F">
        <w:t xml:space="preserve">in a democratic society, the Government pointed out that the autonomy of religious communities </w:t>
      </w:r>
      <w:r>
        <w:t>was essential</w:t>
      </w:r>
      <w:r w:rsidR="006D4B4F">
        <w:t xml:space="preserve"> for pluralism in a democratic society.</w:t>
      </w:r>
    </w:p>
    <w:p w:rsidR="006D4B4F" w:rsidP="006D4B4F" w:rsidRDefault="00343F6E">
      <w:pPr>
        <w:pStyle w:val="JuPara"/>
      </w:pPr>
      <w:r>
        <w:fldChar w:fldCharType="begin"/>
      </w:r>
      <w:r>
        <w:instrText xml:space="preserve"> SEQ level0 \*arabic </w:instrText>
      </w:r>
      <w:r>
        <w:fldChar w:fldCharType="separate"/>
      </w:r>
      <w:r w:rsidR="00F47D5E">
        <w:rPr>
          <w:noProof/>
        </w:rPr>
        <w:t>47</w:t>
      </w:r>
      <w:r>
        <w:fldChar w:fldCharType="end"/>
      </w:r>
      <w:r>
        <w:t xml:space="preserve">.  They submitted that </w:t>
      </w:r>
      <w:r w:rsidR="006D4B4F">
        <w:t>all forms of association exist</w:t>
      </w:r>
      <w:r>
        <w:t>ing</w:t>
      </w:r>
      <w:r w:rsidR="006D4B4F">
        <w:t xml:space="preserve"> within the Church </w:t>
      </w:r>
      <w:r>
        <w:t>had to</w:t>
      </w:r>
      <w:r w:rsidR="006D4B4F">
        <w:t xml:space="preserve"> comply with the </w:t>
      </w:r>
      <w:r w:rsidR="00A16FE8">
        <w:t>Church</w:t>
      </w:r>
      <w:r w:rsidR="00F47D5E">
        <w:t>’</w:t>
      </w:r>
      <w:r w:rsidR="00A16FE8">
        <w:t xml:space="preserve">s own </w:t>
      </w:r>
      <w:r w:rsidR="006D4B4F">
        <w:t>rules, and observe</w:t>
      </w:r>
      <w:r>
        <w:t>d</w:t>
      </w:r>
      <w:r w:rsidR="006D4B4F">
        <w:t xml:space="preserve"> in th</w:t>
      </w:r>
      <w:r>
        <w:t>at</w:t>
      </w:r>
      <w:r w:rsidR="006D4B4F">
        <w:t xml:space="preserve"> connection that the </w:t>
      </w:r>
      <w:r w:rsidR="005B218B">
        <w:t>Statute</w:t>
      </w:r>
      <w:r w:rsidR="006D4B4F">
        <w:t xml:space="preserve"> of the Orthodox Church provide</w:t>
      </w:r>
      <w:r>
        <w:t>d</w:t>
      </w:r>
      <w:r w:rsidR="006D4B4F">
        <w:t xml:space="preserve"> for different forms of association </w:t>
      </w:r>
      <w:r>
        <w:t>aim</w:t>
      </w:r>
      <w:r w:rsidR="0096287E">
        <w:t>ed at assisting</w:t>
      </w:r>
      <w:r>
        <w:t xml:space="preserve"> priests </w:t>
      </w:r>
      <w:r w:rsidR="0096287E">
        <w:t>in</w:t>
      </w:r>
      <w:r>
        <w:t xml:space="preserve"> air</w:t>
      </w:r>
      <w:r w:rsidR="0096287E">
        <w:t>ing</w:t>
      </w:r>
      <w:r>
        <w:t xml:space="preserve"> their </w:t>
      </w:r>
      <w:r w:rsidR="006D4B4F">
        <w:t xml:space="preserve">grievances. </w:t>
      </w:r>
      <w:r w:rsidR="0096287E">
        <w:t>T</w:t>
      </w:r>
      <w:r>
        <w:t xml:space="preserve">hey </w:t>
      </w:r>
      <w:r w:rsidR="0096287E">
        <w:t xml:space="preserve">also </w:t>
      </w:r>
      <w:r>
        <w:t xml:space="preserve">explained </w:t>
      </w:r>
      <w:r w:rsidR="006D4B4F">
        <w:t xml:space="preserve">that </w:t>
      </w:r>
      <w:r>
        <w:t xml:space="preserve">priests performed management functions </w:t>
      </w:r>
      <w:r w:rsidR="006D4B4F">
        <w:t>in their parishes and receive</w:t>
      </w:r>
      <w:r>
        <w:t>d</w:t>
      </w:r>
      <w:r w:rsidR="006D4B4F">
        <w:t xml:space="preserve"> a</w:t>
      </w:r>
      <w:r w:rsidR="004C3198">
        <w:t xml:space="preserve"> stipend on that account</w:t>
      </w:r>
      <w:r w:rsidR="006D4B4F">
        <w:t xml:space="preserve"> as part of their salary.</w:t>
      </w:r>
    </w:p>
    <w:p w:rsidR="00ED4401" w:rsidP="006D4B4F" w:rsidRDefault="00343F6E">
      <w:pPr>
        <w:pStyle w:val="JuPara"/>
      </w:pPr>
      <w:r>
        <w:fldChar w:fldCharType="begin"/>
      </w:r>
      <w:r>
        <w:instrText xml:space="preserve"> SEQ level0 \*arabic </w:instrText>
      </w:r>
      <w:r>
        <w:fldChar w:fldCharType="separate"/>
      </w:r>
      <w:r w:rsidR="00F47D5E">
        <w:rPr>
          <w:noProof/>
        </w:rPr>
        <w:t>48</w:t>
      </w:r>
      <w:r>
        <w:fldChar w:fldCharType="end"/>
      </w:r>
      <w:r>
        <w:t>.  Observing</w:t>
      </w:r>
      <w:r w:rsidR="006D4B4F">
        <w:t xml:space="preserve"> that, on entering the Church, </w:t>
      </w:r>
      <w:r>
        <w:t xml:space="preserve">members of </w:t>
      </w:r>
      <w:r w:rsidR="006D4B4F">
        <w:t xml:space="preserve">the clergy took an oath by which they freely </w:t>
      </w:r>
      <w:r w:rsidR="0096287E">
        <w:t>assumed</w:t>
      </w:r>
      <w:r w:rsidR="006D4B4F">
        <w:t xml:space="preserve"> </w:t>
      </w:r>
      <w:r>
        <w:t>their</w:t>
      </w:r>
      <w:r w:rsidR="006D4B4F">
        <w:t xml:space="preserve"> religious </w:t>
      </w:r>
      <w:r>
        <w:t>vocation</w:t>
      </w:r>
      <w:r w:rsidR="006D4B4F">
        <w:t>, the Government argue</w:t>
      </w:r>
      <w:r>
        <w:t>d</w:t>
      </w:r>
      <w:r w:rsidR="006D4B4F">
        <w:t xml:space="preserve"> that if they </w:t>
      </w:r>
      <w:r>
        <w:t>subsequently</w:t>
      </w:r>
      <w:r w:rsidR="006D4B4F">
        <w:t xml:space="preserve"> </w:t>
      </w:r>
      <w:r>
        <w:t>took the view</w:t>
      </w:r>
      <w:r w:rsidR="006D4B4F">
        <w:t xml:space="preserve"> that the structures provided </w:t>
      </w:r>
      <w:r>
        <w:t xml:space="preserve">for </w:t>
      </w:r>
      <w:r w:rsidR="006D4B4F">
        <w:t xml:space="preserve">in the </w:t>
      </w:r>
      <w:r w:rsidR="00296C34">
        <w:t>Church</w:t>
      </w:r>
      <w:r w:rsidR="00F47D5E">
        <w:t>’</w:t>
      </w:r>
      <w:r w:rsidR="00296C34">
        <w:t xml:space="preserve">s </w:t>
      </w:r>
      <w:r w:rsidR="005B218B">
        <w:t>Statute</w:t>
      </w:r>
      <w:r w:rsidR="006D4B4F">
        <w:t xml:space="preserve"> </w:t>
      </w:r>
      <w:r w:rsidR="00E44C47">
        <w:t>no longer</w:t>
      </w:r>
      <w:r w:rsidR="006D4B4F">
        <w:t xml:space="preserve"> accord</w:t>
      </w:r>
      <w:r w:rsidR="00E44C47">
        <w:t>ed with their</w:t>
      </w:r>
      <w:r w:rsidR="006D4B4F">
        <w:t xml:space="preserve"> conscience, their freedom of religion </w:t>
      </w:r>
      <w:r w:rsidR="004976A0">
        <w:t>encompassed the possibility of relinquishing</w:t>
      </w:r>
      <w:r w:rsidR="00E44C47">
        <w:t xml:space="preserve"> their duties or even leav</w:t>
      </w:r>
      <w:r w:rsidR="0096287E">
        <w:t>ing</w:t>
      </w:r>
      <w:r w:rsidR="00E44C47">
        <w:t xml:space="preserve"> the Church.</w:t>
      </w:r>
    </w:p>
    <w:p w:rsidR="006D4B4F" w:rsidP="006D4B4F" w:rsidRDefault="00E47C31">
      <w:pPr>
        <w:pStyle w:val="JuPara"/>
      </w:pPr>
      <w:r>
        <w:fldChar w:fldCharType="begin"/>
      </w:r>
      <w:r>
        <w:instrText xml:space="preserve"> SEQ level0 \*arabic </w:instrText>
      </w:r>
      <w:r>
        <w:fldChar w:fldCharType="separate"/>
      </w:r>
      <w:r w:rsidR="00F47D5E">
        <w:rPr>
          <w:noProof/>
        </w:rPr>
        <w:t>49</w:t>
      </w:r>
      <w:r>
        <w:fldChar w:fldCharType="end"/>
      </w:r>
      <w:r>
        <w:t>.  Lastly, the Government</w:t>
      </w:r>
      <w:r w:rsidR="006D4B4F">
        <w:t xml:space="preserve"> </w:t>
      </w:r>
      <w:r>
        <w:t>submitted</w:t>
      </w:r>
      <w:r w:rsidR="006D4B4F">
        <w:t xml:space="preserve"> that </w:t>
      </w:r>
      <w:r>
        <w:t>State</w:t>
      </w:r>
      <w:r w:rsidR="006D4B4F">
        <w:t xml:space="preserve"> intervention in </w:t>
      </w:r>
      <w:r>
        <w:t>regulating</w:t>
      </w:r>
      <w:r w:rsidR="006D4B4F">
        <w:t xml:space="preserve"> relations between priests and the Church would have </w:t>
      </w:r>
      <w:r>
        <w:t>infringed</w:t>
      </w:r>
      <w:r w:rsidR="006D4B4F">
        <w:t xml:space="preserve"> the </w:t>
      </w:r>
      <w:r>
        <w:t xml:space="preserve">overriding </w:t>
      </w:r>
      <w:r w:rsidR="006D4B4F">
        <w:t xml:space="preserve">principle of the autonomy of religious communities. In this </w:t>
      </w:r>
      <w:r>
        <w:t>connection</w:t>
      </w:r>
      <w:r w:rsidR="006D4B4F">
        <w:t xml:space="preserve"> </w:t>
      </w:r>
      <w:r w:rsidR="005625C6">
        <w:t>they observed</w:t>
      </w:r>
      <w:r w:rsidR="006D4B4F">
        <w:t xml:space="preserve"> that in t</w:t>
      </w:r>
      <w:r w:rsidR="005625C6">
        <w:t>wo cases relating to access to</w:t>
      </w:r>
      <w:r w:rsidR="006D4B4F">
        <w:t xml:space="preserve"> </w:t>
      </w:r>
      <w:r w:rsidR="008A6A40">
        <w:t xml:space="preserve">a </w:t>
      </w:r>
      <w:r w:rsidR="006D4B4F">
        <w:t xml:space="preserve">court </w:t>
      </w:r>
      <w:r w:rsidR="005625C6">
        <w:t>for</w:t>
      </w:r>
      <w:r w:rsidR="006D4B4F">
        <w:t xml:space="preserve"> priests wish</w:t>
      </w:r>
      <w:r w:rsidR="005625C6">
        <w:t>ing</w:t>
      </w:r>
      <w:r w:rsidR="006D4B4F">
        <w:t xml:space="preserve"> to </w:t>
      </w:r>
      <w:r w:rsidR="005625C6">
        <w:t xml:space="preserve">complain about </w:t>
      </w:r>
      <w:r w:rsidR="006D4B4F">
        <w:t xml:space="preserve">the </w:t>
      </w:r>
      <w:r w:rsidR="005625C6">
        <w:t>termination</w:t>
      </w:r>
      <w:r w:rsidR="006D4B4F">
        <w:t xml:space="preserve"> of a</w:t>
      </w:r>
      <w:r w:rsidR="008A6A40">
        <w:t>n</w:t>
      </w:r>
      <w:r w:rsidR="006D4B4F">
        <w:t xml:space="preserve"> </w:t>
      </w:r>
      <w:r w:rsidR="005625C6">
        <w:t xml:space="preserve">employment </w:t>
      </w:r>
      <w:r w:rsidR="008A6A40">
        <w:t xml:space="preserve">contract </w:t>
      </w:r>
      <w:r w:rsidR="006D4B4F">
        <w:t>and a transfer</w:t>
      </w:r>
      <w:r w:rsidR="005625C6">
        <w:t xml:space="preserve"> respectively, the Court had </w:t>
      </w:r>
      <w:r w:rsidR="008A6A40">
        <w:t>held</w:t>
      </w:r>
      <w:r w:rsidR="005625C6">
        <w:t xml:space="preserve"> that the</w:t>
      </w:r>
      <w:r w:rsidR="006D4B4F">
        <w:t xml:space="preserve"> internal autonomy </w:t>
      </w:r>
      <w:r w:rsidR="00621A6A">
        <w:t>of the Church and its decision-making</w:t>
      </w:r>
      <w:r w:rsidR="006D4B4F">
        <w:t xml:space="preserve"> independence </w:t>
      </w:r>
      <w:r w:rsidR="001E6100">
        <w:t xml:space="preserve">should prevail </w:t>
      </w:r>
      <w:r w:rsidR="006D4B4F">
        <w:t>(</w:t>
      </w:r>
      <w:r w:rsidR="001E6100">
        <w:t>they cited</w:t>
      </w:r>
      <w:r w:rsidR="006D4B4F">
        <w:t xml:space="preserve"> </w:t>
      </w:r>
      <w:r w:rsidRPr="000D71CC" w:rsidR="001E6100">
        <w:rPr>
          <w:i/>
        </w:rPr>
        <w:t>Dudov</w:t>
      </w:r>
      <w:r w:rsidR="001E6100">
        <w:rPr>
          <w:i/>
        </w:rPr>
        <w:t>á</w:t>
      </w:r>
      <w:r w:rsidRPr="000D71CC" w:rsidR="001E6100">
        <w:rPr>
          <w:i/>
        </w:rPr>
        <w:t xml:space="preserve"> and Duda v. </w:t>
      </w:r>
      <w:r w:rsidR="001E6100">
        <w:rPr>
          <w:i/>
        </w:rPr>
        <w:t>t</w:t>
      </w:r>
      <w:r w:rsidRPr="000D71CC" w:rsidR="001E6100">
        <w:rPr>
          <w:i/>
        </w:rPr>
        <w:t xml:space="preserve">he Czech Republic </w:t>
      </w:r>
      <w:r w:rsidRPr="000D71CC" w:rsidR="001E6100">
        <w:t>(dec.), n</w:t>
      </w:r>
      <w:r w:rsidR="001E6100">
        <w:t>o.</w:t>
      </w:r>
      <w:r w:rsidR="00D90018">
        <w:t> </w:t>
      </w:r>
      <w:r w:rsidRPr="000D71CC" w:rsidR="001E6100">
        <w:t>40224/98, 30 January 2001</w:t>
      </w:r>
      <w:r w:rsidR="001E6100">
        <w:t>,</w:t>
      </w:r>
      <w:r w:rsidRPr="000D71CC" w:rsidR="001E6100">
        <w:t xml:space="preserve"> and </w:t>
      </w:r>
      <w:r w:rsidRPr="000D71CC" w:rsidR="001E6100">
        <w:rPr>
          <w:i/>
          <w:lang w:eastAsia="en-US"/>
        </w:rPr>
        <w:t>Ahtinen v. Finland</w:t>
      </w:r>
      <w:r w:rsidRPr="000D71CC" w:rsidR="001E6100">
        <w:rPr>
          <w:lang w:eastAsia="en-US"/>
        </w:rPr>
        <w:t>, n</w:t>
      </w:r>
      <w:r w:rsidR="001E6100">
        <w:rPr>
          <w:lang w:eastAsia="en-US"/>
        </w:rPr>
        <w:t>o. 48907/99, 23 </w:t>
      </w:r>
      <w:r w:rsidRPr="000D71CC" w:rsidR="001E6100">
        <w:rPr>
          <w:lang w:eastAsia="en-US"/>
        </w:rPr>
        <w:t xml:space="preserve">September 2008). </w:t>
      </w:r>
      <w:r w:rsidR="001E6100">
        <w:rPr>
          <w:lang w:eastAsia="en-US"/>
        </w:rPr>
        <w:t xml:space="preserve">They further observed that, in view of the </w:t>
      </w:r>
      <w:r w:rsidRPr="000D71CC" w:rsidR="001E6100">
        <w:rPr>
          <w:lang w:eastAsia="en-US"/>
        </w:rPr>
        <w:t xml:space="preserve">importance </w:t>
      </w:r>
      <w:r w:rsidR="001E6100">
        <w:rPr>
          <w:lang w:eastAsia="en-US"/>
        </w:rPr>
        <w:t xml:space="preserve">of the </w:t>
      </w:r>
      <w:r w:rsidRPr="000D71CC" w:rsidR="001E6100">
        <w:rPr>
          <w:lang w:eastAsia="en-US"/>
        </w:rPr>
        <w:t>autonom</w:t>
      </w:r>
      <w:r w:rsidR="001E6100">
        <w:rPr>
          <w:lang w:eastAsia="en-US"/>
        </w:rPr>
        <w:t>y</w:t>
      </w:r>
      <w:r w:rsidRPr="000D71CC" w:rsidR="001E6100">
        <w:rPr>
          <w:lang w:eastAsia="en-US"/>
        </w:rPr>
        <w:t xml:space="preserve"> </w:t>
      </w:r>
      <w:r w:rsidR="001E6100">
        <w:rPr>
          <w:lang w:eastAsia="en-US"/>
        </w:rPr>
        <w:t>of religious</w:t>
      </w:r>
      <w:r w:rsidRPr="000D71CC" w:rsidR="001E6100">
        <w:rPr>
          <w:lang w:eastAsia="en-US"/>
        </w:rPr>
        <w:t xml:space="preserve"> communities, the State </w:t>
      </w:r>
      <w:r w:rsidR="001E6100">
        <w:rPr>
          <w:lang w:eastAsia="en-US"/>
        </w:rPr>
        <w:t xml:space="preserve">was required to refrain from interfering in the </w:t>
      </w:r>
      <w:r w:rsidRPr="000D71CC" w:rsidR="001E6100">
        <w:rPr>
          <w:lang w:eastAsia="en-US"/>
        </w:rPr>
        <w:t xml:space="preserve">organisation </w:t>
      </w:r>
      <w:r w:rsidR="001E6100">
        <w:t>of the Church.</w:t>
      </w:r>
      <w:r w:rsidR="004845E1">
        <w:rPr>
          <w:lang w:eastAsia="en-US"/>
        </w:rPr>
        <w:t xml:space="preserve"> </w:t>
      </w:r>
      <w:r w:rsidR="005F311A">
        <w:rPr>
          <w:lang w:eastAsia="en-US"/>
        </w:rPr>
        <w:t xml:space="preserve">This </w:t>
      </w:r>
      <w:r w:rsidR="009B11BB">
        <w:rPr>
          <w:lang w:eastAsia="en-US"/>
        </w:rPr>
        <w:t>had not been the case</w:t>
      </w:r>
      <w:r w:rsidR="005F311A">
        <w:rPr>
          <w:lang w:eastAsia="en-US"/>
        </w:rPr>
        <w:t xml:space="preserve">, </w:t>
      </w:r>
      <w:r w:rsidR="009B11BB">
        <w:rPr>
          <w:lang w:eastAsia="en-US"/>
        </w:rPr>
        <w:t xml:space="preserve">for example, in </w:t>
      </w:r>
      <w:r w:rsidR="001E6100">
        <w:rPr>
          <w:i/>
          <w:lang w:eastAsia="en-US"/>
        </w:rPr>
        <w:t>Holy</w:t>
      </w:r>
      <w:r w:rsidRPr="000D71CC" w:rsidR="001E6100">
        <w:rPr>
          <w:i/>
          <w:lang w:eastAsia="en-US"/>
        </w:rPr>
        <w:t xml:space="preserve"> Synod</w:t>
      </w:r>
      <w:r w:rsidR="001E6100">
        <w:rPr>
          <w:i/>
          <w:lang w:eastAsia="en-US"/>
        </w:rPr>
        <w:t xml:space="preserve"> of the Bulgarian Orthodox Church</w:t>
      </w:r>
      <w:r w:rsidRPr="000D71CC" w:rsidR="001E6100">
        <w:rPr>
          <w:i/>
          <w:lang w:eastAsia="en-US"/>
        </w:rPr>
        <w:t xml:space="preserve"> (</w:t>
      </w:r>
      <w:r w:rsidR="001E6100">
        <w:rPr>
          <w:i/>
          <w:lang w:eastAsia="en-US"/>
        </w:rPr>
        <w:t>Met</w:t>
      </w:r>
      <w:r w:rsidRPr="000D71CC" w:rsidR="001E6100">
        <w:rPr>
          <w:i/>
          <w:lang w:eastAsia="en-US"/>
        </w:rPr>
        <w:t>ropolit</w:t>
      </w:r>
      <w:r w:rsidR="001E6100">
        <w:rPr>
          <w:i/>
          <w:lang w:eastAsia="en-US"/>
        </w:rPr>
        <w:t>an</w:t>
      </w:r>
      <w:r w:rsidRPr="000D71CC" w:rsidR="001E6100">
        <w:rPr>
          <w:i/>
          <w:lang w:eastAsia="en-US"/>
        </w:rPr>
        <w:t xml:space="preserve"> Ino</w:t>
      </w:r>
      <w:r w:rsidR="001E6100">
        <w:rPr>
          <w:i/>
          <w:lang w:eastAsia="en-US"/>
        </w:rPr>
        <w:t>k</w:t>
      </w:r>
      <w:r w:rsidRPr="000D71CC" w:rsidR="001E6100">
        <w:rPr>
          <w:i/>
          <w:lang w:eastAsia="en-US"/>
        </w:rPr>
        <w:t>ent</w:t>
      </w:r>
      <w:r w:rsidR="001E6100">
        <w:rPr>
          <w:i/>
          <w:lang w:eastAsia="en-US"/>
        </w:rPr>
        <w:t>iy</w:t>
      </w:r>
      <w:r w:rsidRPr="000D71CC" w:rsidR="001E6100">
        <w:rPr>
          <w:i/>
          <w:lang w:eastAsia="en-US"/>
        </w:rPr>
        <w:t>) and Others v. Bulgaria</w:t>
      </w:r>
      <w:r w:rsidRPr="000D71CC" w:rsidR="001E6100">
        <w:t xml:space="preserve"> (n</w:t>
      </w:r>
      <w:r w:rsidR="001E6100">
        <w:t>os.</w:t>
      </w:r>
      <w:r w:rsidRPr="000D71CC" w:rsidR="001E6100">
        <w:t xml:space="preserve"> 412/03 and 35677/04, 22 January 2009).</w:t>
      </w:r>
    </w:p>
    <w:p w:rsidRPr="000D71CC" w:rsidR="00090354" w:rsidP="00090354" w:rsidRDefault="004845E1">
      <w:pPr>
        <w:pStyle w:val="JuPara"/>
      </w:pPr>
      <w:r>
        <w:fldChar w:fldCharType="begin"/>
      </w:r>
      <w:r>
        <w:instrText xml:space="preserve"> SEQ level0 \*arabic </w:instrText>
      </w:r>
      <w:r>
        <w:fldChar w:fldCharType="separate"/>
      </w:r>
      <w:r w:rsidR="00F47D5E">
        <w:rPr>
          <w:noProof/>
        </w:rPr>
        <w:t>50</w:t>
      </w:r>
      <w:r>
        <w:fldChar w:fldCharType="end"/>
      </w:r>
      <w:r>
        <w:t>.  </w:t>
      </w:r>
      <w:r w:rsidR="006D4B4F">
        <w:t xml:space="preserve">In </w:t>
      </w:r>
      <w:r>
        <w:t>the light of these considerations, the Government concluded</w:t>
      </w:r>
      <w:r w:rsidR="006D4B4F">
        <w:t xml:space="preserve"> that </w:t>
      </w:r>
      <w:r>
        <w:t>a fair</w:t>
      </w:r>
      <w:r w:rsidR="006D4B4F">
        <w:t xml:space="preserve"> balance between the applicant</w:t>
      </w:r>
      <w:r>
        <w:t xml:space="preserve"> union</w:t>
      </w:r>
      <w:r w:rsidR="00F47D5E">
        <w:t>’</w:t>
      </w:r>
      <w:r>
        <w:t>s individual interest</w:t>
      </w:r>
      <w:r w:rsidR="006D4B4F">
        <w:t xml:space="preserve"> (</w:t>
      </w:r>
      <w:r>
        <w:t xml:space="preserve">in securing recognition of its </w:t>
      </w:r>
      <w:r w:rsidR="006D4B4F">
        <w:t xml:space="preserve">right to freedom of association) and the </w:t>
      </w:r>
      <w:r>
        <w:t>State</w:t>
      </w:r>
      <w:r w:rsidR="00F47D5E">
        <w:t>’</w:t>
      </w:r>
      <w:r>
        <w:t xml:space="preserve">s </w:t>
      </w:r>
      <w:r w:rsidR="006D4B4F">
        <w:t>obligatio</w:t>
      </w:r>
      <w:r>
        <w:t>n</w:t>
      </w:r>
      <w:r w:rsidR="006D4B4F">
        <w:t xml:space="preserve"> (to respect the autonomy of religious communities) </w:t>
      </w:r>
      <w:r>
        <w:t>had not been upset.</w:t>
      </w:r>
    </w:p>
    <w:p w:rsidRPr="000D71CC" w:rsidR="00090354" w:rsidP="00090354" w:rsidRDefault="00B33033">
      <w:pPr>
        <w:pStyle w:val="JuH1"/>
      </w:pPr>
      <w:r>
        <w:t>2.  </w:t>
      </w:r>
      <w:r w:rsidRPr="000D71CC" w:rsidR="00090354">
        <w:t>The third parties</w:t>
      </w:r>
      <w:r w:rsidR="00F47D5E">
        <w:t>’</w:t>
      </w:r>
      <w:r w:rsidRPr="000D71CC" w:rsidR="00090354">
        <w:t xml:space="preserve"> observations</w:t>
      </w:r>
    </w:p>
    <w:p w:rsidRPr="000D71CC" w:rsidR="00090354" w:rsidP="00090354" w:rsidRDefault="007E645B">
      <w:pPr>
        <w:pStyle w:val="JuHa0"/>
        <w:rPr>
          <w:lang w:eastAsia="en-US"/>
        </w:rPr>
      </w:pPr>
      <w:r w:rsidRPr="000D71CC">
        <w:rPr>
          <w:lang w:eastAsia="en-US"/>
        </w:rPr>
        <w:t>(</w:t>
      </w:r>
      <w:r w:rsidR="00B33033">
        <w:rPr>
          <w:lang w:eastAsia="en-US"/>
        </w:rPr>
        <w:t>a)  </w:t>
      </w:r>
      <w:r w:rsidR="001E60AD">
        <w:rPr>
          <w:lang w:eastAsia="en-US"/>
        </w:rPr>
        <w:t>The Archdiocese</w:t>
      </w:r>
      <w:r w:rsidRPr="000D71CC" w:rsidR="00090354">
        <w:rPr>
          <w:lang w:eastAsia="en-US"/>
        </w:rPr>
        <w:t xml:space="preserve"> </w:t>
      </w:r>
      <w:r w:rsidR="00B33033">
        <w:rPr>
          <w:lang w:eastAsia="en-US"/>
        </w:rPr>
        <w:t>of</w:t>
      </w:r>
      <w:r w:rsidRPr="000D71CC" w:rsidR="00090354">
        <w:rPr>
          <w:lang w:eastAsia="en-US"/>
        </w:rPr>
        <w:t xml:space="preserve"> Craiova</w:t>
      </w:r>
    </w:p>
    <w:p w:rsidR="00B85267" w:rsidP="00B85267" w:rsidRDefault="007E645B">
      <w:pPr>
        <w:pStyle w:val="JuPara"/>
        <w:rPr>
          <w:lang w:eastAsia="en-US"/>
        </w:rPr>
      </w:pPr>
      <w:r w:rsidRPr="000D71CC">
        <w:rPr>
          <w:lang w:eastAsia="en-US"/>
        </w:rPr>
        <w:fldChar w:fldCharType="begin"/>
      </w:r>
      <w:r w:rsidRPr="000D71CC">
        <w:rPr>
          <w:lang w:eastAsia="en-US"/>
        </w:rPr>
        <w:instrText xml:space="preserve"> SEQ level0 \*arabic </w:instrText>
      </w:r>
      <w:r w:rsidRPr="000D71CC">
        <w:rPr>
          <w:lang w:eastAsia="en-US"/>
        </w:rPr>
        <w:fldChar w:fldCharType="separate"/>
      </w:r>
      <w:r w:rsidR="00F47D5E">
        <w:rPr>
          <w:noProof/>
          <w:lang w:eastAsia="en-US"/>
        </w:rPr>
        <w:t>51</w:t>
      </w:r>
      <w:r w:rsidRPr="000D71CC">
        <w:rPr>
          <w:lang w:eastAsia="en-US"/>
        </w:rPr>
        <w:fldChar w:fldCharType="end"/>
      </w:r>
      <w:r w:rsidRPr="000D71CC">
        <w:rPr>
          <w:lang w:eastAsia="en-US"/>
        </w:rPr>
        <w:t>.  </w:t>
      </w:r>
      <w:r w:rsidR="005325A2">
        <w:rPr>
          <w:lang w:eastAsia="en-US"/>
        </w:rPr>
        <w:t xml:space="preserve">The third-party intervener submitted that </w:t>
      </w:r>
      <w:r w:rsidR="00B85267">
        <w:rPr>
          <w:lang w:eastAsia="en-US"/>
        </w:rPr>
        <w:t xml:space="preserve">the right guaranteed by Article 11 of the Convention was not absolute and that the protection of religious freedom could justify restrictions on the exercise of the right to freedom of association where </w:t>
      </w:r>
      <w:r w:rsidR="005F311A">
        <w:rPr>
          <w:lang w:eastAsia="en-US"/>
        </w:rPr>
        <w:t>the latter</w:t>
      </w:r>
      <w:r w:rsidR="00B85267">
        <w:rPr>
          <w:lang w:eastAsia="en-US"/>
        </w:rPr>
        <w:t xml:space="preserve"> called into question the principle of the autonomy of religious communities.</w:t>
      </w:r>
    </w:p>
    <w:p w:rsidR="00B85267" w:rsidP="00B85267" w:rsidRDefault="00B85267">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F47D5E">
        <w:rPr>
          <w:noProof/>
          <w:lang w:eastAsia="en-US"/>
        </w:rPr>
        <w:t>52</w:t>
      </w:r>
      <w:r>
        <w:rPr>
          <w:lang w:eastAsia="en-US"/>
        </w:rPr>
        <w:fldChar w:fldCharType="end"/>
      </w:r>
      <w:r>
        <w:rPr>
          <w:lang w:eastAsia="en-US"/>
        </w:rPr>
        <w:t xml:space="preserve">.  It asserted that within the Romanian Orthodox Church, priests performed their duties by virtue of a </w:t>
      </w:r>
      <w:r w:rsidR="003A35C4">
        <w:rPr>
          <w:lang w:eastAsia="en-US"/>
        </w:rPr>
        <w:t xml:space="preserve">freely undertaken </w:t>
      </w:r>
      <w:r>
        <w:rPr>
          <w:lang w:eastAsia="en-US"/>
        </w:rPr>
        <w:t>prior agreement in the form of an oath taken by each member of the clergy. The parties</w:t>
      </w:r>
      <w:r w:rsidR="005F311A">
        <w:rPr>
          <w:lang w:eastAsia="en-US"/>
        </w:rPr>
        <w:t xml:space="preserve"> concerned</w:t>
      </w:r>
      <w:r>
        <w:rPr>
          <w:lang w:eastAsia="en-US"/>
        </w:rPr>
        <w:t xml:space="preserve"> were not bound by a contract governed by labour law and, accordingly, Church employees could not rely on employment legislation to demand the </w:t>
      </w:r>
      <w:r w:rsidR="005F311A">
        <w:rPr>
          <w:lang w:eastAsia="en-US"/>
        </w:rPr>
        <w:t>establishment</w:t>
      </w:r>
      <w:r>
        <w:rPr>
          <w:lang w:eastAsia="en-US"/>
        </w:rPr>
        <w:t xml:space="preserve"> of a trade union to defend rights falling specifically under labour law. As regards subordination to the Church hierarchy, the intervener maintained that </w:t>
      </w:r>
      <w:r w:rsidR="00621022">
        <w:rPr>
          <w:lang w:eastAsia="en-US"/>
        </w:rPr>
        <w:t>this simply entailed free and devoted</w:t>
      </w:r>
      <w:r>
        <w:rPr>
          <w:lang w:eastAsia="en-US"/>
        </w:rPr>
        <w:t xml:space="preserve"> submission</w:t>
      </w:r>
      <w:r w:rsidR="00621022">
        <w:rPr>
          <w:lang w:eastAsia="en-US"/>
        </w:rPr>
        <w:t xml:space="preserve"> to the faith</w:t>
      </w:r>
      <w:r>
        <w:rPr>
          <w:lang w:eastAsia="en-US"/>
        </w:rPr>
        <w:t>.</w:t>
      </w:r>
    </w:p>
    <w:p w:rsidRPr="000D71CC" w:rsidR="00090354" w:rsidP="00090354" w:rsidRDefault="00AD12AC">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F47D5E">
        <w:rPr>
          <w:noProof/>
          <w:lang w:eastAsia="en-US"/>
        </w:rPr>
        <w:t>53</w:t>
      </w:r>
      <w:r>
        <w:rPr>
          <w:lang w:eastAsia="en-US"/>
        </w:rPr>
        <w:fldChar w:fldCharType="end"/>
      </w:r>
      <w:r>
        <w:rPr>
          <w:lang w:eastAsia="en-US"/>
        </w:rPr>
        <w:t xml:space="preserve">.  The intervener further </w:t>
      </w:r>
      <w:r w:rsidR="005F311A">
        <w:rPr>
          <w:lang w:eastAsia="en-US"/>
        </w:rPr>
        <w:t>stated</w:t>
      </w:r>
      <w:r>
        <w:rPr>
          <w:lang w:eastAsia="en-US"/>
        </w:rPr>
        <w:t xml:space="preserve"> that court decisions in</w:t>
      </w:r>
      <w:r w:rsidR="00B85267">
        <w:rPr>
          <w:lang w:eastAsia="en-US"/>
        </w:rPr>
        <w:t xml:space="preserve"> various European countries, </w:t>
      </w:r>
      <w:r w:rsidR="005F311A">
        <w:rPr>
          <w:lang w:eastAsia="en-US"/>
        </w:rPr>
        <w:t>among them</w:t>
      </w:r>
      <w:r w:rsidR="00B85267">
        <w:rPr>
          <w:lang w:eastAsia="en-US"/>
        </w:rPr>
        <w:t xml:space="preserve"> France, </w:t>
      </w:r>
      <w:r w:rsidR="005F311A">
        <w:rPr>
          <w:lang w:eastAsia="en-US"/>
        </w:rPr>
        <w:t xml:space="preserve">had </w:t>
      </w:r>
      <w:r w:rsidR="00B85267">
        <w:rPr>
          <w:lang w:eastAsia="en-US"/>
        </w:rPr>
        <w:t>acknowledge</w:t>
      </w:r>
      <w:r>
        <w:rPr>
          <w:lang w:eastAsia="en-US"/>
        </w:rPr>
        <w:t>d</w:t>
      </w:r>
      <w:r w:rsidR="00B85267">
        <w:rPr>
          <w:lang w:eastAsia="en-US"/>
        </w:rPr>
        <w:t xml:space="preserve"> that relationships </w:t>
      </w:r>
      <w:r>
        <w:rPr>
          <w:lang w:eastAsia="en-US"/>
        </w:rPr>
        <w:t>resulting</w:t>
      </w:r>
      <w:r w:rsidR="00B85267">
        <w:rPr>
          <w:lang w:eastAsia="en-US"/>
        </w:rPr>
        <w:t xml:space="preserve"> from the specific mission of the Church </w:t>
      </w:r>
      <w:r>
        <w:rPr>
          <w:lang w:eastAsia="en-US"/>
        </w:rPr>
        <w:t>we</w:t>
      </w:r>
      <w:r w:rsidR="00B85267">
        <w:rPr>
          <w:lang w:eastAsia="en-US"/>
        </w:rPr>
        <w:t xml:space="preserve">re different from those </w:t>
      </w:r>
      <w:r w:rsidR="006F26DE">
        <w:rPr>
          <w:lang w:eastAsia="en-US"/>
        </w:rPr>
        <w:t>deriving</w:t>
      </w:r>
      <w:r w:rsidR="00B85267">
        <w:rPr>
          <w:lang w:eastAsia="en-US"/>
        </w:rPr>
        <w:t xml:space="preserve"> from labo</w:t>
      </w:r>
      <w:r>
        <w:rPr>
          <w:lang w:eastAsia="en-US"/>
        </w:rPr>
        <w:t>u</w:t>
      </w:r>
      <w:r w:rsidR="00B85267">
        <w:rPr>
          <w:lang w:eastAsia="en-US"/>
        </w:rPr>
        <w:t>r law</w:t>
      </w:r>
      <w:r w:rsidRPr="000D71CC" w:rsidR="00090354">
        <w:rPr>
          <w:lang w:eastAsia="en-US"/>
        </w:rPr>
        <w:t>.</w:t>
      </w:r>
    </w:p>
    <w:p w:rsidRPr="000D71CC" w:rsidR="00090354" w:rsidP="00090354" w:rsidRDefault="007E645B">
      <w:pPr>
        <w:pStyle w:val="JuHa0"/>
      </w:pPr>
      <w:r w:rsidRPr="000D71CC">
        <w:t>(</w:t>
      </w:r>
      <w:r w:rsidR="00B33033">
        <w:t>b)  European Centre for Law and Justice</w:t>
      </w:r>
      <w:r w:rsidR="005F311A">
        <w:t xml:space="preserve"> (ECLJ)</w:t>
      </w:r>
    </w:p>
    <w:p w:rsidR="00877321" w:rsidP="00877321" w:rsidRDefault="00877321">
      <w:pPr>
        <w:pStyle w:val="JuPara"/>
      </w:pPr>
      <w:r>
        <w:fldChar w:fldCharType="begin"/>
      </w:r>
      <w:r>
        <w:instrText xml:space="preserve"> SEQ level0 \*arabic </w:instrText>
      </w:r>
      <w:r>
        <w:fldChar w:fldCharType="separate"/>
      </w:r>
      <w:r w:rsidR="00F47D5E">
        <w:rPr>
          <w:noProof/>
        </w:rPr>
        <w:t>54</w:t>
      </w:r>
      <w:r>
        <w:fldChar w:fldCharType="end"/>
      </w:r>
      <w:r>
        <w:t xml:space="preserve">.  The </w:t>
      </w:r>
      <w:r w:rsidR="005F311A">
        <w:t>ECLJ</w:t>
      </w:r>
      <w:r>
        <w:t xml:space="preserve"> submitted that in accordance with the principle of the autonomy of religious communities, the Church could legitimately prohibit its clergy from forming a trade union if it considered such a body to be harmful to the community.</w:t>
      </w:r>
    </w:p>
    <w:p w:rsidR="00877321" w:rsidP="00877321" w:rsidRDefault="00877321">
      <w:pPr>
        <w:pStyle w:val="JuPara"/>
      </w:pPr>
      <w:r>
        <w:fldChar w:fldCharType="begin"/>
      </w:r>
      <w:r>
        <w:instrText xml:space="preserve"> SEQ level0 \*arabic </w:instrText>
      </w:r>
      <w:r>
        <w:fldChar w:fldCharType="separate"/>
      </w:r>
      <w:r w:rsidR="00F47D5E">
        <w:rPr>
          <w:noProof/>
        </w:rPr>
        <w:t>55</w:t>
      </w:r>
      <w:r>
        <w:fldChar w:fldCharType="end"/>
      </w:r>
      <w:r>
        <w:t xml:space="preserve">.  It pointed out that the obligation </w:t>
      </w:r>
      <w:r w:rsidR="00074C56">
        <w:t>to act in</w:t>
      </w:r>
      <w:r>
        <w:t xml:space="preserve"> good faith and </w:t>
      </w:r>
      <w:r w:rsidR="00074C56">
        <w:t xml:space="preserve">with </w:t>
      </w:r>
      <w:r>
        <w:t>loyalty to the eth</w:t>
      </w:r>
      <w:r w:rsidR="00074C56">
        <w:t>os</w:t>
      </w:r>
      <w:r>
        <w:t xml:space="preserve"> of the Church ha</w:t>
      </w:r>
      <w:r w:rsidR="00074C56">
        <w:t>d been recognis</w:t>
      </w:r>
      <w:r>
        <w:t xml:space="preserve">ed both in Council Directive 78/2000/EC of 27 November 2000 and in the </w:t>
      </w:r>
      <w:r w:rsidR="00074C56">
        <w:t>Court</w:t>
      </w:r>
      <w:r w:rsidR="00F47D5E">
        <w:t>’</w:t>
      </w:r>
      <w:r w:rsidR="00074C56">
        <w:t>s case-law</w:t>
      </w:r>
      <w:r>
        <w:t>.</w:t>
      </w:r>
    </w:p>
    <w:p w:rsidRPr="000D71CC" w:rsidR="00090354" w:rsidP="00090354" w:rsidRDefault="00074C56">
      <w:pPr>
        <w:pStyle w:val="JuPara"/>
      </w:pPr>
      <w:r>
        <w:fldChar w:fldCharType="begin"/>
      </w:r>
      <w:r>
        <w:instrText xml:space="preserve"> SEQ level0 \*arabic </w:instrText>
      </w:r>
      <w:r>
        <w:fldChar w:fldCharType="separate"/>
      </w:r>
      <w:r w:rsidR="00F47D5E">
        <w:rPr>
          <w:noProof/>
        </w:rPr>
        <w:t>56</w:t>
      </w:r>
      <w:r>
        <w:fldChar w:fldCharType="end"/>
      </w:r>
      <w:r>
        <w:t xml:space="preserve">.  Accordingly, it contended that </w:t>
      </w:r>
      <w:r w:rsidR="00877321">
        <w:t>the proportionality of any interference with the right to organi</w:t>
      </w:r>
      <w:r>
        <w:t>s</w:t>
      </w:r>
      <w:r w:rsidR="00877321">
        <w:t xml:space="preserve">e </w:t>
      </w:r>
      <w:r>
        <w:t>had to</w:t>
      </w:r>
      <w:r w:rsidR="00877321">
        <w:t xml:space="preserve"> be assessed </w:t>
      </w:r>
      <w:r>
        <w:t>with due regard</w:t>
      </w:r>
      <w:r w:rsidR="00877321">
        <w:t xml:space="preserve"> to this eth</w:t>
      </w:r>
      <w:r>
        <w:t>os</w:t>
      </w:r>
      <w:r w:rsidR="00877321">
        <w:t xml:space="preserve">. </w:t>
      </w:r>
      <w:r>
        <w:t>B</w:t>
      </w:r>
      <w:r w:rsidR="00877321">
        <w:t xml:space="preserve">y joining a church, </w:t>
      </w:r>
      <w:r>
        <w:t xml:space="preserve">believers and </w:t>
      </w:r>
      <w:r w:rsidR="00877321">
        <w:t>the clergy freely accept</w:t>
      </w:r>
      <w:r>
        <w:t>ed</w:t>
      </w:r>
      <w:r w:rsidR="00877321">
        <w:t xml:space="preserve"> a duty of obedience, which </w:t>
      </w:r>
      <w:r>
        <w:t>entailed</w:t>
      </w:r>
      <w:r w:rsidR="00877321">
        <w:t xml:space="preserve"> waiv</w:t>
      </w:r>
      <w:r>
        <w:t>ing</w:t>
      </w:r>
      <w:r w:rsidR="00877321">
        <w:t xml:space="preserve"> certain </w:t>
      </w:r>
      <w:r>
        <w:t xml:space="preserve">fundamental </w:t>
      </w:r>
      <w:r w:rsidR="00877321">
        <w:t xml:space="preserve">rights and freedoms, including the </w:t>
      </w:r>
      <w:r>
        <w:t>possibility of</w:t>
      </w:r>
      <w:r w:rsidR="00877321">
        <w:t xml:space="preserve"> form</w:t>
      </w:r>
      <w:r>
        <w:t>ing</w:t>
      </w:r>
      <w:r w:rsidR="00877321">
        <w:t xml:space="preserve"> a trade union or </w:t>
      </w:r>
      <w:r>
        <w:t xml:space="preserve">any </w:t>
      </w:r>
      <w:r w:rsidR="00877321">
        <w:t xml:space="preserve">other association without prior approval </w:t>
      </w:r>
      <w:r w:rsidR="005F311A">
        <w:t>from</w:t>
      </w:r>
      <w:r w:rsidR="00877321">
        <w:t xml:space="preserve"> the hierarchy. The </w:t>
      </w:r>
      <w:r>
        <w:t>S</w:t>
      </w:r>
      <w:r w:rsidR="00877321">
        <w:t xml:space="preserve">tate should </w:t>
      </w:r>
      <w:r>
        <w:t xml:space="preserve">therefore </w:t>
      </w:r>
      <w:r w:rsidR="00877321">
        <w:t>respect th</w:t>
      </w:r>
      <w:r>
        <w:t>is</w:t>
      </w:r>
      <w:r w:rsidR="00877321">
        <w:t xml:space="preserve"> vow of obedience and </w:t>
      </w:r>
      <w:r>
        <w:t>recognise</w:t>
      </w:r>
      <w:r w:rsidR="00877321">
        <w:t xml:space="preserve"> the</w:t>
      </w:r>
      <w:r>
        <w:t xml:space="preserve"> Church</w:t>
      </w:r>
      <w:r w:rsidR="00F47D5E">
        <w:t>’</w:t>
      </w:r>
      <w:r>
        <w:t>s</w:t>
      </w:r>
      <w:r w:rsidR="00877321">
        <w:t xml:space="preserve"> legitimate interest </w:t>
      </w:r>
      <w:r>
        <w:t xml:space="preserve">in </w:t>
      </w:r>
      <w:r w:rsidR="00877321">
        <w:t>not allow</w:t>
      </w:r>
      <w:r>
        <w:t>ing</w:t>
      </w:r>
      <w:r w:rsidR="00877321">
        <w:t xml:space="preserve"> its clergy to </w:t>
      </w:r>
      <w:r>
        <w:t>form</w:t>
      </w:r>
      <w:r w:rsidR="00877321">
        <w:t xml:space="preserve"> a union that </w:t>
      </w:r>
      <w:r>
        <w:t xml:space="preserve">would </w:t>
      </w:r>
      <w:r w:rsidR="00CB4852">
        <w:t>undermine</w:t>
      </w:r>
      <w:r w:rsidR="00877321">
        <w:t xml:space="preserve"> its structure and </w:t>
      </w:r>
      <w:r w:rsidR="00295D4B">
        <w:t>impair the essence of its beliefs.</w:t>
      </w:r>
    </w:p>
    <w:p w:rsidRPr="000D71CC" w:rsidR="00090354" w:rsidP="00090354" w:rsidRDefault="007E645B">
      <w:pPr>
        <w:pStyle w:val="JuH1"/>
      </w:pPr>
      <w:r w:rsidRPr="000D71CC">
        <w:t>3.  </w:t>
      </w:r>
      <w:r w:rsidRPr="000D71CC" w:rsidR="00090354">
        <w:t>The Court</w:t>
      </w:r>
      <w:r w:rsidR="00F47D5E">
        <w:t>’</w:t>
      </w:r>
      <w:r w:rsidRPr="000D71CC" w:rsidR="00090354">
        <w:t>s assessment</w:t>
      </w:r>
    </w:p>
    <w:p w:rsidRPr="000D71CC" w:rsidR="00090354" w:rsidP="00090354" w:rsidRDefault="0024626D">
      <w:pPr>
        <w:pStyle w:val="JuHa0"/>
        <w:rPr>
          <w:lang w:eastAsia="ar-SA"/>
        </w:rPr>
      </w:pPr>
      <w:r>
        <w:rPr>
          <w:lang w:eastAsia="ar-SA"/>
        </w:rPr>
        <w:t>(a)  </w:t>
      </w:r>
      <w:r w:rsidR="00966DC4">
        <w:rPr>
          <w:lang w:eastAsia="ar-SA"/>
        </w:rPr>
        <w:t>General p</w:t>
      </w:r>
      <w:r w:rsidRPr="000D71CC" w:rsidR="00090354">
        <w:rPr>
          <w:lang w:eastAsia="ar-SA"/>
        </w:rPr>
        <w:t>rincip</w:t>
      </w:r>
      <w:r w:rsidR="00966DC4">
        <w:rPr>
          <w:lang w:eastAsia="ar-SA"/>
        </w:rPr>
        <w:t>l</w:t>
      </w:r>
      <w:r w:rsidRPr="000D71CC" w:rsidR="00090354">
        <w:rPr>
          <w:lang w:eastAsia="ar-SA"/>
        </w:rPr>
        <w:t>es concern</w:t>
      </w:r>
      <w:r w:rsidR="00966DC4">
        <w:rPr>
          <w:lang w:eastAsia="ar-SA"/>
        </w:rPr>
        <w:t>ing the content of the right to organise</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57</w:t>
      </w:r>
      <w:r w:rsidRPr="000D71CC">
        <w:fldChar w:fldCharType="end"/>
      </w:r>
      <w:r w:rsidRPr="000D71CC">
        <w:t>.  </w:t>
      </w:r>
      <w:r w:rsidRPr="000D71CC" w:rsidR="00090354">
        <w:t xml:space="preserve">The Court reiterates that the essential object of Article 11 is to protect the individual against arbitrary interference by public authorities with the exercise of the rights it protects. </w:t>
      </w:r>
      <w:r w:rsidR="00966DC4">
        <w:t>I</w:t>
      </w:r>
      <w:r w:rsidRPr="00966DC4" w:rsidR="00966DC4">
        <w:t>n addition</w:t>
      </w:r>
      <w:r w:rsidR="00966DC4">
        <w:t>, it entails a</w:t>
      </w:r>
      <w:r w:rsidRPr="00966DC4" w:rsidR="00966DC4">
        <w:t xml:space="preserve"> positive obligation to secure the effective enjoyment of these rights</w:t>
      </w:r>
      <w:r w:rsidRPr="000D71CC" w:rsidR="00090354">
        <w:t xml:space="preserve"> (</w:t>
      </w:r>
      <w:r w:rsidR="0024626D">
        <w:t xml:space="preserve">see </w:t>
      </w:r>
      <w:r w:rsidRPr="000D71CC" w:rsidR="00090354">
        <w:rPr>
          <w:i/>
        </w:rPr>
        <w:t xml:space="preserve">Wilson, National Union of Journalists </w:t>
      </w:r>
      <w:r w:rsidRPr="000D71CC" w:rsidR="009D4FA5">
        <w:rPr>
          <w:i/>
        </w:rPr>
        <w:t>and Others v.</w:t>
      </w:r>
      <w:r w:rsidRPr="000D71CC" w:rsidR="00090354">
        <w:rPr>
          <w:i/>
        </w:rPr>
        <w:t xml:space="preserve"> </w:t>
      </w:r>
      <w:r w:rsidRPr="000D71CC" w:rsidR="009D4FA5">
        <w:rPr>
          <w:i/>
        </w:rPr>
        <w:t>the United Kingdom</w:t>
      </w:r>
      <w:r w:rsidRPr="000D71CC" w:rsidR="00090354">
        <w:t>, n</w:t>
      </w:r>
      <w:r w:rsidR="0024626D">
        <w:t>os.</w:t>
      </w:r>
      <w:r w:rsidR="00966DC4">
        <w:t> </w:t>
      </w:r>
      <w:r w:rsidRPr="000D71CC" w:rsidR="00090354">
        <w:t xml:space="preserve">30668/96, 30671/96 </w:t>
      </w:r>
      <w:r w:rsidRPr="000D71CC" w:rsidR="009D4FA5">
        <w:t>and</w:t>
      </w:r>
      <w:r w:rsidRPr="000D71CC" w:rsidR="00090354">
        <w:t xml:space="preserve"> 30678/96, § 41, </w:t>
      </w:r>
      <w:r w:rsidRPr="000D71CC" w:rsidR="009D4FA5">
        <w:t>ECHR</w:t>
      </w:r>
      <w:r w:rsidRPr="000D71CC" w:rsidR="00090354">
        <w:t xml:space="preserve"> 2002-V).</w:t>
      </w:r>
    </w:p>
    <w:p w:rsidRPr="000D71CC" w:rsidR="00090354" w:rsidP="00090354" w:rsidRDefault="007E645B">
      <w:pPr>
        <w:pStyle w:val="JuPara"/>
        <w:rPr>
          <w:lang w:eastAsia="en-US"/>
        </w:rPr>
      </w:pPr>
      <w:r w:rsidRPr="000D71CC">
        <w:fldChar w:fldCharType="begin"/>
      </w:r>
      <w:r w:rsidRPr="000D71CC">
        <w:instrText xml:space="preserve"> SEQ level0 \*arabic </w:instrText>
      </w:r>
      <w:r w:rsidRPr="000D71CC">
        <w:fldChar w:fldCharType="separate"/>
      </w:r>
      <w:r w:rsidR="00F47D5E">
        <w:rPr>
          <w:noProof/>
        </w:rPr>
        <w:t>58</w:t>
      </w:r>
      <w:r w:rsidRPr="000D71CC">
        <w:fldChar w:fldCharType="end"/>
      </w:r>
      <w:r w:rsidRPr="000D71CC">
        <w:t>.  </w:t>
      </w:r>
      <w:r w:rsidRPr="000D71CC" w:rsidR="00090354">
        <w:t>As regards trade-union freedom, which is a particular aspect of freedom of association, the Court reiterates that Article 11 of the Convention safeguards freedom to protect the occupational interests of trade union members by trade union action, the conduct and development of which the Contracting States must both permit and make possible. A trade union must thus be free to strive for the protection of its members</w:t>
      </w:r>
      <w:r w:rsidR="00F47D5E">
        <w:t>’</w:t>
      </w:r>
      <w:r w:rsidRPr="000D71CC" w:rsidR="00090354">
        <w:t xml:space="preserve"> interests, and the individual members have a right, in order to protect their interests, </w:t>
      </w:r>
      <w:r w:rsidR="003A6545">
        <w:t>for</w:t>
      </w:r>
      <w:r w:rsidRPr="000D71CC" w:rsidR="00090354">
        <w:t xml:space="preserve"> the trade union </w:t>
      </w:r>
      <w:r w:rsidR="003A6545">
        <w:t xml:space="preserve">to </w:t>
      </w:r>
      <w:r w:rsidRPr="000D71CC" w:rsidR="00090354">
        <w:t xml:space="preserve">be heard (see </w:t>
      </w:r>
      <w:r w:rsidRPr="0024626D" w:rsidR="00090354">
        <w:rPr>
          <w:i/>
        </w:rPr>
        <w:t>Nati</w:t>
      </w:r>
      <w:r w:rsidR="003A6545">
        <w:rPr>
          <w:i/>
        </w:rPr>
        <w:t>onal Union of Belgian Police v. </w:t>
      </w:r>
      <w:r w:rsidRPr="0024626D" w:rsidR="00090354">
        <w:rPr>
          <w:i/>
        </w:rPr>
        <w:t>Belgium</w:t>
      </w:r>
      <w:r w:rsidRPr="000D71CC" w:rsidR="00090354">
        <w:t xml:space="preserve">, 27 October 1975, §§ 39-40, Series A no. 19, and </w:t>
      </w:r>
      <w:r w:rsidRPr="0024626D" w:rsidR="00090354">
        <w:rPr>
          <w:i/>
        </w:rPr>
        <w:t>Swedish Engine Drivers</w:t>
      </w:r>
      <w:r w:rsidR="00F47D5E">
        <w:rPr>
          <w:i/>
        </w:rPr>
        <w:t>’</w:t>
      </w:r>
      <w:r w:rsidRPr="0024626D" w:rsidR="00090354">
        <w:rPr>
          <w:i/>
        </w:rPr>
        <w:t xml:space="preserve"> Union v. Sweden</w:t>
      </w:r>
      <w:r w:rsidRPr="000D71CC" w:rsidR="00090354">
        <w:t>, 6 February 1976, §§ 40-41, Series A no</w:t>
      </w:r>
      <w:r w:rsidR="008C2999">
        <w:t>. </w:t>
      </w:r>
      <w:r w:rsidRPr="000D71CC" w:rsidR="00090354">
        <w:t>20</w:t>
      </w:r>
      <w:r w:rsidRPr="000D71CC" w:rsidR="00090354">
        <w:rPr>
          <w:lang w:eastAsia="en-US"/>
        </w:rPr>
        <w:t xml:space="preserve">). </w:t>
      </w:r>
      <w:r w:rsidR="008C2999">
        <w:rPr>
          <w:lang w:eastAsia="en-US"/>
        </w:rPr>
        <w:t>If</w:t>
      </w:r>
      <w:r w:rsidR="00F3136E">
        <w:rPr>
          <w:lang w:eastAsia="en-US"/>
        </w:rPr>
        <w:t>, as a result of a refusal to register a trade union,</w:t>
      </w:r>
      <w:r w:rsidR="008C2999">
        <w:rPr>
          <w:lang w:eastAsia="en-US"/>
        </w:rPr>
        <w:t xml:space="preserve"> </w:t>
      </w:r>
      <w:r w:rsidR="00F3136E">
        <w:rPr>
          <w:lang w:eastAsia="en-US"/>
        </w:rPr>
        <w:t xml:space="preserve">a State failed to comply with its positive obligation to secure these rights to the </w:t>
      </w:r>
      <w:r w:rsidRPr="008C2999" w:rsidR="00F3136E">
        <w:rPr>
          <w:lang w:eastAsia="en-US"/>
        </w:rPr>
        <w:t>app</w:t>
      </w:r>
      <w:r w:rsidR="00F3136E">
        <w:rPr>
          <w:lang w:eastAsia="en-US"/>
        </w:rPr>
        <w:t>licants under domestic law, its responsibility should be engaged under</w:t>
      </w:r>
      <w:r w:rsidRPr="008C2999" w:rsidR="00F3136E">
        <w:rPr>
          <w:lang w:eastAsia="en-US"/>
        </w:rPr>
        <w:t xml:space="preserve"> Article 11 of the Convention</w:t>
      </w:r>
      <w:r w:rsidRPr="000D71CC" w:rsidR="00090354">
        <w:t xml:space="preserve"> (</w:t>
      </w:r>
      <w:r w:rsidR="0024626D">
        <w:t xml:space="preserve">see </w:t>
      </w:r>
      <w:r w:rsidRPr="000D71CC" w:rsidR="00090354">
        <w:rPr>
          <w:i/>
          <w:lang w:eastAsia="en-US"/>
        </w:rPr>
        <w:t xml:space="preserve">Demir </w:t>
      </w:r>
      <w:r w:rsidRPr="000D71CC" w:rsidR="009D4FA5">
        <w:rPr>
          <w:i/>
          <w:lang w:eastAsia="en-US"/>
        </w:rPr>
        <w:t>and</w:t>
      </w:r>
      <w:r w:rsidRPr="000D71CC" w:rsidR="00090354">
        <w:rPr>
          <w:i/>
          <w:lang w:eastAsia="en-US"/>
        </w:rPr>
        <w:t xml:space="preserve"> Baykara</w:t>
      </w:r>
      <w:r w:rsidRPr="000D71CC" w:rsidR="009D4FA5">
        <w:rPr>
          <w:i/>
          <w:lang w:eastAsia="en-US"/>
        </w:rPr>
        <w:t xml:space="preserve"> v.</w:t>
      </w:r>
      <w:r w:rsidRPr="000D71CC" w:rsidR="00090354">
        <w:rPr>
          <w:i/>
          <w:lang w:eastAsia="en-US"/>
        </w:rPr>
        <w:t xml:space="preserve"> </w:t>
      </w:r>
      <w:r w:rsidRPr="000D71CC" w:rsidR="009D4FA5">
        <w:rPr>
          <w:i/>
          <w:lang w:eastAsia="en-US"/>
        </w:rPr>
        <w:t>Turkey</w:t>
      </w:r>
      <w:r w:rsidRPr="000D71CC" w:rsidR="00090354">
        <w:rPr>
          <w:lang w:eastAsia="en-US"/>
        </w:rPr>
        <w:t xml:space="preserve"> [GC], n</w:t>
      </w:r>
      <w:r w:rsidR="0024626D">
        <w:rPr>
          <w:lang w:eastAsia="en-US"/>
        </w:rPr>
        <w:t>o.</w:t>
      </w:r>
      <w:r w:rsidR="00F3136E">
        <w:rPr>
          <w:lang w:eastAsia="en-US"/>
        </w:rPr>
        <w:t xml:space="preserve"> 34503/97, § </w:t>
      </w:r>
      <w:r w:rsidRPr="000D71CC" w:rsidR="00090354">
        <w:rPr>
          <w:lang w:eastAsia="en-US"/>
        </w:rPr>
        <w:t xml:space="preserve">110, </w:t>
      </w:r>
      <w:r w:rsidR="0024626D">
        <w:rPr>
          <w:lang w:eastAsia="en-US"/>
        </w:rPr>
        <w:t>ECHR</w:t>
      </w:r>
      <w:r w:rsidRPr="000D71CC" w:rsidR="00090354">
        <w:rPr>
          <w:lang w:eastAsia="en-US"/>
        </w:rPr>
        <w:t xml:space="preserve"> 2008).</w:t>
      </w:r>
    </w:p>
    <w:p w:rsidRPr="000D71CC" w:rsidR="00090354" w:rsidP="00090354" w:rsidRDefault="00F3136E">
      <w:pPr>
        <w:pStyle w:val="JuPara"/>
      </w:pPr>
      <w:r>
        <w:fldChar w:fldCharType="begin"/>
      </w:r>
      <w:r>
        <w:instrText xml:space="preserve"> SEQ level0 \*arabic </w:instrText>
      </w:r>
      <w:r>
        <w:fldChar w:fldCharType="separate"/>
      </w:r>
      <w:r w:rsidR="00F47D5E">
        <w:rPr>
          <w:noProof/>
        </w:rPr>
        <w:t>59</w:t>
      </w:r>
      <w:r>
        <w:fldChar w:fldCharType="end"/>
      </w:r>
      <w:r>
        <w:t>.  </w:t>
      </w:r>
      <w:r w:rsidRPr="000D71CC" w:rsidR="00090354">
        <w:t>Whether the case is analysed in terms of a positive duty on the State to take reasonable and appropriate measures to secure the applicants</w:t>
      </w:r>
      <w:r w:rsidR="00F47D5E">
        <w:t>’</w:t>
      </w:r>
      <w:r w:rsidRPr="000D71CC" w:rsidR="00090354">
        <w:t xml:space="preserve"> rights under the Article in question or in terms of an interference by a public authority to be justified in accordance with paragraph 2, the applicable principles are similar (</w:t>
      </w:r>
      <w:r w:rsidR="0024626D">
        <w:t xml:space="preserve">see </w:t>
      </w:r>
      <w:r w:rsidRPr="0024626D" w:rsidR="00090354">
        <w:rPr>
          <w:i/>
        </w:rPr>
        <w:t>Hatton and Others v. the United Kingdom</w:t>
      </w:r>
      <w:r w:rsidRPr="000D71CC" w:rsidR="00090354">
        <w:t xml:space="preserve"> [GC], no. 36022/97, § 98, ECHR 2003-VIII).</w:t>
      </w:r>
    </w:p>
    <w:p w:rsidRPr="000D71CC" w:rsidR="00090354" w:rsidP="00090354" w:rsidRDefault="0024626D">
      <w:pPr>
        <w:pStyle w:val="JuHa0"/>
        <w:rPr>
          <w:lang w:eastAsia="ar-SA"/>
        </w:rPr>
      </w:pPr>
      <w:r>
        <w:rPr>
          <w:lang w:eastAsia="ar-SA"/>
        </w:rPr>
        <w:t>(b)  </w:t>
      </w:r>
      <w:r w:rsidRPr="000D71CC" w:rsidR="00090354">
        <w:rPr>
          <w:lang w:eastAsia="ar-SA"/>
        </w:rPr>
        <w:t>Application of the above principles in the present case</w:t>
      </w:r>
    </w:p>
    <w:p w:rsidRPr="000D71CC" w:rsidR="00090354" w:rsidP="00090354" w:rsidRDefault="00090354">
      <w:pPr>
        <w:pStyle w:val="JuPara"/>
      </w:pPr>
      <w:r w:rsidRPr="000D71CC">
        <w:fldChar w:fldCharType="begin"/>
      </w:r>
      <w:r w:rsidRPr="000D71CC">
        <w:instrText xml:space="preserve"> SEQ level0 \*arabic </w:instrText>
      </w:r>
      <w:r w:rsidRPr="000D71CC">
        <w:fldChar w:fldCharType="separate"/>
      </w:r>
      <w:r w:rsidR="00F47D5E">
        <w:rPr>
          <w:noProof/>
        </w:rPr>
        <w:t>60</w:t>
      </w:r>
      <w:r w:rsidRPr="000D71CC">
        <w:fldChar w:fldCharType="end"/>
      </w:r>
      <w:r w:rsidR="000617A5">
        <w:t>.</w:t>
      </w:r>
      <w:r w:rsidR="00655A6E">
        <w:t>  </w:t>
      </w:r>
      <w:r w:rsidRPr="00E45BEB" w:rsidR="00E45BEB">
        <w:t>The Court notes that the Dolj County Court based its refusal to register the applicant union on a</w:t>
      </w:r>
      <w:r w:rsidR="00E45BEB">
        <w:t>n</w:t>
      </w:r>
      <w:r w:rsidRPr="00E45BEB" w:rsidR="00E45BEB">
        <w:t xml:space="preserve"> ecclesiastical </w:t>
      </w:r>
      <w:r w:rsidR="00E45BEB">
        <w:t>rule</w:t>
      </w:r>
      <w:r w:rsidR="00EE0462">
        <w:t>,</w:t>
      </w:r>
      <w:r w:rsidR="00E45BEB">
        <w:t xml:space="preserve"> set forth in the Church</w:t>
      </w:r>
      <w:r w:rsidR="00F47D5E">
        <w:t>’</w:t>
      </w:r>
      <w:r w:rsidR="00E45BEB">
        <w:t xml:space="preserve">s </w:t>
      </w:r>
      <w:r w:rsidR="005B218B">
        <w:t>Statute</w:t>
      </w:r>
      <w:r w:rsidRPr="00E45BEB" w:rsidR="00E45BEB">
        <w:t xml:space="preserve">, </w:t>
      </w:r>
      <w:r w:rsidR="00EE0462">
        <w:t>prohibiting</w:t>
      </w:r>
      <w:r w:rsidRPr="00E45BEB" w:rsidR="00E45BEB">
        <w:t xml:space="preserve"> the clergy </w:t>
      </w:r>
      <w:r w:rsidR="00655A6E">
        <w:t xml:space="preserve">from engaging in </w:t>
      </w:r>
      <w:r w:rsidRPr="00E45BEB" w:rsidR="00E45BEB">
        <w:t xml:space="preserve">any form of association </w:t>
      </w:r>
      <w:r w:rsidR="00655A6E">
        <w:t>without the consent of the Church</w:t>
      </w:r>
      <w:r w:rsidRPr="00E45BEB" w:rsidR="00E45BEB">
        <w:t xml:space="preserve"> hierarchy. It found that ban</w:t>
      </w:r>
      <w:r w:rsidR="00655A6E">
        <w:t>ning</w:t>
      </w:r>
      <w:r w:rsidRPr="00E45BEB" w:rsidR="00E45BEB">
        <w:t xml:space="preserve"> the clergy and laity </w:t>
      </w:r>
      <w:r w:rsidR="00655A6E">
        <w:t>from</w:t>
      </w:r>
      <w:r w:rsidRPr="00E45BEB" w:rsidR="00E45BEB">
        <w:t xml:space="preserve"> form</w:t>
      </w:r>
      <w:r w:rsidR="00655A6E">
        <w:t>ing trade</w:t>
      </w:r>
      <w:r w:rsidRPr="00E45BEB" w:rsidR="00E45BEB">
        <w:t xml:space="preserve"> unions was in accordance with </w:t>
      </w:r>
      <w:r w:rsidR="00655A6E">
        <w:t xml:space="preserve">the </w:t>
      </w:r>
      <w:r w:rsidR="00CB51ED">
        <w:t>provisions of domestic law</w:t>
      </w:r>
      <w:r w:rsidRPr="00E45BEB" w:rsidR="00E45BEB">
        <w:t xml:space="preserve"> </w:t>
      </w:r>
      <w:r w:rsidR="00CB51ED">
        <w:t>governing</w:t>
      </w:r>
      <w:r w:rsidRPr="00E45BEB" w:rsidR="00E45BEB">
        <w:t xml:space="preserve"> </w:t>
      </w:r>
      <w:r w:rsidR="00655A6E">
        <w:t>the right to organise</w:t>
      </w:r>
      <w:r w:rsidRPr="00E45BEB" w:rsidR="00E45BEB">
        <w:t xml:space="preserve"> and was justified by the need to protect the Orthodox Christian tradition and to </w:t>
      </w:r>
      <w:r w:rsidR="00B3718E">
        <w:t>ensure that</w:t>
      </w:r>
      <w:r w:rsidR="00655A6E">
        <w:t xml:space="preserve"> </w:t>
      </w:r>
      <w:r w:rsidRPr="00E45BEB" w:rsidR="00E45BEB">
        <w:t xml:space="preserve">the </w:t>
      </w:r>
      <w:r w:rsidR="00655A6E">
        <w:t xml:space="preserve">Church </w:t>
      </w:r>
      <w:r w:rsidRPr="00E45BEB" w:rsidR="00E45BEB">
        <w:t xml:space="preserve">hierarchy </w:t>
      </w:r>
      <w:r w:rsidR="00B3718E">
        <w:t xml:space="preserve">was not obliged </w:t>
      </w:r>
      <w:r w:rsidR="00655A6E">
        <w:t>to</w:t>
      </w:r>
      <w:r w:rsidRPr="00E45BEB" w:rsidR="00E45BEB">
        <w:t xml:space="preserve"> work </w:t>
      </w:r>
      <w:r w:rsidR="00B3718E">
        <w:t xml:space="preserve">together </w:t>
      </w:r>
      <w:r w:rsidRPr="00E45BEB" w:rsidR="00E45BEB">
        <w:t xml:space="preserve">with a new body </w:t>
      </w:r>
      <w:r w:rsidR="00B3718E">
        <w:t>operating outside</w:t>
      </w:r>
      <w:r w:rsidRPr="00E45BEB" w:rsidR="00E45BEB">
        <w:t xml:space="preserve"> </w:t>
      </w:r>
      <w:r w:rsidR="003D1295">
        <w:t xml:space="preserve">the </w:t>
      </w:r>
      <w:r w:rsidRPr="00E45BEB" w:rsidR="003D1295">
        <w:t xml:space="preserve">rules </w:t>
      </w:r>
      <w:r w:rsidR="003D1295">
        <w:t xml:space="preserve">of </w:t>
      </w:r>
      <w:r w:rsidRPr="00E45BEB" w:rsidR="00E45BEB">
        <w:t>canon</w:t>
      </w:r>
      <w:r w:rsidR="003D1295">
        <w:t xml:space="preserve"> law concerning</w:t>
      </w:r>
      <w:r w:rsidRPr="00E45BEB" w:rsidR="00E45BEB">
        <w:t xml:space="preserve"> decision-making</w:t>
      </w:r>
      <w:r w:rsidRPr="000D71CC">
        <w:t>.</w:t>
      </w:r>
    </w:p>
    <w:p w:rsidRPr="000D71CC" w:rsidR="00090354" w:rsidP="00090354" w:rsidRDefault="007E645B">
      <w:pPr>
        <w:pStyle w:val="JuPara"/>
        <w:rPr>
          <w:szCs w:val="24"/>
          <w:lang w:eastAsia="en-US"/>
        </w:rPr>
      </w:pPr>
      <w:r w:rsidRPr="000D71CC">
        <w:fldChar w:fldCharType="begin"/>
      </w:r>
      <w:r w:rsidRPr="000D71CC">
        <w:instrText xml:space="preserve"> SEQ level0 \*arabic </w:instrText>
      </w:r>
      <w:r w:rsidRPr="000D71CC">
        <w:fldChar w:fldCharType="separate"/>
      </w:r>
      <w:r w:rsidR="00F47D5E">
        <w:rPr>
          <w:noProof/>
        </w:rPr>
        <w:t>61</w:t>
      </w:r>
      <w:r w:rsidRPr="000D71CC">
        <w:fldChar w:fldCharType="end"/>
      </w:r>
      <w:r w:rsidRPr="000D71CC">
        <w:t>.  </w:t>
      </w:r>
      <w:r w:rsidRPr="000D71CC" w:rsidR="009D4FA5">
        <w:t>The Court</w:t>
      </w:r>
      <w:r w:rsidRPr="000D71CC" w:rsidR="00090354">
        <w:t xml:space="preserve"> </w:t>
      </w:r>
      <w:r w:rsidR="00655A6E">
        <w:t xml:space="preserve">reiterates that the mere fact that </w:t>
      </w:r>
      <w:r w:rsidRPr="00655A6E" w:rsidR="00655A6E">
        <w:t xml:space="preserve">the legislation </w:t>
      </w:r>
      <w:r w:rsidR="00655A6E">
        <w:t xml:space="preserve">prohibits certain categories of employees from forming trade unions </w:t>
      </w:r>
      <w:r w:rsidRPr="00655A6E" w:rsidR="00655A6E">
        <w:t xml:space="preserve">is not sufficient to warrant </w:t>
      </w:r>
      <w:r w:rsidR="00655A6E">
        <w:t>such a</w:t>
      </w:r>
      <w:r w:rsidRPr="00655A6E" w:rsidR="00655A6E">
        <w:t xml:space="preserve"> radical </w:t>
      </w:r>
      <w:r w:rsidR="00655A6E">
        <w:t>restriction</w:t>
      </w:r>
      <w:r w:rsidRPr="000D71CC" w:rsidR="00090354">
        <w:t xml:space="preserve"> (</w:t>
      </w:r>
      <w:r w:rsidR="0024626D">
        <w:t>see</w:t>
      </w:r>
      <w:r w:rsidRPr="000D71CC" w:rsidR="00090354">
        <w:t xml:space="preserve">, </w:t>
      </w:r>
      <w:r w:rsidRPr="000D71CC" w:rsidR="00090354">
        <w:rPr>
          <w:i/>
        </w:rPr>
        <w:t>mutatis mutandis</w:t>
      </w:r>
      <w:r w:rsidRPr="00655A6E" w:rsidR="00090354">
        <w:t>,</w:t>
      </w:r>
      <w:r w:rsidRPr="000D71CC" w:rsidR="00090354">
        <w:rPr>
          <w:i/>
        </w:rPr>
        <w:t xml:space="preserve"> </w:t>
      </w:r>
      <w:r w:rsidRPr="000D71CC" w:rsidR="00090354">
        <w:rPr>
          <w:i/>
          <w:szCs w:val="24"/>
          <w:lang w:eastAsia="en-US"/>
        </w:rPr>
        <w:t xml:space="preserve">Tüm Haber Sen </w:t>
      </w:r>
      <w:r w:rsidRPr="000D71CC" w:rsidR="009D4FA5">
        <w:rPr>
          <w:i/>
          <w:szCs w:val="24"/>
          <w:lang w:eastAsia="en-US"/>
        </w:rPr>
        <w:t>and</w:t>
      </w:r>
      <w:r w:rsidRPr="000D71CC" w:rsidR="00090354">
        <w:rPr>
          <w:i/>
          <w:szCs w:val="24"/>
          <w:lang w:eastAsia="en-US"/>
        </w:rPr>
        <w:t xml:space="preserve"> Çınar</w:t>
      </w:r>
      <w:r w:rsidRPr="000D71CC" w:rsidR="009D4FA5">
        <w:rPr>
          <w:i/>
          <w:szCs w:val="24"/>
          <w:lang w:eastAsia="en-US"/>
        </w:rPr>
        <w:t xml:space="preserve"> v.</w:t>
      </w:r>
      <w:r w:rsidRPr="000D71CC" w:rsidR="00090354">
        <w:rPr>
          <w:i/>
          <w:szCs w:val="24"/>
          <w:lang w:eastAsia="en-US"/>
        </w:rPr>
        <w:t xml:space="preserve"> </w:t>
      </w:r>
      <w:r w:rsidRPr="000D71CC" w:rsidR="009D4FA5">
        <w:rPr>
          <w:i/>
          <w:szCs w:val="24"/>
          <w:lang w:eastAsia="en-US"/>
        </w:rPr>
        <w:t>Turkey</w:t>
      </w:r>
      <w:r w:rsidRPr="000D71CC" w:rsidR="00090354">
        <w:rPr>
          <w:szCs w:val="24"/>
          <w:lang w:eastAsia="en-US"/>
        </w:rPr>
        <w:t>, n</w:t>
      </w:r>
      <w:r w:rsidR="004C5E1C">
        <w:rPr>
          <w:szCs w:val="24"/>
          <w:lang w:eastAsia="en-US"/>
        </w:rPr>
        <w:t>o.</w:t>
      </w:r>
      <w:r w:rsidRPr="000D71CC" w:rsidR="00090354">
        <w:rPr>
          <w:szCs w:val="24"/>
          <w:lang w:eastAsia="en-US"/>
        </w:rPr>
        <w:t xml:space="preserve"> 28602/95, § 36, </w:t>
      </w:r>
      <w:r w:rsidRPr="000D71CC" w:rsidR="009D4FA5">
        <w:rPr>
          <w:lang w:eastAsia="en-US"/>
        </w:rPr>
        <w:t>ECHR</w:t>
      </w:r>
      <w:r w:rsidRPr="000D71CC" w:rsidR="00090354">
        <w:rPr>
          <w:lang w:eastAsia="en-US"/>
        </w:rPr>
        <w:t xml:space="preserve"> 2006-II</w:t>
      </w:r>
      <w:r w:rsidR="004C5E1C">
        <w:rPr>
          <w:lang w:eastAsia="en-US"/>
        </w:rPr>
        <w:t>,</w:t>
      </w:r>
      <w:r w:rsidRPr="000D71CC" w:rsidR="00090354">
        <w:rPr>
          <w:lang w:eastAsia="en-US"/>
        </w:rPr>
        <w:t xml:space="preserve"> </w:t>
      </w:r>
      <w:r w:rsidRPr="000D71CC" w:rsidR="009D4FA5">
        <w:rPr>
          <w:lang w:eastAsia="en-US"/>
        </w:rPr>
        <w:t>and</w:t>
      </w:r>
      <w:r w:rsidRPr="000D71CC" w:rsidR="00090354">
        <w:rPr>
          <w:lang w:eastAsia="en-US"/>
        </w:rPr>
        <w:t xml:space="preserve"> </w:t>
      </w:r>
      <w:r w:rsidRPr="000D71CC" w:rsidR="00090354">
        <w:rPr>
          <w:i/>
          <w:lang w:eastAsia="en-US"/>
        </w:rPr>
        <w:t xml:space="preserve">Demir </w:t>
      </w:r>
      <w:r w:rsidRPr="000D71CC" w:rsidR="009D4FA5">
        <w:rPr>
          <w:i/>
          <w:lang w:eastAsia="en-US"/>
        </w:rPr>
        <w:t>and</w:t>
      </w:r>
      <w:r w:rsidRPr="000D71CC" w:rsidR="00090354">
        <w:rPr>
          <w:i/>
          <w:lang w:eastAsia="en-US"/>
        </w:rPr>
        <w:t xml:space="preserve"> Baykara</w:t>
      </w:r>
      <w:r w:rsidRPr="000D71CC" w:rsidR="00090354">
        <w:rPr>
          <w:lang w:eastAsia="en-US"/>
        </w:rPr>
        <w:t xml:space="preserve">, </w:t>
      </w:r>
      <w:r w:rsidR="0024626D">
        <w:rPr>
          <w:lang w:eastAsia="en-US"/>
        </w:rPr>
        <w:t>cited above</w:t>
      </w:r>
      <w:r w:rsidRPr="000D71CC" w:rsidR="00090354">
        <w:rPr>
          <w:lang w:eastAsia="en-US"/>
        </w:rPr>
        <w:t>,</w:t>
      </w:r>
      <w:r w:rsidRPr="000D71CC" w:rsidR="00090354">
        <w:rPr>
          <w:i/>
          <w:lang w:eastAsia="en-US"/>
        </w:rPr>
        <w:t xml:space="preserve"> </w:t>
      </w:r>
      <w:r w:rsidRPr="000D71CC" w:rsidR="00090354">
        <w:t>§ 120).</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62</w:t>
      </w:r>
      <w:r w:rsidRPr="000D71CC">
        <w:fldChar w:fldCharType="end"/>
      </w:r>
      <w:r w:rsidRPr="000D71CC">
        <w:t>.  </w:t>
      </w:r>
      <w:r w:rsidRPr="00A52342" w:rsidR="00A52342">
        <w:t>Acco</w:t>
      </w:r>
      <w:r w:rsidR="00610C2E">
        <w:t>rdingly, it must first consider</w:t>
      </w:r>
      <w:r w:rsidR="00895370">
        <w:t xml:space="preserve"> from the standpoint of Article 11</w:t>
      </w:r>
      <w:r w:rsidRPr="00A52342" w:rsidR="00A52342">
        <w:t xml:space="preserve">, taking into account the specific situation of the Romanian Orthodox Church, </w:t>
      </w:r>
      <w:r w:rsidR="00610C2E">
        <w:t xml:space="preserve">whether </w:t>
      </w:r>
      <w:r w:rsidRPr="00A52342" w:rsidR="00A52342">
        <w:t>cler</w:t>
      </w:r>
      <w:r w:rsidR="00610C2E">
        <w:t>gy and</w:t>
      </w:r>
      <w:r w:rsidRPr="00A52342" w:rsidR="00A52342">
        <w:t xml:space="preserve"> lay </w:t>
      </w:r>
      <w:r w:rsidR="00610C2E">
        <w:t xml:space="preserve">persons </w:t>
      </w:r>
      <w:r w:rsidRPr="00A52342" w:rsidR="00A52342">
        <w:t>employe</w:t>
      </w:r>
      <w:r w:rsidR="00610C2E">
        <w:t>d by the Church may enjoy trade-</w:t>
      </w:r>
      <w:r w:rsidR="00895370">
        <w:t>union rights</w:t>
      </w:r>
      <w:r w:rsidR="00610C2E">
        <w:t xml:space="preserve"> </w:t>
      </w:r>
      <w:r w:rsidRPr="00A52342" w:rsidR="00A52342">
        <w:t>to the same extent as other employees</w:t>
      </w:r>
      <w:r w:rsidRPr="000D71CC" w:rsidR="00090354">
        <w:t>.</w:t>
      </w:r>
    </w:p>
    <w:p w:rsidRPr="00610C2E" w:rsidR="00090354" w:rsidP="00610C2E" w:rsidRDefault="007E645B">
      <w:pPr>
        <w:pStyle w:val="JuPara"/>
      </w:pPr>
      <w:r w:rsidRPr="000D71CC">
        <w:fldChar w:fldCharType="begin"/>
      </w:r>
      <w:r w:rsidRPr="000D71CC">
        <w:instrText xml:space="preserve"> SEQ level0 \*arabic </w:instrText>
      </w:r>
      <w:r w:rsidRPr="000D71CC">
        <w:fldChar w:fldCharType="separate"/>
      </w:r>
      <w:r w:rsidR="00F47D5E">
        <w:rPr>
          <w:noProof/>
        </w:rPr>
        <w:t>63</w:t>
      </w:r>
      <w:r w:rsidRPr="000D71CC">
        <w:fldChar w:fldCharType="end"/>
      </w:r>
      <w:r w:rsidRPr="000D71CC">
        <w:t>.  </w:t>
      </w:r>
      <w:r w:rsidRPr="000D71CC" w:rsidR="009D4FA5">
        <w:t>The Court</w:t>
      </w:r>
      <w:r w:rsidRPr="000D71CC" w:rsidR="00090354">
        <w:t xml:space="preserve"> </w:t>
      </w:r>
      <w:r w:rsidR="00610C2E">
        <w:t xml:space="preserve">observes in this connection that </w:t>
      </w:r>
      <w:r w:rsidR="00785D5D">
        <w:t>Article 11</w:t>
      </w:r>
      <w:r w:rsidRPr="000D71CC" w:rsidR="00090354">
        <w:t xml:space="preserve"> </w:t>
      </w:r>
      <w:r w:rsidR="00610C2E">
        <w:t xml:space="preserve">allows the State to impose restrictions on the right to organise </w:t>
      </w:r>
      <w:r w:rsidR="009714AA">
        <w:t>solely</w:t>
      </w:r>
      <w:r w:rsidR="00610C2E">
        <w:t xml:space="preserve"> in the case of the three groups of persons referred to in paragraph</w:t>
      </w:r>
      <w:r w:rsidRPr="000D71CC" w:rsidR="00610C2E">
        <w:t xml:space="preserve"> 2 </w:t>
      </w:r>
      <w:r w:rsidRPr="000D71CC" w:rsidR="00610C2E">
        <w:rPr>
          <w:i/>
        </w:rPr>
        <w:t>in fine</w:t>
      </w:r>
      <w:r w:rsidR="00610C2E">
        <w:t xml:space="preserve">, namely members of the armed forces, the police or the State administration, and on condition that </w:t>
      </w:r>
      <w:r w:rsidR="009714AA">
        <w:t>such</w:t>
      </w:r>
      <w:r w:rsidR="00610C2E">
        <w:t xml:space="preserve"> restrictions are lawful.</w:t>
      </w:r>
    </w:p>
    <w:p w:rsidRPr="000D71CC" w:rsidR="00090354" w:rsidP="008024ED" w:rsidRDefault="007E645B">
      <w:pPr>
        <w:pStyle w:val="JuPara"/>
      </w:pPr>
      <w:r w:rsidRPr="000D71CC">
        <w:fldChar w:fldCharType="begin"/>
      </w:r>
      <w:r w:rsidRPr="000D71CC">
        <w:instrText xml:space="preserve"> SEQ level0 \*arabic </w:instrText>
      </w:r>
      <w:r w:rsidRPr="000D71CC">
        <w:fldChar w:fldCharType="separate"/>
      </w:r>
      <w:r w:rsidR="00F47D5E">
        <w:rPr>
          <w:noProof/>
        </w:rPr>
        <w:t>64</w:t>
      </w:r>
      <w:r w:rsidRPr="000D71CC">
        <w:fldChar w:fldCharType="end"/>
      </w:r>
      <w:r w:rsidRPr="000D71CC">
        <w:t>.  </w:t>
      </w:r>
      <w:r w:rsidR="00610C2E">
        <w:t>In the present case</w:t>
      </w:r>
      <w:r w:rsidRPr="000D71CC" w:rsidR="00090354">
        <w:t xml:space="preserve"> </w:t>
      </w:r>
      <w:r w:rsidRPr="000D71CC" w:rsidR="009D4FA5">
        <w:t>the Court</w:t>
      </w:r>
      <w:r w:rsidRPr="000D71CC" w:rsidR="00090354">
        <w:t xml:space="preserve"> note</w:t>
      </w:r>
      <w:r w:rsidR="00610C2E">
        <w:t>s that</w:t>
      </w:r>
      <w:r w:rsidRPr="000D71CC" w:rsidR="00090354">
        <w:t xml:space="preserve"> </w:t>
      </w:r>
      <w:r w:rsidR="000D71CC">
        <w:t>priest</w:t>
      </w:r>
      <w:r w:rsidRPr="000D71CC" w:rsidR="00090354">
        <w:t xml:space="preserve">s </w:t>
      </w:r>
      <w:r w:rsidRPr="000D71CC" w:rsidR="009D4FA5">
        <w:t>and</w:t>
      </w:r>
      <w:r w:rsidRPr="000D71CC" w:rsidR="00090354">
        <w:t xml:space="preserve"> </w:t>
      </w:r>
      <w:r w:rsidR="00610C2E">
        <w:t xml:space="preserve">lay </w:t>
      </w:r>
      <w:r w:rsidR="009714AA">
        <w:t>staff</w:t>
      </w:r>
      <w:r w:rsidR="00610C2E">
        <w:t xml:space="preserve"> </w:t>
      </w:r>
      <w:r w:rsidR="008024ED">
        <w:t xml:space="preserve">carry out their duties within the Romanian Orthodox Church </w:t>
      </w:r>
      <w:r w:rsidR="003A6545">
        <w:t xml:space="preserve">under </w:t>
      </w:r>
      <w:r w:rsidR="008024ED">
        <w:t>indivi</w:t>
      </w:r>
      <w:r w:rsidR="009714AA">
        <w:t>dual employment contracts. They receive</w:t>
      </w:r>
      <w:r w:rsidR="008024ED">
        <w:t xml:space="preserve"> salaries </w:t>
      </w:r>
      <w:r w:rsidR="009714AA">
        <w:t>that are mainly funded from</w:t>
      </w:r>
      <w:r w:rsidR="008024ED">
        <w:t xml:space="preserve"> the State budget and they are covered by the general social-insurance scheme</w:t>
      </w:r>
      <w:r w:rsidRPr="000D71CC" w:rsidR="00090354">
        <w:t xml:space="preserve">. </w:t>
      </w:r>
      <w:r w:rsidR="00DD7781">
        <w:t xml:space="preserve">The Court further observes that the legal status of Church employees has not been challenged in the domestic courts and that the civil courts have </w:t>
      </w:r>
      <w:r w:rsidR="00550B98">
        <w:t>relie</w:t>
      </w:r>
      <w:r w:rsidR="009714AA">
        <w:t>d on this status when examining</w:t>
      </w:r>
      <w:r w:rsidR="00550B98">
        <w:t xml:space="preserve"> the lawfulness of </w:t>
      </w:r>
      <w:r w:rsidRPr="00550B98" w:rsidR="00550B98">
        <w:t xml:space="preserve">the dismissal or </w:t>
      </w:r>
      <w:r w:rsidR="00550B98">
        <w:t>enforced</w:t>
      </w:r>
      <w:r w:rsidRPr="00550B98" w:rsidR="00550B98">
        <w:t xml:space="preserve"> retirement of </w:t>
      </w:r>
      <w:r w:rsidR="00550B98">
        <w:t xml:space="preserve">Church </w:t>
      </w:r>
      <w:r w:rsidRPr="00550B98" w:rsidR="00550B98">
        <w:t>employees</w:t>
      </w:r>
      <w:r w:rsidRPr="000D71CC" w:rsidR="00090354">
        <w:t xml:space="preserve"> </w:t>
      </w:r>
      <w:r w:rsidR="009714AA">
        <w:t>in</w:t>
      </w:r>
      <w:r w:rsidRPr="00550B98" w:rsidR="009714AA">
        <w:t xml:space="preserve"> certain </w:t>
      </w:r>
      <w:r w:rsidR="009714AA">
        <w:t>circumstances</w:t>
      </w:r>
      <w:r w:rsidRPr="00550B98" w:rsidR="009714AA">
        <w:t xml:space="preserve"> </w:t>
      </w:r>
      <w:r w:rsidRPr="000D71CC" w:rsidR="00090354">
        <w:t>(</w:t>
      </w:r>
      <w:r w:rsidR="00846D23">
        <w:t xml:space="preserve">see </w:t>
      </w:r>
      <w:r w:rsidRPr="000D71CC" w:rsidR="00090354">
        <w:t>paragraph</w:t>
      </w:r>
      <w:r w:rsidR="00846D23">
        <w:t>s 8 and</w:t>
      </w:r>
      <w:r w:rsidRPr="000D71CC" w:rsidR="00090354">
        <w:t xml:space="preserve"> 27 </w:t>
      </w:r>
      <w:r w:rsidR="00846D23">
        <w:t xml:space="preserve">et seq. </w:t>
      </w:r>
      <w:r w:rsidRPr="000D71CC" w:rsidR="009D4FA5">
        <w:t>above</w:t>
      </w:r>
      <w:r w:rsidRPr="000D71CC" w:rsidR="00090354">
        <w:t>).</w:t>
      </w:r>
    </w:p>
    <w:p w:rsidR="00ED4401" w:rsidP="00093883" w:rsidRDefault="007E645B">
      <w:pPr>
        <w:pStyle w:val="JuPara"/>
      </w:pPr>
      <w:r w:rsidRPr="000D71CC">
        <w:fldChar w:fldCharType="begin"/>
      </w:r>
      <w:r w:rsidRPr="000D71CC">
        <w:instrText xml:space="preserve"> SEQ level0 \*arabic </w:instrText>
      </w:r>
      <w:r w:rsidRPr="000D71CC">
        <w:fldChar w:fldCharType="separate"/>
      </w:r>
      <w:r w:rsidR="00F47D5E">
        <w:rPr>
          <w:noProof/>
        </w:rPr>
        <w:t>65</w:t>
      </w:r>
      <w:r w:rsidRPr="000D71CC">
        <w:fldChar w:fldCharType="end"/>
      </w:r>
      <w:r w:rsidRPr="000D71CC">
        <w:t>.  </w:t>
      </w:r>
      <w:r w:rsidRPr="000D71CC" w:rsidR="009D4FA5">
        <w:t>The Court</w:t>
      </w:r>
      <w:r w:rsidRPr="000D71CC" w:rsidR="00090354">
        <w:t xml:space="preserve"> </w:t>
      </w:r>
      <w:r w:rsidR="007B2DFF">
        <w:t xml:space="preserve">considers that a relationship based on an employment contract cannot be “clericalised” to the point of being exempted from all rules of civil law </w:t>
      </w:r>
      <w:r w:rsidRPr="000D71CC" w:rsidR="00090354">
        <w:t>(</w:t>
      </w:r>
      <w:r w:rsidR="00550B98">
        <w:t>see</w:t>
      </w:r>
      <w:r w:rsidRPr="000D71CC" w:rsidR="00090354">
        <w:t xml:space="preserve">, </w:t>
      </w:r>
      <w:r w:rsidRPr="000D71CC" w:rsidR="00090354">
        <w:rPr>
          <w:i/>
        </w:rPr>
        <w:t>mutatis mutandis</w:t>
      </w:r>
      <w:r w:rsidRPr="000D71CC" w:rsidR="00090354">
        <w:t xml:space="preserve">, </w:t>
      </w:r>
      <w:r w:rsidRPr="000D71CC" w:rsidR="00090354">
        <w:rPr>
          <w:i/>
          <w:lang w:eastAsia="en-US"/>
        </w:rPr>
        <w:t>Schüth</w:t>
      </w:r>
      <w:r w:rsidRPr="000D71CC" w:rsidR="009D4FA5">
        <w:rPr>
          <w:i/>
          <w:lang w:eastAsia="en-US"/>
        </w:rPr>
        <w:t xml:space="preserve"> v.</w:t>
      </w:r>
      <w:r w:rsidRPr="000D71CC" w:rsidR="00090354">
        <w:rPr>
          <w:i/>
          <w:lang w:eastAsia="en-US"/>
        </w:rPr>
        <w:t xml:space="preserve"> </w:t>
      </w:r>
      <w:r w:rsidRPr="000D71CC" w:rsidR="009D4FA5">
        <w:rPr>
          <w:i/>
          <w:lang w:eastAsia="en-US"/>
        </w:rPr>
        <w:t>Germany</w:t>
      </w:r>
      <w:r w:rsidRPr="000D71CC" w:rsidR="00090354">
        <w:rPr>
          <w:lang w:eastAsia="en-US"/>
        </w:rPr>
        <w:t>, n</w:t>
      </w:r>
      <w:r w:rsidR="00550B98">
        <w:rPr>
          <w:lang w:eastAsia="en-US"/>
        </w:rPr>
        <w:t>o.</w:t>
      </w:r>
      <w:r w:rsidR="00093883">
        <w:rPr>
          <w:lang w:eastAsia="en-US"/>
        </w:rPr>
        <w:t xml:space="preserve"> 1620/03, § </w:t>
      </w:r>
      <w:r w:rsidRPr="000D71CC" w:rsidR="00090354">
        <w:rPr>
          <w:lang w:eastAsia="en-US"/>
        </w:rPr>
        <w:t xml:space="preserve">70, </w:t>
      </w:r>
      <w:r w:rsidRPr="000D71CC" w:rsidR="009D4FA5">
        <w:rPr>
          <w:lang w:eastAsia="en-US"/>
        </w:rPr>
        <w:t>ECHR</w:t>
      </w:r>
      <w:r w:rsidRPr="000D71CC" w:rsidR="00090354">
        <w:rPr>
          <w:lang w:eastAsia="en-US"/>
        </w:rPr>
        <w:t xml:space="preserve"> 2010). </w:t>
      </w:r>
      <w:r w:rsidR="007B2DFF">
        <w:rPr>
          <w:lang w:eastAsia="en-US"/>
        </w:rPr>
        <w:t xml:space="preserve">It concludes that </w:t>
      </w:r>
      <w:r w:rsidR="00093883">
        <w:rPr>
          <w:lang w:eastAsia="en-US"/>
        </w:rPr>
        <w:t xml:space="preserve">members of the clergy, and </w:t>
      </w:r>
      <w:r w:rsidR="00093883">
        <w:rPr>
          <w:i/>
          <w:lang w:eastAsia="en-US"/>
        </w:rPr>
        <w:t>a fortiori</w:t>
      </w:r>
      <w:r w:rsidR="00093883">
        <w:rPr>
          <w:lang w:eastAsia="en-US"/>
        </w:rPr>
        <w:t xml:space="preserve"> lay employees of the Church, cannot be exc</w:t>
      </w:r>
      <w:r w:rsidR="00DF6DCB">
        <w:rPr>
          <w:lang w:eastAsia="en-US"/>
        </w:rPr>
        <w:t>luded from the scope of Article </w:t>
      </w:r>
      <w:r w:rsidR="00093883">
        <w:rPr>
          <w:lang w:eastAsia="en-US"/>
        </w:rPr>
        <w:t>11</w:t>
      </w:r>
      <w:r w:rsidR="003A6545">
        <w:rPr>
          <w:lang w:eastAsia="en-US"/>
        </w:rPr>
        <w:t xml:space="preserve"> </w:t>
      </w:r>
      <w:r w:rsidRPr="000D71CC" w:rsidR="003A6545">
        <w:t>of the Convention</w:t>
      </w:r>
      <w:r w:rsidR="00093883">
        <w:rPr>
          <w:lang w:eastAsia="en-US"/>
        </w:rPr>
        <w:t>.</w:t>
      </w:r>
      <w:r w:rsidRPr="000D71CC" w:rsidR="00090354">
        <w:t xml:space="preserve"> </w:t>
      </w:r>
      <w:r w:rsidR="00093883">
        <w:t>The national authorities may</w:t>
      </w:r>
      <w:r w:rsidRPr="000D71CC" w:rsidR="00090354">
        <w:t xml:space="preserve"> </w:t>
      </w:r>
      <w:r w:rsidR="00D00A88">
        <w:t xml:space="preserve">at most impose “lawful restrictions” on them in accordance with </w:t>
      </w:r>
      <w:r w:rsidR="00785D5D">
        <w:t>Article 11</w:t>
      </w:r>
      <w:r w:rsidRPr="000D71CC" w:rsidR="00090354">
        <w:t xml:space="preserve"> § 2.</w:t>
      </w:r>
    </w:p>
    <w:p w:rsidRPr="000D71CC" w:rsidR="00090354" w:rsidP="00090354" w:rsidRDefault="00090354">
      <w:pPr>
        <w:pStyle w:val="JuPara"/>
      </w:pPr>
      <w:r w:rsidRPr="000D71CC">
        <w:rPr>
          <w:szCs w:val="24"/>
        </w:rPr>
        <w:fldChar w:fldCharType="begin"/>
      </w:r>
      <w:r w:rsidRPr="000D71CC">
        <w:rPr>
          <w:szCs w:val="24"/>
        </w:rPr>
        <w:instrText xml:space="preserve"> SEQ level0 \*arabic </w:instrText>
      </w:r>
      <w:r w:rsidRPr="000D71CC">
        <w:rPr>
          <w:szCs w:val="24"/>
        </w:rPr>
        <w:fldChar w:fldCharType="separate"/>
      </w:r>
      <w:r w:rsidR="00F47D5E">
        <w:rPr>
          <w:noProof/>
          <w:szCs w:val="24"/>
        </w:rPr>
        <w:t>66</w:t>
      </w:r>
      <w:r w:rsidRPr="000D71CC">
        <w:rPr>
          <w:szCs w:val="24"/>
        </w:rPr>
        <w:fldChar w:fldCharType="end"/>
      </w:r>
      <w:r w:rsidR="004C5E1C">
        <w:rPr>
          <w:szCs w:val="24"/>
        </w:rPr>
        <w:t>.  </w:t>
      </w:r>
      <w:r w:rsidRPr="000D71CC">
        <w:rPr>
          <w:szCs w:val="24"/>
        </w:rPr>
        <w:t>Such restrictions are to be construed strictly and can be justified only by convincing and compelling reasons</w:t>
      </w:r>
      <w:r w:rsidRPr="000D71CC">
        <w:t xml:space="preserve">. In determining whether there is a </w:t>
      </w:r>
      <w:r w:rsidR="00D00A88">
        <w:t>“necessity”</w:t>
      </w:r>
      <w:r w:rsidRPr="000D71CC">
        <w:t xml:space="preserve">, and hence a </w:t>
      </w:r>
      <w:r w:rsidR="00D00A88">
        <w:t>“</w:t>
      </w:r>
      <w:r w:rsidRPr="000D71CC">
        <w:t>pressing social need</w:t>
      </w:r>
      <w:r w:rsidR="00D00A88">
        <w:t>”</w:t>
      </w:r>
      <w:r w:rsidRPr="000D71CC">
        <w:t xml:space="preserve">, for the purposes </w:t>
      </w:r>
      <w:r w:rsidR="00DF6DCB">
        <w:t>of Article </w:t>
      </w:r>
      <w:r w:rsidRPr="000D71CC">
        <w:t xml:space="preserve">11 § 2, States have only a limited margin of appreciation, which goes hand in hand with rigorous European supervision embracing both the law and the decisions applying it (see </w:t>
      </w:r>
      <w:r w:rsidRPr="004C5E1C">
        <w:rPr>
          <w:i/>
        </w:rPr>
        <w:t>Sidiropoulos and Others v. Greece</w:t>
      </w:r>
      <w:r w:rsidRPr="000D71CC">
        <w:t xml:space="preserve">, 10 July 1998, § 40, </w:t>
      </w:r>
      <w:r w:rsidR="00DF6DCB">
        <w:rPr>
          <w:i/>
        </w:rPr>
        <w:t>Reports of Judgments and Decisions</w:t>
      </w:r>
      <w:r w:rsidRPr="000D71CC">
        <w:t xml:space="preserve"> 1998-IV).</w:t>
      </w:r>
    </w:p>
    <w:p w:rsidRPr="000D71CC" w:rsidR="00090354" w:rsidP="00090354" w:rsidRDefault="004C5E1C">
      <w:pPr>
        <w:pStyle w:val="JuHi"/>
      </w:pPr>
      <w:r>
        <w:t>(i)  </w:t>
      </w:r>
      <w:r w:rsidR="00B53CBF">
        <w:t>Whether the measure was prescribed by law and pursued a legitimate aim</w:t>
      </w:r>
    </w:p>
    <w:p w:rsidRPr="000D71CC" w:rsidR="00090354" w:rsidP="00B53CBF" w:rsidRDefault="00090354">
      <w:pPr>
        <w:pStyle w:val="JuPara"/>
        <w:rPr>
          <w:szCs w:val="24"/>
        </w:rPr>
      </w:pPr>
      <w:r w:rsidRPr="000D71CC">
        <w:fldChar w:fldCharType="begin"/>
      </w:r>
      <w:r w:rsidRPr="000D71CC">
        <w:instrText xml:space="preserve"> SEQ level0 \*arabic </w:instrText>
      </w:r>
      <w:r w:rsidRPr="000D71CC">
        <w:fldChar w:fldCharType="separate"/>
      </w:r>
      <w:r w:rsidR="00F47D5E">
        <w:rPr>
          <w:noProof/>
        </w:rPr>
        <w:t>67</w:t>
      </w:r>
      <w:r w:rsidRPr="000D71CC">
        <w:fldChar w:fldCharType="end"/>
      </w:r>
      <w:r w:rsidR="004C5E1C">
        <w:t>.  </w:t>
      </w:r>
      <w:r w:rsidRPr="000D71CC" w:rsidR="009D4FA5">
        <w:t>The Court</w:t>
      </w:r>
      <w:r w:rsidRPr="000D71CC">
        <w:t xml:space="preserve"> note</w:t>
      </w:r>
      <w:r w:rsidR="00B53CBF">
        <w:t xml:space="preserve">s that the refusal to register the applicant union was based on domestic law, and more specifically the Trade Unions Act (Law no. 54/2003) and the Religious Freedom Act (Law no. 489/2006), </w:t>
      </w:r>
      <w:r w:rsidR="0095496F">
        <w:t xml:space="preserve">as </w:t>
      </w:r>
      <w:r w:rsidR="00B53CBF">
        <w:t xml:space="preserve">interpreted by the Dolj County Court in the light of the </w:t>
      </w:r>
      <w:r w:rsidR="005B218B">
        <w:t>Statute</w:t>
      </w:r>
      <w:r w:rsidR="00B53CBF">
        <w:t xml:space="preserve"> of the Orthodox Church. Furthermore, in so far as the refusal sought to prevent a disparity between the law and practice concerning the establishment of trade unions for Church employees, the Court can accept that the measure in question was aimed at </w:t>
      </w:r>
      <w:r w:rsidR="00005FD4">
        <w:t>preserving</w:t>
      </w:r>
      <w:r w:rsidR="00B53CBF">
        <w:t xml:space="preserve"> public order, which encompasse</w:t>
      </w:r>
      <w:r w:rsidR="00005FD4">
        <w:t>s</w:t>
      </w:r>
      <w:r w:rsidR="00B53CBF">
        <w:t xml:space="preserve"> the</w:t>
      </w:r>
      <w:r w:rsidR="00005FD4">
        <w:t xml:space="preserve"> </w:t>
      </w:r>
      <w:r w:rsidR="00B53CBF">
        <w:t>freedom and autonomy of religious communities</w:t>
      </w:r>
      <w:r w:rsidRPr="000D71CC" w:rsidR="00B53CBF">
        <w:t xml:space="preserve"> </w:t>
      </w:r>
      <w:r w:rsidRPr="000D71CC">
        <w:t>(</w:t>
      </w:r>
      <w:r w:rsidR="004C5E1C">
        <w:t>see</w:t>
      </w:r>
      <w:r w:rsidRPr="000D71CC">
        <w:t xml:space="preserve">, </w:t>
      </w:r>
      <w:r w:rsidRPr="000D71CC">
        <w:rPr>
          <w:i/>
        </w:rPr>
        <w:t xml:space="preserve">mutatis mutandis, </w:t>
      </w:r>
      <w:r w:rsidRPr="000D71CC">
        <w:rPr>
          <w:i/>
          <w:lang w:eastAsia="en-US"/>
        </w:rPr>
        <w:t>Negrepontis-Giannisis</w:t>
      </w:r>
      <w:r w:rsidRPr="000D71CC" w:rsidR="009D4FA5">
        <w:rPr>
          <w:i/>
          <w:lang w:eastAsia="en-US"/>
        </w:rPr>
        <w:t xml:space="preserve"> v.</w:t>
      </w:r>
      <w:r w:rsidRPr="000D71CC">
        <w:rPr>
          <w:i/>
          <w:lang w:eastAsia="en-US"/>
        </w:rPr>
        <w:t xml:space="preserve"> </w:t>
      </w:r>
      <w:r w:rsidRPr="000D71CC" w:rsidR="009D4FA5">
        <w:rPr>
          <w:i/>
          <w:lang w:eastAsia="en-US"/>
        </w:rPr>
        <w:t>Greece</w:t>
      </w:r>
      <w:r w:rsidRPr="000D71CC">
        <w:rPr>
          <w:lang w:eastAsia="en-US"/>
        </w:rPr>
        <w:t>, n</w:t>
      </w:r>
      <w:r w:rsidR="004C5E1C">
        <w:rPr>
          <w:lang w:eastAsia="en-US"/>
        </w:rPr>
        <w:t>o.</w:t>
      </w:r>
      <w:r w:rsidRPr="000D71CC">
        <w:rPr>
          <w:lang w:eastAsia="en-US"/>
        </w:rPr>
        <w:t xml:space="preserve"> 56759/08</w:t>
      </w:r>
      <w:r w:rsidRPr="000D71CC">
        <w:rPr>
          <w:snapToGrid w:val="0"/>
          <w:szCs w:val="24"/>
          <w:lang w:eastAsia="en-US"/>
        </w:rPr>
        <w:t xml:space="preserve">, § 67, 3 </w:t>
      </w:r>
      <w:r w:rsidRPr="000D71CC" w:rsidR="009D4FA5">
        <w:rPr>
          <w:szCs w:val="24"/>
          <w:lang w:eastAsia="en-US"/>
        </w:rPr>
        <w:t>May</w:t>
      </w:r>
      <w:r w:rsidRPr="000D71CC">
        <w:rPr>
          <w:snapToGrid w:val="0"/>
          <w:szCs w:val="24"/>
          <w:lang w:eastAsia="en-US"/>
        </w:rPr>
        <w:t xml:space="preserve"> 2011).</w:t>
      </w:r>
    </w:p>
    <w:p w:rsidRPr="000D71CC" w:rsidR="00090354" w:rsidP="00090354" w:rsidRDefault="00090354">
      <w:pPr>
        <w:pStyle w:val="JuPara"/>
      </w:pPr>
      <w:r w:rsidRPr="000D71CC">
        <w:rPr>
          <w:szCs w:val="24"/>
        </w:rPr>
        <w:fldChar w:fldCharType="begin"/>
      </w:r>
      <w:r w:rsidRPr="000D71CC">
        <w:rPr>
          <w:szCs w:val="24"/>
        </w:rPr>
        <w:instrText xml:space="preserve"> SEQ level0 \*arabic </w:instrText>
      </w:r>
      <w:r w:rsidRPr="000D71CC">
        <w:rPr>
          <w:szCs w:val="24"/>
        </w:rPr>
        <w:fldChar w:fldCharType="separate"/>
      </w:r>
      <w:r w:rsidR="00F47D5E">
        <w:rPr>
          <w:noProof/>
          <w:szCs w:val="24"/>
        </w:rPr>
        <w:t>68</w:t>
      </w:r>
      <w:r w:rsidRPr="000D71CC">
        <w:rPr>
          <w:szCs w:val="24"/>
        </w:rPr>
        <w:fldChar w:fldCharType="end"/>
      </w:r>
      <w:r w:rsidR="004C5E1C">
        <w:rPr>
          <w:szCs w:val="24"/>
        </w:rPr>
        <w:t>.  </w:t>
      </w:r>
      <w:r w:rsidRPr="000D71CC" w:rsidR="009D4FA5">
        <w:rPr>
          <w:szCs w:val="24"/>
        </w:rPr>
        <w:t>The Court</w:t>
      </w:r>
      <w:r w:rsidRPr="000D71CC">
        <w:rPr>
          <w:szCs w:val="24"/>
        </w:rPr>
        <w:t xml:space="preserve"> </w:t>
      </w:r>
      <w:r w:rsidR="00005FD4">
        <w:rPr>
          <w:szCs w:val="24"/>
        </w:rPr>
        <w:t>considers that the interference in issue may be regarded as “prescribed by law” and as pursu</w:t>
      </w:r>
      <w:r w:rsidR="0095496F">
        <w:rPr>
          <w:szCs w:val="24"/>
        </w:rPr>
        <w:t>ing</w:t>
      </w:r>
      <w:r w:rsidR="00005FD4">
        <w:rPr>
          <w:szCs w:val="24"/>
        </w:rPr>
        <w:t xml:space="preserve"> a legitimate aim for the purposes of </w:t>
      </w:r>
      <w:r w:rsidR="00785D5D">
        <w:rPr>
          <w:szCs w:val="24"/>
        </w:rPr>
        <w:t>Article 11</w:t>
      </w:r>
      <w:r w:rsidRPr="000D71CC">
        <w:rPr>
          <w:szCs w:val="24"/>
        </w:rPr>
        <w:t xml:space="preserve"> § 2 </w:t>
      </w:r>
      <w:r w:rsidRPr="000D71CC" w:rsidR="009D4FA5">
        <w:rPr>
          <w:szCs w:val="24"/>
        </w:rPr>
        <w:t>of the Convention</w:t>
      </w:r>
      <w:r w:rsidRPr="000D71CC">
        <w:rPr>
          <w:szCs w:val="24"/>
        </w:rPr>
        <w:t xml:space="preserve">. </w:t>
      </w:r>
      <w:r w:rsidRPr="00005FD4" w:rsidR="00005FD4">
        <w:rPr>
          <w:szCs w:val="24"/>
        </w:rPr>
        <w:t xml:space="preserve">It thus remains to be determined whether </w:t>
      </w:r>
      <w:r w:rsidR="00005FD4">
        <w:rPr>
          <w:szCs w:val="24"/>
        </w:rPr>
        <w:t>it</w:t>
      </w:r>
      <w:r w:rsidRPr="00005FD4" w:rsidR="00005FD4">
        <w:rPr>
          <w:szCs w:val="24"/>
        </w:rPr>
        <w:t xml:space="preserve"> was “necessary in a democratic society</w:t>
      </w:r>
      <w:r w:rsidR="00005FD4">
        <w:rPr>
          <w:szCs w:val="24"/>
        </w:rPr>
        <w:t>”</w:t>
      </w:r>
      <w:r w:rsidRPr="000D71CC">
        <w:t>.</w:t>
      </w:r>
    </w:p>
    <w:p w:rsidRPr="000D71CC" w:rsidR="00090354" w:rsidP="00090354" w:rsidRDefault="004C5E1C">
      <w:pPr>
        <w:pStyle w:val="JuHi"/>
        <w:rPr>
          <w:szCs w:val="24"/>
        </w:rPr>
      </w:pPr>
      <w:r>
        <w:t>(ii)  </w:t>
      </w:r>
      <w:r w:rsidR="00005FD4">
        <w:t>Whether the measure was necessary in a democratic society</w:t>
      </w:r>
    </w:p>
    <w:p w:rsidRPr="000D71CC" w:rsidR="00090354" w:rsidP="00090354" w:rsidRDefault="00090354">
      <w:pPr>
        <w:pStyle w:val="JuPara"/>
        <w:rPr>
          <w:lang w:eastAsia="en-US"/>
        </w:rPr>
      </w:pPr>
      <w:r w:rsidRPr="000D71CC">
        <w:fldChar w:fldCharType="begin"/>
      </w:r>
      <w:r w:rsidRPr="000D71CC">
        <w:instrText xml:space="preserve"> SEQ level0 \*arabic </w:instrText>
      </w:r>
      <w:r w:rsidRPr="000D71CC">
        <w:fldChar w:fldCharType="separate"/>
      </w:r>
      <w:r w:rsidR="00F47D5E">
        <w:rPr>
          <w:noProof/>
        </w:rPr>
        <w:t>69</w:t>
      </w:r>
      <w:r w:rsidRPr="000D71CC">
        <w:fldChar w:fldCharType="end"/>
      </w:r>
      <w:r w:rsidR="004C5E1C">
        <w:t>.  </w:t>
      </w:r>
      <w:r w:rsidRPr="000D71CC">
        <w:t xml:space="preserve">The Court reiterates that the adjective “necessary” within the meaning of Article 11 § 2 of the Convention implies the existence of a “pressing social need”. </w:t>
      </w:r>
      <w:r w:rsidR="0045010F">
        <w:t>It further reiterates that in determining whether a restriction of the right to organise meets a “pressing social need”</w:t>
      </w:r>
      <w:r w:rsidRPr="000D71CC">
        <w:t xml:space="preserve">, </w:t>
      </w:r>
      <w:r w:rsidR="0045010F">
        <w:t xml:space="preserve">it must ascertain whether there is plausible evidence that the establishment or activities of the trade union in question represent a sufficiently imminent threat to </w:t>
      </w:r>
      <w:r w:rsidRPr="000D71CC" w:rsidR="009D4FA5">
        <w:t>the State</w:t>
      </w:r>
      <w:r w:rsidRPr="000D71CC">
        <w:t xml:space="preserve"> </w:t>
      </w:r>
      <w:r w:rsidR="0045010F">
        <w:t>or to a democratic society</w:t>
      </w:r>
      <w:r w:rsidRPr="000D71CC">
        <w:t xml:space="preserve"> (</w:t>
      </w:r>
      <w:r w:rsidR="0045010F">
        <w:t xml:space="preserve">see </w:t>
      </w:r>
      <w:r w:rsidRPr="000D71CC">
        <w:rPr>
          <w:i/>
          <w:szCs w:val="24"/>
          <w:lang w:eastAsia="en-US"/>
        </w:rPr>
        <w:t xml:space="preserve">Tüm Haber Sen </w:t>
      </w:r>
      <w:r w:rsidRPr="000D71CC" w:rsidR="009D4FA5">
        <w:rPr>
          <w:i/>
          <w:szCs w:val="24"/>
          <w:lang w:eastAsia="en-US"/>
        </w:rPr>
        <w:t>and</w:t>
      </w:r>
      <w:r w:rsidRPr="000D71CC">
        <w:rPr>
          <w:i/>
          <w:szCs w:val="24"/>
          <w:lang w:eastAsia="en-US"/>
        </w:rPr>
        <w:t xml:space="preserve"> Çınar</w:t>
      </w:r>
      <w:r w:rsidRPr="000D71CC">
        <w:rPr>
          <w:szCs w:val="24"/>
          <w:lang w:eastAsia="en-US"/>
        </w:rPr>
        <w:t xml:space="preserve">, </w:t>
      </w:r>
      <w:r w:rsidR="00F31120">
        <w:rPr>
          <w:szCs w:val="24"/>
          <w:lang w:eastAsia="en-US"/>
        </w:rPr>
        <w:t>cited above</w:t>
      </w:r>
      <w:r w:rsidRPr="000D71CC">
        <w:rPr>
          <w:szCs w:val="24"/>
          <w:lang w:eastAsia="en-US"/>
        </w:rPr>
        <w:t xml:space="preserve">, </w:t>
      </w:r>
      <w:r w:rsidRPr="000D71CC">
        <w:t>§ 40</w:t>
      </w:r>
      <w:r w:rsidR="00F31120">
        <w:t>,</w:t>
      </w:r>
      <w:r w:rsidRPr="000D71CC">
        <w:t xml:space="preserve"> </w:t>
      </w:r>
      <w:r w:rsidRPr="000D71CC" w:rsidR="009D4FA5">
        <w:t>and</w:t>
      </w:r>
      <w:r w:rsidRPr="000D71CC">
        <w:t xml:space="preserve"> </w:t>
      </w:r>
      <w:r w:rsidRPr="000D71CC">
        <w:rPr>
          <w:i/>
        </w:rPr>
        <w:t>mutatis mutandis</w:t>
      </w:r>
      <w:r w:rsidRPr="000D71CC">
        <w:t xml:space="preserve">, </w:t>
      </w:r>
      <w:r w:rsidRPr="000D71CC">
        <w:rPr>
          <w:i/>
          <w:lang w:eastAsia="en-US"/>
        </w:rPr>
        <w:t>Refah Partisi (</w:t>
      </w:r>
      <w:r w:rsidR="00F31120">
        <w:rPr>
          <w:i/>
          <w:lang w:eastAsia="en-US"/>
        </w:rPr>
        <w:t>the Welfare Party</w:t>
      </w:r>
      <w:r w:rsidRPr="000D71CC">
        <w:rPr>
          <w:i/>
          <w:lang w:eastAsia="en-US"/>
        </w:rPr>
        <w:t xml:space="preserve">) </w:t>
      </w:r>
      <w:r w:rsidRPr="000D71CC" w:rsidR="009D4FA5">
        <w:rPr>
          <w:i/>
          <w:lang w:eastAsia="en-US"/>
        </w:rPr>
        <w:t>and Others v.</w:t>
      </w:r>
      <w:r w:rsidRPr="000D71CC">
        <w:rPr>
          <w:i/>
          <w:lang w:eastAsia="en-US"/>
        </w:rPr>
        <w:t xml:space="preserve"> </w:t>
      </w:r>
      <w:r w:rsidRPr="000D71CC" w:rsidR="009D4FA5">
        <w:rPr>
          <w:i/>
          <w:lang w:eastAsia="en-US"/>
        </w:rPr>
        <w:t>Turkey</w:t>
      </w:r>
      <w:r w:rsidRPr="000D71CC">
        <w:rPr>
          <w:i/>
          <w:lang w:eastAsia="en-US"/>
        </w:rPr>
        <w:t xml:space="preserve"> </w:t>
      </w:r>
      <w:r w:rsidRPr="000D71CC">
        <w:rPr>
          <w:lang w:eastAsia="en-US"/>
        </w:rPr>
        <w:t>[GC], n</w:t>
      </w:r>
      <w:r w:rsidR="00F31120">
        <w:rPr>
          <w:lang w:eastAsia="en-US"/>
        </w:rPr>
        <w:t>os.</w:t>
      </w:r>
      <w:r w:rsidRPr="000D71CC">
        <w:rPr>
          <w:lang w:eastAsia="en-US"/>
        </w:rPr>
        <w:t xml:space="preserve"> 41340/98, 41342/98, 41343/98 </w:t>
      </w:r>
      <w:r w:rsidRPr="000D71CC" w:rsidR="009D4FA5">
        <w:rPr>
          <w:lang w:eastAsia="en-US"/>
        </w:rPr>
        <w:t>and</w:t>
      </w:r>
      <w:r w:rsidRPr="000D71CC">
        <w:rPr>
          <w:lang w:eastAsia="en-US"/>
        </w:rPr>
        <w:t xml:space="preserve"> 41344/98, § 104, </w:t>
      </w:r>
      <w:r w:rsidRPr="000D71CC" w:rsidR="009D4FA5">
        <w:rPr>
          <w:lang w:eastAsia="en-US"/>
        </w:rPr>
        <w:t>ECHR</w:t>
      </w:r>
      <w:r w:rsidRPr="000D71CC">
        <w:rPr>
          <w:lang w:eastAsia="en-US"/>
        </w:rPr>
        <w:t xml:space="preserve"> 2003-II</w:t>
      </w:r>
      <w:r w:rsidRPr="000D71CC">
        <w:t>).</w:t>
      </w:r>
    </w:p>
    <w:p w:rsidRPr="000D71CC" w:rsidR="00090354" w:rsidP="00090354" w:rsidRDefault="004C5E1C">
      <w:pPr>
        <w:pStyle w:val="JuPara"/>
      </w:pPr>
      <w:r>
        <w:fldChar w:fldCharType="begin"/>
      </w:r>
      <w:r>
        <w:instrText xml:space="preserve"> SEQ level0 \*arabic </w:instrText>
      </w:r>
      <w:r>
        <w:fldChar w:fldCharType="separate"/>
      </w:r>
      <w:r w:rsidR="00F47D5E">
        <w:rPr>
          <w:noProof/>
        </w:rPr>
        <w:t>70</w:t>
      </w:r>
      <w:r>
        <w:fldChar w:fldCharType="end"/>
      </w:r>
      <w:r>
        <w:t>.  </w:t>
      </w:r>
      <w:r w:rsidRPr="000D71CC" w:rsidR="00090354">
        <w:t>When carrying out its scrutiny, the Court</w:t>
      </w:r>
      <w:r w:rsidR="00F47D5E">
        <w:t>’</w:t>
      </w:r>
      <w:r w:rsidRPr="000D71CC" w:rsidR="00090354">
        <w:t xml:space="preserve">s task is not to take the place of the competent domestic courts but to examine the measure in issue from the standpoint of Article 11 and in the light of the case as a whole in order to determine whether the reasons </w:t>
      </w:r>
      <w:r w:rsidR="0095496F">
        <w:t xml:space="preserve">given </w:t>
      </w:r>
      <w:r w:rsidRPr="000D71CC" w:rsidR="00090354">
        <w:t xml:space="preserve">to justify it were “relevant and sufficient” and whether it was </w:t>
      </w:r>
      <w:r w:rsidR="0095496F">
        <w:t>“</w:t>
      </w:r>
      <w:r w:rsidRPr="000D71CC" w:rsidR="00090354">
        <w:t>proportionat</w:t>
      </w:r>
      <w:r w:rsidR="0095496F">
        <w:t>e to the legitimate aim pursued”</w:t>
      </w:r>
      <w:r w:rsidRPr="000D71CC" w:rsidR="00090354">
        <w:t>. It must then satisfy itself that the national authorities applied standards which were in conformity with the</w:t>
      </w:r>
      <w:r w:rsidR="0095496F">
        <w:t xml:space="preserve"> principles embodied in Article </w:t>
      </w:r>
      <w:r w:rsidRPr="000D71CC" w:rsidR="00090354">
        <w:t xml:space="preserve">11 and, moreover, that they based their decisions on an acceptable assessment of the relevant facts (see, </w:t>
      </w:r>
      <w:r w:rsidRPr="0045010F" w:rsidR="00090354">
        <w:rPr>
          <w:i/>
        </w:rPr>
        <w:t>mutatis mutandis</w:t>
      </w:r>
      <w:r w:rsidRPr="000D71CC" w:rsidR="00090354">
        <w:t xml:space="preserve">, </w:t>
      </w:r>
      <w:r w:rsidRPr="0045010F" w:rsidR="00090354">
        <w:rPr>
          <w:i/>
        </w:rPr>
        <w:t>Ahmed and Others v. the United Kingdom</w:t>
      </w:r>
      <w:r w:rsidRPr="000D71CC" w:rsidR="00090354">
        <w:t xml:space="preserve">, 2 September 1998, § 55, </w:t>
      </w:r>
      <w:r w:rsidRPr="0045010F" w:rsidR="00090354">
        <w:rPr>
          <w:i/>
        </w:rPr>
        <w:t>Reports</w:t>
      </w:r>
      <w:r w:rsidRPr="000D71CC" w:rsidR="00090354">
        <w:t xml:space="preserve"> 1998-VI, and </w:t>
      </w:r>
      <w:r w:rsidRPr="0045010F" w:rsidR="00090354">
        <w:rPr>
          <w:i/>
        </w:rPr>
        <w:t>Goodwin v. the United Kingdom</w:t>
      </w:r>
      <w:r w:rsidRPr="000D71CC" w:rsidR="00090354">
        <w:t xml:space="preserve">, 27 March 1996, § 40, </w:t>
      </w:r>
      <w:r w:rsidRPr="0045010F" w:rsidR="00090354">
        <w:rPr>
          <w:i/>
        </w:rPr>
        <w:t>Reports</w:t>
      </w:r>
      <w:r w:rsidRPr="000D71CC" w:rsidR="00090354">
        <w:t xml:space="preserve"> 1996-II).</w:t>
      </w:r>
    </w:p>
    <w:p w:rsidR="00427195" w:rsidP="00427195" w:rsidRDefault="004C5E1C">
      <w:pPr>
        <w:pStyle w:val="JuPara"/>
      </w:pPr>
      <w:r>
        <w:fldChar w:fldCharType="begin"/>
      </w:r>
      <w:r>
        <w:instrText xml:space="preserve"> SEQ level0 \*arabic </w:instrText>
      </w:r>
      <w:r>
        <w:fldChar w:fldCharType="separate"/>
      </w:r>
      <w:r w:rsidR="00F47D5E">
        <w:rPr>
          <w:noProof/>
        </w:rPr>
        <w:t>71</w:t>
      </w:r>
      <w:r>
        <w:fldChar w:fldCharType="end"/>
      </w:r>
      <w:r>
        <w:t>.  </w:t>
      </w:r>
      <w:r w:rsidR="00427195">
        <w:t>In the present case the Court notes that the civil courts had jurisdiction to rule on the validity of the application for the applicant union to be granted legal personality (contrast</w:t>
      </w:r>
      <w:r w:rsidRPr="000D71CC" w:rsidR="00427195">
        <w:rPr>
          <w:i/>
        </w:rPr>
        <w:t xml:space="preserve"> Dudov</w:t>
      </w:r>
      <w:r w:rsidR="0047241F">
        <w:rPr>
          <w:i/>
        </w:rPr>
        <w:t>á</w:t>
      </w:r>
      <w:r w:rsidRPr="000D71CC" w:rsidR="00427195">
        <w:rPr>
          <w:i/>
        </w:rPr>
        <w:t xml:space="preserve"> and Duda </w:t>
      </w:r>
      <w:r w:rsidRPr="000D71CC" w:rsidR="00427195">
        <w:t xml:space="preserve">(dec.), </w:t>
      </w:r>
      <w:r w:rsidR="00427195">
        <w:t xml:space="preserve">cited above). It further observes that the reasons given by the court for refusing the application were, firstly, the need to protect the Orthodox Christian tradition, its </w:t>
      </w:r>
      <w:r w:rsidR="0095496F">
        <w:t>founding</w:t>
      </w:r>
      <w:r w:rsidR="00427195">
        <w:t xml:space="preserve"> tenets and the </w:t>
      </w:r>
      <w:r w:rsidR="00CE55A3">
        <w:t>rules of canon law concerning</w:t>
      </w:r>
      <w:r w:rsidR="00427195">
        <w:t xml:space="preserve"> decision-making and, secondly, the </w:t>
      </w:r>
      <w:r w:rsidR="00CE55A3">
        <w:t xml:space="preserve">fact that priests were barred by law from taking part in trade unions because they performed management functions </w:t>
      </w:r>
      <w:r w:rsidR="00427195">
        <w:t>in their parishes.</w:t>
      </w:r>
    </w:p>
    <w:p w:rsidRPr="000D71CC" w:rsidR="00090354" w:rsidP="00090354" w:rsidRDefault="00CE55A3">
      <w:pPr>
        <w:pStyle w:val="JuPara"/>
      </w:pPr>
      <w:r>
        <w:fldChar w:fldCharType="begin"/>
      </w:r>
      <w:r>
        <w:instrText xml:space="preserve"> SEQ level0 \*arabic </w:instrText>
      </w:r>
      <w:r>
        <w:fldChar w:fldCharType="separate"/>
      </w:r>
      <w:r w:rsidR="00F47D5E">
        <w:rPr>
          <w:noProof/>
        </w:rPr>
        <w:t>72</w:t>
      </w:r>
      <w:r>
        <w:fldChar w:fldCharType="end"/>
      </w:r>
      <w:r>
        <w:t>.  </w:t>
      </w:r>
      <w:r w:rsidR="00427195">
        <w:t xml:space="preserve">Regarding the second point, the Court </w:t>
      </w:r>
      <w:r>
        <w:t>observes</w:t>
      </w:r>
      <w:r w:rsidR="00427195">
        <w:t xml:space="preserve"> that the </w:t>
      </w:r>
      <w:r>
        <w:t xml:space="preserve">parties disagreed as to whether priests performed management functions. </w:t>
      </w:r>
      <w:r w:rsidR="00B40F2C">
        <w:t>In any event,</w:t>
      </w:r>
      <w:r w:rsidR="00427195">
        <w:t xml:space="preserve"> it finds it unnecessary to </w:t>
      </w:r>
      <w:r w:rsidR="00B40F2C">
        <w:t>determine</w:t>
      </w:r>
      <w:r w:rsidR="00427195">
        <w:t xml:space="preserve"> thi</w:t>
      </w:r>
      <w:r w:rsidR="00B40F2C">
        <w:t xml:space="preserve">s </w:t>
      </w:r>
      <w:r w:rsidR="0095496F">
        <w:t xml:space="preserve">factual </w:t>
      </w:r>
      <w:r w:rsidR="00B40F2C">
        <w:t xml:space="preserve">question, which </w:t>
      </w:r>
      <w:r w:rsidR="0095496F">
        <w:t xml:space="preserve">it considers </w:t>
      </w:r>
      <w:r w:rsidR="00B40F2C">
        <w:t xml:space="preserve">of </w:t>
      </w:r>
      <w:r w:rsidR="00427195">
        <w:t>secondary</w:t>
      </w:r>
      <w:r w:rsidR="00B40F2C">
        <w:t xml:space="preserve"> importance </w:t>
      </w:r>
      <w:r w:rsidR="0095496F">
        <w:t>in reaching</w:t>
      </w:r>
      <w:r w:rsidR="00B40F2C">
        <w:t xml:space="preserve"> its decision in the present case</w:t>
      </w:r>
      <w:r w:rsidR="00427195">
        <w:t xml:space="preserve"> (see, </w:t>
      </w:r>
      <w:r w:rsidRPr="00E36167" w:rsidR="00427195">
        <w:rPr>
          <w:i/>
        </w:rPr>
        <w:t>mutatis mutandis</w:t>
      </w:r>
      <w:r w:rsidR="00427195">
        <w:t xml:space="preserve">, </w:t>
      </w:r>
      <w:r w:rsidRPr="00E36167" w:rsidR="00427195">
        <w:rPr>
          <w:i/>
        </w:rPr>
        <w:t>Negreponti-Giannisis</w:t>
      </w:r>
      <w:r w:rsidR="00427195">
        <w:t>, § 70).</w:t>
      </w:r>
      <w:r w:rsidR="00E36167">
        <w:t xml:space="preserve"> </w:t>
      </w:r>
      <w:r w:rsidR="00427195">
        <w:t xml:space="preserve">It will </w:t>
      </w:r>
      <w:r w:rsidR="00E36167">
        <w:t xml:space="preserve">therefore </w:t>
      </w:r>
      <w:r w:rsidR="00427195">
        <w:t xml:space="preserve">assess the existence of a </w:t>
      </w:r>
      <w:r w:rsidR="00E36167">
        <w:t>“</w:t>
      </w:r>
      <w:r w:rsidR="00427195">
        <w:t>pressing social need</w:t>
      </w:r>
      <w:r w:rsidR="00E36167">
        <w:t>”</w:t>
      </w:r>
      <w:r w:rsidR="00427195">
        <w:t xml:space="preserve"> and the relevance of the reasons </w:t>
      </w:r>
      <w:r w:rsidR="0095496F">
        <w:t>given</w:t>
      </w:r>
      <w:r w:rsidR="00EB2170">
        <w:t xml:space="preserve"> to justify the interference</w:t>
      </w:r>
      <w:r w:rsidR="0047241F">
        <w:t xml:space="preserve"> complained of</w:t>
      </w:r>
      <w:r w:rsidR="00EB2170">
        <w:t xml:space="preserve"> in relation to the first consideration referred to </w:t>
      </w:r>
      <w:r w:rsidR="00427195">
        <w:t>by the County Court</w:t>
      </w:r>
      <w:r w:rsidRPr="000D71CC" w:rsidR="00090354">
        <w:t>.</w:t>
      </w:r>
    </w:p>
    <w:p w:rsidRPr="000D71CC" w:rsidR="00090354" w:rsidP="00090354" w:rsidRDefault="00EB2170">
      <w:pPr>
        <w:pStyle w:val="JuHalpha"/>
        <w:rPr>
          <w:lang w:eastAsia="en-US"/>
        </w:rPr>
      </w:pPr>
      <w:r>
        <w:rPr>
          <w:lang w:eastAsia="en-US"/>
        </w:rPr>
        <w:t>(α)  </w:t>
      </w:r>
      <w:r w:rsidRPr="000D71CC" w:rsidR="00090354">
        <w:rPr>
          <w:lang w:eastAsia="en-US"/>
        </w:rPr>
        <w:t xml:space="preserve">Whether there was a </w:t>
      </w:r>
      <w:r w:rsidR="005A27B7">
        <w:rPr>
          <w:lang w:eastAsia="en-US"/>
        </w:rPr>
        <w:t>“</w:t>
      </w:r>
      <w:r w:rsidRPr="000D71CC" w:rsidR="00090354">
        <w:rPr>
          <w:lang w:eastAsia="en-US"/>
        </w:rPr>
        <w:t>pressing social need</w:t>
      </w:r>
      <w:r w:rsidR="005A27B7">
        <w:rPr>
          <w:lang w:eastAsia="en-US"/>
        </w:rPr>
        <w:t>”</w:t>
      </w:r>
    </w:p>
    <w:p w:rsidRPr="000D71CC" w:rsidR="00090354" w:rsidP="0047241F" w:rsidRDefault="004C5E1C">
      <w:pPr>
        <w:pStyle w:val="JuPara"/>
      </w:pPr>
      <w:r>
        <w:fldChar w:fldCharType="begin"/>
      </w:r>
      <w:r>
        <w:instrText xml:space="preserve"> SEQ level0 \*arabic </w:instrText>
      </w:r>
      <w:r>
        <w:fldChar w:fldCharType="separate"/>
      </w:r>
      <w:r w:rsidR="00F47D5E">
        <w:rPr>
          <w:noProof/>
        </w:rPr>
        <w:t>73</w:t>
      </w:r>
      <w:r>
        <w:fldChar w:fldCharType="end"/>
      </w:r>
      <w:r>
        <w:t>.  </w:t>
      </w:r>
      <w:r w:rsidRPr="000D71CC" w:rsidR="009D4FA5">
        <w:t xml:space="preserve">The </w:t>
      </w:r>
      <w:r w:rsidR="005A27B7">
        <w:t>Court observes that the applicant union</w:t>
      </w:r>
      <w:r w:rsidR="00F47D5E">
        <w:t>’</w:t>
      </w:r>
      <w:r w:rsidR="005A27B7">
        <w:t xml:space="preserve">s </w:t>
      </w:r>
      <w:r w:rsidR="006437A0">
        <w:t>constitution</w:t>
      </w:r>
      <w:r w:rsidR="005A27B7">
        <w:t xml:space="preserve"> </w:t>
      </w:r>
      <w:r w:rsidRPr="005A27B7" w:rsidR="005A27B7">
        <w:t xml:space="preserve">did not contain any passages </w:t>
      </w:r>
      <w:r w:rsidR="005A27B7">
        <w:t xml:space="preserve">that were </w:t>
      </w:r>
      <w:r w:rsidRPr="005A27B7" w:rsidR="005A27B7">
        <w:t>critical of the faith or</w:t>
      </w:r>
      <w:r w:rsidR="0095496F">
        <w:t xml:space="preserve"> of</w:t>
      </w:r>
      <w:r w:rsidRPr="005A27B7" w:rsidR="005A27B7">
        <w:t xml:space="preserve"> the Church. </w:t>
      </w:r>
      <w:r w:rsidR="00517013">
        <w:t>On the contrary</w:t>
      </w:r>
      <w:r w:rsidRPr="005A27B7" w:rsidR="005A27B7">
        <w:t xml:space="preserve">, it </w:t>
      </w:r>
      <w:r w:rsidR="005A27B7">
        <w:t>specified</w:t>
      </w:r>
      <w:r w:rsidRPr="005A27B7" w:rsidR="005A27B7">
        <w:t xml:space="preserve"> that the union intended to </w:t>
      </w:r>
      <w:r w:rsidR="005A27B7">
        <w:t xml:space="preserve">observe and </w:t>
      </w:r>
      <w:r w:rsidR="0007090A">
        <w:t>apply</w:t>
      </w:r>
      <w:r w:rsidRPr="005A27B7" w:rsidR="005A27B7">
        <w:t xml:space="preserve"> </w:t>
      </w:r>
      <w:r w:rsidR="002D15BA">
        <w:t xml:space="preserve">in full </w:t>
      </w:r>
      <w:r w:rsidRPr="005A27B7" w:rsidR="005A27B7">
        <w:t xml:space="preserve">the provisions of civil law and </w:t>
      </w:r>
      <w:r w:rsidR="0007090A">
        <w:t xml:space="preserve">ecclesiastical </w:t>
      </w:r>
      <w:r w:rsidR="002D15BA">
        <w:t>rules</w:t>
      </w:r>
      <w:r w:rsidRPr="005A27B7" w:rsidR="005A27B7">
        <w:t xml:space="preserve">, including the </w:t>
      </w:r>
      <w:r w:rsidR="005B218B">
        <w:t>Statute</w:t>
      </w:r>
      <w:r w:rsidRPr="005A27B7" w:rsidR="005A27B7">
        <w:t xml:space="preserve"> and canons of the Church. </w:t>
      </w:r>
      <w:r w:rsidR="0007090A">
        <w:t xml:space="preserve">Nor does it appear from the material submitted by </w:t>
      </w:r>
      <w:r w:rsidRPr="005A27B7" w:rsidR="005A27B7">
        <w:t xml:space="preserve">the parties that the </w:t>
      </w:r>
      <w:r w:rsidR="0007090A">
        <w:t>union</w:t>
      </w:r>
      <w:r w:rsidR="00F47D5E">
        <w:t>’</w:t>
      </w:r>
      <w:r w:rsidR="0007090A">
        <w:t xml:space="preserve">s </w:t>
      </w:r>
      <w:r w:rsidRPr="005A27B7" w:rsidR="005A27B7">
        <w:t xml:space="preserve">leaders or its members have made </w:t>
      </w:r>
      <w:r w:rsidR="0007090A">
        <w:t xml:space="preserve">any </w:t>
      </w:r>
      <w:r w:rsidRPr="005A27B7" w:rsidR="00517013">
        <w:t xml:space="preserve">disrespectful </w:t>
      </w:r>
      <w:r w:rsidR="0007090A">
        <w:t>comments</w:t>
      </w:r>
      <w:r w:rsidR="00517013">
        <w:t xml:space="preserve"> about </w:t>
      </w:r>
      <w:r w:rsidRPr="005A27B7" w:rsidR="005A27B7">
        <w:t>the</w:t>
      </w:r>
      <w:r w:rsidR="0007090A">
        <w:t xml:space="preserve"> Orthodox</w:t>
      </w:r>
      <w:r w:rsidRPr="005A27B7" w:rsidR="005A27B7">
        <w:t xml:space="preserve"> faith o</w:t>
      </w:r>
      <w:r w:rsidR="0007090A">
        <w:t>r</w:t>
      </w:r>
      <w:r w:rsidRPr="005A27B7" w:rsidR="005A27B7">
        <w:t xml:space="preserve"> the Church</w:t>
      </w:r>
      <w:r w:rsidRPr="000D71CC" w:rsidR="00090354">
        <w:t>.</w:t>
      </w:r>
    </w:p>
    <w:p w:rsidRPr="000D71CC" w:rsidR="00090354" w:rsidP="00090354" w:rsidRDefault="004C5E1C">
      <w:pPr>
        <w:pStyle w:val="JuPara"/>
        <w:rPr>
          <w:lang w:eastAsia="en-US"/>
        </w:rPr>
      </w:pPr>
      <w:r>
        <w:fldChar w:fldCharType="begin"/>
      </w:r>
      <w:r>
        <w:instrText xml:space="preserve"> SEQ level0 \*arabic </w:instrText>
      </w:r>
      <w:r>
        <w:fldChar w:fldCharType="separate"/>
      </w:r>
      <w:r w:rsidR="00F47D5E">
        <w:rPr>
          <w:noProof/>
        </w:rPr>
        <w:t>74</w:t>
      </w:r>
      <w:r>
        <w:fldChar w:fldCharType="end"/>
      </w:r>
      <w:r>
        <w:t>.  </w:t>
      </w:r>
      <w:r w:rsidR="007C1DC9">
        <w:t>Admittedly, the autonomy of religious communities</w:t>
      </w:r>
      <w:r w:rsidR="0008409C">
        <w:t xml:space="preserve"> referred to by the </w:t>
      </w:r>
      <w:r w:rsidR="00FE7799">
        <w:t>Government</w:t>
      </w:r>
      <w:r w:rsidRPr="000D71CC" w:rsidR="00090354">
        <w:t xml:space="preserve"> </w:t>
      </w:r>
      <w:r w:rsidR="0008409C">
        <w:t>is essential for pluralism in a democratic society</w:t>
      </w:r>
      <w:r w:rsidRPr="000D71CC" w:rsidR="00090354">
        <w:t xml:space="preserve"> </w:t>
      </w:r>
      <w:r w:rsidR="0008409C">
        <w:t>and is at the very core of the protection afforded to them by A</w:t>
      </w:r>
      <w:r w:rsidRPr="000D71CC" w:rsidR="00090354">
        <w:t xml:space="preserve">rticles 9 </w:t>
      </w:r>
      <w:r w:rsidRPr="000D71CC" w:rsidR="009D4FA5">
        <w:t>and</w:t>
      </w:r>
      <w:r w:rsidRPr="000D71CC" w:rsidR="00090354">
        <w:t xml:space="preserve"> 11 </w:t>
      </w:r>
      <w:r w:rsidRPr="000D71CC" w:rsidR="009D4FA5">
        <w:t>of the Convention</w:t>
      </w:r>
      <w:r w:rsidRPr="000D71CC" w:rsidR="00090354">
        <w:t xml:space="preserve">. The right to freedom of religion as guaranteed under the Convention excludes any discretion on the part of the State to determine whether religious beliefs or the means used to express such beliefs are legitimate (see </w:t>
      </w:r>
      <w:r w:rsidRPr="0008409C" w:rsidR="00090354">
        <w:rPr>
          <w:i/>
        </w:rPr>
        <w:t>Hasan and Chaush v. Bulgaria</w:t>
      </w:r>
      <w:r w:rsidRPr="000D71CC" w:rsidR="00090354">
        <w:t xml:space="preserve"> [GC], no. 30985/96, § 78, ECHR 2000-XI</w:t>
      </w:r>
      <w:r w:rsidRPr="000D71CC" w:rsidR="00090354">
        <w:rPr>
          <w:lang w:eastAsia="en-US"/>
        </w:rPr>
        <w:t>).</w:t>
      </w:r>
    </w:p>
    <w:p w:rsidR="00704CBE" w:rsidP="00704CBE" w:rsidRDefault="004C5E1C">
      <w:pPr>
        <w:pStyle w:val="JuPara"/>
      </w:pPr>
      <w:r>
        <w:fldChar w:fldCharType="begin"/>
      </w:r>
      <w:r>
        <w:instrText xml:space="preserve"> SEQ level0 \*arabic </w:instrText>
      </w:r>
      <w:r>
        <w:fldChar w:fldCharType="separate"/>
      </w:r>
      <w:r w:rsidR="00F47D5E">
        <w:rPr>
          <w:noProof/>
        </w:rPr>
        <w:t>75</w:t>
      </w:r>
      <w:r>
        <w:fldChar w:fldCharType="end"/>
      </w:r>
      <w:r>
        <w:t>.  </w:t>
      </w:r>
      <w:r w:rsidR="00704CBE">
        <w:t>In the present case the Court observes that the applicant union</w:t>
      </w:r>
      <w:r w:rsidR="00F47D5E">
        <w:t>’</w:t>
      </w:r>
      <w:r w:rsidR="00704CBE">
        <w:t>s demands related exclusively to defending the economic, social and cultural rights and interests of salaried employees of the Church. Recognition of the union would therefore not have undermined either the legitimacy of religious beliefs or the means used to express them.</w:t>
      </w:r>
    </w:p>
    <w:p w:rsidR="00ED4401" w:rsidP="00090354" w:rsidRDefault="00704CBE">
      <w:pPr>
        <w:pStyle w:val="JuPara"/>
      </w:pPr>
      <w:r>
        <w:fldChar w:fldCharType="begin"/>
      </w:r>
      <w:r>
        <w:instrText xml:space="preserve"> SEQ level0 \*arabic </w:instrText>
      </w:r>
      <w:r>
        <w:fldChar w:fldCharType="separate"/>
      </w:r>
      <w:r w:rsidR="00F47D5E">
        <w:rPr>
          <w:noProof/>
        </w:rPr>
        <w:t>76</w:t>
      </w:r>
      <w:r>
        <w:fldChar w:fldCharType="end"/>
      </w:r>
      <w:r>
        <w:t>.  The Court therefore considers that the criteria defining a “pressing social need” were not met in the instant case, since the County Court did not establish that the applicant union</w:t>
      </w:r>
      <w:r w:rsidR="00F47D5E">
        <w:t>’</w:t>
      </w:r>
      <w:r>
        <w:t>s programme</w:t>
      </w:r>
      <w:r w:rsidR="002D15BA">
        <w:t>,</w:t>
      </w:r>
      <w:r>
        <w:t xml:space="preserve"> as set out in its </w:t>
      </w:r>
      <w:r w:rsidR="006437A0">
        <w:t>constitution</w:t>
      </w:r>
      <w:r w:rsidR="002D15BA">
        <w:t>,</w:t>
      </w:r>
      <w:r>
        <w:t xml:space="preserve"> or the positions adopted by its members were incompatible with a “democratic society”, let alone that they represented a threat to democracy</w:t>
      </w:r>
      <w:r w:rsidRPr="000D71CC" w:rsidR="00090354">
        <w:t>.</w:t>
      </w:r>
    </w:p>
    <w:p w:rsidRPr="000D71CC" w:rsidR="00090354" w:rsidP="00090354" w:rsidRDefault="00120F11">
      <w:pPr>
        <w:pStyle w:val="JuHalpha"/>
      </w:pPr>
      <w:r>
        <w:t>(β)  Whether the interference was based on</w:t>
      </w:r>
      <w:r w:rsidRPr="000D71CC" w:rsidR="00090354">
        <w:t xml:space="preserve"> </w:t>
      </w:r>
      <w:r>
        <w:t>“relevant and sufficient</w:t>
      </w:r>
      <w:r w:rsidR="002D15BA">
        <w:t>” reasons</w:t>
      </w:r>
      <w:r w:rsidRPr="000D71CC" w:rsidR="00090354">
        <w:t xml:space="preserve"> and was proportionate</w:t>
      </w:r>
    </w:p>
    <w:p w:rsidRPr="000D71CC" w:rsidR="00090354" w:rsidP="00090354" w:rsidRDefault="004C5E1C">
      <w:pPr>
        <w:pStyle w:val="JuPara"/>
      </w:pPr>
      <w:r>
        <w:fldChar w:fldCharType="begin"/>
      </w:r>
      <w:r>
        <w:instrText xml:space="preserve"> SEQ level0 \*arabic </w:instrText>
      </w:r>
      <w:r>
        <w:fldChar w:fldCharType="separate"/>
      </w:r>
      <w:r w:rsidR="00F47D5E">
        <w:rPr>
          <w:noProof/>
        </w:rPr>
        <w:t>77</w:t>
      </w:r>
      <w:r>
        <w:fldChar w:fldCharType="end"/>
      </w:r>
      <w:r>
        <w:t>.  </w:t>
      </w:r>
      <w:r w:rsidRPr="000D71CC" w:rsidR="009D4FA5">
        <w:t>The Court</w:t>
      </w:r>
      <w:r w:rsidRPr="000D71CC" w:rsidR="00090354">
        <w:t xml:space="preserve"> </w:t>
      </w:r>
      <w:r w:rsidR="005A14E5">
        <w:t xml:space="preserve">observes that the reasons given by the </w:t>
      </w:r>
      <w:r w:rsidR="0024626D">
        <w:t>County Court</w:t>
      </w:r>
      <w:r w:rsidRPr="000D71CC" w:rsidR="00090354">
        <w:t xml:space="preserve"> </w:t>
      </w:r>
      <w:r w:rsidR="005A14E5">
        <w:t>to justify the interference were of a purely religious nature</w:t>
      </w:r>
      <w:r w:rsidRPr="000D71CC" w:rsidR="00090354">
        <w:t xml:space="preserve">. </w:t>
      </w:r>
      <w:r w:rsidRPr="005A14E5" w:rsidR="005A14E5">
        <w:t xml:space="preserve">Unlike the </w:t>
      </w:r>
      <w:r w:rsidR="005A14E5">
        <w:t>first-instance</w:t>
      </w:r>
      <w:r w:rsidRPr="005A14E5" w:rsidR="005A14E5">
        <w:t xml:space="preserve"> court, the judges who considered the appeal </w:t>
      </w:r>
      <w:r w:rsidR="005A14E5">
        <w:t>by</w:t>
      </w:r>
      <w:r w:rsidRPr="005A14E5" w:rsidR="005A14E5">
        <w:t xml:space="preserve"> the Archdiocese referred </w:t>
      </w:r>
      <w:r w:rsidR="005A14E5">
        <w:t xml:space="preserve">solely </w:t>
      </w:r>
      <w:r w:rsidRPr="005A14E5" w:rsidR="005A14E5">
        <w:t>to the Church</w:t>
      </w:r>
      <w:r w:rsidR="00F47D5E">
        <w:t>’</w:t>
      </w:r>
      <w:r w:rsidR="005A14E5">
        <w:t xml:space="preserve">s </w:t>
      </w:r>
      <w:r w:rsidR="005B218B">
        <w:t>Statute</w:t>
      </w:r>
      <w:r w:rsidRPr="005A14E5" w:rsidR="005A14E5">
        <w:t xml:space="preserve"> and the need to preserve the rules of canon law concerning decision-making</w:t>
      </w:r>
      <w:r w:rsidR="005A14E5">
        <w:t xml:space="preserve"> in order to ensure that the Church leadership was not </w:t>
      </w:r>
      <w:r w:rsidR="000C609B">
        <w:t>confronted</w:t>
      </w:r>
      <w:r w:rsidRPr="005A14E5" w:rsidR="005A14E5">
        <w:t xml:space="preserve"> with a new body alien to tradition</w:t>
      </w:r>
      <w:r w:rsidRPr="000D71CC" w:rsidR="00090354">
        <w:t>.</w:t>
      </w:r>
    </w:p>
    <w:p w:rsidRPr="000D71CC" w:rsidR="00090354" w:rsidP="005A14E5" w:rsidRDefault="004C5E1C">
      <w:pPr>
        <w:pStyle w:val="JuPara"/>
        <w:rPr>
          <w:lang w:eastAsia="en-US"/>
        </w:rPr>
      </w:pPr>
      <w:r>
        <w:fldChar w:fldCharType="begin"/>
      </w:r>
      <w:r>
        <w:instrText xml:space="preserve"> SEQ level0 \*arabic </w:instrText>
      </w:r>
      <w:r>
        <w:fldChar w:fldCharType="separate"/>
      </w:r>
      <w:r w:rsidR="00F47D5E">
        <w:rPr>
          <w:noProof/>
        </w:rPr>
        <w:t>78</w:t>
      </w:r>
      <w:r>
        <w:fldChar w:fldCharType="end"/>
      </w:r>
      <w:r>
        <w:t>.  </w:t>
      </w:r>
      <w:r w:rsidR="005A14E5">
        <w:t xml:space="preserve">The </w:t>
      </w:r>
      <w:r w:rsidR="002D15BA">
        <w:t>County Co</w:t>
      </w:r>
      <w:r w:rsidR="005A14E5">
        <w:t>urt did not examine the repercussions of the employment contract on the employer-employee relationship, the distinction between members of the clergy and lay employees of the Church or the compatibility of the ecclesiastical rules prohibiting union membership with the domestic and international regulations enshrining the right of employees to belong to a trade union. In the Court</w:t>
      </w:r>
      <w:r w:rsidR="00F47D5E">
        <w:t>’</w:t>
      </w:r>
      <w:r w:rsidR="005A14E5">
        <w:t xml:space="preserve">s opinion, however, </w:t>
      </w:r>
      <w:r w:rsidR="008A3B3F">
        <w:t xml:space="preserve">such </w:t>
      </w:r>
      <w:r w:rsidR="005A14E5">
        <w:t xml:space="preserve">questions were of particular importance in the present case and, </w:t>
      </w:r>
      <w:r w:rsidR="008A3B3F">
        <w:t>on that account</w:t>
      </w:r>
      <w:r w:rsidR="005A14E5">
        <w:t xml:space="preserve">, </w:t>
      </w:r>
      <w:r w:rsidR="008A3B3F">
        <w:t xml:space="preserve">should have been </w:t>
      </w:r>
      <w:r w:rsidR="005A14E5">
        <w:t>explicit</w:t>
      </w:r>
      <w:r w:rsidR="008A3B3F">
        <w:t xml:space="preserve">ly addressed and taken into consideration </w:t>
      </w:r>
      <w:r w:rsidR="005A14E5">
        <w:t xml:space="preserve">in </w:t>
      </w:r>
      <w:r w:rsidR="00BC4FFF">
        <w:t xml:space="preserve">weighing up </w:t>
      </w:r>
      <w:r w:rsidR="008A3B3F">
        <w:t xml:space="preserve">the interests at stake </w:t>
      </w:r>
      <w:r w:rsidRPr="000D71CC" w:rsidR="00090354">
        <w:t>(</w:t>
      </w:r>
      <w:r w:rsidR="00E61669">
        <w:t>see</w:t>
      </w:r>
      <w:r w:rsidRPr="000D71CC" w:rsidR="00090354">
        <w:t xml:space="preserve">, </w:t>
      </w:r>
      <w:r w:rsidRPr="000D71CC" w:rsidR="00090354">
        <w:rPr>
          <w:i/>
        </w:rPr>
        <w:t>mutatis mutandis</w:t>
      </w:r>
      <w:r w:rsidRPr="000D71CC" w:rsidR="00090354">
        <w:t xml:space="preserve">, </w:t>
      </w:r>
      <w:r w:rsidRPr="000D71CC" w:rsidR="00090354">
        <w:rPr>
          <w:i/>
          <w:lang w:eastAsia="en-US"/>
        </w:rPr>
        <w:t>Ruiz Torija</w:t>
      </w:r>
      <w:r w:rsidRPr="000D71CC" w:rsidR="009D4FA5">
        <w:rPr>
          <w:i/>
          <w:lang w:eastAsia="en-US"/>
        </w:rPr>
        <w:t xml:space="preserve"> v.</w:t>
      </w:r>
      <w:r w:rsidR="00846D6E">
        <w:rPr>
          <w:i/>
          <w:lang w:eastAsia="en-US"/>
        </w:rPr>
        <w:t> </w:t>
      </w:r>
      <w:r w:rsidRPr="000D71CC" w:rsidR="009D4FA5">
        <w:rPr>
          <w:i/>
          <w:lang w:eastAsia="en-US"/>
        </w:rPr>
        <w:t>Spain</w:t>
      </w:r>
      <w:r w:rsidRPr="000D71CC" w:rsidR="00090354">
        <w:rPr>
          <w:lang w:eastAsia="en-US"/>
        </w:rPr>
        <w:t xml:space="preserve">, 9 </w:t>
      </w:r>
      <w:r w:rsidRPr="000D71CC" w:rsidR="009D4FA5">
        <w:rPr>
          <w:lang w:eastAsia="en-US"/>
        </w:rPr>
        <w:t>December</w:t>
      </w:r>
      <w:r w:rsidRPr="000D71CC" w:rsidR="00090354">
        <w:rPr>
          <w:lang w:eastAsia="en-US"/>
        </w:rPr>
        <w:t xml:space="preserve"> 1994, § 30, </w:t>
      </w:r>
      <w:r w:rsidRPr="000D71CC" w:rsidR="009D4FA5">
        <w:rPr>
          <w:lang w:eastAsia="en-US"/>
        </w:rPr>
        <w:t>Series A</w:t>
      </w:r>
      <w:r w:rsidRPr="000D71CC" w:rsidR="00090354">
        <w:rPr>
          <w:lang w:eastAsia="en-US"/>
        </w:rPr>
        <w:t xml:space="preserve"> n</w:t>
      </w:r>
      <w:r w:rsidR="00BC4FFF">
        <w:rPr>
          <w:lang w:eastAsia="en-US"/>
        </w:rPr>
        <w:t>o.</w:t>
      </w:r>
      <w:r w:rsidRPr="000D71CC" w:rsidR="00090354">
        <w:rPr>
          <w:lang w:eastAsia="en-US"/>
        </w:rPr>
        <w:t xml:space="preserve"> 303-A</w:t>
      </w:r>
      <w:r w:rsidR="00BC4FFF">
        <w:rPr>
          <w:lang w:eastAsia="en-US"/>
        </w:rPr>
        <w:t>;</w:t>
      </w:r>
      <w:r w:rsidRPr="000D71CC" w:rsidR="00090354">
        <w:t xml:space="preserve"> </w:t>
      </w:r>
      <w:r w:rsidRPr="000D71CC" w:rsidR="00090354">
        <w:rPr>
          <w:i/>
          <w:lang w:eastAsia="en-US"/>
        </w:rPr>
        <w:t>Schüth</w:t>
      </w:r>
      <w:r w:rsidRPr="000D71CC" w:rsidR="00090354">
        <w:rPr>
          <w:lang w:eastAsia="en-US"/>
        </w:rPr>
        <w:t xml:space="preserve">, </w:t>
      </w:r>
      <w:r w:rsidR="00E61669">
        <w:rPr>
          <w:lang w:eastAsia="en-US"/>
        </w:rPr>
        <w:t>cited above</w:t>
      </w:r>
      <w:r w:rsidRPr="000D71CC" w:rsidR="00090354">
        <w:rPr>
          <w:lang w:eastAsia="en-US"/>
        </w:rPr>
        <w:t xml:space="preserve">, </w:t>
      </w:r>
      <w:r w:rsidR="00846D6E">
        <w:t>§ </w:t>
      </w:r>
      <w:r w:rsidRPr="000D71CC" w:rsidR="00090354">
        <w:t>73</w:t>
      </w:r>
      <w:r w:rsidR="00BC4FFF">
        <w:t>;</w:t>
      </w:r>
      <w:r w:rsidRPr="000D71CC" w:rsidR="00090354">
        <w:t xml:space="preserve"> </w:t>
      </w:r>
      <w:r w:rsidRPr="000D71CC" w:rsidR="00090354">
        <w:rPr>
          <w:i/>
          <w:lang w:eastAsia="en-US"/>
        </w:rPr>
        <w:t>Obst</w:t>
      </w:r>
      <w:r w:rsidRPr="000D71CC" w:rsidR="009D4FA5">
        <w:rPr>
          <w:i/>
          <w:lang w:eastAsia="en-US"/>
        </w:rPr>
        <w:t xml:space="preserve"> v.</w:t>
      </w:r>
      <w:r w:rsidRPr="000D71CC" w:rsidR="00090354">
        <w:rPr>
          <w:i/>
          <w:lang w:eastAsia="en-US"/>
        </w:rPr>
        <w:t xml:space="preserve"> </w:t>
      </w:r>
      <w:r w:rsidRPr="000D71CC" w:rsidR="009D4FA5">
        <w:rPr>
          <w:i/>
          <w:lang w:eastAsia="en-US"/>
        </w:rPr>
        <w:t>Germany</w:t>
      </w:r>
      <w:r w:rsidRPr="000D71CC" w:rsidR="00090354">
        <w:rPr>
          <w:lang w:eastAsia="en-US"/>
        </w:rPr>
        <w:t>, n</w:t>
      </w:r>
      <w:r w:rsidR="00BC4FFF">
        <w:rPr>
          <w:lang w:eastAsia="en-US"/>
        </w:rPr>
        <w:t>o.</w:t>
      </w:r>
      <w:r w:rsidRPr="000D71CC" w:rsidR="00090354">
        <w:rPr>
          <w:lang w:eastAsia="en-US"/>
        </w:rPr>
        <w:t xml:space="preserve"> 425/03, §§ 48 </w:t>
      </w:r>
      <w:r w:rsidRPr="000D71CC" w:rsidR="009D4FA5">
        <w:rPr>
          <w:lang w:eastAsia="en-US"/>
        </w:rPr>
        <w:t>and</w:t>
      </w:r>
      <w:r w:rsidRPr="000D71CC" w:rsidR="00090354">
        <w:rPr>
          <w:lang w:eastAsia="en-US"/>
        </w:rPr>
        <w:t xml:space="preserve"> 51, </w:t>
      </w:r>
      <w:r w:rsidR="00BC4FFF">
        <w:rPr>
          <w:lang w:eastAsia="en-US"/>
        </w:rPr>
        <w:t>23 September</w:t>
      </w:r>
      <w:r w:rsidRPr="000D71CC" w:rsidR="00090354">
        <w:rPr>
          <w:lang w:eastAsia="en-US"/>
        </w:rPr>
        <w:t xml:space="preserve"> 2010</w:t>
      </w:r>
      <w:r w:rsidR="00BC4FFF">
        <w:rPr>
          <w:lang w:eastAsia="en-US"/>
        </w:rPr>
        <w:t>;</w:t>
      </w:r>
      <w:r w:rsidRPr="000D71CC" w:rsidR="00090354">
        <w:rPr>
          <w:lang w:eastAsia="en-US"/>
        </w:rPr>
        <w:t xml:space="preserve"> </w:t>
      </w:r>
      <w:r w:rsidRPr="000D71CC" w:rsidR="009D4FA5">
        <w:t>and</w:t>
      </w:r>
      <w:r w:rsidRPr="000D71CC" w:rsidR="00090354">
        <w:t xml:space="preserve"> </w:t>
      </w:r>
      <w:r w:rsidRPr="000D71CC" w:rsidR="00090354">
        <w:rPr>
          <w:i/>
          <w:lang w:eastAsia="en-US"/>
        </w:rPr>
        <w:t>Negrepontis-Giannisis</w:t>
      </w:r>
      <w:r w:rsidRPr="000D71CC" w:rsidR="00090354">
        <w:rPr>
          <w:lang w:eastAsia="en-US"/>
        </w:rPr>
        <w:t xml:space="preserve">, </w:t>
      </w:r>
      <w:r w:rsidR="00E61669">
        <w:rPr>
          <w:lang w:eastAsia="en-US"/>
        </w:rPr>
        <w:t>cited above</w:t>
      </w:r>
      <w:r w:rsidRPr="000D71CC" w:rsidR="00090354">
        <w:rPr>
          <w:lang w:eastAsia="en-US"/>
        </w:rPr>
        <w:t>, § 72).</w:t>
      </w:r>
    </w:p>
    <w:p w:rsidRPr="000D71CC" w:rsidR="00090354" w:rsidP="00090354" w:rsidRDefault="004C5E1C">
      <w:pPr>
        <w:pStyle w:val="JuPara"/>
      </w:pPr>
      <w:r>
        <w:fldChar w:fldCharType="begin"/>
      </w:r>
      <w:r>
        <w:instrText xml:space="preserve"> SEQ level0 \*arabic </w:instrText>
      </w:r>
      <w:r>
        <w:fldChar w:fldCharType="separate"/>
      </w:r>
      <w:r w:rsidR="00F47D5E">
        <w:rPr>
          <w:noProof/>
        </w:rPr>
        <w:t>79</w:t>
      </w:r>
      <w:r>
        <w:fldChar w:fldCharType="end"/>
      </w:r>
      <w:r>
        <w:t>.  </w:t>
      </w:r>
      <w:r w:rsidRPr="000D71CC" w:rsidR="009D4FA5">
        <w:t>The Court</w:t>
      </w:r>
      <w:r w:rsidRPr="000D71CC" w:rsidR="00090354">
        <w:t xml:space="preserve"> </w:t>
      </w:r>
      <w:r w:rsidR="00CC6D97">
        <w:t xml:space="preserve">accepts that </w:t>
      </w:r>
      <w:r w:rsidRPr="00CC6D97" w:rsidR="00CC6D97">
        <w:t>under the Convention, an employer whose ethos is based on religion may impose speci</w:t>
      </w:r>
      <w:r w:rsidR="00846D6E">
        <w:t>al</w:t>
      </w:r>
      <w:r w:rsidRPr="00CC6D97" w:rsidR="00CC6D97">
        <w:t xml:space="preserve"> duties of loyalty on its employees</w:t>
      </w:r>
      <w:r w:rsidRPr="000D71CC" w:rsidR="00090354">
        <w:t xml:space="preserve">. </w:t>
      </w:r>
      <w:r w:rsidR="00CC6D97">
        <w:t>It also</w:t>
      </w:r>
      <w:r w:rsidRPr="00CC6D97" w:rsidR="00CC6D97">
        <w:t xml:space="preserve"> acknowledges that</w:t>
      </w:r>
      <w:r w:rsidR="00846D6E">
        <w:t xml:space="preserve"> when</w:t>
      </w:r>
      <w:r w:rsidRPr="00CC6D97" w:rsidR="00CC6D97">
        <w:t xml:space="preserve"> signing </w:t>
      </w:r>
      <w:r w:rsidR="00846D6E">
        <w:t>their</w:t>
      </w:r>
      <w:r w:rsidRPr="00CC6D97" w:rsidR="00CC6D97">
        <w:t xml:space="preserve"> employment contract, </w:t>
      </w:r>
      <w:r w:rsidR="00CC6D97">
        <w:t>employee</w:t>
      </w:r>
      <w:r w:rsidR="00846D6E">
        <w:t>s bound by such a</w:t>
      </w:r>
      <w:r w:rsidR="00CC6D97">
        <w:t xml:space="preserve"> </w:t>
      </w:r>
      <w:r w:rsidRPr="00CC6D97" w:rsidR="00CC6D97">
        <w:t>duty</w:t>
      </w:r>
      <w:r w:rsidR="00846D6E">
        <w:t xml:space="preserve"> of loyalty may accept a certain restriction</w:t>
      </w:r>
      <w:r w:rsidR="004503D1">
        <w:t xml:space="preserve"> of some of </w:t>
      </w:r>
      <w:r w:rsidR="00846D6E">
        <w:t>their</w:t>
      </w:r>
      <w:r w:rsidR="004503D1">
        <w:t xml:space="preserve"> rights</w:t>
      </w:r>
      <w:r w:rsidR="00846D6E">
        <w:t xml:space="preserve"> </w:t>
      </w:r>
      <w:r w:rsidRPr="000D71CC" w:rsidR="00090354">
        <w:t>(</w:t>
      </w:r>
      <w:r w:rsidR="00E61669">
        <w:t>see</w:t>
      </w:r>
      <w:r w:rsidRPr="000D71CC" w:rsidR="00090354">
        <w:t xml:space="preserve"> </w:t>
      </w:r>
      <w:r w:rsidRPr="000D71CC" w:rsidR="00090354">
        <w:rPr>
          <w:i/>
          <w:lang w:eastAsia="en-US"/>
        </w:rPr>
        <w:t>Ahtinen</w:t>
      </w:r>
      <w:r w:rsidRPr="000D71CC" w:rsidR="00090354">
        <w:rPr>
          <w:lang w:eastAsia="en-US"/>
        </w:rPr>
        <w:t xml:space="preserve">, </w:t>
      </w:r>
      <w:r w:rsidR="00E61669">
        <w:rPr>
          <w:lang w:eastAsia="en-US"/>
        </w:rPr>
        <w:t>cited above</w:t>
      </w:r>
      <w:r w:rsidRPr="000D71CC" w:rsidR="00090354">
        <w:rPr>
          <w:lang w:eastAsia="en-US"/>
        </w:rPr>
        <w:t>, § 41</w:t>
      </w:r>
      <w:r w:rsidR="003E7F1C">
        <w:rPr>
          <w:lang w:eastAsia="en-US"/>
        </w:rPr>
        <w:t>,</w:t>
      </w:r>
      <w:r w:rsidRPr="000D71CC" w:rsidR="00090354">
        <w:rPr>
          <w:lang w:eastAsia="en-US"/>
        </w:rPr>
        <w:t xml:space="preserve"> </w:t>
      </w:r>
      <w:r w:rsidRPr="000D71CC" w:rsidR="009D4FA5">
        <w:t>and</w:t>
      </w:r>
      <w:r w:rsidRPr="000D71CC" w:rsidR="00090354">
        <w:rPr>
          <w:i/>
          <w:lang w:eastAsia="en-US"/>
        </w:rPr>
        <w:t xml:space="preserve"> Schüth</w:t>
      </w:r>
      <w:r w:rsidRPr="000D71CC" w:rsidR="00090354">
        <w:rPr>
          <w:lang w:eastAsia="en-US"/>
        </w:rPr>
        <w:t xml:space="preserve">, </w:t>
      </w:r>
      <w:r w:rsidR="00E61669">
        <w:rPr>
          <w:lang w:eastAsia="en-US"/>
        </w:rPr>
        <w:t>cited above</w:t>
      </w:r>
      <w:r w:rsidRPr="000D71CC" w:rsidR="00090354">
        <w:rPr>
          <w:lang w:eastAsia="en-US"/>
        </w:rPr>
        <w:t xml:space="preserve">, </w:t>
      </w:r>
      <w:r w:rsidR="00C3461A">
        <w:t>§ </w:t>
      </w:r>
      <w:r w:rsidRPr="000D71CC" w:rsidR="00090354">
        <w:t>71).</w:t>
      </w:r>
    </w:p>
    <w:p w:rsidRPr="000D71CC" w:rsidR="00090354" w:rsidP="00090354" w:rsidRDefault="004C5E1C">
      <w:pPr>
        <w:pStyle w:val="JuPara"/>
      </w:pPr>
      <w:r>
        <w:fldChar w:fldCharType="begin"/>
      </w:r>
      <w:r>
        <w:instrText xml:space="preserve"> SEQ level0 \*arabic </w:instrText>
      </w:r>
      <w:r>
        <w:fldChar w:fldCharType="separate"/>
      </w:r>
      <w:r w:rsidR="00F47D5E">
        <w:rPr>
          <w:noProof/>
        </w:rPr>
        <w:t>80</w:t>
      </w:r>
      <w:r>
        <w:fldChar w:fldCharType="end"/>
      </w:r>
      <w:r>
        <w:t>.  </w:t>
      </w:r>
      <w:r w:rsidR="004503D1">
        <w:t xml:space="preserve">However, it reiterates that </w:t>
      </w:r>
      <w:r w:rsidR="00BA7422">
        <w:t xml:space="preserve">a civil court </w:t>
      </w:r>
      <w:r w:rsidR="004503D1">
        <w:t xml:space="preserve">reviewing a penalty </w:t>
      </w:r>
      <w:r w:rsidR="00BA7422">
        <w:t>imposed following</w:t>
      </w:r>
      <w:r w:rsidRPr="004503D1" w:rsidR="004503D1">
        <w:t xml:space="preserve"> a breach of such </w:t>
      </w:r>
      <w:r w:rsidR="00846D6E">
        <w:t>duties</w:t>
      </w:r>
      <w:r w:rsidR="004503D1">
        <w:t xml:space="preserve"> cannot</w:t>
      </w:r>
      <w:r w:rsidR="00BA7422">
        <w:t xml:space="preserve">, on the basis of the </w:t>
      </w:r>
      <w:r w:rsidR="004503D1">
        <w:t>employer</w:t>
      </w:r>
      <w:r w:rsidR="00F47D5E">
        <w:t>’</w:t>
      </w:r>
      <w:r w:rsidR="00BA7422">
        <w:t>s</w:t>
      </w:r>
      <w:r w:rsidR="004A5EE6">
        <w:t xml:space="preserve"> autonomy, </w:t>
      </w:r>
      <w:r w:rsidR="000C609B">
        <w:t>refrain from</w:t>
      </w:r>
      <w:r w:rsidR="004A5EE6">
        <w:t xml:space="preserve"> carry</w:t>
      </w:r>
      <w:r w:rsidR="000C609B">
        <w:t>ing</w:t>
      </w:r>
      <w:r w:rsidR="004A5EE6">
        <w:t xml:space="preserve"> out</w:t>
      </w:r>
      <w:r w:rsidR="00BA7422">
        <w:t xml:space="preserve"> a proper balancing exercise between the </w:t>
      </w:r>
      <w:r w:rsidR="004503D1">
        <w:t xml:space="preserve">interests at stake </w:t>
      </w:r>
      <w:r w:rsidRPr="004503D1" w:rsidR="004503D1">
        <w:t>in accordance with the principle of proportionality</w:t>
      </w:r>
      <w:r w:rsidRPr="000D71CC" w:rsidR="00090354">
        <w:t xml:space="preserve"> (</w:t>
      </w:r>
      <w:r w:rsidR="004503D1">
        <w:t xml:space="preserve">see </w:t>
      </w:r>
      <w:r w:rsidRPr="000D71CC" w:rsidR="00090354">
        <w:rPr>
          <w:i/>
          <w:lang w:eastAsia="en-US"/>
        </w:rPr>
        <w:t>Schüth</w:t>
      </w:r>
      <w:r w:rsidRPr="000D71CC" w:rsidR="00090354">
        <w:rPr>
          <w:lang w:eastAsia="en-US"/>
        </w:rPr>
        <w:t xml:space="preserve">, </w:t>
      </w:r>
      <w:r w:rsidR="00E61669">
        <w:rPr>
          <w:lang w:eastAsia="en-US"/>
        </w:rPr>
        <w:t>cited above</w:t>
      </w:r>
      <w:r w:rsidRPr="000D71CC" w:rsidR="00090354">
        <w:rPr>
          <w:lang w:eastAsia="en-US"/>
        </w:rPr>
        <w:t xml:space="preserve">, </w:t>
      </w:r>
      <w:r w:rsidRPr="000D71CC" w:rsidR="00090354">
        <w:t>§ 69).</w:t>
      </w:r>
    </w:p>
    <w:p w:rsidRPr="00500DB3" w:rsidR="00090354" w:rsidP="00090354" w:rsidRDefault="004C5E1C">
      <w:pPr>
        <w:pStyle w:val="JuPara"/>
        <w:rPr>
          <w:lang w:eastAsia="en-US"/>
        </w:rPr>
      </w:pPr>
      <w:r>
        <w:fldChar w:fldCharType="begin"/>
      </w:r>
      <w:r>
        <w:instrText xml:space="preserve"> SEQ level0 \*arabic </w:instrText>
      </w:r>
      <w:r>
        <w:fldChar w:fldCharType="separate"/>
      </w:r>
      <w:r w:rsidR="00F47D5E">
        <w:rPr>
          <w:noProof/>
        </w:rPr>
        <w:t>81</w:t>
      </w:r>
      <w:r>
        <w:fldChar w:fldCharType="end"/>
      </w:r>
      <w:r>
        <w:t>.  </w:t>
      </w:r>
      <w:r w:rsidR="00500DB3">
        <w:t>As regards the</w:t>
      </w:r>
      <w:r w:rsidR="003E7F1C">
        <w:t xml:space="preserve"> contention that signing the employment contract gave rise to an implicit limitation of the right to organise</w:t>
      </w:r>
      <w:r w:rsidRPr="000D71CC" w:rsidR="00090354">
        <w:t xml:space="preserve">, </w:t>
      </w:r>
      <w:r w:rsidRPr="000D71CC" w:rsidR="009D4FA5">
        <w:t>the Court</w:t>
      </w:r>
      <w:r w:rsidRPr="000D71CC" w:rsidR="00090354">
        <w:t xml:space="preserve"> </w:t>
      </w:r>
      <w:r w:rsidR="00500DB3">
        <w:t xml:space="preserve">considers that such a limitation cannot be accepted as valid since it would </w:t>
      </w:r>
      <w:r w:rsidRPr="00500DB3" w:rsidR="00500DB3">
        <w:rPr>
          <w:lang w:eastAsia="en-US"/>
        </w:rPr>
        <w:t xml:space="preserve">strike at the very substance of the freedom </w:t>
      </w:r>
      <w:r w:rsidR="00500DB3">
        <w:t xml:space="preserve">guaranteed by </w:t>
      </w:r>
      <w:r w:rsidR="00785D5D">
        <w:t>Article 11 of the Convention</w:t>
      </w:r>
      <w:r w:rsidRPr="000D71CC" w:rsidR="00090354">
        <w:t xml:space="preserve"> (</w:t>
      </w:r>
      <w:r w:rsidR="00E61669">
        <w:t>see</w:t>
      </w:r>
      <w:r w:rsidRPr="000D71CC" w:rsidR="00090354">
        <w:t xml:space="preserve">, </w:t>
      </w:r>
      <w:r w:rsidRPr="000D71CC" w:rsidR="00090354">
        <w:rPr>
          <w:i/>
        </w:rPr>
        <w:t>mutatis mutandis</w:t>
      </w:r>
      <w:r w:rsidRPr="003E7F1C" w:rsidR="00090354">
        <w:t>,</w:t>
      </w:r>
      <w:r w:rsidRPr="000D71CC" w:rsidR="00090354">
        <w:rPr>
          <w:i/>
        </w:rPr>
        <w:t xml:space="preserve"> </w:t>
      </w:r>
      <w:r w:rsidRPr="000D71CC" w:rsidR="00090354">
        <w:rPr>
          <w:i/>
          <w:lang w:eastAsia="en-US"/>
        </w:rPr>
        <w:t xml:space="preserve">Young, James </w:t>
      </w:r>
      <w:r w:rsidRPr="000D71CC" w:rsidR="009D4FA5">
        <w:rPr>
          <w:i/>
          <w:lang w:eastAsia="en-US"/>
        </w:rPr>
        <w:t>and</w:t>
      </w:r>
      <w:r w:rsidRPr="000D71CC" w:rsidR="00090354">
        <w:rPr>
          <w:i/>
          <w:lang w:eastAsia="en-US"/>
        </w:rPr>
        <w:t xml:space="preserve"> Webster</w:t>
      </w:r>
      <w:r w:rsidRPr="000D71CC" w:rsidR="009D4FA5">
        <w:rPr>
          <w:i/>
          <w:lang w:eastAsia="en-US"/>
        </w:rPr>
        <w:t xml:space="preserve"> v.</w:t>
      </w:r>
      <w:r w:rsidRPr="000D71CC" w:rsidR="00090354">
        <w:rPr>
          <w:i/>
          <w:lang w:eastAsia="en-US"/>
        </w:rPr>
        <w:t xml:space="preserve"> </w:t>
      </w:r>
      <w:r w:rsidRPr="000D71CC" w:rsidR="009D4FA5">
        <w:rPr>
          <w:i/>
          <w:lang w:eastAsia="en-US"/>
        </w:rPr>
        <w:t>the United Kingdom</w:t>
      </w:r>
      <w:r w:rsidR="003E7F1C">
        <w:rPr>
          <w:lang w:eastAsia="en-US"/>
        </w:rPr>
        <w:t>, 13 </w:t>
      </w:r>
      <w:r w:rsidRPr="000D71CC" w:rsidR="009D4FA5">
        <w:rPr>
          <w:lang w:eastAsia="en-US"/>
        </w:rPr>
        <w:t>August</w:t>
      </w:r>
      <w:r w:rsidRPr="000D71CC" w:rsidR="00090354">
        <w:rPr>
          <w:lang w:eastAsia="en-US"/>
        </w:rPr>
        <w:t xml:space="preserve"> 1981, § 52, </w:t>
      </w:r>
      <w:r w:rsidRPr="000D71CC" w:rsidR="009D4FA5">
        <w:rPr>
          <w:lang w:eastAsia="en-US"/>
        </w:rPr>
        <w:t>Series A</w:t>
      </w:r>
      <w:r w:rsidRPr="000D71CC" w:rsidR="00090354">
        <w:rPr>
          <w:lang w:eastAsia="en-US"/>
        </w:rPr>
        <w:t xml:space="preserve"> n</w:t>
      </w:r>
      <w:r w:rsidR="000D519F">
        <w:rPr>
          <w:lang w:eastAsia="en-US"/>
        </w:rPr>
        <w:t>o.</w:t>
      </w:r>
      <w:r w:rsidRPr="000D71CC" w:rsidR="00090354">
        <w:rPr>
          <w:lang w:eastAsia="en-US"/>
        </w:rPr>
        <w:t xml:space="preserve"> 44).</w:t>
      </w:r>
    </w:p>
    <w:p w:rsidRPr="000D71CC" w:rsidR="00090354" w:rsidP="004A7F45" w:rsidRDefault="004C5E1C">
      <w:pPr>
        <w:pStyle w:val="JuPara"/>
      </w:pPr>
      <w:r>
        <w:fldChar w:fldCharType="begin"/>
      </w:r>
      <w:r>
        <w:instrText xml:space="preserve"> SEQ level0 \*arabic </w:instrText>
      </w:r>
      <w:r>
        <w:fldChar w:fldCharType="separate"/>
      </w:r>
      <w:r w:rsidR="00F47D5E">
        <w:rPr>
          <w:noProof/>
        </w:rPr>
        <w:t>82</w:t>
      </w:r>
      <w:r>
        <w:fldChar w:fldCharType="end"/>
      </w:r>
      <w:r>
        <w:t>.  </w:t>
      </w:r>
      <w:r w:rsidR="00500DB3">
        <w:t>In any event</w:t>
      </w:r>
      <w:r w:rsidRPr="000D71CC" w:rsidR="00090354">
        <w:t xml:space="preserve">, </w:t>
      </w:r>
      <w:r w:rsidRPr="000D71CC" w:rsidR="009D4FA5">
        <w:t>the Court</w:t>
      </w:r>
      <w:r w:rsidRPr="000D71CC" w:rsidR="00090354">
        <w:t xml:space="preserve"> note</w:t>
      </w:r>
      <w:r w:rsidR="00500DB3">
        <w:t xml:space="preserve">s that in the present case neither </w:t>
      </w:r>
      <w:r w:rsidR="00FE7799">
        <w:t>the Government</w:t>
      </w:r>
      <w:r w:rsidRPr="000D71CC" w:rsidR="00090354">
        <w:t xml:space="preserve"> </w:t>
      </w:r>
      <w:r w:rsidR="00500DB3">
        <w:t>nor</w:t>
      </w:r>
      <w:r w:rsidRPr="000D71CC" w:rsidR="00090354">
        <w:t xml:space="preserve"> </w:t>
      </w:r>
      <w:r w:rsidR="001E60AD">
        <w:t>the Archdiocese</w:t>
      </w:r>
      <w:r w:rsidRPr="000D71CC" w:rsidR="00090354">
        <w:t xml:space="preserve"> </w:t>
      </w:r>
      <w:r w:rsidR="003E7F1C">
        <w:t>argued</w:t>
      </w:r>
      <w:r w:rsidR="00500DB3">
        <w:t xml:space="preserve"> </w:t>
      </w:r>
      <w:r w:rsidR="003E7F1C">
        <w:t>in</w:t>
      </w:r>
      <w:r w:rsidR="00500DB3">
        <w:t xml:space="preserve"> the domestic </w:t>
      </w:r>
      <w:r w:rsidR="003E7F1C">
        <w:t>proceedings</w:t>
      </w:r>
      <w:r w:rsidR="00500DB3">
        <w:t xml:space="preserve"> or </w:t>
      </w:r>
      <w:r w:rsidR="003E7F1C">
        <w:t xml:space="preserve">before </w:t>
      </w:r>
      <w:r w:rsidR="00500DB3">
        <w:t xml:space="preserve">the Court that the contracts </w:t>
      </w:r>
      <w:r w:rsidR="003E7F1C">
        <w:t>signed by</w:t>
      </w:r>
      <w:r w:rsidR="00500DB3">
        <w:t xml:space="preserve"> Church employees contained a clause of this nature </w:t>
      </w:r>
      <w:r w:rsidRPr="000D71CC" w:rsidR="00090354">
        <w:t>(</w:t>
      </w:r>
      <w:r w:rsidR="00923AFE">
        <w:t>see</w:t>
      </w:r>
      <w:r w:rsidRPr="000D71CC" w:rsidR="00090354">
        <w:t xml:space="preserve">, </w:t>
      </w:r>
      <w:r w:rsidRPr="000D71CC" w:rsidR="00090354">
        <w:rPr>
          <w:i/>
        </w:rPr>
        <w:t>mutatis mutandis</w:t>
      </w:r>
      <w:r w:rsidRPr="004D750E" w:rsidR="00090354">
        <w:t>,</w:t>
      </w:r>
      <w:r w:rsidRPr="000D71CC" w:rsidR="00090354">
        <w:rPr>
          <w:i/>
        </w:rPr>
        <w:t xml:space="preserve"> </w:t>
      </w:r>
      <w:r w:rsidRPr="000D71CC" w:rsidR="00090354">
        <w:rPr>
          <w:i/>
          <w:lang w:eastAsia="en-US"/>
        </w:rPr>
        <w:t>Schüth</w:t>
      </w:r>
      <w:r w:rsidRPr="000D71CC" w:rsidR="00090354">
        <w:rPr>
          <w:lang w:eastAsia="en-US"/>
        </w:rPr>
        <w:t xml:space="preserve">, </w:t>
      </w:r>
      <w:r w:rsidR="00E61669">
        <w:rPr>
          <w:lang w:eastAsia="en-US"/>
        </w:rPr>
        <w:t>cited above</w:t>
      </w:r>
      <w:r w:rsidRPr="000D71CC" w:rsidR="00090354">
        <w:rPr>
          <w:lang w:eastAsia="en-US"/>
        </w:rPr>
        <w:t xml:space="preserve">, § 71). </w:t>
      </w:r>
      <w:r w:rsidR="004A7F45">
        <w:t xml:space="preserve">It further observes that the </w:t>
      </w:r>
      <w:r w:rsidR="0024626D">
        <w:t xml:space="preserve">County </w:t>
      </w:r>
      <w:r w:rsidR="004A7F45">
        <w:t>Court</w:t>
      </w:r>
      <w:r w:rsidR="00F47D5E">
        <w:t>’</w:t>
      </w:r>
      <w:r w:rsidR="004A7F45">
        <w:t>s refusal to register the trade union was based not on the clauses of the employment contracts but on the provisions of the Church</w:t>
      </w:r>
      <w:r w:rsidR="00F47D5E">
        <w:t>’</w:t>
      </w:r>
      <w:r w:rsidR="004A7F45">
        <w:t xml:space="preserve">s </w:t>
      </w:r>
      <w:r w:rsidR="005B218B">
        <w:t>Statute</w:t>
      </w:r>
      <w:r w:rsidR="004A7F45">
        <w:t xml:space="preserve">, which entered into force in 2008, after the various </w:t>
      </w:r>
      <w:r w:rsidR="003E7F1C">
        <w:t>employees belonging to</w:t>
      </w:r>
      <w:r w:rsidR="004A7F45">
        <w:t xml:space="preserve"> the union had taken up their duties within the Orthodox Church</w:t>
      </w:r>
      <w:r w:rsidRPr="000D71CC" w:rsidR="00090354">
        <w:t>.</w:t>
      </w:r>
    </w:p>
    <w:p w:rsidRPr="0059580F" w:rsidR="00090354" w:rsidP="00090354" w:rsidRDefault="004C5E1C">
      <w:pPr>
        <w:pStyle w:val="JuPara"/>
      </w:pPr>
      <w:r>
        <w:rPr>
          <w:rStyle w:val="JuParaChar"/>
        </w:rPr>
        <w:fldChar w:fldCharType="begin"/>
      </w:r>
      <w:r>
        <w:rPr>
          <w:rStyle w:val="JuParaChar"/>
        </w:rPr>
        <w:instrText xml:space="preserve"> SEQ level0 \*arabic </w:instrText>
      </w:r>
      <w:r>
        <w:rPr>
          <w:rStyle w:val="JuParaChar"/>
        </w:rPr>
        <w:fldChar w:fldCharType="separate"/>
      </w:r>
      <w:r w:rsidR="00F47D5E">
        <w:rPr>
          <w:rStyle w:val="JuParaChar"/>
          <w:noProof/>
        </w:rPr>
        <w:t>83</w:t>
      </w:r>
      <w:r>
        <w:rPr>
          <w:rStyle w:val="JuParaChar"/>
        </w:rPr>
        <w:fldChar w:fldCharType="end"/>
      </w:r>
      <w:r>
        <w:rPr>
          <w:rStyle w:val="JuParaChar"/>
        </w:rPr>
        <w:t>.  </w:t>
      </w:r>
      <w:r w:rsidR="004A7F45">
        <w:rPr>
          <w:rStyle w:val="JuParaChar"/>
        </w:rPr>
        <w:t>In addition</w:t>
      </w:r>
      <w:r w:rsidRPr="000D71CC" w:rsidR="00090354">
        <w:rPr>
          <w:rStyle w:val="JuParaChar"/>
        </w:rPr>
        <w:t xml:space="preserve">, </w:t>
      </w:r>
      <w:r w:rsidRPr="000D71CC" w:rsidR="009D4FA5">
        <w:rPr>
          <w:rStyle w:val="JuParaChar"/>
        </w:rPr>
        <w:t>the Court</w:t>
      </w:r>
      <w:r w:rsidRPr="000D71CC" w:rsidR="00090354">
        <w:rPr>
          <w:rStyle w:val="JuParaChar"/>
        </w:rPr>
        <w:t xml:space="preserve"> </w:t>
      </w:r>
      <w:r w:rsidR="004A7F45">
        <w:rPr>
          <w:rStyle w:val="JuParaChar"/>
        </w:rPr>
        <w:t>note</w:t>
      </w:r>
      <w:r w:rsidR="0059580F">
        <w:rPr>
          <w:rStyle w:val="JuParaChar"/>
        </w:rPr>
        <w:t>s that</w:t>
      </w:r>
      <w:r w:rsidR="004A7F45">
        <w:rPr>
          <w:rStyle w:val="JuParaChar"/>
        </w:rPr>
        <w:t xml:space="preserve"> the relevant international regulations, </w:t>
      </w:r>
      <w:r w:rsidR="0059580F">
        <w:rPr>
          <w:rStyle w:val="JuParaChar"/>
        </w:rPr>
        <w:t xml:space="preserve">in particular the fifth recital of Council Directive </w:t>
      </w:r>
      <w:r w:rsidRPr="000D71CC" w:rsidR="00090354">
        <w:rPr>
          <w:rStyle w:val="JuParaChar"/>
        </w:rPr>
        <w:t>78/20</w:t>
      </w:r>
      <w:r w:rsidR="0059580F">
        <w:rPr>
          <w:rStyle w:val="JuParaChar"/>
        </w:rPr>
        <w:t>00/</w:t>
      </w:r>
      <w:r w:rsidRPr="000D71CC" w:rsidR="00090354">
        <w:rPr>
          <w:rStyle w:val="JuParaChar"/>
        </w:rPr>
        <w:t>E</w:t>
      </w:r>
      <w:r w:rsidR="0059580F">
        <w:rPr>
          <w:rStyle w:val="JuParaChar"/>
        </w:rPr>
        <w:t>C</w:t>
      </w:r>
      <w:r w:rsidRPr="000D71CC" w:rsidR="00090354">
        <w:rPr>
          <w:rStyle w:val="JuParaChar"/>
        </w:rPr>
        <w:t xml:space="preserve">, </w:t>
      </w:r>
      <w:r w:rsidR="0059580F">
        <w:rPr>
          <w:rStyle w:val="JuParaChar"/>
        </w:rPr>
        <w:t xml:space="preserve">do not </w:t>
      </w:r>
      <w:r w:rsidR="00F7696F">
        <w:rPr>
          <w:rStyle w:val="JuParaChar"/>
        </w:rPr>
        <w:t xml:space="preserve">allow infringements of </w:t>
      </w:r>
      <w:r w:rsidR="0059580F">
        <w:rPr>
          <w:rStyle w:val="JuParaChar"/>
        </w:rPr>
        <w:t xml:space="preserve">freedom of association, including </w:t>
      </w:r>
      <w:r w:rsidRPr="0059580F" w:rsidR="0059580F">
        <w:t>the right to establish unions with others and to join unions to defend one</w:t>
      </w:r>
      <w:r w:rsidR="00F47D5E">
        <w:t>’</w:t>
      </w:r>
      <w:r w:rsidRPr="0059580F" w:rsidR="0059580F">
        <w:t>s interests</w:t>
      </w:r>
      <w:r w:rsidRPr="000D71CC" w:rsidR="00090354">
        <w:t xml:space="preserve"> (</w:t>
      </w:r>
      <w:r w:rsidR="0059580F">
        <w:t xml:space="preserve">see </w:t>
      </w:r>
      <w:r w:rsidRPr="000D71CC" w:rsidR="00090354">
        <w:t xml:space="preserve">paragraph 34 </w:t>
      </w:r>
      <w:r w:rsidRPr="000D71CC" w:rsidR="009D4FA5">
        <w:t>above</w:t>
      </w:r>
      <w:r w:rsidRPr="000D71CC" w:rsidR="00090354">
        <w:t>).</w:t>
      </w:r>
    </w:p>
    <w:p w:rsidRPr="000D71CC" w:rsidR="00090354" w:rsidP="008C6D50" w:rsidRDefault="008C6D50">
      <w:pPr>
        <w:pStyle w:val="JuPara"/>
        <w:rPr>
          <w:lang w:eastAsia="en-US"/>
        </w:rPr>
      </w:pPr>
      <w:r>
        <w:fldChar w:fldCharType="begin"/>
      </w:r>
      <w:r>
        <w:instrText xml:space="preserve"> SEQ level0 \*arabic </w:instrText>
      </w:r>
      <w:r>
        <w:fldChar w:fldCharType="separate"/>
      </w:r>
      <w:r w:rsidR="00F47D5E">
        <w:rPr>
          <w:noProof/>
        </w:rPr>
        <w:t>84</w:t>
      </w:r>
      <w:r>
        <w:fldChar w:fldCharType="end"/>
      </w:r>
      <w:r>
        <w:t>.  </w:t>
      </w:r>
      <w:r w:rsidRPr="000D71CC" w:rsidR="009D4FA5">
        <w:t>The Court</w:t>
      </w:r>
      <w:r w:rsidRPr="000D71CC" w:rsidR="00090354">
        <w:t xml:space="preserve"> </w:t>
      </w:r>
      <w:r>
        <w:t xml:space="preserve">is mindful of the particular background to the present case, especially in view of the position occupied by the Orthodox faith in the history and tradition of the respondent State. However, </w:t>
      </w:r>
      <w:r w:rsidR="00BE6221">
        <w:t xml:space="preserve">this cannot </w:t>
      </w:r>
      <w:r>
        <w:t>by itself justify the</w:t>
      </w:r>
      <w:r w:rsidR="00BE6221">
        <w:t xml:space="preserve"> need for the</w:t>
      </w:r>
      <w:r>
        <w:t xml:space="preserve"> interference,</w:t>
      </w:r>
      <w:r w:rsidR="00BE6221">
        <w:t xml:space="preserve"> </w:t>
      </w:r>
      <w:r>
        <w:t xml:space="preserve">especially </w:t>
      </w:r>
      <w:r w:rsidR="00BE6221">
        <w:t>as</w:t>
      </w:r>
      <w:r>
        <w:t xml:space="preserve"> the applicant union </w:t>
      </w:r>
      <w:r w:rsidR="00BE6221">
        <w:t>did not seek</w:t>
      </w:r>
      <w:r>
        <w:t xml:space="preserve"> </w:t>
      </w:r>
      <w:r w:rsidR="00BE6221">
        <w:t>to c</w:t>
      </w:r>
      <w:r>
        <w:t>hallenge that position</w:t>
      </w:r>
      <w:r w:rsidR="00BE6221">
        <w:t xml:space="preserve"> in any way</w:t>
      </w:r>
      <w:r>
        <w:t xml:space="preserve"> and the</w:t>
      </w:r>
      <w:r w:rsidR="00AF4EED">
        <w:t xml:space="preserve"> </w:t>
      </w:r>
      <w:r>
        <w:t xml:space="preserve">right of Orthodox Church </w:t>
      </w:r>
      <w:r w:rsidR="00130200">
        <w:t xml:space="preserve">employees </w:t>
      </w:r>
      <w:r>
        <w:t>to join</w:t>
      </w:r>
      <w:r w:rsidR="00AF4EED">
        <w:t xml:space="preserve"> </w:t>
      </w:r>
      <w:r>
        <w:t>a trade union ha</w:t>
      </w:r>
      <w:r w:rsidR="00AF4EED">
        <w:t>s</w:t>
      </w:r>
      <w:r>
        <w:t xml:space="preserve"> already been recognised on at</w:t>
      </w:r>
      <w:r w:rsidR="00AF4EED">
        <w:t xml:space="preserve"> </w:t>
      </w:r>
      <w:r>
        <w:t xml:space="preserve">least two occasions by the domestic courts </w:t>
      </w:r>
      <w:r w:rsidRPr="000D71CC" w:rsidR="00090354">
        <w:t>(</w:t>
      </w:r>
      <w:r w:rsidR="00126BAD">
        <w:t>see paragraph</w:t>
      </w:r>
      <w:r w:rsidRPr="000D71CC" w:rsidR="00090354">
        <w:t xml:space="preserve">s 30 </w:t>
      </w:r>
      <w:r w:rsidRPr="000D71CC" w:rsidR="009D4FA5">
        <w:t>and</w:t>
      </w:r>
      <w:r w:rsidRPr="000D71CC" w:rsidR="00090354">
        <w:t xml:space="preserve"> 31 </w:t>
      </w:r>
      <w:r w:rsidRPr="000D71CC" w:rsidR="009D4FA5">
        <w:t>above</w:t>
      </w:r>
      <w:r w:rsidRPr="000D71CC" w:rsidR="00090354">
        <w:t xml:space="preserve"> </w:t>
      </w:r>
      <w:r w:rsidRPr="000D71CC" w:rsidR="009D4FA5">
        <w:t>and</w:t>
      </w:r>
      <w:r w:rsidRPr="000D71CC" w:rsidR="00090354">
        <w:t xml:space="preserve">, </w:t>
      </w:r>
      <w:r w:rsidRPr="000D71CC" w:rsidR="00090354">
        <w:rPr>
          <w:i/>
        </w:rPr>
        <w:t>mutatis mutandis</w:t>
      </w:r>
      <w:r w:rsidRPr="0059580F" w:rsidR="00090354">
        <w:t>,</w:t>
      </w:r>
      <w:r w:rsidRPr="000D71CC" w:rsidR="00090354">
        <w:rPr>
          <w:i/>
          <w:lang w:eastAsia="en-US"/>
        </w:rPr>
        <w:t xml:space="preserve"> Partidul Comunistilor (Nepeceristi) </w:t>
      </w:r>
      <w:r w:rsidRPr="000D71CC" w:rsidR="009D4FA5">
        <w:rPr>
          <w:i/>
          <w:lang w:eastAsia="en-US"/>
        </w:rPr>
        <w:t>and</w:t>
      </w:r>
      <w:r w:rsidRPr="000D71CC" w:rsidR="00090354">
        <w:rPr>
          <w:i/>
          <w:lang w:eastAsia="en-US"/>
        </w:rPr>
        <w:t xml:space="preserve"> Ungureanu</w:t>
      </w:r>
      <w:r w:rsidRPr="000D71CC" w:rsidR="009D4FA5">
        <w:rPr>
          <w:i/>
          <w:lang w:eastAsia="en-US"/>
        </w:rPr>
        <w:t xml:space="preserve"> v.</w:t>
      </w:r>
      <w:r w:rsidRPr="000D71CC" w:rsidR="00090354">
        <w:rPr>
          <w:i/>
          <w:lang w:eastAsia="en-US"/>
        </w:rPr>
        <w:t xml:space="preserve"> </w:t>
      </w:r>
      <w:r w:rsidRPr="000D71CC" w:rsidR="009D4FA5">
        <w:rPr>
          <w:i/>
          <w:lang w:eastAsia="en-US"/>
        </w:rPr>
        <w:t>Romania</w:t>
      </w:r>
      <w:r w:rsidRPr="000D71CC" w:rsidR="00090354">
        <w:rPr>
          <w:lang w:eastAsia="en-US"/>
        </w:rPr>
        <w:t>, n</w:t>
      </w:r>
      <w:r w:rsidR="0059580F">
        <w:rPr>
          <w:lang w:eastAsia="en-US"/>
        </w:rPr>
        <w:t>o.</w:t>
      </w:r>
      <w:r w:rsidRPr="000D71CC" w:rsidR="00090354">
        <w:rPr>
          <w:lang w:eastAsia="en-US"/>
        </w:rPr>
        <w:t xml:space="preserve"> 46626/99, § 58, </w:t>
      </w:r>
      <w:r w:rsidRPr="000D71CC" w:rsidR="009D4FA5">
        <w:rPr>
          <w:lang w:eastAsia="en-US"/>
        </w:rPr>
        <w:t>ECHR</w:t>
      </w:r>
      <w:r w:rsidRPr="000D71CC" w:rsidR="00090354">
        <w:rPr>
          <w:lang w:eastAsia="en-US"/>
        </w:rPr>
        <w:t xml:space="preserve"> 2005-I).</w:t>
      </w:r>
    </w:p>
    <w:p w:rsidRPr="000D71CC" w:rsidR="00090354" w:rsidP="00CA196A" w:rsidRDefault="007E645B">
      <w:pPr>
        <w:pStyle w:val="JuPara"/>
      </w:pPr>
      <w:r w:rsidRPr="000D71CC">
        <w:fldChar w:fldCharType="begin"/>
      </w:r>
      <w:r w:rsidRPr="000D71CC">
        <w:instrText xml:space="preserve"> SEQ level0 \*arabic </w:instrText>
      </w:r>
      <w:r w:rsidRPr="000D71CC">
        <w:fldChar w:fldCharType="separate"/>
      </w:r>
      <w:r w:rsidR="00F47D5E">
        <w:rPr>
          <w:noProof/>
        </w:rPr>
        <w:t>85</w:t>
      </w:r>
      <w:r w:rsidRPr="000D71CC">
        <w:fldChar w:fldCharType="end"/>
      </w:r>
      <w:r w:rsidRPr="000D71CC">
        <w:t>.  </w:t>
      </w:r>
      <w:r w:rsidR="00B30E00">
        <w:t>Although</w:t>
      </w:r>
      <w:r w:rsidR="00CA196A">
        <w:t xml:space="preserve"> </w:t>
      </w:r>
      <w:r w:rsidR="00B30E00">
        <w:t>such</w:t>
      </w:r>
      <w:r w:rsidR="00CA196A">
        <w:t xml:space="preserve"> recognition predated the</w:t>
      </w:r>
      <w:r w:rsidR="00B30E00">
        <w:t xml:space="preserve"> </w:t>
      </w:r>
      <w:r w:rsidR="00CA196A">
        <w:t xml:space="preserve">entry into force of the </w:t>
      </w:r>
      <w:r w:rsidR="005B218B">
        <w:t>Statute</w:t>
      </w:r>
      <w:r w:rsidR="00CA196A">
        <w:t xml:space="preserve"> of the Orthodox</w:t>
      </w:r>
      <w:r w:rsidR="00B30E00">
        <w:t xml:space="preserve"> Church, the fact remains that </w:t>
      </w:r>
      <w:r w:rsidR="00130200">
        <w:t xml:space="preserve">the establishment of </w:t>
      </w:r>
      <w:r w:rsidR="00CA196A">
        <w:t xml:space="preserve">two unions within the Orthodox clergy </w:t>
      </w:r>
      <w:r w:rsidR="00130200">
        <w:t xml:space="preserve">had been permitted and not deemed </w:t>
      </w:r>
      <w:r w:rsidR="00CA196A">
        <w:t>unlawful or incompatible</w:t>
      </w:r>
      <w:r w:rsidR="00B30E00">
        <w:t xml:space="preserve"> with democracy</w:t>
      </w:r>
      <w:r w:rsidRPr="000D71CC" w:rsidR="00090354">
        <w:t>.</w:t>
      </w:r>
    </w:p>
    <w:p w:rsidRPr="000D71CC" w:rsidR="00090354" w:rsidP="00B30E00" w:rsidRDefault="007E645B">
      <w:pPr>
        <w:pStyle w:val="JuPara"/>
      </w:pPr>
      <w:r w:rsidRPr="000D71CC">
        <w:fldChar w:fldCharType="begin"/>
      </w:r>
      <w:r w:rsidRPr="000D71CC">
        <w:instrText xml:space="preserve"> SEQ level0 \*arabic </w:instrText>
      </w:r>
      <w:r w:rsidRPr="000D71CC">
        <w:fldChar w:fldCharType="separate"/>
      </w:r>
      <w:r w:rsidR="00F47D5E">
        <w:rPr>
          <w:noProof/>
        </w:rPr>
        <w:t>86</w:t>
      </w:r>
      <w:r w:rsidRPr="000D71CC">
        <w:fldChar w:fldCharType="end"/>
      </w:r>
      <w:r w:rsidRPr="000D71CC">
        <w:t>.  </w:t>
      </w:r>
      <w:r w:rsidR="0006522D">
        <w:t>Having regard to</w:t>
      </w:r>
      <w:r w:rsidR="00B30E00">
        <w:t xml:space="preserve"> those circumstances, the Court considers that the grounds relied on by the County Court do not appear sufficient to justify the refusal of the applicant union</w:t>
      </w:r>
      <w:r w:rsidR="00F47D5E">
        <w:t>’</w:t>
      </w:r>
      <w:r w:rsidR="00B30E00">
        <w:t xml:space="preserve">s </w:t>
      </w:r>
      <w:r w:rsidR="0006522D">
        <w:t>application</w:t>
      </w:r>
      <w:r w:rsidR="00B30E00">
        <w:t xml:space="preserve"> for registration</w:t>
      </w:r>
      <w:r w:rsidRPr="000D71CC" w:rsidR="00090354">
        <w:t xml:space="preserve"> (</w:t>
      </w:r>
      <w:r w:rsidR="00B30E00">
        <w:t>see</w:t>
      </w:r>
      <w:r w:rsidRPr="000D71CC" w:rsidR="00090354">
        <w:t xml:space="preserve">, </w:t>
      </w:r>
      <w:r w:rsidRPr="000D71CC" w:rsidR="00090354">
        <w:rPr>
          <w:i/>
        </w:rPr>
        <w:t>mutatis mutandis</w:t>
      </w:r>
      <w:r w:rsidRPr="00591010" w:rsidR="00090354">
        <w:t xml:space="preserve">, </w:t>
      </w:r>
      <w:r w:rsidRPr="000D71CC" w:rsidR="00090354">
        <w:rPr>
          <w:i/>
          <w:lang w:eastAsia="en-US"/>
        </w:rPr>
        <w:t>Schüth</w:t>
      </w:r>
      <w:r w:rsidRPr="000D71CC" w:rsidR="00090354">
        <w:rPr>
          <w:lang w:eastAsia="en-US"/>
        </w:rPr>
        <w:t xml:space="preserve">, </w:t>
      </w:r>
      <w:r w:rsidR="00E61669">
        <w:rPr>
          <w:lang w:eastAsia="en-US"/>
        </w:rPr>
        <w:t>cited above</w:t>
      </w:r>
      <w:r w:rsidRPr="000D71CC" w:rsidR="00090354">
        <w:t>, § 74</w:t>
      </w:r>
      <w:r w:rsidR="00B30E00">
        <w:t>;</w:t>
      </w:r>
      <w:r w:rsidRPr="000D71CC" w:rsidR="00090354">
        <w:t xml:space="preserve"> </w:t>
      </w:r>
      <w:r w:rsidRPr="000D71CC" w:rsidR="00090354">
        <w:rPr>
          <w:i/>
          <w:lang w:eastAsia="en-US"/>
        </w:rPr>
        <w:t>Siebenhaar</w:t>
      </w:r>
      <w:r w:rsidRPr="000D71CC" w:rsidR="009D4FA5">
        <w:rPr>
          <w:i/>
          <w:lang w:eastAsia="en-US"/>
        </w:rPr>
        <w:t xml:space="preserve"> v.</w:t>
      </w:r>
      <w:r w:rsidRPr="000D71CC" w:rsidR="00090354">
        <w:rPr>
          <w:i/>
          <w:lang w:eastAsia="en-US"/>
        </w:rPr>
        <w:t xml:space="preserve"> </w:t>
      </w:r>
      <w:r w:rsidRPr="000D71CC" w:rsidR="009D4FA5">
        <w:rPr>
          <w:i/>
          <w:lang w:eastAsia="en-US"/>
        </w:rPr>
        <w:t>Germany</w:t>
      </w:r>
      <w:r w:rsidRPr="000D71CC" w:rsidR="00090354">
        <w:rPr>
          <w:lang w:eastAsia="en-US"/>
        </w:rPr>
        <w:t>, n</w:t>
      </w:r>
      <w:r w:rsidR="00B30E00">
        <w:rPr>
          <w:lang w:eastAsia="en-US"/>
        </w:rPr>
        <w:t>o</w:t>
      </w:r>
      <w:r w:rsidRPr="000D71CC" w:rsidR="00090354">
        <w:rPr>
          <w:lang w:eastAsia="en-US"/>
        </w:rPr>
        <w:t xml:space="preserve"> 18136/02</w:t>
      </w:r>
      <w:r w:rsidR="00B30E00">
        <w:rPr>
          <w:snapToGrid w:val="0"/>
          <w:lang w:eastAsia="en-US"/>
        </w:rPr>
        <w:t>, § 45, 3 </w:t>
      </w:r>
      <w:r w:rsidRPr="000D71CC" w:rsidR="009D4FA5">
        <w:rPr>
          <w:lang w:eastAsia="en-US"/>
        </w:rPr>
        <w:t>February</w:t>
      </w:r>
      <w:r w:rsidRPr="000D71CC" w:rsidR="00090354">
        <w:rPr>
          <w:snapToGrid w:val="0"/>
          <w:lang w:eastAsia="en-US"/>
        </w:rPr>
        <w:t xml:space="preserve"> 2011</w:t>
      </w:r>
      <w:r w:rsidR="00B30E00">
        <w:rPr>
          <w:snapToGrid w:val="0"/>
          <w:lang w:eastAsia="en-US"/>
        </w:rPr>
        <w:t>;</w:t>
      </w:r>
      <w:r w:rsidRPr="000D71CC" w:rsidR="00090354">
        <w:rPr>
          <w:snapToGrid w:val="0"/>
          <w:lang w:eastAsia="en-US"/>
        </w:rPr>
        <w:t xml:space="preserve"> </w:t>
      </w:r>
      <w:r w:rsidRPr="000D71CC" w:rsidR="009D4FA5">
        <w:rPr>
          <w:snapToGrid w:val="0"/>
          <w:lang w:eastAsia="en-US"/>
        </w:rPr>
        <w:t>and</w:t>
      </w:r>
      <w:r w:rsidRPr="000D71CC" w:rsidR="00090354">
        <w:rPr>
          <w:snapToGrid w:val="0"/>
          <w:lang w:eastAsia="en-US"/>
        </w:rPr>
        <w:t xml:space="preserve"> </w:t>
      </w:r>
      <w:r w:rsidRPr="000D71CC" w:rsidR="00090354">
        <w:rPr>
          <w:i/>
        </w:rPr>
        <w:t>Obst</w:t>
      </w:r>
      <w:r w:rsidRPr="000D71CC" w:rsidR="00090354">
        <w:t xml:space="preserve">, </w:t>
      </w:r>
      <w:r w:rsidR="00E61669">
        <w:t>cited above</w:t>
      </w:r>
      <w:r w:rsidRPr="000D71CC" w:rsidR="00090354">
        <w:t>, § 51).</w:t>
      </w:r>
    </w:p>
    <w:p w:rsidRPr="000D71CC" w:rsidR="00090354" w:rsidP="00090354" w:rsidRDefault="006D2436">
      <w:pPr>
        <w:pStyle w:val="JuHi"/>
      </w:pPr>
      <w:r>
        <w:t>(iii)  </w:t>
      </w:r>
      <w:r w:rsidRPr="000D71CC" w:rsidR="00090354">
        <w:t>Conclusion</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87</w:t>
      </w:r>
      <w:r w:rsidRPr="000D71CC">
        <w:fldChar w:fldCharType="end"/>
      </w:r>
      <w:r w:rsidRPr="000D71CC">
        <w:t>.  </w:t>
      </w:r>
      <w:r w:rsidRPr="000D71CC" w:rsidR="00090354">
        <w:t xml:space="preserve">Accordingly, in the absence of a </w:t>
      </w:r>
      <w:r w:rsidR="00AB7F16">
        <w:t>“</w:t>
      </w:r>
      <w:r w:rsidRPr="000D71CC" w:rsidR="00090354">
        <w:t>pressing social need</w:t>
      </w:r>
      <w:r w:rsidR="00AB7F16">
        <w:t>”</w:t>
      </w:r>
      <w:r w:rsidRPr="000D71CC" w:rsidR="00090354">
        <w:t xml:space="preserve"> and sufficient reasons, the Court considers that a measure as drastic as the refusal to register the applicant union was disproportionate to the aim pursued and consequently unnecessary in a democratic society.</w:t>
      </w:r>
    </w:p>
    <w:p w:rsidRPr="000D71CC" w:rsidR="00090354" w:rsidP="00090354" w:rsidRDefault="007E645B">
      <w:pPr>
        <w:pStyle w:val="JuPara"/>
      </w:pPr>
      <w:r w:rsidRPr="000D71CC">
        <w:fldChar w:fldCharType="begin"/>
      </w:r>
      <w:r w:rsidRPr="000D71CC">
        <w:instrText xml:space="preserve"> SEQ level0 \*arabic </w:instrText>
      </w:r>
      <w:r w:rsidRPr="000D71CC">
        <w:fldChar w:fldCharType="separate"/>
      </w:r>
      <w:r w:rsidR="00F47D5E">
        <w:rPr>
          <w:noProof/>
        </w:rPr>
        <w:t>88</w:t>
      </w:r>
      <w:r w:rsidRPr="000D71CC">
        <w:fldChar w:fldCharType="end"/>
      </w:r>
      <w:r w:rsidRPr="000D71CC">
        <w:t>.  </w:t>
      </w:r>
      <w:r w:rsidRPr="000D71CC" w:rsidR="00090354">
        <w:t>There has therefore been a violation of Article 11 of the Convention.</w:t>
      </w:r>
    </w:p>
    <w:p w:rsidRPr="000D71CC" w:rsidR="00090354" w:rsidP="00090354" w:rsidRDefault="007E645B">
      <w:pPr>
        <w:pStyle w:val="JuHIRoman"/>
      </w:pPr>
      <w:r w:rsidRPr="000D71CC">
        <w:t>II.  </w:t>
      </w:r>
      <w:r w:rsidRPr="000D71CC" w:rsidR="00090354">
        <w:t>APPLICATION OF ARTICLE 41 OF THE CONVENTION</w:t>
      </w:r>
    </w:p>
    <w:p w:rsidRPr="000D71CC" w:rsidR="00090354" w:rsidP="00090354" w:rsidRDefault="004C5E1C">
      <w:pPr>
        <w:pStyle w:val="JuPara"/>
        <w:keepNext/>
        <w:keepLines/>
        <w:outlineLvl w:val="0"/>
      </w:pPr>
      <w:r>
        <w:fldChar w:fldCharType="begin"/>
      </w:r>
      <w:r>
        <w:instrText xml:space="preserve"> SEQ level0 \*arabic </w:instrText>
      </w:r>
      <w:r>
        <w:fldChar w:fldCharType="separate"/>
      </w:r>
      <w:r w:rsidR="00F47D5E">
        <w:rPr>
          <w:noProof/>
        </w:rPr>
        <w:t>89</w:t>
      </w:r>
      <w:r>
        <w:fldChar w:fldCharType="end"/>
      </w:r>
      <w:r>
        <w:t>.  </w:t>
      </w:r>
      <w:r w:rsidRPr="000D71CC" w:rsidR="00090354">
        <w:t>Article 41 of the Convention provides</w:t>
      </w:r>
      <w:r w:rsidR="0006522D">
        <w:t>:</w:t>
      </w:r>
    </w:p>
    <w:p w:rsidRPr="000D71CC" w:rsidR="00090354" w:rsidP="00AB7F16" w:rsidRDefault="004C5E1C">
      <w:pPr>
        <w:pStyle w:val="JuQuot"/>
      </w:pPr>
      <w:r>
        <w:t>“</w:t>
      </w:r>
      <w:r w:rsidRPr="000D71CC" w:rsidR="00090354">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0D71CC" w:rsidR="00090354" w:rsidP="00090354" w:rsidRDefault="004C5E1C">
      <w:pPr>
        <w:pStyle w:val="JuHA"/>
      </w:pPr>
      <w:r>
        <w:t>A.  </w:t>
      </w:r>
      <w:r w:rsidRPr="000D71CC" w:rsidR="00090354">
        <w:t>D</w:t>
      </w:r>
      <w:r w:rsidR="00AB7F16">
        <w:t>a</w:t>
      </w:r>
      <w:r w:rsidRPr="000D71CC" w:rsidR="00090354">
        <w:t>mage</w:t>
      </w:r>
    </w:p>
    <w:p w:rsidR="00CB4495" w:rsidP="00F31D67" w:rsidRDefault="007E645B">
      <w:pPr>
        <w:pStyle w:val="JuPara"/>
      </w:pPr>
      <w:r w:rsidRPr="000D71CC">
        <w:fldChar w:fldCharType="begin"/>
      </w:r>
      <w:r w:rsidRPr="000D71CC">
        <w:instrText xml:space="preserve"> SEQ level0 \*arabic </w:instrText>
      </w:r>
      <w:r w:rsidRPr="000D71CC">
        <w:fldChar w:fldCharType="separate"/>
      </w:r>
      <w:r w:rsidR="00F47D5E">
        <w:rPr>
          <w:noProof/>
        </w:rPr>
        <w:t>90</w:t>
      </w:r>
      <w:r w:rsidRPr="000D71CC">
        <w:fldChar w:fldCharType="end"/>
      </w:r>
      <w:r w:rsidRPr="000D71CC">
        <w:t>.  </w:t>
      </w:r>
      <w:r w:rsidR="00FE7799">
        <w:t>The applicant union</w:t>
      </w:r>
      <w:r w:rsidRPr="000D71CC" w:rsidR="00090354">
        <w:t xml:space="preserve"> claimed 20,000 euros (EUR) by way of </w:t>
      </w:r>
      <w:r w:rsidR="00476F9F">
        <w:t>“</w:t>
      </w:r>
      <w:r w:rsidRPr="000D71CC" w:rsidR="00090354">
        <w:t>compensation</w:t>
      </w:r>
      <w:r w:rsidR="00476F9F">
        <w:t>”</w:t>
      </w:r>
      <w:r w:rsidRPr="000D71CC" w:rsidR="00090354">
        <w:t xml:space="preserve">, without specifying its nature. </w:t>
      </w:r>
      <w:r w:rsidR="00476F9F">
        <w:t xml:space="preserve">It </w:t>
      </w:r>
      <w:r w:rsidR="00F31D67">
        <w:t>stated</w:t>
      </w:r>
      <w:r w:rsidR="00476F9F">
        <w:t xml:space="preserve"> that this amount represented </w:t>
      </w:r>
      <w:r w:rsidR="00153D9E">
        <w:t xml:space="preserve">the </w:t>
      </w:r>
      <w:r w:rsidR="00F7696F">
        <w:t>subscription</w:t>
      </w:r>
      <w:r w:rsidR="00BE349D">
        <w:t xml:space="preserve"> fees</w:t>
      </w:r>
      <w:r w:rsidR="00153D9E">
        <w:t xml:space="preserve"> it had been unable to receive from its members </w:t>
      </w:r>
      <w:r w:rsidR="00F7696F">
        <w:t xml:space="preserve">because </w:t>
      </w:r>
      <w:r w:rsidR="00153D9E">
        <w:t>of the refusal to register it</w:t>
      </w:r>
      <w:r w:rsidR="00F7696F">
        <w:t>.</w:t>
      </w:r>
    </w:p>
    <w:p w:rsidR="00CB4495" w:rsidP="00F31D67" w:rsidRDefault="00CB4495">
      <w:pPr>
        <w:pStyle w:val="JuPara"/>
      </w:pPr>
      <w:r>
        <w:fldChar w:fldCharType="begin"/>
      </w:r>
      <w:r>
        <w:instrText xml:space="preserve"> SEQ level0 \*arabic </w:instrText>
      </w:r>
      <w:r>
        <w:fldChar w:fldCharType="separate"/>
      </w:r>
      <w:r w:rsidR="00F47D5E">
        <w:rPr>
          <w:noProof/>
        </w:rPr>
        <w:t>91</w:t>
      </w:r>
      <w:r>
        <w:fldChar w:fldCharType="end"/>
      </w:r>
      <w:r>
        <w:t>.  T</w:t>
      </w:r>
      <w:r w:rsidRPr="000D71CC">
        <w:t>he G</w:t>
      </w:r>
      <w:r>
        <w:t xml:space="preserve">overnment objected to the claim, contending that it was </w:t>
      </w:r>
      <w:r w:rsidRPr="000D71CC">
        <w:t xml:space="preserve">excessive and </w:t>
      </w:r>
      <w:r>
        <w:t>unrelated to the subject matter of th</w:t>
      </w:r>
      <w:r w:rsidR="00153D9E">
        <w:t>e</w:t>
      </w:r>
      <w:r>
        <w:t xml:space="preserve"> case.</w:t>
      </w:r>
    </w:p>
    <w:p w:rsidR="00F31D67" w:rsidP="00F31D67" w:rsidRDefault="00CB4495">
      <w:pPr>
        <w:pStyle w:val="JuPara"/>
      </w:pPr>
      <w:r>
        <w:fldChar w:fldCharType="begin"/>
      </w:r>
      <w:r>
        <w:instrText xml:space="preserve"> SEQ level0 \*arabic </w:instrText>
      </w:r>
      <w:r>
        <w:fldChar w:fldCharType="separate"/>
      </w:r>
      <w:r w:rsidR="00F47D5E">
        <w:rPr>
          <w:noProof/>
        </w:rPr>
        <w:t>92</w:t>
      </w:r>
      <w:r>
        <w:fldChar w:fldCharType="end"/>
      </w:r>
      <w:r>
        <w:t>.  Observing</w:t>
      </w:r>
      <w:r w:rsidR="00F31D67">
        <w:t xml:space="preserve"> that </w:t>
      </w:r>
      <w:r>
        <w:t>domestic</w:t>
      </w:r>
      <w:r w:rsidR="00F31D67">
        <w:t xml:space="preserve"> law allows</w:t>
      </w:r>
      <w:r>
        <w:t xml:space="preserve"> a case</w:t>
      </w:r>
      <w:r w:rsidR="00F31D67">
        <w:t xml:space="preserve"> </w:t>
      </w:r>
      <w:r w:rsidR="0006522D">
        <w:t xml:space="preserve">to be reheard </w:t>
      </w:r>
      <w:r w:rsidR="00F31D67">
        <w:t xml:space="preserve">if the Court </w:t>
      </w:r>
      <w:r>
        <w:t>has found</w:t>
      </w:r>
      <w:r w:rsidR="00F31D67">
        <w:t xml:space="preserve"> a violation of </w:t>
      </w:r>
      <w:r>
        <w:t>an applicant</w:t>
      </w:r>
      <w:r w:rsidR="00F47D5E">
        <w:t>’</w:t>
      </w:r>
      <w:r>
        <w:t>s</w:t>
      </w:r>
      <w:r w:rsidR="00F31D67">
        <w:t xml:space="preserve"> rights, the Court considers that </w:t>
      </w:r>
      <w:r w:rsidRPr="00CB4495">
        <w:t xml:space="preserve">the most appropriate form of redress would, in principle, be </w:t>
      </w:r>
      <w:r>
        <w:t xml:space="preserve">the reopening, at </w:t>
      </w:r>
      <w:r w:rsidR="00F31D67">
        <w:t>the</w:t>
      </w:r>
      <w:r w:rsidR="00283326">
        <w:t xml:space="preserve"> applicant union</w:t>
      </w:r>
      <w:r w:rsidR="00F47D5E">
        <w:t>’</w:t>
      </w:r>
      <w:r w:rsidR="00283326">
        <w:t>s request</w:t>
      </w:r>
      <w:r>
        <w:t xml:space="preserve">, </w:t>
      </w:r>
      <w:r w:rsidRPr="00CB4495">
        <w:t>of the proceedings</w:t>
      </w:r>
      <w:r>
        <w:t xml:space="preserve"> for </w:t>
      </w:r>
      <w:r w:rsidR="00283326">
        <w:t>it</w:t>
      </w:r>
      <w:r>
        <w:t>s</w:t>
      </w:r>
      <w:r w:rsidR="00F31D67">
        <w:t xml:space="preserve"> registration in accordance with the requirements of Article 11 of the Convention.</w:t>
      </w:r>
    </w:p>
    <w:p w:rsidR="00F31D67" w:rsidP="00F31D67" w:rsidRDefault="00283326">
      <w:pPr>
        <w:pStyle w:val="JuPara"/>
      </w:pPr>
      <w:r>
        <w:fldChar w:fldCharType="begin"/>
      </w:r>
      <w:r>
        <w:instrText xml:space="preserve"> SEQ level0 \*arabic </w:instrText>
      </w:r>
      <w:r>
        <w:fldChar w:fldCharType="separate"/>
      </w:r>
      <w:r w:rsidR="00F47D5E">
        <w:rPr>
          <w:noProof/>
        </w:rPr>
        <w:t>93</w:t>
      </w:r>
      <w:r>
        <w:fldChar w:fldCharType="end"/>
      </w:r>
      <w:r>
        <w:t>.  That apart</w:t>
      </w:r>
      <w:r w:rsidR="00F31D67">
        <w:t xml:space="preserve">, it </w:t>
      </w:r>
      <w:r>
        <w:t>reiterates that</w:t>
      </w:r>
      <w:r w:rsidRPr="00283326">
        <w:t xml:space="preserve"> the f</w:t>
      </w:r>
      <w:r>
        <w:t>rustration felt by members of a</w:t>
      </w:r>
      <w:r w:rsidRPr="00283326">
        <w:t xml:space="preserve"> </w:t>
      </w:r>
      <w:r>
        <w:t>body</w:t>
      </w:r>
      <w:r w:rsidRPr="00283326">
        <w:t xml:space="preserve"> that has been dissolved or prevented from acting </w:t>
      </w:r>
      <w:r w:rsidR="0006522D">
        <w:t>may</w:t>
      </w:r>
      <w:r w:rsidRPr="00283326">
        <w:t xml:space="preserve"> be taken into account </w:t>
      </w:r>
      <w:r>
        <w:t>under</w:t>
      </w:r>
      <w:r w:rsidR="00F31D67">
        <w:t xml:space="preserve"> Article 41 of the Convention (see, </w:t>
      </w:r>
      <w:r>
        <w:t>for example</w:t>
      </w:r>
      <w:r w:rsidR="00F31D67">
        <w:t xml:space="preserve">, </w:t>
      </w:r>
      <w:r w:rsidRPr="00283326" w:rsidR="00F31D67">
        <w:rPr>
          <w:i/>
        </w:rPr>
        <w:t xml:space="preserve">Dicle for the Democratic Party (DEP) </w:t>
      </w:r>
      <w:r w:rsidRPr="00283326">
        <w:rPr>
          <w:i/>
        </w:rPr>
        <w:t xml:space="preserve">of Turkey </w:t>
      </w:r>
      <w:r w:rsidRPr="00283326" w:rsidR="00F31D67">
        <w:rPr>
          <w:i/>
        </w:rPr>
        <w:t>v. Turkey</w:t>
      </w:r>
      <w:r w:rsidR="00F31D67">
        <w:t>, no 25141</w:t>
      </w:r>
      <w:r>
        <w:t>/94, § 78, 10 December 2002, and</w:t>
      </w:r>
      <w:r w:rsidR="00F31D67">
        <w:t xml:space="preserve"> </w:t>
      </w:r>
      <w:r w:rsidRPr="00283326" w:rsidR="00F31D67">
        <w:rPr>
          <w:i/>
        </w:rPr>
        <w:t>Presidential Party of Mordovia v. Russia</w:t>
      </w:r>
      <w:r>
        <w:t>, no. </w:t>
      </w:r>
      <w:r w:rsidR="00F31D67">
        <w:t xml:space="preserve">65659/01, § 37, </w:t>
      </w:r>
      <w:r>
        <w:t xml:space="preserve">5 </w:t>
      </w:r>
      <w:r w:rsidR="00F31D67">
        <w:t>October 2004).</w:t>
      </w:r>
    </w:p>
    <w:p w:rsidR="00F31D67" w:rsidP="00F31D67" w:rsidRDefault="00283326">
      <w:pPr>
        <w:pStyle w:val="JuPara"/>
      </w:pPr>
      <w:r>
        <w:fldChar w:fldCharType="begin"/>
      </w:r>
      <w:r>
        <w:instrText xml:space="preserve"> SEQ level0 \*arabic </w:instrText>
      </w:r>
      <w:r>
        <w:fldChar w:fldCharType="separate"/>
      </w:r>
      <w:r w:rsidR="00F47D5E">
        <w:rPr>
          <w:noProof/>
        </w:rPr>
        <w:t>94</w:t>
      </w:r>
      <w:r>
        <w:fldChar w:fldCharType="end"/>
      </w:r>
      <w:r>
        <w:t>.  As to</w:t>
      </w:r>
      <w:r w:rsidR="00F31D67">
        <w:t xml:space="preserve"> the </w:t>
      </w:r>
      <w:r w:rsidR="0006522D">
        <w:t>losses</w:t>
      </w:r>
      <w:r>
        <w:t xml:space="preserve"> sustained</w:t>
      </w:r>
      <w:r w:rsidR="00F31D67">
        <w:t xml:space="preserve">, the Court </w:t>
      </w:r>
      <w:r w:rsidR="0006522D">
        <w:t xml:space="preserve">observes </w:t>
      </w:r>
      <w:r w:rsidR="00F31D67">
        <w:t xml:space="preserve">that, </w:t>
      </w:r>
      <w:r>
        <w:t>in view of</w:t>
      </w:r>
      <w:r w:rsidR="00F31D67">
        <w:t xml:space="preserve"> the uncertainty </w:t>
      </w:r>
      <w:r w:rsidR="00BE349D">
        <w:t xml:space="preserve">surrounding the number and duration of </w:t>
      </w:r>
      <w:r w:rsidR="00153D9E">
        <w:t xml:space="preserve">its </w:t>
      </w:r>
      <w:r w:rsidR="0006522D">
        <w:t>subscriptions</w:t>
      </w:r>
      <w:r>
        <w:t>, it can</w:t>
      </w:r>
      <w:r w:rsidR="00F31D67">
        <w:t xml:space="preserve">not speculate on the total </w:t>
      </w:r>
      <w:r>
        <w:t xml:space="preserve">sum </w:t>
      </w:r>
      <w:r w:rsidR="00F31D67">
        <w:t xml:space="preserve">the applicant union </w:t>
      </w:r>
      <w:r w:rsidR="007C423C">
        <w:t>c</w:t>
      </w:r>
      <w:r>
        <w:t xml:space="preserve">ould have </w:t>
      </w:r>
      <w:r w:rsidR="007C423C">
        <w:t>received</w:t>
      </w:r>
      <w:r>
        <w:t xml:space="preserve"> if its </w:t>
      </w:r>
      <w:r w:rsidR="007C423C">
        <w:t>application</w:t>
      </w:r>
      <w:r>
        <w:t xml:space="preserve"> for registration had been allowed.</w:t>
      </w:r>
    </w:p>
    <w:p w:rsidRPr="000D71CC" w:rsidR="00090354" w:rsidP="00090354" w:rsidRDefault="00283326">
      <w:pPr>
        <w:pStyle w:val="JuPara"/>
      </w:pPr>
      <w:r>
        <w:fldChar w:fldCharType="begin"/>
      </w:r>
      <w:r>
        <w:instrText xml:space="preserve"> SEQ level0 \*arabic </w:instrText>
      </w:r>
      <w:r>
        <w:fldChar w:fldCharType="separate"/>
      </w:r>
      <w:r w:rsidR="00F47D5E">
        <w:rPr>
          <w:noProof/>
        </w:rPr>
        <w:t>95</w:t>
      </w:r>
      <w:r>
        <w:fldChar w:fldCharType="end"/>
      </w:r>
      <w:r>
        <w:t>.  </w:t>
      </w:r>
      <w:r w:rsidR="00153C8F">
        <w:t>Ruling</w:t>
      </w:r>
      <w:r w:rsidRPr="000D71CC">
        <w:t xml:space="preserve"> on an equitable basis,</w:t>
      </w:r>
      <w:r>
        <w:t xml:space="preserve"> the Court awards the applicant</w:t>
      </w:r>
      <w:r w:rsidRPr="000D71CC">
        <w:t xml:space="preserve"> union EUR 10,000 to</w:t>
      </w:r>
      <w:r>
        <w:t xml:space="preserve"> cover</w:t>
      </w:r>
      <w:r w:rsidR="00F31D67">
        <w:t xml:space="preserve"> all heads of damage.</w:t>
      </w:r>
      <w:r>
        <w:t xml:space="preserve"> This </w:t>
      </w:r>
      <w:r w:rsidR="00BE349D">
        <w:t>sum</w:t>
      </w:r>
      <w:r>
        <w:t xml:space="preserve"> will be paid to Mr</w:t>
      </w:r>
      <w:r w:rsidR="00153C8F">
        <w:t> </w:t>
      </w:r>
      <w:r w:rsidR="00F31D67">
        <w:t xml:space="preserve">Ionel Gruia, who will be responsible </w:t>
      </w:r>
      <w:r>
        <w:t xml:space="preserve">for </w:t>
      </w:r>
      <w:r w:rsidR="00C60CDB">
        <w:t xml:space="preserve">transferring it </w:t>
      </w:r>
      <w:r>
        <w:t xml:space="preserve">to the applicant union or, should </w:t>
      </w:r>
      <w:r w:rsidR="00153C8F">
        <w:t>the latter</w:t>
      </w:r>
      <w:r>
        <w:t xml:space="preserve"> not a</w:t>
      </w:r>
      <w:r w:rsidR="00F31D67">
        <w:t>cquire legal personality, its founding members</w:t>
      </w:r>
      <w:r w:rsidRPr="000D71CC" w:rsidR="00090354">
        <w:t>.</w:t>
      </w:r>
    </w:p>
    <w:p w:rsidRPr="000D71CC" w:rsidR="00090354" w:rsidP="00090354" w:rsidRDefault="00AB7F16">
      <w:pPr>
        <w:pStyle w:val="JuHA"/>
      </w:pPr>
      <w:r>
        <w:t>B.  </w:t>
      </w:r>
      <w:r w:rsidRPr="000D71CC" w:rsidR="00090354">
        <w:t>Costs and expenses</w:t>
      </w:r>
    </w:p>
    <w:p w:rsidRPr="000D71CC" w:rsidR="00090354" w:rsidP="00090354" w:rsidRDefault="004C5E1C">
      <w:pPr>
        <w:pStyle w:val="JuPara"/>
      </w:pPr>
      <w:r>
        <w:fldChar w:fldCharType="begin"/>
      </w:r>
      <w:r>
        <w:instrText xml:space="preserve"> SEQ level0 \*arabic </w:instrText>
      </w:r>
      <w:r>
        <w:fldChar w:fldCharType="separate"/>
      </w:r>
      <w:r w:rsidR="00F47D5E">
        <w:rPr>
          <w:noProof/>
        </w:rPr>
        <w:t>96</w:t>
      </w:r>
      <w:r>
        <w:fldChar w:fldCharType="end"/>
      </w:r>
      <w:r>
        <w:t>.  </w:t>
      </w:r>
      <w:r w:rsidR="00FE7799">
        <w:t>The applicant union</w:t>
      </w:r>
      <w:r w:rsidRPr="000D71CC" w:rsidR="00090354">
        <w:t xml:space="preserve"> claimed </w:t>
      </w:r>
      <w:r w:rsidR="00BE349D">
        <w:t xml:space="preserve">EUR </w:t>
      </w:r>
      <w:r w:rsidRPr="000D71CC" w:rsidR="00090354">
        <w:t>5,000 for the costs and expenses incurred before the domestic courts and the Court.</w:t>
      </w:r>
    </w:p>
    <w:p w:rsidRPr="000D71CC" w:rsidR="00090354" w:rsidP="00090354" w:rsidRDefault="004C5E1C">
      <w:pPr>
        <w:pStyle w:val="JuPara"/>
      </w:pPr>
      <w:r>
        <w:fldChar w:fldCharType="begin"/>
      </w:r>
      <w:r>
        <w:instrText xml:space="preserve"> SEQ level0 \*arabic </w:instrText>
      </w:r>
      <w:r>
        <w:fldChar w:fldCharType="separate"/>
      </w:r>
      <w:r w:rsidR="00F47D5E">
        <w:rPr>
          <w:noProof/>
        </w:rPr>
        <w:t>97</w:t>
      </w:r>
      <w:r>
        <w:fldChar w:fldCharType="end"/>
      </w:r>
      <w:r>
        <w:t>.  </w:t>
      </w:r>
      <w:r w:rsidR="00FE7799">
        <w:t>The Government</w:t>
      </w:r>
      <w:r w:rsidRPr="000D71CC" w:rsidR="00090354">
        <w:t xml:space="preserve"> </w:t>
      </w:r>
      <w:r w:rsidR="00153C8F">
        <w:t xml:space="preserve">objected to this claim, submitting that the </w:t>
      </w:r>
      <w:r w:rsidR="00FE7799">
        <w:t>applicant union</w:t>
      </w:r>
      <w:r w:rsidRPr="000D71CC" w:rsidR="00090354">
        <w:t xml:space="preserve"> </w:t>
      </w:r>
      <w:r w:rsidR="00153C8F">
        <w:t>had not provided a</w:t>
      </w:r>
      <w:r w:rsidR="00153D9E">
        <w:t>ny documents substantiating the</w:t>
      </w:r>
      <w:r w:rsidR="00153C8F">
        <w:t xml:space="preserve"> amount</w:t>
      </w:r>
      <w:r w:rsidR="00153D9E">
        <w:t xml:space="preserve"> claimed</w:t>
      </w:r>
      <w:r w:rsidR="00153C8F">
        <w:t>.</w:t>
      </w:r>
    </w:p>
    <w:p w:rsidRPr="000D71CC" w:rsidR="00090354" w:rsidP="00090354" w:rsidRDefault="004C5E1C">
      <w:pPr>
        <w:pStyle w:val="JuPara"/>
      </w:pPr>
      <w:r>
        <w:fldChar w:fldCharType="begin"/>
      </w:r>
      <w:r>
        <w:instrText xml:space="preserve"> SEQ level0 \*arabic </w:instrText>
      </w:r>
      <w:r>
        <w:fldChar w:fldCharType="separate"/>
      </w:r>
      <w:r w:rsidR="00F47D5E">
        <w:rPr>
          <w:noProof/>
        </w:rPr>
        <w:t>98</w:t>
      </w:r>
      <w:r>
        <w:fldChar w:fldCharType="end"/>
      </w:r>
      <w:r>
        <w:t>.  </w:t>
      </w:r>
      <w:r w:rsidR="00153C8F">
        <w:t>In view of the lack of supporting vouchers</w:t>
      </w:r>
      <w:r w:rsidRPr="000D71CC" w:rsidR="00090354">
        <w:t xml:space="preserve">, </w:t>
      </w:r>
      <w:r w:rsidRPr="000D71CC" w:rsidR="009D4FA5">
        <w:t>the Court</w:t>
      </w:r>
      <w:r w:rsidRPr="000D71CC" w:rsidR="00090354">
        <w:t xml:space="preserve"> </w:t>
      </w:r>
      <w:r w:rsidR="00153C8F">
        <w:t>dismisses the claim</w:t>
      </w:r>
      <w:r w:rsidRPr="000D71CC" w:rsidR="00090354">
        <w:t>.</w:t>
      </w:r>
    </w:p>
    <w:p w:rsidRPr="000D71CC" w:rsidR="00F71A6A" w:rsidP="008824B9" w:rsidRDefault="00F71A6A">
      <w:pPr>
        <w:pStyle w:val="JuHA"/>
        <w:outlineLvl w:val="0"/>
      </w:pPr>
      <w:r w:rsidRPr="000D71CC">
        <w:t>C.  Default interest</w:t>
      </w:r>
    </w:p>
    <w:p w:rsidRPr="000D71CC" w:rsidR="00F71A6A" w:rsidP="00151CCA" w:rsidRDefault="001948A0">
      <w:pPr>
        <w:pStyle w:val="JuPara"/>
      </w:pPr>
      <w:r w:rsidRPr="000D71CC">
        <w:fldChar w:fldCharType="begin"/>
      </w:r>
      <w:r w:rsidRPr="000D71CC">
        <w:instrText xml:space="preserve"> SEQ level0 \*arabic </w:instrText>
      </w:r>
      <w:r w:rsidRPr="000D71CC">
        <w:fldChar w:fldCharType="separate"/>
      </w:r>
      <w:r w:rsidR="00F47D5E">
        <w:rPr>
          <w:noProof/>
        </w:rPr>
        <w:t>99</w:t>
      </w:r>
      <w:r w:rsidRPr="000D71CC">
        <w:fldChar w:fldCharType="end"/>
      </w:r>
      <w:r w:rsidRPr="000D71CC" w:rsidR="00F71A6A">
        <w:t xml:space="preserve">.  The Court considers it appropriate that the default interest </w:t>
      </w:r>
      <w:r w:rsidRPr="000D71CC" w:rsidR="0034580F">
        <w:t xml:space="preserve">rate </w:t>
      </w:r>
      <w:r w:rsidRPr="000D71CC" w:rsidR="00F71A6A">
        <w:t>should be based on the marginal lending rate of the European Central Bank, to which should be added three percentage points.</w:t>
      </w:r>
    </w:p>
    <w:p w:rsidRPr="000D71CC" w:rsidR="00F71A6A" w:rsidP="008824B9" w:rsidRDefault="00F71A6A">
      <w:pPr>
        <w:pStyle w:val="JuHHead"/>
      </w:pPr>
      <w:r w:rsidRPr="000D71CC">
        <w:t>FOR THESE REASONS, THE COURT</w:t>
      </w:r>
    </w:p>
    <w:p w:rsidRPr="000D71CC" w:rsidR="00F71A6A" w:rsidRDefault="00F71A6A">
      <w:pPr>
        <w:pStyle w:val="JuList"/>
      </w:pPr>
      <w:r w:rsidRPr="000D71CC">
        <w:t>1.  </w:t>
      </w:r>
      <w:r w:rsidRPr="000D71CC">
        <w:rPr>
          <w:i/>
        </w:rPr>
        <w:t>Declares</w:t>
      </w:r>
      <w:r w:rsidRPr="000D71CC">
        <w:t xml:space="preserve"> the </w:t>
      </w:r>
      <w:r w:rsidRPr="000D71CC" w:rsidR="001948A0">
        <w:t>application</w:t>
      </w:r>
      <w:r w:rsidRPr="000D71CC">
        <w:t xml:space="preserve"> admissible</w:t>
      </w:r>
      <w:r w:rsidRPr="000D71CC" w:rsidR="001948A0">
        <w:t xml:space="preserve"> unanimously</w:t>
      </w:r>
      <w:r w:rsidRPr="000D71CC">
        <w:t>;</w:t>
      </w:r>
    </w:p>
    <w:p w:rsidRPr="000D71CC" w:rsidR="00F71A6A" w:rsidRDefault="00F71A6A">
      <w:pPr>
        <w:pStyle w:val="JuList"/>
      </w:pPr>
    </w:p>
    <w:p w:rsidRPr="000D71CC" w:rsidR="00D9384B" w:rsidP="00D9384B" w:rsidRDefault="00D9384B">
      <w:pPr>
        <w:pStyle w:val="JuList"/>
      </w:pPr>
      <w:r w:rsidRPr="000D71CC">
        <w:t>2.  </w:t>
      </w:r>
      <w:r w:rsidRPr="000D71CC">
        <w:rPr>
          <w:i/>
        </w:rPr>
        <w:t>Holds</w:t>
      </w:r>
      <w:r w:rsidRPr="000D71CC">
        <w:t xml:space="preserve"> by five votes to two that there has been a violation of Article 11 of the Convention;</w:t>
      </w:r>
    </w:p>
    <w:p w:rsidRPr="000D71CC" w:rsidR="00D9384B" w:rsidP="00D9384B" w:rsidRDefault="00D9384B">
      <w:pPr>
        <w:pStyle w:val="JuList"/>
      </w:pPr>
    </w:p>
    <w:p w:rsidRPr="000D71CC" w:rsidR="00D9384B" w:rsidP="00D9384B" w:rsidRDefault="00D9384B">
      <w:pPr>
        <w:pStyle w:val="JuList"/>
      </w:pPr>
      <w:r w:rsidRPr="000D71CC">
        <w:t>3.  </w:t>
      </w:r>
      <w:r w:rsidRPr="000D71CC">
        <w:rPr>
          <w:i/>
        </w:rPr>
        <w:t>Holds</w:t>
      </w:r>
      <w:r w:rsidRPr="000D71CC">
        <w:t xml:space="preserve"> by five votes to two</w:t>
      </w:r>
    </w:p>
    <w:p w:rsidRPr="000D71CC" w:rsidR="00D9384B" w:rsidP="00D9384B" w:rsidRDefault="00D9384B">
      <w:pPr>
        <w:pStyle w:val="JuLista"/>
      </w:pPr>
      <w:r w:rsidRPr="000D71CC">
        <w:t xml:space="preserve">(a)  that the respondent State is to pay, within three months from the date on which the judgment becomes final in accordance with Article 44 § 2 of the Convention, EUR 10,000 (ten thousand euros), </w:t>
      </w:r>
      <w:r w:rsidRPr="000D71CC" w:rsidR="00671EB1">
        <w:t>cover</w:t>
      </w:r>
      <w:r w:rsidR="00671EB1">
        <w:t>ing</w:t>
      </w:r>
      <w:r w:rsidRPr="000D71CC" w:rsidR="00671EB1">
        <w:t xml:space="preserve"> all heads of damage, </w:t>
      </w:r>
      <w:r w:rsidRPr="000D71CC">
        <w:t xml:space="preserve">plus any tax that may be chargeable, </w:t>
      </w:r>
      <w:r w:rsidR="00671EB1">
        <w:t>to</w:t>
      </w:r>
      <w:r w:rsidRPr="000D71CC" w:rsidR="00671EB1">
        <w:t xml:space="preserve"> Mr Ionel Gruia, the representative of the Păstorul cel Bun trade union</w:t>
      </w:r>
      <w:r w:rsidR="00671EB1">
        <w:t>, who shall be responsible for transferring that sum to the aforementioned union or, as appropriate, its founding members</w:t>
      </w:r>
      <w:r w:rsidRPr="000D71CC">
        <w:t>;</w:t>
      </w:r>
    </w:p>
    <w:p w:rsidRPr="000D71CC" w:rsidR="00D9384B" w:rsidP="00D9384B" w:rsidRDefault="00D9384B">
      <w:pPr>
        <w:pStyle w:val="JuLista"/>
      </w:pPr>
      <w:r w:rsidRPr="000D71CC">
        <w:t xml:space="preserve">(b)  that the above amount is to be converted into </w:t>
      </w:r>
      <w:r w:rsidRPr="000D71CC">
        <w:rPr>
          <w:color w:val="000000"/>
        </w:rPr>
        <w:t>the currency of the respondent State</w:t>
      </w:r>
      <w:r w:rsidRPr="000D71CC">
        <w:t xml:space="preserve"> at the rate applicable at the date of settlement;</w:t>
      </w:r>
    </w:p>
    <w:p w:rsidRPr="000D71CC" w:rsidR="00D9384B" w:rsidP="00D9384B" w:rsidRDefault="00D9384B">
      <w:pPr>
        <w:pStyle w:val="JuLista"/>
      </w:pPr>
      <w:r w:rsidRPr="000D71CC">
        <w:t>(c)  that from the expiry of the above-mentioned three months until settlement simple interest shall be payable on the above amount at a rate equal to the marginal lending rate of the European Central Bank during the default period plus three percentage points;</w:t>
      </w:r>
    </w:p>
    <w:p w:rsidRPr="000D71CC" w:rsidR="00F71A6A" w:rsidRDefault="00F71A6A">
      <w:pPr>
        <w:pStyle w:val="JuList"/>
      </w:pPr>
    </w:p>
    <w:p w:rsidRPr="000D71CC" w:rsidR="00F71A6A" w:rsidRDefault="00D9384B">
      <w:pPr>
        <w:pStyle w:val="JuList"/>
      </w:pPr>
      <w:r w:rsidRPr="000D71CC">
        <w:t>4</w:t>
      </w:r>
      <w:r w:rsidRPr="000D71CC" w:rsidR="00F71A6A">
        <w:t>.  </w:t>
      </w:r>
      <w:r w:rsidRPr="000D71CC" w:rsidR="00F71A6A">
        <w:rPr>
          <w:i/>
        </w:rPr>
        <w:t>Dismisses</w:t>
      </w:r>
      <w:r w:rsidRPr="000D71CC" w:rsidR="00F71A6A">
        <w:t xml:space="preserve"> </w:t>
      </w:r>
      <w:r w:rsidRPr="000D71CC" w:rsidR="001948A0">
        <w:t xml:space="preserve">unanimously </w:t>
      </w:r>
      <w:r w:rsidRPr="000D71CC" w:rsidR="00F71A6A">
        <w:t xml:space="preserve">the remainder of </w:t>
      </w:r>
      <w:r w:rsidR="00FE7799">
        <w:t>the applicant union</w:t>
      </w:r>
      <w:r w:rsidR="00F47D5E">
        <w:t>’</w:t>
      </w:r>
      <w:r w:rsidRPr="000D71CC" w:rsidR="001948A0">
        <w:t>s</w:t>
      </w:r>
      <w:r w:rsidRPr="000D71CC" w:rsidR="00F71A6A">
        <w:t xml:space="preserve"> claim for just satisfaction.</w:t>
      </w:r>
    </w:p>
    <w:p w:rsidRPr="000D71CC" w:rsidR="00325C2B" w:rsidP="00325C2B" w:rsidRDefault="00F71A6A">
      <w:pPr>
        <w:pStyle w:val="JuParaLast"/>
      </w:pPr>
      <w:r w:rsidRPr="000D71CC">
        <w:t xml:space="preserve">Done in </w:t>
      </w:r>
      <w:r w:rsidRPr="000D71CC" w:rsidR="00D9384B">
        <w:t>French</w:t>
      </w:r>
      <w:r w:rsidRPr="000D71CC">
        <w:t xml:space="preserve">, and notified in writing on </w:t>
      </w:r>
      <w:r w:rsidRPr="000D71CC" w:rsidR="00D9384B">
        <w:t>31 January 2012</w:t>
      </w:r>
      <w:r w:rsidRPr="000D71CC">
        <w:t>, pursuant to Rule</w:t>
      </w:r>
      <w:r w:rsidRPr="000D71CC" w:rsidR="0011665B">
        <w:t xml:space="preserve"> </w:t>
      </w:r>
      <w:r w:rsidRPr="000D71CC">
        <w:t>77</w:t>
      </w:r>
      <w:r w:rsidRPr="000D71CC" w:rsidR="0011665B">
        <w:t xml:space="preserve"> </w:t>
      </w:r>
      <w:r w:rsidRPr="000D71CC">
        <w:t>§§</w:t>
      </w:r>
      <w:r w:rsidRPr="000D71CC" w:rsidR="0011665B">
        <w:t xml:space="preserve"> </w:t>
      </w:r>
      <w:r w:rsidRPr="000D71CC">
        <w:t>2 and</w:t>
      </w:r>
      <w:r w:rsidRPr="000D71CC" w:rsidR="0011665B">
        <w:t xml:space="preserve"> </w:t>
      </w:r>
      <w:r w:rsidRPr="000D71CC">
        <w:t>3 of the Rules of Court.</w:t>
      </w:r>
    </w:p>
    <w:p w:rsidR="0079187F" w:rsidP="00C01E1C" w:rsidRDefault="00325C2B">
      <w:pPr>
        <w:pStyle w:val="JuSigned"/>
        <w:keepNext/>
        <w:keepLines/>
      </w:pPr>
      <w:r w:rsidRPr="000D71CC">
        <w:tab/>
      </w:r>
      <w:r w:rsidRPr="000D71CC" w:rsidR="001948A0">
        <w:t>Santiago Quesada</w:t>
      </w:r>
      <w:r w:rsidRPr="000D71CC" w:rsidR="00A8381C">
        <w:tab/>
      </w:r>
      <w:r w:rsidRPr="000D71CC" w:rsidR="001948A0">
        <w:rPr>
          <w:szCs w:val="24"/>
        </w:rPr>
        <w:t>Josep Casadevall</w:t>
      </w:r>
      <w:r w:rsidRPr="000D71CC" w:rsidR="00A8381C">
        <w:tab/>
      </w:r>
      <w:r w:rsidRPr="000D71CC" w:rsidR="001948A0">
        <w:rPr>
          <w:iCs/>
        </w:rPr>
        <w:t>Registrar</w:t>
      </w:r>
      <w:r w:rsidRPr="000D71CC" w:rsidR="00A8381C">
        <w:tab/>
        <w:t>President</w:t>
      </w:r>
    </w:p>
    <w:p w:rsidRPr="003C2D7F" w:rsidR="00CB3E04" w:rsidP="00B75C89" w:rsidRDefault="00CB3E04">
      <w:pPr>
        <w:pStyle w:val="JuParaLast"/>
      </w:pPr>
      <w:r w:rsidRPr="003C2D7F">
        <w:t xml:space="preserve">In accordance with Article 45 § 2 of the Convention and Rule 74 § 2 of the Rules of Court, the </w:t>
      </w:r>
      <w:r>
        <w:t xml:space="preserve">joint dissenting </w:t>
      </w:r>
      <w:r w:rsidRPr="003C2D7F">
        <w:t>opinion</w:t>
      </w:r>
      <w:r>
        <w:t xml:space="preserve"> o</w:t>
      </w:r>
      <w:r w:rsidRPr="003C2D7F">
        <w:t>f Judge</w:t>
      </w:r>
      <w:r>
        <w:t>s Ziemele and</w:t>
      </w:r>
      <w:r w:rsidRPr="003C2D7F">
        <w:t xml:space="preserve"> </w:t>
      </w:r>
      <w:r>
        <w:t>Tsotsoria</w:t>
      </w:r>
      <w:r w:rsidRPr="003C2D7F">
        <w:t xml:space="preserve"> is annexed to this judgment.</w:t>
      </w:r>
    </w:p>
    <w:p w:rsidR="00CB3E04" w:rsidP="00CB3E04" w:rsidRDefault="00CB3E04">
      <w:pPr>
        <w:pStyle w:val="JuInitialled"/>
        <w:sectPr w:rsidR="00CB3E04" w:rsidSect="001948A0">
          <w:headerReference w:type="even" r:id="rId10"/>
          <w:headerReference w:type="default" r:id="rId11"/>
          <w:footnotePr>
            <w:numRestart w:val="eachPage"/>
          </w:footnotePr>
          <w:pgSz w:w="11906" w:h="16838" w:code="9"/>
          <w:pgMar w:top="2274" w:right="2274" w:bottom="2274" w:left="2274" w:header="1701" w:footer="720" w:gutter="0"/>
          <w:pgNumType w:start="1"/>
          <w:cols w:space="720"/>
          <w:docGrid w:linePitch="326"/>
        </w:sectPr>
      </w:pPr>
      <w:r w:rsidRPr="003C2D7F">
        <w:t>J.</w:t>
      </w:r>
      <w:r>
        <w:t>C.M</w:t>
      </w:r>
      <w:r w:rsidRPr="003C2D7F">
        <w:t>.</w:t>
      </w:r>
      <w:r w:rsidRPr="003C2D7F">
        <w:br/>
        <w:t>S.</w:t>
      </w:r>
      <w:r>
        <w:t>Q</w:t>
      </w:r>
      <w:r w:rsidRPr="003C2D7F">
        <w:t>.</w:t>
      </w:r>
    </w:p>
    <w:p w:rsidRPr="003C2B9E" w:rsidR="00CB3E04" w:rsidP="00CB3E04" w:rsidRDefault="00CB3E04">
      <w:pPr>
        <w:pStyle w:val="OpiHHead"/>
      </w:pPr>
      <w:r>
        <w:t>JOINT DISSENTING</w:t>
      </w:r>
      <w:r w:rsidRPr="003C2B9E">
        <w:t xml:space="preserve"> OPINION OF JUDGE</w:t>
      </w:r>
      <w:r>
        <w:t>S</w:t>
      </w:r>
      <w:r w:rsidRPr="003C2B9E">
        <w:t xml:space="preserve"> </w:t>
      </w:r>
      <w:r>
        <w:t>ZIEMELE AND TSOTSORIA</w:t>
      </w:r>
    </w:p>
    <w:p w:rsidR="00CB3E04" w:rsidP="00CB3E04" w:rsidRDefault="00CB3E04">
      <w:pPr>
        <w:pStyle w:val="OpiPara"/>
      </w:pPr>
      <w:r>
        <w:t>1.  We do not share the view of the majority that there was a violation of Article 11 in that the applicants were prevented from establishing the trade union in question. At the outset, it is important to point out that the question has arisen in a very particular context. The applicants are 35 clergymen and lay employees of the Romanian Orthodox Church (see paragraph 6). Therefore the main question is whether and in what manner the clergy and other employees of a Church have the right to form trade unions. Secondly, what is the role of the State from the point of view of its obligations under the Convention?</w:t>
      </w:r>
    </w:p>
    <w:p w:rsidR="00ED4401" w:rsidP="00CB3E04" w:rsidRDefault="00CB3E04">
      <w:pPr>
        <w:pStyle w:val="OpiPara"/>
      </w:pPr>
      <w:r>
        <w:t xml:space="preserve">2.  The Court has repeatedly stated that States have responsibility for ensuring, neutrally and impartially, the exercise of various religions, faiths and beliefs. Their role is to help maintain public order, religious harmony and tolerance in a democratic society, particularly between opposing groups (see, for example, </w:t>
      </w:r>
      <w:r w:rsidRPr="00EA7FA2">
        <w:rPr>
          <w:i/>
          <w:lang w:eastAsia="en-US"/>
        </w:rPr>
        <w:t xml:space="preserve">Leyla Şahin v. </w:t>
      </w:r>
      <w:smartTag w:uri="urn:schemas-microsoft-com:office:smarttags" w:element="place">
        <w:smartTag w:uri="urn:schemas-microsoft-com:office:smarttags" w:element="country-region">
          <w:r w:rsidRPr="00EA7FA2">
            <w:rPr>
              <w:i/>
              <w:lang w:eastAsia="en-US"/>
            </w:rPr>
            <w:t>Turkey</w:t>
          </w:r>
        </w:smartTag>
      </w:smartTag>
      <w:r w:rsidRPr="00EA7FA2">
        <w:rPr>
          <w:i/>
          <w:lang w:eastAsia="en-US"/>
        </w:rPr>
        <w:t xml:space="preserve"> </w:t>
      </w:r>
      <w:r w:rsidRPr="00EA7FA2">
        <w:rPr>
          <w:lang w:eastAsia="en-US"/>
        </w:rPr>
        <w:t>[GC], no.</w:t>
      </w:r>
      <w:r>
        <w:rPr>
          <w:lang w:eastAsia="en-US"/>
        </w:rPr>
        <w:t> </w:t>
      </w:r>
      <w:r w:rsidRPr="00EA7FA2">
        <w:rPr>
          <w:lang w:eastAsia="en-US"/>
        </w:rPr>
        <w:t xml:space="preserve">44774/98, § </w:t>
      </w:r>
      <w:r>
        <w:rPr>
          <w:lang w:eastAsia="en-US"/>
        </w:rPr>
        <w:t>107</w:t>
      </w:r>
      <w:r w:rsidRPr="00EA7FA2">
        <w:rPr>
          <w:lang w:eastAsia="en-US"/>
        </w:rPr>
        <w:t>, ECHR 2005</w:t>
      </w:r>
      <w:r w:rsidRPr="00EA7FA2">
        <w:rPr>
          <w:lang w:eastAsia="en-US"/>
        </w:rPr>
        <w:noBreakHyphen/>
        <w:t>XI</w:t>
      </w:r>
      <w:r>
        <w:rPr>
          <w:lang w:eastAsia="en-US"/>
        </w:rPr>
        <w:t>)</w:t>
      </w:r>
      <w:r>
        <w:t>. It has also acknowledged that participation in the organisational life of the community is a manifestation of one</w:t>
      </w:r>
      <w:r w:rsidR="00F47D5E">
        <w:t>’</w:t>
      </w:r>
      <w:r>
        <w:t>s religion, protected by Article 9 of the Convention. For these reasons, the Court has held that under Article 9, interpreted in the light of Article 11, the right of believers to freedom of religion encompasses the expectation that the community will be allowed to function free from arbitrary State intervention in its organisation. The autonomous existence of religious communities is indispensable for pluralism in a democratic society and is thus an issue at the very heart of the protection which Article 9 of the Convention affords. Were the organisational life of the community not protected by Article 9, all other aspects of the individual</w:t>
      </w:r>
      <w:r w:rsidR="00F47D5E">
        <w:t>’</w:t>
      </w:r>
      <w:r>
        <w:t xml:space="preserve">s freedom of religion would become vulnerable (see </w:t>
      </w:r>
      <w:r w:rsidRPr="00790C28">
        <w:rPr>
          <w:i/>
          <w:lang w:eastAsia="en-US"/>
        </w:rPr>
        <w:t xml:space="preserve">Hasan and Chaush v. </w:t>
      </w:r>
      <w:smartTag w:uri="urn:schemas-microsoft-com:office:smarttags" w:element="country-region">
        <w:smartTag w:uri="urn:schemas-microsoft-com:office:smarttags" w:element="place">
          <w:r w:rsidRPr="00790C28">
            <w:rPr>
              <w:i/>
              <w:lang w:eastAsia="en-US"/>
            </w:rPr>
            <w:t>Bulgaria</w:t>
          </w:r>
        </w:smartTag>
      </w:smartTag>
      <w:r w:rsidRPr="00790C28">
        <w:rPr>
          <w:i/>
          <w:lang w:eastAsia="en-US"/>
        </w:rPr>
        <w:t xml:space="preserve"> </w:t>
      </w:r>
      <w:r>
        <w:rPr>
          <w:lang w:eastAsia="en-US"/>
        </w:rPr>
        <w:t>[GC], no. 30985/96, § 62</w:t>
      </w:r>
      <w:r w:rsidRPr="00790C28">
        <w:rPr>
          <w:lang w:eastAsia="en-US"/>
        </w:rPr>
        <w:t>, ECHR 2000</w:t>
      </w:r>
      <w:r w:rsidRPr="00790C28">
        <w:rPr>
          <w:lang w:eastAsia="en-US"/>
        </w:rPr>
        <w:noBreakHyphen/>
        <w:t>XI</w:t>
      </w:r>
      <w:r>
        <w:t xml:space="preserve">; </w:t>
      </w:r>
      <w:r w:rsidRPr="00790C28">
        <w:rPr>
          <w:i/>
          <w:lang w:eastAsia="en-US"/>
        </w:rPr>
        <w:t>Metropolitan Church of Bessarabia and Others v. Moldova</w:t>
      </w:r>
      <w:r>
        <w:rPr>
          <w:lang w:eastAsia="en-US"/>
        </w:rPr>
        <w:t xml:space="preserve">, no. 45701/99, § </w:t>
      </w:r>
      <w:r>
        <w:t>118</w:t>
      </w:r>
      <w:r w:rsidRPr="00790C28">
        <w:rPr>
          <w:lang w:eastAsia="en-US"/>
        </w:rPr>
        <w:t>, ECHR 2001</w:t>
      </w:r>
      <w:r w:rsidRPr="00790C28">
        <w:rPr>
          <w:lang w:eastAsia="en-US"/>
        </w:rPr>
        <w:noBreakHyphen/>
        <w:t>XII</w:t>
      </w:r>
      <w:r>
        <w:t xml:space="preserve">; and </w:t>
      </w:r>
      <w:r w:rsidRPr="00B74854">
        <w:rPr>
          <w:i/>
          <w:lang w:eastAsia="en-US"/>
        </w:rPr>
        <w:t xml:space="preserve">Holy Synod of the Bulgarian Orthodox Church (Metropolitan Inokentiy) and Others v. </w:t>
      </w:r>
      <w:smartTag w:uri="urn:schemas-microsoft-com:office:smarttags" w:element="place">
        <w:smartTag w:uri="urn:schemas-microsoft-com:office:smarttags" w:element="country-region">
          <w:r w:rsidRPr="00B74854">
            <w:rPr>
              <w:i/>
              <w:lang w:eastAsia="en-US"/>
            </w:rPr>
            <w:t>Bulgaria</w:t>
          </w:r>
        </w:smartTag>
      </w:smartTag>
      <w:r>
        <w:rPr>
          <w:lang w:eastAsia="en-US"/>
        </w:rPr>
        <w:t>, nos. 412/03 and 35677/04, § 103</w:t>
      </w:r>
      <w:r w:rsidRPr="00B74854">
        <w:rPr>
          <w:lang w:eastAsia="en-US"/>
        </w:rPr>
        <w:t>, 22 January 2009</w:t>
      </w:r>
      <w:r>
        <w:rPr>
          <w:lang w:eastAsia="en-US"/>
        </w:rPr>
        <w:t>)</w:t>
      </w:r>
      <w:r w:rsidRPr="00C3762F">
        <w:rPr>
          <w:lang w:eastAsia="en-US"/>
        </w:rPr>
        <w:t>.</w:t>
      </w:r>
      <w:r w:rsidRPr="00C3762F">
        <w:t xml:space="preserve"> </w:t>
      </w:r>
      <w:r>
        <w:t>In our view this case raises a relatively new issue for the Court as regards the autonomous existence of the religious community in view of a proposal to establish a trade union by some members of that community.</w:t>
      </w:r>
    </w:p>
    <w:p w:rsidR="00CB3E04" w:rsidP="00CB3E04" w:rsidRDefault="00CB3E04">
      <w:pPr>
        <w:pStyle w:val="OpiPara"/>
      </w:pPr>
      <w:r>
        <w:t>3. We note that in Romania members of the clergy, with some exceptions, have the right to form trade unions and that such unions have indeed been registered (</w:t>
      </w:r>
      <w:r w:rsidR="00F72033">
        <w:t xml:space="preserve">see </w:t>
      </w:r>
      <w:r>
        <w:t>paragraph 84</w:t>
      </w:r>
      <w:r w:rsidR="00F72033">
        <w:t xml:space="preserve"> of the judgment</w:t>
      </w:r>
      <w:r>
        <w:t>). Nevertheless, there is a certain procedure that has to be followed. In accordance with the 2007 Statute of the Romanian Orthodox Church, as recognised by Government Ord</w:t>
      </w:r>
      <w:r w:rsidR="00F72033">
        <w:t>inance</w:t>
      </w:r>
      <w:r>
        <w:t xml:space="preserve"> no</w:t>
      </w:r>
      <w:r w:rsidR="00F72033">
        <w:t>.</w:t>
      </w:r>
      <w:r>
        <w:t xml:space="preserve"> 53</w:t>
      </w:r>
      <w:r w:rsidR="00F72033">
        <w:t>/</w:t>
      </w:r>
      <w:r>
        <w:t>2008, members of the clergy have to receive the blessing of the Bishop for the establishment of, or participation in, associations, foundations or other organisations (see paragraph 26). In the present case, the domestic courts took into account the explanations of the Archbishop as regards the requirement of his blessing, as well as explanations about the duties of priests within the hierarchy of the Church, and decided that they could not grant the registration of the trade union since it would be contrary to the requirements of the Statute of the Romanian Orthodox Church.</w:t>
      </w:r>
    </w:p>
    <w:p w:rsidR="00CB3E04" w:rsidP="00CB3E04" w:rsidRDefault="002C3DEC">
      <w:pPr>
        <w:pStyle w:val="OpiPara"/>
      </w:pPr>
      <w:r>
        <w:t>4.  </w:t>
      </w:r>
      <w:r w:rsidR="00CB3E04">
        <w:t>The majority of the Chamber found that the establishment of the particular trade union would not have interfered with the legitimacy of religious beliefs or the manner of their expression (see paragraph 75). In their view, the national courts had not sufficiently proved that the trade union</w:t>
      </w:r>
      <w:r w:rsidR="00F47D5E">
        <w:t>’</w:t>
      </w:r>
      <w:r w:rsidR="00F22144">
        <w:t>s constitution</w:t>
      </w:r>
      <w:r w:rsidR="00CB3E04">
        <w:t xml:space="preserve"> was incompatible with democratic society or even represented a threat to democracy (</w:t>
      </w:r>
      <w:r w:rsidR="00F22144">
        <w:t xml:space="preserve">see </w:t>
      </w:r>
      <w:r w:rsidR="00CB3E04">
        <w:t>paragraph 76). Secondly, the majority paid particular attention to the analysis carried out by the domestic courts and considered that they had not made a sufficiently careful analysis of all the pertinent arguments (</w:t>
      </w:r>
      <w:r w:rsidR="00F22144">
        <w:t xml:space="preserve">see </w:t>
      </w:r>
      <w:r w:rsidR="00CB3E04">
        <w:t>paragraph 86). Admittedly, one could see problems in the manner in which the Court of Appeal reasoned. We could agree with the argument that, for example, members of the clergy and lay employees of the Church might need to be distinguished. Certainly, this derives from the wording of the Statute of the Church, which provides for the special procedure only in relation to the clergy. There is also an important question as to what law should apply with respect to this dispute, since the facts of the dispute arose before 2008, when the Government took note of the new Statute of the Church, and whether the applicants were aware of the limitations that might be imposed on their rights before that date. It seems that the Court of Appeal did not pay attention to these aspects. At the same time, the applicants themselves did not argue that the clergy and lay employees should be distinguished as to their rights, nor did they attempt to create two different trade unions. The Government did submit that the national courts had tried to identify the nature of the trade union and that it was a difficult question because of the mixed composition of the group of individuals concerned. Finally, the courts came to the conclusion that the intention was to create a trade union within the Church. This conclusion is not contested by the applicants. Their argument is that the trade union did not have any plans to contradict the religious dogma or structure of the Church. The applicants argued that the main purpose was the defence of their social and economic rights.</w:t>
      </w:r>
    </w:p>
    <w:p w:rsidR="00ED4401" w:rsidP="00CB3E04" w:rsidRDefault="002C3DEC">
      <w:pPr>
        <w:pStyle w:val="OpiPara"/>
      </w:pPr>
      <w:r>
        <w:t>5.  </w:t>
      </w:r>
      <w:r w:rsidR="00CB3E04">
        <w:t>Indeed, the text of the trade union</w:t>
      </w:r>
      <w:r w:rsidR="00F47D5E">
        <w:t>’</w:t>
      </w:r>
      <w:r w:rsidR="00CB3E04">
        <w:t xml:space="preserve">s </w:t>
      </w:r>
      <w:r w:rsidR="00F22144">
        <w:t>constitution</w:t>
      </w:r>
      <w:r w:rsidR="00CB3E04">
        <w:t xml:space="preserve"> is of particular importance in the case (see paragraph 6). In this text one can read that the trade union plans to ensure that all members of the trade union have work which corresponds to their professional training and skills. Among other things, the </w:t>
      </w:r>
      <w:r w:rsidR="00F22144">
        <w:t>constitution</w:t>
      </w:r>
      <w:r w:rsidR="00CB3E04">
        <w:t xml:space="preserve"> also mentions that the trade union will organise and finance religious activities. </w:t>
      </w:r>
      <w:r w:rsidR="00B00CE0">
        <w:t>It</w:t>
      </w:r>
      <w:r w:rsidR="00CB3E04">
        <w:t xml:space="preserve"> naturally talks about the right to strike and states that the Archbishop has to report on promotions, transfers and budgetary issues. We consider that in the light of these elements of the trade union</w:t>
      </w:r>
      <w:r w:rsidR="00F47D5E">
        <w:t>’</w:t>
      </w:r>
      <w:r w:rsidR="00CB3E04">
        <w:t xml:space="preserve">s </w:t>
      </w:r>
      <w:r w:rsidR="00F22144">
        <w:t>constitution</w:t>
      </w:r>
      <w:r w:rsidR="00CB3E04">
        <w:t xml:space="preserve"> the national courts could reasonably consider that its creation would challenge the traditional hierarchical structure of the Church and the manner in which decisions were taken within it. The </w:t>
      </w:r>
      <w:r w:rsidR="00B00CE0">
        <w:t>constitution</w:t>
      </w:r>
      <w:r w:rsidR="00CB3E04">
        <w:t xml:space="preserve"> does not show that the sole purpose of the trade union members was to communicate with the State authorities in view of the fact that they had employment contracts which were in some manner recognised by the State. It also transpires from the various submissions of the parties to be found in the case file that in the background to this case there were disagreements within the Church. If that is the case, the national courts are certainly better placed to assess the facts.</w:t>
      </w:r>
    </w:p>
    <w:p w:rsidRPr="00CB3E04" w:rsidR="00CB3E04" w:rsidP="00CB3E04" w:rsidRDefault="002C3DEC">
      <w:pPr>
        <w:pStyle w:val="OpiPara"/>
      </w:pPr>
      <w:r>
        <w:t>6.  </w:t>
      </w:r>
      <w:r w:rsidR="00CB3E04">
        <w:t xml:space="preserve">In conclusion, the Chamber seems to have answered the question posed above (see point 1 above) in the affirmative, based on the importance of the right to form trade unions and the reading of paragraph 2 of Article 11, which spells out only three groups of individuals whose right to form trade unions may be restricted (see paragraph 63). Unfortunately, the Chamber does not examine the main tension that the facts present, namely the collision between the principle of the autonomous existence of a religious community, as protected by Articles 9 and 11, and the right to form trade unions, as protected by Article 11 (see point 2 above). While we agree with the majority that it is important to find </w:t>
      </w:r>
      <w:r w:rsidR="00B00CE0">
        <w:t>the</w:t>
      </w:r>
      <w:r w:rsidR="00CB3E04">
        <w:t xml:space="preserve"> right balance between, on the one hand, the freedom of religion of the Church and its members, and its autonomy, and, on the other, the protection of fundamental human rights, we do not find that the assessment by the national courts of this very delicate situation was unreasonable. Consequently, we do not find a violation of Article 11 and we do not endorse the just satisfaction awarded.</w:t>
      </w:r>
    </w:p>
    <w:sectPr w:rsidRPr="00CB3E04" w:rsidR="00CB3E04" w:rsidSect="00CB3E04">
      <w:headerReference w:type="even" r:id="rId12"/>
      <w:headerReference w:type="default" r:id="rId13"/>
      <w:footnotePr>
        <w:numRestart w:val="eachPage"/>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E2D" w:rsidRDefault="00F77E2D">
      <w:r>
        <w:separator/>
      </w:r>
    </w:p>
  </w:endnote>
  <w:endnote w:type="continuationSeparator" w:id="0">
    <w:p w:rsidR="00F77E2D" w:rsidRDefault="00F7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3F" w:rsidRPr="00150BFA" w:rsidRDefault="00B3773F" w:rsidP="001948A0">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B3773F" w:rsidRDefault="00B377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E2D" w:rsidRDefault="00F77E2D">
      <w:r>
        <w:separator/>
      </w:r>
    </w:p>
  </w:footnote>
  <w:footnote w:type="continuationSeparator" w:id="0">
    <w:p w:rsidR="00F77E2D" w:rsidRDefault="00F77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3F" w:rsidRPr="001948A0" w:rsidRDefault="00B3773F" w:rsidP="001948A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3F" w:rsidRPr="00C00F0F" w:rsidRDefault="00B3773F">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B3773F" w:rsidRDefault="00B377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3F" w:rsidRDefault="00B3773F">
    <w:pPr>
      <w:pStyle w:val="JuHeader"/>
    </w:pPr>
    <w:r>
      <w:rPr>
        <w:rStyle w:val="PageNumber"/>
      </w:rPr>
      <w:fldChar w:fldCharType="begin"/>
    </w:r>
    <w:r>
      <w:rPr>
        <w:rStyle w:val="PageNumber"/>
      </w:rPr>
      <w:instrText xml:space="preserve"> PAGE </w:instrText>
    </w:r>
    <w:r>
      <w:rPr>
        <w:rStyle w:val="PageNumber"/>
      </w:rPr>
      <w:fldChar w:fldCharType="separate"/>
    </w:r>
    <w:r w:rsidR="00F47D5E">
      <w:rPr>
        <w:rStyle w:val="PageNumber"/>
        <w:noProof/>
      </w:rPr>
      <w:t>2</w:t>
    </w:r>
    <w:r>
      <w:rPr>
        <w:rStyle w:val="PageNumber"/>
      </w:rPr>
      <w:fldChar w:fldCharType="end"/>
    </w:r>
    <w:r>
      <w:tab/>
      <w:t>SINDICATUL “PĂSTORUL CEL BUN” v. ROMANIA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3F" w:rsidRDefault="00B3773F">
    <w:pPr>
      <w:pStyle w:val="JuHeader"/>
    </w:pPr>
    <w:r>
      <w:tab/>
      <w:t>SINDICATUL “PĂSTORUL CEL BUN” v. ROMANIA JUDGMENT</w:t>
    </w:r>
    <w:r>
      <w:tab/>
    </w:r>
    <w:r>
      <w:rPr>
        <w:rStyle w:val="PageNumber"/>
      </w:rPr>
      <w:fldChar w:fldCharType="begin"/>
    </w:r>
    <w:r>
      <w:rPr>
        <w:rStyle w:val="PageNumber"/>
      </w:rPr>
      <w:instrText xml:space="preserve"> PAGE </w:instrText>
    </w:r>
    <w:r>
      <w:rPr>
        <w:rStyle w:val="PageNumber"/>
      </w:rPr>
      <w:fldChar w:fldCharType="separate"/>
    </w:r>
    <w:r w:rsidR="00F47D5E">
      <w:rPr>
        <w:rStyle w:val="PageNumber"/>
        <w:noProof/>
      </w:rPr>
      <w:t>1</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3F" w:rsidRDefault="00B3773F">
    <w:pPr>
      <w:pStyle w:val="JuHeader"/>
    </w:pPr>
    <w:r>
      <w:rPr>
        <w:rStyle w:val="PageNumber"/>
      </w:rPr>
      <w:fldChar w:fldCharType="begin"/>
    </w:r>
    <w:r>
      <w:rPr>
        <w:rStyle w:val="PageNumber"/>
      </w:rPr>
      <w:instrText xml:space="preserve"> PAGE </w:instrText>
    </w:r>
    <w:r>
      <w:rPr>
        <w:rStyle w:val="PageNumber"/>
      </w:rPr>
      <w:fldChar w:fldCharType="separate"/>
    </w:r>
    <w:r w:rsidR="00F47D5E">
      <w:rPr>
        <w:rStyle w:val="PageNumber"/>
        <w:noProof/>
      </w:rPr>
      <w:t>26</w:t>
    </w:r>
    <w:r>
      <w:rPr>
        <w:rStyle w:val="PageNumber"/>
      </w:rPr>
      <w:fldChar w:fldCharType="end"/>
    </w:r>
    <w:r>
      <w:rPr>
        <w:rStyle w:val="PageNumber"/>
      </w:rPr>
      <w:t xml:space="preserve"> </w:t>
    </w:r>
    <w:r>
      <w:tab/>
      <w:t>SINDICATUL “PĂSTORUL CEL BUN” v. ROMANIA JUDGMENT – SEPARATE OPINION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3F" w:rsidRDefault="00B3773F">
    <w:pPr>
      <w:pStyle w:val="JuHeader"/>
    </w:pPr>
    <w:r>
      <w:tab/>
      <w:t xml:space="preserve">SINDICATUL “PĂSTORUL CEL BUN” v. ROMANIA JUDGMENT – SEPARATE OPINION </w:t>
    </w:r>
    <w:r>
      <w:tab/>
    </w:r>
    <w:r>
      <w:rPr>
        <w:rStyle w:val="PageNumber"/>
      </w:rPr>
      <w:fldChar w:fldCharType="begin"/>
    </w:r>
    <w:r>
      <w:rPr>
        <w:rStyle w:val="PageNumber"/>
      </w:rPr>
      <w:instrText xml:space="preserve"> PAGE </w:instrText>
    </w:r>
    <w:r>
      <w:rPr>
        <w:rStyle w:val="PageNumber"/>
      </w:rPr>
      <w:fldChar w:fldCharType="separate"/>
    </w:r>
    <w:r w:rsidR="00F47D5E">
      <w:rPr>
        <w:rStyle w:val="PageNumber"/>
        <w:noProof/>
      </w:rPr>
      <w:t>25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BY E-TRANSMISSION ONLY"/>
    <w:docVar w:name="L4_1Annex" w:val="0"/>
    <w:docVar w:name="L4_1Anonymity" w:val="1"/>
    <w:docVar w:name="NBEMMDOC" w:val="0"/>
    <w:docVar w:name="SignForeName" w:val="0"/>
  </w:docVars>
  <w:rsids>
    <w:rsidRoot w:val="001948A0"/>
    <w:rsid w:val="00001CC5"/>
    <w:rsid w:val="00002878"/>
    <w:rsid w:val="00002DD1"/>
    <w:rsid w:val="000042D1"/>
    <w:rsid w:val="000045FB"/>
    <w:rsid w:val="00005FD4"/>
    <w:rsid w:val="00013894"/>
    <w:rsid w:val="00021FBB"/>
    <w:rsid w:val="00033160"/>
    <w:rsid w:val="00033FD2"/>
    <w:rsid w:val="0003679E"/>
    <w:rsid w:val="00036FB2"/>
    <w:rsid w:val="00042867"/>
    <w:rsid w:val="00043BA2"/>
    <w:rsid w:val="000462A5"/>
    <w:rsid w:val="0004670E"/>
    <w:rsid w:val="0005522C"/>
    <w:rsid w:val="00055AC1"/>
    <w:rsid w:val="0005737E"/>
    <w:rsid w:val="000617A5"/>
    <w:rsid w:val="00062964"/>
    <w:rsid w:val="0006522D"/>
    <w:rsid w:val="0007090A"/>
    <w:rsid w:val="000726F6"/>
    <w:rsid w:val="00074C56"/>
    <w:rsid w:val="00076A67"/>
    <w:rsid w:val="0008409C"/>
    <w:rsid w:val="00085837"/>
    <w:rsid w:val="00085B3A"/>
    <w:rsid w:val="00090354"/>
    <w:rsid w:val="00090C82"/>
    <w:rsid w:val="00093883"/>
    <w:rsid w:val="0009409F"/>
    <w:rsid w:val="000A286A"/>
    <w:rsid w:val="000B59F9"/>
    <w:rsid w:val="000C609B"/>
    <w:rsid w:val="000D519F"/>
    <w:rsid w:val="000D6108"/>
    <w:rsid w:val="000D71CC"/>
    <w:rsid w:val="000E1449"/>
    <w:rsid w:val="000E203F"/>
    <w:rsid w:val="000E6B0D"/>
    <w:rsid w:val="000F699D"/>
    <w:rsid w:val="000F6C07"/>
    <w:rsid w:val="000F6E30"/>
    <w:rsid w:val="000F743D"/>
    <w:rsid w:val="00100EBC"/>
    <w:rsid w:val="00104AD1"/>
    <w:rsid w:val="0010673B"/>
    <w:rsid w:val="00111D99"/>
    <w:rsid w:val="0011665B"/>
    <w:rsid w:val="00120F11"/>
    <w:rsid w:val="001241E2"/>
    <w:rsid w:val="00126213"/>
    <w:rsid w:val="00126BAD"/>
    <w:rsid w:val="00130200"/>
    <w:rsid w:val="0013290F"/>
    <w:rsid w:val="00133BD2"/>
    <w:rsid w:val="00151CCA"/>
    <w:rsid w:val="00153C8F"/>
    <w:rsid w:val="00153D9E"/>
    <w:rsid w:val="00157BD8"/>
    <w:rsid w:val="00173ABE"/>
    <w:rsid w:val="00174A6F"/>
    <w:rsid w:val="001750AC"/>
    <w:rsid w:val="001812B2"/>
    <w:rsid w:val="0019388B"/>
    <w:rsid w:val="00194507"/>
    <w:rsid w:val="001948A0"/>
    <w:rsid w:val="00195378"/>
    <w:rsid w:val="00197C29"/>
    <w:rsid w:val="001A0EBE"/>
    <w:rsid w:val="001A2CB2"/>
    <w:rsid w:val="001B2EFC"/>
    <w:rsid w:val="001B5AAF"/>
    <w:rsid w:val="001B62B1"/>
    <w:rsid w:val="001B737B"/>
    <w:rsid w:val="001B74F7"/>
    <w:rsid w:val="001D30CE"/>
    <w:rsid w:val="001E60AD"/>
    <w:rsid w:val="001E6100"/>
    <w:rsid w:val="001F5586"/>
    <w:rsid w:val="0020475F"/>
    <w:rsid w:val="00207EF3"/>
    <w:rsid w:val="00210AED"/>
    <w:rsid w:val="00213A4D"/>
    <w:rsid w:val="00225BE5"/>
    <w:rsid w:val="002266CD"/>
    <w:rsid w:val="002320C6"/>
    <w:rsid w:val="0024626D"/>
    <w:rsid w:val="00252B31"/>
    <w:rsid w:val="00256A69"/>
    <w:rsid w:val="002635FF"/>
    <w:rsid w:val="002648B1"/>
    <w:rsid w:val="0026789F"/>
    <w:rsid w:val="00267E01"/>
    <w:rsid w:val="00271A81"/>
    <w:rsid w:val="00271B80"/>
    <w:rsid w:val="00271FC0"/>
    <w:rsid w:val="00281AAC"/>
    <w:rsid w:val="00283326"/>
    <w:rsid w:val="00285CD0"/>
    <w:rsid w:val="00295D4B"/>
    <w:rsid w:val="00296B76"/>
    <w:rsid w:val="00296C34"/>
    <w:rsid w:val="00296DA0"/>
    <w:rsid w:val="00297942"/>
    <w:rsid w:val="002A4296"/>
    <w:rsid w:val="002B18B7"/>
    <w:rsid w:val="002C3DEC"/>
    <w:rsid w:val="002C7D3E"/>
    <w:rsid w:val="002D15BA"/>
    <w:rsid w:val="002E2EAF"/>
    <w:rsid w:val="002E46E8"/>
    <w:rsid w:val="002E6A74"/>
    <w:rsid w:val="002F3862"/>
    <w:rsid w:val="002F4BCF"/>
    <w:rsid w:val="002F6FE9"/>
    <w:rsid w:val="00302008"/>
    <w:rsid w:val="003104E9"/>
    <w:rsid w:val="003115C5"/>
    <w:rsid w:val="0031573C"/>
    <w:rsid w:val="0032093A"/>
    <w:rsid w:val="00325081"/>
    <w:rsid w:val="00325C2B"/>
    <w:rsid w:val="00332547"/>
    <w:rsid w:val="00336887"/>
    <w:rsid w:val="00337600"/>
    <w:rsid w:val="00343F6E"/>
    <w:rsid w:val="0034580F"/>
    <w:rsid w:val="003472B8"/>
    <w:rsid w:val="003506C9"/>
    <w:rsid w:val="00355F3B"/>
    <w:rsid w:val="00355F8F"/>
    <w:rsid w:val="00366AE7"/>
    <w:rsid w:val="003708F2"/>
    <w:rsid w:val="00371277"/>
    <w:rsid w:val="0037228D"/>
    <w:rsid w:val="00372E51"/>
    <w:rsid w:val="003813C7"/>
    <w:rsid w:val="00393C08"/>
    <w:rsid w:val="003968F7"/>
    <w:rsid w:val="003974E4"/>
    <w:rsid w:val="003A35C4"/>
    <w:rsid w:val="003A64D3"/>
    <w:rsid w:val="003A6545"/>
    <w:rsid w:val="003B0210"/>
    <w:rsid w:val="003B41C7"/>
    <w:rsid w:val="003B50D7"/>
    <w:rsid w:val="003B64AC"/>
    <w:rsid w:val="003C26DA"/>
    <w:rsid w:val="003D1295"/>
    <w:rsid w:val="003D2835"/>
    <w:rsid w:val="003D5495"/>
    <w:rsid w:val="003E2006"/>
    <w:rsid w:val="003E319C"/>
    <w:rsid w:val="003E7F1C"/>
    <w:rsid w:val="003F3BFD"/>
    <w:rsid w:val="00401C5B"/>
    <w:rsid w:val="00412F5F"/>
    <w:rsid w:val="00413EFC"/>
    <w:rsid w:val="00427195"/>
    <w:rsid w:val="0043669D"/>
    <w:rsid w:val="00436841"/>
    <w:rsid w:val="004406AA"/>
    <w:rsid w:val="004468FF"/>
    <w:rsid w:val="0045010F"/>
    <w:rsid w:val="004503D1"/>
    <w:rsid w:val="00452CF1"/>
    <w:rsid w:val="00452EBC"/>
    <w:rsid w:val="004563D4"/>
    <w:rsid w:val="00457A18"/>
    <w:rsid w:val="00460FAD"/>
    <w:rsid w:val="004646CB"/>
    <w:rsid w:val="00465AD7"/>
    <w:rsid w:val="0047241F"/>
    <w:rsid w:val="00473D0E"/>
    <w:rsid w:val="004760C6"/>
    <w:rsid w:val="004767B4"/>
    <w:rsid w:val="00476F9F"/>
    <w:rsid w:val="00481F5C"/>
    <w:rsid w:val="00482160"/>
    <w:rsid w:val="00483AFB"/>
    <w:rsid w:val="00484382"/>
    <w:rsid w:val="004845E1"/>
    <w:rsid w:val="00485A6F"/>
    <w:rsid w:val="004920B1"/>
    <w:rsid w:val="004976A0"/>
    <w:rsid w:val="004A1268"/>
    <w:rsid w:val="004A5EE6"/>
    <w:rsid w:val="004A7F45"/>
    <w:rsid w:val="004B0CCB"/>
    <w:rsid w:val="004C0583"/>
    <w:rsid w:val="004C3198"/>
    <w:rsid w:val="004C5E1C"/>
    <w:rsid w:val="004D65C1"/>
    <w:rsid w:val="004D6B75"/>
    <w:rsid w:val="004D6FA2"/>
    <w:rsid w:val="004D750E"/>
    <w:rsid w:val="004E5DFC"/>
    <w:rsid w:val="004F4407"/>
    <w:rsid w:val="005003DC"/>
    <w:rsid w:val="0050096C"/>
    <w:rsid w:val="00500DB3"/>
    <w:rsid w:val="00504C06"/>
    <w:rsid w:val="00504F52"/>
    <w:rsid w:val="00513446"/>
    <w:rsid w:val="00516EBF"/>
    <w:rsid w:val="00517013"/>
    <w:rsid w:val="00522362"/>
    <w:rsid w:val="00524FFC"/>
    <w:rsid w:val="005325A2"/>
    <w:rsid w:val="005419B6"/>
    <w:rsid w:val="00546F49"/>
    <w:rsid w:val="00550B98"/>
    <w:rsid w:val="005625C6"/>
    <w:rsid w:val="00566BC8"/>
    <w:rsid w:val="0056771C"/>
    <w:rsid w:val="005677F1"/>
    <w:rsid w:val="00567A0B"/>
    <w:rsid w:val="005777BA"/>
    <w:rsid w:val="00577E6A"/>
    <w:rsid w:val="00582D1B"/>
    <w:rsid w:val="00584A11"/>
    <w:rsid w:val="005874FF"/>
    <w:rsid w:val="0058758A"/>
    <w:rsid w:val="00591010"/>
    <w:rsid w:val="0059580F"/>
    <w:rsid w:val="00595C5D"/>
    <w:rsid w:val="005A14E5"/>
    <w:rsid w:val="005A27B7"/>
    <w:rsid w:val="005A32FB"/>
    <w:rsid w:val="005A3D27"/>
    <w:rsid w:val="005B16A8"/>
    <w:rsid w:val="005B218B"/>
    <w:rsid w:val="005B4233"/>
    <w:rsid w:val="005C1929"/>
    <w:rsid w:val="005C1956"/>
    <w:rsid w:val="005C2C88"/>
    <w:rsid w:val="005C41CB"/>
    <w:rsid w:val="005C4FF0"/>
    <w:rsid w:val="005D7E0B"/>
    <w:rsid w:val="005E384F"/>
    <w:rsid w:val="005E4705"/>
    <w:rsid w:val="005F311A"/>
    <w:rsid w:val="005F4753"/>
    <w:rsid w:val="005F7A10"/>
    <w:rsid w:val="005F7AB3"/>
    <w:rsid w:val="006053AC"/>
    <w:rsid w:val="00610C2E"/>
    <w:rsid w:val="006111FF"/>
    <w:rsid w:val="006112DC"/>
    <w:rsid w:val="006138EA"/>
    <w:rsid w:val="00621022"/>
    <w:rsid w:val="00621A6A"/>
    <w:rsid w:val="00625699"/>
    <w:rsid w:val="0062787C"/>
    <w:rsid w:val="00633478"/>
    <w:rsid w:val="00633C25"/>
    <w:rsid w:val="00636AF9"/>
    <w:rsid w:val="00640B82"/>
    <w:rsid w:val="006437A0"/>
    <w:rsid w:val="0065272A"/>
    <w:rsid w:val="00655126"/>
    <w:rsid w:val="00655A6E"/>
    <w:rsid w:val="00656B15"/>
    <w:rsid w:val="006570C4"/>
    <w:rsid w:val="006639B6"/>
    <w:rsid w:val="00671EB1"/>
    <w:rsid w:val="006722FB"/>
    <w:rsid w:val="00687564"/>
    <w:rsid w:val="00697F14"/>
    <w:rsid w:val="006A21EE"/>
    <w:rsid w:val="006A3D9D"/>
    <w:rsid w:val="006A5A18"/>
    <w:rsid w:val="006A7C48"/>
    <w:rsid w:val="006B0EC7"/>
    <w:rsid w:val="006B34EC"/>
    <w:rsid w:val="006B38AC"/>
    <w:rsid w:val="006C2B52"/>
    <w:rsid w:val="006C32FF"/>
    <w:rsid w:val="006C35C5"/>
    <w:rsid w:val="006D2436"/>
    <w:rsid w:val="006D4B4F"/>
    <w:rsid w:val="006D71BC"/>
    <w:rsid w:val="006E6D33"/>
    <w:rsid w:val="006F14EF"/>
    <w:rsid w:val="006F26DE"/>
    <w:rsid w:val="007014AE"/>
    <w:rsid w:val="00704CBE"/>
    <w:rsid w:val="007156E0"/>
    <w:rsid w:val="00730053"/>
    <w:rsid w:val="00730433"/>
    <w:rsid w:val="00730CE5"/>
    <w:rsid w:val="007352DD"/>
    <w:rsid w:val="00750E5E"/>
    <w:rsid w:val="00754ABE"/>
    <w:rsid w:val="00756D5B"/>
    <w:rsid w:val="00760CCC"/>
    <w:rsid w:val="0077491A"/>
    <w:rsid w:val="007754D9"/>
    <w:rsid w:val="00776807"/>
    <w:rsid w:val="0077789B"/>
    <w:rsid w:val="0078062F"/>
    <w:rsid w:val="007827E7"/>
    <w:rsid w:val="00785D5D"/>
    <w:rsid w:val="0079163D"/>
    <w:rsid w:val="0079187F"/>
    <w:rsid w:val="00792677"/>
    <w:rsid w:val="007A0BC0"/>
    <w:rsid w:val="007A1FFE"/>
    <w:rsid w:val="007A357A"/>
    <w:rsid w:val="007A6DBA"/>
    <w:rsid w:val="007B19B1"/>
    <w:rsid w:val="007B2958"/>
    <w:rsid w:val="007B2DFF"/>
    <w:rsid w:val="007B6827"/>
    <w:rsid w:val="007B719C"/>
    <w:rsid w:val="007C090B"/>
    <w:rsid w:val="007C1CE3"/>
    <w:rsid w:val="007C1DC9"/>
    <w:rsid w:val="007C423C"/>
    <w:rsid w:val="007D0D75"/>
    <w:rsid w:val="007E603C"/>
    <w:rsid w:val="007E645B"/>
    <w:rsid w:val="007F735A"/>
    <w:rsid w:val="00801D2E"/>
    <w:rsid w:val="008024ED"/>
    <w:rsid w:val="008049C3"/>
    <w:rsid w:val="008054E4"/>
    <w:rsid w:val="00806E5F"/>
    <w:rsid w:val="00810A48"/>
    <w:rsid w:val="00825668"/>
    <w:rsid w:val="00846856"/>
    <w:rsid w:val="00846D23"/>
    <w:rsid w:val="00846D6E"/>
    <w:rsid w:val="00853345"/>
    <w:rsid w:val="008601F7"/>
    <w:rsid w:val="00864209"/>
    <w:rsid w:val="00872673"/>
    <w:rsid w:val="00877321"/>
    <w:rsid w:val="008824B9"/>
    <w:rsid w:val="0088315D"/>
    <w:rsid w:val="00884205"/>
    <w:rsid w:val="008846BF"/>
    <w:rsid w:val="00885DDF"/>
    <w:rsid w:val="00886BB5"/>
    <w:rsid w:val="00895370"/>
    <w:rsid w:val="00897619"/>
    <w:rsid w:val="008A3B3F"/>
    <w:rsid w:val="008A6A40"/>
    <w:rsid w:val="008B5BFB"/>
    <w:rsid w:val="008B6B12"/>
    <w:rsid w:val="008C0BE0"/>
    <w:rsid w:val="008C2999"/>
    <w:rsid w:val="008C60EE"/>
    <w:rsid w:val="008C6D50"/>
    <w:rsid w:val="008C6F68"/>
    <w:rsid w:val="008D7BF2"/>
    <w:rsid w:val="008E05A3"/>
    <w:rsid w:val="008F0174"/>
    <w:rsid w:val="008F6A79"/>
    <w:rsid w:val="00900F2B"/>
    <w:rsid w:val="00901475"/>
    <w:rsid w:val="00903A6C"/>
    <w:rsid w:val="00912C13"/>
    <w:rsid w:val="0091527A"/>
    <w:rsid w:val="009169BC"/>
    <w:rsid w:val="00923AFE"/>
    <w:rsid w:val="00927277"/>
    <w:rsid w:val="00930CD7"/>
    <w:rsid w:val="00932C7B"/>
    <w:rsid w:val="00936A34"/>
    <w:rsid w:val="00940713"/>
    <w:rsid w:val="0094239F"/>
    <w:rsid w:val="0095496F"/>
    <w:rsid w:val="00956501"/>
    <w:rsid w:val="0096287E"/>
    <w:rsid w:val="00965BD4"/>
    <w:rsid w:val="00966DC4"/>
    <w:rsid w:val="009714AA"/>
    <w:rsid w:val="0097519C"/>
    <w:rsid w:val="0098535B"/>
    <w:rsid w:val="0099561C"/>
    <w:rsid w:val="00995F44"/>
    <w:rsid w:val="00997320"/>
    <w:rsid w:val="009A1603"/>
    <w:rsid w:val="009A4227"/>
    <w:rsid w:val="009A6925"/>
    <w:rsid w:val="009B039E"/>
    <w:rsid w:val="009B11BB"/>
    <w:rsid w:val="009B15A1"/>
    <w:rsid w:val="009C5158"/>
    <w:rsid w:val="009C5183"/>
    <w:rsid w:val="009C6E6C"/>
    <w:rsid w:val="009C782B"/>
    <w:rsid w:val="009D46D7"/>
    <w:rsid w:val="009D4B87"/>
    <w:rsid w:val="009D4FA5"/>
    <w:rsid w:val="009E083E"/>
    <w:rsid w:val="009F0055"/>
    <w:rsid w:val="009F07CC"/>
    <w:rsid w:val="009F18CE"/>
    <w:rsid w:val="009F1D27"/>
    <w:rsid w:val="009F5625"/>
    <w:rsid w:val="00A012A5"/>
    <w:rsid w:val="00A0461B"/>
    <w:rsid w:val="00A04E02"/>
    <w:rsid w:val="00A06A89"/>
    <w:rsid w:val="00A135BE"/>
    <w:rsid w:val="00A16FE8"/>
    <w:rsid w:val="00A32B81"/>
    <w:rsid w:val="00A35C98"/>
    <w:rsid w:val="00A36290"/>
    <w:rsid w:val="00A52342"/>
    <w:rsid w:val="00A5331A"/>
    <w:rsid w:val="00A619B4"/>
    <w:rsid w:val="00A7049C"/>
    <w:rsid w:val="00A779F9"/>
    <w:rsid w:val="00A80135"/>
    <w:rsid w:val="00A8381C"/>
    <w:rsid w:val="00AA0A20"/>
    <w:rsid w:val="00AA159E"/>
    <w:rsid w:val="00AA2B6A"/>
    <w:rsid w:val="00AA32C2"/>
    <w:rsid w:val="00AA373E"/>
    <w:rsid w:val="00AA5025"/>
    <w:rsid w:val="00AA6CAF"/>
    <w:rsid w:val="00AA7CA2"/>
    <w:rsid w:val="00AB0594"/>
    <w:rsid w:val="00AB2166"/>
    <w:rsid w:val="00AB3F13"/>
    <w:rsid w:val="00AB43D9"/>
    <w:rsid w:val="00AB5DA1"/>
    <w:rsid w:val="00AB7F16"/>
    <w:rsid w:val="00AC0126"/>
    <w:rsid w:val="00AC134B"/>
    <w:rsid w:val="00AC7988"/>
    <w:rsid w:val="00AD12AC"/>
    <w:rsid w:val="00AD57B2"/>
    <w:rsid w:val="00AD70E4"/>
    <w:rsid w:val="00AE2F4F"/>
    <w:rsid w:val="00AF30BD"/>
    <w:rsid w:val="00AF4EED"/>
    <w:rsid w:val="00B00CE0"/>
    <w:rsid w:val="00B0594B"/>
    <w:rsid w:val="00B122EA"/>
    <w:rsid w:val="00B30E00"/>
    <w:rsid w:val="00B324A5"/>
    <w:rsid w:val="00B33033"/>
    <w:rsid w:val="00B3608A"/>
    <w:rsid w:val="00B3718E"/>
    <w:rsid w:val="00B3773F"/>
    <w:rsid w:val="00B40F2C"/>
    <w:rsid w:val="00B4551C"/>
    <w:rsid w:val="00B460AF"/>
    <w:rsid w:val="00B52010"/>
    <w:rsid w:val="00B53CBF"/>
    <w:rsid w:val="00B574E7"/>
    <w:rsid w:val="00B6108B"/>
    <w:rsid w:val="00B64488"/>
    <w:rsid w:val="00B65EAD"/>
    <w:rsid w:val="00B662B2"/>
    <w:rsid w:val="00B6763B"/>
    <w:rsid w:val="00B67CBD"/>
    <w:rsid w:val="00B72C4F"/>
    <w:rsid w:val="00B730FD"/>
    <w:rsid w:val="00B743BC"/>
    <w:rsid w:val="00B75C89"/>
    <w:rsid w:val="00B81192"/>
    <w:rsid w:val="00B85267"/>
    <w:rsid w:val="00B921A8"/>
    <w:rsid w:val="00B95B8A"/>
    <w:rsid w:val="00BA7422"/>
    <w:rsid w:val="00BB023E"/>
    <w:rsid w:val="00BC4FFF"/>
    <w:rsid w:val="00BC6CE0"/>
    <w:rsid w:val="00BC7EEE"/>
    <w:rsid w:val="00BD19AE"/>
    <w:rsid w:val="00BE349D"/>
    <w:rsid w:val="00BE50FE"/>
    <w:rsid w:val="00BE5958"/>
    <w:rsid w:val="00BE6221"/>
    <w:rsid w:val="00BF071D"/>
    <w:rsid w:val="00BF0D1C"/>
    <w:rsid w:val="00BF6A3C"/>
    <w:rsid w:val="00C01E1C"/>
    <w:rsid w:val="00C02E48"/>
    <w:rsid w:val="00C23A75"/>
    <w:rsid w:val="00C27EF9"/>
    <w:rsid w:val="00C3018F"/>
    <w:rsid w:val="00C30671"/>
    <w:rsid w:val="00C32BE1"/>
    <w:rsid w:val="00C3461A"/>
    <w:rsid w:val="00C47696"/>
    <w:rsid w:val="00C577C8"/>
    <w:rsid w:val="00C60CDB"/>
    <w:rsid w:val="00C63E30"/>
    <w:rsid w:val="00C73967"/>
    <w:rsid w:val="00C84877"/>
    <w:rsid w:val="00C867F6"/>
    <w:rsid w:val="00C86858"/>
    <w:rsid w:val="00C94023"/>
    <w:rsid w:val="00C96EBF"/>
    <w:rsid w:val="00CA196A"/>
    <w:rsid w:val="00CB0E94"/>
    <w:rsid w:val="00CB3E04"/>
    <w:rsid w:val="00CB4495"/>
    <w:rsid w:val="00CB4852"/>
    <w:rsid w:val="00CB51ED"/>
    <w:rsid w:val="00CC6623"/>
    <w:rsid w:val="00CC6D97"/>
    <w:rsid w:val="00CD168B"/>
    <w:rsid w:val="00CD31A0"/>
    <w:rsid w:val="00CD5D90"/>
    <w:rsid w:val="00CE09F8"/>
    <w:rsid w:val="00CE1C9D"/>
    <w:rsid w:val="00CE55A3"/>
    <w:rsid w:val="00CF166A"/>
    <w:rsid w:val="00CF788E"/>
    <w:rsid w:val="00D00569"/>
    <w:rsid w:val="00D00A88"/>
    <w:rsid w:val="00D026C6"/>
    <w:rsid w:val="00D03FDF"/>
    <w:rsid w:val="00D102A7"/>
    <w:rsid w:val="00D11793"/>
    <w:rsid w:val="00D11F25"/>
    <w:rsid w:val="00D1288A"/>
    <w:rsid w:val="00D14E06"/>
    <w:rsid w:val="00D15473"/>
    <w:rsid w:val="00D164FC"/>
    <w:rsid w:val="00D23414"/>
    <w:rsid w:val="00D30F97"/>
    <w:rsid w:val="00D33169"/>
    <w:rsid w:val="00D333B8"/>
    <w:rsid w:val="00D3371B"/>
    <w:rsid w:val="00D353F4"/>
    <w:rsid w:val="00D357B5"/>
    <w:rsid w:val="00D44EA3"/>
    <w:rsid w:val="00D56B5D"/>
    <w:rsid w:val="00D63793"/>
    <w:rsid w:val="00D65339"/>
    <w:rsid w:val="00D71BAE"/>
    <w:rsid w:val="00D73611"/>
    <w:rsid w:val="00D76B5D"/>
    <w:rsid w:val="00D90018"/>
    <w:rsid w:val="00D90810"/>
    <w:rsid w:val="00D9384B"/>
    <w:rsid w:val="00DB5B90"/>
    <w:rsid w:val="00DB6D67"/>
    <w:rsid w:val="00DC2093"/>
    <w:rsid w:val="00DC44E3"/>
    <w:rsid w:val="00DC5C22"/>
    <w:rsid w:val="00DD7781"/>
    <w:rsid w:val="00DE5E8F"/>
    <w:rsid w:val="00DF6DCB"/>
    <w:rsid w:val="00E1103E"/>
    <w:rsid w:val="00E24BAB"/>
    <w:rsid w:val="00E32625"/>
    <w:rsid w:val="00E32971"/>
    <w:rsid w:val="00E36167"/>
    <w:rsid w:val="00E40C99"/>
    <w:rsid w:val="00E44C47"/>
    <w:rsid w:val="00E45BEB"/>
    <w:rsid w:val="00E47C31"/>
    <w:rsid w:val="00E50968"/>
    <w:rsid w:val="00E526A4"/>
    <w:rsid w:val="00E567DA"/>
    <w:rsid w:val="00E61669"/>
    <w:rsid w:val="00E642F2"/>
    <w:rsid w:val="00E70AD3"/>
    <w:rsid w:val="00E77893"/>
    <w:rsid w:val="00E81663"/>
    <w:rsid w:val="00E9155E"/>
    <w:rsid w:val="00E973F5"/>
    <w:rsid w:val="00EA19B2"/>
    <w:rsid w:val="00EA3706"/>
    <w:rsid w:val="00EA4C31"/>
    <w:rsid w:val="00EA6493"/>
    <w:rsid w:val="00EB2170"/>
    <w:rsid w:val="00EB2A33"/>
    <w:rsid w:val="00EB41E9"/>
    <w:rsid w:val="00EB5EBC"/>
    <w:rsid w:val="00EB72EE"/>
    <w:rsid w:val="00EC5EC9"/>
    <w:rsid w:val="00EC7D22"/>
    <w:rsid w:val="00ED12C3"/>
    <w:rsid w:val="00ED3AC7"/>
    <w:rsid w:val="00ED4401"/>
    <w:rsid w:val="00EE0462"/>
    <w:rsid w:val="00EE1252"/>
    <w:rsid w:val="00EE47FF"/>
    <w:rsid w:val="00EE7911"/>
    <w:rsid w:val="00EF2384"/>
    <w:rsid w:val="00EF6617"/>
    <w:rsid w:val="00F00FD8"/>
    <w:rsid w:val="00F121C2"/>
    <w:rsid w:val="00F22144"/>
    <w:rsid w:val="00F22E8B"/>
    <w:rsid w:val="00F242D5"/>
    <w:rsid w:val="00F31120"/>
    <w:rsid w:val="00F3136E"/>
    <w:rsid w:val="00F31D67"/>
    <w:rsid w:val="00F324E0"/>
    <w:rsid w:val="00F43FF3"/>
    <w:rsid w:val="00F47D5E"/>
    <w:rsid w:val="00F5124B"/>
    <w:rsid w:val="00F528A2"/>
    <w:rsid w:val="00F62FA4"/>
    <w:rsid w:val="00F71040"/>
    <w:rsid w:val="00F71A6A"/>
    <w:rsid w:val="00F72033"/>
    <w:rsid w:val="00F7345B"/>
    <w:rsid w:val="00F73D18"/>
    <w:rsid w:val="00F741AF"/>
    <w:rsid w:val="00F7696F"/>
    <w:rsid w:val="00F77E2D"/>
    <w:rsid w:val="00F800EC"/>
    <w:rsid w:val="00F8114A"/>
    <w:rsid w:val="00F83549"/>
    <w:rsid w:val="00F90148"/>
    <w:rsid w:val="00F94742"/>
    <w:rsid w:val="00F94A37"/>
    <w:rsid w:val="00FA13B2"/>
    <w:rsid w:val="00FA4DCD"/>
    <w:rsid w:val="00FD3E2F"/>
    <w:rsid w:val="00FE6E31"/>
    <w:rsid w:val="00FE7799"/>
    <w:rsid w:val="00FF14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4B9"/>
    <w:pPr>
      <w:suppressAutoHyphens/>
    </w:pPr>
    <w:rPr>
      <w:sz w:val="24"/>
      <w:lang w:val="en-GB" w:eastAsia="fr-FR"/>
    </w:rPr>
  </w:style>
  <w:style w:type="paragraph" w:styleId="Heading1">
    <w:name w:val="heading 1"/>
    <w:basedOn w:val="Normal"/>
    <w:next w:val="Normal"/>
    <w:qFormat/>
    <w:rsid w:val="008824B9"/>
    <w:pPr>
      <w:keepNext/>
      <w:spacing w:before="360" w:after="240"/>
      <w:jc w:val="center"/>
      <w:outlineLvl w:val="0"/>
    </w:pPr>
    <w:rPr>
      <w:b/>
      <w:sz w:val="28"/>
    </w:rPr>
  </w:style>
  <w:style w:type="paragraph" w:styleId="Heading2">
    <w:name w:val="heading 2"/>
    <w:basedOn w:val="Normal"/>
    <w:next w:val="Normal"/>
    <w:qFormat/>
    <w:rsid w:val="008824B9"/>
    <w:pPr>
      <w:keepNext/>
      <w:spacing w:before="240" w:after="120"/>
      <w:ind w:left="284" w:hanging="284"/>
      <w:outlineLvl w:val="1"/>
    </w:pPr>
    <w:rPr>
      <w:b/>
    </w:rPr>
  </w:style>
  <w:style w:type="paragraph" w:styleId="Heading3">
    <w:name w:val="heading 3"/>
    <w:basedOn w:val="Normal"/>
    <w:next w:val="Normal"/>
    <w:qFormat/>
    <w:rsid w:val="008824B9"/>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824B9"/>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8824B9"/>
  </w:style>
  <w:style w:type="paragraph" w:customStyle="1" w:styleId="OpiHA">
    <w:name w:val="Opi_H_A"/>
    <w:basedOn w:val="JuHIRoman"/>
    <w:next w:val="OpiPara"/>
    <w:rsid w:val="00302008"/>
    <w:pPr>
      <w:tabs>
        <w:tab w:val="clear" w:pos="357"/>
      </w:tabs>
    </w:pPr>
    <w:rPr>
      <w:b/>
    </w:rPr>
  </w:style>
  <w:style w:type="paragraph" w:customStyle="1" w:styleId="JuHIRoman">
    <w:name w:val="Ju_H_I_Roman"/>
    <w:basedOn w:val="JuHHead"/>
    <w:next w:val="JuPara"/>
    <w:link w:val="JuHIRomanChar"/>
    <w:rsid w:val="00D1288A"/>
    <w:pPr>
      <w:tabs>
        <w:tab w:val="left" w:pos="357"/>
      </w:tabs>
      <w:spacing w:before="360"/>
      <w:ind w:left="357" w:hanging="357"/>
      <w:outlineLvl w:val="1"/>
    </w:pPr>
    <w:rPr>
      <w:sz w:val="24"/>
    </w:rPr>
  </w:style>
  <w:style w:type="paragraph" w:customStyle="1" w:styleId="JuHHead">
    <w:name w:val="Ju_H_Head"/>
    <w:basedOn w:val="NormalTimesNewRoman"/>
    <w:next w:val="JuPara"/>
    <w:rsid w:val="00D1288A"/>
    <w:pPr>
      <w:keepNext/>
      <w:keepLines/>
      <w:spacing w:before="720" w:after="240"/>
      <w:jc w:val="both"/>
      <w:outlineLvl w:val="0"/>
    </w:pPr>
    <w:rPr>
      <w:sz w:val="28"/>
    </w:rPr>
  </w:style>
  <w:style w:type="character" w:customStyle="1" w:styleId="DefaultTimesNewRoman">
    <w:name w:val="Default_TimesNewRoman"/>
    <w:rsid w:val="00D1288A"/>
    <w:rPr>
      <w:rFonts w:ascii="Times New Roman" w:hAnsi="Times New Roman"/>
    </w:rPr>
  </w:style>
  <w:style w:type="paragraph" w:customStyle="1" w:styleId="JuPara">
    <w:name w:val="Ju_Para"/>
    <w:aliases w:val="Left,First line:  0 cm"/>
    <w:basedOn w:val="NormalTimesNewRoman"/>
    <w:link w:val="JuParaChar"/>
    <w:rsid w:val="00D1288A"/>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302008"/>
  </w:style>
  <w:style w:type="paragraph" w:customStyle="1" w:styleId="OpiH1">
    <w:name w:val="Opi_H_1."/>
    <w:basedOn w:val="OpiHA"/>
    <w:next w:val="OpiPara"/>
    <w:rsid w:val="00302008"/>
    <w:pPr>
      <w:spacing w:before="240" w:after="120"/>
      <w:ind w:left="635"/>
      <w:outlineLvl w:val="2"/>
    </w:pPr>
    <w:rPr>
      <w:b w:val="0"/>
      <w:i/>
    </w:rPr>
  </w:style>
  <w:style w:type="paragraph" w:customStyle="1" w:styleId="OpiHa0">
    <w:name w:val="Opi_H_a"/>
    <w:basedOn w:val="OpiH1"/>
    <w:next w:val="OpiPara"/>
    <w:rsid w:val="00302008"/>
    <w:pPr>
      <w:ind w:left="833"/>
      <w:outlineLvl w:val="3"/>
    </w:pPr>
    <w:rPr>
      <w:b/>
      <w:i w:val="0"/>
      <w:sz w:val="20"/>
    </w:rPr>
  </w:style>
  <w:style w:type="paragraph" w:customStyle="1" w:styleId="OpiHHead">
    <w:name w:val="Opi_H_Head"/>
    <w:basedOn w:val="JuHHead"/>
    <w:next w:val="OpiPara"/>
    <w:rsid w:val="00302008"/>
    <w:pPr>
      <w:spacing w:before="0"/>
      <w:jc w:val="center"/>
    </w:pPr>
  </w:style>
  <w:style w:type="paragraph" w:customStyle="1" w:styleId="OpiHi">
    <w:name w:val="Opi_H_i"/>
    <w:basedOn w:val="OpiHa0"/>
    <w:next w:val="OpiPara"/>
    <w:rsid w:val="00302008"/>
    <w:pPr>
      <w:ind w:left="1037"/>
      <w:outlineLvl w:val="4"/>
    </w:pPr>
    <w:rPr>
      <w:b w:val="0"/>
      <w:i/>
    </w:rPr>
  </w:style>
  <w:style w:type="paragraph" w:styleId="Footer">
    <w:name w:val="footer"/>
    <w:basedOn w:val="NormalTimesNewRoman"/>
    <w:rsid w:val="00D1288A"/>
    <w:pPr>
      <w:tabs>
        <w:tab w:val="center" w:pos="3686"/>
        <w:tab w:val="right" w:pos="7371"/>
      </w:tabs>
    </w:pPr>
    <w:rPr>
      <w:sz w:val="18"/>
    </w:rPr>
  </w:style>
  <w:style w:type="paragraph" w:customStyle="1" w:styleId="JuJudges">
    <w:name w:val="Ju_Judges"/>
    <w:basedOn w:val="NormalTimesNewRoman"/>
    <w:link w:val="JuJudgesChar"/>
    <w:rsid w:val="00D1288A"/>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rsid w:val="00D1288A"/>
    <w:pPr>
      <w:tabs>
        <w:tab w:val="clear" w:pos="357"/>
        <w:tab w:val="left" w:pos="584"/>
      </w:tabs>
      <w:ind w:left="584" w:hanging="352"/>
      <w:outlineLvl w:val="2"/>
    </w:pPr>
    <w:rPr>
      <w:b/>
    </w:rPr>
  </w:style>
  <w:style w:type="paragraph" w:customStyle="1" w:styleId="JuQuot">
    <w:name w:val="Ju_Quot"/>
    <w:basedOn w:val="JuPara"/>
    <w:link w:val="JuQuotChar"/>
    <w:rsid w:val="00D1288A"/>
    <w:pPr>
      <w:spacing w:before="120" w:after="120"/>
      <w:ind w:left="425" w:firstLine="142"/>
    </w:pPr>
    <w:rPr>
      <w:sz w:val="20"/>
    </w:rPr>
  </w:style>
  <w:style w:type="paragraph" w:customStyle="1" w:styleId="JuSigned">
    <w:name w:val="Ju_Signed"/>
    <w:basedOn w:val="NormalTimesNewRoman"/>
    <w:next w:val="JuParaLast"/>
    <w:link w:val="JuSignedChar"/>
    <w:rsid w:val="00D1288A"/>
    <w:pPr>
      <w:tabs>
        <w:tab w:val="center" w:pos="851"/>
        <w:tab w:val="center" w:pos="6407"/>
      </w:tabs>
      <w:spacing w:before="720"/>
    </w:pPr>
  </w:style>
  <w:style w:type="paragraph" w:customStyle="1" w:styleId="JuParaLast">
    <w:name w:val="Ju_Para_Last"/>
    <w:basedOn w:val="JuPara"/>
    <w:next w:val="JuPara"/>
    <w:rsid w:val="00D1288A"/>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D1288A"/>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D1288A"/>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D1288A"/>
    <w:pPr>
      <w:ind w:left="0" w:firstLine="0"/>
      <w:jc w:val="center"/>
    </w:pPr>
  </w:style>
  <w:style w:type="paragraph" w:customStyle="1" w:styleId="JuHa0">
    <w:name w:val="Ju_H_a"/>
    <w:basedOn w:val="JuH1"/>
    <w:next w:val="JuPara"/>
    <w:rsid w:val="00D1288A"/>
    <w:pPr>
      <w:tabs>
        <w:tab w:val="clear" w:pos="731"/>
        <w:tab w:val="left" w:pos="975"/>
      </w:tabs>
      <w:ind w:left="975" w:hanging="340"/>
      <w:outlineLvl w:val="4"/>
    </w:pPr>
    <w:rPr>
      <w:b/>
      <w:i w:val="0"/>
      <w:sz w:val="20"/>
    </w:rPr>
  </w:style>
  <w:style w:type="paragraph" w:customStyle="1" w:styleId="JuH1">
    <w:name w:val="Ju_H_1."/>
    <w:basedOn w:val="JuHA"/>
    <w:next w:val="JuPara"/>
    <w:rsid w:val="00D1288A"/>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D1288A"/>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302008"/>
  </w:style>
  <w:style w:type="paragraph" w:customStyle="1" w:styleId="OpiTranslation">
    <w:name w:val="Opi_Translation"/>
    <w:basedOn w:val="OpiHHead"/>
    <w:next w:val="OpiPara"/>
    <w:rsid w:val="00302008"/>
    <w:rPr>
      <w:i/>
      <w:sz w:val="24"/>
    </w:rPr>
  </w:style>
  <w:style w:type="paragraph" w:styleId="FootnoteText">
    <w:name w:val="footnote text"/>
    <w:basedOn w:val="Normal"/>
    <w:semiHidden/>
    <w:rsid w:val="00D1288A"/>
    <w:pPr>
      <w:jc w:val="both"/>
    </w:pPr>
    <w:rPr>
      <w:sz w:val="20"/>
    </w:rPr>
  </w:style>
  <w:style w:type="character" w:styleId="FootnoteReference">
    <w:name w:val="footnote reference"/>
    <w:semiHidden/>
    <w:rsid w:val="00D1288A"/>
    <w:rPr>
      <w:vertAlign w:val="superscript"/>
    </w:rPr>
  </w:style>
  <w:style w:type="paragraph" w:customStyle="1" w:styleId="JuHi">
    <w:name w:val="Ju_H_i"/>
    <w:basedOn w:val="JuHa0"/>
    <w:next w:val="JuPara"/>
    <w:rsid w:val="00D1288A"/>
    <w:pPr>
      <w:tabs>
        <w:tab w:val="clear" w:pos="975"/>
        <w:tab w:val="left" w:pos="1191"/>
      </w:tabs>
      <w:ind w:left="1190" w:hanging="357"/>
      <w:outlineLvl w:val="5"/>
    </w:pPr>
    <w:rPr>
      <w:b w:val="0"/>
      <w:i/>
    </w:rPr>
  </w:style>
  <w:style w:type="paragraph" w:styleId="Header">
    <w:name w:val="header"/>
    <w:basedOn w:val="NormalTimesNewRoman"/>
    <w:rsid w:val="00D1288A"/>
    <w:pPr>
      <w:tabs>
        <w:tab w:val="center" w:pos="3686"/>
        <w:tab w:val="right" w:pos="7371"/>
      </w:tabs>
    </w:pPr>
    <w:rPr>
      <w:sz w:val="18"/>
    </w:rPr>
  </w:style>
  <w:style w:type="character" w:styleId="PageNumber">
    <w:name w:val="page number"/>
    <w:rsid w:val="00D1288A"/>
    <w:rPr>
      <w:sz w:val="18"/>
    </w:rPr>
  </w:style>
  <w:style w:type="paragraph" w:customStyle="1" w:styleId="JuH">
    <w:name w:val="Ju_H_–"/>
    <w:basedOn w:val="JuHalpha"/>
    <w:next w:val="JuPara"/>
    <w:rsid w:val="00D1288A"/>
    <w:pPr>
      <w:tabs>
        <w:tab w:val="clear" w:pos="1372"/>
      </w:tabs>
      <w:ind w:left="1236" w:firstLine="0"/>
    </w:pPr>
    <w:rPr>
      <w:i/>
    </w:rPr>
  </w:style>
  <w:style w:type="paragraph" w:customStyle="1" w:styleId="JuHalpha">
    <w:name w:val="Ju_H_alpha"/>
    <w:basedOn w:val="JuHi"/>
    <w:next w:val="JuPara"/>
    <w:rsid w:val="00D1288A"/>
    <w:pPr>
      <w:tabs>
        <w:tab w:val="clear" w:pos="1191"/>
        <w:tab w:val="left" w:pos="1372"/>
      </w:tabs>
      <w:ind w:left="1373" w:hanging="335"/>
    </w:pPr>
    <w:rPr>
      <w:i w:val="0"/>
    </w:rPr>
  </w:style>
  <w:style w:type="paragraph" w:customStyle="1" w:styleId="JuLista">
    <w:name w:val="Ju_List_a"/>
    <w:basedOn w:val="JuList"/>
    <w:rsid w:val="00D1288A"/>
    <w:pPr>
      <w:ind w:left="346" w:firstLine="0"/>
    </w:pPr>
  </w:style>
  <w:style w:type="paragraph" w:customStyle="1" w:styleId="JuListi">
    <w:name w:val="Ju_List_i"/>
    <w:basedOn w:val="JuLista"/>
    <w:rsid w:val="00D1288A"/>
    <w:pPr>
      <w:ind w:left="794"/>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D1288A"/>
    <w:pPr>
      <w:tabs>
        <w:tab w:val="clear" w:pos="851"/>
      </w:tabs>
      <w:jc w:val="right"/>
    </w:pPr>
  </w:style>
  <w:style w:type="paragraph" w:customStyle="1" w:styleId="JuHeader">
    <w:name w:val="Ju_Header"/>
    <w:basedOn w:val="Header"/>
    <w:rsid w:val="00D1288A"/>
  </w:style>
  <w:style w:type="paragraph" w:customStyle="1" w:styleId="DecHTitle">
    <w:name w:val="Dec_H_Title"/>
    <w:basedOn w:val="Normal"/>
    <w:rsid w:val="0037228D"/>
    <w:pPr>
      <w:spacing w:after="240"/>
      <w:jc w:val="center"/>
      <w:outlineLvl w:val="0"/>
    </w:pPr>
    <w:rPr>
      <w:sz w:val="28"/>
    </w:rPr>
  </w:style>
  <w:style w:type="paragraph" w:customStyle="1" w:styleId="DecHCase">
    <w:name w:val="Dec_H_Case"/>
    <w:basedOn w:val="DecHTitle"/>
    <w:next w:val="JuPara"/>
    <w:rsid w:val="00302008"/>
    <w:rPr>
      <w:sz w:val="24"/>
    </w:rPr>
  </w:style>
  <w:style w:type="paragraph" w:customStyle="1" w:styleId="DecList">
    <w:name w:val="Dec_List"/>
    <w:basedOn w:val="Normal"/>
    <w:rsid w:val="0037228D"/>
    <w:pPr>
      <w:spacing w:before="240"/>
      <w:ind w:left="284"/>
      <w:jc w:val="both"/>
    </w:pPr>
  </w:style>
  <w:style w:type="paragraph" w:customStyle="1" w:styleId="JuParaSub">
    <w:name w:val="Ju_Para_Sub"/>
    <w:basedOn w:val="JuPara"/>
    <w:rsid w:val="00D1288A"/>
    <w:pPr>
      <w:ind w:left="284"/>
    </w:pPr>
    <w:rPr>
      <w:szCs w:val="24"/>
    </w:rPr>
  </w:style>
  <w:style w:type="paragraph" w:customStyle="1" w:styleId="JuQuotSub">
    <w:name w:val="Ju_Quot_Sub"/>
    <w:basedOn w:val="JuQuot"/>
    <w:rsid w:val="00D1288A"/>
    <w:pPr>
      <w:ind w:left="567"/>
    </w:pPr>
  </w:style>
  <w:style w:type="paragraph" w:styleId="BalloonText">
    <w:name w:val="Balloon Text"/>
    <w:basedOn w:val="Normal"/>
    <w:semiHidden/>
    <w:rsid w:val="00457A18"/>
    <w:rPr>
      <w:rFonts w:ascii="Tahoma" w:hAnsi="Tahoma" w:cs="Tahoma"/>
      <w:sz w:val="16"/>
      <w:szCs w:val="16"/>
    </w:rPr>
  </w:style>
  <w:style w:type="paragraph" w:styleId="CommentSubject">
    <w:name w:val="annotation subject"/>
    <w:basedOn w:val="CommentText"/>
    <w:next w:val="CommentText"/>
    <w:semiHidden/>
    <w:rsid w:val="00D353F4"/>
    <w:rPr>
      <w:b/>
      <w:bCs/>
    </w:rPr>
  </w:style>
  <w:style w:type="character" w:styleId="EndnoteReference">
    <w:name w:val="endnote reference"/>
    <w:semiHidden/>
    <w:rsid w:val="00D1288A"/>
    <w:rPr>
      <w:vertAlign w:val="superscript"/>
    </w:rPr>
  </w:style>
  <w:style w:type="paragraph" w:styleId="EndnoteText">
    <w:name w:val="endnote text"/>
    <w:basedOn w:val="Normal"/>
    <w:semiHidden/>
    <w:rsid w:val="00D1288A"/>
    <w:rPr>
      <w:sz w:val="20"/>
    </w:rPr>
  </w:style>
  <w:style w:type="character" w:styleId="FollowedHyperlink">
    <w:name w:val="FollowedHyperlink"/>
    <w:rsid w:val="00D1288A"/>
    <w:rPr>
      <w:color w:val="800080"/>
      <w:u w:val="single"/>
    </w:rPr>
  </w:style>
  <w:style w:type="paragraph" w:customStyle="1" w:styleId="SuCoverTitle1">
    <w:name w:val="Su_Cover_Title1"/>
    <w:basedOn w:val="Normal"/>
    <w:next w:val="SuCoverTitle2"/>
    <w:rsid w:val="0037228D"/>
    <w:pPr>
      <w:spacing w:before="2500"/>
      <w:jc w:val="center"/>
    </w:pPr>
    <w:rPr>
      <w:sz w:val="22"/>
    </w:rPr>
  </w:style>
  <w:style w:type="paragraph" w:customStyle="1" w:styleId="SuCoverTitle2">
    <w:name w:val="Su_Cover_Title2"/>
    <w:basedOn w:val="SuCoverTitle1"/>
    <w:next w:val="Normal"/>
    <w:rsid w:val="00864209"/>
    <w:pPr>
      <w:spacing w:before="240"/>
    </w:pPr>
    <w:rPr>
      <w:sz w:val="18"/>
    </w:rPr>
  </w:style>
  <w:style w:type="paragraph" w:customStyle="1" w:styleId="SuPara">
    <w:name w:val="Su_Para"/>
    <w:basedOn w:val="SuKeywords"/>
    <w:rsid w:val="00864209"/>
    <w:pPr>
      <w:spacing w:before="0" w:after="0"/>
    </w:pPr>
    <w:rPr>
      <w:i w:val="0"/>
    </w:rPr>
  </w:style>
  <w:style w:type="paragraph" w:customStyle="1" w:styleId="SuKeywords">
    <w:name w:val="Su_Keywords"/>
    <w:basedOn w:val="SuHHead"/>
    <w:rsid w:val="00864209"/>
    <w:pPr>
      <w:spacing w:before="120"/>
    </w:pPr>
    <w:rPr>
      <w:b w:val="0"/>
      <w:i/>
    </w:rPr>
  </w:style>
  <w:style w:type="paragraph" w:customStyle="1" w:styleId="SuHHead">
    <w:name w:val="Su_H_Head"/>
    <w:basedOn w:val="SuSubject"/>
    <w:rsid w:val="00864209"/>
    <w:pPr>
      <w:spacing w:after="120"/>
    </w:pPr>
  </w:style>
  <w:style w:type="paragraph" w:customStyle="1" w:styleId="SuSubject">
    <w:name w:val="Su_Subject"/>
    <w:basedOn w:val="SuSummary"/>
    <w:rsid w:val="00864209"/>
    <w:pPr>
      <w:suppressAutoHyphens w:val="0"/>
      <w:spacing w:before="360"/>
      <w:jc w:val="both"/>
    </w:pPr>
    <w:rPr>
      <w:b/>
      <w:sz w:val="22"/>
    </w:rPr>
  </w:style>
  <w:style w:type="paragraph" w:customStyle="1" w:styleId="SuSummary">
    <w:name w:val="Su_Summary"/>
    <w:basedOn w:val="Normal"/>
    <w:next w:val="SuSubject"/>
    <w:rsid w:val="0037228D"/>
    <w:pPr>
      <w:spacing w:after="240"/>
      <w:jc w:val="center"/>
    </w:pPr>
  </w:style>
  <w:style w:type="paragraph" w:customStyle="1" w:styleId="OpiParaSub">
    <w:name w:val="Opi_Para_Sub"/>
    <w:basedOn w:val="JuParaSub"/>
    <w:rsid w:val="00302008"/>
  </w:style>
  <w:style w:type="paragraph" w:customStyle="1" w:styleId="OpiQuotSub">
    <w:name w:val="Opi_Quot_Sub"/>
    <w:basedOn w:val="JuQuotSub"/>
    <w:rsid w:val="00302008"/>
  </w:style>
  <w:style w:type="character" w:styleId="Hyperlink">
    <w:name w:val="Hyperlink"/>
    <w:rsid w:val="00D1288A"/>
    <w:rPr>
      <w:color w:val="0000FF"/>
      <w:u w:val="single"/>
    </w:rPr>
  </w:style>
  <w:style w:type="character" w:styleId="Strong">
    <w:name w:val="Strong"/>
    <w:qFormat/>
    <w:rsid w:val="00AA7CA2"/>
    <w:rPr>
      <w:b/>
      <w:bCs/>
    </w:rPr>
  </w:style>
  <w:style w:type="paragraph" w:styleId="DocumentMap">
    <w:name w:val="Document Map"/>
    <w:basedOn w:val="Normal"/>
    <w:semiHidden/>
    <w:rsid w:val="008824B9"/>
    <w:pPr>
      <w:shd w:val="clear" w:color="auto" w:fill="000080"/>
    </w:pPr>
    <w:rPr>
      <w:rFonts w:ascii="Tahoma" w:hAnsi="Tahoma" w:cs="Tahoma"/>
      <w:sz w:val="20"/>
    </w:rPr>
  </w:style>
  <w:style w:type="character" w:customStyle="1" w:styleId="JuNames">
    <w:name w:val="Ju_Names"/>
    <w:rsid w:val="00D1288A"/>
    <w:rPr>
      <w:smallCaps/>
    </w:rPr>
  </w:style>
  <w:style w:type="paragraph" w:customStyle="1" w:styleId="NormalJustified">
    <w:name w:val="Normal_Justified"/>
    <w:basedOn w:val="Normal"/>
    <w:rsid w:val="008824B9"/>
    <w:pPr>
      <w:jc w:val="both"/>
    </w:pPr>
  </w:style>
  <w:style w:type="paragraph" w:customStyle="1" w:styleId="JuAppQuestion">
    <w:name w:val="Ju_App_Question"/>
    <w:basedOn w:val="ListBullet"/>
    <w:rsid w:val="00D1288A"/>
    <w:pPr>
      <w:numPr>
        <w:numId w:val="6"/>
      </w:numPr>
      <w:suppressAutoHyphens w:val="0"/>
    </w:pPr>
    <w:rPr>
      <w:b/>
      <w:color w:val="333333"/>
    </w:rPr>
  </w:style>
  <w:style w:type="paragraph" w:styleId="ListBullet">
    <w:name w:val="List Bullet"/>
    <w:basedOn w:val="Normal"/>
    <w:rsid w:val="008824B9"/>
    <w:pPr>
      <w:numPr>
        <w:numId w:val="2"/>
      </w:numPr>
    </w:pPr>
  </w:style>
  <w:style w:type="paragraph" w:customStyle="1" w:styleId="NormalTimesNewRoman">
    <w:name w:val="Normal_TimesNewRoman"/>
    <w:rsid w:val="00D1288A"/>
    <w:rPr>
      <w:sz w:val="24"/>
      <w:lang w:val="en-GB" w:eastAsia="fr-FR"/>
    </w:rPr>
  </w:style>
  <w:style w:type="character" w:customStyle="1" w:styleId="JuITMark">
    <w:name w:val="Ju_ITMark"/>
    <w:rsid w:val="00D1288A"/>
    <w:rPr>
      <w:rFonts w:ascii="Times New Roman" w:hAnsi="Times New Roman"/>
      <w:vanish/>
      <w:color w:val="339966"/>
      <w:sz w:val="16"/>
      <w:szCs w:val="16"/>
      <w:lang w:val="fi-FI"/>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A36290"/>
    <w:rPr>
      <w:sz w:val="24"/>
      <w:lang w:val="en-GB" w:eastAsia="fr-FR" w:bidi="ar-SA"/>
    </w:rPr>
  </w:style>
  <w:style w:type="character" w:customStyle="1" w:styleId="JuHIRomanChar">
    <w:name w:val="Ju_H_I_Roman Char"/>
    <w:link w:val="JuHIRoman"/>
    <w:rsid w:val="00090354"/>
    <w:rPr>
      <w:sz w:val="24"/>
      <w:lang w:val="en-GB" w:eastAsia="fr-FR" w:bidi="ar-SA"/>
    </w:rPr>
  </w:style>
  <w:style w:type="character" w:customStyle="1" w:styleId="JuQuotChar">
    <w:name w:val="Ju_Quot Char"/>
    <w:basedOn w:val="JuParaCar"/>
    <w:link w:val="JuQuot"/>
    <w:rsid w:val="00090354"/>
    <w:rPr>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47FB6E-F0F2-4A98-A5D3-50A0199F7A1E}"/>
</file>

<file path=customXml/itemProps2.xml><?xml version="1.0" encoding="utf-8"?>
<ds:datastoreItem xmlns:ds="http://schemas.openxmlformats.org/officeDocument/2006/customXml" ds:itemID="{46B4AFD9-C56E-4269-A268-26F9A2B1C087}"/>
</file>

<file path=customXml/itemProps3.xml><?xml version="1.0" encoding="utf-8"?>
<ds:datastoreItem xmlns:ds="http://schemas.openxmlformats.org/officeDocument/2006/customXml" ds:itemID="{260CE022-8BD3-483C-81C8-CD2714ADDA03}"/>
</file>

<file path=docProps/app.xml><?xml version="1.0" encoding="utf-8"?>
<Properties xmlns="http://schemas.openxmlformats.org/officeDocument/2006/extended-properties" xmlns:vt="http://schemas.openxmlformats.org/officeDocument/2006/docPropsVTypes">
  <Template>Normal.dotm</Template>
  <TotalTime>2</TotalTime>
  <Pages>1</Pages>
  <Words>9944</Words>
  <Characters>56683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66495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3</cp:revision>
  <cp:lastPrinted>2012-10-05T08:42:00Z</cp:lastPrinted>
  <dcterms:created xsi:type="dcterms:W3CDTF">2015-05-26T09:35:00Z</dcterms:created>
  <dcterms:modified xsi:type="dcterms:W3CDTF">2015-05-26T09:35:00Z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