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2DF" w:rsidP="00042867" w:rsidRDefault="00C512DF">
      <w:pPr>
        <w:jc w:val="center"/>
      </w:pPr>
      <w:bookmarkStart w:name="_GoBack" w:id="0"/>
      <w:bookmarkEnd w:id="0"/>
    </w:p>
    <w:p w:rsidRPr="006C5B93" w:rsidR="00F71A6A" w:rsidP="00042867" w:rsidRDefault="00F71A6A">
      <w:pPr>
        <w:jc w:val="center"/>
      </w:pPr>
    </w:p>
    <w:p w:rsidRPr="006C5B93" w:rsidR="00F71A6A" w:rsidP="00042867" w:rsidRDefault="006C5B93">
      <w:pPr>
        <w:jc w:val="center"/>
      </w:pPr>
      <w:r w:rsidRPr="006C5B93">
        <w:t>FIRST SECTION</w:t>
      </w:r>
    </w:p>
    <w:p w:rsidR="00C512DF" w:rsidP="00042867" w:rsidRDefault="00C512DF">
      <w:pPr>
        <w:jc w:val="center"/>
      </w:pPr>
    </w:p>
    <w:p w:rsidR="00C512DF" w:rsidP="00042867" w:rsidRDefault="00C512DF">
      <w:pPr>
        <w:jc w:val="center"/>
      </w:pPr>
    </w:p>
    <w:p w:rsidR="00C512DF" w:rsidP="00042867" w:rsidRDefault="00C512DF">
      <w:pPr>
        <w:jc w:val="center"/>
      </w:pPr>
    </w:p>
    <w:p w:rsidR="00C512DF" w:rsidP="00042867" w:rsidRDefault="00C512DF">
      <w:pPr>
        <w:jc w:val="center"/>
      </w:pPr>
    </w:p>
    <w:p w:rsidR="00C512DF" w:rsidP="00042867" w:rsidRDefault="00C512DF">
      <w:pPr>
        <w:jc w:val="center"/>
      </w:pPr>
    </w:p>
    <w:p w:rsidRPr="006C5B93" w:rsidR="00F71A6A" w:rsidP="00042867" w:rsidRDefault="00F71A6A">
      <w:pPr>
        <w:jc w:val="center"/>
      </w:pPr>
    </w:p>
    <w:p w:rsidRPr="006C5B93" w:rsidR="00F71A6A" w:rsidP="00042867" w:rsidRDefault="00F71A6A">
      <w:pPr>
        <w:jc w:val="center"/>
        <w:rPr>
          <w:b/>
        </w:rPr>
      </w:pPr>
      <w:bookmarkStart w:name="To" w:id="1"/>
      <w:r w:rsidRPr="006C5B93">
        <w:rPr>
          <w:b/>
        </w:rPr>
        <w:t xml:space="preserve">CASE OF </w:t>
      </w:r>
      <w:bookmarkEnd w:id="1"/>
      <w:r w:rsidR="00B5583B">
        <w:rPr>
          <w:b/>
        </w:rPr>
        <w:t xml:space="preserve">DAMIR </w:t>
      </w:r>
      <w:r w:rsidRPr="006C5B93" w:rsidR="006C5B93">
        <w:rPr>
          <w:b/>
        </w:rPr>
        <w:t xml:space="preserve">SIBGATULLIN v. </w:t>
      </w:r>
      <w:smartTag w:uri="urn:schemas-microsoft-com:office:smarttags" w:element="place">
        <w:smartTag w:uri="urn:schemas-microsoft-com:office:smarttags" w:element="country-region">
          <w:r w:rsidR="006C5B93" w:rsidRPr="006C5B93">
            <w:rPr>
              <w:b/>
            </w:rPr>
            <w:t>RUSSIA</w:t>
          </w:r>
        </w:smartTag>
      </w:smartTag>
    </w:p>
    <w:p w:rsidRPr="006C5B93" w:rsidR="00F71A6A" w:rsidP="00042867" w:rsidRDefault="00F71A6A">
      <w:pPr>
        <w:jc w:val="center"/>
      </w:pPr>
    </w:p>
    <w:p w:rsidRPr="006C5B93" w:rsidR="00F71A6A" w:rsidP="00042867" w:rsidRDefault="00F71A6A">
      <w:pPr>
        <w:jc w:val="center"/>
        <w:rPr>
          <w:i/>
        </w:rPr>
      </w:pPr>
      <w:r w:rsidRPr="006C5B93">
        <w:rPr>
          <w:i/>
        </w:rPr>
        <w:t>(</w:t>
      </w:r>
      <w:r w:rsidRPr="006C5B93" w:rsidR="006C5B93">
        <w:rPr>
          <w:i/>
        </w:rPr>
        <w:t>Application no. 1413/05</w:t>
      </w:r>
      <w:r w:rsidRPr="006C5B93">
        <w:rPr>
          <w:i/>
        </w:rPr>
        <w:t>)</w:t>
      </w:r>
    </w:p>
    <w:p w:rsidRPr="006C5B93" w:rsidR="00F71A6A" w:rsidP="00042867" w:rsidRDefault="00F71A6A">
      <w:pPr>
        <w:jc w:val="center"/>
      </w:pPr>
    </w:p>
    <w:p w:rsidRPr="006C5B93" w:rsidR="00F71A6A" w:rsidP="00042867" w:rsidRDefault="00F71A6A">
      <w:pPr>
        <w:jc w:val="center"/>
      </w:pPr>
    </w:p>
    <w:p w:rsidR="00F71A6A" w:rsidP="00042867" w:rsidRDefault="00F71A6A">
      <w:pPr>
        <w:jc w:val="center"/>
      </w:pPr>
    </w:p>
    <w:p w:rsidR="0071469A" w:rsidP="00042867" w:rsidRDefault="0071469A">
      <w:pPr>
        <w:jc w:val="center"/>
      </w:pPr>
    </w:p>
    <w:p w:rsidR="0071469A" w:rsidP="00042867" w:rsidRDefault="0071469A">
      <w:pPr>
        <w:jc w:val="center"/>
      </w:pPr>
    </w:p>
    <w:p w:rsidR="0071469A" w:rsidP="00042867" w:rsidRDefault="0071469A">
      <w:pPr>
        <w:jc w:val="center"/>
      </w:pPr>
    </w:p>
    <w:p w:rsidR="00D73611" w:rsidP="00C512DF" w:rsidRDefault="00C512DF">
      <w:pPr>
        <w:jc w:val="center"/>
        <w:rPr>
          <w:szCs w:val="24"/>
        </w:rPr>
      </w:pPr>
      <w:r>
        <w:rPr>
          <w:szCs w:val="24"/>
        </w:rPr>
        <w:t>JUDGMENT</w:t>
      </w:r>
    </w:p>
    <w:p w:rsidR="004D1505" w:rsidP="00C512DF" w:rsidRDefault="004D1505">
      <w:pPr>
        <w:jc w:val="center"/>
        <w:rPr>
          <w:szCs w:val="24"/>
        </w:rPr>
      </w:pPr>
    </w:p>
    <w:p w:rsidRPr="004D1505" w:rsidR="004D1505" w:rsidP="004D1505" w:rsidRDefault="004D1505">
      <w:pPr>
        <w:rPr>
          <w:i/>
        </w:rPr>
      </w:pPr>
      <w:r w:rsidRPr="004D1505">
        <w:rPr>
          <w:i/>
        </w:rPr>
        <w:t xml:space="preserve">This judgment was revised in accordance with Rule 80 of the Rules of Court in a judgment of </w:t>
      </w:r>
      <w:r w:rsidRPr="004D1505">
        <w:rPr>
          <w:i/>
          <w:lang w:val="en-US"/>
        </w:rPr>
        <w:t>28</w:t>
      </w:r>
      <w:r w:rsidRPr="004D1505">
        <w:rPr>
          <w:i/>
        </w:rPr>
        <w:t xml:space="preserve"> May 2014.</w:t>
      </w:r>
    </w:p>
    <w:p w:rsidR="00C512DF" w:rsidP="00C512DF" w:rsidRDefault="00C512DF">
      <w:pPr>
        <w:pStyle w:val="JuCase"/>
        <w:ind w:firstLine="0"/>
        <w:jc w:val="center"/>
        <w:rPr>
          <w:b w:val="0"/>
        </w:rPr>
      </w:pPr>
    </w:p>
    <w:p w:rsidR="00C512DF" w:rsidP="00C512DF" w:rsidRDefault="00C512DF">
      <w:pPr>
        <w:pStyle w:val="JuCase"/>
        <w:ind w:firstLine="0"/>
        <w:jc w:val="center"/>
        <w:rPr>
          <w:b w:val="0"/>
        </w:rPr>
      </w:pPr>
      <w:smartTag w:uri="urn:schemas-microsoft-com:office:smarttags" w:element="place">
        <w:smartTag w:uri="urn:schemas-microsoft-com:office:smarttags" w:element="City">
          <w:r>
            <w:rPr>
              <w:b w:val="0"/>
            </w:rPr>
            <w:t>STRASBOURG</w:t>
          </w:r>
        </w:smartTag>
      </w:smartTag>
    </w:p>
    <w:p w:rsidR="00C512DF" w:rsidP="00C512DF" w:rsidRDefault="00C512DF">
      <w:pPr>
        <w:pStyle w:val="JuCase"/>
        <w:ind w:firstLine="0"/>
        <w:jc w:val="center"/>
        <w:rPr>
          <w:b w:val="0"/>
        </w:rPr>
      </w:pPr>
    </w:p>
    <w:p w:rsidR="00C512DF" w:rsidP="00C512DF" w:rsidRDefault="00C512DF">
      <w:pPr>
        <w:pStyle w:val="JuCase"/>
        <w:ind w:firstLine="0"/>
        <w:jc w:val="center"/>
        <w:rPr>
          <w:b w:val="0"/>
        </w:rPr>
      </w:pPr>
      <w:r>
        <w:rPr>
          <w:b w:val="0"/>
        </w:rPr>
        <w:t>24 April 2012</w:t>
      </w:r>
    </w:p>
    <w:p w:rsidRPr="004D1505" w:rsidR="004D1505" w:rsidP="004D1505" w:rsidRDefault="004D1505">
      <w:pPr>
        <w:pStyle w:val="JuPara"/>
      </w:pPr>
    </w:p>
    <w:p w:rsidRPr="009F28CD" w:rsidR="00C35C83" w:rsidP="00C35C83" w:rsidRDefault="00C35C83">
      <w:pPr>
        <w:pStyle w:val="JuCase"/>
        <w:ind w:firstLine="0"/>
        <w:jc w:val="center"/>
        <w:rPr>
          <w:color w:val="FF0000"/>
          <w:sz w:val="28"/>
          <w:szCs w:val="28"/>
          <w:u w:val="single"/>
        </w:rPr>
      </w:pPr>
      <w:r w:rsidRPr="009F28CD">
        <w:rPr>
          <w:color w:val="FF0000"/>
          <w:sz w:val="28"/>
          <w:szCs w:val="28"/>
          <w:u w:val="single"/>
        </w:rPr>
        <w:t>FINAL</w:t>
      </w:r>
    </w:p>
    <w:p w:rsidRPr="009F28CD" w:rsidR="00C35C83" w:rsidP="00C35C83" w:rsidRDefault="00C35C83">
      <w:pPr>
        <w:pStyle w:val="JuPara"/>
        <w:ind w:firstLine="0"/>
        <w:rPr>
          <w:color w:val="FF0000"/>
          <w:sz w:val="28"/>
          <w:szCs w:val="28"/>
        </w:rPr>
      </w:pPr>
    </w:p>
    <w:p w:rsidR="00C35C83" w:rsidP="00C35C83" w:rsidRDefault="00C35C83">
      <w:pPr>
        <w:pStyle w:val="JuPara"/>
        <w:ind w:firstLine="0"/>
        <w:jc w:val="center"/>
        <w:rPr>
          <w:color w:val="FF0000"/>
          <w:sz w:val="28"/>
          <w:szCs w:val="28"/>
        </w:rPr>
      </w:pPr>
      <w:r w:rsidRPr="009F28CD">
        <w:rPr>
          <w:color w:val="FF0000"/>
          <w:sz w:val="28"/>
          <w:szCs w:val="28"/>
        </w:rPr>
        <w:t>24/09/2012</w:t>
      </w:r>
    </w:p>
    <w:p w:rsidR="004D1505" w:rsidP="00C35C83" w:rsidRDefault="004D1505">
      <w:pPr>
        <w:pStyle w:val="JuPara"/>
        <w:ind w:firstLine="0"/>
        <w:jc w:val="center"/>
        <w:rPr>
          <w:color w:val="FF0000"/>
          <w:sz w:val="28"/>
          <w:szCs w:val="28"/>
        </w:rPr>
      </w:pPr>
    </w:p>
    <w:p w:rsidRPr="00C35C83" w:rsidR="005A63E1" w:rsidP="004D1505" w:rsidRDefault="00C35C83">
      <w:pPr>
        <w:rPr>
          <w:i/>
          <w:sz w:val="22"/>
        </w:rPr>
      </w:pPr>
      <w:r w:rsidRPr="00C35C83">
        <w:rPr>
          <w:i/>
        </w:rPr>
        <w:t>This judgment has become final under Article 44 § 2 (c) of the Convention. It may be subject to editorial revision</w:t>
      </w:r>
      <w:r w:rsidRPr="00C35C83" w:rsidR="00C512DF">
        <w:rPr>
          <w:b/>
          <w:i/>
        </w:rPr>
        <w:t>.</w:t>
      </w:r>
    </w:p>
    <w:p w:rsidRPr="00C512DF" w:rsidR="00C512DF" w:rsidP="004D1505" w:rsidRDefault="00C512DF">
      <w:pPr>
        <w:pStyle w:val="JuPara"/>
        <w:jc w:val="left"/>
        <w:sectPr w:rsidRPr="00C512DF" w:rsidR="00C512DF" w:rsidSect="00C512DF">
          <w:headerReference w:type="default" r:id="rId7"/>
          <w:headerReference w:type="first" r:id="rId8"/>
          <w:footerReference w:type="first" r:id="rId9"/>
          <w:footnotePr>
            <w:numRestart w:val="eachPage"/>
          </w:footnotePr>
          <w:pgSz w:w="11906" w:h="16838" w:code="9"/>
          <w:pgMar w:top="2274" w:right="2274" w:bottom="2274" w:left="2274" w:header="1701" w:footer="720" w:gutter="0"/>
          <w:pgNumType w:start="1"/>
          <w:cols w:space="720"/>
          <w:titlePg/>
          <w:docGrid w:linePitch="326"/>
        </w:sectPr>
      </w:pPr>
    </w:p>
    <w:p w:rsidRPr="006C5B93" w:rsidR="00F71A6A" w:rsidP="008824B9" w:rsidRDefault="00F71A6A">
      <w:pPr>
        <w:pStyle w:val="JuCase"/>
      </w:pPr>
      <w:r w:rsidRPr="006C5B93">
        <w:t xml:space="preserve">In the case of </w:t>
      </w:r>
      <w:proofErr w:type="spellStart"/>
      <w:r w:rsidR="0071469A">
        <w:t>Damir</w:t>
      </w:r>
      <w:proofErr w:type="spellEnd"/>
      <w:r w:rsidR="0071469A">
        <w:t xml:space="preserve"> </w:t>
      </w:r>
      <w:proofErr w:type="spellStart"/>
      <w:r w:rsidRPr="006C5B93" w:rsidR="006C5B93">
        <w:rPr>
          <w:rStyle w:val="JuCaseChar"/>
        </w:rPr>
        <w:t>Sibgatullin</w:t>
      </w:r>
      <w:proofErr w:type="spellEnd"/>
      <w:r w:rsidRPr="006C5B93" w:rsidR="006C5B93">
        <w:rPr>
          <w:rStyle w:val="JuCaseChar"/>
        </w:rPr>
        <w:t xml:space="preserve"> v. </w:t>
      </w:r>
      <w:smartTag w:uri="urn:schemas-microsoft-com:office:smarttags" w:element="place">
        <w:smartTag w:uri="urn:schemas-microsoft-com:office:smarttags" w:element="country-region">
          <w:r w:rsidR="006C5B93" w:rsidRPr="006C5B93">
            <w:rPr>
              <w:rStyle w:val="JuCaseChar"/>
            </w:rPr>
            <w:t>Russia</w:t>
          </w:r>
        </w:smartTag>
      </w:smartTag>
      <w:r w:rsidRPr="006C5B93">
        <w:t>,</w:t>
      </w:r>
    </w:p>
    <w:p w:rsidRPr="006C5B93" w:rsidR="00730433" w:rsidP="002F4BCF" w:rsidRDefault="00F71A6A">
      <w:pPr>
        <w:pStyle w:val="JuPara"/>
      </w:pPr>
      <w:r w:rsidRPr="006C5B93">
        <w:t>The European Court of Human Rights (</w:t>
      </w:r>
      <w:r w:rsidRPr="006C5B93" w:rsidR="006C5B93">
        <w:t>First Section</w:t>
      </w:r>
      <w:r w:rsidRPr="006C5B93">
        <w:t xml:space="preserve">), sitting as a </w:t>
      </w:r>
      <w:r w:rsidRPr="006C5B93" w:rsidR="006C5B93">
        <w:t>Chamber</w:t>
      </w:r>
      <w:r w:rsidRPr="006C5B93" w:rsidR="00730433">
        <w:t xml:space="preserve"> composed of:</w:t>
      </w:r>
    </w:p>
    <w:p w:rsidRPr="006C5B93" w:rsidR="00F71A6A" w:rsidP="008824B9" w:rsidRDefault="00C512DF">
      <w:pPr>
        <w:pStyle w:val="JuJudges"/>
      </w:pPr>
      <w:r w:rsidRPr="00C512DF">
        <w:tab/>
        <w:t>Nina</w:t>
      </w:r>
      <w:r>
        <w:t xml:space="preserve"> </w:t>
      </w:r>
      <w:proofErr w:type="spellStart"/>
      <w:r w:rsidRPr="00C512DF">
        <w:t>Vajić</w:t>
      </w:r>
      <w:proofErr w:type="spellEnd"/>
      <w:r>
        <w:t>,</w:t>
      </w:r>
      <w:r w:rsidRPr="00C512DF">
        <w:rPr>
          <w:i/>
        </w:rPr>
        <w:t xml:space="preserve"> President,</w:t>
      </w:r>
      <w:r>
        <w:rPr>
          <w:i/>
        </w:rPr>
        <w:br/>
      </w:r>
      <w:r w:rsidRPr="00C512DF">
        <w:tab/>
        <w:t>Anatoly</w:t>
      </w:r>
      <w:r>
        <w:t xml:space="preserve"> </w:t>
      </w:r>
      <w:proofErr w:type="spellStart"/>
      <w:r w:rsidRPr="00C512DF">
        <w:t>Kovler</w:t>
      </w:r>
      <w:proofErr w:type="spellEnd"/>
      <w:r>
        <w:t>,</w:t>
      </w:r>
      <w:r>
        <w:rPr>
          <w:i/>
        </w:rPr>
        <w:br/>
      </w:r>
      <w:r w:rsidRPr="00C512DF">
        <w:tab/>
        <w:t>Elisabeth</w:t>
      </w:r>
      <w:r>
        <w:t xml:space="preserve"> </w:t>
      </w:r>
      <w:r w:rsidRPr="00C512DF">
        <w:t>Steiner</w:t>
      </w:r>
      <w:r>
        <w:t>,</w:t>
      </w:r>
      <w:r>
        <w:rPr>
          <w:i/>
        </w:rPr>
        <w:br/>
      </w:r>
      <w:r w:rsidRPr="00C512DF">
        <w:tab/>
      </w:r>
      <w:proofErr w:type="spellStart"/>
      <w:r w:rsidRPr="00C512DF">
        <w:t>Mirjana</w:t>
      </w:r>
      <w:proofErr w:type="spellEnd"/>
      <w:r>
        <w:t xml:space="preserve"> </w:t>
      </w:r>
      <w:proofErr w:type="spellStart"/>
      <w:r w:rsidRPr="00C512DF">
        <w:t>Lazarova</w:t>
      </w:r>
      <w:proofErr w:type="spellEnd"/>
      <w:r w:rsidRPr="00C512DF">
        <w:t xml:space="preserve"> </w:t>
      </w:r>
      <w:proofErr w:type="spellStart"/>
      <w:r w:rsidRPr="00C512DF">
        <w:t>Trajkovska</w:t>
      </w:r>
      <w:proofErr w:type="spellEnd"/>
      <w:r>
        <w:t>,</w:t>
      </w:r>
      <w:r>
        <w:rPr>
          <w:i/>
        </w:rPr>
        <w:br/>
      </w:r>
      <w:r w:rsidRPr="00C512DF">
        <w:tab/>
        <w:t>Julia</w:t>
      </w:r>
      <w:r>
        <w:t xml:space="preserve"> </w:t>
      </w:r>
      <w:proofErr w:type="spellStart"/>
      <w:r w:rsidRPr="00C512DF">
        <w:t>Laffranque</w:t>
      </w:r>
      <w:proofErr w:type="spellEnd"/>
      <w:r>
        <w:t>,</w:t>
      </w:r>
      <w:r>
        <w:rPr>
          <w:i/>
        </w:rPr>
        <w:br/>
      </w:r>
      <w:r w:rsidRPr="00C512DF">
        <w:tab/>
      </w:r>
      <w:proofErr w:type="spellStart"/>
      <w:r w:rsidRPr="00C512DF">
        <w:t>Linos</w:t>
      </w:r>
      <w:proofErr w:type="spellEnd"/>
      <w:r w:rsidRPr="00C512DF">
        <w:t>-Alexandre</w:t>
      </w:r>
      <w:r>
        <w:t xml:space="preserve"> </w:t>
      </w:r>
      <w:proofErr w:type="spellStart"/>
      <w:r w:rsidRPr="00C512DF">
        <w:t>Sicilianos</w:t>
      </w:r>
      <w:proofErr w:type="spellEnd"/>
      <w:r>
        <w:t>,</w:t>
      </w:r>
      <w:r>
        <w:rPr>
          <w:i/>
        </w:rPr>
        <w:br/>
      </w:r>
      <w:r w:rsidRPr="00C512DF">
        <w:tab/>
        <w:t>Erik</w:t>
      </w:r>
      <w:r>
        <w:t xml:space="preserve"> </w:t>
      </w:r>
      <w:proofErr w:type="spellStart"/>
      <w:r w:rsidRPr="00C512DF">
        <w:t>Møse</w:t>
      </w:r>
      <w:proofErr w:type="spellEnd"/>
      <w:r>
        <w:t>,</w:t>
      </w:r>
      <w:r w:rsidRPr="00C512DF">
        <w:rPr>
          <w:i/>
        </w:rPr>
        <w:t xml:space="preserve"> judges,</w:t>
      </w:r>
      <w:r>
        <w:rPr>
          <w:i/>
        </w:rPr>
        <w:br/>
      </w:r>
      <w:r w:rsidRPr="006C5B93" w:rsidR="00F71A6A">
        <w:t>and</w:t>
      </w:r>
      <w:r w:rsidRPr="006C5B93" w:rsidR="000726F6">
        <w:t xml:space="preserve"> </w:t>
      </w:r>
      <w:proofErr w:type="spellStart"/>
      <w:r w:rsidRPr="006C5B93" w:rsidR="006C5B93">
        <w:t>Søren</w:t>
      </w:r>
      <w:proofErr w:type="spellEnd"/>
      <w:r w:rsidRPr="006C5B93" w:rsidR="006C5B93">
        <w:t xml:space="preserve"> Nielsen</w:t>
      </w:r>
      <w:r w:rsidRPr="006C5B93" w:rsidR="009D4B87">
        <w:rPr>
          <w:rStyle w:val="JuJudgesChar"/>
        </w:rPr>
        <w:t xml:space="preserve">, </w:t>
      </w:r>
      <w:r w:rsidRPr="006C5B93" w:rsidR="006C5B93">
        <w:rPr>
          <w:i/>
        </w:rPr>
        <w:t xml:space="preserve">Section </w:t>
      </w:r>
      <w:r w:rsidRPr="006C5B93" w:rsidR="006C5B93">
        <w:rPr>
          <w:i/>
          <w:iCs/>
        </w:rPr>
        <w:t>Registrar</w:t>
      </w:r>
      <w:r w:rsidRPr="006C5B93" w:rsidR="00F71A6A">
        <w:rPr>
          <w:i/>
        </w:rPr>
        <w:t>,</w:t>
      </w:r>
    </w:p>
    <w:p w:rsidRPr="006C5B93" w:rsidR="00F71A6A" w:rsidP="002F4BCF" w:rsidRDefault="00F71A6A">
      <w:pPr>
        <w:pStyle w:val="JuPara"/>
      </w:pPr>
      <w:r w:rsidRPr="006C5B93">
        <w:t xml:space="preserve">Having deliberated in private on </w:t>
      </w:r>
      <w:r w:rsidR="00C512DF">
        <w:t>3 April 2012</w:t>
      </w:r>
      <w:r w:rsidRPr="006C5B93">
        <w:t>,</w:t>
      </w:r>
    </w:p>
    <w:p w:rsidRPr="006C5B93" w:rsidR="00F71A6A" w:rsidP="002F4BCF" w:rsidRDefault="00F71A6A">
      <w:pPr>
        <w:pStyle w:val="JuPara"/>
      </w:pPr>
      <w:r w:rsidRPr="006C5B93">
        <w:t>Delivers the following judgment, which was adopted on that date:</w:t>
      </w:r>
    </w:p>
    <w:p w:rsidRPr="006C5B93" w:rsidR="00F71A6A" w:rsidP="008824B9" w:rsidRDefault="00F71A6A">
      <w:pPr>
        <w:pStyle w:val="JuHHead"/>
      </w:pPr>
      <w:r w:rsidRPr="006C5B93">
        <w:t>PROCEDURE</w:t>
      </w:r>
    </w:p>
    <w:p w:rsidR="005A63E1" w:rsidP="002F4BCF" w:rsidRDefault="006C5B93">
      <w:pPr>
        <w:pStyle w:val="JuPara"/>
      </w:pPr>
      <w:r w:rsidRPr="006C5B93">
        <w:fldChar w:fldCharType="begin"/>
      </w:r>
      <w:r w:rsidRPr="006C5B93">
        <w:instrText xml:space="preserve"> SEQ level0 \*arabic </w:instrText>
      </w:r>
      <w:r w:rsidRPr="006C5B93">
        <w:fldChar w:fldCharType="separate"/>
      </w:r>
      <w:r w:rsidR="00197D24">
        <w:rPr>
          <w:noProof/>
        </w:rPr>
        <w:t>1</w:t>
      </w:r>
      <w:r w:rsidRPr="006C5B93">
        <w:fldChar w:fldCharType="end"/>
      </w:r>
      <w:r w:rsidRPr="006C5B93" w:rsidR="00F71A6A">
        <w:t xml:space="preserve">.  The case originated in </w:t>
      </w:r>
      <w:r w:rsidRPr="006C5B93">
        <w:t>an application (no. 1413/05)</w:t>
      </w:r>
      <w:r w:rsidRPr="006C5B93" w:rsidR="00F71A6A">
        <w:t xml:space="preserve"> against </w:t>
      </w:r>
      <w:r w:rsidRPr="006C5B93">
        <w:t xml:space="preserve">the </w:t>
      </w:r>
      <w:smartTag w:uri="urn:schemas-microsoft-com:office:smarttags" w:element="place">
        <w:smartTag w:uri="urn:schemas-microsoft-com:office:smarttags" w:element="country-region">
          <w:r w:rsidRPr="006C5B93">
            <w:t>Russian Federation</w:t>
          </w:r>
        </w:smartTag>
      </w:smartTag>
      <w:r w:rsidRPr="006C5B93" w:rsidR="00F71A6A">
        <w:t xml:space="preserve"> lodged with the </w:t>
      </w:r>
      <w:r w:rsidRPr="006C5B93">
        <w:t>Court under Article 34</w:t>
      </w:r>
      <w:r w:rsidRPr="006C5B93" w:rsidR="004920B1">
        <w:t xml:space="preserve"> of the Convention for the Protection of Human Rights and Fundamental Freedoms (“the Convention”)</w:t>
      </w:r>
      <w:r w:rsidRPr="006C5B93" w:rsidR="00F71A6A">
        <w:t xml:space="preserve"> by </w:t>
      </w:r>
      <w:r w:rsidRPr="006C5B93">
        <w:t xml:space="preserve">a Russian national, Mr </w:t>
      </w:r>
      <w:proofErr w:type="spellStart"/>
      <w:r w:rsidRPr="006C5B93">
        <w:t>Damir</w:t>
      </w:r>
      <w:proofErr w:type="spellEnd"/>
      <w:r w:rsidRPr="006C5B93">
        <w:t xml:space="preserve"> </w:t>
      </w:r>
      <w:proofErr w:type="spellStart"/>
      <w:r w:rsidRPr="006C5B93">
        <w:t>Darifovich</w:t>
      </w:r>
      <w:proofErr w:type="spellEnd"/>
      <w:r w:rsidRPr="006C5B93">
        <w:t xml:space="preserve"> </w:t>
      </w:r>
      <w:proofErr w:type="spellStart"/>
      <w:r w:rsidRPr="006C5B93">
        <w:t>Sibgatullin</w:t>
      </w:r>
      <w:proofErr w:type="spellEnd"/>
      <w:r w:rsidRPr="006C5B93">
        <w:t xml:space="preserve"> (“the applicant”), on 6 December 2004</w:t>
      </w:r>
      <w:r w:rsidRPr="006C5B93" w:rsidR="00F71A6A">
        <w:t>.</w:t>
      </w:r>
    </w:p>
    <w:p w:rsidRPr="006C5B93" w:rsidR="006C5B93" w:rsidP="002F4BCF" w:rsidRDefault="006C5B93">
      <w:pPr>
        <w:pStyle w:val="JuPara"/>
      </w:pPr>
      <w:r w:rsidRPr="006C5B93">
        <w:fldChar w:fldCharType="begin"/>
      </w:r>
      <w:r w:rsidRPr="006C5B93">
        <w:instrText xml:space="preserve"> SEQ level0 \*arabic </w:instrText>
      </w:r>
      <w:r w:rsidRPr="006C5B93">
        <w:fldChar w:fldCharType="separate"/>
      </w:r>
      <w:r w:rsidR="00197D24">
        <w:rPr>
          <w:noProof/>
        </w:rPr>
        <w:t>2</w:t>
      </w:r>
      <w:r w:rsidRPr="006C5B93">
        <w:fldChar w:fldCharType="end"/>
      </w:r>
      <w:r w:rsidRPr="006C5B93" w:rsidR="00F71A6A">
        <w:t>.  </w:t>
      </w:r>
      <w:r w:rsidRPr="006C5B93">
        <w:t>The applicant, who had been granted l</w:t>
      </w:r>
      <w:r w:rsidR="0071469A">
        <w:t>egal aid, was represented by Mr </w:t>
      </w:r>
      <w:r w:rsidR="00D24A72">
        <w:t>M.</w:t>
      </w:r>
      <w:r w:rsidRPr="006C5B93">
        <w:t xml:space="preserve"> </w:t>
      </w:r>
      <w:proofErr w:type="spellStart"/>
      <w:r w:rsidRPr="006C5B93">
        <w:t>Rachkovskiy</w:t>
      </w:r>
      <w:proofErr w:type="spellEnd"/>
      <w:r w:rsidRPr="006C5B93">
        <w:t xml:space="preserve">, </w:t>
      </w:r>
      <w:r w:rsidR="00D24A72">
        <w:t>a lawyer</w:t>
      </w:r>
      <w:r w:rsidRPr="006C5B93">
        <w:t xml:space="preserve"> practising in </w:t>
      </w:r>
      <w:smartTag w:uri="urn:schemas-microsoft-com:office:smarttags" w:element="place">
        <w:smartTag w:uri="urn:schemas-microsoft-com:office:smarttags" w:element="City">
          <w:r w:rsidRPr="006C5B93">
            <w:t>Moscow</w:t>
          </w:r>
        </w:smartTag>
      </w:smartTag>
      <w:r w:rsidRPr="006C5B93">
        <w:t xml:space="preserve">. </w:t>
      </w:r>
      <w:r w:rsidRPr="006C5B93" w:rsidR="00F71A6A">
        <w:t xml:space="preserve">The </w:t>
      </w:r>
      <w:r w:rsidRPr="006C5B93">
        <w:t>Russian</w:t>
      </w:r>
      <w:r w:rsidRPr="006C5B93" w:rsidR="00F71A6A">
        <w:t xml:space="preserve"> Government (“the Government”) were represented by Mrs </w:t>
      </w:r>
      <w:r w:rsidR="00D24A72">
        <w:t xml:space="preserve">V. </w:t>
      </w:r>
      <w:proofErr w:type="spellStart"/>
      <w:r w:rsidR="00D24A72">
        <w:t>Milinchuk</w:t>
      </w:r>
      <w:proofErr w:type="spellEnd"/>
      <w:r w:rsidRPr="006C5B93" w:rsidR="00F71A6A">
        <w:t xml:space="preserve">, </w:t>
      </w:r>
      <w:r w:rsidR="00D24A72">
        <w:t xml:space="preserve">former Representative of the </w:t>
      </w:r>
      <w:smartTag w:uri="urn:schemas-microsoft-com:office:smarttags" w:element="place">
        <w:smartTag w:uri="urn:schemas-microsoft-com:office:smarttags" w:element="country-region">
          <w:r w:rsidR="00D24A72">
            <w:t>Russian Federation</w:t>
          </w:r>
        </w:smartTag>
      </w:smartTag>
      <w:r w:rsidR="00BE7A91">
        <w:t xml:space="preserve"> at the European Court of Human Rights</w:t>
      </w:r>
      <w:r w:rsidRPr="006C5B93" w:rsidR="00F71A6A">
        <w:t>.</w:t>
      </w:r>
    </w:p>
    <w:p w:rsidRPr="006C5B93" w:rsidR="00F71A6A" w:rsidP="002F4BCF" w:rsidRDefault="006C5B93">
      <w:pPr>
        <w:pStyle w:val="JuPara"/>
      </w:pPr>
      <w:r w:rsidRPr="006C5B93">
        <w:fldChar w:fldCharType="begin"/>
      </w:r>
      <w:r w:rsidRPr="006C5B93">
        <w:instrText xml:space="preserve"> SEQ level0 \*arabic </w:instrText>
      </w:r>
      <w:r w:rsidRPr="006C5B93">
        <w:fldChar w:fldCharType="separate"/>
      </w:r>
      <w:r w:rsidR="00197D24">
        <w:rPr>
          <w:noProof/>
        </w:rPr>
        <w:t>3</w:t>
      </w:r>
      <w:r w:rsidRPr="006C5B93">
        <w:fldChar w:fldCharType="end"/>
      </w:r>
      <w:r w:rsidR="00BE7A91">
        <w:t>.  The applicant alleged</w:t>
      </w:r>
      <w:r w:rsidRPr="006C5B93">
        <w:t>, in particular,</w:t>
      </w:r>
      <w:r w:rsidR="00BE7A91">
        <w:t xml:space="preserve"> that he had been tried and convicted by </w:t>
      </w:r>
      <w:r w:rsidR="0017143A">
        <w:t>a</w:t>
      </w:r>
      <w:r w:rsidR="00BE7A91">
        <w:t xml:space="preserve"> jury certain members of which had been partial</w:t>
      </w:r>
      <w:r w:rsidR="00DA0F2A">
        <w:t>,</w:t>
      </w:r>
      <w:r w:rsidR="00BE7A91">
        <w:t xml:space="preserve"> and that he had been unable to confront </w:t>
      </w:r>
      <w:r w:rsidR="00EF7F52">
        <w:t xml:space="preserve">any </w:t>
      </w:r>
      <w:r w:rsidR="00BE7A91">
        <w:t>witness</w:t>
      </w:r>
      <w:r w:rsidR="00DA0F2A">
        <w:t xml:space="preserve"> for the prosecution</w:t>
      </w:r>
      <w:r w:rsidRPr="006C5B93">
        <w:t>.</w:t>
      </w:r>
    </w:p>
    <w:bookmarkStart w:name="procedure" w:id="2"/>
    <w:p w:rsidR="005A63E1" w:rsidP="00A726A4" w:rsidRDefault="006C5B93">
      <w:pPr>
        <w:pStyle w:val="JuPara"/>
      </w:pPr>
      <w:r w:rsidRPr="006C5B93">
        <w:fldChar w:fldCharType="begin"/>
      </w:r>
      <w:r w:rsidRPr="006C5B93">
        <w:instrText xml:space="preserve"> SEQ level0 \*arabic </w:instrText>
      </w:r>
      <w:r w:rsidRPr="006C5B93">
        <w:fldChar w:fldCharType="separate"/>
      </w:r>
      <w:r w:rsidR="00197D24">
        <w:rPr>
          <w:noProof/>
        </w:rPr>
        <w:t>4</w:t>
      </w:r>
      <w:r w:rsidRPr="006C5B93">
        <w:fldChar w:fldCharType="end"/>
      </w:r>
      <w:bookmarkEnd w:id="2"/>
      <w:r w:rsidRPr="006C5B93" w:rsidR="00F71A6A">
        <w:t xml:space="preserve">.  On </w:t>
      </w:r>
      <w:r w:rsidRPr="006C5B93">
        <w:rPr>
          <w:szCs w:val="24"/>
        </w:rPr>
        <w:t>3 September 2007</w:t>
      </w:r>
      <w:r w:rsidRPr="006C5B93" w:rsidR="00F71A6A">
        <w:t xml:space="preserve"> </w:t>
      </w:r>
      <w:r w:rsidRPr="006C5B93" w:rsidR="0009409F">
        <w:t xml:space="preserve">the </w:t>
      </w:r>
      <w:r w:rsidRPr="006C5B93">
        <w:t>application was</w:t>
      </w:r>
      <w:r w:rsidRPr="006C5B93" w:rsidR="0009409F">
        <w:t xml:space="preserve"> communicated </w:t>
      </w:r>
      <w:r w:rsidRPr="006C5B93" w:rsidR="00F71A6A">
        <w:t>to the Gove</w:t>
      </w:r>
      <w:r w:rsidRPr="006C5B93" w:rsidR="00485A6F">
        <w:t>rnment.</w:t>
      </w:r>
      <w:r w:rsidRPr="006C5B93">
        <w:t xml:space="preserve"> It was also decided to rule on the admissibility and merits of the application at the same time (</w:t>
      </w:r>
      <w:r w:rsidR="007E147D">
        <w:t xml:space="preserve">former </w:t>
      </w:r>
      <w:r w:rsidRPr="006C5B93">
        <w:t xml:space="preserve">Article 29 § </w:t>
      </w:r>
      <w:r w:rsidR="00A726A4">
        <w:t>3 of the Convention</w:t>
      </w:r>
      <w:r w:rsidRPr="006C5B93">
        <w:t>).</w:t>
      </w:r>
      <w:r w:rsidR="00A726A4">
        <w:t xml:space="preserve"> When communicating the application to the Government, the Court asked them to produce copies of the </w:t>
      </w:r>
      <w:r w:rsidR="00F75DFC">
        <w:t>witness</w:t>
      </w:r>
      <w:r w:rsidR="00BA0E2B">
        <w:t>es</w:t>
      </w:r>
      <w:r w:rsidR="008A5600">
        <w:t>’</w:t>
      </w:r>
      <w:r w:rsidR="00F75DFC">
        <w:t xml:space="preserve"> </w:t>
      </w:r>
      <w:r w:rsidR="00A726A4">
        <w:t>statements, for the purpose of clarifying the evidentiary basis for his conviction.</w:t>
      </w:r>
    </w:p>
    <w:bookmarkStart w:name="procedurecompetentbodies" w:id="3"/>
    <w:p w:rsidR="005A63E1" w:rsidP="00A726A4" w:rsidRDefault="00A726A4">
      <w:pPr>
        <w:pStyle w:val="JuPara"/>
      </w:pPr>
      <w:r>
        <w:fldChar w:fldCharType="begin"/>
      </w:r>
      <w:r>
        <w:instrText xml:space="preserve"> SEQ level0 \*arabic </w:instrText>
      </w:r>
      <w:r>
        <w:fldChar w:fldCharType="separate"/>
      </w:r>
      <w:r w:rsidR="00197D24">
        <w:rPr>
          <w:noProof/>
        </w:rPr>
        <w:t>5</w:t>
      </w:r>
      <w:r>
        <w:fldChar w:fldCharType="end"/>
      </w:r>
      <w:bookmarkEnd w:id="3"/>
      <w:r>
        <w:t xml:space="preserve">.  On 22 November 2007 the Government submitted their observations on </w:t>
      </w:r>
      <w:r w:rsidR="0017143A">
        <w:t xml:space="preserve">the </w:t>
      </w:r>
      <w:r>
        <w:t>admissibility and merits of the application, enclos</w:t>
      </w:r>
      <w:r w:rsidR="0017143A">
        <w:t>ing</w:t>
      </w:r>
      <w:r>
        <w:t xml:space="preserve"> a number of </w:t>
      </w:r>
      <w:r w:rsidR="0017143A">
        <w:t xml:space="preserve">items </w:t>
      </w:r>
      <w:r>
        <w:t>from the applicant</w:t>
      </w:r>
      <w:r w:rsidR="008A5600">
        <w:t>’</w:t>
      </w:r>
      <w:r>
        <w:t xml:space="preserve">s criminal case file, </w:t>
      </w:r>
      <w:r w:rsidR="0017143A">
        <w:t xml:space="preserve">but not including </w:t>
      </w:r>
      <w:r>
        <w:t xml:space="preserve">the </w:t>
      </w:r>
      <w:r w:rsidR="0017143A">
        <w:t>witnesses</w:t>
      </w:r>
      <w:r w:rsidR="008A5600">
        <w:t>’</w:t>
      </w:r>
      <w:r w:rsidR="0017143A">
        <w:t xml:space="preserve"> </w:t>
      </w:r>
      <w:r w:rsidR="00BA0E2B">
        <w:t>depositions</w:t>
      </w:r>
      <w:r>
        <w:t xml:space="preserve">. They informed the Court that the requested documents would be submitted as soon as the Government </w:t>
      </w:r>
      <w:r w:rsidR="0017143A">
        <w:t xml:space="preserve">had </w:t>
      </w:r>
      <w:r>
        <w:t>receive</w:t>
      </w:r>
      <w:r w:rsidR="0017143A">
        <w:t>d</w:t>
      </w:r>
      <w:r>
        <w:t xml:space="preserve"> them “from </w:t>
      </w:r>
      <w:r w:rsidR="0017143A">
        <w:t xml:space="preserve">the relevant </w:t>
      </w:r>
      <w:r>
        <w:t xml:space="preserve">bodies of the </w:t>
      </w:r>
      <w:smartTag w:uri="urn:schemas-microsoft-com:office:smarttags" w:element="place">
        <w:smartTag w:uri="urn:schemas-microsoft-com:office:smarttags" w:element="country-region">
          <w:r>
            <w:t>Russian Federation</w:t>
          </w:r>
        </w:smartTag>
      </w:smartTag>
      <w:r>
        <w:t>”.</w:t>
      </w:r>
    </w:p>
    <w:p w:rsidR="005A63E1" w:rsidP="00A726A4" w:rsidRDefault="00A726A4">
      <w:pPr>
        <w:pStyle w:val="JuPara"/>
      </w:pPr>
      <w:r>
        <w:fldChar w:fldCharType="begin"/>
      </w:r>
      <w:r>
        <w:instrText xml:space="preserve"> SEQ level0 \*arabic </w:instrText>
      </w:r>
      <w:r>
        <w:fldChar w:fldCharType="separate"/>
      </w:r>
      <w:r w:rsidR="00197D24">
        <w:rPr>
          <w:noProof/>
        </w:rPr>
        <w:t>6</w:t>
      </w:r>
      <w:r>
        <w:fldChar w:fldCharType="end"/>
      </w:r>
      <w:r>
        <w:t xml:space="preserve">.  By letter </w:t>
      </w:r>
      <w:r w:rsidR="0017143A">
        <w:t>on</w:t>
      </w:r>
      <w:r>
        <w:t xml:space="preserve"> 30 November 2007 the Court acknowledged receipt of the Government</w:t>
      </w:r>
      <w:r w:rsidR="008A5600">
        <w:t>’</w:t>
      </w:r>
      <w:r>
        <w:t>s observations</w:t>
      </w:r>
      <w:r w:rsidR="0017143A">
        <w:t>,</w:t>
      </w:r>
      <w:r>
        <w:t xml:space="preserve"> with the </w:t>
      </w:r>
      <w:r w:rsidR="0017143A">
        <w:t xml:space="preserve">enclosures, </w:t>
      </w:r>
      <w:r>
        <w:t>and invited them to submit copies of the statements as soon as possible.</w:t>
      </w:r>
    </w:p>
    <w:p w:rsidR="005A63E1" w:rsidP="00A726A4" w:rsidRDefault="00A726A4">
      <w:pPr>
        <w:pStyle w:val="JuPara"/>
      </w:pPr>
      <w:r>
        <w:fldChar w:fldCharType="begin"/>
      </w:r>
      <w:r>
        <w:instrText xml:space="preserve"> SEQ level0 \*arabic </w:instrText>
      </w:r>
      <w:r>
        <w:fldChar w:fldCharType="separate"/>
      </w:r>
      <w:r w:rsidR="00197D24">
        <w:rPr>
          <w:noProof/>
        </w:rPr>
        <w:t>7</w:t>
      </w:r>
      <w:r>
        <w:fldChar w:fldCharType="end"/>
      </w:r>
      <w:r>
        <w:t>.  On 20 December 2007 the Government provided the Court with the English translation of their observations. No attachments</w:t>
      </w:r>
      <w:r w:rsidR="0030331A">
        <w:t xml:space="preserve"> were enclosed</w:t>
      </w:r>
      <w:r>
        <w:t xml:space="preserve"> </w:t>
      </w:r>
      <w:r w:rsidR="0017143A">
        <w:t xml:space="preserve">apart from </w:t>
      </w:r>
      <w:r>
        <w:t>those submitted by the Government on 22 November 2007.</w:t>
      </w:r>
    </w:p>
    <w:p w:rsidR="005A63E1" w:rsidP="00A726A4" w:rsidRDefault="00A726A4">
      <w:pPr>
        <w:pStyle w:val="JuPara"/>
      </w:pPr>
      <w:r>
        <w:fldChar w:fldCharType="begin"/>
      </w:r>
      <w:r>
        <w:instrText xml:space="preserve"> SEQ level0 \*arabic </w:instrText>
      </w:r>
      <w:r>
        <w:fldChar w:fldCharType="separate"/>
      </w:r>
      <w:r w:rsidR="00197D24">
        <w:rPr>
          <w:noProof/>
        </w:rPr>
        <w:t>8</w:t>
      </w:r>
      <w:r>
        <w:fldChar w:fldCharType="end"/>
      </w:r>
      <w:r>
        <w:t>.  Following the receipt of the applicant</w:t>
      </w:r>
      <w:r w:rsidR="008A5600">
        <w:t>’</w:t>
      </w:r>
      <w:r>
        <w:t>s observations in which he raised an issue of the Government</w:t>
      </w:r>
      <w:r w:rsidR="008A5600">
        <w:t>’</w:t>
      </w:r>
      <w:r>
        <w:t xml:space="preserve">s compliance with their obligations under </w:t>
      </w:r>
      <w:r w:rsidRPr="007126D8">
        <w:rPr>
          <w:bCs/>
        </w:rPr>
        <w:t>Article</w:t>
      </w:r>
      <w:r w:rsidRPr="007126D8">
        <w:t> </w:t>
      </w:r>
      <w:r w:rsidRPr="007126D8">
        <w:rPr>
          <w:bCs/>
        </w:rPr>
        <w:t>38</w:t>
      </w:r>
      <w:r w:rsidRPr="007126D8">
        <w:t xml:space="preserve"> of the </w:t>
      </w:r>
      <w:r w:rsidRPr="007126D8">
        <w:rPr>
          <w:bCs/>
        </w:rPr>
        <w:t>Convention</w:t>
      </w:r>
      <w:r>
        <w:t>, on 13 February 2008 the Court notified the Government t</w:t>
      </w:r>
      <w:r w:rsidR="00BA0E2B">
        <w:t>hat copies of the witnesses</w:t>
      </w:r>
      <w:r w:rsidR="008A5600">
        <w:t>’</w:t>
      </w:r>
      <w:r>
        <w:t xml:space="preserve"> statements </w:t>
      </w:r>
      <w:r w:rsidR="007E147D">
        <w:t>had</w:t>
      </w:r>
      <w:r>
        <w:t xml:space="preserve"> still not reached it. The Court once again reiterated its request for documents.</w:t>
      </w:r>
    </w:p>
    <w:p w:rsidR="00A726A4" w:rsidP="00A726A4" w:rsidRDefault="00A726A4">
      <w:pPr>
        <w:pStyle w:val="JuPara"/>
      </w:pPr>
      <w:r>
        <w:fldChar w:fldCharType="begin"/>
      </w:r>
      <w:r>
        <w:instrText xml:space="preserve"> SEQ level0 \*arabic </w:instrText>
      </w:r>
      <w:r>
        <w:fldChar w:fldCharType="separate"/>
      </w:r>
      <w:r w:rsidR="00197D24">
        <w:rPr>
          <w:noProof/>
        </w:rPr>
        <w:t>9</w:t>
      </w:r>
      <w:r>
        <w:fldChar w:fldCharType="end"/>
      </w:r>
      <w:r>
        <w:t xml:space="preserve">.  The Government requested an </w:t>
      </w:r>
      <w:bookmarkStart w:name="HIT1" w:id="4"/>
      <w:bookmarkEnd w:id="4"/>
      <w:r w:rsidRPr="00A726A4">
        <w:rPr>
          <w:bCs/>
        </w:rPr>
        <w:t>oral</w:t>
      </w:r>
      <w:r w:rsidRPr="00A726A4">
        <w:t xml:space="preserve"> </w:t>
      </w:r>
      <w:bookmarkStart w:name="HIT2" w:id="5"/>
      <w:bookmarkEnd w:id="5"/>
      <w:r w:rsidRPr="00A726A4">
        <w:rPr>
          <w:bCs/>
        </w:rPr>
        <w:t>hearing</w:t>
      </w:r>
      <w:r>
        <w:t>. However, the Chamber decided not to hold a hearing in the case.</w:t>
      </w:r>
      <w:r w:rsidR="007E147D">
        <w:t xml:space="preserve"> The Government did not submit the documents required by the Court.</w:t>
      </w:r>
    </w:p>
    <w:p w:rsidRPr="006C5B93" w:rsidR="00F71A6A" w:rsidP="008824B9" w:rsidRDefault="00F71A6A">
      <w:pPr>
        <w:pStyle w:val="JuHHead"/>
      </w:pPr>
      <w:r w:rsidRPr="006C5B93">
        <w:t>THE FACTS</w:t>
      </w:r>
    </w:p>
    <w:p w:rsidRPr="006C5B93" w:rsidR="00D353F4" w:rsidP="008824B9" w:rsidRDefault="007352DD">
      <w:pPr>
        <w:pStyle w:val="JuHIRoman"/>
        <w:outlineLvl w:val="0"/>
      </w:pPr>
      <w:r w:rsidRPr="006C5B93">
        <w:t xml:space="preserve">I.  THE CIRCUMSTANCES OF THE </w:t>
      </w:r>
      <w:r w:rsidRPr="006C5B93" w:rsidR="00D353F4">
        <w:t>CASE</w:t>
      </w:r>
    </w:p>
    <w:p w:rsidRPr="006C5B93" w:rsidR="00F71A6A" w:rsidP="002F4BCF" w:rsidRDefault="006C5B93">
      <w:pPr>
        <w:pStyle w:val="JuPara"/>
      </w:pPr>
      <w:r w:rsidRPr="006C5B93">
        <w:fldChar w:fldCharType="begin"/>
      </w:r>
      <w:r w:rsidRPr="006C5B93">
        <w:instrText xml:space="preserve"> SEQ level0 \*arabic </w:instrText>
      </w:r>
      <w:r w:rsidRPr="006C5B93">
        <w:fldChar w:fldCharType="separate"/>
      </w:r>
      <w:r w:rsidR="00197D24">
        <w:rPr>
          <w:noProof/>
        </w:rPr>
        <w:t>10</w:t>
      </w:r>
      <w:r w:rsidRPr="006C5B93">
        <w:fldChar w:fldCharType="end"/>
      </w:r>
      <w:r w:rsidRPr="006C5B93" w:rsidR="00F71A6A">
        <w:t xml:space="preserve">.  The </w:t>
      </w:r>
      <w:r w:rsidRPr="006C5B93">
        <w:t xml:space="preserve">applicant was born in 1974 and </w:t>
      </w:r>
      <w:r w:rsidR="00711FE6">
        <w:t>is serving a</w:t>
      </w:r>
      <w:r w:rsidR="00A44BA3">
        <w:t xml:space="preserve"> sentence in a correctional colony </w:t>
      </w:r>
      <w:r w:rsidRPr="006C5B93" w:rsidR="00F71A6A">
        <w:t xml:space="preserve">in </w:t>
      </w:r>
      <w:proofErr w:type="spellStart"/>
      <w:r w:rsidRPr="006C5B93">
        <w:t>Kinesh</w:t>
      </w:r>
      <w:r w:rsidR="00A44BA3">
        <w:t>emskiy</w:t>
      </w:r>
      <w:proofErr w:type="spellEnd"/>
      <w:r w:rsidR="00A44BA3">
        <w:t xml:space="preserve"> District</w:t>
      </w:r>
      <w:r w:rsidR="00711FE6">
        <w:t xml:space="preserve">, </w:t>
      </w:r>
      <w:r w:rsidR="00A44BA3">
        <w:t>Ivanovo Region</w:t>
      </w:r>
      <w:r w:rsidRPr="006C5B93" w:rsidR="00F71A6A">
        <w:t>.</w:t>
      </w:r>
    </w:p>
    <w:p w:rsidR="00A54BF9" w:rsidP="001D007E" w:rsidRDefault="001D007E">
      <w:pPr>
        <w:pStyle w:val="JuPara"/>
      </w:pPr>
      <w:r>
        <w:fldChar w:fldCharType="begin"/>
      </w:r>
      <w:r>
        <w:instrText xml:space="preserve"> SEQ level0 \*arabic </w:instrText>
      </w:r>
      <w:r>
        <w:fldChar w:fldCharType="separate"/>
      </w:r>
      <w:r w:rsidR="00197D24">
        <w:rPr>
          <w:noProof/>
        </w:rPr>
        <w:t>11</w:t>
      </w:r>
      <w:r>
        <w:fldChar w:fldCharType="end"/>
      </w:r>
      <w:r>
        <w:t xml:space="preserve">.  Criminal proceedings were instituted against the applicant in </w:t>
      </w:r>
      <w:smartTag w:uri="urn:schemas-microsoft-com:office:smarttags" w:element="place">
        <w:smartTag w:uri="urn:schemas-microsoft-com:office:smarttags" w:element="country-region">
          <w:r>
            <w:t>Uzbekistan</w:t>
          </w:r>
        </w:smartTag>
      </w:smartTag>
      <w:r>
        <w:t xml:space="preserve">. The prosecution suspected that in February 1998 </w:t>
      </w:r>
      <w:r w:rsidR="004D070B">
        <w:t>he</w:t>
      </w:r>
      <w:r w:rsidR="0071469A">
        <w:t xml:space="preserve"> and a Mr </w:t>
      </w:r>
      <w:r>
        <w:t xml:space="preserve">A. had robbed and murdered an elderly woman in </w:t>
      </w:r>
      <w:smartTag w:uri="urn:schemas-microsoft-com:office:smarttags" w:element="place">
        <w:smartTag w:uri="urn:schemas-microsoft-com:office:smarttags" w:element="City">
          <w:r>
            <w:t>Tashkent</w:t>
          </w:r>
        </w:smartTag>
      </w:smartTag>
      <w:r>
        <w:t>.</w:t>
      </w:r>
      <w:r w:rsidR="00A54BF9">
        <w:t xml:space="preserve"> </w:t>
      </w:r>
      <w:r w:rsidR="00B062CF">
        <w:t>After</w:t>
      </w:r>
      <w:r w:rsidR="00A54BF9">
        <w:t xml:space="preserve"> the murder they had allegedly packed the victim</w:t>
      </w:r>
      <w:r w:rsidR="008A5600">
        <w:t>’</w:t>
      </w:r>
      <w:r w:rsidR="00A54BF9">
        <w:t>s body in a box and given the box to bus drivers at a local market to transport</w:t>
      </w:r>
      <w:r w:rsidR="000327CB">
        <w:t xml:space="preserve"> it</w:t>
      </w:r>
      <w:r w:rsidR="00A54BF9">
        <w:t xml:space="preserve"> to </w:t>
      </w:r>
      <w:r w:rsidR="00B062CF">
        <w:t xml:space="preserve">a </w:t>
      </w:r>
      <w:r w:rsidR="00A54BF9">
        <w:t xml:space="preserve">supermarket in another town. The applicant and his accomplice had also </w:t>
      </w:r>
      <w:r w:rsidR="00B062CF">
        <w:t xml:space="preserve">allegedly </w:t>
      </w:r>
      <w:r w:rsidR="00A54BF9">
        <w:t>sold the victim</w:t>
      </w:r>
      <w:r w:rsidR="008A5600">
        <w:t>’</w:t>
      </w:r>
      <w:r w:rsidR="00A54BF9">
        <w:t xml:space="preserve">s property, including furniture, carpets, clothes, </w:t>
      </w:r>
      <w:r w:rsidR="00711FE6">
        <w:t xml:space="preserve">and </w:t>
      </w:r>
      <w:r w:rsidR="00A54BF9">
        <w:t xml:space="preserve">household utensils, to a number of individuals </w:t>
      </w:r>
      <w:r w:rsidR="00711FE6">
        <w:t xml:space="preserve">in the </w:t>
      </w:r>
      <w:r w:rsidR="00A54BF9">
        <w:t>days following the murder.</w:t>
      </w:r>
    </w:p>
    <w:p w:rsidR="005A63E1" w:rsidP="001D007E" w:rsidRDefault="00A54BF9">
      <w:pPr>
        <w:pStyle w:val="JuPara"/>
      </w:pPr>
      <w:r>
        <w:fldChar w:fldCharType="begin"/>
      </w:r>
      <w:r>
        <w:instrText xml:space="preserve"> SEQ level0 \*arabic </w:instrText>
      </w:r>
      <w:r>
        <w:fldChar w:fldCharType="separate"/>
      </w:r>
      <w:r w:rsidR="00197D24">
        <w:rPr>
          <w:noProof/>
        </w:rPr>
        <w:t>12</w:t>
      </w:r>
      <w:r>
        <w:fldChar w:fldCharType="end"/>
      </w:r>
      <w:r>
        <w:t>.  </w:t>
      </w:r>
      <w:r w:rsidR="001D007E">
        <w:t xml:space="preserve">According to the Government, </w:t>
      </w:r>
      <w:r w:rsidR="00711FE6">
        <w:t xml:space="preserve">after </w:t>
      </w:r>
      <w:r w:rsidR="001D007E">
        <w:t>committ</w:t>
      </w:r>
      <w:r w:rsidR="00711FE6">
        <w:t xml:space="preserve">ing </w:t>
      </w:r>
      <w:r w:rsidR="001D007E">
        <w:t xml:space="preserve">the criminal offences the applicant fled </w:t>
      </w:r>
      <w:smartTag w:uri="urn:schemas-microsoft-com:office:smarttags" w:element="country-region">
        <w:r w:rsidR="001D007E">
          <w:t>Uzbekistan</w:t>
        </w:r>
      </w:smartTag>
      <w:r w:rsidR="001D007E">
        <w:t xml:space="preserve"> and returned to </w:t>
      </w:r>
      <w:smartTag w:uri="urn:schemas-microsoft-com:office:smarttags" w:element="place">
        <w:smartTag w:uri="urn:schemas-microsoft-com:office:smarttags" w:element="country-region">
          <w:r w:rsidR="001D007E">
            <w:t>Russia</w:t>
          </w:r>
        </w:smartTag>
      </w:smartTag>
      <w:r w:rsidR="001D007E">
        <w:t xml:space="preserve">. On an unspecified date Russian prosecution officials opened a criminal case against the applicant for crimes </w:t>
      </w:r>
      <w:r w:rsidR="007E147D">
        <w:t xml:space="preserve">allegedly </w:t>
      </w:r>
      <w:r w:rsidR="001D007E">
        <w:t xml:space="preserve">committed in </w:t>
      </w:r>
      <w:smartTag w:uri="urn:schemas-microsoft-com:office:smarttags" w:element="place">
        <w:smartTag w:uri="urn:schemas-microsoft-com:office:smarttags" w:element="country-region">
          <w:r w:rsidR="001D007E">
            <w:t>Uzbekistan</w:t>
          </w:r>
        </w:smartTag>
      </w:smartTag>
      <w:r w:rsidR="001D007E">
        <w:t xml:space="preserve">. On 17 November 2003 the applicant was arrested and placed in a detention facility in </w:t>
      </w:r>
      <w:smartTag w:uri="urn:schemas-microsoft-com:office:smarttags" w:element="place">
        <w:smartTag w:uri="urn:schemas-microsoft-com:office:smarttags" w:element="City">
          <w:r w:rsidR="001D007E">
            <w:t>Ivanovo</w:t>
          </w:r>
        </w:smartTag>
      </w:smartTag>
      <w:r w:rsidR="001D007E">
        <w:t>.</w:t>
      </w:r>
    </w:p>
    <w:p w:rsidR="001D007E" w:rsidP="001D007E" w:rsidRDefault="001D007E">
      <w:pPr>
        <w:pStyle w:val="JuPara"/>
      </w:pPr>
      <w:r>
        <w:fldChar w:fldCharType="begin"/>
      </w:r>
      <w:r>
        <w:instrText xml:space="preserve"> SEQ level0 \*arabic </w:instrText>
      </w:r>
      <w:r>
        <w:fldChar w:fldCharType="separate"/>
      </w:r>
      <w:r w:rsidR="00197D24">
        <w:rPr>
          <w:noProof/>
        </w:rPr>
        <w:t>13</w:t>
      </w:r>
      <w:r>
        <w:fldChar w:fldCharType="end"/>
      </w:r>
      <w:r>
        <w:t>.  In 2004 the applicant was committed for jury trial.</w:t>
      </w:r>
    </w:p>
    <w:p w:rsidR="00BA0E2B" w:rsidP="001D007E" w:rsidRDefault="001D007E">
      <w:pPr>
        <w:pStyle w:val="JuPara"/>
      </w:pPr>
      <w:r>
        <w:fldChar w:fldCharType="begin"/>
      </w:r>
      <w:r>
        <w:instrText xml:space="preserve"> SEQ level0 \*arabic </w:instrText>
      </w:r>
      <w:r>
        <w:fldChar w:fldCharType="separate"/>
      </w:r>
      <w:r w:rsidR="00197D24">
        <w:rPr>
          <w:noProof/>
        </w:rPr>
        <w:t>14</w:t>
      </w:r>
      <w:r>
        <w:fldChar w:fldCharType="end"/>
      </w:r>
      <w:r>
        <w:t xml:space="preserve">.  On 24 April 2004 the </w:t>
      </w:r>
      <w:smartTag w:uri="urn:schemas-microsoft-com:office:smarttags" w:element="Street">
        <w:smartTag w:uri="urn:schemas-microsoft-com:office:smarttags" w:element="address">
          <w:r>
            <w:t>Ivanovo Regional Court</w:t>
          </w:r>
        </w:smartTag>
      </w:smartTag>
      <w:r>
        <w:t xml:space="preserve"> initiated the jury</w:t>
      </w:r>
      <w:r w:rsidR="00711FE6">
        <w:t xml:space="preserve"> </w:t>
      </w:r>
      <w:r>
        <w:t xml:space="preserve">selection process. Twenty-five </w:t>
      </w:r>
      <w:r w:rsidR="00711FE6">
        <w:t xml:space="preserve">people </w:t>
      </w:r>
      <w:r>
        <w:t>reported for jury duty on that day.</w:t>
      </w:r>
    </w:p>
    <w:p w:rsidR="005A63E1" w:rsidP="001D007E" w:rsidRDefault="004D070B">
      <w:pPr>
        <w:pStyle w:val="JuPara"/>
      </w:pPr>
      <w:r w:rsidRPr="00BA0E2B">
        <w:fldChar w:fldCharType="begin"/>
      </w:r>
      <w:r w:rsidRPr="00BA0E2B">
        <w:instrText xml:space="preserve"> SEQ level0 \*arabic </w:instrText>
      </w:r>
      <w:r w:rsidRPr="00BA0E2B">
        <w:fldChar w:fldCharType="separate"/>
      </w:r>
      <w:r w:rsidR="00197D24">
        <w:rPr>
          <w:noProof/>
        </w:rPr>
        <w:t>15</w:t>
      </w:r>
      <w:r w:rsidRPr="00BA0E2B">
        <w:fldChar w:fldCharType="end"/>
      </w:r>
      <w:r w:rsidRPr="00BA0E2B">
        <w:t>.  </w:t>
      </w:r>
      <w:r w:rsidRPr="00BA0E2B" w:rsidR="001D007E">
        <w:t xml:space="preserve">Three potential jurors were excused </w:t>
      </w:r>
      <w:r w:rsidR="00711FE6">
        <w:t xml:space="preserve">for </w:t>
      </w:r>
      <w:r w:rsidRPr="00BA0E2B" w:rsidR="001D007E">
        <w:t>personal reasons. The prosecution successfully challenged one potential juror for cause and made two successful peremptory challenges. The defence made two jury challenges for cause and two peremptory challenges</w:t>
      </w:r>
      <w:r w:rsidR="00711FE6">
        <w:t>,</w:t>
      </w:r>
      <w:r w:rsidRPr="00BA0E2B" w:rsidR="001D007E">
        <w:t xml:space="preserve"> which were accepted.</w:t>
      </w:r>
    </w:p>
    <w:p w:rsidR="005A63E1" w:rsidP="001D007E" w:rsidRDefault="004D070B">
      <w:pPr>
        <w:pStyle w:val="JuPara"/>
      </w:pPr>
      <w:r>
        <w:fldChar w:fldCharType="begin"/>
      </w:r>
      <w:r>
        <w:instrText xml:space="preserve"> SEQ level0 \*arabic </w:instrText>
      </w:r>
      <w:r>
        <w:fldChar w:fldCharType="separate"/>
      </w:r>
      <w:r w:rsidR="00197D24">
        <w:rPr>
          <w:noProof/>
        </w:rPr>
        <w:t>16</w:t>
      </w:r>
      <w:r>
        <w:fldChar w:fldCharType="end"/>
      </w:r>
      <w:r>
        <w:t>.  </w:t>
      </w:r>
      <w:r w:rsidR="00711FE6">
        <w:t>A</w:t>
      </w:r>
      <w:r w:rsidR="001D007E">
        <w:t xml:space="preserve"> jury of twelve was selected and two alternates appointed. </w:t>
      </w:r>
      <w:r w:rsidR="00711FE6">
        <w:t xml:space="preserve">It appears </w:t>
      </w:r>
      <w:r w:rsidR="001D007E">
        <w:t>from the record of the jurors</w:t>
      </w:r>
      <w:r w:rsidR="008A5600">
        <w:t>’</w:t>
      </w:r>
      <w:r w:rsidR="001D007E">
        <w:t xml:space="preserve"> responses to the questions asked by the presiding judge</w:t>
      </w:r>
      <w:r w:rsidR="00644A7D">
        <w:t xml:space="preserve"> that</w:t>
      </w:r>
      <w:r w:rsidR="001D007E">
        <w:t xml:space="preserve"> close relatives of </w:t>
      </w:r>
      <w:r w:rsidR="007E147D">
        <w:t>five</w:t>
      </w:r>
      <w:r w:rsidR="001D007E">
        <w:t xml:space="preserve"> jurors worked </w:t>
      </w:r>
      <w:r w:rsidR="00644A7D">
        <w:t xml:space="preserve">for </w:t>
      </w:r>
      <w:r w:rsidR="001D007E">
        <w:t xml:space="preserve">the police and </w:t>
      </w:r>
      <w:r w:rsidR="00644A7D">
        <w:t xml:space="preserve">at </w:t>
      </w:r>
      <w:r w:rsidR="001D007E">
        <w:t xml:space="preserve">the Service for Execution of Sentences. </w:t>
      </w:r>
      <w:r>
        <w:t xml:space="preserve">In particular, the husband of juror no. 2 and the son of juror no. 4 worked as traffic police officers. The son-in-law of juror no. 3 was employed by the Service for </w:t>
      </w:r>
      <w:r w:rsidR="00644A7D">
        <w:t xml:space="preserve">the </w:t>
      </w:r>
      <w:r>
        <w:t xml:space="preserve">Execution of Sentences. </w:t>
      </w:r>
      <w:r w:rsidR="00644A7D">
        <w:t>The h</w:t>
      </w:r>
      <w:r>
        <w:t xml:space="preserve">usbands of jurors nos. 11 and 13 worked for the police </w:t>
      </w:r>
      <w:r w:rsidR="00644A7D">
        <w:t>as</w:t>
      </w:r>
      <w:r w:rsidR="00304A55">
        <w:t xml:space="preserve"> </w:t>
      </w:r>
      <w:r>
        <w:t>telecommunication</w:t>
      </w:r>
      <w:r w:rsidR="00644A7D">
        <w:t>s</w:t>
      </w:r>
      <w:r>
        <w:t xml:space="preserve"> and radio operators respectively. </w:t>
      </w:r>
      <w:r w:rsidR="00304A55">
        <w:t>In addition, t</w:t>
      </w:r>
      <w:r w:rsidR="001D007E">
        <w:t xml:space="preserve">wo jurors </w:t>
      </w:r>
      <w:r w:rsidR="00304A55">
        <w:t xml:space="preserve">on the panel </w:t>
      </w:r>
      <w:r w:rsidR="00644A7D">
        <w:t xml:space="preserve">had been </w:t>
      </w:r>
      <w:r w:rsidR="00304A55">
        <w:t xml:space="preserve">victims of criminal offences. In 2000 juror no. 1 </w:t>
      </w:r>
      <w:r w:rsidR="00E07312">
        <w:t>had been</w:t>
      </w:r>
      <w:r w:rsidR="00304A55">
        <w:t xml:space="preserve"> attacked by a drunk person</w:t>
      </w:r>
      <w:r w:rsidR="00E07312">
        <w:t xml:space="preserve">, but </w:t>
      </w:r>
      <w:r w:rsidR="00304A55">
        <w:t xml:space="preserve">the matter </w:t>
      </w:r>
      <w:r w:rsidR="00E07312">
        <w:t xml:space="preserve">was subsequently settled </w:t>
      </w:r>
      <w:r w:rsidR="00304A55">
        <w:t xml:space="preserve">out of court. In 1994 the son of juror no. 6 died </w:t>
      </w:r>
      <w:r w:rsidR="00E07312">
        <w:t>as a result of a</w:t>
      </w:r>
      <w:r w:rsidR="00304A55">
        <w:t xml:space="preserve"> house collapse.</w:t>
      </w:r>
    </w:p>
    <w:p w:rsidR="001D007E" w:rsidP="001D007E" w:rsidRDefault="00304A55">
      <w:pPr>
        <w:pStyle w:val="JuPara"/>
      </w:pPr>
      <w:r>
        <w:fldChar w:fldCharType="begin"/>
      </w:r>
      <w:r>
        <w:instrText xml:space="preserve"> SEQ level0 \*arabic </w:instrText>
      </w:r>
      <w:r>
        <w:fldChar w:fldCharType="separate"/>
      </w:r>
      <w:r w:rsidR="00197D24">
        <w:rPr>
          <w:noProof/>
        </w:rPr>
        <w:t>17</w:t>
      </w:r>
      <w:r>
        <w:fldChar w:fldCharType="end"/>
      </w:r>
      <w:r>
        <w:t>.  </w:t>
      </w:r>
      <w:r w:rsidR="001D007E">
        <w:t>After the jury had been empanelled and sworn</w:t>
      </w:r>
      <w:r w:rsidR="00644A7D">
        <w:t xml:space="preserve"> in</w:t>
      </w:r>
      <w:r w:rsidR="001D007E">
        <w:t>, defence counsel challenge</w:t>
      </w:r>
      <w:r w:rsidR="00B90D64">
        <w:t>d</w:t>
      </w:r>
      <w:r w:rsidR="001D007E">
        <w:t xml:space="preserve"> the entire jury </w:t>
      </w:r>
      <w:r w:rsidRPr="0048264E" w:rsidR="001D007E">
        <w:t>venire u</w:t>
      </w:r>
      <w:r w:rsidR="001D007E">
        <w:t xml:space="preserve">pon account of partiality. The defence alleged that the fact that certain jurors had been victims of criminal offences could influence their judgment. The challenge </w:t>
      </w:r>
      <w:r w:rsidR="0048264E">
        <w:t xml:space="preserve">for the </w:t>
      </w:r>
      <w:r w:rsidR="001D007E">
        <w:t>array was dismissed.</w:t>
      </w:r>
    </w:p>
    <w:p w:rsidR="00FB7BF2" w:rsidP="001D007E" w:rsidRDefault="00FB7BF2">
      <w:pPr>
        <w:pStyle w:val="JuPara"/>
      </w:pPr>
      <w:r>
        <w:fldChar w:fldCharType="begin"/>
      </w:r>
      <w:r>
        <w:instrText xml:space="preserve"> SEQ level0 \*arabic </w:instrText>
      </w:r>
      <w:r>
        <w:fldChar w:fldCharType="separate"/>
      </w:r>
      <w:r w:rsidR="00197D24">
        <w:rPr>
          <w:noProof/>
        </w:rPr>
        <w:t>18</w:t>
      </w:r>
      <w:r>
        <w:fldChar w:fldCharType="end"/>
      </w:r>
      <w:r>
        <w:t xml:space="preserve">.  On 24 November 2003 the </w:t>
      </w:r>
      <w:r w:rsidR="00C5775A">
        <w:t xml:space="preserve">President of the </w:t>
      </w:r>
      <w:smartTag w:uri="urn:schemas-microsoft-com:office:smarttags" w:element="Street">
        <w:smartTag w:uri="urn:schemas-microsoft-com:office:smarttags" w:element="address">
          <w:r>
            <w:t>Ivanovo Regional Court</w:t>
          </w:r>
        </w:smartTag>
      </w:smartTag>
      <w:r>
        <w:t xml:space="preserve"> sent a letter to Uzbek law-enforcement officials asking </w:t>
      </w:r>
      <w:r w:rsidR="00B062CF">
        <w:t>for</w:t>
      </w:r>
      <w:r>
        <w:t xml:space="preserve"> assistan</w:t>
      </w:r>
      <w:r w:rsidR="00B062CF">
        <w:t>ce</w:t>
      </w:r>
      <w:r>
        <w:t>. The letter, in so far as relevant, read as follows:</w:t>
      </w:r>
    </w:p>
    <w:p w:rsidR="00FB7BF2" w:rsidP="00FB7BF2" w:rsidRDefault="00FB7BF2">
      <w:pPr>
        <w:pStyle w:val="JuQuot"/>
      </w:pPr>
      <w:r>
        <w:t xml:space="preserve">“In compliance with the Convention on </w:t>
      </w:r>
      <w:r w:rsidRPr="00AC1D7C" w:rsidR="00EA730C">
        <w:t xml:space="preserve">Legal Assistance and Legal Relations </w:t>
      </w:r>
      <w:r>
        <w:t>in Civil, Family and Criminal Matters (Minsk, 22 January 1993), which came in</w:t>
      </w:r>
      <w:r w:rsidR="00B90D64">
        <w:t>to</w:t>
      </w:r>
      <w:r>
        <w:t xml:space="preserve"> force for </w:t>
      </w:r>
      <w:smartTag w:uri="urn:schemas-microsoft-com:office:smarttags" w:element="country-region">
        <w:r>
          <w:t>Uzbekistan</w:t>
        </w:r>
      </w:smartTag>
      <w:r>
        <w:t xml:space="preserve"> on 19 March 1994 and for </w:t>
      </w:r>
      <w:smartTag w:uri="urn:schemas-microsoft-com:office:smarttags" w:element="country-region">
        <w:r>
          <w:t>Russia</w:t>
        </w:r>
      </w:smartTag>
      <w:r>
        <w:t xml:space="preserve"> on 10 December 1994, the </w:t>
      </w:r>
      <w:smartTag w:uri="urn:schemas-microsoft-com:office:smarttags" w:element="Street">
        <w:smartTag w:uri="urn:schemas-microsoft-com:office:smarttags" w:element="address">
          <w:r>
            <w:t>Ivanovo Regional Court</w:t>
          </w:r>
        </w:smartTag>
      </w:smartTag>
      <w:r>
        <w:t xml:space="preserve"> asks competent officials of the </w:t>
      </w:r>
      <w:smartTag w:uri="urn:schemas-microsoft-com:office:smarttags" w:element="place">
        <w:smartTag w:uri="urn:schemas-microsoft-com:office:smarttags" w:element="PlaceType">
          <w:r>
            <w:t>Republic</w:t>
          </w:r>
        </w:smartTag>
        <w:r>
          <w:t xml:space="preserve"> of </w:t>
        </w:r>
        <w:smartTag w:uri="urn:schemas-microsoft-com:office:smarttags" w:element="PlaceName">
          <w:r>
            <w:t>Uzbekistan</w:t>
          </w:r>
        </w:smartTag>
      </w:smartTag>
      <w:r>
        <w:t xml:space="preserve"> to provide legal assistance in a criminal case...</w:t>
      </w:r>
    </w:p>
    <w:p w:rsidR="00FB7BF2" w:rsidP="00FB7BF2" w:rsidRDefault="00FB7BF2">
      <w:pPr>
        <w:pStyle w:val="JuQuot"/>
      </w:pPr>
      <w:r>
        <w:t xml:space="preserve">According to </w:t>
      </w:r>
      <w:r w:rsidR="00B90D64">
        <w:t xml:space="preserve">the </w:t>
      </w:r>
      <w:r>
        <w:t>case</w:t>
      </w:r>
      <w:r w:rsidR="00B90D64">
        <w:t>-</w:t>
      </w:r>
      <w:r>
        <w:t xml:space="preserve">file materials all </w:t>
      </w:r>
      <w:r w:rsidR="00B90D64">
        <w:t xml:space="preserve">the </w:t>
      </w:r>
      <w:r>
        <w:t xml:space="preserve">witnesses the court wants to call to testify in the present case live in the </w:t>
      </w:r>
      <w:smartTag w:uri="urn:schemas-microsoft-com:office:smarttags" w:element="place">
        <w:smartTag w:uri="urn:schemas-microsoft-com:office:smarttags" w:element="PlaceType">
          <w:r>
            <w:t>Republic</w:t>
          </w:r>
        </w:smartTag>
        <w:r>
          <w:t xml:space="preserve"> of </w:t>
        </w:r>
        <w:smartTag w:uri="urn:schemas-microsoft-com:office:smarttags" w:element="PlaceName">
          <w:r>
            <w:t>Uzbekistan</w:t>
          </w:r>
        </w:smartTag>
      </w:smartTag>
      <w:r>
        <w:t>.</w:t>
      </w:r>
    </w:p>
    <w:p w:rsidR="00FB7BF2" w:rsidP="00FB7BF2" w:rsidRDefault="00FB7BF2">
      <w:pPr>
        <w:pStyle w:val="JuQuot"/>
      </w:pPr>
      <w:r>
        <w:t xml:space="preserve">In this respect, [I] </w:t>
      </w:r>
      <w:r w:rsidR="00C5775A">
        <w:t xml:space="preserve">ask you to provide legal assistance in ensuring the </w:t>
      </w:r>
      <w:r w:rsidR="00B062CF">
        <w:t>appearance of</w:t>
      </w:r>
      <w:r w:rsidR="00C5775A">
        <w:t xml:space="preserve"> the witnesses in the criminal case be</w:t>
      </w:r>
      <w:r w:rsidR="0080639B">
        <w:t>fore the Ivanovo Regional Court</w:t>
      </w:r>
      <w:r w:rsidR="00C5775A">
        <w:t xml:space="preserve">... at 10 a.m. on 20 January 2004, by serving the </w:t>
      </w:r>
      <w:r w:rsidR="00B90D64">
        <w:t xml:space="preserve">individuals </w:t>
      </w:r>
      <w:r w:rsidR="00C5775A">
        <w:t xml:space="preserve">listed below with the enclosed summons and by providing [the Ivanovo Regional] court with documents confirming </w:t>
      </w:r>
      <w:r w:rsidR="00B90D64">
        <w:t xml:space="preserve">that </w:t>
      </w:r>
      <w:r w:rsidR="00C5775A">
        <w:t>the summons</w:t>
      </w:r>
      <w:r w:rsidR="00B90D64">
        <w:t>es have been served</w:t>
      </w:r>
      <w:r w:rsidR="00C5775A">
        <w:t>:</w:t>
      </w:r>
    </w:p>
    <w:p w:rsidR="00C5775A" w:rsidP="00FB7BF2" w:rsidRDefault="00C5775A">
      <w:pPr>
        <w:pStyle w:val="JuQuot"/>
      </w:pPr>
      <w:r>
        <w:t>[</w:t>
      </w:r>
      <w:r w:rsidR="00E06DD7">
        <w:t>T</w:t>
      </w:r>
      <w:r>
        <w:t xml:space="preserve">he </w:t>
      </w:r>
      <w:smartTag w:uri="urn:schemas-microsoft-com:office:smarttags" w:element="Street">
        <w:smartTag w:uri="urn:schemas-microsoft-com:office:smarttags" w:element="address">
          <w:r>
            <w:t>Ivanovo Regional Court</w:t>
          </w:r>
        </w:smartTag>
      </w:smartTag>
      <w:r>
        <w:t xml:space="preserve"> enclosed a list of thirteen witnesses, </w:t>
      </w:r>
      <w:r w:rsidR="00B90D64">
        <w:t xml:space="preserve">including </w:t>
      </w:r>
      <w:r>
        <w:t>their date</w:t>
      </w:r>
      <w:r w:rsidR="00B90D64">
        <w:t>s</w:t>
      </w:r>
      <w:r>
        <w:t xml:space="preserve"> of birth and home address</w:t>
      </w:r>
      <w:r w:rsidR="00B90D64">
        <w:t>es</w:t>
      </w:r>
      <w:r w:rsidR="00B051A8">
        <w:t xml:space="preserve">. All </w:t>
      </w:r>
      <w:r w:rsidR="00B90D64">
        <w:t xml:space="preserve">but two of the </w:t>
      </w:r>
      <w:r w:rsidR="00B051A8">
        <w:t>witnesses, li</w:t>
      </w:r>
      <w:r w:rsidR="00B90D64">
        <w:t>v</w:t>
      </w:r>
      <w:r w:rsidR="00B051A8">
        <w:t xml:space="preserve">ed in </w:t>
      </w:r>
      <w:smartTag w:uri="urn:schemas-microsoft-com:office:smarttags" w:element="place">
        <w:smartTag w:uri="urn:schemas-microsoft-com:office:smarttags" w:element="City">
          <w:r w:rsidR="00B051A8">
            <w:t>Tashkent</w:t>
          </w:r>
        </w:smartTag>
      </w:smartTag>
      <w:r w:rsidR="00B051A8">
        <w:t xml:space="preserve">. The remaining two were registered in the town of </w:t>
      </w:r>
      <w:proofErr w:type="spellStart"/>
      <w:smartTag w:uri="urn:schemas-microsoft-com:office:smarttags" w:element="place">
        <w:smartTag w:uri="urn:schemas-microsoft-com:office:smarttags" w:element="City">
          <w:r w:rsidR="00B051A8">
            <w:t>Dzhizak</w:t>
          </w:r>
        </w:smartTag>
      </w:smartTag>
      <w:proofErr w:type="spellEnd"/>
      <w:r>
        <w:t>].”</w:t>
      </w:r>
    </w:p>
    <w:p w:rsidR="00C5775A" w:rsidP="00C5775A" w:rsidRDefault="00C5775A">
      <w:pPr>
        <w:pStyle w:val="JuPara"/>
      </w:pPr>
      <w:r>
        <w:t xml:space="preserve">A similar letter was sent on 26 November 2003 by the Russian Ministry of Justice to the Ministry of Justice </w:t>
      </w:r>
      <w:r w:rsidR="00B90D64">
        <w:t>of</w:t>
      </w:r>
      <w:r>
        <w:t xml:space="preserve"> the </w:t>
      </w:r>
      <w:smartTag w:uri="urn:schemas-microsoft-com:office:smarttags" w:element="place">
        <w:smartTag w:uri="urn:schemas-microsoft-com:office:smarttags" w:element="PlaceType">
          <w:r>
            <w:t>Republic</w:t>
          </w:r>
        </w:smartTag>
        <w:r>
          <w:t xml:space="preserve"> of </w:t>
        </w:r>
        <w:smartTag w:uri="urn:schemas-microsoft-com:office:smarttags" w:element="PlaceName">
          <w:r>
            <w:t>Uzbekistan</w:t>
          </w:r>
        </w:smartTag>
      </w:smartTag>
      <w:r>
        <w:t>.</w:t>
      </w:r>
    </w:p>
    <w:p w:rsidR="00F62998" w:rsidP="00C5775A" w:rsidRDefault="00F62998">
      <w:pPr>
        <w:pStyle w:val="JuPara"/>
      </w:pPr>
      <w:r>
        <w:fldChar w:fldCharType="begin"/>
      </w:r>
      <w:r>
        <w:instrText xml:space="preserve"> SEQ level0 \*arabic </w:instrText>
      </w:r>
      <w:r>
        <w:fldChar w:fldCharType="separate"/>
      </w:r>
      <w:r w:rsidR="00197D24">
        <w:rPr>
          <w:noProof/>
        </w:rPr>
        <w:t>19</w:t>
      </w:r>
      <w:r>
        <w:fldChar w:fldCharType="end"/>
      </w:r>
      <w:r>
        <w:t xml:space="preserve">.  On 20 February 2004 the </w:t>
      </w:r>
      <w:smartTag w:uri="urn:schemas-microsoft-com:office:smarttags" w:element="Street">
        <w:smartTag w:uri="urn:schemas-microsoft-com:office:smarttags" w:element="address">
          <w:r>
            <w:t>Ivanovo Regional Court</w:t>
          </w:r>
        </w:smartTag>
      </w:smartTag>
      <w:r>
        <w:t xml:space="preserve"> issued a decision</w:t>
      </w:r>
      <w:r w:rsidR="00DB1CE1">
        <w:t>,</w:t>
      </w:r>
      <w:r>
        <w:t xml:space="preserve"> which read as follows:</w:t>
      </w:r>
    </w:p>
    <w:p w:rsidR="005A63E1" w:rsidP="00F62998" w:rsidRDefault="00F62998">
      <w:pPr>
        <w:pStyle w:val="JuQuot"/>
      </w:pPr>
      <w:r>
        <w:t>“</w:t>
      </w:r>
      <w:r w:rsidR="00B051A8">
        <w:t>[The applicant] is accused of murder</w:t>
      </w:r>
      <w:r w:rsidR="00ED418B">
        <w:t xml:space="preserve">ing, </w:t>
      </w:r>
      <w:r w:rsidR="00DB1CE1">
        <w:t xml:space="preserve">on </w:t>
      </w:r>
      <w:r w:rsidR="006B3301">
        <w:t>22 February 1998</w:t>
      </w:r>
      <w:r w:rsidR="00ED418B">
        <w:t>,</w:t>
      </w:r>
      <w:r w:rsidR="006B3301">
        <w:t xml:space="preserve"> </w:t>
      </w:r>
      <w:r w:rsidR="0071469A">
        <w:t>together with Mr </w:t>
      </w:r>
      <w:r w:rsidR="00B051A8">
        <w:t>A.</w:t>
      </w:r>
      <w:r w:rsidR="00ED418B">
        <w:t>,</w:t>
      </w:r>
      <w:r w:rsidR="00B051A8">
        <w:t xml:space="preserve"> an elderly woman, Ms B., in </w:t>
      </w:r>
      <w:smartTag w:uri="urn:schemas-microsoft-com:office:smarttags" w:element="place">
        <w:smartTag w:uri="urn:schemas-microsoft-com:office:smarttags" w:element="City">
          <w:r w:rsidR="00B051A8">
            <w:t>Tashkent</w:t>
          </w:r>
        </w:smartTag>
      </w:smartTag>
      <w:r w:rsidR="00ED418B">
        <w:t xml:space="preserve">, with the intention of </w:t>
      </w:r>
      <w:r w:rsidR="00B051A8">
        <w:t>taking her property.</w:t>
      </w:r>
    </w:p>
    <w:p w:rsidR="00B051A8" w:rsidP="00F62998" w:rsidRDefault="00B051A8">
      <w:pPr>
        <w:pStyle w:val="JuQuot"/>
      </w:pPr>
      <w:r>
        <w:t xml:space="preserve">[The prosecution] included Mr A. on the list of </w:t>
      </w:r>
      <w:r w:rsidR="00ED418B">
        <w:t xml:space="preserve">those </w:t>
      </w:r>
      <w:r>
        <w:t xml:space="preserve">to be heard in court </w:t>
      </w:r>
      <w:r w:rsidR="00ED418B">
        <w:t xml:space="preserve">as witnesses for the </w:t>
      </w:r>
      <w:r>
        <w:t xml:space="preserve">prosecution... Mr A. [who had already been found guilty of those </w:t>
      </w:r>
      <w:r w:rsidR="00ED418B">
        <w:t xml:space="preserve">offences </w:t>
      </w:r>
      <w:r>
        <w:t xml:space="preserve">by a court in </w:t>
      </w:r>
      <w:smartTag w:uri="urn:schemas-microsoft-com:office:smarttags" w:element="country-region">
        <w:r>
          <w:t>Uzbekistan</w:t>
        </w:r>
      </w:smartTag>
      <w:r>
        <w:t xml:space="preserve"> and sentenced to eighteen years</w:t>
      </w:r>
      <w:r w:rsidR="008A5600">
        <w:t>’</w:t>
      </w:r>
      <w:r>
        <w:t xml:space="preserve"> imprisonment] is currently serving his sentence in [a correctional colony] in the town of </w:t>
      </w:r>
      <w:proofErr w:type="spellStart"/>
      <w:smartTag w:uri="urn:schemas-microsoft-com:office:smarttags" w:element="place">
        <w:smartTag w:uri="urn:schemas-microsoft-com:office:smarttags" w:element="City">
          <w:r>
            <w:t>Almalyk</w:t>
          </w:r>
        </w:smartTag>
      </w:smartTag>
      <w:proofErr w:type="spellEnd"/>
      <w:r>
        <w:t xml:space="preserve"> in the Tashkent Region </w:t>
      </w:r>
      <w:r w:rsidR="00ED418B">
        <w:t>of</w:t>
      </w:r>
      <w:r w:rsidR="005A63E1">
        <w:t xml:space="preserve"> </w:t>
      </w:r>
      <w:smartTag w:uri="urn:schemas-microsoft-com:office:smarttags" w:element="country-region">
        <w:r>
          <w:t>Uzbekistan</w:t>
        </w:r>
      </w:smartTag>
      <w:r>
        <w:t>.</w:t>
      </w:r>
    </w:p>
    <w:p w:rsidR="00F62998" w:rsidP="00F62998" w:rsidRDefault="00B051A8">
      <w:pPr>
        <w:pStyle w:val="JuQuot"/>
      </w:pPr>
      <w:r>
        <w:t xml:space="preserve">Having regard to the fact that </w:t>
      </w:r>
      <w:r w:rsidR="0030331A">
        <w:t xml:space="preserve">pursuant to </w:t>
      </w:r>
      <w:r>
        <w:t xml:space="preserve">Article 240 of the Russian Code of Criminal Procedure </w:t>
      </w:r>
      <w:r w:rsidR="00ED418B">
        <w:t xml:space="preserve">all </w:t>
      </w:r>
      <w:r>
        <w:t>item</w:t>
      </w:r>
      <w:r w:rsidR="00ED418B">
        <w:t>s</w:t>
      </w:r>
      <w:r>
        <w:t xml:space="preserve"> of evidence in a case, including statements by witnesses, </w:t>
      </w:r>
      <w:r w:rsidR="00ED418B">
        <w:t>are</w:t>
      </w:r>
      <w:r>
        <w:t xml:space="preserve"> to be examined in open court, [I] consider it necessary to take steps to ensure the presence </w:t>
      </w:r>
      <w:r w:rsidR="00ED418B">
        <w:t>of</w:t>
      </w:r>
      <w:r>
        <w:t xml:space="preserve"> that witness at a court hearing</w:t>
      </w:r>
      <w:r w:rsidR="00ED418B">
        <w:t>,</w:t>
      </w:r>
      <w:r>
        <w:t xml:space="preserve"> in compliance with </w:t>
      </w:r>
      <w:r w:rsidR="00ED418B">
        <w:t xml:space="preserve">the </w:t>
      </w:r>
      <w:r>
        <w:t>requirements of international law.</w:t>
      </w:r>
    </w:p>
    <w:p w:rsidR="005A63E1" w:rsidP="00F62998" w:rsidRDefault="00B051A8">
      <w:pPr>
        <w:pStyle w:val="JuQuot"/>
      </w:pPr>
      <w:r>
        <w:t>Paragraph 5 of Article 456 of the Russian Code of Criminal Procedure</w:t>
      </w:r>
      <w:r w:rsidR="00ED418B">
        <w:t>,</w:t>
      </w:r>
      <w:r>
        <w:t xml:space="preserve"> which defines </w:t>
      </w:r>
      <w:r w:rsidR="00ED418B">
        <w:t xml:space="preserve">how </w:t>
      </w:r>
      <w:r>
        <w:t xml:space="preserve">a person who is detained in a foreign </w:t>
      </w:r>
      <w:r w:rsidR="006B3301">
        <w:t>S</w:t>
      </w:r>
      <w:r>
        <w:t>tate is to be called to a court hearing</w:t>
      </w:r>
      <w:r w:rsidR="00ED418B">
        <w:t>,</w:t>
      </w:r>
      <w:r>
        <w:t xml:space="preserve"> refers to paragraph 3 of Article 453 of the Russian Code of Criminal Procedure</w:t>
      </w:r>
      <w:r w:rsidR="00ED418B">
        <w:t>,</w:t>
      </w:r>
      <w:r>
        <w:t xml:space="preserve"> </w:t>
      </w:r>
      <w:r w:rsidR="00C401D4">
        <w:t xml:space="preserve">by virtue of </w:t>
      </w:r>
      <w:r>
        <w:t xml:space="preserve">which a request for legal assistance is to </w:t>
      </w:r>
      <w:r w:rsidR="006B3301">
        <w:t xml:space="preserve">be </w:t>
      </w:r>
      <w:r w:rsidR="00ED418B">
        <w:t>submitted</w:t>
      </w:r>
      <w:r>
        <w:t xml:space="preserve"> in accordance with an international </w:t>
      </w:r>
      <w:r w:rsidR="006B3301">
        <w:t xml:space="preserve">agreement between the Russian Federation [and the foreign State]. The </w:t>
      </w:r>
      <w:r w:rsidR="00B062CF">
        <w:t xml:space="preserve">Convention </w:t>
      </w:r>
      <w:r w:rsidRPr="00AC1D7C" w:rsidR="00EA730C">
        <w:t xml:space="preserve">on Legal Assistance and Legal Relations </w:t>
      </w:r>
      <w:r w:rsidR="006B3301">
        <w:t xml:space="preserve">in Civil, Family and Criminal </w:t>
      </w:r>
      <w:r w:rsidR="0080639B">
        <w:t>Matters (Minsk, 22 January 1993.</w:t>
      </w:r>
      <w:r w:rsidR="006B3301">
        <w:t xml:space="preserve">..)... plays the role of </w:t>
      </w:r>
      <w:r w:rsidR="00C401D4">
        <w:t xml:space="preserve">that </w:t>
      </w:r>
      <w:r w:rsidR="006B3301">
        <w:t>international agreement in the present case.</w:t>
      </w:r>
    </w:p>
    <w:p w:rsidR="005A63E1" w:rsidP="00F62998" w:rsidRDefault="006B3301">
      <w:pPr>
        <w:pStyle w:val="JuQuot"/>
      </w:pPr>
      <w:r>
        <w:t xml:space="preserve">Article 78.1 of the Convention </w:t>
      </w:r>
      <w:r w:rsidR="00B062CF">
        <w:t>provides for</w:t>
      </w:r>
      <w:r>
        <w:t xml:space="preserve"> </w:t>
      </w:r>
      <w:r w:rsidR="00C401D4">
        <w:t xml:space="preserve">the </w:t>
      </w:r>
      <w:r>
        <w:t xml:space="preserve">possibility </w:t>
      </w:r>
      <w:r w:rsidR="00C401D4">
        <w:t>of</w:t>
      </w:r>
      <w:r>
        <w:t xml:space="preserve"> </w:t>
      </w:r>
      <w:r w:rsidR="00C401D4">
        <w:t xml:space="preserve">conveying </w:t>
      </w:r>
      <w:r>
        <w:t xml:space="preserve">a person who is serving </w:t>
      </w:r>
      <w:r w:rsidR="00C401D4">
        <w:t>a</w:t>
      </w:r>
      <w:r>
        <w:t xml:space="preserve"> sentence (if he agrees) to be questioned as a witness</w:t>
      </w:r>
      <w:r w:rsidR="006A3FFF">
        <w:t>,</w:t>
      </w:r>
      <w:r>
        <w:t xml:space="preserve"> following a decision by the Prosecutor General of the requesting State.</w:t>
      </w:r>
    </w:p>
    <w:p w:rsidR="006B3301" w:rsidP="00F62998" w:rsidRDefault="006B3301">
      <w:pPr>
        <w:pStyle w:val="JuQuot"/>
      </w:pPr>
      <w:r>
        <w:t xml:space="preserve">By virtue of Article 80 of the Convention the </w:t>
      </w:r>
      <w:r w:rsidR="006A3FFF">
        <w:t>actions</w:t>
      </w:r>
      <w:r>
        <w:t xml:space="preserve"> in question which require authorisation by a prosecutor (a court) are to be carried out by prosecuti</w:t>
      </w:r>
      <w:r w:rsidR="006A3FFF">
        <w:t>ng</w:t>
      </w:r>
      <w:r>
        <w:t xml:space="preserve"> authorities within the procedure defined by the Prosecutor</w:t>
      </w:r>
      <w:r w:rsidR="006A3FFF">
        <w:t>s</w:t>
      </w:r>
      <w:r>
        <w:t xml:space="preserve"> General of the two States.”</w:t>
      </w:r>
    </w:p>
    <w:p w:rsidR="005A63E1" w:rsidP="00C5775A" w:rsidRDefault="00BE4B9A">
      <w:pPr>
        <w:pStyle w:val="JuPara"/>
      </w:pPr>
      <w:r>
        <w:t xml:space="preserve">On </w:t>
      </w:r>
      <w:r w:rsidR="00F62998">
        <w:t>the same day</w:t>
      </w:r>
      <w:r>
        <w:t xml:space="preserve"> the President of the </w:t>
      </w:r>
      <w:smartTag w:uri="urn:schemas-microsoft-com:office:smarttags" w:element="Street">
        <w:smartTag w:uri="urn:schemas-microsoft-com:office:smarttags" w:element="address">
          <w:r>
            <w:t>Ivanovo Regional Court</w:t>
          </w:r>
        </w:smartTag>
      </w:smartTag>
      <w:r>
        <w:t xml:space="preserve">, relying on the norms of the Convention </w:t>
      </w:r>
      <w:r w:rsidRPr="00AC1D7C" w:rsidR="00EA730C">
        <w:t xml:space="preserve">on Legal Assistance and Legal Relations </w:t>
      </w:r>
      <w:r>
        <w:t>in Civil, Family and Criminal Matters</w:t>
      </w:r>
      <w:r w:rsidR="00DB1CE1">
        <w:t xml:space="preserve"> (“the Minsk Convention”)</w:t>
      </w:r>
      <w:r>
        <w:t xml:space="preserve">, </w:t>
      </w:r>
      <w:r w:rsidR="00F62998">
        <w:t xml:space="preserve">sent similar letters to the offices of the Prosecutor General of the </w:t>
      </w:r>
      <w:smartTag w:uri="urn:schemas-microsoft-com:office:smarttags" w:element="country-region">
        <w:r w:rsidR="00F62998">
          <w:t>Russian Federation</w:t>
        </w:r>
      </w:smartTag>
      <w:r w:rsidR="00F62998">
        <w:t xml:space="preserve"> and that of the </w:t>
      </w:r>
      <w:smartTag w:uri="urn:schemas-microsoft-com:office:smarttags" w:element="place">
        <w:smartTag w:uri="urn:schemas-microsoft-com:office:smarttags" w:element="PlaceType">
          <w:r w:rsidR="00F62998">
            <w:t>Republic</w:t>
          </w:r>
        </w:smartTag>
        <w:r w:rsidR="00F62998">
          <w:t xml:space="preserve"> of </w:t>
        </w:r>
        <w:smartTag w:uri="urn:schemas-microsoft-com:office:smarttags" w:element="PlaceName">
          <w:r w:rsidR="00F62998">
            <w:t>Uzbekistan</w:t>
          </w:r>
        </w:smartTag>
      </w:smartTag>
      <w:r w:rsidR="00F62998">
        <w:t>. The court president asked the prosecuti</w:t>
      </w:r>
      <w:r w:rsidR="006A3FFF">
        <w:t>ng</w:t>
      </w:r>
      <w:r w:rsidR="00F62998">
        <w:t xml:space="preserve"> authorities of the both countries to </w:t>
      </w:r>
      <w:r w:rsidR="006A3FFF">
        <w:t xml:space="preserve">convey </w:t>
      </w:r>
      <w:r w:rsidR="00F62998">
        <w:t>the applicant</w:t>
      </w:r>
      <w:r w:rsidR="008A5600">
        <w:t>’</w:t>
      </w:r>
      <w:r w:rsidR="00F62998">
        <w:t xml:space="preserve">s </w:t>
      </w:r>
      <w:r w:rsidR="006A3FFF">
        <w:t>associate</w:t>
      </w:r>
      <w:r w:rsidR="00F62998">
        <w:t xml:space="preserve">, Mr A., to </w:t>
      </w:r>
      <w:smartTag w:uri="urn:schemas-microsoft-com:office:smarttags" w:element="place">
        <w:smartTag w:uri="urn:schemas-microsoft-com:office:smarttags" w:element="country-region">
          <w:r w:rsidR="00F62998">
            <w:t>Russia</w:t>
          </w:r>
        </w:smartTag>
      </w:smartTag>
      <w:r w:rsidR="00F62998">
        <w:t xml:space="preserve"> for him to testify in open court in the criminal case against the applicant.</w:t>
      </w:r>
    </w:p>
    <w:bookmarkStart w:name="witness" w:id="6"/>
    <w:bookmarkStart w:name="witness1" w:id="7"/>
    <w:p w:rsidR="005A63E1" w:rsidP="00C5775A" w:rsidRDefault="006B3301">
      <w:pPr>
        <w:pStyle w:val="JuPara"/>
      </w:pPr>
      <w:r>
        <w:fldChar w:fldCharType="begin"/>
      </w:r>
      <w:r>
        <w:instrText xml:space="preserve"> SEQ level0 \*arabic </w:instrText>
      </w:r>
      <w:r>
        <w:fldChar w:fldCharType="separate"/>
      </w:r>
      <w:r w:rsidR="00197D24">
        <w:rPr>
          <w:noProof/>
        </w:rPr>
        <w:t>20</w:t>
      </w:r>
      <w:r>
        <w:fldChar w:fldCharType="end"/>
      </w:r>
      <w:bookmarkEnd w:id="6"/>
      <w:bookmarkEnd w:id="7"/>
      <w:r>
        <w:t xml:space="preserve">.  In January 2004 the </w:t>
      </w:r>
      <w:smartTag w:uri="urn:schemas-microsoft-com:office:smarttags" w:element="Street">
        <w:smartTag w:uri="urn:schemas-microsoft-com:office:smarttags" w:element="address">
          <w:r>
            <w:t>Ivanovo Regional Court</w:t>
          </w:r>
        </w:smartTag>
      </w:smartTag>
      <w:r>
        <w:t xml:space="preserve"> received </w:t>
      </w:r>
      <w:r w:rsidR="005D6D34">
        <w:t xml:space="preserve">information regarding attendance by two witnesses from the list. A judge from the </w:t>
      </w:r>
      <w:proofErr w:type="spellStart"/>
      <w:smartTag w:uri="urn:schemas-microsoft-com:office:smarttags" w:element="Street">
        <w:smartTag w:uri="urn:schemas-microsoft-com:office:smarttags" w:element="address">
          <w:r w:rsidR="005D6D34">
            <w:t>Dzhizak</w:t>
          </w:r>
          <w:proofErr w:type="spellEnd"/>
          <w:r w:rsidR="005D6D34">
            <w:t xml:space="preserve"> Town Court</w:t>
          </w:r>
        </w:smartTag>
      </w:smartTag>
      <w:r w:rsidR="005D6D34">
        <w:t xml:space="preserve"> in </w:t>
      </w:r>
      <w:smartTag w:uri="urn:schemas-microsoft-com:office:smarttags" w:element="country-region">
        <w:r w:rsidR="005D6D34">
          <w:t>Uzbekistan</w:t>
        </w:r>
      </w:smartTag>
      <w:r w:rsidR="005D6D34">
        <w:t xml:space="preserve"> informed the </w:t>
      </w:r>
      <w:smartTag w:uri="urn:schemas-microsoft-com:office:smarttags" w:element="Street">
        <w:smartTag w:uri="urn:schemas-microsoft-com:office:smarttags" w:element="address">
          <w:r w:rsidR="005D6D34">
            <w:t>Regional Court</w:t>
          </w:r>
        </w:smartTag>
      </w:smartTag>
      <w:r w:rsidR="005D6D34">
        <w:t xml:space="preserve"> that the whereabouts of one witness were unknown and that another witness could not travel to </w:t>
      </w:r>
      <w:smartTag w:uri="urn:schemas-microsoft-com:office:smarttags" w:element="place">
        <w:smartTag w:uri="urn:schemas-microsoft-com:office:smarttags" w:element="country-region">
          <w:r w:rsidR="005D6D34">
            <w:t>Russia</w:t>
          </w:r>
        </w:smartTag>
      </w:smartTag>
      <w:r w:rsidR="005D6D34">
        <w:t xml:space="preserve"> in view of his difficult financial situation. The judge also noted that the second witness </w:t>
      </w:r>
      <w:r w:rsidR="006A3FFF">
        <w:t xml:space="preserve">stood by the </w:t>
      </w:r>
      <w:r w:rsidR="005D6D34">
        <w:t xml:space="preserve">statements </w:t>
      </w:r>
      <w:r w:rsidR="006A3FFF">
        <w:t xml:space="preserve">he had </w:t>
      </w:r>
      <w:r w:rsidR="005D6D34">
        <w:t>given to the investigating authorities.</w:t>
      </w:r>
    </w:p>
    <w:p w:rsidR="005A63E1" w:rsidP="00C5775A" w:rsidRDefault="005D6D34">
      <w:pPr>
        <w:pStyle w:val="JuPara"/>
      </w:pPr>
      <w:r>
        <w:t xml:space="preserve">On 17 and 19 April 2004 the </w:t>
      </w:r>
      <w:smartTag w:uri="urn:schemas-microsoft-com:office:smarttags" w:element="Street">
        <w:smartTag w:uri="urn:schemas-microsoft-com:office:smarttags" w:element="address">
          <w:r w:rsidR="00667D07">
            <w:t>Regional Court</w:t>
          </w:r>
        </w:smartTag>
      </w:smartTag>
      <w:r w:rsidR="00667D07">
        <w:t xml:space="preserve"> received e-mails from two</w:t>
      </w:r>
      <w:r w:rsidR="003542B0">
        <w:t> </w:t>
      </w:r>
      <w:r w:rsidR="00667D07">
        <w:t xml:space="preserve">other witnesses who, in similar wording and </w:t>
      </w:r>
      <w:r w:rsidR="006A3FFF">
        <w:t xml:space="preserve">citing </w:t>
      </w:r>
      <w:r w:rsidR="00667D07">
        <w:t xml:space="preserve">their difficult family situation and poor health, informed the court </w:t>
      </w:r>
      <w:r w:rsidR="006A3FFF">
        <w:t xml:space="preserve">that they were unable </w:t>
      </w:r>
      <w:r w:rsidR="00667D07">
        <w:t xml:space="preserve">to attend the trial. The witnesses also </w:t>
      </w:r>
      <w:r w:rsidR="00B062CF">
        <w:t>gave</w:t>
      </w:r>
      <w:r w:rsidR="00667D07">
        <w:t xml:space="preserve"> their full support </w:t>
      </w:r>
      <w:r w:rsidR="00B062CF">
        <w:t>to</w:t>
      </w:r>
      <w:r w:rsidR="00667D07">
        <w:t xml:space="preserve"> the statements made during the pre-trial investigation. </w:t>
      </w:r>
      <w:r w:rsidR="00B82E50">
        <w:t>A telegram from another witness arrived on 23 April 2003. Th</w:t>
      </w:r>
      <w:r w:rsidR="006A3FFF">
        <w:t>is</w:t>
      </w:r>
      <w:r w:rsidR="00B82E50">
        <w:t xml:space="preserve"> witness refused to travel to </w:t>
      </w:r>
      <w:smartTag w:uri="urn:schemas-microsoft-com:office:smarttags" w:element="place">
        <w:smartTag w:uri="urn:schemas-microsoft-com:office:smarttags" w:element="country-region">
          <w:r w:rsidR="00B82E50">
            <w:t>Russia</w:t>
          </w:r>
        </w:smartTag>
      </w:smartTag>
      <w:r w:rsidR="006A3FFF">
        <w:t>,</w:t>
      </w:r>
      <w:r w:rsidR="00B82E50">
        <w:t xml:space="preserve"> citing</w:t>
      </w:r>
      <w:r w:rsidR="00EF3296">
        <w:t xml:space="preserve"> </w:t>
      </w:r>
      <w:r w:rsidR="00B82E50">
        <w:t xml:space="preserve">poor health. </w:t>
      </w:r>
      <w:r w:rsidR="002A22D8">
        <w:t xml:space="preserve">The </w:t>
      </w:r>
      <w:smartTag w:uri="urn:schemas-microsoft-com:office:smarttags" w:element="Street">
        <w:smartTag w:uri="urn:schemas-microsoft-com:office:smarttags" w:element="address">
          <w:r w:rsidR="002A22D8">
            <w:t>Regional Court</w:t>
          </w:r>
        </w:smartTag>
      </w:smartTag>
      <w:r w:rsidR="002A22D8">
        <w:t xml:space="preserve"> did not receive any information pertaining to the remaining witnesses.</w:t>
      </w:r>
    </w:p>
    <w:p w:rsidR="001D007E" w:rsidP="001D007E" w:rsidRDefault="00304A55">
      <w:pPr>
        <w:pStyle w:val="JuPara"/>
      </w:pPr>
      <w:r>
        <w:fldChar w:fldCharType="begin"/>
      </w:r>
      <w:r>
        <w:instrText xml:space="preserve"> SEQ level0 \*arabic </w:instrText>
      </w:r>
      <w:r>
        <w:fldChar w:fldCharType="separate"/>
      </w:r>
      <w:r w:rsidR="00197D24">
        <w:rPr>
          <w:noProof/>
        </w:rPr>
        <w:t>21</w:t>
      </w:r>
      <w:r>
        <w:fldChar w:fldCharType="end"/>
      </w:r>
      <w:r>
        <w:t>.  </w:t>
      </w:r>
      <w:r w:rsidR="001D007E">
        <w:t xml:space="preserve">On 22 April 2004 the </w:t>
      </w:r>
      <w:smartTag w:uri="urn:schemas-microsoft-com:office:smarttags" w:element="Street">
        <w:smartTag w:uri="urn:schemas-microsoft-com:office:smarttags" w:element="address">
          <w:r w:rsidR="001D007E">
            <w:t>Ivanovo Regional Court</w:t>
          </w:r>
        </w:smartTag>
      </w:smartTag>
      <w:r w:rsidR="001D007E">
        <w:t xml:space="preserve"> held a trial hearing.</w:t>
      </w:r>
    </w:p>
    <w:p w:rsidR="001D007E" w:rsidP="001D007E" w:rsidRDefault="00304A55">
      <w:pPr>
        <w:pStyle w:val="JuPara"/>
      </w:pPr>
      <w:r>
        <w:fldChar w:fldCharType="begin"/>
      </w:r>
      <w:r>
        <w:instrText xml:space="preserve"> SEQ level0 \*arabic </w:instrText>
      </w:r>
      <w:r>
        <w:fldChar w:fldCharType="separate"/>
      </w:r>
      <w:r w:rsidR="00197D24">
        <w:rPr>
          <w:noProof/>
        </w:rPr>
        <w:t>22</w:t>
      </w:r>
      <w:r>
        <w:fldChar w:fldCharType="end"/>
      </w:r>
      <w:r>
        <w:t>.  </w:t>
      </w:r>
      <w:r w:rsidR="001D007E">
        <w:t xml:space="preserve">The prosecution </w:t>
      </w:r>
      <w:r w:rsidR="006A3FFF">
        <w:t>requested</w:t>
      </w:r>
      <w:r w:rsidR="001D007E">
        <w:t xml:space="preserve"> the </w:t>
      </w:r>
      <w:smartTag w:uri="urn:schemas-microsoft-com:office:smarttags" w:element="Street">
        <w:smartTag w:uri="urn:schemas-microsoft-com:office:smarttags" w:element="address">
          <w:r w:rsidR="001D007E">
            <w:t>Regional Court</w:t>
          </w:r>
        </w:smartTag>
      </w:smartTag>
      <w:r w:rsidR="001D007E">
        <w:t xml:space="preserve"> to read out statements </w:t>
      </w:r>
      <w:r w:rsidR="00667D07">
        <w:t>made by</w:t>
      </w:r>
      <w:r w:rsidR="001D007E">
        <w:t xml:space="preserve"> </w:t>
      </w:r>
      <w:r w:rsidR="001F1A03">
        <w:t>the</w:t>
      </w:r>
      <w:r w:rsidR="001D007E">
        <w:t xml:space="preserve"> prosecution witnesses and the applicant</w:t>
      </w:r>
      <w:r w:rsidR="008A5600">
        <w:t>’</w:t>
      </w:r>
      <w:r>
        <w:t xml:space="preserve">s </w:t>
      </w:r>
      <w:r w:rsidR="006A3FFF">
        <w:t>associate</w:t>
      </w:r>
      <w:r>
        <w:t>, Mr A.</w:t>
      </w:r>
      <w:r w:rsidR="00667D07">
        <w:t xml:space="preserve">, </w:t>
      </w:r>
      <w:r w:rsidR="00FB7BF2">
        <w:t xml:space="preserve">to </w:t>
      </w:r>
      <w:r w:rsidR="001F1A03">
        <w:t xml:space="preserve">the </w:t>
      </w:r>
      <w:r w:rsidR="00FB7BF2">
        <w:t xml:space="preserve">Uzbek </w:t>
      </w:r>
      <w:r w:rsidR="00F62998">
        <w:t>authorities</w:t>
      </w:r>
      <w:r w:rsidR="001F1A03">
        <w:t>, argu</w:t>
      </w:r>
      <w:r w:rsidR="006A3FFF">
        <w:t>ing</w:t>
      </w:r>
      <w:r w:rsidR="001F1A03">
        <w:t xml:space="preserve"> that</w:t>
      </w:r>
      <w:r w:rsidR="001D007E">
        <w:t xml:space="preserve"> it was impossible to obtain their attendance. Four witnesses </w:t>
      </w:r>
      <w:r w:rsidR="006A3FFF">
        <w:t xml:space="preserve">failed to appear for </w:t>
      </w:r>
      <w:r w:rsidR="001D007E">
        <w:t>various personal reasons and</w:t>
      </w:r>
      <w:r w:rsidRPr="002B22FE" w:rsidR="001D007E">
        <w:t xml:space="preserve"> </w:t>
      </w:r>
      <w:r w:rsidR="001D007E">
        <w:t xml:space="preserve">the remaining witnesses lived in </w:t>
      </w:r>
      <w:smartTag w:uri="urn:schemas-microsoft-com:office:smarttags" w:element="place">
        <w:smartTag w:uri="urn:schemas-microsoft-com:office:smarttags" w:element="country-region">
          <w:r w:rsidR="001D007E">
            <w:t>Uzbekistan</w:t>
          </w:r>
        </w:smartTag>
      </w:smartTag>
      <w:r w:rsidR="001D007E">
        <w:t>. The applicant and his counsel objected</w:t>
      </w:r>
      <w:r w:rsidR="006A3FFF">
        <w:t>,</w:t>
      </w:r>
      <w:r w:rsidR="001D007E">
        <w:t xml:space="preserve"> relying on the defendant</w:t>
      </w:r>
      <w:r w:rsidR="008A5600">
        <w:t>’</w:t>
      </w:r>
      <w:r w:rsidR="001D007E">
        <w:t>s right to cross-examine witnesses testifying against him. The applicant noted that during the pre-trial investigation he had repeatedly asked the investigati</w:t>
      </w:r>
      <w:r w:rsidR="006A3FFF">
        <w:t>ng</w:t>
      </w:r>
      <w:r w:rsidR="001D007E">
        <w:t xml:space="preserve"> authorities to </w:t>
      </w:r>
      <w:r w:rsidR="006A3FFF">
        <w:t xml:space="preserve">hold </w:t>
      </w:r>
      <w:r w:rsidR="00667D07">
        <w:t xml:space="preserve">confrontation interviews </w:t>
      </w:r>
      <w:r w:rsidR="001D007E">
        <w:t>with the witnesses. However, his requests had been dismissed without any explanation.</w:t>
      </w:r>
    </w:p>
    <w:bookmarkStart w:name="witness2" w:id="8"/>
    <w:p w:rsidR="001D007E" w:rsidP="001D007E" w:rsidRDefault="00667D07">
      <w:pPr>
        <w:pStyle w:val="JuPara"/>
      </w:pPr>
      <w:r>
        <w:fldChar w:fldCharType="begin"/>
      </w:r>
      <w:r>
        <w:instrText xml:space="preserve"> SEQ level0 \*arabic </w:instrText>
      </w:r>
      <w:r>
        <w:fldChar w:fldCharType="separate"/>
      </w:r>
      <w:r w:rsidR="00197D24">
        <w:rPr>
          <w:noProof/>
        </w:rPr>
        <w:t>23</w:t>
      </w:r>
      <w:r>
        <w:fldChar w:fldCharType="end"/>
      </w:r>
      <w:bookmarkEnd w:id="8"/>
      <w:r>
        <w:t>.  </w:t>
      </w:r>
      <w:r w:rsidR="001D007E">
        <w:t xml:space="preserve">The </w:t>
      </w:r>
      <w:smartTag w:uri="urn:schemas-microsoft-com:office:smarttags" w:element="Street">
        <w:smartTag w:uri="urn:schemas-microsoft-com:office:smarttags" w:element="address">
          <w:r w:rsidR="001D007E">
            <w:t>Regional Court</w:t>
          </w:r>
        </w:smartTag>
      </w:smartTag>
      <w:r w:rsidR="001D007E">
        <w:t xml:space="preserve"> agreed to read out statements by the four</w:t>
      </w:r>
      <w:r w:rsidR="0053438C">
        <w:t> </w:t>
      </w:r>
      <w:r w:rsidR="001D007E">
        <w:t xml:space="preserve">prosecution witnesses who had </w:t>
      </w:r>
      <w:r w:rsidR="006A3FFF">
        <w:t xml:space="preserve">failed to appear for </w:t>
      </w:r>
      <w:r w:rsidR="001D007E">
        <w:t xml:space="preserve">personal reasons, finding those reasons to be valid. As regards statements by the remaining witnesses and Mr A., the </w:t>
      </w:r>
      <w:smartTag w:uri="urn:schemas-microsoft-com:office:smarttags" w:element="Street">
        <w:smartTag w:uri="urn:schemas-microsoft-com:office:smarttags" w:element="address">
          <w:r w:rsidR="001D007E">
            <w:t>Regional Court</w:t>
          </w:r>
        </w:smartTag>
      </w:smartTag>
      <w:r w:rsidR="001D007E">
        <w:t xml:space="preserve"> held as follows:</w:t>
      </w:r>
    </w:p>
    <w:p w:rsidR="001D007E" w:rsidP="001D007E" w:rsidRDefault="001D007E">
      <w:pPr>
        <w:pStyle w:val="JuQuot"/>
      </w:pPr>
      <w:r>
        <w:t xml:space="preserve">“During the last six months the court </w:t>
      </w:r>
      <w:r w:rsidR="005B4609">
        <w:t>has taken</w:t>
      </w:r>
      <w:r>
        <w:t xml:space="preserve"> all lawful steps to ensure the witnesses</w:t>
      </w:r>
      <w:r w:rsidR="008A5600">
        <w:t>’</w:t>
      </w:r>
      <w:r>
        <w:t xml:space="preserve"> presence, and certain witnesses </w:t>
      </w:r>
      <w:r w:rsidR="00DB1CE1">
        <w:t xml:space="preserve">have </w:t>
      </w:r>
      <w:r w:rsidR="005B4609">
        <w:t xml:space="preserve">sent in </w:t>
      </w:r>
      <w:r>
        <w:t>information which confirmed that they had been summoned properly. Due to the fact that other witnesses live in another State, and taking into account that they confirmed their statements in a court hearing in the Tashkent City Court</w:t>
      </w:r>
      <w:r w:rsidR="00667D07">
        <w:t xml:space="preserve"> [during the trial against Mr A.]</w:t>
      </w:r>
      <w:r>
        <w:t xml:space="preserve">, [the court] considers that the present extraordinary circumstances preclude their attendance [and] decides to read out </w:t>
      </w:r>
      <w:r w:rsidR="00142923">
        <w:t xml:space="preserve">the </w:t>
      </w:r>
      <w:r>
        <w:t>statements of the</w:t>
      </w:r>
      <w:r w:rsidR="0080639B">
        <w:t xml:space="preserve"> </w:t>
      </w:r>
      <w:r>
        <w:t>... witnesses</w:t>
      </w:r>
      <w:r w:rsidR="00DB1CE1">
        <w:t xml:space="preserve"> who failed to appear</w:t>
      </w:r>
      <w:r>
        <w:t>.”</w:t>
      </w:r>
    </w:p>
    <w:p w:rsidR="005A63E1" w:rsidP="001D007E" w:rsidRDefault="001D007E">
      <w:pPr>
        <w:pStyle w:val="JuPara"/>
      </w:pPr>
      <w:r>
        <w:t xml:space="preserve">The </w:t>
      </w:r>
      <w:smartTag w:uri="urn:schemas-microsoft-com:office:smarttags" w:element="Street">
        <w:smartTag w:uri="urn:schemas-microsoft-com:office:smarttags" w:element="address">
          <w:r>
            <w:t>Regional Court</w:t>
          </w:r>
        </w:smartTag>
      </w:smartTag>
      <w:r>
        <w:t xml:space="preserve"> read out statements by the remaining </w:t>
      </w:r>
      <w:r w:rsidR="00743640">
        <w:t xml:space="preserve">six </w:t>
      </w:r>
      <w:r>
        <w:t xml:space="preserve">prosecution witnesses and </w:t>
      </w:r>
      <w:r w:rsidR="00667D07">
        <w:t xml:space="preserve">by </w:t>
      </w:r>
      <w:r>
        <w:t xml:space="preserve">Mr A. </w:t>
      </w:r>
      <w:r w:rsidR="002C12F5">
        <w:t xml:space="preserve">It also announced </w:t>
      </w:r>
      <w:r w:rsidR="00142923">
        <w:t xml:space="preserve">the </w:t>
      </w:r>
      <w:r w:rsidR="002C12F5">
        <w:t>results of photo</w:t>
      </w:r>
      <w:r w:rsidR="00142923">
        <w:t>-</w:t>
      </w:r>
      <w:r w:rsidR="002C12F5">
        <w:t>identification parades conducted by the Uzbek investigating authorities during which the witnesses had identified the applicant and Mr A.</w:t>
      </w:r>
    </w:p>
    <w:bookmarkStart w:name="evidence" w:id="9"/>
    <w:p w:rsidR="00EA730C" w:rsidP="00EA730C" w:rsidRDefault="00571D3A">
      <w:pPr>
        <w:pStyle w:val="JuPara"/>
      </w:pPr>
      <w:r>
        <w:fldChar w:fldCharType="begin"/>
      </w:r>
      <w:r>
        <w:instrText xml:space="preserve"> SEQ level0 \*arabic </w:instrText>
      </w:r>
      <w:r>
        <w:fldChar w:fldCharType="separate"/>
      </w:r>
      <w:r w:rsidR="00197D24">
        <w:rPr>
          <w:noProof/>
        </w:rPr>
        <w:t>24</w:t>
      </w:r>
      <w:r>
        <w:fldChar w:fldCharType="end"/>
      </w:r>
      <w:bookmarkEnd w:id="9"/>
      <w:r>
        <w:t xml:space="preserve">.  A copy of the court hearing </w:t>
      </w:r>
      <w:r w:rsidR="00EA730C">
        <w:t>records</w:t>
      </w:r>
      <w:r>
        <w:t xml:space="preserve"> presented to the Court by the parties show that in addition to </w:t>
      </w:r>
      <w:r w:rsidR="001F1A03">
        <w:t>the witnesses</w:t>
      </w:r>
      <w:r w:rsidR="008A5600">
        <w:t>’</w:t>
      </w:r>
      <w:r w:rsidR="001F1A03">
        <w:t xml:space="preserve"> depositions</w:t>
      </w:r>
      <w:r>
        <w:t xml:space="preserve"> the Regional Court </w:t>
      </w:r>
      <w:r w:rsidR="002C12F5">
        <w:t>studied</w:t>
      </w:r>
      <w:r>
        <w:t xml:space="preserve"> </w:t>
      </w:r>
      <w:r w:rsidR="005B4609">
        <w:t xml:space="preserve">the </w:t>
      </w:r>
      <w:r w:rsidR="002A22D8">
        <w:t xml:space="preserve">records of the crime scene examinations </w:t>
      </w:r>
      <w:r w:rsidR="005B4609">
        <w:t>of</w:t>
      </w:r>
      <w:r w:rsidR="002A22D8">
        <w:t xml:space="preserve"> 15</w:t>
      </w:r>
      <w:r w:rsidR="002C12F5">
        <w:t> </w:t>
      </w:r>
      <w:r w:rsidR="002A22D8">
        <w:t>and 20</w:t>
      </w:r>
      <w:r w:rsidR="0071469A">
        <w:t> </w:t>
      </w:r>
      <w:r w:rsidR="002A22D8">
        <w:t xml:space="preserve">March 1998, an autopsy report, </w:t>
      </w:r>
      <w:r w:rsidR="00142923">
        <w:t>a</w:t>
      </w:r>
      <w:r w:rsidR="005B4609">
        <w:t xml:space="preserve"> document confirming </w:t>
      </w:r>
      <w:r w:rsidR="002A22D8">
        <w:t>the victim</w:t>
      </w:r>
      <w:r w:rsidR="008A5600">
        <w:t>’</w:t>
      </w:r>
      <w:r w:rsidR="002A22D8">
        <w:t>s identity</w:t>
      </w:r>
      <w:r w:rsidR="005B4609">
        <w:t>,</w:t>
      </w:r>
      <w:r w:rsidR="002C12F5">
        <w:t xml:space="preserve"> </w:t>
      </w:r>
      <w:r w:rsidR="002A22D8">
        <w:t>a search re</w:t>
      </w:r>
      <w:r w:rsidR="00EA730C">
        <w:t>port</w:t>
      </w:r>
      <w:r w:rsidR="002C12F5">
        <w:t>, a warrant for the applicant</w:t>
      </w:r>
      <w:r w:rsidR="008A5600">
        <w:t>’</w:t>
      </w:r>
      <w:r w:rsidR="002C12F5">
        <w:t>s arrest and records of pre-trial confrontation interviews between Mr A. and the witnesses whose statements had been read out by the Regional Court</w:t>
      </w:r>
      <w:r w:rsidR="002A22D8">
        <w:t>.</w:t>
      </w:r>
      <w:r w:rsidR="005A63E1">
        <w:t xml:space="preserve"> </w:t>
      </w:r>
      <w:r w:rsidR="00EA730C">
        <w:t>The Court further heard the applicant</w:t>
      </w:r>
      <w:r w:rsidR="005B4609">
        <w:t xml:space="preserve"> and</w:t>
      </w:r>
      <w:r w:rsidR="00EA730C">
        <w:t xml:space="preserve"> his </w:t>
      </w:r>
      <w:r w:rsidR="005B4609">
        <w:t xml:space="preserve">parents, who </w:t>
      </w:r>
      <w:r w:rsidR="00EA730C">
        <w:t>denied the applicant</w:t>
      </w:r>
      <w:r w:rsidR="008A5600">
        <w:t>’</w:t>
      </w:r>
      <w:r w:rsidR="00EA730C">
        <w:t xml:space="preserve">s </w:t>
      </w:r>
      <w:r w:rsidR="005B4609">
        <w:t>involvement</w:t>
      </w:r>
      <w:r w:rsidR="00EA730C">
        <w:t xml:space="preserve"> in the robbery and murder and insisted that at the time of the crime </w:t>
      </w:r>
      <w:r w:rsidR="001F1A03">
        <w:t>he</w:t>
      </w:r>
      <w:r w:rsidR="00EA730C">
        <w:t xml:space="preserve"> </w:t>
      </w:r>
      <w:r w:rsidR="005B4609">
        <w:t>was</w:t>
      </w:r>
      <w:r w:rsidR="00EA730C">
        <w:t xml:space="preserve"> </w:t>
      </w:r>
      <w:r w:rsidR="001F1A03">
        <w:t>stay</w:t>
      </w:r>
      <w:r w:rsidR="005B4609">
        <w:t>ing</w:t>
      </w:r>
      <w:r w:rsidR="00EA730C">
        <w:t xml:space="preserve"> with his family in </w:t>
      </w:r>
      <w:smartTag w:uri="urn:schemas-microsoft-com:office:smarttags" w:element="place">
        <w:smartTag w:uri="urn:schemas-microsoft-com:office:smarttags" w:element="country-region">
          <w:r w:rsidR="00EA730C">
            <w:t>Russia</w:t>
          </w:r>
        </w:smartTag>
      </w:smartTag>
      <w:r w:rsidR="00EA730C">
        <w:t>.</w:t>
      </w:r>
    </w:p>
    <w:p w:rsidR="001D007E" w:rsidP="001D007E" w:rsidRDefault="00B82E50">
      <w:pPr>
        <w:pStyle w:val="JuPara"/>
      </w:pPr>
      <w:r>
        <w:fldChar w:fldCharType="begin"/>
      </w:r>
      <w:r>
        <w:instrText xml:space="preserve"> SEQ level0 \*arabic </w:instrText>
      </w:r>
      <w:r>
        <w:fldChar w:fldCharType="separate"/>
      </w:r>
      <w:r w:rsidR="00197D24">
        <w:rPr>
          <w:noProof/>
        </w:rPr>
        <w:t>25</w:t>
      </w:r>
      <w:r>
        <w:fldChar w:fldCharType="end"/>
      </w:r>
      <w:r>
        <w:t>.  </w:t>
      </w:r>
      <w:r w:rsidR="001D007E">
        <w:t xml:space="preserve">At the same hearing the applicant accused the prosecution of jury tampering and sought the </w:t>
      </w:r>
      <w:r>
        <w:t>discharge</w:t>
      </w:r>
      <w:r w:rsidR="001D007E">
        <w:t xml:space="preserve"> of the </w:t>
      </w:r>
      <w:r>
        <w:t>entire</w:t>
      </w:r>
      <w:r w:rsidR="001D007E">
        <w:t xml:space="preserve"> panel. He claimed that juror no. 1 had tapped the prosecutor on </w:t>
      </w:r>
      <w:r w:rsidR="001F1A03">
        <w:t>the</w:t>
      </w:r>
      <w:r w:rsidR="001D007E">
        <w:t xml:space="preserve"> hand and the prosecutor had responded with a nod</w:t>
      </w:r>
      <w:r w:rsidR="0022032C">
        <w:t xml:space="preserve"> of the head</w:t>
      </w:r>
      <w:r w:rsidR="001D007E">
        <w:t xml:space="preserve">. </w:t>
      </w:r>
      <w:r w:rsidR="00142923">
        <w:t>D</w:t>
      </w:r>
      <w:r w:rsidR="001D007E">
        <w:t>efence counsel supported the accusation claiming that he had witnessed the incident. The prosecutor denied the incident</w:t>
      </w:r>
      <w:r w:rsidR="00142923">
        <w:t>, stating</w:t>
      </w:r>
      <w:r w:rsidR="001D007E">
        <w:t xml:space="preserve"> that he was not acquainted with juror no. 1. Juror no. 1, in response to questions </w:t>
      </w:r>
      <w:r w:rsidR="0022032C">
        <w:t xml:space="preserve">from </w:t>
      </w:r>
      <w:r w:rsidR="001D007E">
        <w:t xml:space="preserve">the presiding judge, stated that he had not known the prosecutor before the trial and that he had never </w:t>
      </w:r>
      <w:r w:rsidR="0022032C">
        <w:t xml:space="preserve">had a conversation with </w:t>
      </w:r>
      <w:r w:rsidR="001D007E">
        <w:t>him. The presiding judge, without giving any reasons, dismissed the applicant</w:t>
      </w:r>
      <w:r w:rsidR="008A5600">
        <w:t>’</w:t>
      </w:r>
      <w:r w:rsidR="001D007E">
        <w:t xml:space="preserve">s challenge to </w:t>
      </w:r>
      <w:r w:rsidR="0022032C">
        <w:t xml:space="preserve">the empanelled </w:t>
      </w:r>
      <w:r w:rsidR="001D007E">
        <w:t>jury.</w:t>
      </w:r>
    </w:p>
    <w:p w:rsidR="001D007E" w:rsidP="001D007E" w:rsidRDefault="00B82E50">
      <w:pPr>
        <w:pStyle w:val="JuPara"/>
      </w:pPr>
      <w:r>
        <w:fldChar w:fldCharType="begin"/>
      </w:r>
      <w:r>
        <w:instrText xml:space="preserve"> SEQ level0 \*arabic </w:instrText>
      </w:r>
      <w:r>
        <w:fldChar w:fldCharType="separate"/>
      </w:r>
      <w:r w:rsidR="00197D24">
        <w:rPr>
          <w:noProof/>
        </w:rPr>
        <w:t>26</w:t>
      </w:r>
      <w:r>
        <w:fldChar w:fldCharType="end"/>
      </w:r>
      <w:r>
        <w:t>.  </w:t>
      </w:r>
      <w:r w:rsidR="00142923">
        <w:t>The parties</w:t>
      </w:r>
      <w:r w:rsidR="008A5600">
        <w:t>’</w:t>
      </w:r>
      <w:r w:rsidR="00142923">
        <w:t xml:space="preserve"> c</w:t>
      </w:r>
      <w:r w:rsidR="001D007E">
        <w:t>losing arguments followed. The defence argued that there was no material evidence, such as fingerprints, bloodstains</w:t>
      </w:r>
      <w:r w:rsidR="0022032C">
        <w:t xml:space="preserve"> and so on</w:t>
      </w:r>
      <w:r w:rsidR="001D007E">
        <w:t>, linking the applicant to the criminal offences</w:t>
      </w:r>
      <w:r w:rsidR="0022032C">
        <w:t>,</w:t>
      </w:r>
      <w:r w:rsidR="001D007E">
        <w:t xml:space="preserve"> and that the applicant had been denied an important right to cross-examine witnesses against him.</w:t>
      </w:r>
    </w:p>
    <w:p w:rsidR="001D007E" w:rsidP="001D007E" w:rsidRDefault="00B82E50">
      <w:pPr>
        <w:pStyle w:val="JuPara"/>
      </w:pPr>
      <w:r>
        <w:fldChar w:fldCharType="begin"/>
      </w:r>
      <w:r>
        <w:instrText xml:space="preserve"> SEQ level0 \*arabic </w:instrText>
      </w:r>
      <w:r>
        <w:fldChar w:fldCharType="separate"/>
      </w:r>
      <w:r w:rsidR="00197D24">
        <w:rPr>
          <w:noProof/>
        </w:rPr>
        <w:t>27</w:t>
      </w:r>
      <w:r>
        <w:fldChar w:fldCharType="end"/>
      </w:r>
      <w:r>
        <w:t>.  </w:t>
      </w:r>
      <w:r w:rsidR="001D007E">
        <w:t>On 7 May 2004 the jury, by eight to four votes, f</w:t>
      </w:r>
      <w:r w:rsidR="00B85E50">
        <w:t>ound</w:t>
      </w:r>
      <w:r w:rsidR="001D007E">
        <w:t xml:space="preserve"> the applicant guilty of aggravated murder and robbery.</w:t>
      </w:r>
    </w:p>
    <w:p w:rsidR="001D007E" w:rsidP="001D007E" w:rsidRDefault="00B82E50">
      <w:pPr>
        <w:pStyle w:val="JuPara"/>
      </w:pPr>
      <w:r>
        <w:fldChar w:fldCharType="begin"/>
      </w:r>
      <w:r>
        <w:instrText xml:space="preserve"> SEQ level0 \*arabic </w:instrText>
      </w:r>
      <w:r>
        <w:fldChar w:fldCharType="separate"/>
      </w:r>
      <w:r w:rsidR="00197D24">
        <w:rPr>
          <w:noProof/>
        </w:rPr>
        <w:t>28</w:t>
      </w:r>
      <w:r>
        <w:fldChar w:fldCharType="end"/>
      </w:r>
      <w:r>
        <w:t>.  </w:t>
      </w:r>
      <w:r w:rsidR="001D007E">
        <w:t xml:space="preserve">On 12 May 2004 the </w:t>
      </w:r>
      <w:smartTag w:uri="urn:schemas-microsoft-com:office:smarttags" w:element="Street">
        <w:smartTag w:uri="urn:schemas-microsoft-com:office:smarttags" w:element="address">
          <w:r w:rsidR="001D007E">
            <w:t>Ivanovo Regional Court</w:t>
          </w:r>
        </w:smartTag>
      </w:smartTag>
      <w:r w:rsidR="001D007E">
        <w:t xml:space="preserve"> accepted the verdict and sentenced the applicant to eighteen years</w:t>
      </w:r>
      <w:r w:rsidR="008A5600">
        <w:t>’</w:t>
      </w:r>
      <w:r w:rsidR="001D007E">
        <w:t xml:space="preserve"> imprisonment.</w:t>
      </w:r>
    </w:p>
    <w:p w:rsidR="001D007E" w:rsidP="001D007E" w:rsidRDefault="00B82E50">
      <w:pPr>
        <w:pStyle w:val="JuPara"/>
      </w:pPr>
      <w:r>
        <w:fldChar w:fldCharType="begin"/>
      </w:r>
      <w:r>
        <w:instrText xml:space="preserve"> SEQ level0 \*arabic </w:instrText>
      </w:r>
      <w:r>
        <w:fldChar w:fldCharType="separate"/>
      </w:r>
      <w:r w:rsidR="00197D24">
        <w:rPr>
          <w:noProof/>
        </w:rPr>
        <w:t>29</w:t>
      </w:r>
      <w:r>
        <w:fldChar w:fldCharType="end"/>
      </w:r>
      <w:r>
        <w:t>.  </w:t>
      </w:r>
      <w:r w:rsidR="001D007E">
        <w:t>The applicant and his lawyer appealed</w:t>
      </w:r>
      <w:r>
        <w:t>,</w:t>
      </w:r>
      <w:r w:rsidR="001D007E">
        <w:t xml:space="preserve"> arguing that the jury had not been fair and impartial because certain jurors had been victims of criminal offences and the prosecution had tried to exert improper influence on at least one of the jurors. They further alleged a violation of the applicant</w:t>
      </w:r>
      <w:r w:rsidR="008A5600">
        <w:t>’</w:t>
      </w:r>
      <w:r w:rsidR="001D007E">
        <w:t>s rights</w:t>
      </w:r>
      <w:r>
        <w:t>,</w:t>
      </w:r>
      <w:r w:rsidR="001D007E">
        <w:t xml:space="preserve"> having regard to the fact that at no stage of the proceedings </w:t>
      </w:r>
      <w:r w:rsidR="00B85E50">
        <w:t xml:space="preserve">had </w:t>
      </w:r>
      <w:r>
        <w:t>either he or his lawyer</w:t>
      </w:r>
      <w:r w:rsidR="001D007E">
        <w:t xml:space="preserve"> been </w:t>
      </w:r>
      <w:r w:rsidR="00B85E50">
        <w:t xml:space="preserve">offered the </w:t>
      </w:r>
      <w:r w:rsidR="001D007E">
        <w:t>opportunity to question the prosecution witnesses.</w:t>
      </w:r>
    </w:p>
    <w:p w:rsidR="005A63E1" w:rsidP="001F1A03" w:rsidRDefault="00B82E50">
      <w:pPr>
        <w:pStyle w:val="JuPara"/>
      </w:pPr>
      <w:r>
        <w:fldChar w:fldCharType="begin"/>
      </w:r>
      <w:r>
        <w:instrText xml:space="preserve"> SEQ level0 \*arabic </w:instrText>
      </w:r>
      <w:r>
        <w:fldChar w:fldCharType="separate"/>
      </w:r>
      <w:r w:rsidR="00197D24">
        <w:rPr>
          <w:noProof/>
        </w:rPr>
        <w:t>30</w:t>
      </w:r>
      <w:r>
        <w:fldChar w:fldCharType="end"/>
      </w:r>
      <w:r>
        <w:t>.  </w:t>
      </w:r>
      <w:r w:rsidR="001D007E">
        <w:t xml:space="preserve">On 8 July 2004 the Supreme Court of the </w:t>
      </w:r>
      <w:smartTag w:uri="urn:schemas-microsoft-com:office:smarttags" w:element="place">
        <w:smartTag w:uri="urn:schemas-microsoft-com:office:smarttags" w:element="country-region">
          <w:r w:rsidR="001D007E">
            <w:t>Russian Federation</w:t>
          </w:r>
        </w:smartTag>
      </w:smartTag>
      <w:r w:rsidR="001D007E">
        <w:t xml:space="preserve"> upheld the </w:t>
      </w:r>
      <w:r>
        <w:t>conviction</w:t>
      </w:r>
      <w:r w:rsidR="001D007E">
        <w:t xml:space="preserve">, finding that the investigating authorities and the </w:t>
      </w:r>
      <w:smartTag w:uri="urn:schemas-microsoft-com:office:smarttags" w:element="Street">
        <w:smartTag w:uri="urn:schemas-microsoft-com:office:smarttags" w:element="address">
          <w:r w:rsidR="001D007E">
            <w:t>Regional Court</w:t>
          </w:r>
        </w:smartTag>
      </w:smartTag>
      <w:r w:rsidR="001D007E">
        <w:t xml:space="preserve"> had not committed any serious violations of the criminal procedural law.</w:t>
      </w:r>
    </w:p>
    <w:p w:rsidRPr="006C5B93" w:rsidR="007352DD" w:rsidP="008824B9" w:rsidRDefault="007352DD">
      <w:pPr>
        <w:pStyle w:val="JuHIRoman"/>
        <w:outlineLvl w:val="0"/>
      </w:pPr>
      <w:r w:rsidRPr="006C5B93">
        <w:t>II.  RELEVANT DOMESTIC LAW</w:t>
      </w:r>
    </w:p>
    <w:p w:rsidR="00E178D7" w:rsidP="00E178D7" w:rsidRDefault="00E178D7">
      <w:pPr>
        <w:pStyle w:val="JuHA"/>
      </w:pPr>
      <w:r>
        <w:t>A.  Jury selection process</w:t>
      </w:r>
    </w:p>
    <w:p w:rsidR="00B82E50" w:rsidP="00B82E50" w:rsidRDefault="006C5B93">
      <w:pPr>
        <w:pStyle w:val="JuPara"/>
        <w:rPr>
          <w:color w:val="000000"/>
          <w:szCs w:val="24"/>
          <w:lang w:eastAsia="en-GB"/>
        </w:rPr>
      </w:pPr>
      <w:r w:rsidRPr="006C5B93">
        <w:fldChar w:fldCharType="begin"/>
      </w:r>
      <w:r w:rsidRPr="006C5B93">
        <w:instrText xml:space="preserve"> SEQ level0 \*arabic </w:instrText>
      </w:r>
      <w:r w:rsidRPr="006C5B93">
        <w:fldChar w:fldCharType="separate"/>
      </w:r>
      <w:r w:rsidR="00197D24">
        <w:rPr>
          <w:noProof/>
        </w:rPr>
        <w:t>31</w:t>
      </w:r>
      <w:r w:rsidRPr="006C5B93">
        <w:fldChar w:fldCharType="end"/>
      </w:r>
      <w:r w:rsidRPr="006C5B93" w:rsidR="007352DD">
        <w:t>.  </w:t>
      </w:r>
      <w:r w:rsidR="00B82E50">
        <w:rPr>
          <w:color w:val="000000"/>
          <w:szCs w:val="24"/>
          <w:lang w:eastAsia="en-GB"/>
        </w:rPr>
        <w:t>The Russian Code of Cri</w:t>
      </w:r>
      <w:r w:rsidR="0080639B">
        <w:rPr>
          <w:color w:val="000000"/>
          <w:szCs w:val="24"/>
          <w:lang w:eastAsia="en-GB"/>
        </w:rPr>
        <w:t xml:space="preserve">minal Procedure provides that </w:t>
      </w:r>
      <w:r w:rsidR="00142923">
        <w:rPr>
          <w:color w:val="000000"/>
          <w:szCs w:val="24"/>
          <w:lang w:eastAsia="en-GB"/>
        </w:rPr>
        <w:t xml:space="preserve">an officer of a </w:t>
      </w:r>
      <w:r w:rsidR="00B82E50">
        <w:rPr>
          <w:color w:val="000000"/>
          <w:szCs w:val="24"/>
          <w:lang w:eastAsia="en-GB"/>
        </w:rPr>
        <w:t>court or a judge</w:t>
      </w:r>
      <w:r w:rsidR="008A5600">
        <w:rPr>
          <w:color w:val="000000"/>
          <w:szCs w:val="24"/>
          <w:lang w:eastAsia="en-GB"/>
        </w:rPr>
        <w:t>’</w:t>
      </w:r>
      <w:r w:rsidR="00B82E50">
        <w:rPr>
          <w:color w:val="000000"/>
          <w:szCs w:val="24"/>
          <w:lang w:eastAsia="en-GB"/>
        </w:rPr>
        <w:t>s assistant has to compile a list of jury candidates for the trial. The candidates are to be drawn at random from the district or regional list of jurors. The candidates</w:t>
      </w:r>
      <w:r w:rsidR="008A5600">
        <w:rPr>
          <w:color w:val="000000"/>
          <w:szCs w:val="24"/>
          <w:lang w:eastAsia="en-GB"/>
        </w:rPr>
        <w:t>’</w:t>
      </w:r>
      <w:r w:rsidR="00B82E50">
        <w:rPr>
          <w:color w:val="000000"/>
          <w:szCs w:val="24"/>
          <w:lang w:eastAsia="en-GB"/>
        </w:rPr>
        <w:t xml:space="preserve"> names are entered in the list in the order in which their lots were drawn. The list of jury candidates is then served on the parties. The parties have the right to </w:t>
      </w:r>
      <w:r w:rsidR="00142923">
        <w:rPr>
          <w:color w:val="000000"/>
          <w:szCs w:val="24"/>
          <w:lang w:eastAsia="en-GB"/>
        </w:rPr>
        <w:t xml:space="preserve">make </w:t>
      </w:r>
      <w:r w:rsidR="00B85E50">
        <w:rPr>
          <w:color w:val="000000"/>
          <w:szCs w:val="24"/>
          <w:lang w:eastAsia="en-GB"/>
        </w:rPr>
        <w:t xml:space="preserve">an </w:t>
      </w:r>
      <w:r w:rsidR="00B82E50">
        <w:rPr>
          <w:color w:val="000000"/>
          <w:szCs w:val="24"/>
          <w:lang w:eastAsia="en-GB"/>
        </w:rPr>
        <w:t xml:space="preserve">unlimited number of challenges for cause and two peremptory challenges to potential jurors. The presiding judge decides on the challenges. After deleting the names of the </w:t>
      </w:r>
      <w:r w:rsidR="00B85E50">
        <w:rPr>
          <w:color w:val="000000"/>
          <w:szCs w:val="24"/>
          <w:lang w:eastAsia="en-GB"/>
        </w:rPr>
        <w:t xml:space="preserve">successfully challenged </w:t>
      </w:r>
      <w:r w:rsidR="00B82E50">
        <w:rPr>
          <w:color w:val="000000"/>
          <w:szCs w:val="24"/>
          <w:lang w:eastAsia="en-GB"/>
        </w:rPr>
        <w:t>candidates, the court secretary or the judge</w:t>
      </w:r>
      <w:r w:rsidR="008A5600">
        <w:rPr>
          <w:color w:val="000000"/>
          <w:szCs w:val="24"/>
          <w:lang w:eastAsia="en-GB"/>
        </w:rPr>
        <w:t>’</w:t>
      </w:r>
      <w:r w:rsidR="00B82E50">
        <w:rPr>
          <w:color w:val="000000"/>
          <w:szCs w:val="24"/>
          <w:lang w:eastAsia="en-GB"/>
        </w:rPr>
        <w:t xml:space="preserve">s assistant makes up the list of the remaining jury candidates, whose names are to appear in the same order as in the first list. The twelve candidates whose names appear first on the list form the jury, </w:t>
      </w:r>
      <w:r w:rsidR="00841ABD">
        <w:rPr>
          <w:color w:val="000000"/>
          <w:szCs w:val="24"/>
          <w:lang w:eastAsia="en-GB"/>
        </w:rPr>
        <w:t xml:space="preserve">and </w:t>
      </w:r>
      <w:r w:rsidR="00B82E50">
        <w:rPr>
          <w:color w:val="000000"/>
          <w:szCs w:val="24"/>
          <w:lang w:eastAsia="en-GB"/>
        </w:rPr>
        <w:t>the two candidates whose names appear next become substitutes. Before the jury is sworn</w:t>
      </w:r>
      <w:r w:rsidR="00841ABD">
        <w:rPr>
          <w:color w:val="000000"/>
          <w:szCs w:val="24"/>
          <w:lang w:eastAsia="en-GB"/>
        </w:rPr>
        <w:t xml:space="preserve"> in</w:t>
      </w:r>
      <w:r w:rsidR="0030331A">
        <w:rPr>
          <w:color w:val="000000"/>
          <w:szCs w:val="24"/>
          <w:lang w:eastAsia="en-GB"/>
        </w:rPr>
        <w:t>,</w:t>
      </w:r>
      <w:r w:rsidR="00B82E50">
        <w:rPr>
          <w:color w:val="000000"/>
          <w:szCs w:val="24"/>
          <w:lang w:eastAsia="en-GB"/>
        </w:rPr>
        <w:t xml:space="preserve"> the parties may challenge the </w:t>
      </w:r>
      <w:r w:rsidR="005D29DA">
        <w:rPr>
          <w:color w:val="000000"/>
          <w:szCs w:val="24"/>
          <w:lang w:eastAsia="en-GB"/>
        </w:rPr>
        <w:t xml:space="preserve">entire </w:t>
      </w:r>
      <w:r w:rsidR="00B82E50">
        <w:rPr>
          <w:color w:val="000000"/>
          <w:szCs w:val="24"/>
          <w:lang w:eastAsia="en-GB"/>
        </w:rPr>
        <w:t>panel</w:t>
      </w:r>
      <w:r w:rsidR="00841ABD">
        <w:rPr>
          <w:color w:val="000000"/>
          <w:szCs w:val="24"/>
          <w:lang w:eastAsia="en-GB"/>
        </w:rPr>
        <w:t xml:space="preserve"> if they argue</w:t>
      </w:r>
      <w:r w:rsidR="00B82E50">
        <w:rPr>
          <w:color w:val="000000"/>
          <w:szCs w:val="24"/>
          <w:lang w:eastAsia="en-GB"/>
        </w:rPr>
        <w:t xml:space="preserve"> that due to particular features of a criminal case the panel will be unable to render </w:t>
      </w:r>
      <w:r w:rsidR="00841ABD">
        <w:rPr>
          <w:color w:val="000000"/>
          <w:szCs w:val="24"/>
          <w:lang w:eastAsia="en-GB"/>
        </w:rPr>
        <w:t>an</w:t>
      </w:r>
      <w:r w:rsidR="00B82E50">
        <w:rPr>
          <w:color w:val="000000"/>
          <w:szCs w:val="24"/>
          <w:lang w:eastAsia="en-GB"/>
        </w:rPr>
        <w:t xml:space="preserve"> objective verdict. The presiding judge is to decide on </w:t>
      </w:r>
      <w:r w:rsidR="00841ABD">
        <w:rPr>
          <w:color w:val="000000"/>
          <w:szCs w:val="24"/>
          <w:lang w:eastAsia="en-GB"/>
        </w:rPr>
        <w:t xml:space="preserve">any </w:t>
      </w:r>
      <w:r w:rsidR="00B82E50">
        <w:rPr>
          <w:color w:val="000000"/>
          <w:szCs w:val="24"/>
          <w:lang w:eastAsia="en-GB"/>
        </w:rPr>
        <w:t xml:space="preserve">such challenge to </w:t>
      </w:r>
      <w:r w:rsidR="00841ABD">
        <w:rPr>
          <w:color w:val="000000"/>
          <w:szCs w:val="24"/>
          <w:lang w:eastAsia="en-GB"/>
        </w:rPr>
        <w:t>the empanelled jury</w:t>
      </w:r>
      <w:r w:rsidR="00B82E50">
        <w:rPr>
          <w:color w:val="000000"/>
          <w:szCs w:val="24"/>
          <w:lang w:eastAsia="en-GB"/>
        </w:rPr>
        <w:t xml:space="preserve"> (Articles 326–330).</w:t>
      </w:r>
    </w:p>
    <w:p w:rsidRPr="00B42CF1" w:rsidR="00596943" w:rsidP="00596943" w:rsidRDefault="00596943">
      <w:pPr>
        <w:pStyle w:val="JuHA"/>
      </w:pPr>
      <w:r>
        <w:t>B.  Witnesses</w:t>
      </w:r>
    </w:p>
    <w:p w:rsidR="005A63E1" w:rsidP="00AC1D7C" w:rsidRDefault="00AC1D7C">
      <w:pPr>
        <w:pStyle w:val="JuH1"/>
      </w:pPr>
      <w:r>
        <w:t>1.  General provisions</w:t>
      </w:r>
    </w:p>
    <w:p w:rsidR="00AC1D7C" w:rsidP="00AC1D7C" w:rsidRDefault="00460F91">
      <w:pPr>
        <w:pStyle w:val="JuHa0"/>
      </w:pPr>
      <w:r>
        <w:t>(a)  </w:t>
      </w:r>
      <w:r w:rsidR="00AC1D7C">
        <w:t>Code of Criminal Procedure of 2001 in force since 1 July 2002</w:t>
      </w:r>
    </w:p>
    <w:p w:rsidR="00AC1D7C" w:rsidP="00AC1D7C" w:rsidRDefault="00AC1D7C">
      <w:pPr>
        <w:pStyle w:val="JuPara"/>
      </w:pPr>
      <w:r>
        <w:fldChar w:fldCharType="begin"/>
      </w:r>
      <w:r>
        <w:instrText xml:space="preserve"> SEQ level0 \*arabic </w:instrText>
      </w:r>
      <w:r>
        <w:fldChar w:fldCharType="separate"/>
      </w:r>
      <w:r w:rsidR="00197D24">
        <w:rPr>
          <w:noProof/>
        </w:rPr>
        <w:t>32</w:t>
      </w:r>
      <w:r>
        <w:fldChar w:fldCharType="end"/>
      </w:r>
      <w:r>
        <w:t>.  </w:t>
      </w:r>
      <w:r w:rsidR="00841ABD">
        <w:t>E</w:t>
      </w:r>
      <w:r>
        <w:t xml:space="preserve">arlier statements made by a victim or witness </w:t>
      </w:r>
      <w:r w:rsidR="00841ABD">
        <w:t xml:space="preserve">may be read out </w:t>
      </w:r>
      <w:r>
        <w:t>if the parties give their consent to it and if (1) there are substantial discrepancies between the earlier statement and the later statement before the court or (2) the victim or the witness has not appeared before the court (Article</w:t>
      </w:r>
      <w:r w:rsidR="0071469A">
        <w:t> </w:t>
      </w:r>
      <w:r>
        <w:t>281 § 1).</w:t>
      </w:r>
    </w:p>
    <w:p w:rsidR="00AC1D7C" w:rsidP="00AC1D7C" w:rsidRDefault="00AC1D7C">
      <w:pPr>
        <w:pStyle w:val="JuPara"/>
      </w:pPr>
      <w:r>
        <w:fldChar w:fldCharType="begin"/>
      </w:r>
      <w:r>
        <w:instrText xml:space="preserve"> SEQ level0 \*arabic </w:instrText>
      </w:r>
      <w:r>
        <w:fldChar w:fldCharType="separate"/>
      </w:r>
      <w:r w:rsidR="00197D24">
        <w:rPr>
          <w:noProof/>
        </w:rPr>
        <w:t>33</w:t>
      </w:r>
      <w:r>
        <w:fldChar w:fldCharType="end"/>
      </w:r>
      <w:r>
        <w:t xml:space="preserve">.  The court may, without seeking the consent of the parties, read out earlier statements by the defaulted </w:t>
      </w:r>
      <w:r w:rsidR="005D29DA">
        <w:t xml:space="preserve">a </w:t>
      </w:r>
      <w:r>
        <w:t xml:space="preserve">victim or witness in case of (1)  death, (2)  serious illness, (3) the refusal to appear by </w:t>
      </w:r>
      <w:r w:rsidR="005D29DA">
        <w:t xml:space="preserve">a </w:t>
      </w:r>
      <w:r>
        <w:t xml:space="preserve">victim or the witness </w:t>
      </w:r>
      <w:r w:rsidR="005D29DA">
        <w:t xml:space="preserve">who is a </w:t>
      </w:r>
      <w:r>
        <w:t xml:space="preserve">citizen of </w:t>
      </w:r>
      <w:r w:rsidR="005D29DA">
        <w:t>an</w:t>
      </w:r>
      <w:r>
        <w:t xml:space="preserve">other States or (4)  natural disaster or other </w:t>
      </w:r>
      <w:r>
        <w:rPr>
          <w:rStyle w:val="ju-005fpara-002cleft-002cfirst-0020line-003a-0020-00200-0020cm--char"/>
          <w:i/>
          <w:iCs/>
        </w:rPr>
        <w:t>force majeure</w:t>
      </w:r>
      <w:r>
        <w:t xml:space="preserve"> circumstances (Article 281 § 2).</w:t>
      </w:r>
    </w:p>
    <w:bookmarkStart w:name="domesticlawnew" w:id="10"/>
    <w:p w:rsidR="005A63E1" w:rsidP="00C512DF" w:rsidRDefault="00C512DF">
      <w:pPr>
        <w:pStyle w:val="JuPara"/>
        <w:rPr>
          <w:lang w:eastAsia="en-GB"/>
        </w:rPr>
      </w:pPr>
      <w:r>
        <w:fldChar w:fldCharType="begin"/>
      </w:r>
      <w:r>
        <w:instrText xml:space="preserve"> SEQ level0 \*arabic </w:instrText>
      </w:r>
      <w:r>
        <w:fldChar w:fldCharType="separate"/>
      </w:r>
      <w:r w:rsidR="00197D24">
        <w:rPr>
          <w:noProof/>
        </w:rPr>
        <w:t>34</w:t>
      </w:r>
      <w:r>
        <w:fldChar w:fldCharType="end"/>
      </w:r>
      <w:bookmarkEnd w:id="10"/>
      <w:r>
        <w:t>.  </w:t>
      </w:r>
      <w:r w:rsidRPr="00C512DF">
        <w:rPr>
          <w:lang w:eastAsia="en-GB"/>
        </w:rPr>
        <w:t>Cha</w:t>
      </w:r>
      <w:r>
        <w:rPr>
          <w:lang w:eastAsia="en-GB"/>
        </w:rPr>
        <w:t>p</w:t>
      </w:r>
      <w:r w:rsidRPr="00C512DF">
        <w:rPr>
          <w:lang w:eastAsia="en-GB"/>
        </w:rPr>
        <w:t xml:space="preserve">ter 5 of </w:t>
      </w:r>
      <w:r>
        <w:rPr>
          <w:lang w:eastAsia="en-GB"/>
        </w:rPr>
        <w:t>the Code</w:t>
      </w:r>
      <w:r w:rsidRPr="00C512DF">
        <w:rPr>
          <w:lang w:eastAsia="en-GB"/>
        </w:rPr>
        <w:t xml:space="preserve"> </w:t>
      </w:r>
      <w:r w:rsidR="0024373F">
        <w:rPr>
          <w:lang w:eastAsia="en-GB"/>
        </w:rPr>
        <w:t>determines steps to be taken when</w:t>
      </w:r>
      <w:r>
        <w:rPr>
          <w:lang w:eastAsia="en-GB"/>
        </w:rPr>
        <w:t xml:space="preserve"> asking foreign authorities </w:t>
      </w:r>
      <w:r w:rsidRPr="00C512DF">
        <w:rPr>
          <w:lang w:eastAsia="en-GB"/>
        </w:rPr>
        <w:t xml:space="preserve">for legal assistance. In particular, Article 453 </w:t>
      </w:r>
      <w:r>
        <w:rPr>
          <w:lang w:eastAsia="en-GB"/>
        </w:rPr>
        <w:t>provides that</w:t>
      </w:r>
      <w:r w:rsidRPr="00C512DF">
        <w:rPr>
          <w:lang w:eastAsia="en-GB"/>
        </w:rPr>
        <w:t xml:space="preserve"> a prosecutor, </w:t>
      </w:r>
      <w:r>
        <w:rPr>
          <w:lang w:eastAsia="en-GB"/>
        </w:rPr>
        <w:t xml:space="preserve">an </w:t>
      </w:r>
      <w:r w:rsidRPr="00C512DF">
        <w:rPr>
          <w:lang w:eastAsia="en-GB"/>
        </w:rPr>
        <w:t xml:space="preserve">investigator or a court, when </w:t>
      </w:r>
      <w:r>
        <w:rPr>
          <w:lang w:eastAsia="en-GB"/>
        </w:rPr>
        <w:t>they need</w:t>
      </w:r>
      <w:r w:rsidRPr="00C512DF">
        <w:rPr>
          <w:lang w:eastAsia="en-GB"/>
        </w:rPr>
        <w:t xml:space="preserve"> to </w:t>
      </w:r>
      <w:r>
        <w:rPr>
          <w:lang w:eastAsia="en-GB"/>
        </w:rPr>
        <w:t>carry out</w:t>
      </w:r>
      <w:r w:rsidRPr="00C512DF">
        <w:rPr>
          <w:lang w:eastAsia="en-GB"/>
        </w:rPr>
        <w:t xml:space="preserve"> an interrogation, </w:t>
      </w:r>
      <w:r>
        <w:rPr>
          <w:lang w:eastAsia="en-GB"/>
        </w:rPr>
        <w:t xml:space="preserve">a </w:t>
      </w:r>
      <w:r w:rsidRPr="00C512DF">
        <w:rPr>
          <w:lang w:eastAsia="en-GB"/>
        </w:rPr>
        <w:t xml:space="preserve">search, seizure or any other procedural action </w:t>
      </w:r>
      <w:r>
        <w:rPr>
          <w:lang w:eastAsia="en-GB"/>
        </w:rPr>
        <w:t>in</w:t>
      </w:r>
      <w:r w:rsidRPr="00C512DF">
        <w:rPr>
          <w:lang w:eastAsia="en-GB"/>
        </w:rPr>
        <w:t xml:space="preserve"> the territory of a foreign State, </w:t>
      </w:r>
      <w:r>
        <w:rPr>
          <w:lang w:eastAsia="en-GB"/>
        </w:rPr>
        <w:t>may</w:t>
      </w:r>
      <w:r w:rsidRPr="00C512DF">
        <w:rPr>
          <w:lang w:eastAsia="en-GB"/>
        </w:rPr>
        <w:t xml:space="preserve"> </w:t>
      </w:r>
      <w:r w:rsidR="0024373F">
        <w:rPr>
          <w:lang w:eastAsia="en-GB"/>
        </w:rPr>
        <w:t>ask</w:t>
      </w:r>
      <w:r w:rsidRPr="00C512DF">
        <w:rPr>
          <w:lang w:eastAsia="en-GB"/>
        </w:rPr>
        <w:t xml:space="preserve"> assistance from investigating or judicial officials of </w:t>
      </w:r>
      <w:r w:rsidR="0024373F">
        <w:rPr>
          <w:lang w:eastAsia="en-GB"/>
        </w:rPr>
        <w:t xml:space="preserve">that </w:t>
      </w:r>
      <w:r w:rsidRPr="00C512DF">
        <w:rPr>
          <w:lang w:eastAsia="en-GB"/>
        </w:rPr>
        <w:t xml:space="preserve">State to organise/perform that procedural action. </w:t>
      </w:r>
      <w:r w:rsidR="0024373F">
        <w:rPr>
          <w:lang w:eastAsia="en-GB"/>
        </w:rPr>
        <w:t>R</w:t>
      </w:r>
      <w:r w:rsidRPr="00C512DF">
        <w:rPr>
          <w:lang w:eastAsia="en-GB"/>
        </w:rPr>
        <w:t xml:space="preserve">ecords of procedural actions performed by foreign officials on </w:t>
      </w:r>
      <w:r w:rsidR="0024373F">
        <w:rPr>
          <w:lang w:eastAsia="en-GB"/>
        </w:rPr>
        <w:t xml:space="preserve">a </w:t>
      </w:r>
      <w:r w:rsidRPr="00C512DF">
        <w:rPr>
          <w:lang w:eastAsia="en-GB"/>
        </w:rPr>
        <w:t xml:space="preserve">request </w:t>
      </w:r>
      <w:r w:rsidR="0024373F">
        <w:rPr>
          <w:lang w:eastAsia="en-GB"/>
        </w:rPr>
        <w:t>by</w:t>
      </w:r>
      <w:r w:rsidRPr="00C512DF">
        <w:rPr>
          <w:lang w:eastAsia="en-GB"/>
        </w:rPr>
        <w:t xml:space="preserve"> Russian authorities will have the same </w:t>
      </w:r>
      <w:r w:rsidRPr="00C512DF" w:rsidR="0024373F">
        <w:rPr>
          <w:lang w:eastAsia="en-GB"/>
        </w:rPr>
        <w:t>evidentiary</w:t>
      </w:r>
      <w:r w:rsidRPr="00C512DF">
        <w:rPr>
          <w:lang w:eastAsia="en-GB"/>
        </w:rPr>
        <w:t xml:space="preserve"> weight as evidence received by Russian officials in the territory of the </w:t>
      </w:r>
      <w:smartTag w:uri="urn:schemas-microsoft-com:office:smarttags" w:element="place">
        <w:smartTag w:uri="urn:schemas-microsoft-com:office:smarttags" w:element="country-region">
          <w:r w:rsidRPr="00C512DF">
            <w:rPr>
              <w:lang w:eastAsia="en-GB"/>
            </w:rPr>
            <w:t>Russian Federation</w:t>
          </w:r>
        </w:smartTag>
      </w:smartTag>
      <w:r w:rsidRPr="00C512DF">
        <w:rPr>
          <w:lang w:eastAsia="en-GB"/>
        </w:rPr>
        <w:t xml:space="preserve"> (Article 455).</w:t>
      </w:r>
      <w:r w:rsidR="0024373F">
        <w:rPr>
          <w:lang w:eastAsia="en-GB"/>
        </w:rPr>
        <w:t xml:space="preserve"> </w:t>
      </w:r>
      <w:r w:rsidRPr="00C512DF">
        <w:rPr>
          <w:lang w:eastAsia="en-GB"/>
        </w:rPr>
        <w:t xml:space="preserve">Article 456 deals with the issue of summoning witnesses who live outside the </w:t>
      </w:r>
      <w:smartTag w:uri="urn:schemas-microsoft-com:office:smarttags" w:element="place">
        <w:smartTag w:uri="urn:schemas-microsoft-com:office:smarttags" w:element="country-region">
          <w:r w:rsidRPr="00C512DF">
            <w:rPr>
              <w:lang w:eastAsia="en-GB"/>
            </w:rPr>
            <w:t>Russian Federation</w:t>
          </w:r>
        </w:smartTag>
      </w:smartTag>
      <w:r w:rsidRPr="00C512DF">
        <w:rPr>
          <w:lang w:eastAsia="en-GB"/>
        </w:rPr>
        <w:t xml:space="preserve"> to give statements regarding a criminal case pending before Russian authorities.</w:t>
      </w:r>
    </w:p>
    <w:p w:rsidR="00AC1D7C" w:rsidP="00AC1D7C" w:rsidRDefault="00AC1D7C">
      <w:pPr>
        <w:pStyle w:val="JuH1"/>
      </w:pPr>
      <w:r>
        <w:t>2.  Law on measures aimed at ensuring the attendance of witnesses and victims</w:t>
      </w:r>
    </w:p>
    <w:p w:rsidR="00AC1D7C" w:rsidP="00AC1D7C" w:rsidRDefault="00AC1D7C">
      <w:pPr>
        <w:pStyle w:val="JuHa0"/>
      </w:pPr>
      <w:r>
        <w:t xml:space="preserve">(a)  The 1993 </w:t>
      </w:r>
      <w:smartTag w:uri="urn:schemas-microsoft-com:office:smarttags" w:element="place">
        <w:smartTag w:uri="urn:schemas-microsoft-com:office:smarttags" w:element="City">
          <w:r>
            <w:t>Minsk</w:t>
          </w:r>
        </w:smartTag>
      </w:smartTag>
      <w:r>
        <w:t xml:space="preserve"> Convention</w:t>
      </w:r>
    </w:p>
    <w:bookmarkStart w:name="0100000D" w:id="11"/>
    <w:bookmarkStart w:name="minskconv" w:id="12"/>
    <w:bookmarkEnd w:id="11"/>
    <w:p w:rsidRPr="00AC1D7C" w:rsidR="00AC1D7C" w:rsidP="00AC1D7C" w:rsidRDefault="00AC1D7C">
      <w:pPr>
        <w:pStyle w:val="JuPara"/>
      </w:pPr>
      <w:r>
        <w:fldChar w:fldCharType="begin"/>
      </w:r>
      <w:r>
        <w:instrText xml:space="preserve"> SEQ level0 \*arabic </w:instrText>
      </w:r>
      <w:r>
        <w:fldChar w:fldCharType="separate"/>
      </w:r>
      <w:r w:rsidR="00197D24">
        <w:rPr>
          <w:noProof/>
        </w:rPr>
        <w:t>35</w:t>
      </w:r>
      <w:r>
        <w:fldChar w:fldCharType="end"/>
      </w:r>
      <w:bookmarkEnd w:id="12"/>
      <w:r>
        <w:t>.  </w:t>
      </w:r>
      <w:r w:rsidRPr="00AC1D7C">
        <w:t xml:space="preserve">The Convention on Legal Assistance and Legal Relations in Civil, Family and Criminal Matters (signed in Minsk on 22 January 1993 and amended on 28 March 1997, “the 1993 </w:t>
      </w:r>
      <w:bookmarkStart w:name="0100000E" w:id="13"/>
      <w:bookmarkEnd w:id="13"/>
      <w:r w:rsidRPr="00AC1D7C">
        <w:t xml:space="preserve">Minsk </w:t>
      </w:r>
      <w:bookmarkStart w:name="0100000F" w:id="14"/>
      <w:bookmarkEnd w:id="14"/>
      <w:r w:rsidRPr="00AC1D7C">
        <w:t xml:space="preserve">Convention”), to which both </w:t>
      </w:r>
      <w:bookmarkStart w:name="01000010" w:id="15"/>
      <w:bookmarkStart w:name="HIT3" w:id="16"/>
      <w:bookmarkEnd w:id="15"/>
      <w:bookmarkEnd w:id="16"/>
      <w:r w:rsidRPr="00AC1D7C">
        <w:rPr>
          <w:bCs/>
        </w:rPr>
        <w:t>Russia</w:t>
      </w:r>
      <w:r w:rsidRPr="00AC1D7C">
        <w:t xml:space="preserve"> and </w:t>
      </w:r>
      <w:r>
        <w:t>Uzbekistan</w:t>
      </w:r>
      <w:r w:rsidRPr="00AC1D7C">
        <w:t xml:space="preserve"> are parties, provides that a witness and a victim who are subjects of one Contracting Party can be summoned, for the purpose of their examination, by a “body of justice” of another Contracting Party. The witness and the victim are entitled to reimbursement of travel</w:t>
      </w:r>
      <w:r w:rsidR="003A6E61">
        <w:t xml:space="preserve">, </w:t>
      </w:r>
      <w:r w:rsidRPr="00AC1D7C">
        <w:t>and certain other, costs and expenses incurred in connection with their participation in the criminal proceedings (Section 9).</w:t>
      </w:r>
    </w:p>
    <w:p w:rsidR="005A63E1" w:rsidP="00AC1D7C" w:rsidRDefault="00AC1D7C">
      <w:pPr>
        <w:pStyle w:val="JuHa0"/>
      </w:pPr>
      <w:r>
        <w:t>(b)  Code of Criminal Procedure</w:t>
      </w:r>
    </w:p>
    <w:p w:rsidR="00AC1D7C" w:rsidP="00AC1D7C" w:rsidRDefault="00AC1D7C">
      <w:pPr>
        <w:pStyle w:val="JuPara"/>
      </w:pPr>
      <w:r>
        <w:fldChar w:fldCharType="begin"/>
      </w:r>
      <w:r>
        <w:instrText xml:space="preserve"> SEQ level0 \*arabic </w:instrText>
      </w:r>
      <w:r>
        <w:fldChar w:fldCharType="separate"/>
      </w:r>
      <w:r w:rsidR="00197D24">
        <w:rPr>
          <w:noProof/>
        </w:rPr>
        <w:t>36</w:t>
      </w:r>
      <w:r>
        <w:fldChar w:fldCharType="end"/>
      </w:r>
      <w:r>
        <w:t>.  If a witness or a victim does not obey a summons to appear without a valid reason, they may be brought to a courtroom under escort (Article 113).</w:t>
      </w:r>
    </w:p>
    <w:bookmarkStart w:name="crimlaw" w:id="17"/>
    <w:p w:rsidR="00AC1D7C" w:rsidP="00AC1D7C" w:rsidRDefault="00EA730C">
      <w:pPr>
        <w:pStyle w:val="JuPara"/>
      </w:pPr>
      <w:r>
        <w:fldChar w:fldCharType="begin"/>
      </w:r>
      <w:r>
        <w:instrText xml:space="preserve"> SEQ level0 \*arabic </w:instrText>
      </w:r>
      <w:r>
        <w:fldChar w:fldCharType="separate"/>
      </w:r>
      <w:r w:rsidR="00197D24">
        <w:rPr>
          <w:noProof/>
        </w:rPr>
        <w:t>37</w:t>
      </w:r>
      <w:r>
        <w:fldChar w:fldCharType="end"/>
      </w:r>
      <w:bookmarkEnd w:id="17"/>
      <w:r>
        <w:t>.  </w:t>
      </w:r>
      <w:r w:rsidR="003A6E61">
        <w:t>W</w:t>
      </w:r>
      <w:r w:rsidR="00AC1D7C">
        <w:t>itness</w:t>
      </w:r>
      <w:r w:rsidR="003A6E61">
        <w:t>es</w:t>
      </w:r>
      <w:r w:rsidR="00AC1D7C">
        <w:t xml:space="preserve"> and victim</w:t>
      </w:r>
      <w:r w:rsidR="003A6E61">
        <w:t>s</w:t>
      </w:r>
      <w:r w:rsidR="00AC1D7C">
        <w:t xml:space="preserve"> are entitled to reimbursement of costs and expenses incurred in connection with their participation in criminal proceedings (Article 131).</w:t>
      </w:r>
    </w:p>
    <w:p w:rsidR="00AC1D7C" w:rsidP="00AC1D7C" w:rsidRDefault="00EA730C">
      <w:pPr>
        <w:pStyle w:val="JuPara"/>
      </w:pPr>
      <w:r>
        <w:fldChar w:fldCharType="begin"/>
      </w:r>
      <w:r>
        <w:instrText xml:space="preserve"> SEQ level0 \*arabic </w:instrText>
      </w:r>
      <w:r>
        <w:fldChar w:fldCharType="separate"/>
      </w:r>
      <w:r w:rsidR="00197D24">
        <w:rPr>
          <w:noProof/>
        </w:rPr>
        <w:t>38</w:t>
      </w:r>
      <w:r>
        <w:fldChar w:fldCharType="end"/>
      </w:r>
      <w:r>
        <w:t>.  </w:t>
      </w:r>
      <w:r w:rsidR="003A6E61">
        <w:t>W</w:t>
      </w:r>
      <w:r>
        <w:t>itness</w:t>
      </w:r>
      <w:r w:rsidR="003A6E61">
        <w:t>es and</w:t>
      </w:r>
      <w:r>
        <w:t xml:space="preserve"> victim</w:t>
      </w:r>
      <w:r w:rsidR="003A6E61">
        <w:t>s</w:t>
      </w:r>
      <w:r w:rsidR="00AC1D7C">
        <w:t xml:space="preserve"> who live abroad may be summoned</w:t>
      </w:r>
      <w:r w:rsidR="003A6E61">
        <w:t xml:space="preserve">, with their consent, to </w:t>
      </w:r>
      <w:r w:rsidR="00AC1D7C">
        <w:t xml:space="preserve">criminal proceedings conducted in the </w:t>
      </w:r>
      <w:smartTag w:uri="urn:schemas-microsoft-com:office:smarttags" w:element="place">
        <w:smartTag w:uri="urn:schemas-microsoft-com:office:smarttags" w:element="country-region">
          <w:r w:rsidR="00AC1D7C">
            <w:t>Russian Federation</w:t>
          </w:r>
        </w:smartTag>
      </w:smartTag>
      <w:r w:rsidR="00AC1D7C">
        <w:t xml:space="preserve"> (Article 456 § 1).</w:t>
      </w:r>
    </w:p>
    <w:p w:rsidR="002E5C8F" w:rsidP="002E5C8F" w:rsidRDefault="002E5C8F">
      <w:pPr>
        <w:pStyle w:val="JuHA"/>
      </w:pPr>
      <w:r>
        <w:t>C.  Reopening of criminal proceedings</w:t>
      </w:r>
      <w:r>
        <w:tab/>
      </w:r>
    </w:p>
    <w:bookmarkStart w:name="0100001C" w:id="18"/>
    <w:bookmarkEnd w:id="18"/>
    <w:p w:rsidR="002E5C8F" w:rsidP="002E5C8F" w:rsidRDefault="002E5C8F">
      <w:pPr>
        <w:pStyle w:val="JuPara"/>
      </w:pPr>
      <w:r>
        <w:rPr>
          <w:bCs/>
        </w:rPr>
        <w:fldChar w:fldCharType="begin"/>
      </w:r>
      <w:r>
        <w:rPr>
          <w:bCs/>
        </w:rPr>
        <w:instrText xml:space="preserve"> SEQ level0 \*arabic </w:instrText>
      </w:r>
      <w:r>
        <w:rPr>
          <w:bCs/>
        </w:rPr>
        <w:fldChar w:fldCharType="separate"/>
      </w:r>
      <w:r w:rsidR="00197D24">
        <w:rPr>
          <w:bCs/>
          <w:noProof/>
        </w:rPr>
        <w:t>39</w:t>
      </w:r>
      <w:r>
        <w:rPr>
          <w:bCs/>
        </w:rPr>
        <w:fldChar w:fldCharType="end"/>
      </w:r>
      <w:r>
        <w:rPr>
          <w:bCs/>
        </w:rPr>
        <w:t>.  </w:t>
      </w:r>
      <w:r w:rsidRPr="002E5C8F">
        <w:rPr>
          <w:bCs/>
        </w:rPr>
        <w:t>Article</w:t>
      </w:r>
      <w:r w:rsidRPr="002E5C8F">
        <w:t xml:space="preserve"> </w:t>
      </w:r>
      <w:r w:rsidRPr="002E5C8F">
        <w:rPr>
          <w:bCs/>
        </w:rPr>
        <w:t>413</w:t>
      </w:r>
      <w:r w:rsidRPr="002E5C8F">
        <w:t xml:space="preserve"> of the </w:t>
      </w:r>
      <w:r w:rsidRPr="002E5C8F">
        <w:rPr>
          <w:bCs/>
        </w:rPr>
        <w:t>Russian</w:t>
      </w:r>
      <w:r w:rsidRPr="002E5C8F">
        <w:t xml:space="preserve"> </w:t>
      </w:r>
      <w:bookmarkStart w:name="HIT4" w:id="19"/>
      <w:bookmarkEnd w:id="19"/>
      <w:r w:rsidRPr="002E5C8F">
        <w:rPr>
          <w:bCs/>
        </w:rPr>
        <w:t>Code</w:t>
      </w:r>
      <w:r>
        <w:t xml:space="preserve"> of Criminal Procedure, setting out the procedure for reopening of criminal cases, reads, in so far as relevant, as follows:</w:t>
      </w:r>
    </w:p>
    <w:p w:rsidR="002E5C8F" w:rsidP="002E5C8F" w:rsidRDefault="002E5C8F">
      <w:pPr>
        <w:pStyle w:val="JuQuot"/>
      </w:pPr>
      <w:r>
        <w:t>“1. Court judgments and decisions which became final should be quashed and proceedings in a criminal case should be re-opened due to new or newly discovered circumstances.</w:t>
      </w:r>
    </w:p>
    <w:p w:rsidR="002E5C8F" w:rsidP="002E5C8F" w:rsidRDefault="002E5C8F">
      <w:pPr>
        <w:pStyle w:val="JuQuot"/>
      </w:pPr>
      <w:r>
        <w:t>...</w:t>
      </w:r>
    </w:p>
    <w:p w:rsidR="002E5C8F" w:rsidP="002E5C8F" w:rsidRDefault="002E5C8F">
      <w:pPr>
        <w:pStyle w:val="JuQuot"/>
      </w:pPr>
      <w:r>
        <w:t>4. New circumstances are:</w:t>
      </w:r>
    </w:p>
    <w:p w:rsidR="002E5C8F" w:rsidP="002E5C8F" w:rsidRDefault="002E5C8F">
      <w:pPr>
        <w:pStyle w:val="JuQuot"/>
      </w:pPr>
      <w:r>
        <w:t>...</w:t>
      </w:r>
    </w:p>
    <w:p w:rsidR="002E5C8F" w:rsidP="002E5C8F" w:rsidRDefault="002E5C8F">
      <w:pPr>
        <w:pStyle w:val="JuQuot"/>
      </w:pPr>
      <w:r>
        <w:t xml:space="preserve">(2) a violation of a provision of the European Convention for the Protection of Human Rights and Fundamental Freedoms committed by a court of the </w:t>
      </w:r>
      <w:smartTag w:uri="urn:schemas-microsoft-com:office:smarttags" w:element="place">
        <w:smartTag w:uri="urn:schemas-microsoft-com:office:smarttags" w:element="country-region">
          <w:r>
            <w:t>Russian Federation</w:t>
          </w:r>
        </w:smartTag>
      </w:smartTag>
      <w:r>
        <w:t xml:space="preserve"> during examination of a criminal case and established by the European Court of Human Rights, pertaining to:</w:t>
      </w:r>
    </w:p>
    <w:p w:rsidR="002E5C8F" w:rsidP="002E5C8F" w:rsidRDefault="002E5C8F">
      <w:pPr>
        <w:pStyle w:val="JuQuot"/>
      </w:pPr>
      <w:r>
        <w:t>(a) application of a federal law which runs contrary to provisions of the European Convention for the Protection of Human Rights and Fundamental Freedoms;</w:t>
      </w:r>
    </w:p>
    <w:p w:rsidR="002E5C8F" w:rsidP="002E5C8F" w:rsidRDefault="002E5C8F">
      <w:pPr>
        <w:pStyle w:val="JuQuot"/>
      </w:pPr>
      <w:r>
        <w:t>(b)  other violations of provisions of the Convention for the Protection of Human Rights and Fundamental Freedoms;</w:t>
      </w:r>
    </w:p>
    <w:p w:rsidR="002E5C8F" w:rsidP="002E5C8F" w:rsidRDefault="002E5C8F">
      <w:pPr>
        <w:pStyle w:val="JuQuot"/>
      </w:pPr>
      <w:r>
        <w:t>(c)  other new circumstances.”</w:t>
      </w:r>
    </w:p>
    <w:p w:rsidRPr="006C5B93" w:rsidR="00F71A6A" w:rsidP="008824B9" w:rsidRDefault="00F71A6A">
      <w:pPr>
        <w:pStyle w:val="JuHHead"/>
      </w:pPr>
      <w:r w:rsidRPr="006C5B93">
        <w:t>THE LAW</w:t>
      </w:r>
    </w:p>
    <w:p w:rsidR="005A63E1" w:rsidRDefault="00411B74">
      <w:pPr>
        <w:pStyle w:val="JuHIRoman"/>
      </w:pPr>
      <w:r>
        <w:t>I</w:t>
      </w:r>
      <w:r w:rsidRPr="006C5B93" w:rsidR="00F71A6A">
        <w:t xml:space="preserve">.  ALLEGED VIOLATION OF ARTICLE </w:t>
      </w:r>
      <w:r w:rsidR="007A6EEA">
        <w:t xml:space="preserve">6 </w:t>
      </w:r>
      <w:r w:rsidRPr="006C5B93" w:rsidR="00F71A6A">
        <w:t>OF THE CONVENTION</w:t>
      </w:r>
    </w:p>
    <w:p w:rsidR="00680844" w:rsidP="00680844" w:rsidRDefault="0024373F">
      <w:pPr>
        <w:pStyle w:val="JuPara"/>
      </w:pPr>
      <w:r>
        <w:rPr>
          <w:rStyle w:val="JuParaChar"/>
        </w:rPr>
        <w:fldChar w:fldCharType="begin"/>
      </w:r>
      <w:r>
        <w:rPr>
          <w:rStyle w:val="JuParaChar"/>
        </w:rPr>
        <w:instrText xml:space="preserve"> SEQ level0 \*arabic </w:instrText>
      </w:r>
      <w:r>
        <w:rPr>
          <w:rStyle w:val="JuParaChar"/>
        </w:rPr>
        <w:fldChar w:fldCharType="separate"/>
      </w:r>
      <w:r w:rsidR="00197D24">
        <w:rPr>
          <w:rStyle w:val="JuParaChar"/>
          <w:noProof/>
        </w:rPr>
        <w:t>40</w:t>
      </w:r>
      <w:r>
        <w:rPr>
          <w:rStyle w:val="JuParaChar"/>
        </w:rPr>
        <w:fldChar w:fldCharType="end"/>
      </w:r>
      <w:r>
        <w:rPr>
          <w:rStyle w:val="JuParaChar"/>
        </w:rPr>
        <w:t>.  </w:t>
      </w:r>
      <w:r w:rsidRPr="00302A4D" w:rsidR="00680844">
        <w:rPr>
          <w:rStyle w:val="JuParaChar"/>
        </w:rPr>
        <w:t>The applicant complained, under Article 6 §§ 1 and</w:t>
      </w:r>
      <w:r w:rsidR="00680844">
        <w:rPr>
          <w:rStyle w:val="JuParaChar"/>
        </w:rPr>
        <w:t xml:space="preserve"> 3 (d) of the Convention, that </w:t>
      </w:r>
      <w:r w:rsidRPr="00302A4D" w:rsidR="00680844">
        <w:rPr>
          <w:rStyle w:val="JuParaChar"/>
        </w:rPr>
        <w:t xml:space="preserve">he had been denied a fair </w:t>
      </w:r>
      <w:r w:rsidR="00680844">
        <w:rPr>
          <w:rStyle w:val="JuParaChar"/>
        </w:rPr>
        <w:t xml:space="preserve">hearing in that </w:t>
      </w:r>
      <w:r w:rsidRPr="00302A4D" w:rsidR="00680844">
        <w:rPr>
          <w:rStyle w:val="JuParaChar"/>
        </w:rPr>
        <w:t>he had not been given an opportunity t</w:t>
      </w:r>
      <w:r w:rsidR="00680844">
        <w:rPr>
          <w:rStyle w:val="JuParaChar"/>
        </w:rPr>
        <w:t>o confront any witness testifying against him</w:t>
      </w:r>
      <w:r w:rsidRPr="00302A4D" w:rsidR="00680844">
        <w:rPr>
          <w:rStyle w:val="JuParaChar"/>
        </w:rPr>
        <w:t xml:space="preserve">. </w:t>
      </w:r>
      <w:r w:rsidR="00152C72">
        <w:rPr>
          <w:rStyle w:val="JuParaChar"/>
        </w:rPr>
        <w:t xml:space="preserve">He further </w:t>
      </w:r>
      <w:r w:rsidR="00152C72">
        <w:t>complained of irregularities in the jury selection process and prosecution</w:t>
      </w:r>
      <w:r w:rsidR="008A5600">
        <w:t>’</w:t>
      </w:r>
      <w:r w:rsidR="00152C72">
        <w:t xml:space="preserve">s attempts to tamper with the jury, as well as various procedural violations allegedly committed by the </w:t>
      </w:r>
      <w:r w:rsidR="000B04F2">
        <w:t>trial court</w:t>
      </w:r>
      <w:r w:rsidRPr="006C5B93" w:rsidR="00152C72">
        <w:t>.</w:t>
      </w:r>
      <w:r w:rsidR="00152C72">
        <w:t xml:space="preserve"> </w:t>
      </w:r>
      <w:r w:rsidR="00680844">
        <w:t>Article 6 reads, in so far as relevant:</w:t>
      </w:r>
    </w:p>
    <w:p w:rsidR="00680844" w:rsidP="00680844" w:rsidRDefault="00680844">
      <w:pPr>
        <w:pStyle w:val="JuQuot"/>
      </w:pPr>
      <w:r>
        <w:t xml:space="preserve">“1.  In the determination of ... any criminal charge against him, everyone is entitled </w:t>
      </w:r>
      <w:r w:rsidR="00406155">
        <w:t>to a fair ... hearing ... by an independent and impartial</w:t>
      </w:r>
      <w:r>
        <w:t xml:space="preserve"> tribunal</w:t>
      </w:r>
      <w:r w:rsidR="00406155">
        <w:t xml:space="preserve"> established by law.</w:t>
      </w:r>
      <w:r>
        <w:t>...</w:t>
      </w:r>
    </w:p>
    <w:p w:rsidR="00680844" w:rsidP="00680844" w:rsidRDefault="00680844">
      <w:pPr>
        <w:pStyle w:val="JuQuot"/>
      </w:pPr>
      <w:r>
        <w:t>...</w:t>
      </w:r>
    </w:p>
    <w:p w:rsidR="00680844" w:rsidP="00680844" w:rsidRDefault="00680844">
      <w:pPr>
        <w:pStyle w:val="JuQuot"/>
        <w:outlineLvl w:val="0"/>
      </w:pPr>
      <w:r>
        <w:t>3.  </w:t>
      </w:r>
      <w:smartTag w:uri="urn:schemas-microsoft-com:office:smarttags" w:element="PersonName">
        <w:r>
          <w:t>Eve</w:t>
        </w:r>
      </w:smartTag>
      <w:r>
        <w:t>ryone charged with a criminal offence has the following minimum rights:</w:t>
      </w:r>
    </w:p>
    <w:p w:rsidR="00680844" w:rsidP="00680844" w:rsidRDefault="00680844">
      <w:pPr>
        <w:pStyle w:val="JuQuot"/>
      </w:pPr>
      <w:r>
        <w:t>...</w:t>
      </w:r>
    </w:p>
    <w:p w:rsidR="00680844" w:rsidP="00680844" w:rsidRDefault="00680844">
      <w:pPr>
        <w:pStyle w:val="JuQuot"/>
      </w:pPr>
      <w:r>
        <w:t>(d)  to examine or have examined witnesses against him and to obtain the attendance and examination of witnesses on his behalf under the same conditions as witnesses against him;”</w:t>
      </w:r>
    </w:p>
    <w:p w:rsidRPr="006C5B93" w:rsidR="00406155" w:rsidP="00406155" w:rsidRDefault="00680844">
      <w:pPr>
        <w:pStyle w:val="JuHA"/>
      </w:pPr>
      <w:r>
        <w:t>A.  </w:t>
      </w:r>
      <w:r w:rsidRPr="006C5B93" w:rsidR="00406155">
        <w:t>Admissibility</w:t>
      </w:r>
    </w:p>
    <w:p w:rsidRPr="006C5B93" w:rsidR="00406155" w:rsidP="00406155" w:rsidRDefault="00406155">
      <w:pPr>
        <w:pStyle w:val="JuPara"/>
      </w:pPr>
      <w:r>
        <w:fldChar w:fldCharType="begin"/>
      </w:r>
      <w:r>
        <w:instrText xml:space="preserve"> SEQ level0 \*arabic </w:instrText>
      </w:r>
      <w:r>
        <w:fldChar w:fldCharType="separate"/>
      </w:r>
      <w:r w:rsidR="00197D24">
        <w:rPr>
          <w:noProof/>
        </w:rPr>
        <w:t>41</w:t>
      </w:r>
      <w:r>
        <w:fldChar w:fldCharType="end"/>
      </w:r>
      <w:r>
        <w:t>.  </w:t>
      </w:r>
      <w:r w:rsidRPr="006C5B93">
        <w:t>The Court notes that th</w:t>
      </w:r>
      <w:r>
        <w:t>ese</w:t>
      </w:r>
      <w:r w:rsidRPr="006C5B93">
        <w:t xml:space="preserve"> complaint</w:t>
      </w:r>
      <w:r>
        <w:t>s</w:t>
      </w:r>
      <w:r w:rsidRPr="006C5B93">
        <w:t xml:space="preserve"> </w:t>
      </w:r>
      <w:r>
        <w:t>are</w:t>
      </w:r>
      <w:r w:rsidRPr="006C5B93">
        <w:t xml:space="preserve"> not manifestly ill-founded within the meaning of Article 35 § 3 (a) of the Convention</w:t>
      </w:r>
      <w:r>
        <w:t xml:space="preserve"> and that</w:t>
      </w:r>
      <w:r w:rsidRPr="006C5B93">
        <w:t xml:space="preserve"> </w:t>
      </w:r>
      <w:r>
        <w:t>they are</w:t>
      </w:r>
      <w:r w:rsidRPr="006C5B93">
        <w:t xml:space="preserve"> not inadmissible on any other grounds. </w:t>
      </w:r>
      <w:r>
        <w:t xml:space="preserve">They </w:t>
      </w:r>
      <w:r w:rsidRPr="006C5B93">
        <w:t>must therefore be declared admissible.</w:t>
      </w:r>
    </w:p>
    <w:p w:rsidRPr="006C5B93" w:rsidR="00406155" w:rsidP="00406155" w:rsidRDefault="00406155">
      <w:pPr>
        <w:pStyle w:val="JuHA"/>
      </w:pPr>
      <w:r>
        <w:t>B</w:t>
      </w:r>
      <w:r w:rsidRPr="006C5B93">
        <w:t>.  Merits</w:t>
      </w:r>
    </w:p>
    <w:p w:rsidR="00406155" w:rsidP="00406155" w:rsidRDefault="00406155">
      <w:pPr>
        <w:pStyle w:val="JuH1"/>
      </w:pPr>
      <w:r>
        <w:t>1.  Alleged violation of Article 6 of the Convention on account of inability to confront witnesses</w:t>
      </w:r>
    </w:p>
    <w:p w:rsidR="00680844" w:rsidP="00406155" w:rsidRDefault="00406155">
      <w:pPr>
        <w:pStyle w:val="JuHa0"/>
      </w:pPr>
      <w:r>
        <w:t>(a)  </w:t>
      </w:r>
      <w:r w:rsidR="00680844">
        <w:t>Submissions by the parties</w:t>
      </w:r>
    </w:p>
    <w:p w:rsidR="005A63E1" w:rsidP="002F4BCF" w:rsidRDefault="00680844">
      <w:pPr>
        <w:pStyle w:val="JuPara"/>
        <w:rPr>
          <w:lang w:eastAsia="en-US"/>
        </w:rPr>
      </w:pPr>
      <w:r>
        <w:fldChar w:fldCharType="begin"/>
      </w:r>
      <w:r>
        <w:instrText xml:space="preserve"> SEQ level0 \*arabic </w:instrText>
      </w:r>
      <w:r>
        <w:fldChar w:fldCharType="separate"/>
      </w:r>
      <w:r w:rsidR="00197D24">
        <w:rPr>
          <w:noProof/>
        </w:rPr>
        <w:t>42</w:t>
      </w:r>
      <w:r>
        <w:fldChar w:fldCharType="end"/>
      </w:r>
      <w:r>
        <w:t>.  </w:t>
      </w:r>
      <w:r w:rsidR="00EF7F52">
        <w:t>Having cited the Court</w:t>
      </w:r>
      <w:r w:rsidR="008A5600">
        <w:t>’</w:t>
      </w:r>
      <w:r w:rsidR="00EF7F52">
        <w:t xml:space="preserve">s judgments in the cases of </w:t>
      </w:r>
      <w:proofErr w:type="spellStart"/>
      <w:r w:rsidRPr="00EF7F52" w:rsidR="00EF7F52">
        <w:rPr>
          <w:i/>
          <w:lang w:eastAsia="en-US"/>
        </w:rPr>
        <w:t>Isgrò</w:t>
      </w:r>
      <w:proofErr w:type="spellEnd"/>
      <w:r w:rsidRPr="00EF7F52" w:rsidR="00EF7F52">
        <w:rPr>
          <w:i/>
          <w:lang w:eastAsia="en-US"/>
        </w:rPr>
        <w:t xml:space="preserve"> v. Italy</w:t>
      </w:r>
      <w:r w:rsidRPr="00EF7F52" w:rsidR="00EF7F52">
        <w:rPr>
          <w:lang w:eastAsia="en-US"/>
        </w:rPr>
        <w:t xml:space="preserve"> </w:t>
      </w:r>
      <w:r w:rsidR="00EF7F52">
        <w:rPr>
          <w:lang w:eastAsia="en-US"/>
        </w:rPr>
        <w:t>(</w:t>
      </w:r>
      <w:r w:rsidRPr="00EF7F52" w:rsidR="00EF7F52">
        <w:rPr>
          <w:lang w:eastAsia="en-US"/>
        </w:rPr>
        <w:t>19</w:t>
      </w:r>
      <w:r w:rsidR="00EF7F52">
        <w:rPr>
          <w:lang w:eastAsia="en-US"/>
        </w:rPr>
        <w:t> </w:t>
      </w:r>
      <w:r w:rsidRPr="00EF7F52" w:rsidR="00EF7F52">
        <w:rPr>
          <w:lang w:eastAsia="en-US"/>
        </w:rPr>
        <w:t>February 1991, Series A no. 194</w:t>
      </w:r>
      <w:r w:rsidRPr="00EF7F52" w:rsidR="00EF7F52">
        <w:rPr>
          <w:lang w:eastAsia="en-US"/>
        </w:rPr>
        <w:noBreakHyphen/>
        <w:t>A</w:t>
      </w:r>
      <w:r w:rsidR="00EF7F52">
        <w:rPr>
          <w:lang w:eastAsia="en-US"/>
        </w:rPr>
        <w:t>)</w:t>
      </w:r>
      <w:r w:rsidR="00BB1355">
        <w:rPr>
          <w:lang w:eastAsia="en-US"/>
        </w:rPr>
        <w:t>,</w:t>
      </w:r>
      <w:r w:rsidR="00EF7F52">
        <w:rPr>
          <w:lang w:eastAsia="en-US"/>
        </w:rPr>
        <w:t xml:space="preserve"> and </w:t>
      </w:r>
      <w:proofErr w:type="spellStart"/>
      <w:r w:rsidRPr="00EF7F52" w:rsidR="00EF7F52">
        <w:rPr>
          <w:i/>
          <w:lang w:eastAsia="en-US"/>
        </w:rPr>
        <w:t>Lüdi</w:t>
      </w:r>
      <w:proofErr w:type="spellEnd"/>
      <w:r w:rsidRPr="00EF7F52" w:rsidR="00EF7F52">
        <w:rPr>
          <w:i/>
          <w:lang w:eastAsia="en-US"/>
        </w:rPr>
        <w:t xml:space="preserve"> v. Switzerland</w:t>
      </w:r>
      <w:r w:rsidRPr="00EF7F52" w:rsidR="00EF7F52">
        <w:rPr>
          <w:lang w:eastAsia="en-US"/>
        </w:rPr>
        <w:t xml:space="preserve"> </w:t>
      </w:r>
      <w:r w:rsidR="00EF7F52">
        <w:rPr>
          <w:lang w:eastAsia="en-US"/>
        </w:rPr>
        <w:t>(</w:t>
      </w:r>
      <w:r w:rsidRPr="00EF7F52" w:rsidR="00EF7F52">
        <w:rPr>
          <w:lang w:eastAsia="en-US"/>
        </w:rPr>
        <w:t>15 June 1992, Series A no. 238</w:t>
      </w:r>
      <w:r w:rsidR="00EF7F52">
        <w:rPr>
          <w:lang w:eastAsia="en-US"/>
        </w:rPr>
        <w:t xml:space="preserve">), the Government argued that the Convention does not preclude the use of statements by witnesses who </w:t>
      </w:r>
      <w:r w:rsidR="00BB1355">
        <w:rPr>
          <w:lang w:eastAsia="en-US"/>
        </w:rPr>
        <w:t xml:space="preserve">have </w:t>
      </w:r>
      <w:r w:rsidR="00EF7F52">
        <w:rPr>
          <w:lang w:eastAsia="en-US"/>
        </w:rPr>
        <w:t xml:space="preserve">only </w:t>
      </w:r>
      <w:r w:rsidR="00BB1355">
        <w:rPr>
          <w:lang w:eastAsia="en-US"/>
        </w:rPr>
        <w:t xml:space="preserve">been </w:t>
      </w:r>
      <w:r w:rsidR="00EF7F52">
        <w:rPr>
          <w:lang w:eastAsia="en-US"/>
        </w:rPr>
        <w:t xml:space="preserve">interviewed by investigating authorities and whose appearance before a trial court </w:t>
      </w:r>
      <w:r w:rsidR="00E42A72">
        <w:rPr>
          <w:lang w:eastAsia="en-US"/>
        </w:rPr>
        <w:t>cannot</w:t>
      </w:r>
      <w:r w:rsidR="005E089F">
        <w:rPr>
          <w:lang w:eastAsia="en-US"/>
        </w:rPr>
        <w:t xml:space="preserve"> be obtained</w:t>
      </w:r>
      <w:r w:rsidR="00EF7F52">
        <w:rPr>
          <w:lang w:eastAsia="en-US"/>
        </w:rPr>
        <w:t>. The Government further turned to the assessment of the circumstances in the present case. In particular, they stated that the applicant was responsible for the investigating authorities</w:t>
      </w:r>
      <w:r w:rsidR="008A5600">
        <w:rPr>
          <w:lang w:eastAsia="en-US"/>
        </w:rPr>
        <w:t>’</w:t>
      </w:r>
      <w:r w:rsidR="00EF7F52">
        <w:rPr>
          <w:lang w:eastAsia="en-US"/>
        </w:rPr>
        <w:t xml:space="preserve"> inability to </w:t>
      </w:r>
      <w:r w:rsidR="00BB1355">
        <w:rPr>
          <w:lang w:eastAsia="en-US"/>
        </w:rPr>
        <w:t xml:space="preserve">set up </w:t>
      </w:r>
      <w:r w:rsidR="00EF7F52">
        <w:rPr>
          <w:lang w:eastAsia="en-US"/>
        </w:rPr>
        <w:t>confrontation interviews with the witnesses</w:t>
      </w:r>
      <w:r w:rsidR="00E42A72">
        <w:rPr>
          <w:lang w:eastAsia="en-US"/>
        </w:rPr>
        <w:t>,</w:t>
      </w:r>
      <w:r w:rsidR="00EF7F52">
        <w:rPr>
          <w:lang w:eastAsia="en-US"/>
        </w:rPr>
        <w:t xml:space="preserve"> as he had </w:t>
      </w:r>
      <w:r w:rsidR="00BB1355">
        <w:rPr>
          <w:lang w:eastAsia="en-US"/>
        </w:rPr>
        <w:t xml:space="preserve">absconded and </w:t>
      </w:r>
      <w:r w:rsidR="00EF7F52">
        <w:rPr>
          <w:lang w:eastAsia="en-US"/>
        </w:rPr>
        <w:t xml:space="preserve">left </w:t>
      </w:r>
      <w:smartTag w:uri="urn:schemas-microsoft-com:office:smarttags" w:element="place">
        <w:smartTag w:uri="urn:schemas-microsoft-com:office:smarttags" w:element="country-region">
          <w:r w:rsidR="00EF7F52">
            <w:rPr>
              <w:lang w:eastAsia="en-US"/>
            </w:rPr>
            <w:t>Uzbekistan</w:t>
          </w:r>
        </w:smartTag>
      </w:smartTag>
      <w:r w:rsidR="00EF7F52">
        <w:rPr>
          <w:lang w:eastAsia="en-US"/>
        </w:rPr>
        <w:t xml:space="preserve">. The applicant had asked </w:t>
      </w:r>
      <w:r w:rsidR="00BB1355">
        <w:rPr>
          <w:lang w:eastAsia="en-US"/>
        </w:rPr>
        <w:t xml:space="preserve">for </w:t>
      </w:r>
      <w:r w:rsidR="00EF7F52">
        <w:rPr>
          <w:lang w:eastAsia="en-US"/>
        </w:rPr>
        <w:t xml:space="preserve">an opportunity to question the prosecution witnesses </w:t>
      </w:r>
      <w:r w:rsidR="00E42A72">
        <w:rPr>
          <w:lang w:eastAsia="en-US"/>
        </w:rPr>
        <w:t xml:space="preserve">only </w:t>
      </w:r>
      <w:r w:rsidR="00EF7F52">
        <w:rPr>
          <w:lang w:eastAsia="en-US"/>
        </w:rPr>
        <w:t xml:space="preserve">after the criminal case against him had been opened in the </w:t>
      </w:r>
      <w:smartTag w:uri="urn:schemas-microsoft-com:office:smarttags" w:element="place">
        <w:smartTag w:uri="urn:schemas-microsoft-com:office:smarttags" w:element="country-region">
          <w:r w:rsidR="00EF7F52">
            <w:rPr>
              <w:lang w:eastAsia="en-US"/>
            </w:rPr>
            <w:t>Russian Federation</w:t>
          </w:r>
        </w:smartTag>
      </w:smartTag>
      <w:r w:rsidR="00EF7F52">
        <w:rPr>
          <w:lang w:eastAsia="en-US"/>
        </w:rPr>
        <w:t xml:space="preserve">. </w:t>
      </w:r>
      <w:r w:rsidR="001E56A4">
        <w:rPr>
          <w:lang w:eastAsia="en-US"/>
        </w:rPr>
        <w:t xml:space="preserve">The Government stressed that </w:t>
      </w:r>
      <w:r w:rsidR="00165B84">
        <w:rPr>
          <w:lang w:eastAsia="en-US"/>
        </w:rPr>
        <w:t xml:space="preserve">the </w:t>
      </w:r>
      <w:r w:rsidR="001E56A4">
        <w:rPr>
          <w:lang w:eastAsia="en-US"/>
        </w:rPr>
        <w:t xml:space="preserve">Russian authorities had taken every reasonable step to obtain attendance by </w:t>
      </w:r>
      <w:r w:rsidR="00165B84">
        <w:rPr>
          <w:lang w:eastAsia="en-US"/>
        </w:rPr>
        <w:t xml:space="preserve">the </w:t>
      </w:r>
      <w:r w:rsidR="001E56A4">
        <w:rPr>
          <w:lang w:eastAsia="en-US"/>
        </w:rPr>
        <w:t xml:space="preserve">witnesses. They had sent requests for legal assistance to Uzbek officials, asking </w:t>
      </w:r>
      <w:r w:rsidR="00BB1355">
        <w:rPr>
          <w:lang w:eastAsia="en-US"/>
        </w:rPr>
        <w:t xml:space="preserve">for </w:t>
      </w:r>
      <w:r w:rsidR="001E56A4">
        <w:rPr>
          <w:lang w:eastAsia="en-US"/>
        </w:rPr>
        <w:t>the witnesses</w:t>
      </w:r>
      <w:r w:rsidR="00BB1355">
        <w:rPr>
          <w:lang w:eastAsia="en-US"/>
        </w:rPr>
        <w:t xml:space="preserve"> to be summoned</w:t>
      </w:r>
      <w:r w:rsidR="001E56A4">
        <w:rPr>
          <w:lang w:eastAsia="en-US"/>
        </w:rPr>
        <w:t>. However, the witnesses had been unable to attend</w:t>
      </w:r>
      <w:r w:rsidR="00BB1355">
        <w:rPr>
          <w:lang w:eastAsia="en-US"/>
        </w:rPr>
        <w:t xml:space="preserve">, for </w:t>
      </w:r>
      <w:r w:rsidR="001E56A4">
        <w:rPr>
          <w:lang w:eastAsia="en-US"/>
        </w:rPr>
        <w:t>family or health</w:t>
      </w:r>
      <w:r w:rsidR="00BB1355">
        <w:rPr>
          <w:lang w:eastAsia="en-US"/>
        </w:rPr>
        <w:t xml:space="preserve"> reasons</w:t>
      </w:r>
      <w:r w:rsidR="001E56A4">
        <w:rPr>
          <w:lang w:eastAsia="en-US"/>
        </w:rPr>
        <w:t xml:space="preserve">. The whereabouts of one witness had been unknown. Given </w:t>
      </w:r>
      <w:r w:rsidR="00165B84">
        <w:rPr>
          <w:lang w:eastAsia="en-US"/>
        </w:rPr>
        <w:t xml:space="preserve">the fact </w:t>
      </w:r>
      <w:r w:rsidR="001E56A4">
        <w:rPr>
          <w:lang w:eastAsia="en-US"/>
        </w:rPr>
        <w:t xml:space="preserve">that it had taken the Russian officials almost six months to settle the issue </w:t>
      </w:r>
      <w:r w:rsidR="00903159">
        <w:rPr>
          <w:lang w:eastAsia="en-US"/>
        </w:rPr>
        <w:t>of</w:t>
      </w:r>
      <w:r w:rsidR="001E56A4">
        <w:rPr>
          <w:lang w:eastAsia="en-US"/>
        </w:rPr>
        <w:t xml:space="preserve"> the witnesses</w:t>
      </w:r>
      <w:r w:rsidR="008A5600">
        <w:rPr>
          <w:lang w:eastAsia="en-US"/>
        </w:rPr>
        <w:t>’</w:t>
      </w:r>
      <w:r w:rsidR="001E56A4">
        <w:rPr>
          <w:lang w:eastAsia="en-US"/>
        </w:rPr>
        <w:t xml:space="preserve"> attendance, the Government considered it logical that the </w:t>
      </w:r>
      <w:r w:rsidR="00165B84">
        <w:rPr>
          <w:lang w:eastAsia="en-US"/>
        </w:rPr>
        <w:t xml:space="preserve">Ivanovo </w:t>
      </w:r>
      <w:r w:rsidR="001E56A4">
        <w:rPr>
          <w:lang w:eastAsia="en-US"/>
        </w:rPr>
        <w:t xml:space="preserve">Regional Court had accepted </w:t>
      </w:r>
      <w:r w:rsidR="00165B84">
        <w:rPr>
          <w:lang w:eastAsia="en-US"/>
        </w:rPr>
        <w:t xml:space="preserve">a </w:t>
      </w:r>
      <w:r w:rsidR="001E56A4">
        <w:rPr>
          <w:lang w:eastAsia="en-US"/>
        </w:rPr>
        <w:t xml:space="preserve">request </w:t>
      </w:r>
      <w:r w:rsidR="00165B84">
        <w:rPr>
          <w:lang w:eastAsia="en-US"/>
        </w:rPr>
        <w:t xml:space="preserve">from the prosecution </w:t>
      </w:r>
      <w:r w:rsidR="001E56A4">
        <w:rPr>
          <w:lang w:eastAsia="en-US"/>
        </w:rPr>
        <w:t xml:space="preserve">for reading out of </w:t>
      </w:r>
      <w:r w:rsidR="005E089F">
        <w:rPr>
          <w:lang w:eastAsia="en-US"/>
        </w:rPr>
        <w:t>the</w:t>
      </w:r>
      <w:r w:rsidR="001E56A4">
        <w:rPr>
          <w:lang w:eastAsia="en-US"/>
        </w:rPr>
        <w:t xml:space="preserve"> pre-trial statements, despite the applicant</w:t>
      </w:r>
      <w:r w:rsidR="008A5600">
        <w:rPr>
          <w:lang w:eastAsia="en-US"/>
        </w:rPr>
        <w:t>’</w:t>
      </w:r>
      <w:r w:rsidR="001E56A4">
        <w:rPr>
          <w:lang w:eastAsia="en-US"/>
        </w:rPr>
        <w:t>s and his lawyer</w:t>
      </w:r>
      <w:r w:rsidR="008A5600">
        <w:rPr>
          <w:lang w:eastAsia="en-US"/>
        </w:rPr>
        <w:t>’</w:t>
      </w:r>
      <w:r w:rsidR="001E56A4">
        <w:rPr>
          <w:lang w:eastAsia="en-US"/>
        </w:rPr>
        <w:t>s objections. Furthermore, the Govern</w:t>
      </w:r>
      <w:r w:rsidR="00381D25">
        <w:rPr>
          <w:lang w:eastAsia="en-US"/>
        </w:rPr>
        <w:t>ment insisted that, when summon</w:t>
      </w:r>
      <w:r w:rsidR="001E56A4">
        <w:rPr>
          <w:lang w:eastAsia="en-US"/>
        </w:rPr>
        <w:t xml:space="preserve">ed for the hearings in </w:t>
      </w:r>
      <w:smartTag w:uri="urn:schemas-microsoft-com:office:smarttags" w:element="place">
        <w:smartTag w:uri="urn:schemas-microsoft-com:office:smarttags" w:element="country-region">
          <w:r w:rsidR="001E56A4">
            <w:rPr>
              <w:lang w:eastAsia="en-US"/>
            </w:rPr>
            <w:t>Russia</w:t>
          </w:r>
        </w:smartTag>
      </w:smartTag>
      <w:r w:rsidR="001E56A4">
        <w:rPr>
          <w:lang w:eastAsia="en-US"/>
        </w:rPr>
        <w:t xml:space="preserve"> and questioned on the reasons for their inability to attend, the witnesses had also been asked to corroborate or dispute their statements made during the pre-trial investigation. The witnesses had fully supported their account of the events</w:t>
      </w:r>
      <w:r w:rsidR="00903159">
        <w:rPr>
          <w:lang w:eastAsia="en-US"/>
        </w:rPr>
        <w:t>,</w:t>
      </w:r>
      <w:r w:rsidR="001E56A4">
        <w:rPr>
          <w:lang w:eastAsia="en-US"/>
        </w:rPr>
        <w:t xml:space="preserve"> of which the </w:t>
      </w:r>
      <w:smartTag w:uri="urn:schemas-microsoft-com:office:smarttags" w:element="Street">
        <w:smartTag w:uri="urn:schemas-microsoft-com:office:smarttags" w:element="address">
          <w:r w:rsidR="001E56A4">
            <w:rPr>
              <w:lang w:eastAsia="en-US"/>
            </w:rPr>
            <w:t>Regional Court</w:t>
          </w:r>
        </w:smartTag>
      </w:smartTag>
      <w:r w:rsidR="001E56A4">
        <w:rPr>
          <w:lang w:eastAsia="en-US"/>
        </w:rPr>
        <w:t xml:space="preserve"> </w:t>
      </w:r>
      <w:r w:rsidR="00903159">
        <w:rPr>
          <w:lang w:eastAsia="en-US"/>
        </w:rPr>
        <w:t xml:space="preserve">had been </w:t>
      </w:r>
      <w:r w:rsidR="001E56A4">
        <w:rPr>
          <w:lang w:eastAsia="en-US"/>
        </w:rPr>
        <w:t xml:space="preserve">notified by electronic mail messages. The Government concluded by noting that the Russian courts had assessed the </w:t>
      </w:r>
      <w:r w:rsidR="00165B84">
        <w:rPr>
          <w:lang w:eastAsia="en-US"/>
        </w:rPr>
        <w:t xml:space="preserve">entire </w:t>
      </w:r>
      <w:r w:rsidR="001E56A4">
        <w:rPr>
          <w:lang w:eastAsia="en-US"/>
        </w:rPr>
        <w:t>set of evidence and had taken the correct decision</w:t>
      </w:r>
      <w:r w:rsidR="00165B84">
        <w:rPr>
          <w:lang w:eastAsia="en-US"/>
        </w:rPr>
        <w:t xml:space="preserve"> on the applicant</w:t>
      </w:r>
      <w:r w:rsidR="008A5600">
        <w:rPr>
          <w:lang w:eastAsia="en-US"/>
        </w:rPr>
        <w:t>’</w:t>
      </w:r>
      <w:r w:rsidR="00165B84">
        <w:rPr>
          <w:lang w:eastAsia="en-US"/>
        </w:rPr>
        <w:t>s guilt</w:t>
      </w:r>
      <w:r w:rsidR="001E56A4">
        <w:rPr>
          <w:lang w:eastAsia="en-US"/>
        </w:rPr>
        <w:t>. The Government reminded the Court that the assessment of evidence was within the exclusive competence of the domestic courts.</w:t>
      </w:r>
    </w:p>
    <w:p w:rsidR="005A63E1" w:rsidP="002F4BCF" w:rsidRDefault="00381D25">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197D24">
        <w:rPr>
          <w:noProof/>
          <w:lang w:eastAsia="en-US"/>
        </w:rPr>
        <w:t>43</w:t>
      </w:r>
      <w:r>
        <w:rPr>
          <w:lang w:eastAsia="en-US"/>
        </w:rPr>
        <w:fldChar w:fldCharType="end"/>
      </w:r>
      <w:r>
        <w:rPr>
          <w:lang w:eastAsia="en-US"/>
        </w:rPr>
        <w:t xml:space="preserve">.  Having denied responsibility for the absence of confrontation interviews between </w:t>
      </w:r>
      <w:r w:rsidR="00BB44E2">
        <w:rPr>
          <w:lang w:eastAsia="en-US"/>
        </w:rPr>
        <w:t>him</w:t>
      </w:r>
      <w:r>
        <w:rPr>
          <w:lang w:eastAsia="en-US"/>
        </w:rPr>
        <w:t xml:space="preserve"> and the witnesses, the applicant submitted that, even assuming that his leaving Uzbekistan had made it impossible for the Uzbek authorities to </w:t>
      </w:r>
      <w:r w:rsidR="00903159">
        <w:rPr>
          <w:lang w:eastAsia="en-US"/>
        </w:rPr>
        <w:t xml:space="preserve">set up </w:t>
      </w:r>
      <w:r>
        <w:rPr>
          <w:lang w:eastAsia="en-US"/>
        </w:rPr>
        <w:t xml:space="preserve">such interviews, he could not </w:t>
      </w:r>
      <w:r w:rsidR="00BB44E2">
        <w:rPr>
          <w:lang w:eastAsia="en-US"/>
        </w:rPr>
        <w:t>bear responsibility</w:t>
      </w:r>
      <w:r>
        <w:rPr>
          <w:lang w:eastAsia="en-US"/>
        </w:rPr>
        <w:t xml:space="preserve"> for the Russian authorities</w:t>
      </w:r>
      <w:r w:rsidR="008A5600">
        <w:rPr>
          <w:lang w:eastAsia="en-US"/>
        </w:rPr>
        <w:t>’</w:t>
      </w:r>
      <w:r>
        <w:rPr>
          <w:lang w:eastAsia="en-US"/>
        </w:rPr>
        <w:t xml:space="preserve"> failure to comply with their obligation</w:t>
      </w:r>
      <w:r w:rsidR="00BB44E2">
        <w:rPr>
          <w:lang w:eastAsia="en-US"/>
        </w:rPr>
        <w:t xml:space="preserve"> under Article 6 § 3 (d) of the Convention</w:t>
      </w:r>
      <w:r>
        <w:rPr>
          <w:lang w:eastAsia="en-US"/>
        </w:rPr>
        <w:t xml:space="preserve">. </w:t>
      </w:r>
      <w:r w:rsidR="001749BD">
        <w:rPr>
          <w:lang w:eastAsia="en-US"/>
        </w:rPr>
        <w:t xml:space="preserve">The applicant further argued that the witnesses the Uzbek authorities had been able to find </w:t>
      </w:r>
      <w:r w:rsidR="00E42A72">
        <w:rPr>
          <w:lang w:eastAsia="en-US"/>
        </w:rPr>
        <w:t xml:space="preserve">when requested to do so by </w:t>
      </w:r>
      <w:r w:rsidR="001749BD">
        <w:rPr>
          <w:lang w:eastAsia="en-US"/>
        </w:rPr>
        <w:t xml:space="preserve">the </w:t>
      </w:r>
      <w:smartTag w:uri="urn:schemas-microsoft-com:office:smarttags" w:element="Street">
        <w:smartTag w:uri="urn:schemas-microsoft-com:office:smarttags" w:element="address">
          <w:r w:rsidR="001749BD">
            <w:rPr>
              <w:lang w:eastAsia="en-US"/>
            </w:rPr>
            <w:t>Ivanovo Regional Court</w:t>
          </w:r>
        </w:smartTag>
      </w:smartTag>
      <w:r w:rsidR="001749BD">
        <w:rPr>
          <w:lang w:eastAsia="en-US"/>
        </w:rPr>
        <w:t xml:space="preserve"> and who lived in different town</w:t>
      </w:r>
      <w:r w:rsidR="00D10DD5">
        <w:rPr>
          <w:lang w:eastAsia="en-US"/>
        </w:rPr>
        <w:t>s</w:t>
      </w:r>
      <w:r w:rsidR="005E089F">
        <w:rPr>
          <w:lang w:eastAsia="en-US"/>
        </w:rPr>
        <w:t>,</w:t>
      </w:r>
      <w:r w:rsidR="001749BD">
        <w:rPr>
          <w:lang w:eastAsia="en-US"/>
        </w:rPr>
        <w:t xml:space="preserve"> had sent similar e-mails at the same time. The e-mails had not been signed and it w</w:t>
      </w:r>
      <w:r w:rsidR="00D10DD5">
        <w:rPr>
          <w:lang w:eastAsia="en-US"/>
        </w:rPr>
        <w:t>as impossible to verify whether</w:t>
      </w:r>
      <w:r w:rsidR="00BB44E2">
        <w:rPr>
          <w:lang w:eastAsia="en-US"/>
        </w:rPr>
        <w:t xml:space="preserve"> they </w:t>
      </w:r>
      <w:r w:rsidR="00903159">
        <w:rPr>
          <w:lang w:eastAsia="en-US"/>
        </w:rPr>
        <w:t>were</w:t>
      </w:r>
      <w:r w:rsidR="00BB44E2">
        <w:rPr>
          <w:lang w:eastAsia="en-US"/>
        </w:rPr>
        <w:t xml:space="preserve"> authentic and whether, in fact, the witnesses had been able to recollect and confirm their statements made during the pre-trial investigation. The applicant insisted that the only direct evidence implicating him in the crimes he had been found guilty of was the statements by the prosecution witnesses. Therefore</w:t>
      </w:r>
      <w:r w:rsidR="005E089F">
        <w:rPr>
          <w:lang w:eastAsia="en-US"/>
        </w:rPr>
        <w:t>,</w:t>
      </w:r>
      <w:r w:rsidR="00BB44E2">
        <w:rPr>
          <w:lang w:eastAsia="en-US"/>
        </w:rPr>
        <w:t xml:space="preserve"> it was important for the trial court to hear th</w:t>
      </w:r>
      <w:r w:rsidR="005E089F">
        <w:rPr>
          <w:lang w:eastAsia="en-US"/>
        </w:rPr>
        <w:t>e</w:t>
      </w:r>
      <w:r w:rsidR="00BB44E2">
        <w:rPr>
          <w:lang w:eastAsia="en-US"/>
        </w:rPr>
        <w:t xml:space="preserve"> witnesses in person and to provide the applicant with an opportunity to cross-examine th</w:t>
      </w:r>
      <w:r w:rsidR="005E089F">
        <w:rPr>
          <w:lang w:eastAsia="en-US"/>
        </w:rPr>
        <w:t>em</w:t>
      </w:r>
      <w:r w:rsidR="00BB44E2">
        <w:rPr>
          <w:lang w:eastAsia="en-US"/>
        </w:rPr>
        <w:t>.</w:t>
      </w:r>
    </w:p>
    <w:p w:rsidR="005A63E1" w:rsidP="00406155" w:rsidRDefault="00406155">
      <w:pPr>
        <w:pStyle w:val="JuHa0"/>
      </w:pPr>
      <w:r>
        <w:t>(b)</w:t>
      </w:r>
      <w:r w:rsidRPr="006C5B93" w:rsidR="00F71A6A">
        <w:t>  </w:t>
      </w:r>
      <w:r w:rsidR="005E089F">
        <w:t>The Court</w:t>
      </w:r>
      <w:r w:rsidR="008A5600">
        <w:t>’</w:t>
      </w:r>
      <w:r w:rsidR="005E089F">
        <w:t>s assessment</w:t>
      </w:r>
    </w:p>
    <w:p w:rsidR="005E089F" w:rsidP="005E089F" w:rsidRDefault="00406155">
      <w:pPr>
        <w:pStyle w:val="JuPara"/>
        <w:rPr>
          <w:lang w:eastAsia="en-US"/>
        </w:rPr>
      </w:pPr>
      <w:r>
        <w:fldChar w:fldCharType="begin"/>
      </w:r>
      <w:r>
        <w:instrText xml:space="preserve"> SEQ level0 \*arabic </w:instrText>
      </w:r>
      <w:r>
        <w:fldChar w:fldCharType="separate"/>
      </w:r>
      <w:r w:rsidR="00197D24">
        <w:rPr>
          <w:noProof/>
        </w:rPr>
        <w:t>44</w:t>
      </w:r>
      <w:r>
        <w:fldChar w:fldCharType="end"/>
      </w:r>
      <w:r>
        <w:t>.  </w:t>
      </w:r>
      <w:r w:rsidR="005E089F">
        <w:t>Given that the guarantees in paragraph 3 of Article 6 are specific aspects of the right to a fair trial set forth in paragraph 1, it is appropriate to examine these complaints under the two provisions taken together (see</w:t>
      </w:r>
      <w:r w:rsidR="005E089F">
        <w:rPr>
          <w:rStyle w:val="ju-005fpara--char"/>
          <w:i/>
          <w:iCs/>
        </w:rPr>
        <w:t xml:space="preserve"> </w:t>
      </w:r>
      <w:r w:rsidRPr="005E089F" w:rsidR="005E089F">
        <w:rPr>
          <w:i/>
          <w:lang w:eastAsia="en-US"/>
        </w:rPr>
        <w:t xml:space="preserve">Asch v. </w:t>
      </w:r>
      <w:smartTag w:uri="urn:schemas-microsoft-com:office:smarttags" w:element="country-region">
        <w:smartTag w:uri="urn:schemas-microsoft-com:office:smarttags" w:element="place">
          <w:r w:rsidR="005E089F" w:rsidRPr="005E089F">
            <w:rPr>
              <w:i/>
              <w:lang w:eastAsia="en-US"/>
            </w:rPr>
            <w:t>Austria</w:t>
          </w:r>
        </w:smartTag>
      </w:smartTag>
      <w:r w:rsidRPr="005E089F" w:rsidR="005E089F">
        <w:rPr>
          <w:lang w:eastAsia="en-US"/>
        </w:rPr>
        <w:t xml:space="preserve">, 26 April 1991, § </w:t>
      </w:r>
      <w:r w:rsidR="005E089F">
        <w:t>25</w:t>
      </w:r>
      <w:r w:rsidRPr="005E089F" w:rsidR="005E089F">
        <w:rPr>
          <w:lang w:eastAsia="en-US"/>
        </w:rPr>
        <w:t>, Series A no. 203</w:t>
      </w:r>
      <w:r w:rsidR="005E089F">
        <w:t>).</w:t>
      </w:r>
    </w:p>
    <w:p w:rsidR="005E089F" w:rsidP="005E089F" w:rsidRDefault="005E089F">
      <w:pPr>
        <w:pStyle w:val="JuPara"/>
      </w:pPr>
      <w:r>
        <w:fldChar w:fldCharType="begin"/>
      </w:r>
      <w:r>
        <w:instrText xml:space="preserve"> SEQ level0 \*arabic </w:instrText>
      </w:r>
      <w:r>
        <w:fldChar w:fldCharType="separate"/>
      </w:r>
      <w:r w:rsidR="00197D24">
        <w:rPr>
          <w:noProof/>
        </w:rPr>
        <w:t>45</w:t>
      </w:r>
      <w:r>
        <w:fldChar w:fldCharType="end"/>
      </w:r>
      <w:r>
        <w:t>.  </w:t>
      </w:r>
      <w:r w:rsidR="00743640">
        <w:t xml:space="preserve">The Court observes that the </w:t>
      </w:r>
      <w:smartTag w:uri="urn:schemas-microsoft-com:office:smarttags" w:element="Street">
        <w:smartTag w:uri="urn:schemas-microsoft-com:office:smarttags" w:element="address">
          <w:r w:rsidR="00743640">
            <w:t>Ivanovo Regional Court</w:t>
          </w:r>
        </w:smartTag>
      </w:smartTag>
      <w:r w:rsidR="00743640">
        <w:t xml:space="preserve"> read out statements by ten prosecution witnesses and </w:t>
      </w:r>
      <w:r>
        <w:t xml:space="preserve">Mr </w:t>
      </w:r>
      <w:r w:rsidR="00743640">
        <w:t>A</w:t>
      </w:r>
      <w:r>
        <w:t xml:space="preserve">., </w:t>
      </w:r>
      <w:r w:rsidR="00743640">
        <w:t>the applicant</w:t>
      </w:r>
      <w:r w:rsidR="008A5600">
        <w:t>’</w:t>
      </w:r>
      <w:r w:rsidR="00743640">
        <w:t xml:space="preserve">s alleged accomplice in the murder and robbery. Neither the witnesses nor Mr A. appeared before the jury </w:t>
      </w:r>
      <w:r w:rsidR="00903159">
        <w:t>or</w:t>
      </w:r>
      <w:r w:rsidR="00743640">
        <w:t xml:space="preserve"> gave statements in open court. At this junct</w:t>
      </w:r>
      <w:r w:rsidR="00903159">
        <w:t>ure</w:t>
      </w:r>
      <w:r w:rsidR="00743640">
        <w:t xml:space="preserve"> the Court would like to note that Mr A.</w:t>
      </w:r>
      <w:r>
        <w:t xml:space="preserve"> in this case should</w:t>
      </w:r>
      <w:r w:rsidR="00E32009">
        <w:t>,</w:t>
      </w:r>
      <w:r>
        <w:t xml:space="preserve"> for the purposes of Article 6 § 3 (d)</w:t>
      </w:r>
      <w:r w:rsidR="00E32009">
        <w:t>,</w:t>
      </w:r>
      <w:r>
        <w:t xml:space="preserve"> be regarded as a “witness”, a term to be given an autonomous interpretation (see </w:t>
      </w:r>
      <w:r>
        <w:rPr>
          <w:rStyle w:val="ju-005fpara--char"/>
          <w:i/>
          <w:iCs/>
        </w:rPr>
        <w:t>Asch</w:t>
      </w:r>
      <w:r>
        <w:t>, cited above, p. 10, § 25), because his written depositions made during the pre-trial investigation were read out in court and used as evidence against the applicant.</w:t>
      </w:r>
    </w:p>
    <w:p w:rsidR="003839D9" w:rsidP="00406155" w:rsidRDefault="00406155">
      <w:pPr>
        <w:pStyle w:val="JuHi"/>
      </w:pPr>
      <w:proofErr w:type="spellStart"/>
      <w:r>
        <w:t>i</w:t>
      </w:r>
      <w:proofErr w:type="spellEnd"/>
      <w:r>
        <w:t>.</w:t>
      </w:r>
      <w:r w:rsidR="003839D9">
        <w:t>  Waiver of the right to examine witnesses</w:t>
      </w:r>
    </w:p>
    <w:p w:rsidR="000768BA" w:rsidP="000768BA" w:rsidRDefault="005E089F">
      <w:pPr>
        <w:pStyle w:val="JuPara"/>
        <w:rPr>
          <w:lang w:eastAsia="en-US"/>
        </w:rPr>
      </w:pPr>
      <w:r>
        <w:fldChar w:fldCharType="begin"/>
      </w:r>
      <w:r>
        <w:instrText xml:space="preserve"> SEQ level0 \*arabic </w:instrText>
      </w:r>
      <w:r>
        <w:fldChar w:fldCharType="separate"/>
      </w:r>
      <w:r w:rsidR="00197D24">
        <w:rPr>
          <w:noProof/>
        </w:rPr>
        <w:t>46</w:t>
      </w:r>
      <w:r>
        <w:fldChar w:fldCharType="end"/>
      </w:r>
      <w:r>
        <w:t xml:space="preserve">.  The first question to be decided is whether by </w:t>
      </w:r>
      <w:r w:rsidR="00743640">
        <w:t xml:space="preserve">leaving </w:t>
      </w:r>
      <w:r w:rsidR="00607F29">
        <w:t>Uzbekistan</w:t>
      </w:r>
      <w:r w:rsidR="00903159">
        <w:t>,</w:t>
      </w:r>
      <w:r w:rsidR="00607F29">
        <w:t xml:space="preserve"> where the majority of the pre-trial investigative actions</w:t>
      </w:r>
      <w:r w:rsidR="000211E1">
        <w:t xml:space="preserve">, including </w:t>
      </w:r>
      <w:r w:rsidR="00DD105D">
        <w:t xml:space="preserve">interviewing </w:t>
      </w:r>
      <w:r w:rsidR="000211E1">
        <w:t>witnesses,</w:t>
      </w:r>
      <w:r w:rsidR="00607F29">
        <w:t xml:space="preserve"> had </w:t>
      </w:r>
      <w:r w:rsidR="000211E1">
        <w:t xml:space="preserve">been </w:t>
      </w:r>
      <w:r w:rsidR="00D5688D">
        <w:t>carried out</w:t>
      </w:r>
      <w:r>
        <w:t>, the applicant</w:t>
      </w:r>
      <w:r w:rsidR="00E42A72">
        <w:t xml:space="preserve"> had</w:t>
      </w:r>
      <w:r w:rsidR="000211E1">
        <w:t>,</w:t>
      </w:r>
      <w:r>
        <w:t xml:space="preserve"> </w:t>
      </w:r>
      <w:r w:rsidR="000211E1">
        <w:t xml:space="preserve">as the Government put it, </w:t>
      </w:r>
      <w:r>
        <w:t xml:space="preserve">waived his right to have </w:t>
      </w:r>
      <w:r w:rsidR="000211E1">
        <w:t>those witnesses</w:t>
      </w:r>
      <w:r>
        <w:t xml:space="preserve"> examined</w:t>
      </w:r>
      <w:r w:rsidR="00E42A72">
        <w:t>,</w:t>
      </w:r>
      <w:r w:rsidR="00D5688D">
        <w:t xml:space="preserve"> and thus exempted the Russian authorities from their </w:t>
      </w:r>
      <w:r w:rsidR="00E42A72">
        <w:t>commensurate</w:t>
      </w:r>
      <w:r w:rsidR="00D5688D">
        <w:t xml:space="preserve"> obligation under the Convention</w:t>
      </w:r>
      <w:r>
        <w:t xml:space="preserve">. </w:t>
      </w:r>
      <w:r w:rsidR="000768BA">
        <w:t>On this point, the Court reiterates</w:t>
      </w:r>
      <w:r w:rsidRPr="000768BA" w:rsidR="000768BA">
        <w:t xml:space="preserve"> </w:t>
      </w:r>
      <w:r w:rsidR="000768BA">
        <w:t>its constant case</w:t>
      </w:r>
      <w:r w:rsidR="0071469A">
        <w:noBreakHyphen/>
      </w:r>
      <w:r w:rsidR="000768BA">
        <w:t xml:space="preserve">law that neither the letter nor the spirit of </w:t>
      </w:r>
      <w:r w:rsidR="006A2485">
        <w:t>Article 6 of the Convention prevents</w:t>
      </w:r>
      <w:r w:rsidR="000768BA">
        <w:t xml:space="preserve"> a person from waiving of his own free will, either expressly or tacitly, the </w:t>
      </w:r>
      <w:r w:rsidR="0043154F">
        <w:t xml:space="preserve">entitlement to the guarantees of a fair trial, including the </w:t>
      </w:r>
      <w:r w:rsidR="000768BA">
        <w:t xml:space="preserve">right to examine or have examined witnesses testifying against him (see </w:t>
      </w:r>
      <w:proofErr w:type="spellStart"/>
      <w:r w:rsidR="0071469A">
        <w:rPr>
          <w:i/>
          <w:lang w:eastAsia="en-US"/>
        </w:rPr>
        <w:t>Hermi</w:t>
      </w:r>
      <w:proofErr w:type="spellEnd"/>
      <w:r w:rsidR="0071469A">
        <w:rPr>
          <w:i/>
          <w:lang w:eastAsia="en-US"/>
        </w:rPr>
        <w:t xml:space="preserve"> v. </w:t>
      </w:r>
      <w:r w:rsidRPr="0043154F" w:rsidR="0043154F">
        <w:rPr>
          <w:i/>
          <w:lang w:eastAsia="en-US"/>
        </w:rPr>
        <w:t>Italy</w:t>
      </w:r>
      <w:r w:rsidRPr="0043154F" w:rsidR="0043154F">
        <w:rPr>
          <w:lang w:eastAsia="en-US"/>
        </w:rPr>
        <w:t xml:space="preserve"> [GC], no. 18114/02, § </w:t>
      </w:r>
      <w:r w:rsidR="0043154F">
        <w:rPr>
          <w:lang w:eastAsia="en-US"/>
        </w:rPr>
        <w:t>73</w:t>
      </w:r>
      <w:r w:rsidRPr="0043154F" w:rsidR="0043154F">
        <w:rPr>
          <w:lang w:eastAsia="en-US"/>
        </w:rPr>
        <w:t>, ECHR 2006</w:t>
      </w:r>
      <w:r w:rsidRPr="0043154F" w:rsidR="0043154F">
        <w:rPr>
          <w:lang w:eastAsia="en-US"/>
        </w:rPr>
        <w:noBreakHyphen/>
        <w:t>XII</w:t>
      </w:r>
      <w:r w:rsidR="0043154F">
        <w:rPr>
          <w:lang w:eastAsia="en-US"/>
        </w:rPr>
        <w:t xml:space="preserve">, with further references, </w:t>
      </w:r>
      <w:r w:rsidR="000768BA">
        <w:rPr>
          <w:lang w:eastAsia="en-US"/>
        </w:rPr>
        <w:t xml:space="preserve">and, more recently, </w:t>
      </w:r>
      <w:proofErr w:type="spellStart"/>
      <w:r w:rsidRPr="000768BA" w:rsidR="000768BA">
        <w:rPr>
          <w:i/>
          <w:lang w:eastAsia="en-US"/>
        </w:rPr>
        <w:t>Vozhigov</w:t>
      </w:r>
      <w:proofErr w:type="spellEnd"/>
      <w:r w:rsidRPr="000768BA" w:rsidR="000768BA">
        <w:rPr>
          <w:i/>
          <w:lang w:eastAsia="en-US"/>
        </w:rPr>
        <w:t xml:space="preserve"> v. Russia</w:t>
      </w:r>
      <w:r w:rsidRPr="000768BA" w:rsidR="000768BA">
        <w:rPr>
          <w:lang w:eastAsia="en-US"/>
        </w:rPr>
        <w:t>, no. 5953/02, § 57, 26 April 2007).</w:t>
      </w:r>
      <w:r w:rsidR="000768BA">
        <w:t xml:space="preserve"> However, a waiver must </w:t>
      </w:r>
      <w:r w:rsidR="0043154F">
        <w:t>not run counter to any important public interest, must be established in</w:t>
      </w:r>
      <w:r w:rsidR="000768BA">
        <w:t xml:space="preserve"> an unequivocal manner and </w:t>
      </w:r>
      <w:r w:rsidR="0043154F">
        <w:t>requires minimum guarantees commensurate to the waiver</w:t>
      </w:r>
      <w:r w:rsidR="008A5600">
        <w:t>’</w:t>
      </w:r>
      <w:r w:rsidR="0043154F">
        <w:t>s importance</w:t>
      </w:r>
      <w:r w:rsidRPr="000768BA" w:rsidR="000768BA">
        <w:t xml:space="preserve"> </w:t>
      </w:r>
      <w:r w:rsidR="000768BA">
        <w:t>(see</w:t>
      </w:r>
      <w:r w:rsidR="0043154F">
        <w:t xml:space="preserve"> </w:t>
      </w:r>
      <w:r w:rsidRPr="0043154F" w:rsidR="0043154F">
        <w:rPr>
          <w:i/>
          <w:lang w:eastAsia="en-US"/>
        </w:rPr>
        <w:t>Blake v.</w:t>
      </w:r>
      <w:r w:rsidR="0071469A">
        <w:rPr>
          <w:i/>
          <w:lang w:eastAsia="en-US"/>
        </w:rPr>
        <w:t> the </w:t>
      </w:r>
      <w:r w:rsidRPr="0043154F" w:rsidR="0043154F">
        <w:rPr>
          <w:i/>
          <w:lang w:eastAsia="en-US"/>
        </w:rPr>
        <w:t>United Kingdom</w:t>
      </w:r>
      <w:r w:rsidRPr="0043154F" w:rsidR="0043154F">
        <w:rPr>
          <w:lang w:eastAsia="en-US"/>
        </w:rPr>
        <w:t xml:space="preserve">, no. 68890/01, § </w:t>
      </w:r>
      <w:r w:rsidR="0043154F">
        <w:rPr>
          <w:lang w:eastAsia="en-US"/>
        </w:rPr>
        <w:t>127</w:t>
      </w:r>
      <w:r w:rsidRPr="0043154F" w:rsidR="0043154F">
        <w:rPr>
          <w:lang w:eastAsia="en-US"/>
        </w:rPr>
        <w:t>, 26 September 2006</w:t>
      </w:r>
      <w:r w:rsidR="000768BA">
        <w:t>).</w:t>
      </w:r>
    </w:p>
    <w:p w:rsidR="005A63E1" w:rsidP="000768BA" w:rsidRDefault="000603FD">
      <w:pPr>
        <w:pStyle w:val="JuPara"/>
        <w:rPr>
          <w:rStyle w:val="ju-005fpara-0020char1-0020char--char"/>
        </w:rPr>
      </w:pPr>
      <w:r>
        <w:fldChar w:fldCharType="begin"/>
      </w:r>
      <w:r>
        <w:instrText xml:space="preserve"> SEQ level0 \*arabic </w:instrText>
      </w:r>
      <w:r>
        <w:fldChar w:fldCharType="separate"/>
      </w:r>
      <w:r w:rsidR="00197D24">
        <w:rPr>
          <w:noProof/>
        </w:rPr>
        <w:t>47</w:t>
      </w:r>
      <w:r>
        <w:fldChar w:fldCharType="end"/>
      </w:r>
      <w:r>
        <w:t xml:space="preserve">.  The Court </w:t>
      </w:r>
      <w:r w:rsidR="007F2A22">
        <w:t>does not</w:t>
      </w:r>
      <w:r>
        <w:t xml:space="preserve"> </w:t>
      </w:r>
      <w:r w:rsidR="007F2A22">
        <w:t>interpret</w:t>
      </w:r>
      <w:r>
        <w:t xml:space="preserve"> the applicant</w:t>
      </w:r>
      <w:r w:rsidR="008A5600">
        <w:t>’</w:t>
      </w:r>
      <w:r>
        <w:t xml:space="preserve">s alleged </w:t>
      </w:r>
      <w:r w:rsidR="007F2A22">
        <w:t>acti</w:t>
      </w:r>
      <w:r w:rsidR="00903159">
        <w:t>o</w:t>
      </w:r>
      <w:r w:rsidR="007F2A22">
        <w:t xml:space="preserve">ns </w:t>
      </w:r>
      <w:r>
        <w:t xml:space="preserve">as an </w:t>
      </w:r>
      <w:r w:rsidR="000768BA">
        <w:t xml:space="preserve">express </w:t>
      </w:r>
      <w:r>
        <w:t>or</w:t>
      </w:r>
      <w:r w:rsidR="000768BA">
        <w:t xml:space="preserve"> </w:t>
      </w:r>
      <w:r w:rsidR="007F2A22">
        <w:t>implied</w:t>
      </w:r>
      <w:r w:rsidR="000768BA">
        <w:t xml:space="preserve"> </w:t>
      </w:r>
      <w:r>
        <w:t xml:space="preserve">waiver of his right to confront the witnesses against him. </w:t>
      </w:r>
      <w:r w:rsidR="00E168C9">
        <w:t>It</w:t>
      </w:r>
      <w:r>
        <w:t xml:space="preserve"> is not convinced by the Government</w:t>
      </w:r>
      <w:r w:rsidR="008A5600">
        <w:t>’</w:t>
      </w:r>
      <w:r>
        <w:t xml:space="preserve">s argument that if the applicant had stayed in </w:t>
      </w:r>
      <w:smartTag w:uri="urn:schemas-microsoft-com:office:smarttags" w:element="place">
        <w:smartTag w:uri="urn:schemas-microsoft-com:office:smarttags" w:element="country-region">
          <w:r>
            <w:t>Uzbekistan</w:t>
          </w:r>
        </w:smartTag>
      </w:smartTag>
      <w:r>
        <w:t xml:space="preserve"> he could have had an opportunity to </w:t>
      </w:r>
      <w:r w:rsidR="00477E01">
        <w:t>take part in</w:t>
      </w:r>
      <w:r>
        <w:t xml:space="preserve"> confrontation interviews with the prosecution witnesses</w:t>
      </w:r>
      <w:r w:rsidR="00903159">
        <w:t>,</w:t>
      </w:r>
      <w:r>
        <w:t xml:space="preserve"> and </w:t>
      </w:r>
      <w:r w:rsidR="00477E01">
        <w:t xml:space="preserve">there </w:t>
      </w:r>
      <w:r w:rsidR="00903159">
        <w:t xml:space="preserve">could </w:t>
      </w:r>
      <w:r w:rsidR="00477E01">
        <w:t xml:space="preserve">accordingly have been no issue </w:t>
      </w:r>
      <w:r w:rsidR="00903159">
        <w:t xml:space="preserve">as regards </w:t>
      </w:r>
      <w:r w:rsidR="00477E01">
        <w:t>the witnesses</w:t>
      </w:r>
      <w:r w:rsidR="008A5600">
        <w:t>’</w:t>
      </w:r>
      <w:r w:rsidR="00477E01">
        <w:t xml:space="preserve"> absence from the trial.</w:t>
      </w:r>
      <w:r>
        <w:t xml:space="preserve"> </w:t>
      </w:r>
      <w:r w:rsidR="00E168C9">
        <w:t>Firstly, the Court reiterates that the very fact of the participation of an accused person in confrontation interviews with witnesses during the pre</w:t>
      </w:r>
      <w:r w:rsidR="0071469A">
        <w:noBreakHyphen/>
      </w:r>
      <w:r w:rsidR="00E168C9">
        <w:t xml:space="preserve">trial stage cannot of </w:t>
      </w:r>
      <w:r w:rsidRPr="009E682A" w:rsidR="00E168C9">
        <w:t>itself</w:t>
      </w:r>
      <w:r w:rsidR="00E168C9">
        <w:t xml:space="preserve"> strip him or her of the right to have those witnesses examined in court (see </w:t>
      </w:r>
      <w:proofErr w:type="spellStart"/>
      <w:r w:rsidR="00E168C9">
        <w:rPr>
          <w:i/>
          <w:lang w:eastAsia="en-US"/>
        </w:rPr>
        <w:t>Melnikov</w:t>
      </w:r>
      <w:proofErr w:type="spellEnd"/>
      <w:r w:rsidR="00E168C9">
        <w:rPr>
          <w:i/>
          <w:lang w:eastAsia="en-US"/>
        </w:rPr>
        <w:t xml:space="preserve"> v. Russia</w:t>
      </w:r>
      <w:r w:rsidR="00E168C9">
        <w:rPr>
          <w:lang w:eastAsia="en-US"/>
        </w:rPr>
        <w:t>, no. 23610/03</w:t>
      </w:r>
      <w:r w:rsidR="00E168C9">
        <w:rPr>
          <w:snapToGrid w:val="0"/>
          <w:lang w:eastAsia="en-US"/>
        </w:rPr>
        <w:t>, §§</w:t>
      </w:r>
      <w:r w:rsidR="0071469A">
        <w:rPr>
          <w:snapToGrid w:val="0"/>
          <w:lang w:eastAsia="en-US"/>
        </w:rPr>
        <w:t> 79</w:t>
      </w:r>
      <w:r w:rsidR="0071469A">
        <w:rPr>
          <w:snapToGrid w:val="0"/>
          <w:lang w:eastAsia="en-US"/>
        </w:rPr>
        <w:noBreakHyphen/>
      </w:r>
      <w:r w:rsidR="00E168C9">
        <w:rPr>
          <w:snapToGrid w:val="0"/>
          <w:lang w:eastAsia="en-US"/>
        </w:rPr>
        <w:t>81, 14 January 2010)</w:t>
      </w:r>
      <w:r w:rsidR="00E168C9">
        <w:t>. Should it be otherwise, prosecution authorities would be left with virtually unlimited powers and would replace courts in their truth-finding function, with the fundamental requirement for a fair trial having little reality or worth.</w:t>
      </w:r>
      <w:r w:rsidR="005A63E1">
        <w:t xml:space="preserve"> </w:t>
      </w:r>
      <w:r w:rsidR="00E168C9">
        <w:t>Furthermore, i</w:t>
      </w:r>
      <w:r>
        <w:t>n the Court</w:t>
      </w:r>
      <w:r w:rsidR="008A5600">
        <w:t>’</w:t>
      </w:r>
      <w:r>
        <w:t>s view, there can be no question of waiver by the mere fact that an individual could have avoided</w:t>
      </w:r>
      <w:r w:rsidR="00501C34">
        <w:t>,</w:t>
      </w:r>
      <w:r>
        <w:t xml:space="preserve"> </w:t>
      </w:r>
      <w:r w:rsidR="00501C34">
        <w:t xml:space="preserve">by acting diligently, </w:t>
      </w:r>
      <w:r>
        <w:t xml:space="preserve">the situation that led to the </w:t>
      </w:r>
      <w:r w:rsidR="00477E01">
        <w:t>impairment of his rights</w:t>
      </w:r>
      <w:r>
        <w:t xml:space="preserve">. </w:t>
      </w:r>
      <w:r w:rsidR="001D1E36">
        <w:t>The conclusion is more salient in a</w:t>
      </w:r>
      <w:r w:rsidR="001D1E36">
        <w:rPr>
          <w:rStyle w:val="ju-005fpara-0020char1-0020char--char"/>
        </w:rPr>
        <w:t xml:space="preserve"> case of a person</w:t>
      </w:r>
      <w:r w:rsidR="00463CF1">
        <w:rPr>
          <w:rStyle w:val="ju-005fpara-0020char1-0020char--char"/>
        </w:rPr>
        <w:t xml:space="preserve"> </w:t>
      </w:r>
      <w:r w:rsidR="001D1E36">
        <w:t>without sufficient knowledge of his prosecution and of the charges against him</w:t>
      </w:r>
      <w:r w:rsidRPr="00463CF1" w:rsidR="00463CF1">
        <w:rPr>
          <w:rStyle w:val="ju-005fpara-0020char1-0020char--char"/>
        </w:rPr>
        <w:t xml:space="preserve"> </w:t>
      </w:r>
      <w:r w:rsidR="00463CF1">
        <w:rPr>
          <w:rStyle w:val="ju-005fpara-0020char1-0020char--char"/>
        </w:rPr>
        <w:t xml:space="preserve">and without </w:t>
      </w:r>
      <w:r w:rsidR="00903159">
        <w:rPr>
          <w:rStyle w:val="ju-005fpara-0020char1-0020char--char"/>
        </w:rPr>
        <w:t xml:space="preserve">the </w:t>
      </w:r>
      <w:r w:rsidR="00463CF1">
        <w:rPr>
          <w:rStyle w:val="ju-005fpara-0020char1-0020char--char"/>
        </w:rPr>
        <w:t xml:space="preserve">benefit of legal advice to be cautioned on the course of his actions, including on </w:t>
      </w:r>
      <w:r w:rsidR="00903159">
        <w:rPr>
          <w:rStyle w:val="ju-005fpara-0020char1-0020char--char"/>
        </w:rPr>
        <w:t xml:space="preserve">the </w:t>
      </w:r>
      <w:r w:rsidR="00463CF1">
        <w:rPr>
          <w:rStyle w:val="ju-005fpara-0020char1-0020char--char"/>
        </w:rPr>
        <w:t xml:space="preserve">possibility of his conduct being interpreted as an implied waiver of his fair trial rights. The Court reiterates that the applicant was only </w:t>
      </w:r>
      <w:r w:rsidR="001D1E36">
        <w:rPr>
          <w:rStyle w:val="ju-005fpara-0020char1-0020char--char"/>
        </w:rPr>
        <w:t xml:space="preserve">notified in person of the criminal proceedings against him </w:t>
      </w:r>
      <w:r w:rsidR="00463CF1">
        <w:rPr>
          <w:rStyle w:val="ju-005fpara-0020char1-0020char--char"/>
        </w:rPr>
        <w:t>upon</w:t>
      </w:r>
      <w:r w:rsidR="001D1E36">
        <w:rPr>
          <w:rStyle w:val="ju-005fpara-0020char1-0020char--char"/>
        </w:rPr>
        <w:t xml:space="preserve"> his arrest in </w:t>
      </w:r>
      <w:smartTag w:uri="urn:schemas-microsoft-com:office:smarttags" w:element="place">
        <w:smartTag w:uri="urn:schemas-microsoft-com:office:smarttags" w:element="country-region">
          <w:r w:rsidR="001D1E36">
            <w:rPr>
              <w:rStyle w:val="ju-005fpara-0020char1-0020char--char"/>
            </w:rPr>
            <w:t>Russia</w:t>
          </w:r>
        </w:smartTag>
      </w:smartTag>
      <w:r w:rsidR="001D1E36">
        <w:rPr>
          <w:rStyle w:val="ju-005fpara-0020char1-0020char--char"/>
        </w:rPr>
        <w:t xml:space="preserve"> in November 2003</w:t>
      </w:r>
      <w:r w:rsidR="00463CF1">
        <w:rPr>
          <w:rStyle w:val="ju-005fpara-0020char1-0020char--char"/>
        </w:rPr>
        <w:t xml:space="preserve">. </w:t>
      </w:r>
      <w:r w:rsidR="001D1E36">
        <w:rPr>
          <w:rStyle w:val="ju-005fpara-0020char1-0020char--char"/>
        </w:rPr>
        <w:t xml:space="preserve">It </w:t>
      </w:r>
      <w:r w:rsidR="00BF02DB">
        <w:rPr>
          <w:rStyle w:val="ju-005fpara-0020char1-0020char--char"/>
        </w:rPr>
        <w:t xml:space="preserve">thus </w:t>
      </w:r>
      <w:r w:rsidR="001D1E36">
        <w:rPr>
          <w:rStyle w:val="ju-005fpara-0020char1-0020char--char"/>
        </w:rPr>
        <w:t xml:space="preserve">could not be inferred merely from his status as a fugitive </w:t>
      </w:r>
      <w:r w:rsidR="00903159">
        <w:rPr>
          <w:rStyle w:val="ju-005fpara-0020char1-0020char--char"/>
        </w:rPr>
        <w:t xml:space="preserve">from </w:t>
      </w:r>
      <w:r w:rsidR="001D1E36">
        <w:rPr>
          <w:rStyle w:val="ju-005fpara-0020char1-0020char--char"/>
        </w:rPr>
        <w:t xml:space="preserve">justice, which was founded on a presumption with an insufficient factual basis, that he had waived his right to a fair trial (see </w:t>
      </w:r>
      <w:proofErr w:type="spellStart"/>
      <w:r w:rsidRPr="00924377" w:rsidR="001D1E36">
        <w:rPr>
          <w:i/>
          <w:szCs w:val="24"/>
          <w:lang w:eastAsia="en-US"/>
        </w:rPr>
        <w:t>Sejdovic</w:t>
      </w:r>
      <w:proofErr w:type="spellEnd"/>
      <w:r w:rsidRPr="00924377" w:rsidR="001D1E36">
        <w:rPr>
          <w:i/>
          <w:szCs w:val="24"/>
          <w:lang w:eastAsia="en-US"/>
        </w:rPr>
        <w:t xml:space="preserve"> v. </w:t>
      </w:r>
      <w:smartTag w:uri="urn:schemas-microsoft-com:office:smarttags" w:element="country-region">
        <w:smartTag w:uri="urn:schemas-microsoft-com:office:smarttags" w:element="place">
          <w:r w:rsidR="001D1E36" w:rsidRPr="00924377">
            <w:rPr>
              <w:i/>
              <w:szCs w:val="24"/>
              <w:lang w:eastAsia="en-US"/>
            </w:rPr>
            <w:t>Italy</w:t>
          </w:r>
        </w:smartTag>
      </w:smartTag>
      <w:r w:rsidRPr="00924377" w:rsidR="001D1E36">
        <w:rPr>
          <w:i/>
          <w:szCs w:val="24"/>
          <w:lang w:eastAsia="en-US"/>
        </w:rPr>
        <w:t xml:space="preserve"> </w:t>
      </w:r>
      <w:r w:rsidRPr="00924377" w:rsidR="001D1E36">
        <w:rPr>
          <w:szCs w:val="24"/>
          <w:lang w:eastAsia="en-US"/>
        </w:rPr>
        <w:t>[GC], no. 56581/00, §</w:t>
      </w:r>
      <w:r w:rsidR="001D1E36">
        <w:rPr>
          <w:szCs w:val="24"/>
          <w:lang w:eastAsia="en-US"/>
        </w:rPr>
        <w:t>§ 99-101</w:t>
      </w:r>
      <w:r w:rsidRPr="00924377" w:rsidR="001D1E36">
        <w:rPr>
          <w:szCs w:val="24"/>
          <w:lang w:eastAsia="en-US"/>
        </w:rPr>
        <w:t>, ECHR</w:t>
      </w:r>
      <w:r w:rsidR="0071469A">
        <w:rPr>
          <w:szCs w:val="24"/>
          <w:lang w:eastAsia="en-US"/>
        </w:rPr>
        <w:t> </w:t>
      </w:r>
      <w:r w:rsidRPr="00924377" w:rsidR="001D1E36">
        <w:rPr>
          <w:szCs w:val="24"/>
          <w:lang w:eastAsia="en-US"/>
        </w:rPr>
        <w:t>2006</w:t>
      </w:r>
      <w:r w:rsidRPr="00924377" w:rsidR="001D1E36">
        <w:rPr>
          <w:szCs w:val="24"/>
          <w:lang w:eastAsia="en-US"/>
        </w:rPr>
        <w:noBreakHyphen/>
        <w:t>II</w:t>
      </w:r>
      <w:r w:rsidR="001D1E36">
        <w:rPr>
          <w:rStyle w:val="ju-005fpara-0020char1-0020char--char"/>
        </w:rPr>
        <w:t>).</w:t>
      </w:r>
    </w:p>
    <w:p w:rsidR="005A63E1" w:rsidP="005E089F" w:rsidRDefault="00F45AA2">
      <w:pPr>
        <w:pStyle w:val="JuPara"/>
        <w:rPr>
          <w:rStyle w:val="ju-005fpara-0020char1-0020char--char"/>
        </w:rPr>
      </w:pPr>
      <w:r>
        <w:fldChar w:fldCharType="begin"/>
      </w:r>
      <w:r>
        <w:instrText xml:space="preserve"> SEQ level0 \*arabic </w:instrText>
      </w:r>
      <w:r>
        <w:fldChar w:fldCharType="separate"/>
      </w:r>
      <w:r w:rsidR="00197D24">
        <w:rPr>
          <w:noProof/>
        </w:rPr>
        <w:t>48</w:t>
      </w:r>
      <w:r>
        <w:fldChar w:fldCharType="end"/>
      </w:r>
      <w:r>
        <w:t>.  T</w:t>
      </w:r>
      <w:r w:rsidR="006A2485">
        <w:t xml:space="preserve">he Court </w:t>
      </w:r>
      <w:r w:rsidR="00E32009">
        <w:t xml:space="preserve">further </w:t>
      </w:r>
      <w:r>
        <w:t>observes</w:t>
      </w:r>
      <w:r w:rsidR="006A2485">
        <w:t xml:space="preserve"> that </w:t>
      </w:r>
      <w:r>
        <w:t xml:space="preserve">as a matter of principle </w:t>
      </w:r>
      <w:r w:rsidR="006A2485">
        <w:t>the waiver of the rig</w:t>
      </w:r>
      <w:r w:rsidR="00100BE9">
        <w:t>ht must be a knowing</w:t>
      </w:r>
      <w:r w:rsidR="00AA497A">
        <w:t>, voluntary</w:t>
      </w:r>
      <w:r w:rsidR="006A2485">
        <w:t xml:space="preserve"> and intelligent </w:t>
      </w:r>
      <w:r w:rsidR="00100BE9">
        <w:t>act</w:t>
      </w:r>
      <w:r w:rsidR="00AA497A">
        <w:t>,</w:t>
      </w:r>
      <w:r w:rsidR="00100BE9">
        <w:t xml:space="preserve"> done with sufficient awareness of the relevant circumstances. Before an accused can be said to have implicitly, through his conduct, waived an important right under Article 6, it must be shown that he could reasonably have foreseen what the consequences of his conduct would be (see </w:t>
      </w:r>
      <w:proofErr w:type="spellStart"/>
      <w:r w:rsidR="00100BE9">
        <w:rPr>
          <w:rStyle w:val="ju--005fpara----char--char"/>
          <w:i/>
          <w:iCs/>
        </w:rPr>
        <w:t>Talat</w:t>
      </w:r>
      <w:proofErr w:type="spellEnd"/>
      <w:r w:rsidR="00100BE9">
        <w:rPr>
          <w:rStyle w:val="ju--005fpara----char--char"/>
          <w:i/>
          <w:iCs/>
        </w:rPr>
        <w:t xml:space="preserve"> </w:t>
      </w:r>
      <w:proofErr w:type="spellStart"/>
      <w:r w:rsidR="00100BE9">
        <w:rPr>
          <w:rStyle w:val="ju--005fpara----char--char"/>
          <w:i/>
          <w:iCs/>
        </w:rPr>
        <w:t>Tunç</w:t>
      </w:r>
      <w:proofErr w:type="spellEnd"/>
      <w:r w:rsidR="00100BE9">
        <w:rPr>
          <w:rStyle w:val="ju--005fpara----char--char"/>
          <w:i/>
          <w:iCs/>
        </w:rPr>
        <w:t xml:space="preserve"> v. Turkey</w:t>
      </w:r>
      <w:r w:rsidR="00100BE9">
        <w:t xml:space="preserve">, no. 32432/96, 27 March 2007, § 59, and </w:t>
      </w:r>
      <w:r w:rsidR="00100BE9">
        <w:rPr>
          <w:rStyle w:val="ju--005fpara----char--char"/>
          <w:i/>
          <w:iCs/>
        </w:rPr>
        <w:t xml:space="preserve">Jones v. the United Kingdom </w:t>
      </w:r>
      <w:r w:rsidR="00100BE9">
        <w:t>(</w:t>
      </w:r>
      <w:proofErr w:type="spellStart"/>
      <w:r w:rsidR="00100BE9">
        <w:t>dec.</w:t>
      </w:r>
      <w:proofErr w:type="spellEnd"/>
      <w:r w:rsidR="00100BE9">
        <w:t>), no. 30900/02, 9 September 2003).</w:t>
      </w:r>
      <w:r w:rsidR="006A2485">
        <w:t xml:space="preserve"> </w:t>
      </w:r>
      <w:r w:rsidR="00167EA6">
        <w:t xml:space="preserve">It is not to be ruled out that, after initially being advised of his rights, an accused may himself validly </w:t>
      </w:r>
      <w:r w:rsidR="004C6768">
        <w:t xml:space="preserve">renounce </w:t>
      </w:r>
      <w:r w:rsidR="00167EA6">
        <w:t>them and agree to proceed with the trial without</w:t>
      </w:r>
      <w:r w:rsidR="007C68B1">
        <w:t>, for instance,</w:t>
      </w:r>
      <w:r w:rsidR="00167EA6">
        <w:t xml:space="preserve"> being afforded an opportunity to examine witnesses against him. </w:t>
      </w:r>
      <w:r w:rsidR="00100BE9">
        <w:t>The Court</w:t>
      </w:r>
      <w:r w:rsidR="00167EA6">
        <w:t xml:space="preserve">, however, </w:t>
      </w:r>
      <w:r w:rsidR="00370DA0">
        <w:t>considers</w:t>
      </w:r>
      <w:r w:rsidR="00167EA6">
        <w:t xml:space="preserve"> </w:t>
      </w:r>
      <w:r w:rsidR="00100BE9">
        <w:t>that the right to confront witnesses, being a fundamental right among those which constitute</w:t>
      </w:r>
      <w:r w:rsidR="00463CF1">
        <w:t xml:space="preserve"> the notion of fair trial, is an </w:t>
      </w:r>
      <w:r w:rsidR="00100BE9">
        <w:t>example of th</w:t>
      </w:r>
      <w:r w:rsidR="007C68B1">
        <w:t>e</w:t>
      </w:r>
      <w:r w:rsidR="00100BE9">
        <w:t xml:space="preserve"> rights which require the special protection of the knowing and intelligent waiver standard</w:t>
      </w:r>
      <w:r w:rsidR="00167EA6">
        <w:t xml:space="preserve">. </w:t>
      </w:r>
      <w:r w:rsidR="009E682A">
        <w:t>The Court is not satisfied that su</w:t>
      </w:r>
      <w:r w:rsidR="00DD3296">
        <w:t xml:space="preserve">fficient </w:t>
      </w:r>
      <w:r w:rsidR="009E682A">
        <w:t>s</w:t>
      </w:r>
      <w:r w:rsidR="00100BE9">
        <w:t xml:space="preserve">afeguards </w:t>
      </w:r>
      <w:r w:rsidR="009E682A">
        <w:t>were</w:t>
      </w:r>
      <w:r w:rsidR="00100BE9">
        <w:t xml:space="preserve"> in place </w:t>
      </w:r>
      <w:r w:rsidR="007C68B1">
        <w:t xml:space="preserve">in the present case </w:t>
      </w:r>
      <w:r w:rsidR="00DD3296">
        <w:t xml:space="preserve">for it </w:t>
      </w:r>
      <w:r w:rsidR="009E682A">
        <w:t xml:space="preserve">to </w:t>
      </w:r>
      <w:r w:rsidR="00DD3296">
        <w:t xml:space="preserve">be </w:t>
      </w:r>
      <w:r w:rsidR="009E682A">
        <w:t>consider</w:t>
      </w:r>
      <w:r w:rsidR="00DD3296">
        <w:t xml:space="preserve">ed </w:t>
      </w:r>
      <w:r w:rsidR="009E682A">
        <w:t>that the applicant had</w:t>
      </w:r>
      <w:r w:rsidR="00100BE9">
        <w:t xml:space="preserve"> </w:t>
      </w:r>
      <w:r w:rsidR="00167EA6">
        <w:t>decide</w:t>
      </w:r>
      <w:r w:rsidR="009E682A">
        <w:t>d</w:t>
      </w:r>
      <w:r w:rsidR="00167EA6">
        <w:t xml:space="preserve"> to relinquish </w:t>
      </w:r>
      <w:r w:rsidR="009E682A">
        <w:t>his</w:t>
      </w:r>
      <w:r w:rsidR="00167EA6">
        <w:t xml:space="preserve"> right.</w:t>
      </w:r>
      <w:r w:rsidR="009E682A">
        <w:t xml:space="preserve"> </w:t>
      </w:r>
      <w:r w:rsidR="001D1E36">
        <w:t>There is</w:t>
      </w:r>
      <w:r w:rsidRPr="00924377" w:rsidR="00937ED3">
        <w:rPr>
          <w:szCs w:val="24"/>
          <w:lang w:eastAsia="en-US"/>
        </w:rPr>
        <w:t xml:space="preserve"> </w:t>
      </w:r>
      <w:r w:rsidR="00937ED3">
        <w:rPr>
          <w:rStyle w:val="ju-005fpara-0020char1-0020char--char"/>
        </w:rPr>
        <w:t xml:space="preserve">no reason to conclude that </w:t>
      </w:r>
      <w:r w:rsidR="001D1E36">
        <w:rPr>
          <w:rStyle w:val="ju-005fpara-0020char1-0020char--char"/>
        </w:rPr>
        <w:t xml:space="preserve">the applicant </w:t>
      </w:r>
      <w:r w:rsidR="00DD3296">
        <w:rPr>
          <w:rStyle w:val="ju-005fpara-0020char1-0020char--char"/>
        </w:rPr>
        <w:t>sh</w:t>
      </w:r>
      <w:r w:rsidR="001D1E36">
        <w:rPr>
          <w:rStyle w:val="ju-005fpara-0020char1-0020char--char"/>
        </w:rPr>
        <w:t>ould have been fully a</w:t>
      </w:r>
      <w:r w:rsidR="00884FFA">
        <w:rPr>
          <w:rStyle w:val="ju-005fpara-0020char1-0020char--char"/>
        </w:rPr>
        <w:t xml:space="preserve">ware </w:t>
      </w:r>
      <w:r w:rsidR="001D1E36">
        <w:rPr>
          <w:rStyle w:val="ju-005fpara-0020char1-0020char--char"/>
        </w:rPr>
        <w:t>that by leaving Uzbekistan he was abandoning his r</w:t>
      </w:r>
      <w:r w:rsidR="00581A06">
        <w:rPr>
          <w:rStyle w:val="ju-005fpara-0020char1-0020char--char"/>
        </w:rPr>
        <w:t>ight to confront witnesses</w:t>
      </w:r>
      <w:r w:rsidR="00884FFA">
        <w:rPr>
          <w:rStyle w:val="ju-005fpara-0020char1-0020char--char"/>
        </w:rPr>
        <w:t xml:space="preserve">, </w:t>
      </w:r>
      <w:r w:rsidR="00BF02DB">
        <w:rPr>
          <w:rStyle w:val="ju-005fpara-0020char1-0020char--char"/>
        </w:rPr>
        <w:t>or, for that matter,</w:t>
      </w:r>
      <w:r w:rsidR="00884FFA">
        <w:rPr>
          <w:rStyle w:val="ju-005fpara-0020char1-0020char--char"/>
        </w:rPr>
        <w:t xml:space="preserve"> </w:t>
      </w:r>
      <w:r w:rsidR="000C6DDF">
        <w:rPr>
          <w:rStyle w:val="ju-005fpara-0020char1-0020char--char"/>
        </w:rPr>
        <w:t>that he understoo</w:t>
      </w:r>
      <w:r w:rsidR="00581A06">
        <w:rPr>
          <w:rStyle w:val="ju-005fpara-0020char1-0020char--char"/>
        </w:rPr>
        <w:t xml:space="preserve">d the nature of that right and </w:t>
      </w:r>
      <w:r w:rsidR="00884FFA">
        <w:rPr>
          <w:rStyle w:val="ju-005fpara-0020char1-0020char--char"/>
        </w:rPr>
        <w:t xml:space="preserve">could reasonably </w:t>
      </w:r>
      <w:r w:rsidR="00DD3296">
        <w:rPr>
          <w:rStyle w:val="ju-005fpara-0020char1-0020char--char"/>
        </w:rPr>
        <w:t xml:space="preserve">have </w:t>
      </w:r>
      <w:r w:rsidR="00884FFA">
        <w:rPr>
          <w:rStyle w:val="ju-005fpara-0020char1-0020char--char"/>
        </w:rPr>
        <w:t xml:space="preserve">foreseen what </w:t>
      </w:r>
      <w:r w:rsidR="00581A06">
        <w:rPr>
          <w:rStyle w:val="ju-005fpara-0020char1-0020char--char"/>
        </w:rPr>
        <w:t>the</w:t>
      </w:r>
      <w:r w:rsidR="004C6768">
        <w:rPr>
          <w:rStyle w:val="ju-005fpara-0020char1-0020char--char"/>
        </w:rPr>
        <w:t xml:space="preserve"> consequences of </w:t>
      </w:r>
      <w:r w:rsidR="00BE0257">
        <w:rPr>
          <w:rStyle w:val="ju-005fpara-0020char1-0020char--char"/>
        </w:rPr>
        <w:t>his conduct</w:t>
      </w:r>
      <w:r w:rsidR="000C6DDF">
        <w:rPr>
          <w:rStyle w:val="ju-005fpara-0020char1-0020char--char"/>
        </w:rPr>
        <w:t xml:space="preserve"> </w:t>
      </w:r>
      <w:r w:rsidR="00884FFA">
        <w:rPr>
          <w:rStyle w:val="ju-005fpara-0020char1-0020char--char"/>
        </w:rPr>
        <w:t xml:space="preserve">would be </w:t>
      </w:r>
      <w:r w:rsidR="000C6DDF">
        <w:t xml:space="preserve">(see </w:t>
      </w:r>
      <w:proofErr w:type="spellStart"/>
      <w:r w:rsidRPr="00447921" w:rsidR="000C6DDF">
        <w:rPr>
          <w:i/>
          <w:szCs w:val="24"/>
          <w:lang w:eastAsia="en-US"/>
        </w:rPr>
        <w:t>Bonev</w:t>
      </w:r>
      <w:proofErr w:type="spellEnd"/>
      <w:r w:rsidRPr="00447921" w:rsidR="000C6DDF">
        <w:rPr>
          <w:i/>
          <w:szCs w:val="24"/>
          <w:lang w:eastAsia="en-US"/>
        </w:rPr>
        <w:t xml:space="preserve"> v. </w:t>
      </w:r>
      <w:smartTag w:uri="urn:schemas-microsoft-com:office:smarttags" w:element="place">
        <w:smartTag w:uri="urn:schemas-microsoft-com:office:smarttags" w:element="country-region">
          <w:r w:rsidR="000C6DDF" w:rsidRPr="00447921">
            <w:rPr>
              <w:i/>
              <w:szCs w:val="24"/>
              <w:lang w:eastAsia="en-US"/>
            </w:rPr>
            <w:t>Bulgaria</w:t>
          </w:r>
        </w:smartTag>
      </w:smartTag>
      <w:r w:rsidRPr="00447921" w:rsidR="000C6DDF">
        <w:rPr>
          <w:szCs w:val="24"/>
          <w:lang w:eastAsia="en-US"/>
        </w:rPr>
        <w:t>, no. </w:t>
      </w:r>
      <w:r w:rsidR="000C6DDF">
        <w:rPr>
          <w:szCs w:val="24"/>
          <w:lang w:eastAsia="en-US"/>
        </w:rPr>
        <w:t xml:space="preserve">60018/00, § 40, 8 June 2006, with further references, and </w:t>
      </w:r>
      <w:proofErr w:type="spellStart"/>
      <w:r w:rsidRPr="000C6DDF" w:rsidR="000C6DDF">
        <w:rPr>
          <w:i/>
          <w:lang w:eastAsia="en-US"/>
        </w:rPr>
        <w:t>Bocos</w:t>
      </w:r>
      <w:proofErr w:type="spellEnd"/>
      <w:r w:rsidRPr="000C6DDF" w:rsidR="000C6DDF">
        <w:rPr>
          <w:i/>
          <w:lang w:eastAsia="en-US"/>
        </w:rPr>
        <w:t xml:space="preserve">-Cuesta v. the </w:t>
      </w:r>
      <w:smartTag w:uri="urn:schemas-microsoft-com:office:smarttags" w:element="country-region">
        <w:smartTag w:uri="urn:schemas-microsoft-com:office:smarttags" w:element="place">
          <w:r w:rsidR="000C6DDF" w:rsidRPr="000C6DDF">
            <w:rPr>
              <w:i/>
              <w:lang w:eastAsia="en-US"/>
            </w:rPr>
            <w:t>Netherlands</w:t>
          </w:r>
        </w:smartTag>
      </w:smartTag>
      <w:r w:rsidRPr="000C6DDF" w:rsidR="000C6DDF">
        <w:rPr>
          <w:lang w:eastAsia="en-US"/>
        </w:rPr>
        <w:t xml:space="preserve">, no. 54789/00, § </w:t>
      </w:r>
      <w:r w:rsidR="000C6DDF">
        <w:rPr>
          <w:lang w:eastAsia="en-US"/>
        </w:rPr>
        <w:t>66</w:t>
      </w:r>
      <w:r w:rsidRPr="000C6DDF" w:rsidR="000C6DDF">
        <w:rPr>
          <w:lang w:eastAsia="en-US"/>
        </w:rPr>
        <w:t>, 10 November 2005</w:t>
      </w:r>
      <w:r w:rsidR="000C6DDF">
        <w:t>).</w:t>
      </w:r>
    </w:p>
    <w:p w:rsidR="00924377" w:rsidP="000C2917" w:rsidRDefault="000C2917">
      <w:pPr>
        <w:pStyle w:val="JuHi"/>
        <w:rPr>
          <w:rStyle w:val="ju-005fpara-0020char1-0020char--char"/>
        </w:rPr>
      </w:pPr>
      <w:r>
        <w:rPr>
          <w:rStyle w:val="ju-005fpara-0020char1-0020char--char"/>
        </w:rPr>
        <w:t>ii.</w:t>
      </w:r>
      <w:r w:rsidR="000C6DDF">
        <w:rPr>
          <w:rStyle w:val="ju-005fpara-0020char1-0020char--char"/>
        </w:rPr>
        <w:t>  Inability to confront witnesses</w:t>
      </w:r>
      <w:r w:rsidR="00F72269">
        <w:rPr>
          <w:rStyle w:val="ju-005fpara-0020char1-0020char--char"/>
        </w:rPr>
        <w:t xml:space="preserve"> and use of their pre-trial statements as the basis for conviction</w:t>
      </w:r>
    </w:p>
    <w:p w:rsidR="005E089F" w:rsidP="005E089F" w:rsidRDefault="005E089F">
      <w:pPr>
        <w:pStyle w:val="JuPara"/>
      </w:pPr>
      <w:r>
        <w:fldChar w:fldCharType="begin"/>
      </w:r>
      <w:r>
        <w:instrText xml:space="preserve"> SEQ level0 \*arabic </w:instrText>
      </w:r>
      <w:r>
        <w:fldChar w:fldCharType="separate"/>
      </w:r>
      <w:r w:rsidR="00197D24">
        <w:rPr>
          <w:noProof/>
        </w:rPr>
        <w:t>49</w:t>
      </w:r>
      <w:r>
        <w:fldChar w:fldCharType="end"/>
      </w:r>
      <w:r>
        <w:t xml:space="preserve">.  The Court must further establish whether the use of </w:t>
      </w:r>
      <w:r w:rsidR="00F72269">
        <w:t>the</w:t>
      </w:r>
      <w:r>
        <w:t xml:space="preserve"> statements </w:t>
      </w:r>
      <w:r w:rsidR="00F72269">
        <w:t xml:space="preserve">by the prosecution witnesses </w:t>
      </w:r>
      <w:r>
        <w:t xml:space="preserve">made during the pre-trial investigation, coupled with the fact that the applicant was not able to confront </w:t>
      </w:r>
      <w:r w:rsidR="00F72269">
        <w:t>them</w:t>
      </w:r>
      <w:r>
        <w:t xml:space="preserve"> in court, amounted to a violation of </w:t>
      </w:r>
      <w:r w:rsidR="00F72269">
        <w:t>his</w:t>
      </w:r>
      <w:r>
        <w:t xml:space="preserve"> right to a fair trial.</w:t>
      </w:r>
    </w:p>
    <w:bookmarkStart w:name="principles" w:id="20"/>
    <w:p w:rsidR="005A63E1" w:rsidP="00A44775" w:rsidRDefault="005E089F">
      <w:pPr>
        <w:pStyle w:val="JuPara"/>
        <w:rPr>
          <w:b/>
        </w:rPr>
      </w:pPr>
      <w:r>
        <w:fldChar w:fldCharType="begin"/>
      </w:r>
      <w:r>
        <w:instrText xml:space="preserve"> SEQ level0 \*arabic </w:instrText>
      </w:r>
      <w:r>
        <w:fldChar w:fldCharType="separate"/>
      </w:r>
      <w:r w:rsidR="00197D24">
        <w:rPr>
          <w:noProof/>
        </w:rPr>
        <w:t>50</w:t>
      </w:r>
      <w:r>
        <w:fldChar w:fldCharType="end"/>
      </w:r>
      <w:bookmarkEnd w:id="20"/>
      <w:r>
        <w:t>.  According to the Court</w:t>
      </w:r>
      <w:r w:rsidR="008A5600">
        <w:t>’</w:t>
      </w:r>
      <w:r>
        <w:t xml:space="preserve">s case-law, </w:t>
      </w:r>
      <w:r w:rsidR="00ED4D98">
        <w:t xml:space="preserve">the right to a fair trial </w:t>
      </w:r>
      <w:r>
        <w:t>require</w:t>
      </w:r>
      <w:r w:rsidR="00ED4D98">
        <w:t>s</w:t>
      </w:r>
      <w:r>
        <w:t xml:space="preserve"> that the defendant be given an adequate and proper opportunity to challenge and question a witness against him or her</w:t>
      </w:r>
      <w:r w:rsidR="00DD3296">
        <w:t>,</w:t>
      </w:r>
      <w:r>
        <w:t xml:space="preserve"> either when the statements were made or at a later stage of the proceedings (see </w:t>
      </w:r>
      <w:proofErr w:type="spellStart"/>
      <w:r>
        <w:rPr>
          <w:rStyle w:val="ju-005fpara--char"/>
          <w:i/>
          <w:iCs/>
        </w:rPr>
        <w:t>Saïdi</w:t>
      </w:r>
      <w:proofErr w:type="spellEnd"/>
      <w:r>
        <w:rPr>
          <w:rStyle w:val="ju-005fpara--char"/>
          <w:i/>
          <w:iCs/>
        </w:rPr>
        <w:t xml:space="preserve"> v. France</w:t>
      </w:r>
      <w:r>
        <w:t>, 20</w:t>
      </w:r>
      <w:r w:rsidR="00ED4D98">
        <w:t> </w:t>
      </w:r>
      <w:r>
        <w:t xml:space="preserve">September 1993, </w:t>
      </w:r>
      <w:r w:rsidR="006539F2">
        <w:t xml:space="preserve">§ 43, </w:t>
      </w:r>
      <w:r>
        <w:t xml:space="preserve">Series A no. 261-C, and </w:t>
      </w:r>
      <w:r>
        <w:rPr>
          <w:rStyle w:val="ju-005fpara--char"/>
          <w:i/>
          <w:iCs/>
        </w:rPr>
        <w:t>A.M. v. Italy</w:t>
      </w:r>
      <w:r>
        <w:t>, no.</w:t>
      </w:r>
      <w:r w:rsidR="0071469A">
        <w:t> </w:t>
      </w:r>
      <w:r>
        <w:t xml:space="preserve">37019/97, § 25, ECHR 1999-IX). </w:t>
      </w:r>
      <w:r w:rsidRPr="000656BC" w:rsidR="00A44775">
        <w:rPr>
          <w:rStyle w:val="Strong"/>
          <w:b w:val="0"/>
        </w:rPr>
        <w:t xml:space="preserve">The Court reiterates the principles laid down in its judgment of </w:t>
      </w:r>
      <w:r w:rsidRPr="000656BC" w:rsidR="00A44775">
        <w:rPr>
          <w:rStyle w:val="Emphasis"/>
          <w:bCs/>
        </w:rPr>
        <w:t xml:space="preserve">Al-Khawaja and </w:t>
      </w:r>
      <w:proofErr w:type="spellStart"/>
      <w:r w:rsidRPr="000656BC" w:rsidR="00A44775">
        <w:rPr>
          <w:rStyle w:val="Emphasis"/>
          <w:bCs/>
        </w:rPr>
        <w:t>Tahery</w:t>
      </w:r>
      <w:proofErr w:type="spellEnd"/>
      <w:r w:rsidRPr="000656BC" w:rsidR="00A44775">
        <w:rPr>
          <w:rStyle w:val="Emphasis"/>
          <w:bCs/>
        </w:rPr>
        <w:t xml:space="preserve"> v. the United Kingdom</w:t>
      </w:r>
      <w:r w:rsidRPr="000656BC" w:rsidR="00A44775">
        <w:rPr>
          <w:rStyle w:val="Emphasis"/>
          <w:b/>
          <w:bCs/>
        </w:rPr>
        <w:t xml:space="preserve"> </w:t>
      </w:r>
      <w:r w:rsidRPr="000656BC" w:rsidR="00A44775">
        <w:rPr>
          <w:rStyle w:val="Strong"/>
          <w:b w:val="0"/>
        </w:rPr>
        <w:t>(</w:t>
      </w:r>
      <w:r w:rsidRPr="000656BC" w:rsidR="00A44775">
        <w:rPr>
          <w:rStyle w:val="Strong"/>
          <w:b w:val="0"/>
          <w:lang w:eastAsia="en-US"/>
        </w:rPr>
        <w:t>[GC], nos. 26766/05 and 22228/06</w:t>
      </w:r>
      <w:r w:rsidRPr="000656BC" w:rsidR="00A44775">
        <w:rPr>
          <w:rStyle w:val="Strong"/>
          <w:b w:val="0"/>
          <w:snapToGrid w:val="0"/>
          <w:lang w:val="pt-BR" w:eastAsia="en-US"/>
        </w:rPr>
        <w:t>, §</w:t>
      </w:r>
      <w:r w:rsidR="0024373F">
        <w:rPr>
          <w:rStyle w:val="Strong"/>
          <w:b w:val="0"/>
          <w:snapToGrid w:val="0"/>
          <w:lang w:val="pt-BR" w:eastAsia="en-US"/>
        </w:rPr>
        <w:t>§ 119 and</w:t>
      </w:r>
      <w:r w:rsidR="00A44775">
        <w:rPr>
          <w:rStyle w:val="Strong"/>
          <w:b w:val="0"/>
          <w:snapToGrid w:val="0"/>
          <w:lang w:val="pt-BR" w:eastAsia="en-US"/>
        </w:rPr>
        <w:t> </w:t>
      </w:r>
      <w:r w:rsidRPr="000656BC" w:rsidR="00A44775">
        <w:rPr>
          <w:rStyle w:val="Strong"/>
          <w:b w:val="0"/>
          <w:snapToGrid w:val="0"/>
          <w:lang w:val="pt-BR" w:eastAsia="en-US"/>
        </w:rPr>
        <w:t>147, 1</w:t>
      </w:r>
      <w:r w:rsidRPr="000656BC" w:rsidR="00A44775">
        <w:rPr>
          <w:rStyle w:val="Strong"/>
          <w:b w:val="0"/>
          <w:lang w:val="pt-BR" w:eastAsia="en-US"/>
        </w:rPr>
        <w:t>5</w:t>
      </w:r>
      <w:r w:rsidRPr="000656BC" w:rsidR="00A44775">
        <w:rPr>
          <w:rStyle w:val="Strong"/>
          <w:b w:val="0"/>
          <w:snapToGrid w:val="0"/>
          <w:lang w:val="pt-BR" w:eastAsia="en-US"/>
        </w:rPr>
        <w:t xml:space="preserve"> December 2011), according to which</w:t>
      </w:r>
      <w:r w:rsidRPr="000656BC" w:rsidR="00A44775">
        <w:rPr>
          <w:rStyle w:val="Strong"/>
        </w:rPr>
        <w:t xml:space="preserve"> </w:t>
      </w:r>
      <w:r w:rsidRPr="000656BC" w:rsidR="00A44775">
        <w:rPr>
          <w:rStyle w:val="Strong"/>
          <w:b w:val="0"/>
        </w:rPr>
        <w:t>where a conviction is based solely or decisively on the evidence of absent witnesses, the Court must subject the proceedings to the most searching scrutiny.</w:t>
      </w:r>
      <w:r w:rsidRPr="000656BC" w:rsidR="00A44775">
        <w:rPr>
          <w:b/>
        </w:rPr>
        <w:t> </w:t>
      </w:r>
      <w:r w:rsidRPr="000656BC" w:rsidR="00A44775">
        <w:rPr>
          <w:rStyle w:val="Strong"/>
          <w:b w:val="0"/>
        </w:rPr>
        <w:t>The question in</w:t>
      </w:r>
      <w:r w:rsidRPr="000656BC" w:rsidR="00A44775">
        <w:rPr>
          <w:rStyle w:val="Strong"/>
        </w:rPr>
        <w:t xml:space="preserve"> </w:t>
      </w:r>
      <w:r w:rsidRPr="000656BC" w:rsidR="00A44775">
        <w:rPr>
          <w:rStyle w:val="Strong"/>
          <w:b w:val="0"/>
        </w:rPr>
        <w:t>each case is whether there are sufficient counterbalancing factors in place, including measures that permit a fair and proper assessment of the reliability of that evidence to take place. This would permit a conviction to be based on such evidence only if it is sufficiently reliable given its importance in the case</w:t>
      </w:r>
      <w:r w:rsidRPr="000656BC" w:rsidR="00A44775">
        <w:rPr>
          <w:b/>
        </w:rPr>
        <w:t>.</w:t>
      </w:r>
    </w:p>
    <w:p w:rsidR="00A44775" w:rsidP="00A44775" w:rsidRDefault="00A44775">
      <w:pPr>
        <w:pStyle w:val="JuPara"/>
      </w:pPr>
      <w:r>
        <w:rPr>
          <w:rStyle w:val="Strong"/>
          <w:b w:val="0"/>
        </w:rPr>
        <w:fldChar w:fldCharType="begin"/>
      </w:r>
      <w:r>
        <w:rPr>
          <w:rStyle w:val="Strong"/>
          <w:b w:val="0"/>
        </w:rPr>
        <w:instrText xml:space="preserve"> SEQ level0 \*arabic </w:instrText>
      </w:r>
      <w:r>
        <w:rPr>
          <w:rStyle w:val="Strong"/>
          <w:b w:val="0"/>
        </w:rPr>
        <w:fldChar w:fldCharType="separate"/>
      </w:r>
      <w:r w:rsidR="00197D24">
        <w:rPr>
          <w:rStyle w:val="Strong"/>
          <w:b w:val="0"/>
          <w:noProof/>
        </w:rPr>
        <w:t>51</w:t>
      </w:r>
      <w:r>
        <w:rPr>
          <w:rStyle w:val="Strong"/>
          <w:b w:val="0"/>
        </w:rPr>
        <w:fldChar w:fldCharType="end"/>
      </w:r>
      <w:r>
        <w:rPr>
          <w:rStyle w:val="Strong"/>
          <w:b w:val="0"/>
        </w:rPr>
        <w:t>.  </w:t>
      </w:r>
      <w:r w:rsidRPr="000656BC">
        <w:rPr>
          <w:rStyle w:val="Strong"/>
          <w:b w:val="0"/>
        </w:rPr>
        <w:t>The Court further observes that</w:t>
      </w:r>
      <w:r w:rsidRPr="000656BC">
        <w:rPr>
          <w:rStyle w:val="Strong"/>
        </w:rPr>
        <w:t xml:space="preserve"> </w:t>
      </w:r>
      <w:r w:rsidRPr="000656BC">
        <w:rPr>
          <w:rStyle w:val="Strong"/>
          <w:b w:val="0"/>
        </w:rPr>
        <w:t>t</w:t>
      </w:r>
      <w:r w:rsidRPr="000656BC">
        <w:t xml:space="preserve">he rights of the defence require that the defendant be given an adequate and proper opportunity to challenge and question a witness against him or her either when the statements were made or at a later stage of the proceedings (see </w:t>
      </w:r>
      <w:proofErr w:type="spellStart"/>
      <w:r w:rsidRPr="000656BC">
        <w:rPr>
          <w:rStyle w:val="ju-005fpara--char"/>
          <w:i/>
          <w:iCs/>
        </w:rPr>
        <w:t>Saïdi</w:t>
      </w:r>
      <w:proofErr w:type="spellEnd"/>
      <w:r w:rsidRPr="000656BC">
        <w:t xml:space="preserve">, </w:t>
      </w:r>
      <w:r w:rsidR="00DE6124">
        <w:t xml:space="preserve">cited above, </w:t>
      </w:r>
      <w:r w:rsidRPr="000656BC">
        <w:t>§ 43</w:t>
      </w:r>
      <w:r w:rsidR="00DE6124">
        <w:t>;</w:t>
      </w:r>
      <w:r w:rsidRPr="000656BC">
        <w:t xml:space="preserve"> and </w:t>
      </w:r>
      <w:r w:rsidRPr="000656BC">
        <w:rPr>
          <w:rStyle w:val="ju-005fpara--char"/>
          <w:i/>
          <w:iCs/>
        </w:rPr>
        <w:t>A.M.</w:t>
      </w:r>
      <w:r w:rsidRPr="000656BC">
        <w:t xml:space="preserve">, </w:t>
      </w:r>
      <w:r w:rsidR="00DE6124">
        <w:t>cited above</w:t>
      </w:r>
      <w:r w:rsidRPr="000656BC">
        <w:t xml:space="preserve">, § 25). The use in evidence of statements obtained at the stage of the police inquiry and the judicial investigation is not in itself inconsistent with paragraphs 1 and 3 (d) of Article 6, provided that the rights of the defence have been respected. In particular, in the event that the witnesses cannot be examined and that this is due to the fact that they are missing, the authorities must make a reasonable effort to secure their presence (see </w:t>
      </w:r>
      <w:proofErr w:type="spellStart"/>
      <w:r w:rsidRPr="000656BC">
        <w:rPr>
          <w:i/>
          <w:lang w:eastAsia="en-US"/>
        </w:rPr>
        <w:t>Artner</w:t>
      </w:r>
      <w:proofErr w:type="spellEnd"/>
      <w:r w:rsidRPr="000656BC">
        <w:rPr>
          <w:i/>
          <w:lang w:eastAsia="en-US"/>
        </w:rPr>
        <w:t xml:space="preserve"> v. Austria</w:t>
      </w:r>
      <w:r w:rsidRPr="000656BC">
        <w:rPr>
          <w:lang w:eastAsia="en-US"/>
        </w:rPr>
        <w:t xml:space="preserve">, 28 August 1992, </w:t>
      </w:r>
      <w:r w:rsidRPr="000656BC">
        <w:t xml:space="preserve">§ 21 </w:t>
      </w:r>
      <w:r w:rsidRPr="000656BC">
        <w:rPr>
          <w:rStyle w:val="ju-005fpara--char"/>
          <w:i/>
          <w:iCs/>
        </w:rPr>
        <w:t>in fine,</w:t>
      </w:r>
      <w:r w:rsidRPr="000656BC">
        <w:rPr>
          <w:lang w:eastAsia="en-US"/>
        </w:rPr>
        <w:t xml:space="preserve"> Series A no. 242</w:t>
      </w:r>
      <w:r w:rsidRPr="000656BC">
        <w:rPr>
          <w:lang w:eastAsia="en-US"/>
        </w:rPr>
        <w:noBreakHyphen/>
        <w:t>A</w:t>
      </w:r>
      <w:r w:rsidRPr="000656BC">
        <w:t xml:space="preserve">; </w:t>
      </w:r>
      <w:r w:rsidRPr="000656BC">
        <w:rPr>
          <w:i/>
          <w:lang w:eastAsia="en-US"/>
        </w:rPr>
        <w:t>Delta v.</w:t>
      </w:r>
      <w:r>
        <w:rPr>
          <w:i/>
          <w:lang w:eastAsia="en-US"/>
        </w:rPr>
        <w:t> </w:t>
      </w:r>
      <w:r w:rsidRPr="000656BC">
        <w:rPr>
          <w:i/>
          <w:lang w:eastAsia="en-US"/>
        </w:rPr>
        <w:t>France</w:t>
      </w:r>
      <w:r w:rsidRPr="000656BC">
        <w:rPr>
          <w:lang w:eastAsia="en-US"/>
        </w:rPr>
        <w:t>, 19 December 1990,</w:t>
      </w:r>
      <w:r w:rsidRPr="000656BC">
        <w:t xml:space="preserve"> § 37,</w:t>
      </w:r>
      <w:r w:rsidRPr="000656BC">
        <w:rPr>
          <w:lang w:eastAsia="en-US"/>
        </w:rPr>
        <w:t xml:space="preserve"> Series A no. 191</w:t>
      </w:r>
      <w:r w:rsidRPr="000656BC">
        <w:rPr>
          <w:lang w:eastAsia="en-US"/>
        </w:rPr>
        <w:noBreakHyphen/>
        <w:t>A</w:t>
      </w:r>
      <w:r w:rsidRPr="000656BC">
        <w:t>; and</w:t>
      </w:r>
      <w:r w:rsidRPr="000656BC">
        <w:rPr>
          <w:rStyle w:val="ju-005fpara--char"/>
          <w:i/>
          <w:iCs/>
        </w:rPr>
        <w:t xml:space="preserve"> </w:t>
      </w:r>
      <w:proofErr w:type="spellStart"/>
      <w:r w:rsidRPr="000656BC">
        <w:rPr>
          <w:rStyle w:val="ju-005fpara--char"/>
          <w:i/>
          <w:iCs/>
        </w:rPr>
        <w:t>Rachdad</w:t>
      </w:r>
      <w:proofErr w:type="spellEnd"/>
      <w:r w:rsidRPr="000656BC">
        <w:rPr>
          <w:rStyle w:val="ju-005fpara--char"/>
          <w:i/>
          <w:iCs/>
        </w:rPr>
        <w:t xml:space="preserve"> v.</w:t>
      </w:r>
      <w:r>
        <w:rPr>
          <w:rStyle w:val="ju-005fpara--char"/>
          <w:i/>
          <w:iCs/>
        </w:rPr>
        <w:t> </w:t>
      </w:r>
      <w:r w:rsidRPr="000656BC">
        <w:rPr>
          <w:rStyle w:val="ju-005fpara--char"/>
          <w:i/>
          <w:iCs/>
        </w:rPr>
        <w:t>France</w:t>
      </w:r>
      <w:r w:rsidRPr="000656BC">
        <w:t>, no. 718</w:t>
      </w:r>
      <w:r>
        <w:t>46/01, § 25, 13 November 2003).</w:t>
      </w:r>
    </w:p>
    <w:p w:rsidR="005A63E1" w:rsidP="005E089F" w:rsidRDefault="00A44775">
      <w:pPr>
        <w:pStyle w:val="JuPara"/>
      </w:pPr>
      <w:r>
        <w:fldChar w:fldCharType="begin"/>
      </w:r>
      <w:r>
        <w:instrText xml:space="preserve"> SEQ level0 \*arabic </w:instrText>
      </w:r>
      <w:r>
        <w:fldChar w:fldCharType="separate"/>
      </w:r>
      <w:r w:rsidR="00197D24">
        <w:rPr>
          <w:noProof/>
        </w:rPr>
        <w:t>52</w:t>
      </w:r>
      <w:r>
        <w:fldChar w:fldCharType="end"/>
      </w:r>
      <w:r>
        <w:t>.  </w:t>
      </w:r>
      <w:r w:rsidR="005E089F">
        <w:t xml:space="preserve">Turning to the facts of the present case, the Court reiterates that </w:t>
      </w:r>
      <w:r w:rsidR="00EA5F14">
        <w:t>the applicant</w:t>
      </w:r>
      <w:r w:rsidR="008A5600">
        <w:t>’</w:t>
      </w:r>
      <w:r w:rsidR="00EA5F14">
        <w:t>s conviction was based</w:t>
      </w:r>
      <w:r w:rsidR="005E089F">
        <w:t xml:space="preserve"> on the </w:t>
      </w:r>
      <w:r w:rsidR="00BF02DB">
        <w:t xml:space="preserve">pre-trial </w:t>
      </w:r>
      <w:r w:rsidR="006539F2">
        <w:t xml:space="preserve">depositions </w:t>
      </w:r>
      <w:r w:rsidR="005E089F">
        <w:t xml:space="preserve">by </w:t>
      </w:r>
      <w:r w:rsidR="006539F2">
        <w:t>the eleven</w:t>
      </w:r>
      <w:r w:rsidR="005E089F">
        <w:t xml:space="preserve"> witnesses</w:t>
      </w:r>
      <w:r w:rsidR="006539F2">
        <w:t xml:space="preserve"> for the prosecution</w:t>
      </w:r>
      <w:r w:rsidR="005E089F">
        <w:t xml:space="preserve">, </w:t>
      </w:r>
      <w:r w:rsidR="006539F2">
        <w:t>including the applicant</w:t>
      </w:r>
      <w:r w:rsidR="008A5600">
        <w:t>’</w:t>
      </w:r>
      <w:r w:rsidR="006539F2">
        <w:t>s alleged accomplice Mr A., and material evidence</w:t>
      </w:r>
      <w:r w:rsidR="005E089F">
        <w:t xml:space="preserve">. </w:t>
      </w:r>
      <w:r w:rsidR="006539F2">
        <w:t>The applicant</w:t>
      </w:r>
      <w:r w:rsidR="00EA5F14">
        <w:t xml:space="preserve"> and his parents, heard by the trial court, argued that </w:t>
      </w:r>
      <w:r w:rsidR="00DD3296">
        <w:t xml:space="preserve">the fact that he was </w:t>
      </w:r>
      <w:r w:rsidR="00EA5F14">
        <w:t xml:space="preserve">in </w:t>
      </w:r>
      <w:smartTag w:uri="urn:schemas-microsoft-com:office:smarttags" w:element="place">
        <w:smartTag w:uri="urn:schemas-microsoft-com:office:smarttags" w:element="country-region">
          <w:r w:rsidR="00EA5F14">
            <w:t>Russia</w:t>
          </w:r>
        </w:smartTag>
      </w:smartTag>
      <w:r w:rsidR="00EA5F14">
        <w:t xml:space="preserve"> at the time of the crime rendered it impossible </w:t>
      </w:r>
      <w:r w:rsidR="009016DC">
        <w:t>for</w:t>
      </w:r>
      <w:r w:rsidR="00EA5F14">
        <w:t xml:space="preserve"> him to be the guilty party.</w:t>
      </w:r>
    </w:p>
    <w:p w:rsidR="005A63E1" w:rsidP="005E089F" w:rsidRDefault="005E089F">
      <w:pPr>
        <w:pStyle w:val="JuPara"/>
      </w:pPr>
      <w:r>
        <w:rPr>
          <w:color w:val="000000"/>
          <w:szCs w:val="24"/>
          <w:lang w:eastAsia="en-GB"/>
        </w:rPr>
        <w:fldChar w:fldCharType="begin"/>
      </w:r>
      <w:r>
        <w:rPr>
          <w:color w:val="000000"/>
          <w:szCs w:val="24"/>
          <w:lang w:eastAsia="en-GB"/>
        </w:rPr>
        <w:instrText xml:space="preserve"> SEQ level0 \*arabic </w:instrText>
      </w:r>
      <w:r>
        <w:rPr>
          <w:color w:val="000000"/>
          <w:szCs w:val="24"/>
          <w:lang w:eastAsia="en-GB"/>
        </w:rPr>
        <w:fldChar w:fldCharType="separate"/>
      </w:r>
      <w:r w:rsidR="00197D24">
        <w:rPr>
          <w:noProof/>
          <w:color w:val="000000"/>
          <w:szCs w:val="24"/>
          <w:lang w:eastAsia="en-GB"/>
        </w:rPr>
        <w:t>53</w:t>
      </w:r>
      <w:r>
        <w:rPr>
          <w:color w:val="000000"/>
          <w:szCs w:val="24"/>
          <w:lang w:eastAsia="en-GB"/>
        </w:rPr>
        <w:fldChar w:fldCharType="end"/>
      </w:r>
      <w:r>
        <w:rPr>
          <w:color w:val="000000"/>
          <w:szCs w:val="24"/>
          <w:lang w:eastAsia="en-GB"/>
        </w:rPr>
        <w:t xml:space="preserve">.  As to the </w:t>
      </w:r>
      <w:r w:rsidR="00EA5F14">
        <w:rPr>
          <w:color w:val="000000"/>
          <w:szCs w:val="24"/>
          <w:lang w:eastAsia="en-GB"/>
        </w:rPr>
        <w:t>material evidence</w:t>
      </w:r>
      <w:r>
        <w:t xml:space="preserve">, </w:t>
      </w:r>
      <w:r w:rsidR="00236E3F">
        <w:t xml:space="preserve">the records, materials and exhibits presented by the prosecution were proof that the murder and robbery had, in fact, taken place. They did not have any probative value allowing </w:t>
      </w:r>
      <w:r w:rsidR="00DD3296">
        <w:t xml:space="preserve">the </w:t>
      </w:r>
      <w:r w:rsidR="00236E3F">
        <w:t>conclu</w:t>
      </w:r>
      <w:r w:rsidR="00ED4D98">
        <w:t>sion</w:t>
      </w:r>
      <w:r w:rsidR="00236E3F">
        <w:t xml:space="preserve"> that the applicant had committed the criminal offences in question (see paragraph </w:t>
      </w:r>
      <w:r w:rsidR="00236E3F">
        <w:fldChar w:fldCharType="begin"/>
      </w:r>
      <w:r w:rsidR="00236E3F">
        <w:instrText xml:space="preserve"> REF  evidence </w:instrText>
      </w:r>
      <w:r w:rsidR="00236E3F">
        <w:fldChar w:fldCharType="separate"/>
      </w:r>
      <w:r w:rsidR="00197D24">
        <w:rPr>
          <w:noProof/>
        </w:rPr>
        <w:t>24</w:t>
      </w:r>
      <w:r w:rsidR="00236E3F">
        <w:fldChar w:fldCharType="end"/>
      </w:r>
      <w:r w:rsidR="00236E3F">
        <w:t xml:space="preserve"> above).</w:t>
      </w:r>
    </w:p>
    <w:p w:rsidR="005A63E1" w:rsidP="005E089F" w:rsidRDefault="005E089F">
      <w:pPr>
        <w:pStyle w:val="JuPara"/>
        <w:rPr>
          <w:color w:val="000000"/>
          <w:szCs w:val="24"/>
          <w:lang w:eastAsia="en-GB"/>
        </w:rPr>
      </w:pPr>
      <w:r>
        <w:rPr>
          <w:color w:val="000000"/>
          <w:szCs w:val="24"/>
          <w:lang w:eastAsia="en-GB"/>
        </w:rPr>
        <w:fldChar w:fldCharType="begin"/>
      </w:r>
      <w:r>
        <w:rPr>
          <w:color w:val="000000"/>
          <w:szCs w:val="24"/>
          <w:lang w:eastAsia="en-GB"/>
        </w:rPr>
        <w:instrText xml:space="preserve"> SEQ level0 \*arabic </w:instrText>
      </w:r>
      <w:r>
        <w:rPr>
          <w:color w:val="000000"/>
          <w:szCs w:val="24"/>
          <w:lang w:eastAsia="en-GB"/>
        </w:rPr>
        <w:fldChar w:fldCharType="separate"/>
      </w:r>
      <w:r w:rsidR="00197D24">
        <w:rPr>
          <w:noProof/>
          <w:color w:val="000000"/>
          <w:szCs w:val="24"/>
          <w:lang w:eastAsia="en-GB"/>
        </w:rPr>
        <w:t>54</w:t>
      </w:r>
      <w:r>
        <w:rPr>
          <w:color w:val="000000"/>
          <w:szCs w:val="24"/>
          <w:lang w:eastAsia="en-GB"/>
        </w:rPr>
        <w:fldChar w:fldCharType="end"/>
      </w:r>
      <w:r>
        <w:rPr>
          <w:color w:val="000000"/>
          <w:szCs w:val="24"/>
          <w:lang w:eastAsia="en-GB"/>
        </w:rPr>
        <w:t>.  </w:t>
      </w:r>
      <w:r w:rsidR="00565190">
        <w:rPr>
          <w:color w:val="000000"/>
          <w:szCs w:val="24"/>
          <w:lang w:eastAsia="en-GB"/>
        </w:rPr>
        <w:t xml:space="preserve">The Court </w:t>
      </w:r>
      <w:r w:rsidR="00B06266">
        <w:rPr>
          <w:color w:val="000000"/>
          <w:szCs w:val="24"/>
          <w:lang w:eastAsia="en-GB"/>
        </w:rPr>
        <w:t>notes</w:t>
      </w:r>
      <w:r w:rsidR="00565190">
        <w:rPr>
          <w:color w:val="000000"/>
          <w:szCs w:val="24"/>
          <w:lang w:eastAsia="en-GB"/>
        </w:rPr>
        <w:t xml:space="preserve"> that it was not able to study the content of the statements by the eleven prosecution witnesses</w:t>
      </w:r>
      <w:r w:rsidR="00E42A72">
        <w:rPr>
          <w:color w:val="000000"/>
          <w:szCs w:val="24"/>
          <w:lang w:eastAsia="en-GB"/>
        </w:rPr>
        <w:t>,</w:t>
      </w:r>
      <w:r w:rsidR="00565190">
        <w:rPr>
          <w:color w:val="000000"/>
          <w:szCs w:val="24"/>
          <w:lang w:eastAsia="en-GB"/>
        </w:rPr>
        <w:t xml:space="preserve"> </w:t>
      </w:r>
      <w:r w:rsidR="00DD3296">
        <w:rPr>
          <w:color w:val="000000"/>
          <w:szCs w:val="24"/>
          <w:lang w:eastAsia="en-GB"/>
        </w:rPr>
        <w:t xml:space="preserve">because </w:t>
      </w:r>
      <w:r w:rsidR="00565190">
        <w:rPr>
          <w:color w:val="000000"/>
          <w:szCs w:val="24"/>
          <w:lang w:eastAsia="en-GB"/>
        </w:rPr>
        <w:t>the Government</w:t>
      </w:r>
      <w:r w:rsidR="00DD3296">
        <w:rPr>
          <w:color w:val="000000"/>
          <w:szCs w:val="24"/>
          <w:lang w:eastAsia="en-GB"/>
        </w:rPr>
        <w:t xml:space="preserve"> had failed </w:t>
      </w:r>
      <w:r w:rsidR="00565190">
        <w:rPr>
          <w:color w:val="000000"/>
          <w:szCs w:val="24"/>
          <w:lang w:eastAsia="en-GB"/>
        </w:rPr>
        <w:t xml:space="preserve">to furnish the said records. </w:t>
      </w:r>
      <w:r w:rsidR="00565190">
        <w:t>Drawing</w:t>
      </w:r>
      <w:bookmarkStart w:name="HIT8" w:id="21"/>
      <w:bookmarkEnd w:id="21"/>
      <w:r w:rsidRPr="00565190" w:rsidR="00565190">
        <w:t xml:space="preserve"> </w:t>
      </w:r>
      <w:bookmarkStart w:name="HIT9" w:id="22"/>
      <w:bookmarkEnd w:id="22"/>
      <w:r w:rsidRPr="00565190" w:rsidR="00565190">
        <w:rPr>
          <w:bCs/>
        </w:rPr>
        <w:t>inferences</w:t>
      </w:r>
      <w:r w:rsidR="00565190">
        <w:t xml:space="preserve"> from the Government</w:t>
      </w:r>
      <w:r w:rsidR="008A5600">
        <w:t>’</w:t>
      </w:r>
      <w:r w:rsidR="00565190">
        <w:t xml:space="preserve">s conduct (see </w:t>
      </w:r>
      <w:proofErr w:type="spellStart"/>
      <w:r w:rsidRPr="00FF6158" w:rsidR="00FF6158">
        <w:rPr>
          <w:i/>
          <w:lang w:eastAsia="en-US"/>
        </w:rPr>
        <w:t>Velikova</w:t>
      </w:r>
      <w:proofErr w:type="spellEnd"/>
      <w:r w:rsidRPr="00FF6158" w:rsidR="00FF6158">
        <w:rPr>
          <w:i/>
          <w:lang w:eastAsia="en-US"/>
        </w:rPr>
        <w:t xml:space="preserve"> v. </w:t>
      </w:r>
      <w:smartTag w:uri="urn:schemas-microsoft-com:office:smarttags" w:element="country-region">
        <w:smartTag w:uri="urn:schemas-microsoft-com:office:smarttags" w:element="place">
          <w:r w:rsidR="00FF6158" w:rsidRPr="00FF6158">
            <w:rPr>
              <w:i/>
              <w:lang w:eastAsia="en-US"/>
            </w:rPr>
            <w:t>Bulgaria</w:t>
          </w:r>
        </w:smartTag>
      </w:smartTag>
      <w:r w:rsidRPr="00FF6158" w:rsidR="00FF6158">
        <w:rPr>
          <w:lang w:eastAsia="en-US"/>
        </w:rPr>
        <w:t xml:space="preserve">, no. 41488/98, § </w:t>
      </w:r>
      <w:r w:rsidR="00FF6158">
        <w:rPr>
          <w:lang w:eastAsia="en-US"/>
        </w:rPr>
        <w:t>77</w:t>
      </w:r>
      <w:r w:rsidRPr="00FF6158" w:rsidR="00FF6158">
        <w:rPr>
          <w:lang w:eastAsia="en-US"/>
        </w:rPr>
        <w:t>, ECHR 2000</w:t>
      </w:r>
      <w:r w:rsidRPr="00FF6158" w:rsidR="00FF6158">
        <w:rPr>
          <w:lang w:eastAsia="en-US"/>
        </w:rPr>
        <w:noBreakHyphen/>
        <w:t>V</w:t>
      </w:r>
      <w:r w:rsidR="00FF6158">
        <w:rPr>
          <w:lang w:eastAsia="en-US"/>
        </w:rPr>
        <w:t>I</w:t>
      </w:r>
      <w:r w:rsidR="00565190">
        <w:t>)</w:t>
      </w:r>
      <w:r w:rsidR="00FF6158">
        <w:t xml:space="preserve"> and t</w:t>
      </w:r>
      <w:r>
        <w:rPr>
          <w:color w:val="000000"/>
          <w:szCs w:val="24"/>
          <w:lang w:eastAsia="en-GB"/>
        </w:rPr>
        <w:t xml:space="preserve">aking into account the evidential value of </w:t>
      </w:r>
      <w:r w:rsidR="00233F2F">
        <w:rPr>
          <w:color w:val="000000"/>
          <w:szCs w:val="24"/>
          <w:lang w:eastAsia="en-GB"/>
        </w:rPr>
        <w:t>the material evidence</w:t>
      </w:r>
      <w:r>
        <w:rPr>
          <w:color w:val="000000"/>
          <w:szCs w:val="24"/>
          <w:lang w:eastAsia="en-GB"/>
        </w:rPr>
        <w:t xml:space="preserve">, the Court </w:t>
      </w:r>
      <w:r w:rsidR="00B06266">
        <w:rPr>
          <w:color w:val="000000"/>
          <w:szCs w:val="24"/>
          <w:lang w:eastAsia="en-GB"/>
        </w:rPr>
        <w:t>concludes</w:t>
      </w:r>
      <w:r>
        <w:rPr>
          <w:color w:val="000000"/>
          <w:szCs w:val="24"/>
          <w:lang w:eastAsia="en-GB"/>
        </w:rPr>
        <w:t xml:space="preserve"> that </w:t>
      </w:r>
      <w:r w:rsidR="00FF6158">
        <w:rPr>
          <w:color w:val="000000"/>
          <w:szCs w:val="24"/>
          <w:lang w:eastAsia="en-GB"/>
        </w:rPr>
        <w:t xml:space="preserve">the </w:t>
      </w:r>
      <w:r>
        <w:rPr>
          <w:color w:val="000000"/>
          <w:szCs w:val="24"/>
          <w:lang w:eastAsia="en-GB"/>
        </w:rPr>
        <w:t xml:space="preserve">depositions made </w:t>
      </w:r>
      <w:r w:rsidR="00B06266">
        <w:rPr>
          <w:color w:val="000000"/>
          <w:szCs w:val="24"/>
          <w:lang w:eastAsia="en-GB"/>
        </w:rPr>
        <w:t xml:space="preserve">by </w:t>
      </w:r>
      <w:r w:rsidR="00FF6158">
        <w:rPr>
          <w:color w:val="000000"/>
          <w:szCs w:val="24"/>
          <w:lang w:eastAsia="en-GB"/>
        </w:rPr>
        <w:t>the eleven witnesses</w:t>
      </w:r>
      <w:r>
        <w:rPr>
          <w:color w:val="000000"/>
          <w:szCs w:val="24"/>
          <w:lang w:eastAsia="en-GB"/>
        </w:rPr>
        <w:t xml:space="preserve"> during the pre-trial investigation and read out by the </w:t>
      </w:r>
      <w:r w:rsidR="00FF6158">
        <w:rPr>
          <w:color w:val="000000"/>
          <w:szCs w:val="24"/>
          <w:lang w:eastAsia="en-GB"/>
        </w:rPr>
        <w:t>Regional</w:t>
      </w:r>
      <w:r>
        <w:rPr>
          <w:color w:val="000000"/>
          <w:szCs w:val="24"/>
          <w:lang w:eastAsia="en-GB"/>
        </w:rPr>
        <w:t xml:space="preserve"> Court constituted virtually the sole direct and objective evidence on which the court</w:t>
      </w:r>
      <w:r w:rsidR="008A5600">
        <w:rPr>
          <w:color w:val="000000"/>
          <w:szCs w:val="24"/>
          <w:lang w:eastAsia="en-GB"/>
        </w:rPr>
        <w:t>’</w:t>
      </w:r>
      <w:r w:rsidR="00764ABA">
        <w:rPr>
          <w:color w:val="000000"/>
          <w:szCs w:val="24"/>
          <w:lang w:eastAsia="en-GB"/>
        </w:rPr>
        <w:t>s</w:t>
      </w:r>
      <w:r>
        <w:rPr>
          <w:color w:val="000000"/>
          <w:szCs w:val="24"/>
          <w:lang w:eastAsia="en-GB"/>
        </w:rPr>
        <w:t xml:space="preserve"> findings of guilt were based.</w:t>
      </w:r>
    </w:p>
    <w:p w:rsidR="005A63E1" w:rsidP="005E089F" w:rsidRDefault="005E089F">
      <w:pPr>
        <w:pStyle w:val="JuPara"/>
        <w:rPr>
          <w:color w:val="000000"/>
          <w:szCs w:val="24"/>
          <w:lang w:eastAsia="en-GB"/>
        </w:rPr>
      </w:pPr>
      <w:r>
        <w:rPr>
          <w:color w:val="000000"/>
          <w:szCs w:val="24"/>
          <w:lang w:eastAsia="en-GB"/>
        </w:rPr>
        <w:fldChar w:fldCharType="begin"/>
      </w:r>
      <w:r>
        <w:rPr>
          <w:color w:val="000000"/>
          <w:szCs w:val="24"/>
          <w:lang w:eastAsia="en-GB"/>
        </w:rPr>
        <w:instrText xml:space="preserve"> SEQ level0 \*arabic </w:instrText>
      </w:r>
      <w:r>
        <w:rPr>
          <w:color w:val="000000"/>
          <w:szCs w:val="24"/>
          <w:lang w:eastAsia="en-GB"/>
        </w:rPr>
        <w:fldChar w:fldCharType="separate"/>
      </w:r>
      <w:r w:rsidR="00197D24">
        <w:rPr>
          <w:noProof/>
          <w:color w:val="000000"/>
          <w:szCs w:val="24"/>
          <w:lang w:eastAsia="en-GB"/>
        </w:rPr>
        <w:t>55</w:t>
      </w:r>
      <w:r>
        <w:rPr>
          <w:color w:val="000000"/>
          <w:szCs w:val="24"/>
          <w:lang w:eastAsia="en-GB"/>
        </w:rPr>
        <w:fldChar w:fldCharType="end"/>
      </w:r>
      <w:r>
        <w:rPr>
          <w:color w:val="000000"/>
          <w:szCs w:val="24"/>
          <w:lang w:eastAsia="en-GB"/>
        </w:rPr>
        <w:t xml:space="preserve">.  The Court observes that </w:t>
      </w:r>
      <w:r w:rsidR="00FF6158">
        <w:rPr>
          <w:color w:val="000000"/>
          <w:szCs w:val="24"/>
          <w:lang w:eastAsia="en-GB"/>
        </w:rPr>
        <w:t xml:space="preserve">the witnesses, who were </w:t>
      </w:r>
      <w:r w:rsidR="00764ABA">
        <w:rPr>
          <w:color w:val="000000"/>
          <w:szCs w:val="24"/>
          <w:lang w:eastAsia="en-GB"/>
        </w:rPr>
        <w:t xml:space="preserve">all </w:t>
      </w:r>
      <w:r w:rsidR="00FF6158">
        <w:rPr>
          <w:color w:val="000000"/>
          <w:szCs w:val="24"/>
          <w:lang w:eastAsia="en-GB"/>
        </w:rPr>
        <w:t xml:space="preserve">in </w:t>
      </w:r>
      <w:smartTag w:uri="urn:schemas-microsoft-com:office:smarttags" w:element="country-region">
        <w:r w:rsidR="00FF6158">
          <w:rPr>
            <w:color w:val="000000"/>
            <w:szCs w:val="24"/>
            <w:lang w:eastAsia="en-GB"/>
          </w:rPr>
          <w:t>Uzbekistan</w:t>
        </w:r>
      </w:smartTag>
      <w:r w:rsidR="00FF6158">
        <w:rPr>
          <w:color w:val="000000"/>
          <w:szCs w:val="24"/>
          <w:lang w:eastAsia="en-GB"/>
        </w:rPr>
        <w:t>,</w:t>
      </w:r>
      <w:r>
        <w:rPr>
          <w:color w:val="000000"/>
          <w:szCs w:val="24"/>
          <w:lang w:eastAsia="en-GB"/>
        </w:rPr>
        <w:t xml:space="preserve"> did not appear at the trial </w:t>
      </w:r>
      <w:r w:rsidR="00FF6158">
        <w:rPr>
          <w:color w:val="000000"/>
          <w:szCs w:val="24"/>
          <w:lang w:eastAsia="en-GB"/>
        </w:rPr>
        <w:t xml:space="preserve">for various reasons: Mr A. was serving </w:t>
      </w:r>
      <w:r w:rsidR="002F6FF0">
        <w:rPr>
          <w:color w:val="000000"/>
          <w:szCs w:val="24"/>
          <w:lang w:eastAsia="en-GB"/>
        </w:rPr>
        <w:t xml:space="preserve">a </w:t>
      </w:r>
      <w:r w:rsidR="00FF6158">
        <w:rPr>
          <w:color w:val="000000"/>
          <w:szCs w:val="24"/>
          <w:lang w:eastAsia="en-GB"/>
        </w:rPr>
        <w:t xml:space="preserve">sentence, </w:t>
      </w:r>
      <w:r w:rsidR="006560C9">
        <w:rPr>
          <w:color w:val="000000"/>
          <w:szCs w:val="24"/>
          <w:lang w:eastAsia="en-GB"/>
        </w:rPr>
        <w:t>the whereabouts of one witness could not be established</w:t>
      </w:r>
      <w:r w:rsidR="002F6FF0">
        <w:rPr>
          <w:color w:val="000000"/>
          <w:szCs w:val="24"/>
          <w:lang w:eastAsia="en-GB"/>
        </w:rPr>
        <w:t>,</w:t>
      </w:r>
      <w:r w:rsidR="006560C9">
        <w:rPr>
          <w:color w:val="000000"/>
          <w:szCs w:val="24"/>
          <w:lang w:eastAsia="en-GB"/>
        </w:rPr>
        <w:t xml:space="preserve"> and the remaining </w:t>
      </w:r>
      <w:r w:rsidR="00764ABA">
        <w:rPr>
          <w:color w:val="000000"/>
          <w:szCs w:val="24"/>
          <w:lang w:eastAsia="en-GB"/>
        </w:rPr>
        <w:t xml:space="preserve">nine </w:t>
      </w:r>
      <w:r w:rsidR="006560C9">
        <w:rPr>
          <w:color w:val="000000"/>
          <w:szCs w:val="24"/>
          <w:lang w:eastAsia="en-GB"/>
        </w:rPr>
        <w:t xml:space="preserve">witnesses, according to the Government, </w:t>
      </w:r>
      <w:r w:rsidR="002F6FF0">
        <w:rPr>
          <w:color w:val="000000"/>
          <w:szCs w:val="24"/>
          <w:lang w:eastAsia="en-GB"/>
        </w:rPr>
        <w:t xml:space="preserve">failed to appear </w:t>
      </w:r>
      <w:r w:rsidR="006560C9">
        <w:rPr>
          <w:color w:val="000000"/>
          <w:szCs w:val="24"/>
          <w:lang w:eastAsia="en-GB"/>
        </w:rPr>
        <w:t xml:space="preserve">for </w:t>
      </w:r>
      <w:r w:rsidR="0072389D">
        <w:rPr>
          <w:color w:val="000000"/>
          <w:szCs w:val="24"/>
          <w:lang w:eastAsia="en-GB"/>
        </w:rPr>
        <w:t>personal reasons</w:t>
      </w:r>
      <w:r w:rsidR="006560C9">
        <w:rPr>
          <w:color w:val="000000"/>
          <w:szCs w:val="24"/>
          <w:lang w:eastAsia="en-GB"/>
        </w:rPr>
        <w:t xml:space="preserve">, such as lack of financial </w:t>
      </w:r>
      <w:r w:rsidR="002F6FF0">
        <w:rPr>
          <w:color w:val="000000"/>
          <w:szCs w:val="24"/>
          <w:lang w:eastAsia="en-GB"/>
        </w:rPr>
        <w:t>means</w:t>
      </w:r>
      <w:r w:rsidR="006560C9">
        <w:rPr>
          <w:color w:val="000000"/>
          <w:szCs w:val="24"/>
          <w:lang w:eastAsia="en-GB"/>
        </w:rPr>
        <w:t>, family sit</w:t>
      </w:r>
      <w:r w:rsidR="00B06266">
        <w:rPr>
          <w:color w:val="000000"/>
          <w:szCs w:val="24"/>
          <w:lang w:eastAsia="en-GB"/>
        </w:rPr>
        <w:t xml:space="preserve">uation or poor health </w:t>
      </w:r>
      <w:r>
        <w:rPr>
          <w:color w:val="000000"/>
          <w:szCs w:val="24"/>
          <w:lang w:eastAsia="en-GB"/>
        </w:rPr>
        <w:t xml:space="preserve">(see paragraph </w:t>
      </w:r>
      <w:r w:rsidR="00764ABA">
        <w:rPr>
          <w:color w:val="000000"/>
          <w:szCs w:val="24"/>
          <w:lang w:eastAsia="en-GB"/>
        </w:rPr>
        <w:fldChar w:fldCharType="begin"/>
      </w:r>
      <w:r w:rsidR="00764ABA">
        <w:rPr>
          <w:color w:val="000000"/>
          <w:szCs w:val="24"/>
          <w:lang w:eastAsia="en-GB"/>
        </w:rPr>
        <w:instrText xml:space="preserve"> REF  witness </w:instrText>
      </w:r>
      <w:r w:rsidR="00764ABA">
        <w:rPr>
          <w:color w:val="000000"/>
          <w:szCs w:val="24"/>
          <w:lang w:eastAsia="en-GB"/>
        </w:rPr>
        <w:fldChar w:fldCharType="separate"/>
      </w:r>
      <w:r w:rsidR="00197D24">
        <w:rPr>
          <w:noProof/>
        </w:rPr>
        <w:t>20</w:t>
      </w:r>
      <w:r w:rsidR="00764ABA">
        <w:rPr>
          <w:color w:val="000000"/>
          <w:szCs w:val="24"/>
          <w:lang w:eastAsia="en-GB"/>
        </w:rPr>
        <w:fldChar w:fldCharType="end"/>
      </w:r>
      <w:r>
        <w:rPr>
          <w:color w:val="000000"/>
          <w:szCs w:val="24"/>
          <w:lang w:eastAsia="en-GB"/>
        </w:rPr>
        <w:t xml:space="preserve"> above). The </w:t>
      </w:r>
      <w:r w:rsidR="00764ABA">
        <w:rPr>
          <w:color w:val="000000"/>
          <w:szCs w:val="24"/>
          <w:lang w:eastAsia="en-GB"/>
        </w:rPr>
        <w:t xml:space="preserve">Court, however, </w:t>
      </w:r>
      <w:r w:rsidR="000C2917">
        <w:rPr>
          <w:color w:val="000000"/>
          <w:szCs w:val="24"/>
          <w:lang w:eastAsia="en-GB"/>
        </w:rPr>
        <w:t>notes that</w:t>
      </w:r>
      <w:r w:rsidR="00764ABA">
        <w:rPr>
          <w:color w:val="000000"/>
          <w:szCs w:val="24"/>
          <w:lang w:eastAsia="en-GB"/>
        </w:rPr>
        <w:t xml:space="preserve"> the </w:t>
      </w:r>
      <w:smartTag w:uri="urn:schemas-microsoft-com:office:smarttags" w:element="Street">
        <w:smartTag w:uri="urn:schemas-microsoft-com:office:smarttags" w:element="address">
          <w:r w:rsidR="00764ABA">
            <w:rPr>
              <w:color w:val="000000"/>
              <w:szCs w:val="24"/>
              <w:lang w:eastAsia="en-GB"/>
            </w:rPr>
            <w:t>Regional Court</w:t>
          </w:r>
        </w:smartTag>
      </w:smartTag>
      <w:r w:rsidR="00764ABA">
        <w:rPr>
          <w:color w:val="000000"/>
          <w:szCs w:val="24"/>
          <w:lang w:eastAsia="en-GB"/>
        </w:rPr>
        <w:t xml:space="preserve"> did not have information explaining the reason for the absence of </w:t>
      </w:r>
      <w:r w:rsidR="00866A27">
        <w:rPr>
          <w:color w:val="000000"/>
          <w:szCs w:val="24"/>
          <w:lang w:eastAsia="en-GB"/>
        </w:rPr>
        <w:t>five</w:t>
      </w:r>
      <w:r w:rsidR="00764ABA">
        <w:rPr>
          <w:color w:val="000000"/>
          <w:szCs w:val="24"/>
          <w:lang w:eastAsia="en-GB"/>
        </w:rPr>
        <w:t xml:space="preserve"> </w:t>
      </w:r>
      <w:r w:rsidR="00ED4D98">
        <w:rPr>
          <w:color w:val="000000"/>
          <w:szCs w:val="24"/>
          <w:lang w:eastAsia="en-GB"/>
        </w:rPr>
        <w:t xml:space="preserve">of the eleven </w:t>
      </w:r>
      <w:r w:rsidR="00764ABA">
        <w:rPr>
          <w:color w:val="000000"/>
          <w:szCs w:val="24"/>
          <w:lang w:eastAsia="en-GB"/>
        </w:rPr>
        <w:t xml:space="preserve">witnesses from the prosecution list. In fact, </w:t>
      </w:r>
      <w:r w:rsidR="0019508A">
        <w:rPr>
          <w:color w:val="000000"/>
          <w:szCs w:val="24"/>
          <w:lang w:eastAsia="en-GB"/>
        </w:rPr>
        <w:t>the trial court</w:t>
      </w:r>
      <w:r w:rsidR="00764ABA">
        <w:rPr>
          <w:color w:val="000000"/>
          <w:szCs w:val="24"/>
          <w:lang w:eastAsia="en-GB"/>
        </w:rPr>
        <w:t xml:space="preserve"> was not even aware </w:t>
      </w:r>
      <w:r w:rsidR="00866A27">
        <w:rPr>
          <w:color w:val="000000"/>
          <w:szCs w:val="24"/>
          <w:lang w:eastAsia="en-GB"/>
        </w:rPr>
        <w:t xml:space="preserve">whether </w:t>
      </w:r>
      <w:r w:rsidR="00764ABA">
        <w:rPr>
          <w:color w:val="000000"/>
          <w:szCs w:val="24"/>
          <w:lang w:eastAsia="en-GB"/>
        </w:rPr>
        <w:t xml:space="preserve">the witnesses </w:t>
      </w:r>
      <w:r w:rsidR="00B45CCB">
        <w:rPr>
          <w:color w:val="000000"/>
          <w:szCs w:val="24"/>
          <w:lang w:eastAsia="en-GB"/>
        </w:rPr>
        <w:t xml:space="preserve">had been </w:t>
      </w:r>
      <w:r w:rsidR="002F6FF0">
        <w:rPr>
          <w:color w:val="000000"/>
          <w:szCs w:val="24"/>
          <w:lang w:eastAsia="en-GB"/>
        </w:rPr>
        <w:t>summoned</w:t>
      </w:r>
      <w:r w:rsidR="00B45CCB">
        <w:rPr>
          <w:color w:val="000000"/>
          <w:szCs w:val="24"/>
          <w:lang w:eastAsia="en-GB"/>
        </w:rPr>
        <w:t xml:space="preserve"> (see paragraphs </w:t>
      </w:r>
      <w:r w:rsidR="00B45CCB">
        <w:rPr>
          <w:color w:val="000000"/>
          <w:szCs w:val="24"/>
          <w:lang w:eastAsia="en-GB"/>
        </w:rPr>
        <w:fldChar w:fldCharType="begin"/>
      </w:r>
      <w:r w:rsidR="00B45CCB">
        <w:rPr>
          <w:color w:val="000000"/>
          <w:szCs w:val="24"/>
          <w:lang w:eastAsia="en-GB"/>
        </w:rPr>
        <w:instrText xml:space="preserve"> REF  witness1 </w:instrText>
      </w:r>
      <w:r w:rsidR="00B45CCB">
        <w:rPr>
          <w:color w:val="000000"/>
          <w:szCs w:val="24"/>
          <w:lang w:eastAsia="en-GB"/>
        </w:rPr>
        <w:fldChar w:fldCharType="separate"/>
      </w:r>
      <w:r w:rsidR="00197D24">
        <w:rPr>
          <w:noProof/>
        </w:rPr>
        <w:t>20</w:t>
      </w:r>
      <w:r w:rsidR="00B45CCB">
        <w:rPr>
          <w:color w:val="000000"/>
          <w:szCs w:val="24"/>
          <w:lang w:eastAsia="en-GB"/>
        </w:rPr>
        <w:fldChar w:fldCharType="end"/>
      </w:r>
      <w:r w:rsidR="00B45CCB">
        <w:rPr>
          <w:color w:val="000000"/>
          <w:szCs w:val="24"/>
          <w:lang w:eastAsia="en-GB"/>
        </w:rPr>
        <w:t xml:space="preserve"> and </w:t>
      </w:r>
      <w:r w:rsidR="00B45CCB">
        <w:rPr>
          <w:color w:val="000000"/>
          <w:szCs w:val="24"/>
          <w:lang w:eastAsia="en-GB"/>
        </w:rPr>
        <w:fldChar w:fldCharType="begin"/>
      </w:r>
      <w:r w:rsidR="00B45CCB">
        <w:rPr>
          <w:color w:val="000000"/>
          <w:szCs w:val="24"/>
          <w:lang w:eastAsia="en-GB"/>
        </w:rPr>
        <w:instrText xml:space="preserve"> REF  witness2 </w:instrText>
      </w:r>
      <w:r w:rsidR="00B45CCB">
        <w:rPr>
          <w:color w:val="000000"/>
          <w:szCs w:val="24"/>
          <w:lang w:eastAsia="en-GB"/>
        </w:rPr>
        <w:fldChar w:fldCharType="separate"/>
      </w:r>
      <w:r w:rsidR="00197D24">
        <w:rPr>
          <w:noProof/>
        </w:rPr>
        <w:t>23</w:t>
      </w:r>
      <w:r w:rsidR="00B45CCB">
        <w:rPr>
          <w:color w:val="000000"/>
          <w:szCs w:val="24"/>
          <w:lang w:eastAsia="en-GB"/>
        </w:rPr>
        <w:fldChar w:fldCharType="end"/>
      </w:r>
      <w:r w:rsidR="00B45CCB">
        <w:rPr>
          <w:color w:val="000000"/>
          <w:szCs w:val="24"/>
          <w:lang w:eastAsia="en-GB"/>
        </w:rPr>
        <w:t xml:space="preserve"> above). </w:t>
      </w:r>
      <w:r w:rsidR="009016DC">
        <w:rPr>
          <w:color w:val="000000"/>
          <w:szCs w:val="24"/>
          <w:lang w:eastAsia="en-GB"/>
        </w:rPr>
        <w:t>It also appears that it never received a response from the Uzbek authorities regarding Mr A.</w:t>
      </w:r>
      <w:r w:rsidR="008A5600">
        <w:rPr>
          <w:color w:val="000000"/>
          <w:szCs w:val="24"/>
          <w:lang w:eastAsia="en-GB"/>
        </w:rPr>
        <w:t>’</w:t>
      </w:r>
      <w:r w:rsidR="009016DC">
        <w:rPr>
          <w:color w:val="000000"/>
          <w:szCs w:val="24"/>
          <w:lang w:eastAsia="en-GB"/>
        </w:rPr>
        <w:t xml:space="preserve">s attendance. The </w:t>
      </w:r>
      <w:smartTag w:uri="urn:schemas-microsoft-com:office:smarttags" w:element="Street">
        <w:smartTag w:uri="urn:schemas-microsoft-com:office:smarttags" w:element="address">
          <w:r w:rsidR="009016DC">
            <w:rPr>
              <w:color w:val="000000"/>
              <w:szCs w:val="24"/>
              <w:lang w:eastAsia="en-GB"/>
            </w:rPr>
            <w:t>Regional Court</w:t>
          </w:r>
        </w:smartTag>
      </w:smartTag>
      <w:r w:rsidR="00B45CCB">
        <w:rPr>
          <w:color w:val="000000"/>
          <w:szCs w:val="24"/>
          <w:lang w:eastAsia="en-GB"/>
        </w:rPr>
        <w:t xml:space="preserve">, nevertheless, </w:t>
      </w:r>
      <w:r w:rsidR="00866A27">
        <w:rPr>
          <w:color w:val="000000"/>
          <w:szCs w:val="24"/>
          <w:lang w:eastAsia="en-GB"/>
        </w:rPr>
        <w:t>proceeded</w:t>
      </w:r>
      <w:r w:rsidR="00B45CCB">
        <w:rPr>
          <w:color w:val="000000"/>
          <w:szCs w:val="24"/>
          <w:lang w:eastAsia="en-GB"/>
        </w:rPr>
        <w:t xml:space="preserve"> with the reading out of the depositions by those </w:t>
      </w:r>
      <w:r w:rsidR="00866A27">
        <w:rPr>
          <w:color w:val="000000"/>
          <w:szCs w:val="24"/>
          <w:lang w:eastAsia="en-GB"/>
        </w:rPr>
        <w:t>five</w:t>
      </w:r>
      <w:r w:rsidR="00B45CCB">
        <w:rPr>
          <w:color w:val="000000"/>
          <w:szCs w:val="24"/>
          <w:lang w:eastAsia="en-GB"/>
        </w:rPr>
        <w:t xml:space="preserve"> witnesses</w:t>
      </w:r>
      <w:r w:rsidR="009016DC">
        <w:rPr>
          <w:color w:val="000000"/>
          <w:szCs w:val="24"/>
          <w:lang w:eastAsia="en-GB"/>
        </w:rPr>
        <w:t xml:space="preserve"> and Mr A.</w:t>
      </w:r>
      <w:r w:rsidR="00B45CCB">
        <w:rPr>
          <w:color w:val="000000"/>
          <w:szCs w:val="24"/>
          <w:lang w:eastAsia="en-GB"/>
        </w:rPr>
        <w:t xml:space="preserve">, </w:t>
      </w:r>
      <w:r w:rsidR="00ED4D98">
        <w:rPr>
          <w:color w:val="000000"/>
          <w:szCs w:val="24"/>
          <w:lang w:eastAsia="en-GB"/>
        </w:rPr>
        <w:t xml:space="preserve">having </w:t>
      </w:r>
      <w:r w:rsidR="00E168C9">
        <w:rPr>
          <w:color w:val="000000"/>
          <w:szCs w:val="24"/>
          <w:lang w:eastAsia="en-GB"/>
        </w:rPr>
        <w:t>noted that attempts to obtain their presence had already taken six months</w:t>
      </w:r>
      <w:r w:rsidR="00B45CCB">
        <w:rPr>
          <w:color w:val="000000"/>
          <w:szCs w:val="24"/>
          <w:lang w:eastAsia="en-GB"/>
        </w:rPr>
        <w:t xml:space="preserve"> (see paragraph </w:t>
      </w:r>
      <w:r w:rsidR="00B45CCB">
        <w:rPr>
          <w:color w:val="000000"/>
          <w:szCs w:val="24"/>
          <w:lang w:eastAsia="en-GB"/>
        </w:rPr>
        <w:fldChar w:fldCharType="begin"/>
      </w:r>
      <w:r w:rsidR="00B45CCB">
        <w:rPr>
          <w:color w:val="000000"/>
          <w:szCs w:val="24"/>
          <w:lang w:eastAsia="en-GB"/>
        </w:rPr>
        <w:instrText xml:space="preserve"> REF  witness2 </w:instrText>
      </w:r>
      <w:r w:rsidR="00B45CCB">
        <w:rPr>
          <w:color w:val="000000"/>
          <w:szCs w:val="24"/>
          <w:lang w:eastAsia="en-GB"/>
        </w:rPr>
        <w:fldChar w:fldCharType="separate"/>
      </w:r>
      <w:r w:rsidR="00197D24">
        <w:rPr>
          <w:noProof/>
        </w:rPr>
        <w:t>23</w:t>
      </w:r>
      <w:r w:rsidR="00B45CCB">
        <w:rPr>
          <w:color w:val="000000"/>
          <w:szCs w:val="24"/>
          <w:lang w:eastAsia="en-GB"/>
        </w:rPr>
        <w:fldChar w:fldCharType="end"/>
      </w:r>
      <w:r w:rsidR="00B45CCB">
        <w:rPr>
          <w:color w:val="000000"/>
          <w:szCs w:val="24"/>
          <w:lang w:eastAsia="en-GB"/>
        </w:rPr>
        <w:t xml:space="preserve"> above)</w:t>
      </w:r>
      <w:r w:rsidR="00866A27">
        <w:rPr>
          <w:color w:val="000000"/>
          <w:szCs w:val="24"/>
          <w:lang w:eastAsia="en-GB"/>
        </w:rPr>
        <w:t xml:space="preserve">. </w:t>
      </w:r>
      <w:r>
        <w:rPr>
          <w:color w:val="000000"/>
          <w:szCs w:val="24"/>
          <w:lang w:eastAsia="en-GB"/>
        </w:rPr>
        <w:t>While the Court is not unmindful of the domestic courts</w:t>
      </w:r>
      <w:r w:rsidR="008A5600">
        <w:rPr>
          <w:color w:val="000000"/>
          <w:szCs w:val="24"/>
          <w:lang w:eastAsia="en-GB"/>
        </w:rPr>
        <w:t>’</w:t>
      </w:r>
      <w:r>
        <w:rPr>
          <w:color w:val="000000"/>
          <w:szCs w:val="24"/>
          <w:lang w:eastAsia="en-GB"/>
        </w:rPr>
        <w:t xml:space="preserve"> obligation to secure the proper conduct of the trial and avoid undue delays in the criminal proceedings, it does not consider that a stay in the proceedings for the purpose of obtaining </w:t>
      </w:r>
      <w:r w:rsidR="00866A27">
        <w:rPr>
          <w:color w:val="000000"/>
          <w:szCs w:val="24"/>
          <w:lang w:eastAsia="en-GB"/>
        </w:rPr>
        <w:t>witnesses</w:t>
      </w:r>
      <w:r w:rsidR="008A5600">
        <w:rPr>
          <w:color w:val="000000"/>
          <w:szCs w:val="24"/>
          <w:lang w:eastAsia="en-GB"/>
        </w:rPr>
        <w:t>’</w:t>
      </w:r>
      <w:r>
        <w:rPr>
          <w:color w:val="000000"/>
          <w:szCs w:val="24"/>
          <w:lang w:eastAsia="en-GB"/>
        </w:rPr>
        <w:t xml:space="preserve"> testimony </w:t>
      </w:r>
      <w:r w:rsidR="00866A27">
        <w:rPr>
          <w:color w:val="000000"/>
          <w:szCs w:val="24"/>
          <w:lang w:eastAsia="en-GB"/>
        </w:rPr>
        <w:t xml:space="preserve">or at least clarifying the issue of their appearance </w:t>
      </w:r>
      <w:r>
        <w:rPr>
          <w:color w:val="000000"/>
          <w:szCs w:val="24"/>
          <w:lang w:eastAsia="en-GB"/>
        </w:rPr>
        <w:t xml:space="preserve">at the trial, in which the applicant stood accused of a very serious offence and was risking a </w:t>
      </w:r>
      <w:r w:rsidR="002F6FF0">
        <w:rPr>
          <w:color w:val="000000"/>
          <w:szCs w:val="24"/>
          <w:lang w:eastAsia="en-GB"/>
        </w:rPr>
        <w:t xml:space="preserve">lengthy prison </w:t>
      </w:r>
      <w:r>
        <w:rPr>
          <w:color w:val="000000"/>
          <w:szCs w:val="24"/>
          <w:lang w:eastAsia="en-GB"/>
        </w:rPr>
        <w:t xml:space="preserve">term, would have constituted an insuperable </w:t>
      </w:r>
      <w:r w:rsidR="002F6FF0">
        <w:rPr>
          <w:color w:val="000000"/>
          <w:szCs w:val="24"/>
          <w:lang w:eastAsia="en-GB"/>
        </w:rPr>
        <w:t xml:space="preserve">obstacle </w:t>
      </w:r>
      <w:r>
        <w:rPr>
          <w:color w:val="000000"/>
          <w:szCs w:val="24"/>
          <w:lang w:eastAsia="en-GB"/>
        </w:rPr>
        <w:t>to the expediency of the proceedings at hand (</w:t>
      </w:r>
      <w:r>
        <w:t xml:space="preserve">see </w:t>
      </w:r>
      <w:r w:rsidRPr="00683FAE" w:rsidR="00683FAE">
        <w:rPr>
          <w:i/>
          <w:lang w:eastAsia="en-US"/>
        </w:rPr>
        <w:t>Vladimir</w:t>
      </w:r>
      <w:r w:rsidR="0071469A">
        <w:rPr>
          <w:i/>
          <w:lang w:eastAsia="en-US"/>
        </w:rPr>
        <w:t> </w:t>
      </w:r>
      <w:r w:rsidRPr="00683FAE" w:rsidR="00683FAE">
        <w:rPr>
          <w:i/>
          <w:lang w:eastAsia="en-US"/>
        </w:rPr>
        <w:t xml:space="preserve">Romanov v. </w:t>
      </w:r>
      <w:smartTag w:uri="urn:schemas-microsoft-com:office:smarttags" w:element="place">
        <w:smartTag w:uri="urn:schemas-microsoft-com:office:smarttags" w:element="country-region">
          <w:r w:rsidR="00683FAE" w:rsidRPr="00683FAE">
            <w:rPr>
              <w:i/>
              <w:lang w:eastAsia="en-US"/>
            </w:rPr>
            <w:t>Russia</w:t>
          </w:r>
        </w:smartTag>
      </w:smartTag>
      <w:r w:rsidRPr="00683FAE" w:rsidR="00683FAE">
        <w:rPr>
          <w:lang w:eastAsia="en-US"/>
        </w:rPr>
        <w:t xml:space="preserve">, no. 41461/02, § </w:t>
      </w:r>
      <w:r w:rsidR="00683FAE">
        <w:rPr>
          <w:lang w:eastAsia="en-US"/>
        </w:rPr>
        <w:t>104</w:t>
      </w:r>
      <w:r w:rsidRPr="00683FAE" w:rsidR="00683FAE">
        <w:rPr>
          <w:lang w:eastAsia="en-US"/>
        </w:rPr>
        <w:t>, 24 July 2008</w:t>
      </w:r>
      <w:r w:rsidR="00683FAE">
        <w:rPr>
          <w:lang w:eastAsia="en-US"/>
        </w:rPr>
        <w:t xml:space="preserve">, with further references, and, most recently, </w:t>
      </w:r>
      <w:proofErr w:type="spellStart"/>
      <w:r w:rsidRPr="00D22670" w:rsidR="00683FAE">
        <w:rPr>
          <w:i/>
          <w:lang w:eastAsia="en-US"/>
        </w:rPr>
        <w:t>Krivoshapkin</w:t>
      </w:r>
      <w:proofErr w:type="spellEnd"/>
      <w:r w:rsidRPr="00D22670" w:rsidR="00683FAE">
        <w:rPr>
          <w:i/>
          <w:lang w:eastAsia="en-US"/>
        </w:rPr>
        <w:t xml:space="preserve"> v. </w:t>
      </w:r>
      <w:smartTag w:uri="urn:schemas-microsoft-com:office:smarttags" w:element="place">
        <w:smartTag w:uri="urn:schemas-microsoft-com:office:smarttags" w:element="country-region">
          <w:r w:rsidR="00683FAE" w:rsidRPr="00D22670">
            <w:rPr>
              <w:i/>
              <w:lang w:eastAsia="en-US"/>
            </w:rPr>
            <w:t>Russia</w:t>
          </w:r>
        </w:smartTag>
      </w:smartTag>
      <w:r w:rsidRPr="00D22670" w:rsidR="00683FAE">
        <w:rPr>
          <w:lang w:eastAsia="en-US"/>
        </w:rPr>
        <w:t>, no.</w:t>
      </w:r>
      <w:r w:rsidR="0071469A">
        <w:rPr>
          <w:lang w:eastAsia="en-US"/>
        </w:rPr>
        <w:t> </w:t>
      </w:r>
      <w:r w:rsidRPr="00D22670" w:rsidR="00683FAE">
        <w:rPr>
          <w:lang w:eastAsia="en-US"/>
        </w:rPr>
        <w:t>42224/02</w:t>
      </w:r>
      <w:r w:rsidRPr="00D22670" w:rsidR="00683FAE">
        <w:rPr>
          <w:snapToGrid w:val="0"/>
          <w:lang w:val="pt-BR" w:eastAsia="en-US"/>
        </w:rPr>
        <w:t xml:space="preserve">, § </w:t>
      </w:r>
      <w:r w:rsidR="00683FAE">
        <w:rPr>
          <w:snapToGrid w:val="0"/>
          <w:lang w:val="pt-BR" w:eastAsia="en-US"/>
        </w:rPr>
        <w:t>60</w:t>
      </w:r>
      <w:r w:rsidRPr="00D22670" w:rsidR="00683FAE">
        <w:rPr>
          <w:snapToGrid w:val="0"/>
          <w:lang w:val="pt-BR" w:eastAsia="en-US"/>
        </w:rPr>
        <w:t>, 27</w:t>
      </w:r>
      <w:r w:rsidR="00683FAE">
        <w:rPr>
          <w:snapToGrid w:val="0"/>
          <w:lang w:val="pt-BR" w:eastAsia="en-US"/>
        </w:rPr>
        <w:t> </w:t>
      </w:r>
      <w:r w:rsidRPr="00D22670" w:rsidR="00683FAE">
        <w:rPr>
          <w:snapToGrid w:val="0"/>
          <w:lang w:val="pt-BR" w:eastAsia="en-US"/>
        </w:rPr>
        <w:t>January 2011</w:t>
      </w:r>
      <w:r>
        <w:t>).</w:t>
      </w:r>
      <w:r>
        <w:rPr>
          <w:color w:val="000000"/>
          <w:szCs w:val="24"/>
          <w:lang w:eastAsia="en-GB"/>
        </w:rPr>
        <w:t xml:space="preserve"> The authorities chose to eschew that stay. As a result, </w:t>
      </w:r>
      <w:r w:rsidR="009016DC">
        <w:rPr>
          <w:color w:val="000000"/>
          <w:szCs w:val="24"/>
          <w:lang w:eastAsia="en-GB"/>
        </w:rPr>
        <w:t xml:space="preserve">those </w:t>
      </w:r>
      <w:r w:rsidR="00D6405C">
        <w:rPr>
          <w:color w:val="000000"/>
          <w:szCs w:val="24"/>
          <w:lang w:eastAsia="en-GB"/>
        </w:rPr>
        <w:t>witnesses</w:t>
      </w:r>
      <w:r>
        <w:rPr>
          <w:color w:val="000000"/>
          <w:szCs w:val="24"/>
          <w:lang w:eastAsia="en-GB"/>
        </w:rPr>
        <w:t xml:space="preserve"> never appeared to testify before a court in the presence of the applicant.</w:t>
      </w:r>
    </w:p>
    <w:p w:rsidR="0019508A" w:rsidP="0019508A" w:rsidRDefault="0019508A">
      <w:pPr>
        <w:pStyle w:val="JuPara"/>
      </w:pPr>
      <w:r>
        <w:rPr>
          <w:color w:val="000000"/>
          <w:szCs w:val="24"/>
          <w:lang w:eastAsia="en-GB"/>
        </w:rPr>
        <w:fldChar w:fldCharType="begin"/>
      </w:r>
      <w:r>
        <w:rPr>
          <w:color w:val="000000"/>
          <w:szCs w:val="24"/>
          <w:lang w:eastAsia="en-GB"/>
        </w:rPr>
        <w:instrText xml:space="preserve"> SEQ level0 \*arabic </w:instrText>
      </w:r>
      <w:r>
        <w:rPr>
          <w:color w:val="000000"/>
          <w:szCs w:val="24"/>
          <w:lang w:eastAsia="en-GB"/>
        </w:rPr>
        <w:fldChar w:fldCharType="separate"/>
      </w:r>
      <w:r w:rsidR="00197D24">
        <w:rPr>
          <w:noProof/>
          <w:color w:val="000000"/>
          <w:szCs w:val="24"/>
          <w:lang w:eastAsia="en-GB"/>
        </w:rPr>
        <w:t>56</w:t>
      </w:r>
      <w:r>
        <w:rPr>
          <w:color w:val="000000"/>
          <w:szCs w:val="24"/>
          <w:lang w:eastAsia="en-GB"/>
        </w:rPr>
        <w:fldChar w:fldCharType="end"/>
      </w:r>
      <w:r>
        <w:rPr>
          <w:color w:val="000000"/>
          <w:szCs w:val="24"/>
          <w:lang w:eastAsia="en-GB"/>
        </w:rPr>
        <w:t>.  </w:t>
      </w:r>
      <w:r>
        <w:t xml:space="preserve">The </w:t>
      </w:r>
      <w:smartTag w:uri="urn:schemas-microsoft-com:office:smarttags" w:element="Street">
        <w:smartTag w:uri="urn:schemas-microsoft-com:office:smarttags" w:element="address">
          <w:r w:rsidR="00285795">
            <w:t>Regional Court</w:t>
          </w:r>
        </w:smartTag>
      </w:smartTag>
      <w:r w:rsidR="00285795">
        <w:t xml:space="preserve"> excused the remaining witnesses</w:t>
      </w:r>
      <w:r w:rsidR="004405A3">
        <w:t>, consider</w:t>
      </w:r>
      <w:r w:rsidR="002F6FF0">
        <w:t>ing</w:t>
      </w:r>
      <w:r w:rsidR="004405A3">
        <w:t xml:space="preserve"> their absence</w:t>
      </w:r>
      <w:r w:rsidR="00285795">
        <w:t xml:space="preserve"> </w:t>
      </w:r>
      <w:r w:rsidR="004405A3">
        <w:t xml:space="preserve">to be </w:t>
      </w:r>
      <w:r w:rsidR="00285795">
        <w:t xml:space="preserve">justified either in view of their personal </w:t>
      </w:r>
      <w:r w:rsidR="002F6FF0">
        <w:t>circumstances</w:t>
      </w:r>
      <w:r w:rsidR="00285795">
        <w:t xml:space="preserve"> or because Uzbek officials</w:t>
      </w:r>
      <w:r>
        <w:t xml:space="preserve"> </w:t>
      </w:r>
      <w:r w:rsidR="00285795">
        <w:t xml:space="preserve">had been </w:t>
      </w:r>
      <w:r>
        <w:t xml:space="preserve">unsuccessful in their attempts to </w:t>
      </w:r>
      <w:r w:rsidR="00285795">
        <w:t>find the</w:t>
      </w:r>
      <w:r w:rsidR="00E948FE">
        <w:t>m.</w:t>
      </w:r>
      <w:r w:rsidR="00C3647A">
        <w:t xml:space="preserve"> </w:t>
      </w:r>
      <w:r>
        <w:t>Regard being had to the circumstances of the case, the Court has serious doubts that the decision to accept the</w:t>
      </w:r>
      <w:r w:rsidR="00DA2AD0">
        <w:t xml:space="preserve"> explanations and </w:t>
      </w:r>
      <w:r w:rsidR="000B2892">
        <w:t xml:space="preserve">to </w:t>
      </w:r>
      <w:r w:rsidR="00DA2AD0">
        <w:t>excuse the</w:t>
      </w:r>
      <w:r>
        <w:t xml:space="preserve"> </w:t>
      </w:r>
      <w:r w:rsidR="00DA2AD0">
        <w:t>witnesses</w:t>
      </w:r>
      <w:r>
        <w:t xml:space="preserve"> </w:t>
      </w:r>
      <w:r w:rsidR="00DA2AD0">
        <w:t>could indeed be accepted as warranted</w:t>
      </w:r>
      <w:r>
        <w:t xml:space="preserve">. It considers that the </w:t>
      </w:r>
      <w:r w:rsidR="00DA2AD0">
        <w:t>Regional Court</w:t>
      </w:r>
      <w:r w:rsidR="008A5600">
        <w:t>’</w:t>
      </w:r>
      <w:r w:rsidR="00DA2AD0">
        <w:t>s</w:t>
      </w:r>
      <w:r>
        <w:t xml:space="preserve"> review</w:t>
      </w:r>
      <w:r w:rsidR="00DA2AD0">
        <w:t xml:space="preserve"> of the </w:t>
      </w:r>
      <w:r>
        <w:t xml:space="preserve">reasons </w:t>
      </w:r>
      <w:r w:rsidR="00DA2AD0">
        <w:t>for the witnesses</w:t>
      </w:r>
      <w:r w:rsidR="008A5600">
        <w:t>’</w:t>
      </w:r>
      <w:r w:rsidR="00DA2AD0">
        <w:t xml:space="preserve"> absence was</w:t>
      </w:r>
      <w:r w:rsidR="0024373F">
        <w:t xml:space="preserve"> not convincing</w:t>
      </w:r>
      <w:r>
        <w:t xml:space="preserve">. Whilst such reasons as </w:t>
      </w:r>
      <w:r w:rsidR="00DA2AD0">
        <w:t xml:space="preserve">inability to bear the costs of travel to </w:t>
      </w:r>
      <w:smartTag w:uri="urn:schemas-microsoft-com:office:smarttags" w:element="place">
        <w:smartTag w:uri="urn:schemas-microsoft-com:office:smarttags" w:element="country-region">
          <w:r w:rsidR="00DA2AD0">
            <w:t>Russia</w:t>
          </w:r>
        </w:smartTag>
      </w:smartTag>
      <w:r>
        <w:t xml:space="preserve">, </w:t>
      </w:r>
      <w:r w:rsidR="00DA2AD0">
        <w:t>poor health</w:t>
      </w:r>
      <w:r>
        <w:t xml:space="preserve"> or </w:t>
      </w:r>
      <w:r w:rsidR="002F6FF0">
        <w:t xml:space="preserve">a </w:t>
      </w:r>
      <w:r w:rsidR="00DA2AD0">
        <w:t>difficult family situation</w:t>
      </w:r>
      <w:r>
        <w:t xml:space="preserve"> </w:t>
      </w:r>
      <w:r w:rsidR="00DA2AD0">
        <w:t>are relevant, the trial court</w:t>
      </w:r>
      <w:r>
        <w:t xml:space="preserve"> did not go into the specific circumstances of the situation of each witness</w:t>
      </w:r>
      <w:r w:rsidR="002F6FF0">
        <w:t>,</w:t>
      </w:r>
      <w:r>
        <w:t xml:space="preserve"> and failed to examine whether any alternative means of securing their depositions in person would have been possible and sufficient. </w:t>
      </w:r>
      <w:r w:rsidR="0024373F">
        <w:t>It also does not escape the Court</w:t>
      </w:r>
      <w:r w:rsidR="008A5600">
        <w:t>’</w:t>
      </w:r>
      <w:r w:rsidR="0024373F">
        <w:t>s attention that</w:t>
      </w:r>
      <w:r w:rsidR="0080639B">
        <w:t xml:space="preserve"> under the relevant provisions of</w:t>
      </w:r>
      <w:r w:rsidR="0024373F">
        <w:t xml:space="preserve"> the Russian law </w:t>
      </w:r>
      <w:r w:rsidR="002A3030">
        <w:t xml:space="preserve">witnesses </w:t>
      </w:r>
      <w:r w:rsidR="0080639B">
        <w:t>were afforded</w:t>
      </w:r>
      <w:r w:rsidR="002A3030">
        <w:t xml:space="preserve"> a right to claim reimbursement of costs and expenses, including those of travel, incurred as a result of their participation in criminal proceedings</w:t>
      </w:r>
      <w:r w:rsidR="0024373F">
        <w:t xml:space="preserve"> (see paragraph</w:t>
      </w:r>
      <w:r w:rsidR="002A3030">
        <w:t xml:space="preserve">s </w:t>
      </w:r>
      <w:r w:rsidR="002A3030">
        <w:fldChar w:fldCharType="begin"/>
      </w:r>
      <w:r w:rsidR="002A3030">
        <w:instrText xml:space="preserve"> REF  minskconv </w:instrText>
      </w:r>
      <w:r w:rsidR="002A3030">
        <w:fldChar w:fldCharType="separate"/>
      </w:r>
      <w:r w:rsidR="00197D24">
        <w:rPr>
          <w:noProof/>
        </w:rPr>
        <w:t>35</w:t>
      </w:r>
      <w:r w:rsidR="002A3030">
        <w:fldChar w:fldCharType="end"/>
      </w:r>
      <w:r w:rsidR="002A3030">
        <w:t xml:space="preserve"> and </w:t>
      </w:r>
      <w:r w:rsidR="002A3030">
        <w:fldChar w:fldCharType="begin"/>
      </w:r>
      <w:r w:rsidR="002A3030">
        <w:instrText xml:space="preserve"> REF  crimlaw </w:instrText>
      </w:r>
      <w:r w:rsidR="002A3030">
        <w:fldChar w:fldCharType="separate"/>
      </w:r>
      <w:r w:rsidR="00197D24">
        <w:rPr>
          <w:noProof/>
        </w:rPr>
        <w:t>37</w:t>
      </w:r>
      <w:r w:rsidR="002A3030">
        <w:fldChar w:fldCharType="end"/>
      </w:r>
      <w:r w:rsidR="002A3030">
        <w:t xml:space="preserve"> above).</w:t>
      </w:r>
      <w:r w:rsidR="0024373F">
        <w:t xml:space="preserve"> </w:t>
      </w:r>
      <w:r w:rsidR="002A3030">
        <w:t>The Court</w:t>
      </w:r>
      <w:r w:rsidR="00ED4D98">
        <w:t xml:space="preserve"> reiterates that paragraph 1 of Article 6 taken together with paragraph 3 requires the State to take positive steps, in particular to enable the accused to examine or have examined witnesses against him. Such measures form part of the diligence which the Contracting States must exercise in order to ensure that the rights guaranteed by Article 6 are enjoyed in an effective manner (see </w:t>
      </w:r>
      <w:proofErr w:type="spellStart"/>
      <w:r w:rsidR="00ED4D98">
        <w:rPr>
          <w:rStyle w:val="ju-005fpara-002cleft-002cfirst-0020line-003a-0020-00200-0020cm--char"/>
          <w:i/>
          <w:iCs/>
        </w:rPr>
        <w:t>Sadak</w:t>
      </w:r>
      <w:proofErr w:type="spellEnd"/>
      <w:r w:rsidR="00ED4D98">
        <w:rPr>
          <w:rStyle w:val="ju-005fpara-002cleft-002cfirst-0020line-003a-0020-00200-0020cm--char"/>
          <w:i/>
          <w:iCs/>
        </w:rPr>
        <w:t xml:space="preserve"> and Others v. Turkey</w:t>
      </w:r>
      <w:r w:rsidR="00ED4D98">
        <w:t>, nos. 29900/96, 29901/96, 29902/96 and 29903/96, § 67, ECHR 2001-VIII).</w:t>
      </w:r>
      <w:r w:rsidR="000B2892">
        <w:t xml:space="preserve"> The Court is concerned with the Regional Court</w:t>
      </w:r>
      <w:r w:rsidR="008A5600">
        <w:t>’</w:t>
      </w:r>
      <w:r w:rsidR="000B2892">
        <w:t xml:space="preserve">s failure to look beyond the </w:t>
      </w:r>
      <w:r w:rsidR="009F2386">
        <w:t>ordinary</w:t>
      </w:r>
      <w:r w:rsidR="000B2892">
        <w:t xml:space="preserve"> means of securing the right of the defence to cross-examine witnesses</w:t>
      </w:r>
      <w:r w:rsidR="009F2386">
        <w:t>, for instance</w:t>
      </w:r>
      <w:r w:rsidR="000B2892">
        <w:t xml:space="preserve"> </w:t>
      </w:r>
      <w:r w:rsidR="009F2386">
        <w:t xml:space="preserve">by </w:t>
      </w:r>
      <w:r w:rsidR="002F6FF0">
        <w:t xml:space="preserve">setting up </w:t>
      </w:r>
      <w:r w:rsidR="000B2892">
        <w:t>a meeting between the applicant</w:t>
      </w:r>
      <w:r w:rsidR="008A5600">
        <w:t>’</w:t>
      </w:r>
      <w:r w:rsidR="000B2892">
        <w:t>s lawyer and witnesses in Uzbekistan (see</w:t>
      </w:r>
      <w:r w:rsidR="002A3030">
        <w:t xml:space="preserve"> paragraph </w:t>
      </w:r>
      <w:r w:rsidR="002A3030">
        <w:fldChar w:fldCharType="begin"/>
      </w:r>
      <w:r w:rsidR="002A3030">
        <w:instrText xml:space="preserve"> REF  domesticlawnew </w:instrText>
      </w:r>
      <w:r w:rsidR="002A3030">
        <w:fldChar w:fldCharType="separate"/>
      </w:r>
      <w:r w:rsidR="00197D24">
        <w:rPr>
          <w:noProof/>
        </w:rPr>
        <w:t>34</w:t>
      </w:r>
      <w:r w:rsidR="002A3030">
        <w:fldChar w:fldCharType="end"/>
      </w:r>
      <w:r w:rsidR="002A3030">
        <w:t xml:space="preserve"> above and, </w:t>
      </w:r>
      <w:r w:rsidRPr="002A3030" w:rsidR="002A3030">
        <w:rPr>
          <w:i/>
        </w:rPr>
        <w:t>mutatis mutandis</w:t>
      </w:r>
      <w:r w:rsidR="002A3030">
        <w:t xml:space="preserve">, </w:t>
      </w:r>
      <w:proofErr w:type="spellStart"/>
      <w:r w:rsidRPr="000B2892" w:rsidR="000B2892">
        <w:rPr>
          <w:i/>
          <w:lang w:eastAsia="en-US"/>
        </w:rPr>
        <w:t>Mirilashvili</w:t>
      </w:r>
      <w:proofErr w:type="spellEnd"/>
      <w:r w:rsidRPr="000B2892" w:rsidR="000B2892">
        <w:rPr>
          <w:i/>
          <w:lang w:eastAsia="en-US"/>
        </w:rPr>
        <w:t xml:space="preserve"> v.</w:t>
      </w:r>
      <w:r w:rsidR="0071469A">
        <w:rPr>
          <w:i/>
          <w:lang w:eastAsia="en-US"/>
        </w:rPr>
        <w:t> </w:t>
      </w:r>
      <w:smartTag w:uri="urn:schemas-microsoft-com:office:smarttags" w:element="country-region">
        <w:r w:rsidR="000B2892" w:rsidRPr="000B2892">
          <w:rPr>
            <w:i/>
            <w:lang w:eastAsia="en-US"/>
          </w:rPr>
          <w:t>Russia</w:t>
        </w:r>
      </w:smartTag>
      <w:r w:rsidRPr="000B2892" w:rsidR="000B2892">
        <w:rPr>
          <w:lang w:eastAsia="en-US"/>
        </w:rPr>
        <w:t xml:space="preserve">, no. 6293/04, § </w:t>
      </w:r>
      <w:r w:rsidR="000B2892">
        <w:rPr>
          <w:lang w:eastAsia="en-US"/>
        </w:rPr>
        <w:t>223</w:t>
      </w:r>
      <w:r w:rsidRPr="000B2892" w:rsidR="000B2892">
        <w:rPr>
          <w:lang w:eastAsia="en-US"/>
        </w:rPr>
        <w:t>, 11</w:t>
      </w:r>
      <w:r w:rsidR="002A3030">
        <w:rPr>
          <w:lang w:eastAsia="en-US"/>
        </w:rPr>
        <w:t> </w:t>
      </w:r>
      <w:r w:rsidRPr="000B2892" w:rsidR="000B2892">
        <w:rPr>
          <w:lang w:eastAsia="en-US"/>
        </w:rPr>
        <w:t>December 2008</w:t>
      </w:r>
      <w:r w:rsidR="009F2386">
        <w:rPr>
          <w:lang w:eastAsia="en-US"/>
        </w:rPr>
        <w:t>) or using</w:t>
      </w:r>
      <w:r w:rsidR="000B2892">
        <w:rPr>
          <w:lang w:eastAsia="en-US"/>
        </w:rPr>
        <w:t xml:space="preserve"> modern means of </w:t>
      </w:r>
      <w:r w:rsidR="009F2386">
        <w:t xml:space="preserve">audio-visual </w:t>
      </w:r>
      <w:r w:rsidR="000B2892">
        <w:rPr>
          <w:lang w:eastAsia="en-US"/>
        </w:rPr>
        <w:t xml:space="preserve">communication to </w:t>
      </w:r>
      <w:r w:rsidR="009F2386">
        <w:rPr>
          <w:lang w:eastAsia="en-US"/>
        </w:rPr>
        <w:t>afford the defence an opportunity to put questions to the witnesses. Furthermore, w</w:t>
      </w:r>
      <w:r w:rsidR="009F2386">
        <w:t xml:space="preserve">hile the Court understands </w:t>
      </w:r>
      <w:r w:rsidR="00E948FE">
        <w:t xml:space="preserve">the </w:t>
      </w:r>
      <w:r w:rsidR="009F2386">
        <w:t xml:space="preserve">difficulties encountered by the authorities in terms of resources, it does not consider that reimbursing travel costs and expenses to </w:t>
      </w:r>
      <w:r w:rsidR="00D22670">
        <w:t xml:space="preserve">the key witnesses for them to appear before the trial court </w:t>
      </w:r>
      <w:r w:rsidR="009F2386">
        <w:t>would have constituted an insuperable obstacle (see</w:t>
      </w:r>
      <w:r w:rsidR="00D22670">
        <w:t xml:space="preserve"> </w:t>
      </w:r>
      <w:proofErr w:type="spellStart"/>
      <w:r w:rsidRPr="00D22670" w:rsidR="00D22670">
        <w:rPr>
          <w:i/>
          <w:lang w:eastAsia="en-US"/>
        </w:rPr>
        <w:t>Krivoshapkin</w:t>
      </w:r>
      <w:proofErr w:type="spellEnd"/>
      <w:r w:rsidRPr="00D22670" w:rsidR="00D22670">
        <w:rPr>
          <w:lang w:eastAsia="en-US"/>
        </w:rPr>
        <w:t xml:space="preserve">, </w:t>
      </w:r>
      <w:r w:rsidR="00683FAE">
        <w:rPr>
          <w:lang w:eastAsia="en-US"/>
        </w:rPr>
        <w:t>cited above</w:t>
      </w:r>
      <w:r w:rsidRPr="00D22670" w:rsidR="00D22670">
        <w:rPr>
          <w:snapToGrid w:val="0"/>
          <w:lang w:val="pt-BR" w:eastAsia="en-US"/>
        </w:rPr>
        <w:t xml:space="preserve">, § </w:t>
      </w:r>
      <w:r w:rsidR="00D22670">
        <w:rPr>
          <w:snapToGrid w:val="0"/>
          <w:lang w:val="pt-BR" w:eastAsia="en-US"/>
        </w:rPr>
        <w:t>60, with further references</w:t>
      </w:r>
      <w:r w:rsidR="009F2386">
        <w:t>).</w:t>
      </w:r>
      <w:r w:rsidR="000B0500">
        <w:t xml:space="preserve"> Having regard to the above considerations, the Court finds that </w:t>
      </w:r>
      <w:r>
        <w:t xml:space="preserve">the decision to excuse witnesses </w:t>
      </w:r>
      <w:r w:rsidR="00405B73">
        <w:t xml:space="preserve">from appearing </w:t>
      </w:r>
      <w:r>
        <w:t>was not sufficiently convincing</w:t>
      </w:r>
      <w:r w:rsidR="00405B73">
        <w:t>,</w:t>
      </w:r>
      <w:r>
        <w:t xml:space="preserve"> and that the authorities failed to take reasonable measures to secure their attendance at the trial.</w:t>
      </w:r>
    </w:p>
    <w:p w:rsidR="005E089F" w:rsidP="005E089F" w:rsidRDefault="005E089F">
      <w:pPr>
        <w:pStyle w:val="JuPara"/>
      </w:pPr>
      <w:r>
        <w:rPr>
          <w:color w:val="000000"/>
          <w:szCs w:val="24"/>
          <w:lang w:eastAsia="en-GB"/>
        </w:rPr>
        <w:fldChar w:fldCharType="begin"/>
      </w:r>
      <w:r>
        <w:rPr>
          <w:color w:val="000000"/>
          <w:szCs w:val="24"/>
          <w:lang w:eastAsia="en-GB"/>
        </w:rPr>
        <w:instrText xml:space="preserve"> SEQ level0 \*arabic </w:instrText>
      </w:r>
      <w:r>
        <w:rPr>
          <w:color w:val="000000"/>
          <w:szCs w:val="24"/>
          <w:lang w:eastAsia="en-GB"/>
        </w:rPr>
        <w:fldChar w:fldCharType="separate"/>
      </w:r>
      <w:r w:rsidR="00197D24">
        <w:rPr>
          <w:noProof/>
          <w:color w:val="000000"/>
          <w:szCs w:val="24"/>
          <w:lang w:eastAsia="en-GB"/>
        </w:rPr>
        <w:t>57</w:t>
      </w:r>
      <w:r>
        <w:rPr>
          <w:color w:val="000000"/>
          <w:szCs w:val="24"/>
          <w:lang w:eastAsia="en-GB"/>
        </w:rPr>
        <w:fldChar w:fldCharType="end"/>
      </w:r>
      <w:r w:rsidR="00683FAE">
        <w:rPr>
          <w:color w:val="000000"/>
          <w:szCs w:val="24"/>
          <w:lang w:eastAsia="en-GB"/>
        </w:rPr>
        <w:t>.  The Court would also like to address the Government</w:t>
      </w:r>
      <w:r w:rsidR="008A5600">
        <w:rPr>
          <w:color w:val="000000"/>
          <w:szCs w:val="24"/>
          <w:lang w:eastAsia="en-GB"/>
        </w:rPr>
        <w:t>’</w:t>
      </w:r>
      <w:r w:rsidR="00683FAE">
        <w:rPr>
          <w:color w:val="000000"/>
          <w:szCs w:val="24"/>
          <w:lang w:eastAsia="en-GB"/>
        </w:rPr>
        <w:t>s argument regarding the fact that those witnesses whom the Uzbek authorities had been able to contact on the Regional Court</w:t>
      </w:r>
      <w:r w:rsidR="008A5600">
        <w:rPr>
          <w:color w:val="000000"/>
          <w:szCs w:val="24"/>
          <w:lang w:eastAsia="en-GB"/>
        </w:rPr>
        <w:t>’</w:t>
      </w:r>
      <w:r w:rsidR="00683FAE">
        <w:rPr>
          <w:color w:val="000000"/>
          <w:szCs w:val="24"/>
          <w:lang w:eastAsia="en-GB"/>
        </w:rPr>
        <w:t xml:space="preserve">s </w:t>
      </w:r>
      <w:r w:rsidR="009016DC">
        <w:rPr>
          <w:color w:val="000000"/>
          <w:szCs w:val="24"/>
          <w:lang w:eastAsia="en-GB"/>
        </w:rPr>
        <w:t>behalf</w:t>
      </w:r>
      <w:r w:rsidR="00683FAE">
        <w:rPr>
          <w:color w:val="000000"/>
          <w:szCs w:val="24"/>
          <w:lang w:eastAsia="en-GB"/>
        </w:rPr>
        <w:t xml:space="preserve"> had entirely corroborated their statements given on previous occasions. The Court finds it of relevance that t</w:t>
      </w:r>
      <w:r>
        <w:rPr>
          <w:color w:val="000000"/>
          <w:szCs w:val="24"/>
          <w:lang w:eastAsia="en-GB"/>
        </w:rPr>
        <w:t xml:space="preserve">he applicant was </w:t>
      </w:r>
      <w:r w:rsidR="00683FAE">
        <w:rPr>
          <w:color w:val="000000"/>
          <w:szCs w:val="24"/>
          <w:lang w:eastAsia="en-GB"/>
        </w:rPr>
        <w:t>never</w:t>
      </w:r>
      <w:r>
        <w:rPr>
          <w:color w:val="000000"/>
          <w:szCs w:val="24"/>
          <w:lang w:eastAsia="en-GB"/>
        </w:rPr>
        <w:t xml:space="preserve"> provided with an opportunity to follow </w:t>
      </w:r>
      <w:r w:rsidR="00E948FE">
        <w:rPr>
          <w:color w:val="000000"/>
          <w:szCs w:val="24"/>
          <w:lang w:eastAsia="en-GB"/>
        </w:rPr>
        <w:t xml:space="preserve">up </w:t>
      </w:r>
      <w:r>
        <w:rPr>
          <w:color w:val="000000"/>
          <w:szCs w:val="24"/>
          <w:lang w:eastAsia="en-GB"/>
        </w:rPr>
        <w:t xml:space="preserve">the manner in which </w:t>
      </w:r>
      <w:r w:rsidR="00683FAE">
        <w:rPr>
          <w:color w:val="000000"/>
          <w:szCs w:val="24"/>
          <w:lang w:eastAsia="en-GB"/>
        </w:rPr>
        <w:t>the witnesses</w:t>
      </w:r>
      <w:r>
        <w:rPr>
          <w:color w:val="000000"/>
          <w:szCs w:val="24"/>
          <w:lang w:eastAsia="en-GB"/>
        </w:rPr>
        <w:t xml:space="preserve"> </w:t>
      </w:r>
      <w:r w:rsidR="00683FAE">
        <w:rPr>
          <w:color w:val="000000"/>
          <w:szCs w:val="24"/>
          <w:lang w:eastAsia="en-GB"/>
        </w:rPr>
        <w:t>had been</w:t>
      </w:r>
      <w:r>
        <w:rPr>
          <w:color w:val="000000"/>
          <w:szCs w:val="24"/>
          <w:lang w:eastAsia="en-GB"/>
        </w:rPr>
        <w:t xml:space="preserve"> </w:t>
      </w:r>
      <w:r w:rsidR="00405B73">
        <w:rPr>
          <w:color w:val="000000"/>
          <w:szCs w:val="24"/>
          <w:lang w:eastAsia="en-GB"/>
        </w:rPr>
        <w:t>questioned</w:t>
      </w:r>
      <w:r>
        <w:rPr>
          <w:color w:val="000000"/>
          <w:szCs w:val="24"/>
          <w:lang w:eastAsia="en-GB"/>
        </w:rPr>
        <w:t xml:space="preserve"> by the investigator</w:t>
      </w:r>
      <w:r w:rsidR="00412767">
        <w:rPr>
          <w:color w:val="000000"/>
          <w:szCs w:val="24"/>
          <w:lang w:eastAsia="en-GB"/>
        </w:rPr>
        <w:t xml:space="preserve"> or to test the credibility of his accusers and the reliability of their statements during </w:t>
      </w:r>
      <w:r w:rsidR="00405B73">
        <w:rPr>
          <w:color w:val="000000"/>
          <w:szCs w:val="24"/>
          <w:lang w:eastAsia="en-GB"/>
        </w:rPr>
        <w:t>a</w:t>
      </w:r>
      <w:r w:rsidR="00412767">
        <w:rPr>
          <w:color w:val="000000"/>
          <w:szCs w:val="24"/>
          <w:lang w:eastAsia="en-GB"/>
        </w:rPr>
        <w:t xml:space="preserve"> face-to-face confrontation</w:t>
      </w:r>
      <w:r>
        <w:rPr>
          <w:color w:val="000000"/>
          <w:szCs w:val="24"/>
          <w:lang w:eastAsia="en-GB"/>
        </w:rPr>
        <w:t xml:space="preserve">. </w:t>
      </w:r>
      <w:r>
        <w:t xml:space="preserve">Furthermore, as </w:t>
      </w:r>
      <w:r w:rsidR="00683FAE">
        <w:t>the witnesses</w:t>
      </w:r>
      <w:r w:rsidR="008A5600">
        <w:t>’</w:t>
      </w:r>
      <w:r>
        <w:t xml:space="preserve"> statements to the investigator were not recorded on video, neither the applicant nor the ju</w:t>
      </w:r>
      <w:r w:rsidR="009016DC">
        <w:t>ry</w:t>
      </w:r>
      <w:r>
        <w:t xml:space="preserve"> </w:t>
      </w:r>
      <w:r w:rsidR="00405B73">
        <w:t>was</w:t>
      </w:r>
      <w:r>
        <w:t xml:space="preserve"> able to observe </w:t>
      </w:r>
      <w:r w:rsidR="00683FAE">
        <w:t>their</w:t>
      </w:r>
      <w:r>
        <w:t xml:space="preserve"> demeanour under questioning and thus form their own impression of </w:t>
      </w:r>
      <w:r w:rsidR="00683FAE">
        <w:t>their</w:t>
      </w:r>
      <w:r>
        <w:t xml:space="preserve"> reliability (see, </w:t>
      </w:r>
      <w:r>
        <w:rPr>
          <w:rStyle w:val="ju-005fpara--char"/>
          <w:i/>
          <w:iCs/>
        </w:rPr>
        <w:t>a</w:t>
      </w:r>
      <w:r w:rsidR="0071469A">
        <w:rPr>
          <w:rStyle w:val="ju-005fpara--char"/>
          <w:i/>
          <w:iCs/>
        </w:rPr>
        <w:t> </w:t>
      </w:r>
      <w:proofErr w:type="spellStart"/>
      <w:r>
        <w:rPr>
          <w:rStyle w:val="ju-005fpara--char"/>
          <w:i/>
          <w:iCs/>
        </w:rPr>
        <w:t>contrario</w:t>
      </w:r>
      <w:proofErr w:type="spellEnd"/>
      <w:r>
        <w:t xml:space="preserve">, </w:t>
      </w:r>
      <w:proofErr w:type="spellStart"/>
      <w:r>
        <w:rPr>
          <w:rStyle w:val="ju-005fpara--char"/>
          <w:i/>
          <w:iCs/>
        </w:rPr>
        <w:t>Accardi</w:t>
      </w:r>
      <w:proofErr w:type="spellEnd"/>
      <w:r>
        <w:rPr>
          <w:rStyle w:val="ju-005fpara--char"/>
          <w:i/>
          <w:iCs/>
        </w:rPr>
        <w:t xml:space="preserve"> and Others v. Italy </w:t>
      </w:r>
      <w:r>
        <w:t>(</w:t>
      </w:r>
      <w:proofErr w:type="spellStart"/>
      <w:r>
        <w:t>dec.</w:t>
      </w:r>
      <w:proofErr w:type="spellEnd"/>
      <w:r>
        <w:t>), no. 30598/02, ECHR</w:t>
      </w:r>
      <w:r w:rsidR="0071469A">
        <w:t> </w:t>
      </w:r>
      <w:r>
        <w:t>2005</w:t>
      </w:r>
      <w:r w:rsidR="0071469A">
        <w:noBreakHyphen/>
      </w:r>
      <w:r w:rsidR="00412767">
        <w:t>II</w:t>
      </w:r>
      <w:r>
        <w:t xml:space="preserve">). The Court does not doubt that the domestic courts undertook a careful examination of </w:t>
      </w:r>
      <w:r w:rsidR="00683FAE">
        <w:t>the witnesses</w:t>
      </w:r>
      <w:r w:rsidR="008A5600">
        <w:t>’</w:t>
      </w:r>
      <w:r>
        <w:t xml:space="preserve"> statements</w:t>
      </w:r>
      <w:r w:rsidR="00412767">
        <w:t xml:space="preserve">, </w:t>
      </w:r>
      <w:r w:rsidR="003527B6">
        <w:t>took into account the fact that they had not changed their account of events</w:t>
      </w:r>
      <w:r w:rsidR="00405B73">
        <w:t>,</w:t>
      </w:r>
      <w:r>
        <w:t xml:space="preserve"> and gave the applicant an opportunity to contest them at the trial, but this can scarcely be regarded as a proper substitute for a personal observation of the leading witness</w:t>
      </w:r>
      <w:r w:rsidR="00683FAE">
        <w:t>es</w:t>
      </w:r>
      <w:r>
        <w:t xml:space="preserve"> giving oral evidence (see </w:t>
      </w:r>
      <w:r w:rsidR="00683FAE">
        <w:rPr>
          <w:i/>
          <w:lang w:eastAsia="en-US"/>
        </w:rPr>
        <w:t>Vladimir Romanov</w:t>
      </w:r>
      <w:r w:rsidRPr="00D3130E">
        <w:rPr>
          <w:lang w:eastAsia="en-US"/>
        </w:rPr>
        <w:t xml:space="preserve">, </w:t>
      </w:r>
      <w:r>
        <w:rPr>
          <w:lang w:eastAsia="en-US"/>
        </w:rPr>
        <w:t>cited above</w:t>
      </w:r>
      <w:r w:rsidRPr="00D3130E">
        <w:rPr>
          <w:lang w:eastAsia="en-US"/>
        </w:rPr>
        <w:t>, § </w:t>
      </w:r>
      <w:r w:rsidR="009A3CA9">
        <w:rPr>
          <w:lang w:eastAsia="en-US"/>
        </w:rPr>
        <w:t>105</w:t>
      </w:r>
      <w:r>
        <w:rPr>
          <w:lang w:eastAsia="en-US"/>
        </w:rPr>
        <w:t>)</w:t>
      </w:r>
      <w:r>
        <w:t>.</w:t>
      </w:r>
    </w:p>
    <w:p w:rsidR="005A63E1" w:rsidP="005E089F" w:rsidRDefault="005E089F">
      <w:pPr>
        <w:pStyle w:val="JuPara"/>
      </w:pPr>
      <w:r>
        <w:fldChar w:fldCharType="begin"/>
      </w:r>
      <w:r>
        <w:instrText xml:space="preserve"> SEQ level0 \*arabic </w:instrText>
      </w:r>
      <w:r>
        <w:fldChar w:fldCharType="separate"/>
      </w:r>
      <w:r w:rsidR="00197D24">
        <w:rPr>
          <w:noProof/>
        </w:rPr>
        <w:t>58</w:t>
      </w:r>
      <w:r>
        <w:fldChar w:fldCharType="end"/>
      </w:r>
      <w:r>
        <w:t xml:space="preserve">.  In these circumstances, the Court finds that the applicant cannot be regarded as having had a proper and adequate opportunity to challenge </w:t>
      </w:r>
      <w:r w:rsidR="00683FAE">
        <w:t>the witnesses</w:t>
      </w:r>
      <w:r w:rsidR="008A5600">
        <w:t>’</w:t>
      </w:r>
      <w:r>
        <w:t xml:space="preserve"> statements, which were of decisive importance for his conviction and consequently he did not have a fair trial.  There has thus been a violation of Article 6 § 1 taken together with Article 6 § 3 (d) on that account.</w:t>
      </w:r>
    </w:p>
    <w:p w:rsidR="005A63E1" w:rsidP="000B04F2" w:rsidRDefault="000B04F2">
      <w:pPr>
        <w:pStyle w:val="JuH1"/>
      </w:pPr>
      <w:r>
        <w:t>2.  Other alleged violations of Article 6 of the Convention</w:t>
      </w:r>
    </w:p>
    <w:p w:rsidR="005A63E1" w:rsidP="00465226" w:rsidRDefault="006C5B93">
      <w:pPr>
        <w:pStyle w:val="JuPara"/>
      </w:pPr>
      <w:r w:rsidRPr="006C5B93">
        <w:fldChar w:fldCharType="begin"/>
      </w:r>
      <w:r w:rsidRPr="006C5B93">
        <w:instrText xml:space="preserve"> SEQ level0 \*arabic </w:instrText>
      </w:r>
      <w:r w:rsidRPr="006C5B93">
        <w:fldChar w:fldCharType="separate"/>
      </w:r>
      <w:r w:rsidR="00197D24">
        <w:rPr>
          <w:noProof/>
        </w:rPr>
        <w:t>59</w:t>
      </w:r>
      <w:r w:rsidRPr="006C5B93">
        <w:fldChar w:fldCharType="end"/>
      </w:r>
      <w:r w:rsidRPr="006C5B93" w:rsidR="00F71A6A">
        <w:t>.  </w:t>
      </w:r>
      <w:r w:rsidR="000B04F2">
        <w:t xml:space="preserve">The Court reiterates that the applicant raised additional complaints under </w:t>
      </w:r>
      <w:r w:rsidR="00E65F84">
        <w:t xml:space="preserve">Article 6 of the Convention, </w:t>
      </w:r>
      <w:r w:rsidR="000B04F2">
        <w:t>having alleged various procedural violations on the part of the trial court, including those that called into question its composition and partiality</w:t>
      </w:r>
      <w:r w:rsidRPr="006C5B93" w:rsidR="00F71A6A">
        <w:t>.</w:t>
      </w:r>
      <w:r w:rsidR="00E65F84">
        <w:t xml:space="preserve"> In this connection the Court reiterates its finding that the fairness of the criminal proceedings against the applicant was undermined by the limitations imposed on the rights of the defence due to the absence of an opportunity to confront the witnesses. It therefore considers it unnecessary to examine separately whether the fairness of the proceedings was also breached in view of other irregularities complained of by the </w:t>
      </w:r>
      <w:r w:rsidR="0002071A">
        <w:t>applicant</w:t>
      </w:r>
      <w:r w:rsidR="00E65F84">
        <w:t xml:space="preserve"> (see </w:t>
      </w:r>
      <w:proofErr w:type="spellStart"/>
      <w:r w:rsidR="00E65F84">
        <w:rPr>
          <w:rStyle w:val="ju-005fpara--char"/>
          <w:i/>
          <w:iCs/>
        </w:rPr>
        <w:t>Komanický</w:t>
      </w:r>
      <w:proofErr w:type="spellEnd"/>
      <w:r w:rsidR="00E65F84">
        <w:rPr>
          <w:rStyle w:val="ju-005fpara--char"/>
          <w:i/>
          <w:iCs/>
        </w:rPr>
        <w:t xml:space="preserve"> v. Slovakia</w:t>
      </w:r>
      <w:r w:rsidR="00E65F84">
        <w:t>, no. 32106/96, § 56, 4 June 2002).</w:t>
      </w:r>
    </w:p>
    <w:p w:rsidRPr="00485D33" w:rsidR="0024373F" w:rsidP="0024373F" w:rsidRDefault="00465226">
      <w:pPr>
        <w:pStyle w:val="JuHIRoman"/>
      </w:pPr>
      <w:r>
        <w:t>I</w:t>
      </w:r>
      <w:r w:rsidRPr="00485D33" w:rsidR="0024373F">
        <w:t>I.  THE GOVERNMENT</w:t>
      </w:r>
      <w:r w:rsidR="008A5600">
        <w:t>’</w:t>
      </w:r>
      <w:r w:rsidRPr="00485D33" w:rsidR="0024373F">
        <w:t xml:space="preserve">S COMPLIANCE WITH </w:t>
      </w:r>
      <w:bookmarkStart w:name="HIT33" w:id="23"/>
      <w:bookmarkEnd w:id="23"/>
      <w:r w:rsidRPr="00485D33" w:rsidR="0024373F">
        <w:rPr>
          <w:bCs/>
        </w:rPr>
        <w:t>ARTICLE</w:t>
      </w:r>
      <w:r w:rsidRPr="00485D33" w:rsidR="0024373F">
        <w:t xml:space="preserve"> </w:t>
      </w:r>
      <w:bookmarkStart w:name="HIT34" w:id="24"/>
      <w:bookmarkEnd w:id="24"/>
      <w:r w:rsidRPr="00485D33" w:rsidR="0024373F">
        <w:rPr>
          <w:bCs/>
        </w:rPr>
        <w:t>38</w:t>
      </w:r>
      <w:r w:rsidRPr="00485D33" w:rsidR="0024373F">
        <w:t xml:space="preserve"> OF THE </w:t>
      </w:r>
      <w:bookmarkStart w:name="HIT35" w:id="25"/>
      <w:bookmarkEnd w:id="25"/>
      <w:r w:rsidRPr="00485D33" w:rsidR="0024373F">
        <w:rPr>
          <w:bCs/>
        </w:rPr>
        <w:t>CONVENTION</w:t>
      </w:r>
    </w:p>
    <w:bookmarkStart w:name="01000015" w:id="26"/>
    <w:bookmarkEnd w:id="26"/>
    <w:p w:rsidR="0024373F" w:rsidP="0024373F" w:rsidRDefault="00465226">
      <w:pPr>
        <w:pStyle w:val="JuPara"/>
      </w:pPr>
      <w:r>
        <w:fldChar w:fldCharType="begin"/>
      </w:r>
      <w:r>
        <w:instrText xml:space="preserve"> SEQ level0 \*arabic </w:instrText>
      </w:r>
      <w:r>
        <w:fldChar w:fldCharType="separate"/>
      </w:r>
      <w:r w:rsidR="00197D24">
        <w:rPr>
          <w:noProof/>
        </w:rPr>
        <w:t>60</w:t>
      </w:r>
      <w:r>
        <w:fldChar w:fldCharType="end"/>
      </w:r>
      <w:r>
        <w:t>.  </w:t>
      </w:r>
      <w:r w:rsidR="0024373F">
        <w:t>Relying on Article 38 of the Convention, the applicant alleged that the Government had not cooperated sufficiently with the Court. The relevant provisions of Article 38 § 1, as they stood at the material time, read as follows:</w:t>
      </w:r>
    </w:p>
    <w:p w:rsidR="0024373F" w:rsidP="0024373F" w:rsidRDefault="0024373F">
      <w:pPr>
        <w:pStyle w:val="JuQuot"/>
      </w:pPr>
      <w:r>
        <w:t>“If the Court declares the application admissible, it shall</w:t>
      </w:r>
    </w:p>
    <w:p w:rsidR="0024373F" w:rsidP="0024373F" w:rsidRDefault="0024373F">
      <w:pPr>
        <w:pStyle w:val="JuQuot"/>
      </w:pPr>
      <w:r>
        <w:t>(a)  pursue the examination of the case, together with the representatives of the parties, and if need be, undertake an investigation, for the effective conduct of which the States concerned shall furnish all necessary facilities;”</w:t>
      </w:r>
    </w:p>
    <w:p w:rsidR="0024373F" w:rsidP="0024373F" w:rsidRDefault="0024373F">
      <w:pPr>
        <w:pStyle w:val="JuPara"/>
      </w:pPr>
      <w:r>
        <w:fldChar w:fldCharType="begin"/>
      </w:r>
      <w:r>
        <w:instrText xml:space="preserve"> SEQ level0 \*arabic </w:instrText>
      </w:r>
      <w:r>
        <w:fldChar w:fldCharType="separate"/>
      </w:r>
      <w:r w:rsidR="00197D24">
        <w:rPr>
          <w:noProof/>
        </w:rPr>
        <w:t>61</w:t>
      </w:r>
      <w:r>
        <w:fldChar w:fldCharType="end"/>
      </w:r>
      <w:r>
        <w:t>.  The applicant complained that the Government had failed to submit copies of the statements by the prosecution witnesses, which were necessary for the examination of the application. He also denounced the fact that the Government had not even indicated the date by which they had intended to provide the requested documents.</w:t>
      </w:r>
    </w:p>
    <w:p w:rsidR="005A63E1" w:rsidP="0024373F" w:rsidRDefault="0024373F">
      <w:pPr>
        <w:pStyle w:val="JuPara"/>
      </w:pPr>
      <w:r>
        <w:fldChar w:fldCharType="begin"/>
      </w:r>
      <w:r>
        <w:instrText xml:space="preserve"> SEQ level0 \*arabic </w:instrText>
      </w:r>
      <w:r>
        <w:fldChar w:fldCharType="separate"/>
      </w:r>
      <w:r w:rsidR="00197D24">
        <w:rPr>
          <w:noProof/>
        </w:rPr>
        <w:t>62</w:t>
      </w:r>
      <w:r>
        <w:fldChar w:fldCharType="end"/>
      </w:r>
      <w:r>
        <w:t>.  By a letter of 3 March 2008 containing their further observations in the case, the Government stressed that they had submitted their observations on 22 November 2007 and the attachments on 27 November 2007. Although, according to the Government, the attachments had been sent a week after the observations, they</w:t>
      </w:r>
      <w:r w:rsidRPr="00A96070">
        <w:t xml:space="preserve"> </w:t>
      </w:r>
      <w:r>
        <w:t>had, nevertheless, submitted them within the time-limit set out by the Court in its communication letter. The Government thus considered that they had complied with their obligations under the Convention.</w:t>
      </w:r>
    </w:p>
    <w:p w:rsidR="005A63E1" w:rsidP="0024373F" w:rsidRDefault="0024373F">
      <w:pPr>
        <w:pStyle w:val="JuPara"/>
        <w:rPr>
          <w:snapToGrid w:val="0"/>
          <w:szCs w:val="24"/>
          <w:lang w:val="pt-BR" w:eastAsia="en-US"/>
        </w:rPr>
      </w:pPr>
      <w:r>
        <w:fldChar w:fldCharType="begin"/>
      </w:r>
      <w:r>
        <w:instrText xml:space="preserve"> SEQ level0 \*arabic </w:instrText>
      </w:r>
      <w:r>
        <w:fldChar w:fldCharType="separate"/>
      </w:r>
      <w:r w:rsidR="00197D24">
        <w:rPr>
          <w:noProof/>
        </w:rPr>
        <w:t>63</w:t>
      </w:r>
      <w:r>
        <w:fldChar w:fldCharType="end"/>
      </w:r>
      <w:r>
        <w:t xml:space="preserve">.  Noting that Article 29 § 3 of the Convention, as that provision stood at the material time, was applied at the time of communication of the present application (see paragraph </w:t>
      </w:r>
      <w:r>
        <w:fldChar w:fldCharType="begin"/>
      </w:r>
      <w:r>
        <w:instrText xml:space="preserve"> REF  procedure </w:instrText>
      </w:r>
      <w:r>
        <w:fldChar w:fldCharType="separate"/>
      </w:r>
      <w:r w:rsidR="00197D24">
        <w:rPr>
          <w:noProof/>
        </w:rPr>
        <w:t>4</w:t>
      </w:r>
      <w:r>
        <w:fldChar w:fldCharType="end"/>
      </w:r>
      <w:r>
        <w:t xml:space="preserve"> above), the Court considers that in the absence of a separate decision on admissibility it retained jurisdiction </w:t>
      </w:r>
      <w:r w:rsidRPr="00C47503">
        <w:t xml:space="preserve">under </w:t>
      </w:r>
      <w:r w:rsidRPr="00C47503">
        <w:rPr>
          <w:bCs/>
        </w:rPr>
        <w:t>Article</w:t>
      </w:r>
      <w:r w:rsidRPr="00C47503">
        <w:t xml:space="preserve"> </w:t>
      </w:r>
      <w:r w:rsidRPr="00C47503">
        <w:rPr>
          <w:bCs/>
        </w:rPr>
        <w:t>38</w:t>
      </w:r>
      <w:r w:rsidRPr="00C47503">
        <w:t xml:space="preserve"> of the </w:t>
      </w:r>
      <w:r w:rsidRPr="00C47503">
        <w:rPr>
          <w:bCs/>
        </w:rPr>
        <w:t>Convention</w:t>
      </w:r>
      <w:r w:rsidRPr="00C47503">
        <w:t>,</w:t>
      </w:r>
      <w:r>
        <w:t xml:space="preserve"> as it read at the material time, to examine the relevant events which took place during the subsequent proceedings (see </w:t>
      </w:r>
      <w:proofErr w:type="spellStart"/>
      <w:r w:rsidRPr="00C47503">
        <w:rPr>
          <w:i/>
          <w:lang w:eastAsia="en-US"/>
        </w:rPr>
        <w:t>Enukidze</w:t>
      </w:r>
      <w:proofErr w:type="spellEnd"/>
      <w:r w:rsidRPr="00C47503">
        <w:rPr>
          <w:i/>
          <w:lang w:eastAsia="en-US"/>
        </w:rPr>
        <w:t xml:space="preserve"> and </w:t>
      </w:r>
      <w:proofErr w:type="spellStart"/>
      <w:r w:rsidRPr="00C47503">
        <w:rPr>
          <w:i/>
          <w:lang w:eastAsia="en-US"/>
        </w:rPr>
        <w:t>Girgvliani</w:t>
      </w:r>
      <w:proofErr w:type="spellEnd"/>
      <w:r w:rsidRPr="00C47503">
        <w:rPr>
          <w:i/>
          <w:lang w:eastAsia="en-US"/>
        </w:rPr>
        <w:t xml:space="preserve"> v. </w:t>
      </w:r>
      <w:smartTag w:uri="urn:schemas-microsoft-com:office:smarttags" w:element="place">
        <w:smartTag w:uri="urn:schemas-microsoft-com:office:smarttags" w:element="country-region">
          <w:r w:rsidRPr="00C47503">
            <w:rPr>
              <w:i/>
              <w:lang w:eastAsia="en-US"/>
            </w:rPr>
            <w:t>Georgia</w:t>
          </w:r>
        </w:smartTag>
      </w:smartTag>
      <w:r w:rsidRPr="00C47503">
        <w:rPr>
          <w:lang w:eastAsia="en-US"/>
        </w:rPr>
        <w:t>, no. 25091/07</w:t>
      </w:r>
      <w:r w:rsidRPr="00C47503">
        <w:rPr>
          <w:snapToGrid w:val="0"/>
          <w:szCs w:val="24"/>
          <w:lang w:val="pt-BR" w:eastAsia="en-US"/>
        </w:rPr>
        <w:t xml:space="preserve">, § </w:t>
      </w:r>
      <w:r>
        <w:rPr>
          <w:snapToGrid w:val="0"/>
          <w:szCs w:val="24"/>
          <w:lang w:val="pt-BR" w:eastAsia="en-US"/>
        </w:rPr>
        <w:t>295</w:t>
      </w:r>
      <w:r w:rsidRPr="00C47503">
        <w:rPr>
          <w:snapToGrid w:val="0"/>
          <w:szCs w:val="24"/>
          <w:lang w:val="pt-BR" w:eastAsia="en-US"/>
        </w:rPr>
        <w:t>, 26 April 2011</w:t>
      </w:r>
      <w:r>
        <w:rPr>
          <w:snapToGrid w:val="0"/>
          <w:szCs w:val="24"/>
          <w:lang w:val="pt-BR" w:eastAsia="en-US"/>
        </w:rPr>
        <w:t>).</w:t>
      </w:r>
    </w:p>
    <w:p w:rsidR="005A63E1" w:rsidP="0024373F" w:rsidRDefault="0024373F">
      <w:pPr>
        <w:pStyle w:val="JuPara"/>
      </w:pPr>
      <w:r>
        <w:fldChar w:fldCharType="begin"/>
      </w:r>
      <w:r>
        <w:instrText xml:space="preserve"> SEQ level0 \*arabic </w:instrText>
      </w:r>
      <w:r>
        <w:fldChar w:fldCharType="separate"/>
      </w:r>
      <w:r w:rsidR="00197D24">
        <w:rPr>
          <w:noProof/>
        </w:rPr>
        <w:t>64</w:t>
      </w:r>
      <w:r>
        <w:fldChar w:fldCharType="end"/>
      </w:r>
      <w:r>
        <w:t xml:space="preserve">.  The Court reiterates that it is of the utmost importance for the effective operation of the system of individual petition instituted under Article 34 of the Convention that States should furnish all necessary facilities to make possible a proper and effective examination of applications (see </w:t>
      </w:r>
      <w:proofErr w:type="spellStart"/>
      <w:r>
        <w:rPr>
          <w:rStyle w:val="ju-005fpara--char"/>
          <w:i/>
          <w:iCs/>
        </w:rPr>
        <w:t>Tanrıkulu</w:t>
      </w:r>
      <w:proofErr w:type="spellEnd"/>
      <w:r>
        <w:rPr>
          <w:rStyle w:val="ju-005fpara--char"/>
          <w:i/>
          <w:iCs/>
        </w:rPr>
        <w:t xml:space="preserve"> v. Turkey</w:t>
      </w:r>
      <w:r>
        <w:t xml:space="preserve"> [GC], no. 23763/94, § 70, ECHR</w:t>
      </w:r>
      <w:r w:rsidR="0071469A">
        <w:t> </w:t>
      </w:r>
      <w:r>
        <w:t>1999-IV). This obligation requires the Contracting States to furnish all necessary facilities to the Court, whether it is conducting a fact-finding investigation or performing its general duties as regards the examination of applications. Failure on a Government</w:t>
      </w:r>
      <w:r w:rsidR="008A5600">
        <w:t>’</w:t>
      </w:r>
      <w:r>
        <w:t>s part to submit such information which is in their hands, without a satisfactory explanation, may not only give rise to the drawing of inferences as to the well-</w:t>
      </w:r>
      <w:proofErr w:type="spellStart"/>
      <w:r>
        <w:t>foundedness</w:t>
      </w:r>
      <w:proofErr w:type="spellEnd"/>
      <w:r>
        <w:t xml:space="preserve"> of the applicant</w:t>
      </w:r>
      <w:r w:rsidR="008A5600">
        <w:t>’</w:t>
      </w:r>
      <w:r>
        <w:t xml:space="preserve">s allegations, but may also reflect negatively on the level of compliance by a respondent State with its obligations under Article 38 of the Convention (see </w:t>
      </w:r>
      <w:proofErr w:type="spellStart"/>
      <w:r w:rsidRPr="00B9291E">
        <w:rPr>
          <w:i/>
          <w:lang w:eastAsia="en-US"/>
        </w:rPr>
        <w:t>Medova</w:t>
      </w:r>
      <w:proofErr w:type="spellEnd"/>
      <w:r w:rsidRPr="00B9291E">
        <w:rPr>
          <w:i/>
          <w:lang w:eastAsia="en-US"/>
        </w:rPr>
        <w:t xml:space="preserve"> v. </w:t>
      </w:r>
      <w:smartTag w:uri="urn:schemas-microsoft-com:office:smarttags" w:element="place">
        <w:smartTag w:uri="urn:schemas-microsoft-com:office:smarttags" w:element="country-region">
          <w:r w:rsidRPr="00B9291E">
            <w:rPr>
              <w:i/>
              <w:lang w:eastAsia="en-US"/>
            </w:rPr>
            <w:t>Russia</w:t>
          </w:r>
        </w:smartTag>
      </w:smartTag>
      <w:r w:rsidRPr="00B9291E">
        <w:rPr>
          <w:lang w:eastAsia="en-US"/>
        </w:rPr>
        <w:t xml:space="preserve">, no. 25385/04, § </w:t>
      </w:r>
      <w:r>
        <w:rPr>
          <w:lang w:eastAsia="en-US"/>
        </w:rPr>
        <w:t>76</w:t>
      </w:r>
      <w:r w:rsidRPr="00B9291E">
        <w:rPr>
          <w:lang w:eastAsia="en-US"/>
        </w:rPr>
        <w:t>, 15 January 2009</w:t>
      </w:r>
      <w:r>
        <w:rPr>
          <w:lang w:eastAsia="en-US"/>
        </w:rPr>
        <w:t xml:space="preserve">, and </w:t>
      </w:r>
      <w:proofErr w:type="spellStart"/>
      <w:r>
        <w:rPr>
          <w:rStyle w:val="ju-005fpara--char"/>
          <w:i/>
          <w:iCs/>
        </w:rPr>
        <w:t>Timurtaş</w:t>
      </w:r>
      <w:proofErr w:type="spellEnd"/>
      <w:r>
        <w:rPr>
          <w:rStyle w:val="ju-005fpara--char"/>
          <w:i/>
          <w:iCs/>
        </w:rPr>
        <w:t xml:space="preserve"> v. Turkey</w:t>
      </w:r>
      <w:r>
        <w:t>, no. 3531/94, § 66, ECHR 2000-VI).</w:t>
      </w:r>
    </w:p>
    <w:p w:rsidR="0024373F" w:rsidP="0024373F" w:rsidRDefault="0024373F">
      <w:pPr>
        <w:pStyle w:val="JuPara"/>
      </w:pPr>
      <w:r>
        <w:fldChar w:fldCharType="begin"/>
      </w:r>
      <w:r>
        <w:instrText xml:space="preserve"> SEQ level0 \*arabic </w:instrText>
      </w:r>
      <w:r>
        <w:fldChar w:fldCharType="separate"/>
      </w:r>
      <w:r w:rsidR="00197D24">
        <w:rPr>
          <w:noProof/>
        </w:rPr>
        <w:t>65</w:t>
      </w:r>
      <w:r>
        <w:fldChar w:fldCharType="end"/>
      </w:r>
      <w:r>
        <w:t>.  The Court notes that on 22 November 2007 it received the Government</w:t>
      </w:r>
      <w:r w:rsidR="008A5600">
        <w:t>’</w:t>
      </w:r>
      <w:r>
        <w:t>s observations, with ten documents attached. The attachments did not include copies of the witness statements requested from the Government by the Court in the communication letter of 6 September 2007. The Government</w:t>
      </w:r>
      <w:r w:rsidR="008A5600">
        <w:t>’</w:t>
      </w:r>
      <w:r>
        <w:t xml:space="preserve">s initial explanation for their failure to enclose the statements was that the documents were in the possession of unspecified authorities in the </w:t>
      </w:r>
      <w:smartTag w:uri="urn:schemas-microsoft-com:office:smarttags" w:element="place">
        <w:smartTag w:uri="urn:schemas-microsoft-com:office:smarttags" w:element="country-region">
          <w:r>
            <w:t>Russian Federation</w:t>
          </w:r>
        </w:smartTag>
      </w:smartTag>
      <w:r>
        <w:t>. The Government also insisted that they had fulfilled their obligation under the Convention, as they had submitted the attachments on 27 November 2007.</w:t>
      </w:r>
    </w:p>
    <w:p w:rsidR="005A63E1" w:rsidP="0024373F" w:rsidRDefault="0024373F">
      <w:pPr>
        <w:pStyle w:val="JuPara"/>
      </w:pPr>
      <w:r>
        <w:fldChar w:fldCharType="begin"/>
      </w:r>
      <w:r>
        <w:instrText xml:space="preserve"> SEQ level0 \*arabic </w:instrText>
      </w:r>
      <w:r>
        <w:fldChar w:fldCharType="separate"/>
      </w:r>
      <w:r w:rsidR="00197D24">
        <w:rPr>
          <w:noProof/>
        </w:rPr>
        <w:t>66</w:t>
      </w:r>
      <w:r>
        <w:fldChar w:fldCharType="end"/>
      </w:r>
      <w:r>
        <w:t>.  However, the Court, received no further documents related to the present case after the Government</w:t>
      </w:r>
      <w:r w:rsidR="008A5600">
        <w:t>’</w:t>
      </w:r>
      <w:r>
        <w:t>s letter of 22 November 2007. On 30 November 2007, noting that the Government had not complied with the request to provide copies of the witness statements, the Court asked them to send those documents as soon as possible. The Court notes that upon receipt of the repeated request for the documents the Government did not contact the Court to clarify the issue, as, according to them, by that time the documents were already in the Court</w:t>
      </w:r>
      <w:r w:rsidR="008A5600">
        <w:t>’</w:t>
      </w:r>
      <w:r>
        <w:t>s possession.</w:t>
      </w:r>
    </w:p>
    <w:p w:rsidR="0024373F" w:rsidP="0024373F" w:rsidRDefault="0024373F">
      <w:pPr>
        <w:pStyle w:val="JuPara"/>
      </w:pPr>
      <w:r>
        <w:fldChar w:fldCharType="begin"/>
      </w:r>
      <w:r>
        <w:instrText xml:space="preserve"> SEQ level0 \*arabic </w:instrText>
      </w:r>
      <w:r>
        <w:fldChar w:fldCharType="separate"/>
      </w:r>
      <w:r w:rsidR="00197D24">
        <w:rPr>
          <w:noProof/>
        </w:rPr>
        <w:t>67</w:t>
      </w:r>
      <w:r>
        <w:fldChar w:fldCharType="end"/>
      </w:r>
      <w:r>
        <w:t>.  The Court also does not overlook the fact that the Government</w:t>
      </w:r>
      <w:r w:rsidR="008A5600">
        <w:t>’</w:t>
      </w:r>
      <w:r>
        <w:t>s letter of 20 December 2007, with the English translation of their observations and enclosures, did not list copies of the witness statements among the documents which the Government had sent to the Court. It was not until March 2008, following the applicant</w:t>
      </w:r>
      <w:r w:rsidR="008A5600">
        <w:t>’</w:t>
      </w:r>
      <w:r>
        <w:t>s complaint under Article 38 of the Convention and the Court</w:t>
      </w:r>
      <w:r w:rsidR="008A5600">
        <w:t>’</w:t>
      </w:r>
      <w:r>
        <w:t>s third request to submit copies of the witness statements, that the Government replied that they had submitted the documents as attachments on 27 November 2007. However, the Court observes that the Government formulated their reply in general terms and did not explicitly state that the witness statements had been among the attachments. It was also open to the Government to resubmit the records of the witness statements or to enclose a copy of the letter which had allegedly been sent to the Court on 27 November 2007. However, they did not do so. The Court therefore cannot but conclude that the Government failed to produce a copy of the witness statements, despite repeated requests to that effect.</w:t>
      </w:r>
    </w:p>
    <w:p w:rsidR="0024373F" w:rsidP="0024373F" w:rsidRDefault="0024373F">
      <w:pPr>
        <w:pStyle w:val="JuPara"/>
      </w:pPr>
      <w:r>
        <w:fldChar w:fldCharType="begin"/>
      </w:r>
      <w:r>
        <w:instrText xml:space="preserve"> SEQ level0 \*arabic </w:instrText>
      </w:r>
      <w:r>
        <w:fldChar w:fldCharType="separate"/>
      </w:r>
      <w:r w:rsidR="00197D24">
        <w:rPr>
          <w:noProof/>
        </w:rPr>
        <w:t>68</w:t>
      </w:r>
      <w:r>
        <w:fldChar w:fldCharType="end"/>
      </w:r>
      <w:r>
        <w:t>.  Having regard to the importance of cooperation by the respondent Government in Convention proceedings and the difficulties associated with the establishment of the facts in cases such as the present one, the Court finds that the Russian Government</w:t>
      </w:r>
      <w:r w:rsidR="008A5600">
        <w:t>’</w:t>
      </w:r>
      <w:r>
        <w:t>s failure to respond diligently to the Court</w:t>
      </w:r>
      <w:r w:rsidR="008A5600">
        <w:t>’</w:t>
      </w:r>
      <w:r>
        <w:t>s requests for the evidence it considered necessary for the examination of the application, such as witness statements, cannot be reconciled with the Government</w:t>
      </w:r>
      <w:r w:rsidR="008A5600">
        <w:t>’</w:t>
      </w:r>
      <w:r>
        <w:t>s obligations under Article 38 of the Convention.</w:t>
      </w:r>
    </w:p>
    <w:p w:rsidRPr="006C5B93" w:rsidR="00F71A6A" w:rsidRDefault="0080639B">
      <w:pPr>
        <w:pStyle w:val="JuHIRoman"/>
      </w:pPr>
      <w:r>
        <w:t>III.</w:t>
      </w:r>
      <w:r w:rsidRPr="006C5B93" w:rsidR="00F71A6A">
        <w:t>  APPLICATION OF ARTICLE 41 OF THE CONVENTION</w:t>
      </w:r>
    </w:p>
    <w:p w:rsidRPr="006C5B93" w:rsidR="00F71A6A" w:rsidP="002F4BCF" w:rsidRDefault="006C5B93">
      <w:pPr>
        <w:pStyle w:val="JuPara"/>
        <w:keepNext/>
        <w:keepLines/>
      </w:pPr>
      <w:r w:rsidRPr="006C5B93">
        <w:fldChar w:fldCharType="begin"/>
      </w:r>
      <w:r w:rsidRPr="006C5B93">
        <w:instrText xml:space="preserve"> SEQ level0 \*arabic </w:instrText>
      </w:r>
      <w:r w:rsidRPr="006C5B93">
        <w:fldChar w:fldCharType="separate"/>
      </w:r>
      <w:r w:rsidR="00197D24">
        <w:rPr>
          <w:noProof/>
        </w:rPr>
        <w:t>69</w:t>
      </w:r>
      <w:r w:rsidRPr="006C5B93">
        <w:fldChar w:fldCharType="end"/>
      </w:r>
      <w:r w:rsidRPr="006C5B93" w:rsidR="00F71A6A">
        <w:t>.  Article 41 of the Convention provides:</w:t>
      </w:r>
    </w:p>
    <w:p w:rsidRPr="006C5B93" w:rsidR="00F71A6A" w:rsidRDefault="00F71A6A">
      <w:pPr>
        <w:pStyle w:val="JuQuot"/>
        <w:keepNext/>
        <w:keepLines/>
      </w:pPr>
      <w:r w:rsidRPr="006C5B93">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6C5B93" w:rsidR="00F71A6A" w:rsidP="008824B9" w:rsidRDefault="00F71A6A">
      <w:pPr>
        <w:pStyle w:val="JuHA"/>
        <w:keepLines w:val="0"/>
        <w:outlineLvl w:val="0"/>
      </w:pPr>
      <w:r w:rsidRPr="006C5B93">
        <w:t>A.  Damage</w:t>
      </w:r>
    </w:p>
    <w:p w:rsidRPr="006C5B93" w:rsidR="00F71A6A" w:rsidP="002F4BCF" w:rsidRDefault="006C5B93">
      <w:pPr>
        <w:pStyle w:val="JuPara"/>
      </w:pPr>
      <w:r w:rsidRPr="006C5B93">
        <w:fldChar w:fldCharType="begin"/>
      </w:r>
      <w:r w:rsidRPr="006C5B93">
        <w:instrText xml:space="preserve"> SEQ level0 \*arabic </w:instrText>
      </w:r>
      <w:r w:rsidRPr="006C5B93">
        <w:fldChar w:fldCharType="separate"/>
      </w:r>
      <w:r w:rsidR="00197D24">
        <w:rPr>
          <w:noProof/>
        </w:rPr>
        <w:t>70</w:t>
      </w:r>
      <w:r w:rsidRPr="006C5B93">
        <w:fldChar w:fldCharType="end"/>
      </w:r>
      <w:r w:rsidRPr="006C5B93" w:rsidR="00F71A6A">
        <w:t xml:space="preserve">.  The </w:t>
      </w:r>
      <w:r w:rsidRPr="006C5B93" w:rsidR="0005522C">
        <w:t>applicant</w:t>
      </w:r>
      <w:r w:rsidRPr="006C5B93" w:rsidR="00F71A6A">
        <w:t xml:space="preserve"> claimed </w:t>
      </w:r>
      <w:r w:rsidR="001C440D">
        <w:t>100,000</w:t>
      </w:r>
      <w:r w:rsidRPr="006C5B93" w:rsidR="00F71A6A">
        <w:t xml:space="preserve"> euros (EUR) in respect of non</w:t>
      </w:r>
      <w:r w:rsidR="0071469A">
        <w:noBreakHyphen/>
      </w:r>
      <w:r w:rsidRPr="006C5B93" w:rsidR="00F71A6A">
        <w:t>pecuniary damage.</w:t>
      </w:r>
    </w:p>
    <w:p w:rsidR="005A63E1" w:rsidP="002F4BCF" w:rsidRDefault="006C5B93">
      <w:pPr>
        <w:pStyle w:val="JuPara"/>
      </w:pPr>
      <w:r w:rsidRPr="006C5B93">
        <w:fldChar w:fldCharType="begin"/>
      </w:r>
      <w:r w:rsidRPr="006C5B93">
        <w:instrText xml:space="preserve"> SEQ level0 \*arabic </w:instrText>
      </w:r>
      <w:r w:rsidRPr="006C5B93">
        <w:fldChar w:fldCharType="separate"/>
      </w:r>
      <w:r w:rsidR="00197D24">
        <w:rPr>
          <w:noProof/>
        </w:rPr>
        <w:t>71</w:t>
      </w:r>
      <w:r w:rsidRPr="006C5B93">
        <w:fldChar w:fldCharType="end"/>
      </w:r>
      <w:r w:rsidRPr="006C5B93" w:rsidR="00F71A6A">
        <w:t xml:space="preserve">.  The Government </w:t>
      </w:r>
      <w:r w:rsidR="001C440D">
        <w:t>submitted that the claim was excessive and unreasonable.</w:t>
      </w:r>
    </w:p>
    <w:p w:rsidR="001C440D" w:rsidP="001C440D" w:rsidRDefault="006C5B93">
      <w:pPr>
        <w:pStyle w:val="JuPara"/>
      </w:pPr>
      <w:r w:rsidRPr="006C5B93">
        <w:fldChar w:fldCharType="begin"/>
      </w:r>
      <w:r w:rsidRPr="006C5B93">
        <w:instrText xml:space="preserve"> SEQ level0 \*arabic </w:instrText>
      </w:r>
      <w:r w:rsidRPr="006C5B93">
        <w:fldChar w:fldCharType="separate"/>
      </w:r>
      <w:r w:rsidR="00197D24">
        <w:rPr>
          <w:noProof/>
        </w:rPr>
        <w:t>72</w:t>
      </w:r>
      <w:r w:rsidRPr="006C5B93">
        <w:fldChar w:fldCharType="end"/>
      </w:r>
      <w:r w:rsidRPr="006C5B93" w:rsidR="00F71A6A">
        <w:t xml:space="preserve">.  The Court </w:t>
      </w:r>
      <w:r w:rsidR="001C440D">
        <w:t xml:space="preserve">considers that an award of just satisfaction must be based in the present case on the fact that the applicant did not have a fair trial </w:t>
      </w:r>
      <w:r w:rsidR="00A77DEC">
        <w:t xml:space="preserve">because he had no opportunity </w:t>
      </w:r>
      <w:r w:rsidR="001C440D">
        <w:t xml:space="preserve">to examine the witnesses against him. He undeniably sustained non-pecuniary damage as a result of the breach. Making its assessment on an equitable basis, the Court awards the applicant </w:t>
      </w:r>
      <w:r w:rsidR="00DE6124">
        <w:t xml:space="preserve">EUR </w:t>
      </w:r>
      <w:r w:rsidR="001C440D">
        <w:t>4,</w:t>
      </w:r>
      <w:r w:rsidR="00A7708C">
        <w:t>0</w:t>
      </w:r>
      <w:r w:rsidR="001C440D">
        <w:t>00 in respect of non-pecuniary damage, plus any tax that may be chargeable on that amount.</w:t>
      </w:r>
    </w:p>
    <w:p w:rsidR="001C440D" w:rsidP="001C440D" w:rsidRDefault="001C440D">
      <w:pPr>
        <w:pStyle w:val="JuPara"/>
      </w:pPr>
      <w:r>
        <w:fldChar w:fldCharType="begin"/>
      </w:r>
      <w:r>
        <w:instrText xml:space="preserve"> SEQ level0 \*arabic </w:instrText>
      </w:r>
      <w:r>
        <w:fldChar w:fldCharType="separate"/>
      </w:r>
      <w:r w:rsidR="00197D24">
        <w:rPr>
          <w:noProof/>
        </w:rPr>
        <w:t>73</w:t>
      </w:r>
      <w:r>
        <w:fldChar w:fldCharType="end"/>
      </w:r>
      <w:r>
        <w:t>.  </w:t>
      </w:r>
      <w:r w:rsidR="009016DC">
        <w:t xml:space="preserve">Lastly, the Court refers to its settled case-law to the effect that, where it finds that </w:t>
      </w:r>
      <w:r>
        <w:t xml:space="preserve">an applicant has been convicted despite a potential infringement of his rights as guaranteed by Article 6 of the Convention, he should, as far as possible, be put in the position in which he would have been had the requirements of that provision not been disregarded, and that the most appropriate form of redress would, in principle, </w:t>
      </w:r>
      <w:r w:rsidRPr="007A7EB2">
        <w:t xml:space="preserve">be trial </w:t>
      </w:r>
      <w:r w:rsidRPr="007A7EB2">
        <w:rPr>
          <w:i/>
        </w:rPr>
        <w:t>de novo</w:t>
      </w:r>
      <w:bookmarkStart w:name="01000044" w:id="27"/>
      <w:bookmarkStart w:name="01000045" w:id="28"/>
      <w:bookmarkEnd w:id="27"/>
      <w:bookmarkEnd w:id="28"/>
      <w:r w:rsidRPr="007A7EB2">
        <w:t xml:space="preserve"> or the reopening </w:t>
      </w:r>
      <w:r>
        <w:t xml:space="preserve">of the proceedings, if requested (see </w:t>
      </w:r>
      <w:proofErr w:type="spellStart"/>
      <w:r>
        <w:rPr>
          <w:rStyle w:val="ju--005fpara----char--char"/>
          <w:i/>
          <w:iCs/>
        </w:rPr>
        <w:t>Öcalan</w:t>
      </w:r>
      <w:proofErr w:type="spellEnd"/>
      <w:r>
        <w:rPr>
          <w:rStyle w:val="ju--005fpara----char--char"/>
          <w:i/>
          <w:iCs/>
        </w:rPr>
        <w:t xml:space="preserve"> v. Turkey</w:t>
      </w:r>
      <w:r>
        <w:t xml:space="preserve"> [GC], no. 46221/99, § 210 </w:t>
      </w:r>
      <w:r>
        <w:rPr>
          <w:rStyle w:val="ju--005fpara----char--char"/>
          <w:i/>
          <w:iCs/>
        </w:rPr>
        <w:t>in fine</w:t>
      </w:r>
      <w:r>
        <w:t>, ECHR 2005-IV</w:t>
      </w:r>
      <w:r w:rsidR="00A77DEC">
        <w:t>;</w:t>
      </w:r>
      <w:r>
        <w:t xml:space="preserve"> </w:t>
      </w:r>
      <w:bookmarkStart w:name="01000046" w:id="29"/>
      <w:bookmarkEnd w:id="29"/>
      <w:r>
        <w:rPr>
          <w:rStyle w:val="ju-005fpara--char"/>
          <w:i/>
          <w:iCs/>
        </w:rPr>
        <w:t>Popov v</w:t>
      </w:r>
      <w:r w:rsidRPr="001C440D">
        <w:rPr>
          <w:rStyle w:val="ju-005fpara--char"/>
          <w:i/>
          <w:iCs/>
        </w:rPr>
        <w:t xml:space="preserve">. </w:t>
      </w:r>
      <w:bookmarkStart w:name="HIT43" w:id="30"/>
      <w:bookmarkEnd w:id="30"/>
      <w:r w:rsidRPr="001C440D">
        <w:rPr>
          <w:rStyle w:val="ju-005fpara--char"/>
          <w:bCs/>
          <w:i/>
          <w:iCs/>
        </w:rPr>
        <w:t>Russia</w:t>
      </w:r>
      <w:r w:rsidRPr="001C440D">
        <w:t>, no. 26853/04, § 264, 13 July 2006</w:t>
      </w:r>
      <w:r w:rsidR="00A77DEC">
        <w:t>;</w:t>
      </w:r>
      <w:r>
        <w:t xml:space="preserve"> and </w:t>
      </w:r>
      <w:r>
        <w:rPr>
          <w:i/>
        </w:rPr>
        <w:t xml:space="preserve">Vladimir Romanov, </w:t>
      </w:r>
      <w:r>
        <w:t>cited above, § 118</w:t>
      </w:r>
      <w:r w:rsidRPr="001C440D">
        <w:t>).  The Court notes in this connection</w:t>
      </w:r>
      <w:r>
        <w:t xml:space="preserve"> that </w:t>
      </w:r>
      <w:r w:rsidR="0080639B">
        <w:t xml:space="preserve">by virtue of </w:t>
      </w:r>
      <w:r>
        <w:t xml:space="preserve">Article 413 of the Russian Code of Criminal Procedure </w:t>
      </w:r>
      <w:r w:rsidR="0080639B">
        <w:t>the applicant has the right to have the</w:t>
      </w:r>
      <w:r>
        <w:t xml:space="preserve"> criminal proceedings </w:t>
      </w:r>
      <w:r w:rsidR="0080639B">
        <w:t xml:space="preserve">against him </w:t>
      </w:r>
      <w:r>
        <w:t xml:space="preserve">reopened </w:t>
      </w:r>
      <w:r w:rsidR="0080639B">
        <w:t>when</w:t>
      </w:r>
      <w:r>
        <w:t xml:space="preserve"> the Court finds a violation of the Convention.</w:t>
      </w:r>
    </w:p>
    <w:p w:rsidRPr="006C5B93" w:rsidR="00F71A6A" w:rsidP="002D6A70" w:rsidRDefault="00F71A6A">
      <w:pPr>
        <w:pStyle w:val="JuHA"/>
      </w:pPr>
      <w:r w:rsidRPr="006C5B93">
        <w:t>B.  Costs and expenses</w:t>
      </w:r>
    </w:p>
    <w:p w:rsidRPr="002D6A70" w:rsidR="002D6A70" w:rsidP="002D6A70" w:rsidRDefault="006C5B93">
      <w:pPr>
        <w:pStyle w:val="JuPara"/>
        <w:rPr>
          <w:szCs w:val="24"/>
        </w:rPr>
      </w:pPr>
      <w:r w:rsidRPr="006C5B93">
        <w:fldChar w:fldCharType="begin"/>
      </w:r>
      <w:r w:rsidRPr="006C5B93">
        <w:instrText xml:space="preserve"> SEQ level0 \*arabic </w:instrText>
      </w:r>
      <w:r w:rsidRPr="006C5B93">
        <w:fldChar w:fldCharType="separate"/>
      </w:r>
      <w:r w:rsidR="00197D24">
        <w:rPr>
          <w:noProof/>
        </w:rPr>
        <w:t>74</w:t>
      </w:r>
      <w:r w:rsidRPr="006C5B93">
        <w:fldChar w:fldCharType="end"/>
      </w:r>
      <w:r w:rsidRPr="006C5B93" w:rsidR="00F71A6A">
        <w:t>.  </w:t>
      </w:r>
      <w:r w:rsidRPr="002D6A70" w:rsidR="002D6A70">
        <w:rPr>
          <w:szCs w:val="24"/>
        </w:rPr>
        <w:t>The applicant did not make any claims for costs and expenses incurred before the domestic courts and the Court.</w:t>
      </w:r>
    </w:p>
    <w:p w:rsidRPr="006C5B93" w:rsidR="00F71A6A" w:rsidP="002D6A70" w:rsidRDefault="002D6A70">
      <w:pPr>
        <w:pStyle w:val="JuPara"/>
      </w:pPr>
      <w:r>
        <w:rPr>
          <w:szCs w:val="24"/>
        </w:rPr>
        <w:fldChar w:fldCharType="begin"/>
      </w:r>
      <w:r>
        <w:rPr>
          <w:szCs w:val="24"/>
        </w:rPr>
        <w:instrText xml:space="preserve"> SEQ level0 \*arabic </w:instrText>
      </w:r>
      <w:r>
        <w:rPr>
          <w:szCs w:val="24"/>
        </w:rPr>
        <w:fldChar w:fldCharType="separate"/>
      </w:r>
      <w:r w:rsidR="00197D24">
        <w:rPr>
          <w:noProof/>
          <w:szCs w:val="24"/>
        </w:rPr>
        <w:t>75</w:t>
      </w:r>
      <w:r>
        <w:rPr>
          <w:szCs w:val="24"/>
        </w:rPr>
        <w:fldChar w:fldCharType="end"/>
      </w:r>
      <w:r>
        <w:rPr>
          <w:szCs w:val="24"/>
        </w:rPr>
        <w:t>.  </w:t>
      </w:r>
      <w:r w:rsidRPr="002D6A70">
        <w:rPr>
          <w:szCs w:val="24"/>
        </w:rPr>
        <w:t>Accordingly, the Court does not award anything under this head.</w:t>
      </w:r>
    </w:p>
    <w:p w:rsidRPr="006C5B93" w:rsidR="00F71A6A" w:rsidP="008824B9" w:rsidRDefault="00F71A6A">
      <w:pPr>
        <w:pStyle w:val="JuHA"/>
        <w:outlineLvl w:val="0"/>
      </w:pPr>
      <w:r w:rsidRPr="006C5B93">
        <w:t>C.  Default interest</w:t>
      </w:r>
    </w:p>
    <w:p w:rsidRPr="006C5B93" w:rsidR="00F71A6A" w:rsidP="00151CCA" w:rsidRDefault="006C5B93">
      <w:pPr>
        <w:pStyle w:val="JuPara"/>
      </w:pPr>
      <w:r w:rsidRPr="006C5B93">
        <w:fldChar w:fldCharType="begin"/>
      </w:r>
      <w:r w:rsidRPr="006C5B93">
        <w:instrText xml:space="preserve"> SEQ level0 \*arabic </w:instrText>
      </w:r>
      <w:r w:rsidRPr="006C5B93">
        <w:fldChar w:fldCharType="separate"/>
      </w:r>
      <w:r w:rsidR="00197D24">
        <w:rPr>
          <w:noProof/>
        </w:rPr>
        <w:t>76</w:t>
      </w:r>
      <w:r w:rsidRPr="006C5B93">
        <w:fldChar w:fldCharType="end"/>
      </w:r>
      <w:r w:rsidRPr="006C5B93" w:rsidR="00F71A6A">
        <w:t xml:space="preserve">.  The Court considers it appropriate that the default interest </w:t>
      </w:r>
      <w:r w:rsidRPr="006C5B93" w:rsidR="0034580F">
        <w:t xml:space="preserve">rate </w:t>
      </w:r>
      <w:r w:rsidRPr="006C5B93" w:rsidR="00F71A6A">
        <w:t>should be based on the marginal lending rate of the European Central Bank, to which should be added three percentage points.</w:t>
      </w:r>
    </w:p>
    <w:p w:rsidRPr="006C5B93" w:rsidR="00F71A6A" w:rsidP="008824B9" w:rsidRDefault="00F71A6A">
      <w:pPr>
        <w:pStyle w:val="JuHHead"/>
      </w:pPr>
      <w:r w:rsidRPr="006C5B93">
        <w:t xml:space="preserve">FOR THESE REASONS, THE COURT </w:t>
      </w:r>
      <w:r w:rsidRPr="006C5B93" w:rsidR="006C5B93">
        <w:t>UNANIMOUSLY</w:t>
      </w:r>
    </w:p>
    <w:p w:rsidRPr="006C5B93" w:rsidR="00F71A6A" w:rsidRDefault="002D6A70">
      <w:pPr>
        <w:pStyle w:val="JuList"/>
      </w:pPr>
      <w:r>
        <w:t>1</w:t>
      </w:r>
      <w:r w:rsidRPr="006C5B93" w:rsidR="009F07CC">
        <w:t>.  </w:t>
      </w:r>
      <w:r w:rsidRPr="006C5B93" w:rsidR="00F71A6A">
        <w:rPr>
          <w:i/>
        </w:rPr>
        <w:t>Declares</w:t>
      </w:r>
      <w:r w:rsidRPr="006C5B93" w:rsidR="00F71A6A">
        <w:t xml:space="preserve"> the </w:t>
      </w:r>
      <w:r w:rsidR="000B04F2">
        <w:t>application</w:t>
      </w:r>
      <w:r w:rsidRPr="006C5B93" w:rsidR="00F71A6A">
        <w:t xml:space="preserve"> admissible</w:t>
      </w:r>
      <w:r w:rsidRPr="006C5B93" w:rsidR="0011665B">
        <w:t>;</w:t>
      </w:r>
    </w:p>
    <w:p w:rsidR="00F71A6A" w:rsidRDefault="00F71A6A">
      <w:pPr>
        <w:pStyle w:val="JuList"/>
      </w:pPr>
    </w:p>
    <w:p w:rsidR="002D6A70" w:rsidP="002D6A70" w:rsidRDefault="0080639B">
      <w:pPr>
        <w:pStyle w:val="JuList"/>
      </w:pPr>
      <w:r>
        <w:t>2</w:t>
      </w:r>
      <w:r w:rsidRPr="006C5B93" w:rsidR="009F07CC">
        <w:t>.</w:t>
      </w:r>
      <w:r w:rsidRPr="006C5B93" w:rsidR="00F71A6A">
        <w:t>  </w:t>
      </w:r>
      <w:r w:rsidR="002D6A70">
        <w:rPr>
          <w:rStyle w:val="ju-005flist--char"/>
          <w:i/>
          <w:iCs/>
        </w:rPr>
        <w:t>Holds</w:t>
      </w:r>
      <w:r w:rsidR="002D6A70">
        <w:t xml:space="preserve"> that there has been a violation of Article 6 § 1 taken together with Article </w:t>
      </w:r>
      <w:bookmarkStart w:name="HIT44" w:id="31"/>
      <w:bookmarkEnd w:id="31"/>
      <w:r w:rsidRPr="002D6A70" w:rsidR="002D6A70">
        <w:rPr>
          <w:bCs/>
        </w:rPr>
        <w:t>6</w:t>
      </w:r>
      <w:r w:rsidRPr="002D6A70" w:rsidR="002D6A70">
        <w:t xml:space="preserve"> § </w:t>
      </w:r>
      <w:bookmarkStart w:name="HIT45" w:id="32"/>
      <w:bookmarkEnd w:id="32"/>
      <w:r w:rsidRPr="002D6A70" w:rsidR="002D6A70">
        <w:rPr>
          <w:bCs/>
        </w:rPr>
        <w:t>3</w:t>
      </w:r>
      <w:r w:rsidRPr="002D6A70" w:rsidR="002D6A70">
        <w:t xml:space="preserve"> (d) on account</w:t>
      </w:r>
      <w:r w:rsidR="002D6A70">
        <w:t xml:space="preserve"> of </w:t>
      </w:r>
      <w:r w:rsidR="00E948FE">
        <w:t xml:space="preserve">the </w:t>
      </w:r>
      <w:r w:rsidR="002D6A70">
        <w:t>absence of a proper and adequate opportunity to challenge the statements by the prosecution witnesses;</w:t>
      </w:r>
    </w:p>
    <w:p w:rsidR="002D6A70" w:rsidP="002D6A70" w:rsidRDefault="002D6A70">
      <w:pPr>
        <w:pStyle w:val="JuList"/>
      </w:pPr>
    </w:p>
    <w:p w:rsidR="002D6A70" w:rsidP="002D6A70" w:rsidRDefault="0080639B">
      <w:pPr>
        <w:pStyle w:val="JuList"/>
      </w:pPr>
      <w:r>
        <w:t>3</w:t>
      </w:r>
      <w:r w:rsidR="002E5C8F">
        <w:t>.</w:t>
      </w:r>
      <w:r w:rsidR="002D6A70">
        <w:t>  </w:t>
      </w:r>
      <w:r w:rsidR="002D6A70">
        <w:rPr>
          <w:rStyle w:val="ju-005flist--char"/>
          <w:i/>
          <w:iCs/>
        </w:rPr>
        <w:t>Holds</w:t>
      </w:r>
      <w:r w:rsidR="002D6A70">
        <w:t xml:space="preserve"> that it is not necessary </w:t>
      </w:r>
      <w:r w:rsidRPr="007A7EB2" w:rsidR="002D6A70">
        <w:t xml:space="preserve">to </w:t>
      </w:r>
      <w:bookmarkStart w:name="01000047" w:id="33"/>
      <w:bookmarkEnd w:id="33"/>
      <w:r w:rsidRPr="007A7EB2" w:rsidR="002D6A70">
        <w:t xml:space="preserve">examine </w:t>
      </w:r>
      <w:bookmarkStart w:name="01000048" w:id="34"/>
      <w:bookmarkEnd w:id="34"/>
      <w:r w:rsidRPr="007A7EB2" w:rsidR="002D6A70">
        <w:t>separately the applicant</w:t>
      </w:r>
      <w:r w:rsidR="008A5600">
        <w:t>’</w:t>
      </w:r>
      <w:r w:rsidRPr="007A7EB2" w:rsidR="002D6A70">
        <w:t xml:space="preserve">s </w:t>
      </w:r>
      <w:r w:rsidRPr="007A7EB2" w:rsidR="001D1021">
        <w:t xml:space="preserve">further </w:t>
      </w:r>
      <w:r w:rsidRPr="007A7EB2" w:rsidR="002D6A70">
        <w:t>complaint</w:t>
      </w:r>
      <w:r w:rsidRPr="007A7EB2" w:rsidR="001D1021">
        <w:t>s</w:t>
      </w:r>
      <w:r w:rsidRPr="007A7EB2" w:rsidR="002D6A70">
        <w:t xml:space="preserve"> under</w:t>
      </w:r>
      <w:r w:rsidRPr="007A7EB2" w:rsidR="002D6A70">
        <w:rPr>
          <w:rStyle w:val="JuParaChar"/>
        </w:rPr>
        <w:t xml:space="preserve"> Article 6</w:t>
      </w:r>
      <w:r w:rsidR="002D6A70">
        <w:t xml:space="preserve"> pertaining to the impartiality of the jury and various procedural irregularities at the trial;</w:t>
      </w:r>
    </w:p>
    <w:p w:rsidR="0080639B" w:rsidP="0080639B" w:rsidRDefault="0080639B">
      <w:pPr>
        <w:pStyle w:val="JuList"/>
      </w:pPr>
    </w:p>
    <w:p w:rsidRPr="002E5C8F" w:rsidR="0080639B" w:rsidP="0080639B" w:rsidRDefault="0080639B">
      <w:pPr>
        <w:pStyle w:val="JuList"/>
      </w:pPr>
      <w:r>
        <w:t>4.  </w:t>
      </w:r>
      <w:r>
        <w:rPr>
          <w:rStyle w:val="ju-005flist--char"/>
          <w:i/>
          <w:iCs/>
        </w:rPr>
        <w:t>Holds</w:t>
      </w:r>
      <w:r>
        <w:t xml:space="preserve"> that there has been a violation of </w:t>
      </w:r>
      <w:bookmarkStart w:name="HIT19" w:id="35"/>
      <w:bookmarkEnd w:id="35"/>
      <w:r w:rsidRPr="002E5C8F">
        <w:rPr>
          <w:bCs/>
        </w:rPr>
        <w:t>Article</w:t>
      </w:r>
      <w:r w:rsidRPr="002E5C8F">
        <w:t xml:space="preserve"> </w:t>
      </w:r>
      <w:bookmarkStart w:name="HIT20" w:id="36"/>
      <w:bookmarkEnd w:id="36"/>
      <w:r w:rsidRPr="002E5C8F">
        <w:rPr>
          <w:bCs/>
        </w:rPr>
        <w:t>38</w:t>
      </w:r>
      <w:r w:rsidRPr="002E5C8F">
        <w:t xml:space="preserve"> of the </w:t>
      </w:r>
      <w:bookmarkStart w:name="HIT21" w:id="37"/>
      <w:bookmarkEnd w:id="37"/>
      <w:r w:rsidRPr="002E5C8F">
        <w:rPr>
          <w:bCs/>
        </w:rPr>
        <w:t>Convention</w:t>
      </w:r>
      <w:r w:rsidRPr="002E5C8F">
        <w:t>;</w:t>
      </w:r>
    </w:p>
    <w:p w:rsidR="0080639B" w:rsidP="00901475" w:rsidRDefault="0080639B">
      <w:pPr>
        <w:pStyle w:val="JuList"/>
      </w:pPr>
    </w:p>
    <w:p w:rsidR="005A63E1" w:rsidP="00DE6124" w:rsidRDefault="002E5C8F">
      <w:pPr>
        <w:pStyle w:val="JuList"/>
        <w:keepNext/>
        <w:keepLines/>
      </w:pPr>
      <w:r>
        <w:t>5</w:t>
      </w:r>
      <w:r w:rsidRPr="006C5B93" w:rsidR="00F71A6A">
        <w:t>.  </w:t>
      </w:r>
      <w:r w:rsidRPr="006C5B93" w:rsidR="00F71A6A">
        <w:rPr>
          <w:i/>
        </w:rPr>
        <w:t>Holds</w:t>
      </w:r>
    </w:p>
    <w:p w:rsidRPr="00277EEC" w:rsidR="002D6A70" w:rsidP="00DE6124" w:rsidRDefault="002D6A70">
      <w:pPr>
        <w:pStyle w:val="JuLista"/>
        <w:keepNext/>
        <w:keepLines/>
      </w:pPr>
      <w:r w:rsidRPr="00277EEC">
        <w:t xml:space="preserve">(a)  that the respondent State is to pay the applicant, within three months </w:t>
      </w:r>
      <w:r>
        <w:t>of</w:t>
      </w:r>
      <w:r w:rsidRPr="00277EEC">
        <w:t xml:space="preserve"> the date on which the judgment becomes final in accordance with Article 44 § 2 of the Convention, EUR </w:t>
      </w:r>
      <w:r>
        <w:t>4,</w:t>
      </w:r>
      <w:r w:rsidR="00A7708C">
        <w:t>0</w:t>
      </w:r>
      <w:r>
        <w:t xml:space="preserve">00 </w:t>
      </w:r>
      <w:r w:rsidRPr="00277EEC">
        <w:t>(</w:t>
      </w:r>
      <w:r>
        <w:t xml:space="preserve">four thousand </w:t>
      </w:r>
      <w:r w:rsidRPr="00277EEC">
        <w:t xml:space="preserve">euros) </w:t>
      </w:r>
      <w:r>
        <w:t xml:space="preserve">in respect of non-pecuniary damage, to be converted into Russian roubles at the rate applicable on the date of the settlement, </w:t>
      </w:r>
      <w:r w:rsidRPr="00277EEC">
        <w:t>plus any tax that may be chargeable</w:t>
      </w:r>
      <w:r>
        <w:t>;</w:t>
      </w:r>
    </w:p>
    <w:p w:rsidRPr="00277EEC" w:rsidR="002D6A70" w:rsidP="00DE6124" w:rsidRDefault="002D6A70">
      <w:pPr>
        <w:pStyle w:val="JuLista"/>
        <w:keepNext/>
        <w:keepLines/>
      </w:pPr>
      <w:r w:rsidRPr="00277EEC">
        <w:t>(b)  that from the expiry of the above-mentioned three months until settlement</w:t>
      </w:r>
      <w:r>
        <w:t>,</w:t>
      </w:r>
      <w:r w:rsidRPr="00277EEC">
        <w:t xml:space="preserve"> simple interest shall be payable on the above amount at a rate equal to the marginal lending rate of the European Central Bank during the default period</w:t>
      </w:r>
      <w:r>
        <w:t>,</w:t>
      </w:r>
      <w:r w:rsidRPr="00277EEC">
        <w:t xml:space="preserve"> plus three percentage points;</w:t>
      </w:r>
    </w:p>
    <w:p w:rsidRPr="006C5B93" w:rsidR="003104E9" w:rsidRDefault="003104E9">
      <w:pPr>
        <w:pStyle w:val="JuLista"/>
      </w:pPr>
    </w:p>
    <w:p w:rsidRPr="006C5B93" w:rsidR="00F71A6A" w:rsidRDefault="002E5C8F">
      <w:pPr>
        <w:pStyle w:val="JuList"/>
      </w:pPr>
      <w:r>
        <w:t>6</w:t>
      </w:r>
      <w:r w:rsidRPr="006C5B93" w:rsidR="00F71A6A">
        <w:t>.  </w:t>
      </w:r>
      <w:r w:rsidRPr="006C5B93" w:rsidR="00F71A6A">
        <w:rPr>
          <w:i/>
        </w:rPr>
        <w:t>Dismisses</w:t>
      </w:r>
      <w:r w:rsidRPr="006C5B93" w:rsidR="00F71A6A">
        <w:t xml:space="preserve"> the remainder of the </w:t>
      </w:r>
      <w:r w:rsidRPr="006C5B93" w:rsidR="005F4753">
        <w:t>applicant</w:t>
      </w:r>
      <w:r w:rsidR="008A5600">
        <w:t>’</w:t>
      </w:r>
      <w:r w:rsidRPr="006C5B93" w:rsidR="006C5B93">
        <w:t>s</w:t>
      </w:r>
      <w:r w:rsidRPr="006C5B93" w:rsidR="00F71A6A">
        <w:t xml:space="preserve"> claim for just satisfaction.</w:t>
      </w:r>
    </w:p>
    <w:p w:rsidRPr="006C5B93" w:rsidR="00325C2B" w:rsidP="00325C2B" w:rsidRDefault="00F71A6A">
      <w:pPr>
        <w:pStyle w:val="JuParaLast"/>
      </w:pPr>
      <w:r w:rsidRPr="006C5B93">
        <w:t xml:space="preserve">Done in English, and notified in writing on </w:t>
      </w:r>
      <w:r w:rsidR="0080639B">
        <w:t>24 April 2012</w:t>
      </w:r>
      <w:r w:rsidRPr="006C5B93">
        <w:t>, pursuant to Rule</w:t>
      </w:r>
      <w:r w:rsidRPr="006C5B93" w:rsidR="0011665B">
        <w:t xml:space="preserve"> </w:t>
      </w:r>
      <w:r w:rsidRPr="006C5B93">
        <w:t>77</w:t>
      </w:r>
      <w:r w:rsidRPr="006C5B93" w:rsidR="0011665B">
        <w:t xml:space="preserve"> </w:t>
      </w:r>
      <w:r w:rsidRPr="006C5B93">
        <w:t>§§</w:t>
      </w:r>
      <w:r w:rsidRPr="006C5B93" w:rsidR="0011665B">
        <w:t xml:space="preserve"> </w:t>
      </w:r>
      <w:r w:rsidRPr="006C5B93">
        <w:t>2 and</w:t>
      </w:r>
      <w:r w:rsidRPr="006C5B93" w:rsidR="0011665B">
        <w:t xml:space="preserve"> </w:t>
      </w:r>
      <w:r w:rsidRPr="006C5B93">
        <w:t>3 of the Rules of Court.</w:t>
      </w:r>
    </w:p>
    <w:p w:rsidRPr="006C5B93" w:rsidR="0079187F" w:rsidP="00C01E1C" w:rsidRDefault="00325C2B">
      <w:pPr>
        <w:pStyle w:val="JuSigned"/>
        <w:keepNext/>
        <w:keepLines/>
      </w:pPr>
      <w:r w:rsidRPr="006C5B93">
        <w:tab/>
      </w:r>
      <w:proofErr w:type="spellStart"/>
      <w:r w:rsidRPr="006C5B93" w:rsidR="006C5B93">
        <w:t>Søren</w:t>
      </w:r>
      <w:proofErr w:type="spellEnd"/>
      <w:r w:rsidRPr="006C5B93" w:rsidR="006C5B93">
        <w:t xml:space="preserve"> Nielsen</w:t>
      </w:r>
      <w:r w:rsidRPr="006C5B93" w:rsidR="00A8381C">
        <w:tab/>
      </w:r>
      <w:r w:rsidR="002D6A70">
        <w:rPr>
          <w:color w:val="000000"/>
          <w:szCs w:val="24"/>
          <w:lang w:eastAsia="en-GB"/>
        </w:rPr>
        <w:t xml:space="preserve">Nina </w:t>
      </w:r>
      <w:proofErr w:type="spellStart"/>
      <w:r w:rsidR="00A7708C">
        <w:rPr>
          <w:color w:val="000000"/>
        </w:rPr>
        <w:t>Vajić</w:t>
      </w:r>
      <w:proofErr w:type="spellEnd"/>
      <w:r w:rsidRPr="006C5B93" w:rsidR="00A8381C">
        <w:br/>
      </w:r>
      <w:r w:rsidRPr="006C5B93" w:rsidR="00A8381C">
        <w:tab/>
      </w:r>
      <w:r w:rsidRPr="006C5B93" w:rsidR="006C5B93">
        <w:rPr>
          <w:iCs/>
        </w:rPr>
        <w:t>Registrar</w:t>
      </w:r>
      <w:r w:rsidRPr="006C5B93" w:rsidR="00A8381C">
        <w:tab/>
        <w:t>President</w:t>
      </w:r>
    </w:p>
    <w:sectPr w:rsidRPr="006C5B93" w:rsidR="0079187F" w:rsidSect="00C512DF">
      <w:headerReference w:type="even" r:id="rId10"/>
      <w:headerReference w:type="default" r:id="rId11"/>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339" w:rsidRDefault="00694339">
      <w:r>
        <w:separator/>
      </w:r>
    </w:p>
  </w:endnote>
  <w:endnote w:type="continuationSeparator" w:id="0">
    <w:p w:rsidR="00694339" w:rsidRDefault="00694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New (W1)">
    <w:altName w:val="Times New Roman"/>
    <w:charset w:val="00"/>
    <w:family w:val="roman"/>
    <w:pitch w:val="variable"/>
    <w:sig w:usb0="20007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00" w:rsidRPr="00150BFA" w:rsidRDefault="007B5B00" w:rsidP="002A3030">
    <w:pPr>
      <w:jc w:val="center"/>
      <w:rPr>
        <w:sz w:val="4"/>
        <w:szCs w:val="4"/>
      </w:rPr>
    </w:pPr>
    <w:r w:rsidRPr="00150BF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85pt;height:32.9pt">
          <v:imagedata r:id="rId1" o:title="DocFooter-03"/>
        </v:shape>
      </w:pict>
    </w:r>
  </w:p>
  <w:p w:rsidR="007B5B00" w:rsidRDefault="007B5B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339" w:rsidRDefault="00694339">
      <w:r>
        <w:separator/>
      </w:r>
    </w:p>
  </w:footnote>
  <w:footnote w:type="continuationSeparator" w:id="0">
    <w:p w:rsidR="00694339" w:rsidRDefault="006943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00" w:rsidRPr="00C512DF" w:rsidRDefault="007B5B00" w:rsidP="00C512D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00" w:rsidRPr="00C00F0F" w:rsidRDefault="007B5B00">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6pt;height:164.3pt">
          <v:imagedata r:id="rId1" o:title="TranspDocHeaderBigBlack"/>
        </v:shape>
      </w:pict>
    </w:r>
  </w:p>
  <w:p w:rsidR="007B5B00" w:rsidRDefault="007B5B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00" w:rsidRDefault="007B5B00">
    <w:pPr>
      <w:pStyle w:val="JuHeader"/>
    </w:pPr>
    <w:r>
      <w:rPr>
        <w:rStyle w:val="PageNumber"/>
      </w:rPr>
      <w:fldChar w:fldCharType="begin"/>
    </w:r>
    <w:r>
      <w:rPr>
        <w:rStyle w:val="PageNumber"/>
      </w:rPr>
      <w:instrText xml:space="preserve"> PAGE </w:instrText>
    </w:r>
    <w:r>
      <w:rPr>
        <w:rStyle w:val="PageNumber"/>
      </w:rPr>
      <w:fldChar w:fldCharType="separate"/>
    </w:r>
    <w:r w:rsidR="008A5600">
      <w:rPr>
        <w:rStyle w:val="PageNumber"/>
        <w:noProof/>
      </w:rPr>
      <w:t>20</w:t>
    </w:r>
    <w:r>
      <w:rPr>
        <w:rStyle w:val="PageNumber"/>
      </w:rPr>
      <w:fldChar w:fldCharType="end"/>
    </w:r>
    <w:r>
      <w:tab/>
      <w:t>DAMIR SIBGATULLIN v. RUSSIA</w:t>
    </w:r>
    <w:r w:rsidR="005A63E1">
      <w:t xml:space="preserve"> </w:t>
    </w:r>
    <w: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00" w:rsidRDefault="007B5B00" w:rsidP="0071469A">
    <w:pPr>
      <w:pStyle w:val="JuHeader"/>
      <w:tabs>
        <w:tab w:val="left" w:pos="2115"/>
      </w:tabs>
    </w:pPr>
    <w:r>
      <w:tab/>
      <w:t xml:space="preserve">DAMIR </w:t>
    </w:r>
    <w:r>
      <w:tab/>
      <w:t>SIBGATULLIN v. RUSSIA</w:t>
    </w:r>
    <w:r w:rsidR="005A63E1">
      <w:t xml:space="preserve"> </w:t>
    </w:r>
    <w:r>
      <w:t>JUDGMENT</w:t>
    </w:r>
    <w:r>
      <w:tab/>
    </w:r>
    <w:r>
      <w:rPr>
        <w:rStyle w:val="PageNumber"/>
      </w:rPr>
      <w:fldChar w:fldCharType="begin"/>
    </w:r>
    <w:r>
      <w:rPr>
        <w:rStyle w:val="PageNumber"/>
      </w:rPr>
      <w:instrText xml:space="preserve"> PAGE </w:instrText>
    </w:r>
    <w:r>
      <w:rPr>
        <w:rStyle w:val="PageNumber"/>
      </w:rPr>
      <w:fldChar w:fldCharType="separate"/>
    </w:r>
    <w:r w:rsidR="008A5600">
      <w:rPr>
        <w:rStyle w:val="PageNumber"/>
        <w:noProof/>
      </w:rPr>
      <w:t>19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6C2734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EDCD3B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1B44A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016CC6A8"/>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B26C5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49265A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E98D21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A76A49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E8C5388"/>
    <w:lvl w:ilvl="0">
      <w:start w:val="1"/>
      <w:numFmt w:val="decimal"/>
      <w:pStyle w:val="ListNumber"/>
      <w:lvlText w:val="%1."/>
      <w:lvlJc w:val="left"/>
      <w:pPr>
        <w:tabs>
          <w:tab w:val="num" w:pos="360"/>
        </w:tabs>
        <w:ind w:left="360" w:hanging="360"/>
      </w:pPr>
    </w:lvl>
  </w:abstractNum>
  <w:abstractNum w:abstractNumId="9">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0">
    <w:nsid w:val="2974745A"/>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C723CD3"/>
    <w:multiLevelType w:val="hybridMultilevel"/>
    <w:tmpl w:val="90C69780"/>
    <w:lvl w:ilvl="0" w:tplc="3CEECDC4">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nsid w:val="37D768FB"/>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5D8204BD"/>
    <w:multiLevelType w:val="hybridMultilevel"/>
    <w:tmpl w:val="BDD05774"/>
    <w:lvl w:ilvl="0" w:tplc="9490BDA2">
      <w:start w:val="1"/>
      <w:numFmt w:val="bullet"/>
      <w:pStyle w:val="CPMListAction"/>
      <w:lvlText w:val="►"/>
      <w:lvlJc w:val="left"/>
      <w:pPr>
        <w:tabs>
          <w:tab w:val="num" w:pos="1247"/>
        </w:tabs>
        <w:ind w:left="1247" w:hanging="113"/>
      </w:pPr>
      <w:rPr>
        <w:rFonts w:ascii="Times New (W1)" w:hAnsi="Times New (W1)" w:hint="default"/>
        <w:color w:val="33CCCC"/>
        <w:sz w:val="24"/>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4">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5">
    <w:nsid w:val="6F4445CA"/>
    <w:multiLevelType w:val="multilevel"/>
    <w:tmpl w:val="08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6">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14"/>
  </w:num>
  <w:num w:numId="3">
    <w:abstractNumId w:val="16"/>
  </w:num>
  <w:num w:numId="4">
    <w:abstractNumId w:val="16"/>
  </w:num>
  <w:num w:numId="5">
    <w:abstractNumId w:val="16"/>
  </w:num>
  <w:num w:numId="6">
    <w:abstractNumId w:val="11"/>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0"/>
  </w:num>
  <w:num w:numId="18">
    <w:abstractNumId w:val="15"/>
  </w:num>
  <w:num w:numId="19">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hdrShapeDefaults>
    <o:shapedefaults v:ext="edit" spidmax="3074"/>
  </w:hdrShapeDefault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6C5B93"/>
    <w:rsid w:val="00001CC5"/>
    <w:rsid w:val="000042D1"/>
    <w:rsid w:val="00015674"/>
    <w:rsid w:val="0002071A"/>
    <w:rsid w:val="000211E1"/>
    <w:rsid w:val="000327CB"/>
    <w:rsid w:val="00033FD2"/>
    <w:rsid w:val="0003679E"/>
    <w:rsid w:val="00042867"/>
    <w:rsid w:val="000534BC"/>
    <w:rsid w:val="0005522C"/>
    <w:rsid w:val="00055AC1"/>
    <w:rsid w:val="000603FD"/>
    <w:rsid w:val="000609FC"/>
    <w:rsid w:val="000726F6"/>
    <w:rsid w:val="000768BA"/>
    <w:rsid w:val="00076A67"/>
    <w:rsid w:val="00085837"/>
    <w:rsid w:val="00085B3A"/>
    <w:rsid w:val="00090C82"/>
    <w:rsid w:val="0009409F"/>
    <w:rsid w:val="000B04F2"/>
    <w:rsid w:val="000B0500"/>
    <w:rsid w:val="000B2892"/>
    <w:rsid w:val="000C2917"/>
    <w:rsid w:val="000C36D1"/>
    <w:rsid w:val="000C6DDF"/>
    <w:rsid w:val="000D6108"/>
    <w:rsid w:val="000E0383"/>
    <w:rsid w:val="000E1449"/>
    <w:rsid w:val="000F699D"/>
    <w:rsid w:val="00100BE9"/>
    <w:rsid w:val="00104AD1"/>
    <w:rsid w:val="00111D99"/>
    <w:rsid w:val="0011665B"/>
    <w:rsid w:val="00126213"/>
    <w:rsid w:val="00142923"/>
    <w:rsid w:val="00151CCA"/>
    <w:rsid w:val="00152C72"/>
    <w:rsid w:val="001644E0"/>
    <w:rsid w:val="00165B84"/>
    <w:rsid w:val="00167EA6"/>
    <w:rsid w:val="0017143A"/>
    <w:rsid w:val="001749BD"/>
    <w:rsid w:val="00174A6F"/>
    <w:rsid w:val="001812B2"/>
    <w:rsid w:val="00192D4B"/>
    <w:rsid w:val="0019508A"/>
    <w:rsid w:val="00197C29"/>
    <w:rsid w:val="00197D24"/>
    <w:rsid w:val="001A0EBE"/>
    <w:rsid w:val="001A2CB2"/>
    <w:rsid w:val="001B62B1"/>
    <w:rsid w:val="001B74F7"/>
    <w:rsid w:val="001C440D"/>
    <w:rsid w:val="001D007E"/>
    <w:rsid w:val="001D1021"/>
    <w:rsid w:val="001D1E36"/>
    <w:rsid w:val="001D3C67"/>
    <w:rsid w:val="001E56A4"/>
    <w:rsid w:val="001F1A03"/>
    <w:rsid w:val="001F5586"/>
    <w:rsid w:val="0022032C"/>
    <w:rsid w:val="00225BE5"/>
    <w:rsid w:val="002266CD"/>
    <w:rsid w:val="00233F2F"/>
    <w:rsid w:val="00236E3F"/>
    <w:rsid w:val="00242E93"/>
    <w:rsid w:val="0024373F"/>
    <w:rsid w:val="0024381A"/>
    <w:rsid w:val="00252B31"/>
    <w:rsid w:val="00261299"/>
    <w:rsid w:val="0026789F"/>
    <w:rsid w:val="00285795"/>
    <w:rsid w:val="00292740"/>
    <w:rsid w:val="00296B76"/>
    <w:rsid w:val="00297942"/>
    <w:rsid w:val="002A22D8"/>
    <w:rsid w:val="002A3030"/>
    <w:rsid w:val="002B18B7"/>
    <w:rsid w:val="002C12F5"/>
    <w:rsid w:val="002D67CA"/>
    <w:rsid w:val="002D6A70"/>
    <w:rsid w:val="002E5C8F"/>
    <w:rsid w:val="002F4BCF"/>
    <w:rsid w:val="002F6FE9"/>
    <w:rsid w:val="002F6FF0"/>
    <w:rsid w:val="00302008"/>
    <w:rsid w:val="0030331A"/>
    <w:rsid w:val="00304A55"/>
    <w:rsid w:val="003104E9"/>
    <w:rsid w:val="0031573C"/>
    <w:rsid w:val="0032093A"/>
    <w:rsid w:val="0032432F"/>
    <w:rsid w:val="00325C2B"/>
    <w:rsid w:val="00332547"/>
    <w:rsid w:val="00336887"/>
    <w:rsid w:val="00337600"/>
    <w:rsid w:val="0034580F"/>
    <w:rsid w:val="003527B6"/>
    <w:rsid w:val="003542B0"/>
    <w:rsid w:val="0036250B"/>
    <w:rsid w:val="00370DA0"/>
    <w:rsid w:val="00371277"/>
    <w:rsid w:val="00381D25"/>
    <w:rsid w:val="003839D9"/>
    <w:rsid w:val="003A6E61"/>
    <w:rsid w:val="003A7387"/>
    <w:rsid w:val="003B41C7"/>
    <w:rsid w:val="003B50D7"/>
    <w:rsid w:val="003B51B6"/>
    <w:rsid w:val="003C3D33"/>
    <w:rsid w:val="003E2006"/>
    <w:rsid w:val="003E319C"/>
    <w:rsid w:val="003F3BFD"/>
    <w:rsid w:val="00401C5B"/>
    <w:rsid w:val="00405B73"/>
    <w:rsid w:val="00406155"/>
    <w:rsid w:val="00411B74"/>
    <w:rsid w:val="00412767"/>
    <w:rsid w:val="00413EFC"/>
    <w:rsid w:val="0043154F"/>
    <w:rsid w:val="00434FCD"/>
    <w:rsid w:val="004405A3"/>
    <w:rsid w:val="004406AA"/>
    <w:rsid w:val="00452CF1"/>
    <w:rsid w:val="00457A18"/>
    <w:rsid w:val="00460F91"/>
    <w:rsid w:val="00460FAD"/>
    <w:rsid w:val="00462713"/>
    <w:rsid w:val="00463CF1"/>
    <w:rsid w:val="00465226"/>
    <w:rsid w:val="00471BFF"/>
    <w:rsid w:val="00477E01"/>
    <w:rsid w:val="0048264E"/>
    <w:rsid w:val="004834B9"/>
    <w:rsid w:val="00485A6F"/>
    <w:rsid w:val="00485D33"/>
    <w:rsid w:val="004920B1"/>
    <w:rsid w:val="004A1CA9"/>
    <w:rsid w:val="004C6768"/>
    <w:rsid w:val="004D070B"/>
    <w:rsid w:val="004D1505"/>
    <w:rsid w:val="004E5DFC"/>
    <w:rsid w:val="0050096C"/>
    <w:rsid w:val="00501C34"/>
    <w:rsid w:val="00513641"/>
    <w:rsid w:val="00516EBF"/>
    <w:rsid w:val="00522362"/>
    <w:rsid w:val="0053438C"/>
    <w:rsid w:val="005419B6"/>
    <w:rsid w:val="00546F49"/>
    <w:rsid w:val="00565190"/>
    <w:rsid w:val="0056771C"/>
    <w:rsid w:val="00571D3A"/>
    <w:rsid w:val="005777BA"/>
    <w:rsid w:val="00577E6A"/>
    <w:rsid w:val="00581A06"/>
    <w:rsid w:val="005828F6"/>
    <w:rsid w:val="00595C5D"/>
    <w:rsid w:val="00596943"/>
    <w:rsid w:val="005A3D27"/>
    <w:rsid w:val="005A63E1"/>
    <w:rsid w:val="005B16A8"/>
    <w:rsid w:val="005B4233"/>
    <w:rsid w:val="005B4609"/>
    <w:rsid w:val="005B56C0"/>
    <w:rsid w:val="005C1929"/>
    <w:rsid w:val="005C1956"/>
    <w:rsid w:val="005C2C88"/>
    <w:rsid w:val="005C41CB"/>
    <w:rsid w:val="005D29DA"/>
    <w:rsid w:val="005D6D34"/>
    <w:rsid w:val="005D7B69"/>
    <w:rsid w:val="005E089F"/>
    <w:rsid w:val="005E384F"/>
    <w:rsid w:val="005F4753"/>
    <w:rsid w:val="005F7A10"/>
    <w:rsid w:val="00607F29"/>
    <w:rsid w:val="006111FF"/>
    <w:rsid w:val="00615C6E"/>
    <w:rsid w:val="0062787C"/>
    <w:rsid w:val="00633478"/>
    <w:rsid w:val="00640B82"/>
    <w:rsid w:val="00644A7D"/>
    <w:rsid w:val="00652CDA"/>
    <w:rsid w:val="006535D2"/>
    <w:rsid w:val="006539F2"/>
    <w:rsid w:val="00655126"/>
    <w:rsid w:val="006560C9"/>
    <w:rsid w:val="006639B6"/>
    <w:rsid w:val="00667D07"/>
    <w:rsid w:val="00680844"/>
    <w:rsid w:val="00683FAE"/>
    <w:rsid w:val="006854FE"/>
    <w:rsid w:val="006925F7"/>
    <w:rsid w:val="00694339"/>
    <w:rsid w:val="00697F14"/>
    <w:rsid w:val="006A2485"/>
    <w:rsid w:val="006A3D9D"/>
    <w:rsid w:val="006A3FFF"/>
    <w:rsid w:val="006A7C48"/>
    <w:rsid w:val="006B2635"/>
    <w:rsid w:val="006B3301"/>
    <w:rsid w:val="006C2B52"/>
    <w:rsid w:val="006C35C5"/>
    <w:rsid w:val="006C5B93"/>
    <w:rsid w:val="006E6D33"/>
    <w:rsid w:val="00711FE6"/>
    <w:rsid w:val="007126D8"/>
    <w:rsid w:val="0071469A"/>
    <w:rsid w:val="007156E0"/>
    <w:rsid w:val="0072389D"/>
    <w:rsid w:val="00730053"/>
    <w:rsid w:val="00730433"/>
    <w:rsid w:val="007352DD"/>
    <w:rsid w:val="00743640"/>
    <w:rsid w:val="00750E5E"/>
    <w:rsid w:val="00754ABE"/>
    <w:rsid w:val="00756D5B"/>
    <w:rsid w:val="00764ABA"/>
    <w:rsid w:val="00773E38"/>
    <w:rsid w:val="00775E92"/>
    <w:rsid w:val="0077789B"/>
    <w:rsid w:val="0078062F"/>
    <w:rsid w:val="007827E7"/>
    <w:rsid w:val="0079187F"/>
    <w:rsid w:val="007A1FFE"/>
    <w:rsid w:val="007A357A"/>
    <w:rsid w:val="007A6DBA"/>
    <w:rsid w:val="007A6EEA"/>
    <w:rsid w:val="007A7EB2"/>
    <w:rsid w:val="007B5B00"/>
    <w:rsid w:val="007C1CE3"/>
    <w:rsid w:val="007C68B1"/>
    <w:rsid w:val="007D0D75"/>
    <w:rsid w:val="007E0B38"/>
    <w:rsid w:val="007E147D"/>
    <w:rsid w:val="007E1FCD"/>
    <w:rsid w:val="007F2A22"/>
    <w:rsid w:val="007F735A"/>
    <w:rsid w:val="0080639B"/>
    <w:rsid w:val="00806E5F"/>
    <w:rsid w:val="00817410"/>
    <w:rsid w:val="00841ABD"/>
    <w:rsid w:val="00846856"/>
    <w:rsid w:val="00853345"/>
    <w:rsid w:val="00864209"/>
    <w:rsid w:val="00866A27"/>
    <w:rsid w:val="008742EA"/>
    <w:rsid w:val="008824B9"/>
    <w:rsid w:val="0088315D"/>
    <w:rsid w:val="00884FFA"/>
    <w:rsid w:val="0088670C"/>
    <w:rsid w:val="00886BB5"/>
    <w:rsid w:val="008A0B43"/>
    <w:rsid w:val="008A5600"/>
    <w:rsid w:val="008B5BFB"/>
    <w:rsid w:val="008C6F68"/>
    <w:rsid w:val="008E05A3"/>
    <w:rsid w:val="00900F2B"/>
    <w:rsid w:val="00901475"/>
    <w:rsid w:val="009016DC"/>
    <w:rsid w:val="00903159"/>
    <w:rsid w:val="009169BC"/>
    <w:rsid w:val="00924377"/>
    <w:rsid w:val="00927277"/>
    <w:rsid w:val="00930CD7"/>
    <w:rsid w:val="00932C7B"/>
    <w:rsid w:val="00937ED3"/>
    <w:rsid w:val="0094239F"/>
    <w:rsid w:val="00956501"/>
    <w:rsid w:val="00965BD4"/>
    <w:rsid w:val="0098535B"/>
    <w:rsid w:val="00995F44"/>
    <w:rsid w:val="009A3CA9"/>
    <w:rsid w:val="009B039E"/>
    <w:rsid w:val="009B15A1"/>
    <w:rsid w:val="009C5183"/>
    <w:rsid w:val="009D46D7"/>
    <w:rsid w:val="009D4B87"/>
    <w:rsid w:val="009E682A"/>
    <w:rsid w:val="009F07CC"/>
    <w:rsid w:val="009F18CE"/>
    <w:rsid w:val="009F2386"/>
    <w:rsid w:val="009F5625"/>
    <w:rsid w:val="00A012A5"/>
    <w:rsid w:val="00A06A89"/>
    <w:rsid w:val="00A135BE"/>
    <w:rsid w:val="00A324B9"/>
    <w:rsid w:val="00A32B81"/>
    <w:rsid w:val="00A35C98"/>
    <w:rsid w:val="00A44775"/>
    <w:rsid w:val="00A44BA3"/>
    <w:rsid w:val="00A5331A"/>
    <w:rsid w:val="00A54BF9"/>
    <w:rsid w:val="00A669FC"/>
    <w:rsid w:val="00A67955"/>
    <w:rsid w:val="00A7049C"/>
    <w:rsid w:val="00A70BE0"/>
    <w:rsid w:val="00A726A4"/>
    <w:rsid w:val="00A7708C"/>
    <w:rsid w:val="00A77DEC"/>
    <w:rsid w:val="00A80135"/>
    <w:rsid w:val="00A82C3C"/>
    <w:rsid w:val="00A8381C"/>
    <w:rsid w:val="00A92892"/>
    <w:rsid w:val="00A96070"/>
    <w:rsid w:val="00AA0A20"/>
    <w:rsid w:val="00AA2B6A"/>
    <w:rsid w:val="00AA373E"/>
    <w:rsid w:val="00AA497A"/>
    <w:rsid w:val="00AA696A"/>
    <w:rsid w:val="00AA7CA2"/>
    <w:rsid w:val="00AB2166"/>
    <w:rsid w:val="00AB36B7"/>
    <w:rsid w:val="00AB43D9"/>
    <w:rsid w:val="00AB598D"/>
    <w:rsid w:val="00AC08C4"/>
    <w:rsid w:val="00AC134B"/>
    <w:rsid w:val="00AC1D7C"/>
    <w:rsid w:val="00AC56A5"/>
    <w:rsid w:val="00AD57B2"/>
    <w:rsid w:val="00AE2F4F"/>
    <w:rsid w:val="00B051A8"/>
    <w:rsid w:val="00B0594B"/>
    <w:rsid w:val="00B06266"/>
    <w:rsid w:val="00B062CF"/>
    <w:rsid w:val="00B324A5"/>
    <w:rsid w:val="00B3608A"/>
    <w:rsid w:val="00B4551C"/>
    <w:rsid w:val="00B45CCB"/>
    <w:rsid w:val="00B460AF"/>
    <w:rsid w:val="00B52010"/>
    <w:rsid w:val="00B54213"/>
    <w:rsid w:val="00B5583B"/>
    <w:rsid w:val="00B574E7"/>
    <w:rsid w:val="00B57ED2"/>
    <w:rsid w:val="00B64488"/>
    <w:rsid w:val="00B662B2"/>
    <w:rsid w:val="00B6763B"/>
    <w:rsid w:val="00B67CBD"/>
    <w:rsid w:val="00B81192"/>
    <w:rsid w:val="00B82E50"/>
    <w:rsid w:val="00B85E50"/>
    <w:rsid w:val="00B90D64"/>
    <w:rsid w:val="00B921A8"/>
    <w:rsid w:val="00B9291E"/>
    <w:rsid w:val="00B9296B"/>
    <w:rsid w:val="00BA0E2B"/>
    <w:rsid w:val="00BB1355"/>
    <w:rsid w:val="00BB44E2"/>
    <w:rsid w:val="00BB5F7D"/>
    <w:rsid w:val="00BC7EEE"/>
    <w:rsid w:val="00BD19AE"/>
    <w:rsid w:val="00BE0257"/>
    <w:rsid w:val="00BE4B9A"/>
    <w:rsid w:val="00BE50FE"/>
    <w:rsid w:val="00BE5958"/>
    <w:rsid w:val="00BE7A91"/>
    <w:rsid w:val="00BF02DB"/>
    <w:rsid w:val="00BF699D"/>
    <w:rsid w:val="00C01E1C"/>
    <w:rsid w:val="00C02E48"/>
    <w:rsid w:val="00C04E50"/>
    <w:rsid w:val="00C27EF9"/>
    <w:rsid w:val="00C3018F"/>
    <w:rsid w:val="00C30671"/>
    <w:rsid w:val="00C35C83"/>
    <w:rsid w:val="00C3647A"/>
    <w:rsid w:val="00C401D4"/>
    <w:rsid w:val="00C47503"/>
    <w:rsid w:val="00C512DF"/>
    <w:rsid w:val="00C5775A"/>
    <w:rsid w:val="00C577C8"/>
    <w:rsid w:val="00C63E30"/>
    <w:rsid w:val="00C84877"/>
    <w:rsid w:val="00C949DB"/>
    <w:rsid w:val="00C96EBF"/>
    <w:rsid w:val="00CC6623"/>
    <w:rsid w:val="00CD5D90"/>
    <w:rsid w:val="00CE1C9D"/>
    <w:rsid w:val="00CF166A"/>
    <w:rsid w:val="00D00569"/>
    <w:rsid w:val="00D102A7"/>
    <w:rsid w:val="00D10DD5"/>
    <w:rsid w:val="00D15473"/>
    <w:rsid w:val="00D22670"/>
    <w:rsid w:val="00D24A72"/>
    <w:rsid w:val="00D30F97"/>
    <w:rsid w:val="00D33169"/>
    <w:rsid w:val="00D353F4"/>
    <w:rsid w:val="00D357B5"/>
    <w:rsid w:val="00D44EA3"/>
    <w:rsid w:val="00D5688D"/>
    <w:rsid w:val="00D56B5D"/>
    <w:rsid w:val="00D63793"/>
    <w:rsid w:val="00D6405C"/>
    <w:rsid w:val="00D71DF3"/>
    <w:rsid w:val="00D73611"/>
    <w:rsid w:val="00D76B5D"/>
    <w:rsid w:val="00D83142"/>
    <w:rsid w:val="00D90810"/>
    <w:rsid w:val="00DA0F2A"/>
    <w:rsid w:val="00DA2AD0"/>
    <w:rsid w:val="00DB1CE1"/>
    <w:rsid w:val="00DB5B90"/>
    <w:rsid w:val="00DB6D67"/>
    <w:rsid w:val="00DC2093"/>
    <w:rsid w:val="00DC5C22"/>
    <w:rsid w:val="00DD105D"/>
    <w:rsid w:val="00DD3296"/>
    <w:rsid w:val="00DE5E8F"/>
    <w:rsid w:val="00DE6124"/>
    <w:rsid w:val="00DE70DC"/>
    <w:rsid w:val="00E06D27"/>
    <w:rsid w:val="00E06DD7"/>
    <w:rsid w:val="00E07312"/>
    <w:rsid w:val="00E073C6"/>
    <w:rsid w:val="00E168C9"/>
    <w:rsid w:val="00E178D7"/>
    <w:rsid w:val="00E32009"/>
    <w:rsid w:val="00E32971"/>
    <w:rsid w:val="00E414E7"/>
    <w:rsid w:val="00E42A72"/>
    <w:rsid w:val="00E50968"/>
    <w:rsid w:val="00E52456"/>
    <w:rsid w:val="00E526A4"/>
    <w:rsid w:val="00E65F84"/>
    <w:rsid w:val="00E81663"/>
    <w:rsid w:val="00E9155E"/>
    <w:rsid w:val="00E948FE"/>
    <w:rsid w:val="00E973F5"/>
    <w:rsid w:val="00E97DD4"/>
    <w:rsid w:val="00EA5F14"/>
    <w:rsid w:val="00EA730C"/>
    <w:rsid w:val="00EB41E9"/>
    <w:rsid w:val="00EB5EBC"/>
    <w:rsid w:val="00ED12C3"/>
    <w:rsid w:val="00ED3AC7"/>
    <w:rsid w:val="00ED418B"/>
    <w:rsid w:val="00ED4D98"/>
    <w:rsid w:val="00EE1252"/>
    <w:rsid w:val="00EE47FF"/>
    <w:rsid w:val="00EE7911"/>
    <w:rsid w:val="00EF2384"/>
    <w:rsid w:val="00EF3296"/>
    <w:rsid w:val="00EF7F52"/>
    <w:rsid w:val="00F22E8B"/>
    <w:rsid w:val="00F43FF3"/>
    <w:rsid w:val="00F45AA2"/>
    <w:rsid w:val="00F5124B"/>
    <w:rsid w:val="00F62998"/>
    <w:rsid w:val="00F701FE"/>
    <w:rsid w:val="00F71A6A"/>
    <w:rsid w:val="00F72269"/>
    <w:rsid w:val="00F73D18"/>
    <w:rsid w:val="00F75DFC"/>
    <w:rsid w:val="00F86B71"/>
    <w:rsid w:val="00F92ED8"/>
    <w:rsid w:val="00F94742"/>
    <w:rsid w:val="00FB7BF2"/>
    <w:rsid w:val="00FB7F63"/>
    <w:rsid w:val="00FD3E2F"/>
    <w:rsid w:val="00FD46BE"/>
    <w:rsid w:val="00FE6E31"/>
    <w:rsid w:val="00FF61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3E1"/>
    <w:pPr>
      <w:suppressAutoHyphens/>
    </w:pPr>
    <w:rPr>
      <w:sz w:val="24"/>
      <w:lang w:val="en-GB" w:eastAsia="fr-FR"/>
    </w:rPr>
  </w:style>
  <w:style w:type="paragraph" w:styleId="Heading1">
    <w:name w:val="heading 1"/>
    <w:basedOn w:val="Normal"/>
    <w:next w:val="Normal"/>
    <w:qFormat/>
    <w:rsid w:val="005A63E1"/>
    <w:pPr>
      <w:keepNext/>
      <w:numPr>
        <w:numId w:val="18"/>
      </w:numPr>
      <w:spacing w:before="360" w:after="240"/>
      <w:jc w:val="center"/>
      <w:outlineLvl w:val="0"/>
    </w:pPr>
    <w:rPr>
      <w:b/>
      <w:sz w:val="28"/>
    </w:rPr>
  </w:style>
  <w:style w:type="paragraph" w:styleId="Heading2">
    <w:name w:val="heading 2"/>
    <w:basedOn w:val="Normal"/>
    <w:next w:val="Normal"/>
    <w:qFormat/>
    <w:rsid w:val="005A63E1"/>
    <w:pPr>
      <w:keepNext/>
      <w:numPr>
        <w:ilvl w:val="1"/>
        <w:numId w:val="18"/>
      </w:numPr>
      <w:spacing w:before="240" w:after="120"/>
      <w:outlineLvl w:val="1"/>
    </w:pPr>
    <w:rPr>
      <w:b/>
    </w:rPr>
  </w:style>
  <w:style w:type="paragraph" w:styleId="Heading3">
    <w:name w:val="heading 3"/>
    <w:basedOn w:val="Normal"/>
    <w:next w:val="Normal"/>
    <w:qFormat/>
    <w:rsid w:val="005A63E1"/>
    <w:pPr>
      <w:keepNext/>
      <w:numPr>
        <w:ilvl w:val="2"/>
        <w:numId w:val="18"/>
      </w:numPr>
      <w:spacing w:before="120" w:after="60"/>
      <w:outlineLvl w:val="2"/>
    </w:pPr>
    <w:rPr>
      <w:i/>
    </w:rPr>
  </w:style>
  <w:style w:type="paragraph" w:styleId="Heading4">
    <w:name w:val="heading 4"/>
    <w:basedOn w:val="Normal"/>
    <w:next w:val="Normal"/>
    <w:qFormat/>
    <w:rsid w:val="005A63E1"/>
    <w:pPr>
      <w:keepNext/>
      <w:numPr>
        <w:ilvl w:val="3"/>
        <w:numId w:val="18"/>
      </w:numPr>
      <w:spacing w:before="240" w:after="60"/>
      <w:outlineLvl w:val="3"/>
    </w:pPr>
    <w:rPr>
      <w:b/>
      <w:bCs/>
      <w:sz w:val="28"/>
      <w:szCs w:val="28"/>
    </w:rPr>
  </w:style>
  <w:style w:type="paragraph" w:styleId="Heading5">
    <w:name w:val="heading 5"/>
    <w:basedOn w:val="Normal"/>
    <w:next w:val="Normal"/>
    <w:qFormat/>
    <w:rsid w:val="005A63E1"/>
    <w:pPr>
      <w:numPr>
        <w:ilvl w:val="4"/>
        <w:numId w:val="18"/>
      </w:numPr>
      <w:spacing w:before="240" w:after="60"/>
      <w:outlineLvl w:val="4"/>
    </w:pPr>
    <w:rPr>
      <w:b/>
      <w:bCs/>
      <w:i/>
      <w:iCs/>
      <w:sz w:val="26"/>
      <w:szCs w:val="26"/>
    </w:rPr>
  </w:style>
  <w:style w:type="paragraph" w:styleId="Heading6">
    <w:name w:val="heading 6"/>
    <w:basedOn w:val="Normal"/>
    <w:next w:val="Normal"/>
    <w:qFormat/>
    <w:rsid w:val="005A63E1"/>
    <w:pPr>
      <w:numPr>
        <w:ilvl w:val="5"/>
        <w:numId w:val="18"/>
      </w:numPr>
      <w:spacing w:before="240" w:after="60"/>
      <w:outlineLvl w:val="5"/>
    </w:pPr>
    <w:rPr>
      <w:b/>
      <w:bCs/>
      <w:sz w:val="22"/>
      <w:szCs w:val="22"/>
    </w:rPr>
  </w:style>
  <w:style w:type="paragraph" w:styleId="Heading7">
    <w:name w:val="heading 7"/>
    <w:basedOn w:val="Normal"/>
    <w:next w:val="Normal"/>
    <w:qFormat/>
    <w:rsid w:val="005A63E1"/>
    <w:pPr>
      <w:numPr>
        <w:ilvl w:val="6"/>
        <w:numId w:val="18"/>
      </w:numPr>
      <w:spacing w:before="240" w:after="60"/>
      <w:outlineLvl w:val="6"/>
    </w:pPr>
    <w:rPr>
      <w:szCs w:val="24"/>
    </w:rPr>
  </w:style>
  <w:style w:type="paragraph" w:styleId="Heading8">
    <w:name w:val="heading 8"/>
    <w:basedOn w:val="Normal"/>
    <w:next w:val="Normal"/>
    <w:qFormat/>
    <w:rsid w:val="005A63E1"/>
    <w:pPr>
      <w:numPr>
        <w:ilvl w:val="7"/>
        <w:numId w:val="18"/>
      </w:numPr>
      <w:spacing w:before="240" w:after="60"/>
      <w:outlineLvl w:val="7"/>
    </w:pPr>
    <w:rPr>
      <w:i/>
      <w:iCs/>
      <w:szCs w:val="24"/>
    </w:rPr>
  </w:style>
  <w:style w:type="paragraph" w:styleId="Heading9">
    <w:name w:val="heading 9"/>
    <w:basedOn w:val="Normal"/>
    <w:next w:val="Normal"/>
    <w:qFormat/>
    <w:rsid w:val="005A63E1"/>
    <w:pPr>
      <w:numPr>
        <w:ilvl w:val="8"/>
        <w:numId w:val="18"/>
      </w:numPr>
      <w:spacing w:before="240" w:after="60"/>
      <w:outlineLvl w:val="8"/>
    </w:pPr>
    <w:rPr>
      <w:rFonts w:ascii="Arial" w:hAnsi="Arial" w:cs="Arial"/>
      <w:sz w:val="22"/>
      <w:szCs w:val="22"/>
    </w:rPr>
  </w:style>
  <w:style w:type="character" w:default="1" w:styleId="DefaultParagraphFont">
    <w:name w:val="Default Paragraph Font"/>
    <w:rsid w:val="005A63E1"/>
  </w:style>
  <w:style w:type="table" w:default="1" w:styleId="TableNormal">
    <w:name w:val="Normal Table"/>
    <w:semiHidden/>
    <w:rsid w:val="009B039E"/>
    <w:tblPr>
      <w:tblInd w:w="0" w:type="dxa"/>
      <w:tblCellMar>
        <w:top w:w="0" w:type="dxa"/>
        <w:left w:w="108" w:type="dxa"/>
        <w:bottom w:w="0" w:type="dxa"/>
        <w:right w:w="108" w:type="dxa"/>
      </w:tblCellMar>
    </w:tblPr>
  </w:style>
  <w:style w:type="numbering" w:default="1" w:styleId="NoList">
    <w:name w:val="No List"/>
    <w:semiHidden/>
    <w:rsid w:val="005A63E1"/>
  </w:style>
  <w:style w:type="paragraph" w:customStyle="1" w:styleId="OpiHA">
    <w:name w:val="Opi_H_A"/>
    <w:basedOn w:val="JuHIRoman"/>
    <w:next w:val="OpiPara"/>
    <w:rsid w:val="005A63E1"/>
    <w:pPr>
      <w:tabs>
        <w:tab w:val="clear" w:pos="357"/>
      </w:tabs>
    </w:pPr>
    <w:rPr>
      <w:b/>
    </w:rPr>
  </w:style>
  <w:style w:type="paragraph" w:customStyle="1" w:styleId="JuHIRoman">
    <w:name w:val="Ju_H_I_Roman"/>
    <w:basedOn w:val="JuHHead"/>
    <w:next w:val="JuPara"/>
    <w:rsid w:val="005A63E1"/>
    <w:pPr>
      <w:tabs>
        <w:tab w:val="left" w:pos="357"/>
      </w:tabs>
      <w:spacing w:before="360"/>
      <w:ind w:left="357" w:hanging="357"/>
      <w:outlineLvl w:val="1"/>
    </w:pPr>
    <w:rPr>
      <w:sz w:val="24"/>
    </w:rPr>
  </w:style>
  <w:style w:type="paragraph" w:customStyle="1" w:styleId="JuHHead">
    <w:name w:val="Ju_H_Head"/>
    <w:basedOn w:val="NormalTimesNewRoman"/>
    <w:next w:val="JuPara"/>
    <w:rsid w:val="005A63E1"/>
    <w:pPr>
      <w:keepNext/>
      <w:keepLines/>
      <w:spacing w:before="720" w:after="240"/>
      <w:jc w:val="both"/>
      <w:outlineLvl w:val="0"/>
    </w:pPr>
    <w:rPr>
      <w:sz w:val="28"/>
    </w:rPr>
  </w:style>
  <w:style w:type="paragraph" w:customStyle="1" w:styleId="NormalTimesNewRoman">
    <w:name w:val="Normal_TimesNewRoman"/>
    <w:rsid w:val="005A63E1"/>
    <w:rPr>
      <w:sz w:val="24"/>
      <w:lang w:val="en-GB" w:eastAsia="fr-FR"/>
    </w:rPr>
  </w:style>
  <w:style w:type="paragraph" w:customStyle="1" w:styleId="JuPara">
    <w:name w:val="Ju_Para"/>
    <w:aliases w:val="Left,First line:  0 cm"/>
    <w:basedOn w:val="NormalTimesNewRoman"/>
    <w:link w:val="JuParaChar"/>
    <w:rsid w:val="005A63E1"/>
    <w:pPr>
      <w:ind w:firstLine="284"/>
      <w:jc w:val="both"/>
    </w:pPr>
  </w:style>
  <w:style w:type="character" w:customStyle="1" w:styleId="JuParaChar">
    <w:name w:val="Ju_Para Char"/>
    <w:link w:val="JuPara"/>
    <w:rsid w:val="00B921A8"/>
    <w:rPr>
      <w:sz w:val="24"/>
      <w:lang w:val="en-GB" w:eastAsia="fr-FR" w:bidi="ar-SA"/>
    </w:rPr>
  </w:style>
  <w:style w:type="paragraph" w:customStyle="1" w:styleId="OpiPara">
    <w:name w:val="Opi_Para"/>
    <w:basedOn w:val="JuPara"/>
    <w:rsid w:val="005A63E1"/>
  </w:style>
  <w:style w:type="paragraph" w:customStyle="1" w:styleId="OpiH1">
    <w:name w:val="Opi_H_1."/>
    <w:basedOn w:val="OpiHA"/>
    <w:next w:val="OpiPara"/>
    <w:rsid w:val="005A63E1"/>
    <w:pPr>
      <w:spacing w:before="240" w:after="120"/>
      <w:ind w:left="635"/>
      <w:outlineLvl w:val="2"/>
    </w:pPr>
    <w:rPr>
      <w:b w:val="0"/>
      <w:i/>
    </w:rPr>
  </w:style>
  <w:style w:type="paragraph" w:customStyle="1" w:styleId="OpiHa0">
    <w:name w:val="Opi_H_a"/>
    <w:basedOn w:val="OpiH1"/>
    <w:next w:val="OpiPara"/>
    <w:rsid w:val="005A63E1"/>
    <w:pPr>
      <w:ind w:left="833"/>
      <w:outlineLvl w:val="3"/>
    </w:pPr>
    <w:rPr>
      <w:b/>
      <w:i w:val="0"/>
      <w:sz w:val="20"/>
    </w:rPr>
  </w:style>
  <w:style w:type="paragraph" w:customStyle="1" w:styleId="OpiHHead">
    <w:name w:val="Opi_H_Head"/>
    <w:basedOn w:val="JuHHead"/>
    <w:next w:val="OpiPara"/>
    <w:rsid w:val="005A63E1"/>
    <w:pPr>
      <w:spacing w:before="0"/>
      <w:jc w:val="center"/>
    </w:pPr>
  </w:style>
  <w:style w:type="paragraph" w:customStyle="1" w:styleId="OpiHi">
    <w:name w:val="Opi_H_i"/>
    <w:basedOn w:val="OpiHa0"/>
    <w:next w:val="OpiPara"/>
    <w:rsid w:val="005A63E1"/>
    <w:pPr>
      <w:ind w:left="1037"/>
      <w:outlineLvl w:val="4"/>
    </w:pPr>
    <w:rPr>
      <w:b w:val="0"/>
      <w:i/>
    </w:rPr>
  </w:style>
  <w:style w:type="paragraph" w:styleId="Footer">
    <w:name w:val="footer"/>
    <w:basedOn w:val="NormalTimesNewRoman"/>
    <w:rsid w:val="005A63E1"/>
    <w:pPr>
      <w:tabs>
        <w:tab w:val="center" w:pos="3686"/>
        <w:tab w:val="right" w:pos="7371"/>
      </w:tabs>
    </w:pPr>
    <w:rPr>
      <w:sz w:val="18"/>
    </w:rPr>
  </w:style>
  <w:style w:type="paragraph" w:customStyle="1" w:styleId="JuJudges">
    <w:name w:val="Ju_Judges"/>
    <w:basedOn w:val="NormalTimesNewRoman"/>
    <w:link w:val="JuJudgesChar"/>
    <w:rsid w:val="005A63E1"/>
    <w:pPr>
      <w:tabs>
        <w:tab w:val="left" w:pos="567"/>
        <w:tab w:val="left" w:pos="1134"/>
      </w:tabs>
    </w:pPr>
  </w:style>
  <w:style w:type="character" w:customStyle="1" w:styleId="JuJudgesChar">
    <w:name w:val="Ju_Judges Char"/>
    <w:link w:val="JuJudges"/>
    <w:locked/>
    <w:rsid w:val="00D15473"/>
    <w:rPr>
      <w:sz w:val="24"/>
      <w:lang w:val="en-GB" w:eastAsia="fr-FR" w:bidi="ar-SA"/>
    </w:rPr>
  </w:style>
  <w:style w:type="paragraph" w:customStyle="1" w:styleId="JuHA">
    <w:name w:val="Ju_H_A"/>
    <w:basedOn w:val="JuHIRoman"/>
    <w:next w:val="JuPara"/>
    <w:rsid w:val="005A63E1"/>
    <w:pPr>
      <w:tabs>
        <w:tab w:val="clear" w:pos="357"/>
        <w:tab w:val="left" w:pos="584"/>
      </w:tabs>
      <w:ind w:left="584" w:hanging="352"/>
      <w:outlineLvl w:val="2"/>
    </w:pPr>
    <w:rPr>
      <w:b/>
    </w:rPr>
  </w:style>
  <w:style w:type="paragraph" w:customStyle="1" w:styleId="JuQuot">
    <w:name w:val="Ju_Quot"/>
    <w:basedOn w:val="JuPara"/>
    <w:rsid w:val="005A63E1"/>
    <w:pPr>
      <w:spacing w:before="120" w:after="120"/>
      <w:ind w:left="425" w:firstLine="142"/>
    </w:pPr>
    <w:rPr>
      <w:sz w:val="20"/>
    </w:rPr>
  </w:style>
  <w:style w:type="paragraph" w:customStyle="1" w:styleId="JuSigned">
    <w:name w:val="Ju_Signed"/>
    <w:basedOn w:val="NormalTimesNewRoman"/>
    <w:next w:val="JuParaLast"/>
    <w:link w:val="JuSignedChar"/>
    <w:rsid w:val="005A63E1"/>
    <w:pPr>
      <w:tabs>
        <w:tab w:val="center" w:pos="851"/>
        <w:tab w:val="center" w:pos="6407"/>
      </w:tabs>
      <w:spacing w:before="720"/>
    </w:pPr>
  </w:style>
  <w:style w:type="paragraph" w:customStyle="1" w:styleId="JuParaLast">
    <w:name w:val="Ju_Para_Last"/>
    <w:basedOn w:val="JuPara"/>
    <w:next w:val="JuPara"/>
    <w:rsid w:val="005A63E1"/>
    <w:pPr>
      <w:keepNext/>
      <w:keepLines/>
      <w:spacing w:before="240"/>
    </w:pPr>
  </w:style>
  <w:style w:type="character" w:customStyle="1" w:styleId="JuSignedChar">
    <w:name w:val="Ju_Signed Char"/>
    <w:link w:val="JuSigned"/>
    <w:rsid w:val="000726F6"/>
    <w:rPr>
      <w:sz w:val="24"/>
      <w:lang w:val="en-GB" w:eastAsia="fr-FR" w:bidi="ar-SA"/>
    </w:rPr>
  </w:style>
  <w:style w:type="paragraph" w:customStyle="1" w:styleId="JuCase">
    <w:name w:val="Ju_Case"/>
    <w:basedOn w:val="JuPara"/>
    <w:next w:val="JuPara"/>
    <w:link w:val="JuCaseChar"/>
    <w:rsid w:val="005A63E1"/>
    <w:rPr>
      <w:b/>
    </w:rPr>
  </w:style>
  <w:style w:type="character" w:customStyle="1" w:styleId="JuCaseChar">
    <w:name w:val="Ju_Case Char"/>
    <w:link w:val="JuCase"/>
    <w:rsid w:val="00B921A8"/>
    <w:rPr>
      <w:b/>
      <w:sz w:val="24"/>
      <w:lang w:val="en-GB" w:eastAsia="fr-FR" w:bidi="ar-SA"/>
    </w:rPr>
  </w:style>
  <w:style w:type="paragraph" w:customStyle="1" w:styleId="JuList">
    <w:name w:val="Ju_List"/>
    <w:basedOn w:val="JuPara"/>
    <w:link w:val="JuListChar"/>
    <w:rsid w:val="005A63E1"/>
    <w:pPr>
      <w:ind w:left="340" w:hanging="340"/>
    </w:pPr>
  </w:style>
  <w:style w:type="character" w:customStyle="1" w:styleId="JuListChar">
    <w:name w:val="Ju_List Char"/>
    <w:link w:val="JuList"/>
    <w:rsid w:val="00930CD7"/>
    <w:rPr>
      <w:sz w:val="24"/>
      <w:lang w:val="en-GB" w:eastAsia="fr-FR" w:bidi="ar-SA"/>
    </w:rPr>
  </w:style>
  <w:style w:type="paragraph" w:customStyle="1" w:styleId="JuHArticle">
    <w:name w:val="Ju_H_Article"/>
    <w:basedOn w:val="JuHa0"/>
    <w:next w:val="JuQuot"/>
    <w:rsid w:val="005A63E1"/>
    <w:pPr>
      <w:ind w:left="0" w:firstLine="0"/>
      <w:jc w:val="center"/>
    </w:pPr>
  </w:style>
  <w:style w:type="paragraph" w:customStyle="1" w:styleId="JuHa0">
    <w:name w:val="Ju_H_a"/>
    <w:basedOn w:val="JuH1"/>
    <w:next w:val="JuPara"/>
    <w:rsid w:val="005A63E1"/>
    <w:pPr>
      <w:tabs>
        <w:tab w:val="clear" w:pos="731"/>
        <w:tab w:val="left" w:pos="975"/>
      </w:tabs>
      <w:ind w:left="975" w:hanging="340"/>
      <w:outlineLvl w:val="4"/>
    </w:pPr>
    <w:rPr>
      <w:b/>
      <w:i w:val="0"/>
      <w:sz w:val="20"/>
    </w:rPr>
  </w:style>
  <w:style w:type="paragraph" w:customStyle="1" w:styleId="JuH1">
    <w:name w:val="Ju_H_1."/>
    <w:basedOn w:val="JuHA"/>
    <w:next w:val="JuPara"/>
    <w:rsid w:val="005A63E1"/>
    <w:pPr>
      <w:tabs>
        <w:tab w:val="clear" w:pos="584"/>
        <w:tab w:val="left" w:pos="731"/>
      </w:tabs>
      <w:spacing w:before="240" w:after="120"/>
      <w:ind w:left="732" w:hanging="301"/>
      <w:outlineLvl w:val="3"/>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5A63E1"/>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5A63E1"/>
  </w:style>
  <w:style w:type="paragraph" w:customStyle="1" w:styleId="OpiTranslation">
    <w:name w:val="Opi_Translation"/>
    <w:basedOn w:val="OpiHHead"/>
    <w:next w:val="OpiPara"/>
    <w:rsid w:val="005A63E1"/>
    <w:rPr>
      <w:i/>
      <w:sz w:val="24"/>
    </w:rPr>
  </w:style>
  <w:style w:type="paragraph" w:styleId="FootnoteText">
    <w:name w:val="footnote text"/>
    <w:basedOn w:val="Normal"/>
    <w:semiHidden/>
    <w:rsid w:val="005A63E1"/>
    <w:pPr>
      <w:jc w:val="both"/>
    </w:pPr>
    <w:rPr>
      <w:sz w:val="20"/>
    </w:rPr>
  </w:style>
  <w:style w:type="character" w:styleId="FootnoteReference">
    <w:name w:val="footnote reference"/>
    <w:semiHidden/>
    <w:rsid w:val="005A63E1"/>
    <w:rPr>
      <w:vertAlign w:val="superscript"/>
    </w:rPr>
  </w:style>
  <w:style w:type="paragraph" w:customStyle="1" w:styleId="JuHi">
    <w:name w:val="Ju_H_i"/>
    <w:basedOn w:val="JuHa0"/>
    <w:next w:val="JuPara"/>
    <w:rsid w:val="005A63E1"/>
    <w:pPr>
      <w:tabs>
        <w:tab w:val="clear" w:pos="975"/>
        <w:tab w:val="left" w:pos="1191"/>
      </w:tabs>
      <w:ind w:left="1190" w:hanging="357"/>
      <w:outlineLvl w:val="5"/>
    </w:pPr>
    <w:rPr>
      <w:b w:val="0"/>
      <w:i/>
    </w:rPr>
  </w:style>
  <w:style w:type="paragraph" w:styleId="Header">
    <w:name w:val="header"/>
    <w:basedOn w:val="NormalTimesNewRoman"/>
    <w:rsid w:val="005A63E1"/>
    <w:pPr>
      <w:tabs>
        <w:tab w:val="center" w:pos="3686"/>
        <w:tab w:val="right" w:pos="7371"/>
      </w:tabs>
    </w:pPr>
    <w:rPr>
      <w:sz w:val="18"/>
    </w:rPr>
  </w:style>
  <w:style w:type="character" w:styleId="PageNumber">
    <w:name w:val="page number"/>
    <w:rsid w:val="005A63E1"/>
    <w:rPr>
      <w:sz w:val="18"/>
    </w:rPr>
  </w:style>
  <w:style w:type="paragraph" w:customStyle="1" w:styleId="JuH">
    <w:name w:val="Ju_H_–"/>
    <w:basedOn w:val="JuHalpha"/>
    <w:next w:val="JuPara"/>
    <w:rsid w:val="005A63E1"/>
    <w:pPr>
      <w:tabs>
        <w:tab w:val="clear" w:pos="1372"/>
      </w:tabs>
      <w:ind w:left="1236" w:firstLine="0"/>
    </w:pPr>
    <w:rPr>
      <w:i/>
    </w:rPr>
  </w:style>
  <w:style w:type="paragraph" w:customStyle="1" w:styleId="JuHalpha">
    <w:name w:val="Ju_H_alpha"/>
    <w:basedOn w:val="JuHi"/>
    <w:next w:val="JuPara"/>
    <w:rsid w:val="005A63E1"/>
    <w:pPr>
      <w:tabs>
        <w:tab w:val="clear" w:pos="1191"/>
        <w:tab w:val="left" w:pos="1372"/>
      </w:tabs>
      <w:ind w:left="1373" w:hanging="335"/>
    </w:pPr>
    <w:rPr>
      <w:i w:val="0"/>
    </w:rPr>
  </w:style>
  <w:style w:type="paragraph" w:customStyle="1" w:styleId="JuLista">
    <w:name w:val="Ju_List_a"/>
    <w:basedOn w:val="JuList"/>
    <w:rsid w:val="005A63E1"/>
    <w:pPr>
      <w:ind w:left="346" w:firstLine="0"/>
    </w:pPr>
  </w:style>
  <w:style w:type="paragraph" w:customStyle="1" w:styleId="JuListi">
    <w:name w:val="Ju_List_i"/>
    <w:basedOn w:val="JuLista"/>
    <w:rsid w:val="005A63E1"/>
    <w:pPr>
      <w:ind w:left="794"/>
    </w:pPr>
  </w:style>
  <w:style w:type="character" w:styleId="CommentReference">
    <w:name w:val="annotation reference"/>
    <w:semiHidden/>
    <w:rsid w:val="005A63E1"/>
    <w:rPr>
      <w:sz w:val="16"/>
      <w:szCs w:val="16"/>
    </w:rPr>
  </w:style>
  <w:style w:type="paragraph" w:styleId="CommentText">
    <w:name w:val="annotation text"/>
    <w:basedOn w:val="Normal"/>
    <w:semiHidden/>
    <w:rsid w:val="005A63E1"/>
    <w:rPr>
      <w:sz w:val="20"/>
    </w:rPr>
  </w:style>
  <w:style w:type="paragraph" w:customStyle="1" w:styleId="JuInitialled">
    <w:name w:val="Ju_Initialled"/>
    <w:basedOn w:val="JuSigned"/>
    <w:rsid w:val="005A63E1"/>
    <w:pPr>
      <w:tabs>
        <w:tab w:val="clear" w:pos="851"/>
      </w:tabs>
      <w:jc w:val="right"/>
    </w:pPr>
  </w:style>
  <w:style w:type="paragraph" w:customStyle="1" w:styleId="JuHeader">
    <w:name w:val="Ju_Header"/>
    <w:basedOn w:val="Header"/>
    <w:rsid w:val="005A63E1"/>
  </w:style>
  <w:style w:type="paragraph" w:customStyle="1" w:styleId="DecHTitle">
    <w:name w:val="Dec_H_Title"/>
    <w:basedOn w:val="NormalTimesNewRoman"/>
    <w:rsid w:val="005A63E1"/>
    <w:pPr>
      <w:spacing w:after="240"/>
      <w:jc w:val="center"/>
      <w:outlineLvl w:val="0"/>
    </w:pPr>
    <w:rPr>
      <w:sz w:val="28"/>
    </w:rPr>
  </w:style>
  <w:style w:type="paragraph" w:customStyle="1" w:styleId="DecHCase">
    <w:name w:val="Dec_H_Case"/>
    <w:basedOn w:val="DecHTitle"/>
    <w:next w:val="JuPara"/>
    <w:rsid w:val="005A63E1"/>
    <w:rPr>
      <w:sz w:val="24"/>
    </w:rPr>
  </w:style>
  <w:style w:type="paragraph" w:customStyle="1" w:styleId="DecList">
    <w:name w:val="Dec_List"/>
    <w:basedOn w:val="NormalTimesNewRoman"/>
    <w:rsid w:val="005A63E1"/>
    <w:pPr>
      <w:spacing w:before="240"/>
      <w:ind w:left="284"/>
      <w:jc w:val="both"/>
    </w:pPr>
  </w:style>
  <w:style w:type="paragraph" w:customStyle="1" w:styleId="JuParaSub">
    <w:name w:val="Ju_Para_Sub"/>
    <w:basedOn w:val="JuPara"/>
    <w:rsid w:val="005A63E1"/>
    <w:pPr>
      <w:ind w:left="284"/>
    </w:pPr>
    <w:rPr>
      <w:szCs w:val="24"/>
    </w:rPr>
  </w:style>
  <w:style w:type="paragraph" w:customStyle="1" w:styleId="JuQuotSub">
    <w:name w:val="Ju_Quot_Sub"/>
    <w:basedOn w:val="JuQuot"/>
    <w:rsid w:val="005A63E1"/>
    <w:pPr>
      <w:ind w:left="567"/>
    </w:pPr>
  </w:style>
  <w:style w:type="paragraph" w:styleId="BalloonText">
    <w:name w:val="Balloon Text"/>
    <w:basedOn w:val="Normal"/>
    <w:semiHidden/>
    <w:rsid w:val="005A63E1"/>
    <w:rPr>
      <w:rFonts w:ascii="Tahoma" w:hAnsi="Tahoma" w:cs="Tahoma"/>
      <w:sz w:val="16"/>
      <w:szCs w:val="16"/>
    </w:rPr>
  </w:style>
  <w:style w:type="paragraph" w:styleId="CommentSubject">
    <w:name w:val="annotation subject"/>
    <w:basedOn w:val="CommentText"/>
    <w:next w:val="CommentText"/>
    <w:semiHidden/>
    <w:rsid w:val="005A63E1"/>
    <w:rPr>
      <w:b/>
      <w:bCs/>
    </w:rPr>
  </w:style>
  <w:style w:type="character" w:styleId="EndnoteReference">
    <w:name w:val="endnote reference"/>
    <w:semiHidden/>
    <w:rsid w:val="005A63E1"/>
    <w:rPr>
      <w:vertAlign w:val="superscript"/>
    </w:rPr>
  </w:style>
  <w:style w:type="paragraph" w:styleId="EndnoteText">
    <w:name w:val="endnote text"/>
    <w:basedOn w:val="Normal"/>
    <w:semiHidden/>
    <w:rsid w:val="005A63E1"/>
    <w:rPr>
      <w:sz w:val="20"/>
    </w:rPr>
  </w:style>
  <w:style w:type="character" w:styleId="FollowedHyperlink">
    <w:name w:val="FollowedHyperlink"/>
    <w:rsid w:val="005A63E1"/>
    <w:rPr>
      <w:color w:val="800080"/>
      <w:u w:val="single"/>
    </w:rPr>
  </w:style>
  <w:style w:type="paragraph" w:customStyle="1" w:styleId="SuCoverTitle1">
    <w:name w:val="Su_Cover_Title1"/>
    <w:basedOn w:val="NormalTimesNewRoman"/>
    <w:next w:val="SuCoverTitle2"/>
    <w:rsid w:val="005A63E1"/>
    <w:pPr>
      <w:spacing w:before="2500"/>
      <w:jc w:val="center"/>
    </w:pPr>
    <w:rPr>
      <w:sz w:val="22"/>
    </w:rPr>
  </w:style>
  <w:style w:type="paragraph" w:customStyle="1" w:styleId="SuCoverTitle2">
    <w:name w:val="Su_Cover_Title2"/>
    <w:basedOn w:val="SuCoverTitle1"/>
    <w:next w:val="Normal"/>
    <w:rsid w:val="005A63E1"/>
    <w:pPr>
      <w:spacing w:before="240"/>
    </w:pPr>
    <w:rPr>
      <w:sz w:val="18"/>
    </w:rPr>
  </w:style>
  <w:style w:type="paragraph" w:customStyle="1" w:styleId="SuPara">
    <w:name w:val="Su_Para"/>
    <w:basedOn w:val="SuKeywords"/>
    <w:rsid w:val="005A63E1"/>
    <w:pPr>
      <w:spacing w:before="0" w:after="0"/>
    </w:pPr>
    <w:rPr>
      <w:i w:val="0"/>
    </w:rPr>
  </w:style>
  <w:style w:type="paragraph" w:customStyle="1" w:styleId="SuKeywords">
    <w:name w:val="Su_Keywords"/>
    <w:basedOn w:val="SuHHead"/>
    <w:rsid w:val="005A63E1"/>
    <w:pPr>
      <w:spacing w:before="120"/>
    </w:pPr>
    <w:rPr>
      <w:b w:val="0"/>
      <w:i/>
    </w:rPr>
  </w:style>
  <w:style w:type="paragraph" w:customStyle="1" w:styleId="SuHHead">
    <w:name w:val="Su_H_Head"/>
    <w:basedOn w:val="SuSubject"/>
    <w:rsid w:val="005A63E1"/>
    <w:pPr>
      <w:spacing w:after="120"/>
    </w:pPr>
  </w:style>
  <w:style w:type="paragraph" w:customStyle="1" w:styleId="SuSubject">
    <w:name w:val="Su_Subject"/>
    <w:basedOn w:val="SuSummary"/>
    <w:rsid w:val="005A63E1"/>
    <w:pPr>
      <w:spacing w:before="360"/>
      <w:jc w:val="both"/>
    </w:pPr>
    <w:rPr>
      <w:b/>
      <w:sz w:val="22"/>
    </w:rPr>
  </w:style>
  <w:style w:type="paragraph" w:customStyle="1" w:styleId="SuSummary">
    <w:name w:val="Su_Summary"/>
    <w:basedOn w:val="NormalTimesNewRoman"/>
    <w:next w:val="SuSubject"/>
    <w:rsid w:val="005A63E1"/>
    <w:pPr>
      <w:spacing w:after="240"/>
      <w:jc w:val="center"/>
    </w:pPr>
  </w:style>
  <w:style w:type="paragraph" w:customStyle="1" w:styleId="OpiParaSub">
    <w:name w:val="Opi_Para_Sub"/>
    <w:basedOn w:val="JuParaSub"/>
    <w:rsid w:val="005A63E1"/>
  </w:style>
  <w:style w:type="paragraph" w:customStyle="1" w:styleId="OpiQuotSub">
    <w:name w:val="Opi_Quot_Sub"/>
    <w:basedOn w:val="JuQuotSub"/>
    <w:rsid w:val="005A63E1"/>
  </w:style>
  <w:style w:type="character" w:styleId="Hyperlink">
    <w:name w:val="Hyperlink"/>
    <w:rsid w:val="005A63E1"/>
    <w:rPr>
      <w:color w:val="0000FF"/>
      <w:u w:val="single"/>
    </w:rPr>
  </w:style>
  <w:style w:type="character" w:styleId="Strong">
    <w:name w:val="Strong"/>
    <w:qFormat/>
    <w:rsid w:val="005A63E1"/>
    <w:rPr>
      <w:b/>
      <w:bCs/>
    </w:rPr>
  </w:style>
  <w:style w:type="paragraph" w:styleId="DocumentMap">
    <w:name w:val="Document Map"/>
    <w:basedOn w:val="Normal"/>
    <w:semiHidden/>
    <w:rsid w:val="005A63E1"/>
    <w:pPr>
      <w:shd w:val="clear" w:color="auto" w:fill="000080"/>
    </w:pPr>
    <w:rPr>
      <w:rFonts w:ascii="Tahoma" w:hAnsi="Tahoma" w:cs="Tahoma"/>
      <w:sz w:val="20"/>
    </w:rPr>
  </w:style>
  <w:style w:type="character" w:customStyle="1" w:styleId="JuNames">
    <w:name w:val="Ju_Names"/>
    <w:rsid w:val="005A63E1"/>
    <w:rPr>
      <w:smallCaps/>
    </w:rPr>
  </w:style>
  <w:style w:type="paragraph" w:customStyle="1" w:styleId="NormalJustified">
    <w:name w:val="Normal_Justified"/>
    <w:basedOn w:val="NormalTimesNewRoman"/>
    <w:rsid w:val="005A63E1"/>
    <w:pPr>
      <w:jc w:val="both"/>
    </w:pPr>
  </w:style>
  <w:style w:type="paragraph" w:customStyle="1" w:styleId="JuAppQuestion">
    <w:name w:val="Ju_App_Question"/>
    <w:basedOn w:val="ListBullet"/>
    <w:rsid w:val="005A63E1"/>
    <w:pPr>
      <w:numPr>
        <w:numId w:val="3"/>
      </w:numPr>
    </w:pPr>
    <w:rPr>
      <w:b/>
      <w:color w:val="333333"/>
    </w:rPr>
  </w:style>
  <w:style w:type="paragraph" w:styleId="ListBullet">
    <w:name w:val="List Bullet"/>
    <w:basedOn w:val="NormalTimesNewRoman"/>
    <w:rsid w:val="005A63E1"/>
    <w:pPr>
      <w:numPr>
        <w:numId w:val="2"/>
      </w:numPr>
    </w:pPr>
  </w:style>
  <w:style w:type="character" w:customStyle="1" w:styleId="JuParaCar">
    <w:name w:val="Ju_Para Car"/>
    <w:rsid w:val="001D007E"/>
    <w:rPr>
      <w:sz w:val="24"/>
      <w:lang w:val="en-GB" w:eastAsia="fr-FR" w:bidi="ar-SA"/>
    </w:rPr>
  </w:style>
  <w:style w:type="paragraph" w:customStyle="1" w:styleId="ju-005fh-005f1-002e">
    <w:name w:val="ju-005fh-005f1-002e"/>
    <w:basedOn w:val="Normal"/>
    <w:rsid w:val="00AC1D7C"/>
    <w:pPr>
      <w:suppressAutoHyphens w:val="0"/>
      <w:spacing w:before="100" w:beforeAutospacing="1" w:after="100" w:afterAutospacing="1"/>
    </w:pPr>
    <w:rPr>
      <w:szCs w:val="24"/>
      <w:lang w:eastAsia="en-GB"/>
    </w:rPr>
  </w:style>
  <w:style w:type="paragraph" w:customStyle="1" w:styleId="ju-005fpara-002cleft-002cfirst-0020line-003a-0020-00200-0020cm">
    <w:name w:val="ju-005fpara-002cleft-002cfirst-0020line-003a-0020-00200-0020cm"/>
    <w:basedOn w:val="Normal"/>
    <w:rsid w:val="00AC1D7C"/>
    <w:pPr>
      <w:suppressAutoHyphens w:val="0"/>
      <w:spacing w:before="100" w:beforeAutospacing="1" w:after="100" w:afterAutospacing="1"/>
    </w:pPr>
    <w:rPr>
      <w:szCs w:val="24"/>
      <w:lang w:eastAsia="en-GB"/>
    </w:rPr>
  </w:style>
  <w:style w:type="character" w:customStyle="1" w:styleId="ju-005fpara-002cleft-002cfirst-0020line-003a-0020-00200-0020cm--char">
    <w:name w:val="ju-005fpara-002cleft-002cfirst-0020line-003a-0020-00200-0020cm--char"/>
    <w:basedOn w:val="DefaultParagraphFont"/>
    <w:rsid w:val="00AC1D7C"/>
  </w:style>
  <w:style w:type="paragraph" w:customStyle="1" w:styleId="ju-005fh-005fa">
    <w:name w:val="ju-005fh-005fa"/>
    <w:basedOn w:val="Normal"/>
    <w:rsid w:val="00AC1D7C"/>
    <w:pPr>
      <w:suppressAutoHyphens w:val="0"/>
      <w:spacing w:before="100" w:beforeAutospacing="1" w:after="100" w:afterAutospacing="1"/>
    </w:pPr>
    <w:rPr>
      <w:szCs w:val="24"/>
      <w:lang w:eastAsia="en-GB"/>
    </w:rPr>
  </w:style>
  <w:style w:type="paragraph" w:customStyle="1" w:styleId="ju-005fh-005fi-005froman">
    <w:name w:val="ju-005fh-005fi-005froman"/>
    <w:basedOn w:val="Normal"/>
    <w:rsid w:val="00485D33"/>
    <w:pPr>
      <w:suppressAutoHyphens w:val="0"/>
      <w:spacing w:before="100" w:beforeAutospacing="1" w:after="100" w:afterAutospacing="1"/>
    </w:pPr>
    <w:rPr>
      <w:szCs w:val="24"/>
      <w:lang w:eastAsia="en-GB"/>
    </w:rPr>
  </w:style>
  <w:style w:type="paragraph" w:customStyle="1" w:styleId="ju-005fpara">
    <w:name w:val="ju-005fpara"/>
    <w:basedOn w:val="Normal"/>
    <w:rsid w:val="00485D33"/>
    <w:pPr>
      <w:suppressAutoHyphens w:val="0"/>
      <w:spacing w:before="100" w:beforeAutospacing="1" w:after="100" w:afterAutospacing="1"/>
    </w:pPr>
    <w:rPr>
      <w:szCs w:val="24"/>
      <w:lang w:eastAsia="en-GB"/>
    </w:rPr>
  </w:style>
  <w:style w:type="paragraph" w:customStyle="1" w:styleId="ju-005fh-005farticle">
    <w:name w:val="ju-005fh-005farticle"/>
    <w:basedOn w:val="Normal"/>
    <w:rsid w:val="00485D33"/>
    <w:pPr>
      <w:suppressAutoHyphens w:val="0"/>
      <w:spacing w:before="100" w:beforeAutospacing="1" w:after="100" w:afterAutospacing="1"/>
    </w:pPr>
    <w:rPr>
      <w:szCs w:val="24"/>
      <w:lang w:eastAsia="en-GB"/>
    </w:rPr>
  </w:style>
  <w:style w:type="paragraph" w:customStyle="1" w:styleId="ju-005fquot">
    <w:name w:val="ju-005fquot"/>
    <w:basedOn w:val="Normal"/>
    <w:rsid w:val="00485D33"/>
    <w:pPr>
      <w:suppressAutoHyphens w:val="0"/>
      <w:spacing w:before="100" w:beforeAutospacing="1" w:after="100" w:afterAutospacing="1"/>
    </w:pPr>
    <w:rPr>
      <w:szCs w:val="24"/>
      <w:lang w:eastAsia="en-GB"/>
    </w:rPr>
  </w:style>
  <w:style w:type="character" w:customStyle="1" w:styleId="ju-005fpara--char">
    <w:name w:val="ju-005fpara--char"/>
    <w:basedOn w:val="DefaultParagraphFont"/>
    <w:rsid w:val="00485D33"/>
  </w:style>
  <w:style w:type="character" w:customStyle="1" w:styleId="ju----005fpara--------char----char--char">
    <w:name w:val="ju----005fpara--------char----char--char"/>
    <w:basedOn w:val="DefaultParagraphFont"/>
    <w:rsid w:val="00B9291E"/>
  </w:style>
  <w:style w:type="character" w:customStyle="1" w:styleId="ju--005fpara--002cleft--002cfirst--0020line--003a--0020--00200--0020cm----char--char">
    <w:name w:val="ju--005fpara--002cleft--002cfirst--0020line--003a--0020--00200--0020cm----char--char"/>
    <w:basedOn w:val="DefaultParagraphFont"/>
    <w:rsid w:val="00B9291E"/>
  </w:style>
  <w:style w:type="character" w:customStyle="1" w:styleId="ju-005fpara-0020char1-0020char--char">
    <w:name w:val="ju-005fpara-0020char1-0020char--char"/>
    <w:basedOn w:val="DefaultParagraphFont"/>
    <w:rsid w:val="00615C6E"/>
  </w:style>
  <w:style w:type="character" w:customStyle="1" w:styleId="ju--005fpara----char--char">
    <w:name w:val="ju--005fpara----char--char"/>
    <w:basedOn w:val="DefaultParagraphFont"/>
    <w:rsid w:val="00100BE9"/>
  </w:style>
  <w:style w:type="paragraph" w:customStyle="1" w:styleId="ju-005flist">
    <w:name w:val="ju-005flist"/>
    <w:basedOn w:val="Normal"/>
    <w:rsid w:val="002D6A70"/>
    <w:pPr>
      <w:suppressAutoHyphens w:val="0"/>
      <w:spacing w:before="100" w:beforeAutospacing="1" w:after="100" w:afterAutospacing="1"/>
    </w:pPr>
    <w:rPr>
      <w:szCs w:val="24"/>
      <w:lang w:eastAsia="en-GB"/>
    </w:rPr>
  </w:style>
  <w:style w:type="character" w:customStyle="1" w:styleId="ju-005flist--char">
    <w:name w:val="ju-005flist--char"/>
    <w:basedOn w:val="DefaultParagraphFont"/>
    <w:rsid w:val="002D6A70"/>
  </w:style>
  <w:style w:type="character" w:customStyle="1" w:styleId="ju--005flist----char--char">
    <w:name w:val="ju--005flist----char--char"/>
    <w:basedOn w:val="DefaultParagraphFont"/>
    <w:rsid w:val="002D6A70"/>
  </w:style>
  <w:style w:type="character" w:styleId="Emphasis">
    <w:name w:val="Emphasis"/>
    <w:qFormat/>
    <w:rsid w:val="005A63E1"/>
    <w:rPr>
      <w:i/>
      <w:iCs/>
    </w:rPr>
  </w:style>
  <w:style w:type="paragraph" w:customStyle="1" w:styleId="PubJuPara">
    <w:name w:val="Pub_Ju_Para"/>
    <w:basedOn w:val="NormalTimesNewRoman"/>
    <w:rsid w:val="005A63E1"/>
    <w:pPr>
      <w:ind w:firstLine="284"/>
      <w:jc w:val="both"/>
    </w:pPr>
  </w:style>
  <w:style w:type="paragraph" w:customStyle="1" w:styleId="PubJuQuot">
    <w:name w:val="Pub_Ju_Quot"/>
    <w:basedOn w:val="NormalTimesNewRoman"/>
    <w:rsid w:val="005A63E1"/>
    <w:pPr>
      <w:spacing w:before="120" w:after="120"/>
      <w:ind w:left="403" w:firstLine="176"/>
      <w:jc w:val="both"/>
    </w:pPr>
    <w:rPr>
      <w:sz w:val="20"/>
    </w:rPr>
  </w:style>
  <w:style w:type="paragraph" w:customStyle="1" w:styleId="PubListArticleSubject">
    <w:name w:val="Pub_List_ArticleSubject"/>
    <w:basedOn w:val="NormalTimesNewRoman"/>
    <w:rsid w:val="005A63E1"/>
    <w:pPr>
      <w:tabs>
        <w:tab w:val="left" w:pos="2977"/>
      </w:tabs>
      <w:ind w:left="2977" w:hanging="2977"/>
    </w:pPr>
  </w:style>
  <w:style w:type="paragraph" w:customStyle="1" w:styleId="PubListCaseNo">
    <w:name w:val="Pub_List_CaseNo"/>
    <w:basedOn w:val="NormalTimesNewRoman"/>
    <w:rsid w:val="005A63E1"/>
    <w:pPr>
      <w:tabs>
        <w:tab w:val="left" w:pos="1276"/>
      </w:tabs>
      <w:spacing w:line="288" w:lineRule="auto"/>
      <w:ind w:left="1276" w:hanging="1276"/>
    </w:pPr>
  </w:style>
  <w:style w:type="paragraph" w:customStyle="1" w:styleId="PubListCases">
    <w:name w:val="Pub_List_Cases"/>
    <w:basedOn w:val="NormalTimesNewRoman"/>
    <w:rsid w:val="005A63E1"/>
    <w:pPr>
      <w:spacing w:line="288" w:lineRule="auto"/>
    </w:pPr>
  </w:style>
  <w:style w:type="paragraph" w:customStyle="1" w:styleId="PubTextIntro">
    <w:name w:val="Pub_Text_Intro"/>
    <w:basedOn w:val="NormalTimesNewRoman"/>
    <w:rsid w:val="005A63E1"/>
    <w:pPr>
      <w:jc w:val="both"/>
    </w:pPr>
    <w:rPr>
      <w:i/>
      <w:sz w:val="20"/>
    </w:rPr>
  </w:style>
  <w:style w:type="paragraph" w:customStyle="1" w:styleId="PubTitleCover">
    <w:name w:val="Pub_Title_Cover"/>
    <w:basedOn w:val="NormalTimesNewRoman"/>
    <w:rsid w:val="005A63E1"/>
    <w:pPr>
      <w:spacing w:before="2500"/>
      <w:jc w:val="center"/>
    </w:pPr>
    <w:rPr>
      <w:b/>
      <w:smallCaps/>
      <w:sz w:val="30"/>
    </w:rPr>
  </w:style>
  <w:style w:type="paragraph" w:customStyle="1" w:styleId="PubTitle1Alpha">
    <w:name w:val="Pub_Title1_Alpha"/>
    <w:basedOn w:val="NormalTimesNewRoman"/>
    <w:next w:val="Normal"/>
    <w:rsid w:val="005A63E1"/>
    <w:pPr>
      <w:spacing w:after="120"/>
      <w:jc w:val="center"/>
    </w:pPr>
    <w:rPr>
      <w:b/>
      <w:smallCaps/>
      <w:sz w:val="30"/>
    </w:rPr>
  </w:style>
  <w:style w:type="paragraph" w:customStyle="1" w:styleId="PubTitle1IndexArticle">
    <w:name w:val="Pub_Title1_IndexArticle"/>
    <w:basedOn w:val="NormalTimesNewRoman"/>
    <w:rsid w:val="005A63E1"/>
    <w:pPr>
      <w:spacing w:after="120"/>
      <w:jc w:val="center"/>
    </w:pPr>
    <w:rPr>
      <w:b/>
      <w:smallCaps/>
      <w:sz w:val="30"/>
    </w:rPr>
  </w:style>
  <w:style w:type="paragraph" w:customStyle="1" w:styleId="PubTitle1IndexKey">
    <w:name w:val="Pub_Title1_IndexKey"/>
    <w:basedOn w:val="NormalTimesNewRoman"/>
    <w:rsid w:val="005A63E1"/>
    <w:pPr>
      <w:spacing w:after="600"/>
      <w:jc w:val="center"/>
    </w:pPr>
    <w:rPr>
      <w:b/>
      <w:smallCaps/>
      <w:sz w:val="30"/>
    </w:rPr>
  </w:style>
  <w:style w:type="paragraph" w:customStyle="1" w:styleId="PubTitle1Num">
    <w:name w:val="Pub_Title1_Num"/>
    <w:basedOn w:val="NormalTimesNewRoman"/>
    <w:next w:val="PubListCaseNo"/>
    <w:rsid w:val="005A63E1"/>
    <w:pPr>
      <w:spacing w:after="720"/>
      <w:jc w:val="center"/>
    </w:pPr>
    <w:rPr>
      <w:b/>
      <w:smallCaps/>
      <w:sz w:val="30"/>
    </w:rPr>
  </w:style>
  <w:style w:type="paragraph" w:customStyle="1" w:styleId="PubTitle2Country">
    <w:name w:val="Pub_Title2_Country"/>
    <w:basedOn w:val="NormalTimesNewRoman"/>
    <w:next w:val="PubListCases"/>
    <w:rsid w:val="005A63E1"/>
    <w:pPr>
      <w:keepNext/>
      <w:keepLines/>
      <w:spacing w:before="600" w:after="360"/>
    </w:pPr>
    <w:rPr>
      <w:b/>
    </w:rPr>
  </w:style>
  <w:style w:type="paragraph" w:customStyle="1" w:styleId="PubTitle2Letters">
    <w:name w:val="Pub_Title2_Letters"/>
    <w:basedOn w:val="NormalTimesNewRoman"/>
    <w:next w:val="PubListCases"/>
    <w:rsid w:val="005A63E1"/>
    <w:pPr>
      <w:keepNext/>
      <w:keepLines/>
      <w:spacing w:before="600" w:after="360"/>
    </w:pPr>
    <w:rPr>
      <w:b/>
      <w:sz w:val="28"/>
    </w:rPr>
  </w:style>
  <w:style w:type="paragraph" w:customStyle="1" w:styleId="PubTitle2Part">
    <w:name w:val="Pub_Title2_Part"/>
    <w:basedOn w:val="NormalTimesNewRoman"/>
    <w:rsid w:val="005A63E1"/>
    <w:pPr>
      <w:keepNext/>
      <w:keepLines/>
      <w:spacing w:before="600" w:after="240"/>
      <w:jc w:val="center"/>
    </w:pPr>
    <w:rPr>
      <w:b/>
      <w:caps/>
    </w:rPr>
  </w:style>
  <w:style w:type="paragraph" w:customStyle="1" w:styleId="PubTitle3Article">
    <w:name w:val="Pub_Title3_Article"/>
    <w:basedOn w:val="NormalTimesNewRoman"/>
    <w:rsid w:val="005A63E1"/>
    <w:pPr>
      <w:keepNext/>
      <w:keepLines/>
      <w:spacing w:before="360" w:after="120"/>
      <w:jc w:val="center"/>
    </w:pPr>
    <w:rPr>
      <w:b/>
      <w:smallCaps/>
      <w:sz w:val="22"/>
    </w:rPr>
  </w:style>
  <w:style w:type="paragraph" w:customStyle="1" w:styleId="PubTitle4ArticleSub">
    <w:name w:val="Pub_Title4_Article_Sub"/>
    <w:basedOn w:val="PubTitle3Article"/>
    <w:rsid w:val="005A63E1"/>
    <w:pPr>
      <w:spacing w:before="240"/>
    </w:pPr>
    <w:rPr>
      <w:smallCaps w:val="0"/>
      <w:sz w:val="20"/>
    </w:rPr>
  </w:style>
  <w:style w:type="paragraph" w:customStyle="1" w:styleId="PubTitle5Subject">
    <w:name w:val="Pub_Title5_Subject"/>
    <w:basedOn w:val="NormalTimesNewRoman"/>
    <w:rsid w:val="005A63E1"/>
    <w:pPr>
      <w:keepNext/>
      <w:keepLines/>
      <w:spacing w:before="240" w:after="120"/>
      <w:jc w:val="both"/>
    </w:pPr>
    <w:rPr>
      <w:b/>
      <w:i/>
    </w:rPr>
  </w:style>
  <w:style w:type="paragraph" w:customStyle="1" w:styleId="PubTitle6SubjectSub">
    <w:name w:val="Pub_Title6_Subject_Sub"/>
    <w:basedOn w:val="NormalTimesNewRoman"/>
    <w:rsid w:val="005A63E1"/>
    <w:pPr>
      <w:keepNext/>
      <w:keepLines/>
      <w:spacing w:before="240" w:after="120"/>
      <w:ind w:left="284"/>
      <w:jc w:val="both"/>
    </w:pPr>
    <w:rPr>
      <w:b/>
      <w:sz w:val="20"/>
    </w:rPr>
  </w:style>
  <w:style w:type="paragraph" w:customStyle="1" w:styleId="PubTitle7CaseName">
    <w:name w:val="Pub_Title7_CaseName"/>
    <w:basedOn w:val="NormalTimesNewRoman"/>
    <w:rsid w:val="005A63E1"/>
    <w:pPr>
      <w:keepLines/>
      <w:spacing w:after="240"/>
      <w:jc w:val="right"/>
    </w:pPr>
    <w:rPr>
      <w:sz w:val="22"/>
    </w:rPr>
  </w:style>
  <w:style w:type="numbering" w:styleId="111111">
    <w:name w:val="Outline List 2"/>
    <w:basedOn w:val="NoList"/>
    <w:rsid w:val="005A63E1"/>
    <w:pPr>
      <w:numPr>
        <w:numId w:val="16"/>
      </w:numPr>
    </w:pPr>
  </w:style>
  <w:style w:type="numbering" w:styleId="1ai">
    <w:name w:val="Outline List 1"/>
    <w:basedOn w:val="NoList"/>
    <w:rsid w:val="005A63E1"/>
    <w:pPr>
      <w:numPr>
        <w:numId w:val="17"/>
      </w:numPr>
    </w:pPr>
  </w:style>
  <w:style w:type="numbering" w:styleId="ArticleSection">
    <w:name w:val="Outline List 3"/>
    <w:basedOn w:val="NoList"/>
    <w:rsid w:val="005A63E1"/>
    <w:pPr>
      <w:numPr>
        <w:numId w:val="18"/>
      </w:numPr>
    </w:pPr>
  </w:style>
  <w:style w:type="paragraph" w:styleId="BlockText">
    <w:name w:val="Block Text"/>
    <w:basedOn w:val="Normal"/>
    <w:rsid w:val="005A63E1"/>
    <w:pPr>
      <w:spacing w:after="120"/>
      <w:ind w:left="1440" w:right="1440"/>
    </w:pPr>
  </w:style>
  <w:style w:type="paragraph" w:styleId="BodyText">
    <w:name w:val="Body Text"/>
    <w:basedOn w:val="Normal"/>
    <w:rsid w:val="005A63E1"/>
    <w:pPr>
      <w:spacing w:after="120"/>
    </w:pPr>
  </w:style>
  <w:style w:type="paragraph" w:styleId="BodyText2">
    <w:name w:val="Body Text 2"/>
    <w:basedOn w:val="Normal"/>
    <w:rsid w:val="005A63E1"/>
    <w:pPr>
      <w:spacing w:after="120" w:line="480" w:lineRule="auto"/>
    </w:pPr>
  </w:style>
  <w:style w:type="paragraph" w:styleId="BodyText3">
    <w:name w:val="Body Text 3"/>
    <w:basedOn w:val="Normal"/>
    <w:rsid w:val="005A63E1"/>
    <w:pPr>
      <w:spacing w:after="120"/>
    </w:pPr>
    <w:rPr>
      <w:sz w:val="16"/>
      <w:szCs w:val="16"/>
    </w:rPr>
  </w:style>
  <w:style w:type="paragraph" w:styleId="BodyTextFirstIndent">
    <w:name w:val="Body Text First Indent"/>
    <w:basedOn w:val="BodyText"/>
    <w:rsid w:val="005A63E1"/>
    <w:pPr>
      <w:ind w:firstLine="210"/>
    </w:pPr>
  </w:style>
  <w:style w:type="paragraph" w:styleId="BodyTextIndent">
    <w:name w:val="Body Text Indent"/>
    <w:basedOn w:val="Normal"/>
    <w:rsid w:val="005A63E1"/>
    <w:pPr>
      <w:spacing w:after="120"/>
      <w:ind w:left="283"/>
    </w:pPr>
  </w:style>
  <w:style w:type="paragraph" w:styleId="BodyTextFirstIndent2">
    <w:name w:val="Body Text First Indent 2"/>
    <w:basedOn w:val="BodyTextIndent"/>
    <w:rsid w:val="005A63E1"/>
    <w:pPr>
      <w:ind w:firstLine="210"/>
    </w:pPr>
  </w:style>
  <w:style w:type="paragraph" w:styleId="BodyTextIndent2">
    <w:name w:val="Body Text Indent 2"/>
    <w:basedOn w:val="Normal"/>
    <w:rsid w:val="005A63E1"/>
    <w:pPr>
      <w:spacing w:after="120" w:line="480" w:lineRule="auto"/>
      <w:ind w:left="283"/>
    </w:pPr>
  </w:style>
  <w:style w:type="paragraph" w:styleId="BodyTextIndent3">
    <w:name w:val="Body Text Indent 3"/>
    <w:basedOn w:val="Normal"/>
    <w:rsid w:val="005A63E1"/>
    <w:pPr>
      <w:spacing w:after="120"/>
      <w:ind w:left="283"/>
    </w:pPr>
    <w:rPr>
      <w:sz w:val="16"/>
      <w:szCs w:val="16"/>
    </w:rPr>
  </w:style>
  <w:style w:type="paragraph" w:styleId="Caption">
    <w:name w:val="caption"/>
    <w:basedOn w:val="Normal"/>
    <w:next w:val="Normal"/>
    <w:qFormat/>
    <w:rsid w:val="005A63E1"/>
    <w:rPr>
      <w:b/>
      <w:bCs/>
      <w:sz w:val="20"/>
    </w:rPr>
  </w:style>
  <w:style w:type="paragraph" w:styleId="Closing">
    <w:name w:val="Closing"/>
    <w:basedOn w:val="Normal"/>
    <w:rsid w:val="005A63E1"/>
    <w:pPr>
      <w:ind w:left="4252"/>
    </w:pPr>
  </w:style>
  <w:style w:type="paragraph" w:styleId="Date">
    <w:name w:val="Date"/>
    <w:basedOn w:val="Normal"/>
    <w:next w:val="Normal"/>
    <w:rsid w:val="005A63E1"/>
  </w:style>
  <w:style w:type="paragraph" w:styleId="E-mailSignature">
    <w:name w:val="E-mail Signature"/>
    <w:basedOn w:val="Normal"/>
    <w:rsid w:val="005A63E1"/>
  </w:style>
  <w:style w:type="paragraph" w:styleId="EnvelopeAddress">
    <w:name w:val="envelope address"/>
    <w:basedOn w:val="Normal"/>
    <w:rsid w:val="005A63E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5A63E1"/>
    <w:rPr>
      <w:rFonts w:ascii="Arial" w:hAnsi="Arial" w:cs="Arial"/>
      <w:sz w:val="20"/>
    </w:rPr>
  </w:style>
  <w:style w:type="character" w:styleId="HTMLAcronym">
    <w:name w:val="HTML Acronym"/>
    <w:basedOn w:val="DefaultParagraphFont"/>
    <w:rsid w:val="005A63E1"/>
  </w:style>
  <w:style w:type="paragraph" w:styleId="HTMLAddress">
    <w:name w:val="HTML Address"/>
    <w:basedOn w:val="Normal"/>
    <w:rsid w:val="005A63E1"/>
    <w:rPr>
      <w:i/>
      <w:iCs/>
    </w:rPr>
  </w:style>
  <w:style w:type="character" w:styleId="HTMLCite">
    <w:name w:val="HTML Cite"/>
    <w:rsid w:val="005A63E1"/>
    <w:rPr>
      <w:i/>
      <w:iCs/>
    </w:rPr>
  </w:style>
  <w:style w:type="character" w:styleId="HTMLCode">
    <w:name w:val="HTML Code"/>
    <w:rsid w:val="005A63E1"/>
    <w:rPr>
      <w:rFonts w:ascii="Courier New" w:hAnsi="Courier New" w:cs="Courier New"/>
      <w:sz w:val="20"/>
      <w:szCs w:val="20"/>
    </w:rPr>
  </w:style>
  <w:style w:type="character" w:styleId="HTMLDefinition">
    <w:name w:val="HTML Definition"/>
    <w:rsid w:val="005A63E1"/>
    <w:rPr>
      <w:i/>
      <w:iCs/>
    </w:rPr>
  </w:style>
  <w:style w:type="character" w:styleId="HTMLKeyboard">
    <w:name w:val="HTML Keyboard"/>
    <w:rsid w:val="005A63E1"/>
    <w:rPr>
      <w:rFonts w:ascii="Courier New" w:hAnsi="Courier New" w:cs="Courier New"/>
      <w:sz w:val="20"/>
      <w:szCs w:val="20"/>
    </w:rPr>
  </w:style>
  <w:style w:type="paragraph" w:styleId="HTMLPreformatted">
    <w:name w:val="HTML Preformatted"/>
    <w:basedOn w:val="Normal"/>
    <w:rsid w:val="005A63E1"/>
    <w:rPr>
      <w:rFonts w:ascii="Courier New" w:hAnsi="Courier New" w:cs="Courier New"/>
      <w:sz w:val="20"/>
    </w:rPr>
  </w:style>
  <w:style w:type="character" w:styleId="HTMLSample">
    <w:name w:val="HTML Sample"/>
    <w:rsid w:val="005A63E1"/>
    <w:rPr>
      <w:rFonts w:ascii="Courier New" w:hAnsi="Courier New" w:cs="Courier New"/>
    </w:rPr>
  </w:style>
  <w:style w:type="character" w:styleId="HTMLTypewriter">
    <w:name w:val="HTML Typewriter"/>
    <w:rsid w:val="005A63E1"/>
    <w:rPr>
      <w:rFonts w:ascii="Courier New" w:hAnsi="Courier New" w:cs="Courier New"/>
      <w:sz w:val="20"/>
      <w:szCs w:val="20"/>
    </w:rPr>
  </w:style>
  <w:style w:type="character" w:styleId="HTMLVariable">
    <w:name w:val="HTML Variable"/>
    <w:rsid w:val="005A63E1"/>
    <w:rPr>
      <w:i/>
      <w:iCs/>
    </w:rPr>
  </w:style>
  <w:style w:type="paragraph" w:styleId="Index1">
    <w:name w:val="index 1"/>
    <w:basedOn w:val="Normal"/>
    <w:next w:val="Normal"/>
    <w:autoRedefine/>
    <w:semiHidden/>
    <w:rsid w:val="005A63E1"/>
    <w:pPr>
      <w:ind w:left="240" w:hanging="240"/>
    </w:pPr>
  </w:style>
  <w:style w:type="paragraph" w:styleId="Index2">
    <w:name w:val="index 2"/>
    <w:basedOn w:val="Normal"/>
    <w:next w:val="Normal"/>
    <w:autoRedefine/>
    <w:semiHidden/>
    <w:rsid w:val="005A63E1"/>
    <w:pPr>
      <w:ind w:left="480" w:hanging="240"/>
    </w:pPr>
  </w:style>
  <w:style w:type="paragraph" w:styleId="Index3">
    <w:name w:val="index 3"/>
    <w:basedOn w:val="Normal"/>
    <w:next w:val="Normal"/>
    <w:autoRedefine/>
    <w:semiHidden/>
    <w:rsid w:val="005A63E1"/>
    <w:pPr>
      <w:ind w:left="720" w:hanging="240"/>
    </w:pPr>
  </w:style>
  <w:style w:type="paragraph" w:styleId="Index4">
    <w:name w:val="index 4"/>
    <w:basedOn w:val="Normal"/>
    <w:next w:val="Normal"/>
    <w:autoRedefine/>
    <w:semiHidden/>
    <w:rsid w:val="005A63E1"/>
    <w:pPr>
      <w:ind w:left="960" w:hanging="240"/>
    </w:pPr>
  </w:style>
  <w:style w:type="paragraph" w:styleId="Index5">
    <w:name w:val="index 5"/>
    <w:basedOn w:val="Normal"/>
    <w:next w:val="Normal"/>
    <w:autoRedefine/>
    <w:semiHidden/>
    <w:rsid w:val="005A63E1"/>
    <w:pPr>
      <w:ind w:left="1200" w:hanging="240"/>
    </w:pPr>
  </w:style>
  <w:style w:type="paragraph" w:styleId="Index6">
    <w:name w:val="index 6"/>
    <w:basedOn w:val="Normal"/>
    <w:next w:val="Normal"/>
    <w:autoRedefine/>
    <w:semiHidden/>
    <w:rsid w:val="005A63E1"/>
    <w:pPr>
      <w:ind w:left="1440" w:hanging="240"/>
    </w:pPr>
  </w:style>
  <w:style w:type="paragraph" w:styleId="Index7">
    <w:name w:val="index 7"/>
    <w:basedOn w:val="Normal"/>
    <w:next w:val="Normal"/>
    <w:autoRedefine/>
    <w:semiHidden/>
    <w:rsid w:val="005A63E1"/>
    <w:pPr>
      <w:ind w:left="1680" w:hanging="240"/>
    </w:pPr>
  </w:style>
  <w:style w:type="paragraph" w:styleId="Index8">
    <w:name w:val="index 8"/>
    <w:basedOn w:val="Normal"/>
    <w:next w:val="Normal"/>
    <w:autoRedefine/>
    <w:semiHidden/>
    <w:rsid w:val="005A63E1"/>
    <w:pPr>
      <w:ind w:left="1920" w:hanging="240"/>
    </w:pPr>
  </w:style>
  <w:style w:type="paragraph" w:styleId="Index9">
    <w:name w:val="index 9"/>
    <w:basedOn w:val="Normal"/>
    <w:next w:val="Normal"/>
    <w:autoRedefine/>
    <w:semiHidden/>
    <w:rsid w:val="005A63E1"/>
    <w:pPr>
      <w:ind w:left="2160" w:hanging="240"/>
    </w:pPr>
  </w:style>
  <w:style w:type="paragraph" w:styleId="IndexHeading">
    <w:name w:val="index heading"/>
    <w:basedOn w:val="Normal"/>
    <w:next w:val="Index1"/>
    <w:semiHidden/>
    <w:rsid w:val="005A63E1"/>
    <w:rPr>
      <w:rFonts w:ascii="Arial" w:hAnsi="Arial" w:cs="Arial"/>
      <w:b/>
      <w:bCs/>
    </w:rPr>
  </w:style>
  <w:style w:type="character" w:styleId="LineNumber">
    <w:name w:val="line number"/>
    <w:basedOn w:val="DefaultParagraphFont"/>
    <w:rsid w:val="005A63E1"/>
  </w:style>
  <w:style w:type="paragraph" w:styleId="List">
    <w:name w:val="List"/>
    <w:basedOn w:val="Normal"/>
    <w:rsid w:val="005A63E1"/>
    <w:pPr>
      <w:ind w:left="283" w:hanging="283"/>
    </w:pPr>
  </w:style>
  <w:style w:type="paragraph" w:styleId="List2">
    <w:name w:val="List 2"/>
    <w:basedOn w:val="Normal"/>
    <w:rsid w:val="005A63E1"/>
    <w:pPr>
      <w:ind w:left="566" w:hanging="283"/>
    </w:pPr>
  </w:style>
  <w:style w:type="paragraph" w:styleId="List3">
    <w:name w:val="List 3"/>
    <w:basedOn w:val="Normal"/>
    <w:rsid w:val="005A63E1"/>
    <w:pPr>
      <w:ind w:left="849" w:hanging="283"/>
    </w:pPr>
  </w:style>
  <w:style w:type="paragraph" w:styleId="List4">
    <w:name w:val="List 4"/>
    <w:basedOn w:val="Normal"/>
    <w:rsid w:val="005A63E1"/>
    <w:pPr>
      <w:ind w:left="1132" w:hanging="283"/>
    </w:pPr>
  </w:style>
  <w:style w:type="paragraph" w:styleId="List5">
    <w:name w:val="List 5"/>
    <w:basedOn w:val="Normal"/>
    <w:rsid w:val="005A63E1"/>
    <w:pPr>
      <w:ind w:left="1415" w:hanging="283"/>
    </w:pPr>
  </w:style>
  <w:style w:type="paragraph" w:styleId="ListBullet2">
    <w:name w:val="List Bullet 2"/>
    <w:basedOn w:val="Normal"/>
    <w:rsid w:val="005A63E1"/>
    <w:pPr>
      <w:numPr>
        <w:numId w:val="7"/>
      </w:numPr>
    </w:pPr>
  </w:style>
  <w:style w:type="paragraph" w:styleId="ListBullet3">
    <w:name w:val="List Bullet 3"/>
    <w:basedOn w:val="Normal"/>
    <w:rsid w:val="005A63E1"/>
    <w:pPr>
      <w:numPr>
        <w:numId w:val="8"/>
      </w:numPr>
    </w:pPr>
  </w:style>
  <w:style w:type="paragraph" w:styleId="ListBullet4">
    <w:name w:val="List Bullet 4"/>
    <w:basedOn w:val="Normal"/>
    <w:rsid w:val="005A63E1"/>
    <w:pPr>
      <w:numPr>
        <w:numId w:val="9"/>
      </w:numPr>
    </w:pPr>
  </w:style>
  <w:style w:type="paragraph" w:styleId="ListBullet5">
    <w:name w:val="List Bullet 5"/>
    <w:basedOn w:val="Normal"/>
    <w:rsid w:val="005A63E1"/>
    <w:pPr>
      <w:numPr>
        <w:numId w:val="10"/>
      </w:numPr>
    </w:pPr>
  </w:style>
  <w:style w:type="paragraph" w:styleId="ListContinue">
    <w:name w:val="List Continue"/>
    <w:basedOn w:val="Normal"/>
    <w:rsid w:val="005A63E1"/>
    <w:pPr>
      <w:spacing w:after="120"/>
      <w:ind w:left="283"/>
    </w:pPr>
  </w:style>
  <w:style w:type="paragraph" w:styleId="ListContinue2">
    <w:name w:val="List Continue 2"/>
    <w:basedOn w:val="Normal"/>
    <w:rsid w:val="005A63E1"/>
    <w:pPr>
      <w:spacing w:after="120"/>
      <w:ind w:left="566"/>
    </w:pPr>
  </w:style>
  <w:style w:type="paragraph" w:styleId="ListContinue3">
    <w:name w:val="List Continue 3"/>
    <w:basedOn w:val="Normal"/>
    <w:rsid w:val="005A63E1"/>
    <w:pPr>
      <w:spacing w:after="120"/>
      <w:ind w:left="849"/>
    </w:pPr>
  </w:style>
  <w:style w:type="paragraph" w:styleId="ListContinue4">
    <w:name w:val="List Continue 4"/>
    <w:basedOn w:val="Normal"/>
    <w:rsid w:val="005A63E1"/>
    <w:pPr>
      <w:spacing w:after="120"/>
      <w:ind w:left="1132"/>
    </w:pPr>
  </w:style>
  <w:style w:type="paragraph" w:styleId="ListContinue5">
    <w:name w:val="List Continue 5"/>
    <w:basedOn w:val="Normal"/>
    <w:rsid w:val="005A63E1"/>
    <w:pPr>
      <w:spacing w:after="120"/>
      <w:ind w:left="1415"/>
    </w:pPr>
  </w:style>
  <w:style w:type="paragraph" w:styleId="ListNumber">
    <w:name w:val="List Number"/>
    <w:basedOn w:val="Normal"/>
    <w:rsid w:val="005A63E1"/>
    <w:pPr>
      <w:numPr>
        <w:numId w:val="11"/>
      </w:numPr>
    </w:pPr>
  </w:style>
  <w:style w:type="paragraph" w:styleId="ListNumber2">
    <w:name w:val="List Number 2"/>
    <w:basedOn w:val="Normal"/>
    <w:rsid w:val="005A63E1"/>
    <w:pPr>
      <w:numPr>
        <w:numId w:val="12"/>
      </w:numPr>
    </w:pPr>
  </w:style>
  <w:style w:type="paragraph" w:styleId="ListNumber3">
    <w:name w:val="List Number 3"/>
    <w:basedOn w:val="Normal"/>
    <w:rsid w:val="005A63E1"/>
    <w:pPr>
      <w:numPr>
        <w:numId w:val="13"/>
      </w:numPr>
    </w:pPr>
  </w:style>
  <w:style w:type="paragraph" w:styleId="ListNumber4">
    <w:name w:val="List Number 4"/>
    <w:basedOn w:val="Normal"/>
    <w:rsid w:val="005A63E1"/>
    <w:pPr>
      <w:numPr>
        <w:numId w:val="14"/>
      </w:numPr>
    </w:pPr>
  </w:style>
  <w:style w:type="paragraph" w:styleId="ListNumber5">
    <w:name w:val="List Number 5"/>
    <w:basedOn w:val="Normal"/>
    <w:rsid w:val="005A63E1"/>
    <w:pPr>
      <w:numPr>
        <w:numId w:val="15"/>
      </w:numPr>
    </w:pPr>
  </w:style>
  <w:style w:type="paragraph" w:styleId="MacroText">
    <w:name w:val="macro"/>
    <w:semiHidden/>
    <w:rsid w:val="005A63E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n-GB" w:eastAsia="fr-FR"/>
    </w:rPr>
  </w:style>
  <w:style w:type="paragraph" w:styleId="MessageHeader">
    <w:name w:val="Message Header"/>
    <w:basedOn w:val="Normal"/>
    <w:rsid w:val="005A63E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5A63E1"/>
    <w:rPr>
      <w:szCs w:val="24"/>
    </w:rPr>
  </w:style>
  <w:style w:type="paragraph" w:styleId="NormalIndent">
    <w:name w:val="Normal Indent"/>
    <w:basedOn w:val="Normal"/>
    <w:rsid w:val="005A63E1"/>
    <w:pPr>
      <w:ind w:left="720"/>
    </w:pPr>
  </w:style>
  <w:style w:type="paragraph" w:styleId="NoteHeading">
    <w:name w:val="Note Heading"/>
    <w:basedOn w:val="Normal"/>
    <w:next w:val="Normal"/>
    <w:rsid w:val="005A63E1"/>
  </w:style>
  <w:style w:type="paragraph" w:styleId="PlainText">
    <w:name w:val="Plain Text"/>
    <w:basedOn w:val="Normal"/>
    <w:rsid w:val="005A63E1"/>
    <w:rPr>
      <w:rFonts w:ascii="Courier New" w:hAnsi="Courier New" w:cs="Courier New"/>
      <w:sz w:val="20"/>
    </w:rPr>
  </w:style>
  <w:style w:type="paragraph" w:styleId="Salutation">
    <w:name w:val="Salutation"/>
    <w:basedOn w:val="Normal"/>
    <w:next w:val="Normal"/>
    <w:rsid w:val="005A63E1"/>
  </w:style>
  <w:style w:type="paragraph" w:styleId="Signature">
    <w:name w:val="Signature"/>
    <w:basedOn w:val="Normal"/>
    <w:rsid w:val="005A63E1"/>
    <w:pPr>
      <w:ind w:left="4252"/>
    </w:pPr>
  </w:style>
  <w:style w:type="paragraph" w:styleId="Subtitle">
    <w:name w:val="Subtitle"/>
    <w:basedOn w:val="Normal"/>
    <w:qFormat/>
    <w:rsid w:val="005A63E1"/>
    <w:pPr>
      <w:spacing w:after="60"/>
      <w:jc w:val="center"/>
      <w:outlineLvl w:val="1"/>
    </w:pPr>
    <w:rPr>
      <w:rFonts w:ascii="Arial" w:hAnsi="Arial" w:cs="Arial"/>
      <w:szCs w:val="24"/>
    </w:rPr>
  </w:style>
  <w:style w:type="table" w:styleId="Table3Deffects1">
    <w:name w:val="Table 3D effects 1"/>
    <w:basedOn w:val="TableNormal"/>
    <w:rsid w:val="005A63E1"/>
    <w:pPr>
      <w:suppressAutoHyphen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A63E1"/>
    <w:pPr>
      <w:suppressAutoHyphen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A63E1"/>
    <w:pPr>
      <w:suppressAutoHyphen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A63E1"/>
    <w:pPr>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A63E1"/>
    <w:pPr>
      <w:suppressAutoHyphen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A63E1"/>
    <w:pPr>
      <w:suppressAutoHyphen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A63E1"/>
    <w:pPr>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A63E1"/>
    <w:pPr>
      <w:suppressAutoHyphen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A63E1"/>
    <w:pPr>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A63E1"/>
    <w:pPr>
      <w:suppressAutoHyphen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A63E1"/>
    <w:pPr>
      <w:suppressAutoHyphen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A63E1"/>
    <w:pPr>
      <w:suppressAutoHyphen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A63E1"/>
    <w:pPr>
      <w:suppressAutoHyphen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A63E1"/>
    <w:pPr>
      <w:suppressAutoHyphen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A63E1"/>
    <w:pPr>
      <w:suppressAutoHyphen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A63E1"/>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A63E1"/>
    <w:pPr>
      <w:suppressAutoHyphen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A63E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A63E1"/>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A63E1"/>
    <w:pPr>
      <w:suppressAutoHyphen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A63E1"/>
    <w:pPr>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A63E1"/>
    <w:pPr>
      <w:suppressAutoHyphen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A63E1"/>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A63E1"/>
    <w:pPr>
      <w:suppressAutoHyphen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A63E1"/>
    <w:pPr>
      <w:suppressAutoHyphen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A63E1"/>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A63E1"/>
    <w:pPr>
      <w:suppressAutoHyphen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A63E1"/>
    <w:pPr>
      <w:suppressAutoHyphen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A63E1"/>
    <w:pPr>
      <w:suppressAutoHyphen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A63E1"/>
    <w:pPr>
      <w:suppressAutoHyphen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A63E1"/>
    <w:pPr>
      <w:suppressAutoHyphen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A63E1"/>
    <w:pPr>
      <w:suppressAutoHyphen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A63E1"/>
    <w:pPr>
      <w:suppressAutoHyphen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A63E1"/>
    <w:pPr>
      <w:suppressAutoHyphen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A63E1"/>
    <w:pPr>
      <w:ind w:left="240" w:hanging="240"/>
    </w:pPr>
  </w:style>
  <w:style w:type="paragraph" w:styleId="TableofFigures">
    <w:name w:val="table of figures"/>
    <w:basedOn w:val="Normal"/>
    <w:next w:val="Normal"/>
    <w:semiHidden/>
    <w:rsid w:val="005A63E1"/>
  </w:style>
  <w:style w:type="table" w:styleId="TableProfessional">
    <w:name w:val="Table Professional"/>
    <w:basedOn w:val="TableNormal"/>
    <w:rsid w:val="005A63E1"/>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A63E1"/>
    <w:pPr>
      <w:suppressAutoHyphen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A63E1"/>
    <w:pPr>
      <w:suppressAutoHyphen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A63E1"/>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A63E1"/>
    <w:pPr>
      <w:suppressAutoHyphen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A63E1"/>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A63E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A63E1"/>
    <w:pPr>
      <w:suppressAutoHyphen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A63E1"/>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A63E1"/>
    <w:pPr>
      <w:suppressAutoHyphen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A63E1"/>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A63E1"/>
    <w:pPr>
      <w:spacing w:before="120"/>
    </w:pPr>
    <w:rPr>
      <w:rFonts w:ascii="Arial" w:hAnsi="Arial" w:cs="Arial"/>
      <w:b/>
      <w:bCs/>
      <w:szCs w:val="24"/>
    </w:rPr>
  </w:style>
  <w:style w:type="paragraph" w:styleId="TOC1">
    <w:name w:val="toc 1"/>
    <w:basedOn w:val="Normal"/>
    <w:next w:val="Normal"/>
    <w:autoRedefine/>
    <w:semiHidden/>
    <w:rsid w:val="005A63E1"/>
  </w:style>
  <w:style w:type="paragraph" w:styleId="TOC2">
    <w:name w:val="toc 2"/>
    <w:basedOn w:val="Normal"/>
    <w:next w:val="Normal"/>
    <w:autoRedefine/>
    <w:semiHidden/>
    <w:rsid w:val="005A63E1"/>
    <w:pPr>
      <w:ind w:left="240"/>
    </w:pPr>
  </w:style>
  <w:style w:type="paragraph" w:styleId="TOC3">
    <w:name w:val="toc 3"/>
    <w:basedOn w:val="Normal"/>
    <w:next w:val="Normal"/>
    <w:autoRedefine/>
    <w:semiHidden/>
    <w:rsid w:val="005A63E1"/>
    <w:pPr>
      <w:ind w:left="480"/>
    </w:pPr>
  </w:style>
  <w:style w:type="paragraph" w:styleId="TOC4">
    <w:name w:val="toc 4"/>
    <w:basedOn w:val="Normal"/>
    <w:next w:val="Normal"/>
    <w:autoRedefine/>
    <w:semiHidden/>
    <w:rsid w:val="005A63E1"/>
    <w:pPr>
      <w:ind w:left="720"/>
    </w:pPr>
  </w:style>
  <w:style w:type="paragraph" w:styleId="TOC5">
    <w:name w:val="toc 5"/>
    <w:basedOn w:val="Normal"/>
    <w:next w:val="Normal"/>
    <w:autoRedefine/>
    <w:semiHidden/>
    <w:rsid w:val="005A63E1"/>
    <w:pPr>
      <w:ind w:left="960"/>
    </w:pPr>
  </w:style>
  <w:style w:type="paragraph" w:styleId="TOC6">
    <w:name w:val="toc 6"/>
    <w:basedOn w:val="Normal"/>
    <w:next w:val="Normal"/>
    <w:autoRedefine/>
    <w:semiHidden/>
    <w:rsid w:val="005A63E1"/>
    <w:pPr>
      <w:ind w:left="1200"/>
    </w:pPr>
  </w:style>
  <w:style w:type="paragraph" w:styleId="TOC7">
    <w:name w:val="toc 7"/>
    <w:basedOn w:val="Normal"/>
    <w:next w:val="Normal"/>
    <w:autoRedefine/>
    <w:semiHidden/>
    <w:rsid w:val="005A63E1"/>
    <w:pPr>
      <w:ind w:left="1440"/>
    </w:pPr>
  </w:style>
  <w:style w:type="paragraph" w:styleId="TOC8">
    <w:name w:val="toc 8"/>
    <w:basedOn w:val="Normal"/>
    <w:next w:val="Normal"/>
    <w:autoRedefine/>
    <w:semiHidden/>
    <w:rsid w:val="005A63E1"/>
    <w:pPr>
      <w:ind w:left="1680"/>
    </w:pPr>
  </w:style>
  <w:style w:type="paragraph" w:styleId="TOC9">
    <w:name w:val="toc 9"/>
    <w:basedOn w:val="Normal"/>
    <w:next w:val="Normal"/>
    <w:autoRedefine/>
    <w:semiHidden/>
    <w:rsid w:val="005A63E1"/>
    <w:pPr>
      <w:ind w:left="1920"/>
    </w:pPr>
  </w:style>
  <w:style w:type="character" w:customStyle="1" w:styleId="JuITMark">
    <w:name w:val="Ju_ITMark"/>
    <w:rsid w:val="005A63E1"/>
    <w:rPr>
      <w:rFonts w:ascii="Times New Roman" w:hAnsi="Times New Roman"/>
      <w:vanish/>
      <w:color w:val="339966"/>
      <w:sz w:val="16"/>
      <w:szCs w:val="16"/>
      <w:lang w:val="en-GB"/>
    </w:rPr>
  </w:style>
  <w:style w:type="character" w:customStyle="1" w:styleId="DefaultTimesNewRoman">
    <w:name w:val="Default_TimesNewRoman"/>
    <w:rsid w:val="005A63E1"/>
    <w:rPr>
      <w:rFonts w:ascii="Times New Roman" w:hAnsi="Times New Roman"/>
    </w:rPr>
  </w:style>
  <w:style w:type="table" w:customStyle="1" w:styleId="ECHRHeaderTable">
    <w:name w:val="ECHR_Header_Table"/>
    <w:basedOn w:val="TableGrid"/>
    <w:rsid w:val="005A63E1"/>
    <w:pPr>
      <w:suppressAutoHyphens w:val="0"/>
    </w:pPr>
    <w:rPr>
      <w:rFonts w:ascii="Verdana" w:hAnsi="Verdana"/>
    </w:rPr>
    <w:tblPr>
      <w:tblInd w:w="-624" w:type="dxa"/>
      <w:tblBorders>
        <w:top w:val="single" w:sz="8" w:space="0" w:color="FFFFFF"/>
        <w:left w:val="single" w:sz="8" w:space="0" w:color="FFFFFF"/>
        <w:bottom w:val="single" w:sz="8" w:space="0" w:color="808080"/>
        <w:right w:val="single" w:sz="8" w:space="0" w:color="FFFFFF"/>
        <w:insideH w:val="single" w:sz="8" w:space="0" w:color="FFFFFF"/>
        <w:insideV w:val="single" w:sz="8" w:space="0" w:color="FFFFFF"/>
      </w:tblBorders>
      <w:tblCellMar>
        <w:left w:w="0" w:type="dxa"/>
        <w:bottom w:w="28" w:type="dxa"/>
        <w:right w:w="0" w:type="dxa"/>
      </w:tblCellMar>
    </w:tblPr>
    <w:tcPr>
      <w:noWrap/>
      <w:vAlign w:val="bottom"/>
    </w:tcPr>
  </w:style>
  <w:style w:type="character" w:customStyle="1" w:styleId="CPMListActionChar">
    <w:name w:val="CPM_List_Action Char"/>
    <w:link w:val="CPMListAction"/>
    <w:locked/>
    <w:rsid w:val="004D1505"/>
    <w:rPr>
      <w:rFonts w:ascii="Verdana" w:hAnsi="Verdana"/>
      <w:lang w:eastAsia="en-GB"/>
    </w:rPr>
  </w:style>
  <w:style w:type="paragraph" w:customStyle="1" w:styleId="CPMListAction">
    <w:name w:val="CPM_List_Action"/>
    <w:basedOn w:val="Normal"/>
    <w:link w:val="CPMListActionChar"/>
    <w:rsid w:val="004D1505"/>
    <w:pPr>
      <w:numPr>
        <w:numId w:val="19"/>
      </w:numPr>
      <w:suppressAutoHyphens w:val="0"/>
      <w:spacing w:before="120" w:after="120"/>
      <w:ind w:left="851" w:hanging="425"/>
      <w:jc w:val="both"/>
    </w:pPr>
    <w:rPr>
      <w:rFonts w:ascii="Verdana" w:hAnsi="Verdana"/>
      <w:sz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038">
      <w:bodyDiv w:val="1"/>
      <w:marLeft w:val="0"/>
      <w:marRight w:val="0"/>
      <w:marTop w:val="0"/>
      <w:marBottom w:val="0"/>
      <w:divBdr>
        <w:top w:val="none" w:sz="0" w:space="0" w:color="auto"/>
        <w:left w:val="none" w:sz="0" w:space="0" w:color="auto"/>
        <w:bottom w:val="none" w:sz="0" w:space="0" w:color="auto"/>
        <w:right w:val="none" w:sz="0" w:space="0" w:color="auto"/>
      </w:divBdr>
    </w:div>
    <w:div w:id="118692754">
      <w:bodyDiv w:val="1"/>
      <w:marLeft w:val="0"/>
      <w:marRight w:val="0"/>
      <w:marTop w:val="0"/>
      <w:marBottom w:val="0"/>
      <w:divBdr>
        <w:top w:val="none" w:sz="0" w:space="0" w:color="auto"/>
        <w:left w:val="none" w:sz="0" w:space="0" w:color="auto"/>
        <w:bottom w:val="none" w:sz="0" w:space="0" w:color="auto"/>
        <w:right w:val="none" w:sz="0" w:space="0" w:color="auto"/>
      </w:divBdr>
    </w:div>
    <w:div w:id="241257304">
      <w:bodyDiv w:val="1"/>
      <w:marLeft w:val="0"/>
      <w:marRight w:val="0"/>
      <w:marTop w:val="0"/>
      <w:marBottom w:val="0"/>
      <w:divBdr>
        <w:top w:val="none" w:sz="0" w:space="0" w:color="auto"/>
        <w:left w:val="none" w:sz="0" w:space="0" w:color="auto"/>
        <w:bottom w:val="none" w:sz="0" w:space="0" w:color="auto"/>
        <w:right w:val="none" w:sz="0" w:space="0" w:color="auto"/>
      </w:divBdr>
      <w:divsChild>
        <w:div w:id="594290840">
          <w:marLeft w:val="0"/>
          <w:marRight w:val="0"/>
          <w:marTop w:val="0"/>
          <w:marBottom w:val="0"/>
          <w:divBdr>
            <w:top w:val="none" w:sz="0" w:space="0" w:color="auto"/>
            <w:left w:val="none" w:sz="0" w:space="0" w:color="auto"/>
            <w:bottom w:val="none" w:sz="0" w:space="0" w:color="auto"/>
            <w:right w:val="none" w:sz="0" w:space="0" w:color="auto"/>
          </w:divBdr>
        </w:div>
        <w:div w:id="683559278">
          <w:marLeft w:val="0"/>
          <w:marRight w:val="0"/>
          <w:marTop w:val="0"/>
          <w:marBottom w:val="0"/>
          <w:divBdr>
            <w:top w:val="none" w:sz="0" w:space="0" w:color="auto"/>
            <w:left w:val="none" w:sz="0" w:space="0" w:color="auto"/>
            <w:bottom w:val="none" w:sz="0" w:space="0" w:color="auto"/>
            <w:right w:val="none" w:sz="0" w:space="0" w:color="auto"/>
          </w:divBdr>
        </w:div>
        <w:div w:id="942571183">
          <w:marLeft w:val="0"/>
          <w:marRight w:val="0"/>
          <w:marTop w:val="0"/>
          <w:marBottom w:val="0"/>
          <w:divBdr>
            <w:top w:val="none" w:sz="0" w:space="0" w:color="auto"/>
            <w:left w:val="none" w:sz="0" w:space="0" w:color="auto"/>
            <w:bottom w:val="none" w:sz="0" w:space="0" w:color="auto"/>
            <w:right w:val="none" w:sz="0" w:space="0" w:color="auto"/>
          </w:divBdr>
        </w:div>
        <w:div w:id="1559701591">
          <w:marLeft w:val="0"/>
          <w:marRight w:val="0"/>
          <w:marTop w:val="0"/>
          <w:marBottom w:val="0"/>
          <w:divBdr>
            <w:top w:val="none" w:sz="0" w:space="0" w:color="auto"/>
            <w:left w:val="none" w:sz="0" w:space="0" w:color="auto"/>
            <w:bottom w:val="none" w:sz="0" w:space="0" w:color="auto"/>
            <w:right w:val="none" w:sz="0" w:space="0" w:color="auto"/>
          </w:divBdr>
        </w:div>
        <w:div w:id="1586375604">
          <w:marLeft w:val="0"/>
          <w:marRight w:val="0"/>
          <w:marTop w:val="0"/>
          <w:marBottom w:val="0"/>
          <w:divBdr>
            <w:top w:val="none" w:sz="0" w:space="0" w:color="auto"/>
            <w:left w:val="none" w:sz="0" w:space="0" w:color="auto"/>
            <w:bottom w:val="none" w:sz="0" w:space="0" w:color="auto"/>
            <w:right w:val="none" w:sz="0" w:space="0" w:color="auto"/>
          </w:divBdr>
        </w:div>
      </w:divsChild>
    </w:div>
    <w:div w:id="319501544">
      <w:bodyDiv w:val="1"/>
      <w:marLeft w:val="0"/>
      <w:marRight w:val="0"/>
      <w:marTop w:val="0"/>
      <w:marBottom w:val="0"/>
      <w:divBdr>
        <w:top w:val="none" w:sz="0" w:space="0" w:color="auto"/>
        <w:left w:val="none" w:sz="0" w:space="0" w:color="auto"/>
        <w:bottom w:val="none" w:sz="0" w:space="0" w:color="auto"/>
        <w:right w:val="none" w:sz="0" w:space="0" w:color="auto"/>
      </w:divBdr>
    </w:div>
    <w:div w:id="427851601">
      <w:bodyDiv w:val="1"/>
      <w:marLeft w:val="0"/>
      <w:marRight w:val="0"/>
      <w:marTop w:val="0"/>
      <w:marBottom w:val="0"/>
      <w:divBdr>
        <w:top w:val="none" w:sz="0" w:space="0" w:color="auto"/>
        <w:left w:val="none" w:sz="0" w:space="0" w:color="auto"/>
        <w:bottom w:val="none" w:sz="0" w:space="0" w:color="auto"/>
        <w:right w:val="none" w:sz="0" w:space="0" w:color="auto"/>
      </w:divBdr>
    </w:div>
    <w:div w:id="563566637">
      <w:bodyDiv w:val="1"/>
      <w:marLeft w:val="0"/>
      <w:marRight w:val="0"/>
      <w:marTop w:val="0"/>
      <w:marBottom w:val="0"/>
      <w:divBdr>
        <w:top w:val="none" w:sz="0" w:space="0" w:color="auto"/>
        <w:left w:val="none" w:sz="0" w:space="0" w:color="auto"/>
        <w:bottom w:val="none" w:sz="0" w:space="0" w:color="auto"/>
        <w:right w:val="none" w:sz="0" w:space="0" w:color="auto"/>
      </w:divBdr>
    </w:div>
    <w:div w:id="661738977">
      <w:bodyDiv w:val="1"/>
      <w:marLeft w:val="0"/>
      <w:marRight w:val="0"/>
      <w:marTop w:val="0"/>
      <w:marBottom w:val="0"/>
      <w:divBdr>
        <w:top w:val="none" w:sz="0" w:space="0" w:color="auto"/>
        <w:left w:val="none" w:sz="0" w:space="0" w:color="auto"/>
        <w:bottom w:val="none" w:sz="0" w:space="0" w:color="auto"/>
        <w:right w:val="none" w:sz="0" w:space="0" w:color="auto"/>
      </w:divBdr>
    </w:div>
    <w:div w:id="700935297">
      <w:bodyDiv w:val="1"/>
      <w:marLeft w:val="0"/>
      <w:marRight w:val="0"/>
      <w:marTop w:val="0"/>
      <w:marBottom w:val="0"/>
      <w:divBdr>
        <w:top w:val="none" w:sz="0" w:space="0" w:color="auto"/>
        <w:left w:val="none" w:sz="0" w:space="0" w:color="auto"/>
        <w:bottom w:val="none" w:sz="0" w:space="0" w:color="auto"/>
        <w:right w:val="none" w:sz="0" w:space="0" w:color="auto"/>
      </w:divBdr>
    </w:div>
    <w:div w:id="900405415">
      <w:bodyDiv w:val="1"/>
      <w:marLeft w:val="0"/>
      <w:marRight w:val="0"/>
      <w:marTop w:val="0"/>
      <w:marBottom w:val="0"/>
      <w:divBdr>
        <w:top w:val="none" w:sz="0" w:space="0" w:color="auto"/>
        <w:left w:val="none" w:sz="0" w:space="0" w:color="auto"/>
        <w:bottom w:val="none" w:sz="0" w:space="0" w:color="auto"/>
        <w:right w:val="none" w:sz="0" w:space="0" w:color="auto"/>
      </w:divBdr>
    </w:div>
    <w:div w:id="968439751">
      <w:bodyDiv w:val="1"/>
      <w:marLeft w:val="0"/>
      <w:marRight w:val="0"/>
      <w:marTop w:val="0"/>
      <w:marBottom w:val="0"/>
      <w:divBdr>
        <w:top w:val="none" w:sz="0" w:space="0" w:color="auto"/>
        <w:left w:val="none" w:sz="0" w:space="0" w:color="auto"/>
        <w:bottom w:val="none" w:sz="0" w:space="0" w:color="auto"/>
        <w:right w:val="none" w:sz="0" w:space="0" w:color="auto"/>
      </w:divBdr>
    </w:div>
    <w:div w:id="1131828956">
      <w:bodyDiv w:val="1"/>
      <w:marLeft w:val="0"/>
      <w:marRight w:val="0"/>
      <w:marTop w:val="0"/>
      <w:marBottom w:val="0"/>
      <w:divBdr>
        <w:top w:val="none" w:sz="0" w:space="0" w:color="auto"/>
        <w:left w:val="none" w:sz="0" w:space="0" w:color="auto"/>
        <w:bottom w:val="none" w:sz="0" w:space="0" w:color="auto"/>
        <w:right w:val="none" w:sz="0" w:space="0" w:color="auto"/>
      </w:divBdr>
    </w:div>
    <w:div w:id="1679887442">
      <w:bodyDiv w:val="1"/>
      <w:marLeft w:val="0"/>
      <w:marRight w:val="0"/>
      <w:marTop w:val="0"/>
      <w:marBottom w:val="0"/>
      <w:divBdr>
        <w:top w:val="none" w:sz="0" w:space="0" w:color="auto"/>
        <w:left w:val="none" w:sz="0" w:space="0" w:color="auto"/>
        <w:bottom w:val="none" w:sz="0" w:space="0" w:color="auto"/>
        <w:right w:val="none" w:sz="0" w:space="0" w:color="auto"/>
      </w:divBdr>
    </w:div>
    <w:div w:id="1731461494">
      <w:bodyDiv w:val="1"/>
      <w:marLeft w:val="0"/>
      <w:marRight w:val="0"/>
      <w:marTop w:val="0"/>
      <w:marBottom w:val="0"/>
      <w:divBdr>
        <w:top w:val="none" w:sz="0" w:space="0" w:color="auto"/>
        <w:left w:val="none" w:sz="0" w:space="0" w:color="auto"/>
        <w:bottom w:val="none" w:sz="0" w:space="0" w:color="auto"/>
        <w:right w:val="none" w:sz="0" w:space="0" w:color="auto"/>
      </w:divBdr>
    </w:div>
    <w:div w:id="1733195013">
      <w:bodyDiv w:val="1"/>
      <w:marLeft w:val="0"/>
      <w:marRight w:val="0"/>
      <w:marTop w:val="0"/>
      <w:marBottom w:val="0"/>
      <w:divBdr>
        <w:top w:val="none" w:sz="0" w:space="0" w:color="auto"/>
        <w:left w:val="none" w:sz="0" w:space="0" w:color="auto"/>
        <w:bottom w:val="none" w:sz="0" w:space="0" w:color="auto"/>
        <w:right w:val="none" w:sz="0" w:space="0" w:color="auto"/>
      </w:divBdr>
    </w:div>
    <w:div w:id="178063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3AB8AF-C1EE-47A1-8D43-36A230C5CB06}"/>
</file>

<file path=customXml/itemProps2.xml><?xml version="1.0" encoding="utf-8"?>
<ds:datastoreItem xmlns:ds="http://schemas.openxmlformats.org/officeDocument/2006/customXml" ds:itemID="{B3A3A415-46A5-45DB-B22A-368A446AE706}"/>
</file>

<file path=customXml/itemProps3.xml><?xml version="1.0" encoding="utf-8"?>
<ds:datastoreItem xmlns:ds="http://schemas.openxmlformats.org/officeDocument/2006/customXml" ds:itemID="{9A071658-0E1A-4889-8CD3-DE3DA82E0E85}"/>
</file>

<file path=docProps/app.xml><?xml version="1.0" encoding="utf-8"?>
<Properties xmlns="http://schemas.openxmlformats.org/officeDocument/2006/extended-properties" xmlns:vt="http://schemas.openxmlformats.org/officeDocument/2006/docPropsVTypes">
  <Template>Normal.dotm</Template>
  <TotalTime>0</TotalTime>
  <Pages>1</Pages>
  <Words>8034</Words>
  <Characters>45795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53722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cp:revision>
  <cp:lastPrinted>2012-04-12T12:31:00Z</cp:lastPrinted>
  <dcterms:created xsi:type="dcterms:W3CDTF">2017-11-15T16:36:00Z</dcterms:created>
  <dcterms:modified xsi:type="dcterms:W3CDTF">2017-11-15T16:36:00Z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