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D0D" w:rsidP="009E3D54" w:rsidRDefault="00D94D0D">
      <w:pPr>
        <w:jc w:val="center"/>
      </w:pPr>
      <w:bookmarkStart w:name="_GoBack" w:id="0"/>
      <w:bookmarkEnd w:id="0"/>
    </w:p>
    <w:p w:rsidR="00D94D0D" w:rsidP="009E3D54" w:rsidRDefault="00D94D0D">
      <w:pPr>
        <w:jc w:val="center"/>
      </w:pPr>
    </w:p>
    <w:p w:rsidRPr="009D6ED0" w:rsidR="00F71A6A" w:rsidP="009E3D54" w:rsidRDefault="00F71A6A">
      <w:pPr>
        <w:jc w:val="center"/>
      </w:pPr>
    </w:p>
    <w:p w:rsidRPr="009D6ED0" w:rsidR="00F71A6A" w:rsidP="009E3D54" w:rsidRDefault="009D6ED0">
      <w:pPr>
        <w:jc w:val="center"/>
      </w:pPr>
      <w:r w:rsidRPr="009D6ED0">
        <w:t>FOURTH SECTION</w:t>
      </w:r>
    </w:p>
    <w:p w:rsidR="00D94D0D" w:rsidP="009E3D54" w:rsidRDefault="00D94D0D">
      <w:pPr>
        <w:jc w:val="center"/>
      </w:pPr>
    </w:p>
    <w:p w:rsidR="00D94D0D" w:rsidP="009E3D54" w:rsidRDefault="00D94D0D">
      <w:pPr>
        <w:jc w:val="center"/>
      </w:pPr>
    </w:p>
    <w:p w:rsidR="00D94D0D" w:rsidP="009E3D54" w:rsidRDefault="00D94D0D">
      <w:pPr>
        <w:jc w:val="center"/>
      </w:pPr>
    </w:p>
    <w:p w:rsidR="00D94D0D" w:rsidP="009E3D54" w:rsidRDefault="00D94D0D">
      <w:pPr>
        <w:jc w:val="center"/>
      </w:pPr>
    </w:p>
    <w:p w:rsidR="00D94D0D" w:rsidP="009E3D54" w:rsidRDefault="00D94D0D">
      <w:pPr>
        <w:jc w:val="center"/>
      </w:pPr>
    </w:p>
    <w:p w:rsidRPr="009D6ED0" w:rsidR="00F71A6A" w:rsidP="009E3D54" w:rsidRDefault="00F71A6A">
      <w:pPr>
        <w:jc w:val="center"/>
      </w:pPr>
    </w:p>
    <w:p w:rsidRPr="009D6ED0" w:rsidR="00F71A6A" w:rsidP="009E3D54" w:rsidRDefault="00F71A6A">
      <w:pPr>
        <w:jc w:val="center"/>
        <w:rPr>
          <w:b/>
        </w:rPr>
      </w:pPr>
      <w:bookmarkStart w:name="To" w:id="1"/>
      <w:r w:rsidRPr="009D6ED0">
        <w:rPr>
          <w:b/>
        </w:rPr>
        <w:t xml:space="preserve">CASE OF </w:t>
      </w:r>
      <w:bookmarkEnd w:id="1"/>
      <w:r w:rsidRPr="009D6ED0" w:rsidR="009D6ED0">
        <w:rPr>
          <w:b/>
        </w:rPr>
        <w:t xml:space="preserve">DIMITROVI v. </w:t>
      </w:r>
      <w:smartTag w:uri="urn:schemas-microsoft-com:office:smarttags" w:element="place">
        <w:smartTag w:uri="urn:schemas-microsoft-com:office:smarttags" w:element="country-region">
          <w:r w:rsidR="009D6ED0" w:rsidRPr="009D6ED0">
            <w:rPr>
              <w:b/>
            </w:rPr>
            <w:t>BULGARIA</w:t>
          </w:r>
        </w:smartTag>
      </w:smartTag>
    </w:p>
    <w:p w:rsidRPr="009D6ED0" w:rsidR="00F71A6A" w:rsidP="009E3D54" w:rsidRDefault="00F71A6A">
      <w:pPr>
        <w:jc w:val="center"/>
      </w:pPr>
    </w:p>
    <w:p w:rsidRPr="009D6ED0" w:rsidR="00F71A6A" w:rsidP="009E3D54" w:rsidRDefault="00F71A6A">
      <w:pPr>
        <w:jc w:val="center"/>
        <w:rPr>
          <w:i/>
        </w:rPr>
      </w:pPr>
      <w:r w:rsidRPr="009D6ED0">
        <w:rPr>
          <w:i/>
        </w:rPr>
        <w:t>(</w:t>
      </w:r>
      <w:r w:rsidRPr="009D6ED0" w:rsidR="009D6ED0">
        <w:rPr>
          <w:i/>
        </w:rPr>
        <w:t>Application no. 7443/06</w:t>
      </w:r>
      <w:r w:rsidRPr="009D6ED0">
        <w:rPr>
          <w:i/>
        </w:rPr>
        <w:t>)</w:t>
      </w:r>
    </w:p>
    <w:p w:rsidRPr="009D6ED0" w:rsidR="00F71A6A" w:rsidP="009E3D54" w:rsidRDefault="00F71A6A">
      <w:pPr>
        <w:jc w:val="center"/>
      </w:pPr>
    </w:p>
    <w:p w:rsidRPr="009D6ED0" w:rsidR="00F71A6A" w:rsidP="009E3D54" w:rsidRDefault="00F71A6A">
      <w:pPr>
        <w:jc w:val="center"/>
        <w:rPr>
          <w:szCs w:val="24"/>
        </w:rPr>
      </w:pPr>
    </w:p>
    <w:p w:rsidRPr="009D6ED0" w:rsidR="00F71A6A" w:rsidP="009E3D54" w:rsidRDefault="00F71A6A">
      <w:pPr>
        <w:jc w:val="center"/>
        <w:rPr>
          <w:szCs w:val="24"/>
        </w:rPr>
      </w:pPr>
    </w:p>
    <w:p w:rsidRPr="009D6ED0" w:rsidR="00F71A6A" w:rsidP="009E3D54" w:rsidRDefault="00F71A6A">
      <w:pPr>
        <w:jc w:val="center"/>
        <w:rPr>
          <w:szCs w:val="24"/>
        </w:rPr>
      </w:pPr>
    </w:p>
    <w:p w:rsidRPr="009D6ED0" w:rsidR="00F71A6A" w:rsidP="009E3D54" w:rsidRDefault="00F71A6A">
      <w:pPr>
        <w:jc w:val="center"/>
        <w:rPr>
          <w:szCs w:val="24"/>
        </w:rPr>
      </w:pPr>
    </w:p>
    <w:p w:rsidRPr="009D6ED0" w:rsidR="00F71A6A" w:rsidP="009E3D54" w:rsidRDefault="00F71A6A">
      <w:pPr>
        <w:jc w:val="center"/>
        <w:rPr>
          <w:szCs w:val="24"/>
        </w:rPr>
      </w:pPr>
    </w:p>
    <w:p w:rsidRPr="009D6ED0" w:rsidR="00F71A6A" w:rsidP="009E3D54" w:rsidRDefault="00F71A6A">
      <w:pPr>
        <w:jc w:val="center"/>
        <w:rPr>
          <w:szCs w:val="24"/>
        </w:rPr>
      </w:pPr>
    </w:p>
    <w:p w:rsidRPr="00D94D0D" w:rsidR="00F71A6A" w:rsidP="00D94D0D" w:rsidRDefault="00D94D0D">
      <w:pPr>
        <w:jc w:val="center"/>
        <w:rPr>
          <w:szCs w:val="24"/>
        </w:rPr>
      </w:pPr>
      <w:r>
        <w:rPr>
          <w:szCs w:val="24"/>
        </w:rPr>
        <w:t>JUDGMENT</w:t>
      </w:r>
    </w:p>
    <w:p w:rsidRPr="009D6ED0" w:rsidR="00F71A6A" w:rsidP="009E3D54" w:rsidRDefault="00F71A6A">
      <w:pPr>
        <w:rPr>
          <w:szCs w:val="24"/>
        </w:rPr>
      </w:pPr>
    </w:p>
    <w:p w:rsidR="004B5D1D" w:rsidP="009E3D54" w:rsidRDefault="004B5D1D">
      <w:pPr>
        <w:rPr>
          <w:szCs w:val="24"/>
        </w:rPr>
      </w:pPr>
    </w:p>
    <w:p w:rsidRPr="009E75BD" w:rsidR="00D94D0D" w:rsidP="009E75BD" w:rsidRDefault="00D94D0D">
      <w:pPr>
        <w:jc w:val="center"/>
      </w:pPr>
    </w:p>
    <w:p w:rsidRPr="009E75BD" w:rsidR="00D94D0D" w:rsidP="009E75BD" w:rsidRDefault="00D94D0D">
      <w:pPr>
        <w:jc w:val="center"/>
      </w:pPr>
    </w:p>
    <w:p w:rsidRPr="009E75BD" w:rsidR="00D94D0D" w:rsidP="009E75BD" w:rsidRDefault="00D94D0D">
      <w:pPr>
        <w:jc w:val="center"/>
      </w:pPr>
      <w:r w:rsidRPr="009E75BD">
        <w:t>STRASBOURG</w:t>
      </w:r>
    </w:p>
    <w:p w:rsidRPr="009E75BD" w:rsidR="00D94D0D" w:rsidP="009E75BD" w:rsidRDefault="00D94D0D">
      <w:pPr>
        <w:jc w:val="center"/>
      </w:pPr>
    </w:p>
    <w:p w:rsidRPr="009E75BD" w:rsidR="00D94D0D" w:rsidP="009E75BD" w:rsidRDefault="00FF408E">
      <w:pPr>
        <w:jc w:val="center"/>
      </w:pPr>
      <w:r w:rsidRPr="009E75BD">
        <w:t>4 December</w:t>
      </w:r>
      <w:r w:rsidRPr="009E75BD" w:rsidR="00D94D0D">
        <w:t xml:space="preserve"> 2012</w:t>
      </w:r>
    </w:p>
    <w:p w:rsidRPr="009E75BD" w:rsidR="00D94D0D" w:rsidP="009E75BD" w:rsidRDefault="00D94D0D">
      <w:pPr>
        <w:jc w:val="center"/>
      </w:pPr>
    </w:p>
    <w:p w:rsidRPr="009E75BD" w:rsidR="00D94D0D" w:rsidP="009E75BD" w:rsidRDefault="00D94D0D">
      <w:pPr>
        <w:jc w:val="center"/>
      </w:pPr>
    </w:p>
    <w:p w:rsidRPr="009E75BD" w:rsidR="00D94D0D" w:rsidP="009E75BD" w:rsidRDefault="00D94D0D">
      <w:pPr>
        <w:rPr>
          <w:i/>
          <w:sz w:val="22"/>
        </w:rPr>
      </w:pPr>
      <w:r w:rsidRPr="009E75BD">
        <w:rPr>
          <w:i/>
          <w:sz w:val="22"/>
        </w:rPr>
        <w:t>This judgment is final but it may be subject to editorial revision.</w:t>
      </w:r>
    </w:p>
    <w:p w:rsidRPr="00D94D0D" w:rsidR="00D94D0D" w:rsidP="00D94D0D" w:rsidRDefault="00D94D0D">
      <w:pPr>
        <w:pStyle w:val="JuPara"/>
        <w:sectPr w:rsidRPr="00D94D0D" w:rsidR="00D94D0D" w:rsidSect="00D94D0D">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p>
    <w:p w:rsidRPr="009D6ED0" w:rsidR="00F71A6A" w:rsidP="009E75BD" w:rsidRDefault="00F71A6A">
      <w:pPr>
        <w:pStyle w:val="JuCase"/>
      </w:pPr>
      <w:r w:rsidRPr="009D6ED0">
        <w:t xml:space="preserve">In the </w:t>
      </w:r>
      <w:r w:rsidRPr="009D6ED0" w:rsidR="00B04F25">
        <w:t>case</w:t>
      </w:r>
      <w:r w:rsidRPr="009D6ED0">
        <w:t xml:space="preserve"> of </w:t>
      </w:r>
      <w:proofErr w:type="spellStart"/>
      <w:r w:rsidRPr="009D6ED0" w:rsidR="009D6ED0">
        <w:t>Dimitrovi</w:t>
      </w:r>
      <w:proofErr w:type="spellEnd"/>
      <w:r w:rsidRPr="009D6ED0" w:rsidR="009D6ED0">
        <w:t xml:space="preserve"> v. </w:t>
      </w:r>
      <w:smartTag w:uri="urn:schemas-microsoft-com:office:smarttags" w:element="place">
        <w:smartTag w:uri="urn:schemas-microsoft-com:office:smarttags" w:element="country-region">
          <w:r w:rsidR="009D6ED0" w:rsidRPr="009D6ED0">
            <w:t>Bulgaria</w:t>
          </w:r>
        </w:smartTag>
      </w:smartTag>
      <w:r w:rsidRPr="009D6ED0">
        <w:t>,</w:t>
      </w:r>
    </w:p>
    <w:p w:rsidRPr="009D6ED0" w:rsidR="00E51DEE" w:rsidP="009E3D54" w:rsidRDefault="00F71A6A">
      <w:pPr>
        <w:pStyle w:val="JuPara"/>
      </w:pPr>
      <w:r w:rsidRPr="009D6ED0">
        <w:t>The European Court of Human Rights (</w:t>
      </w:r>
      <w:r w:rsidRPr="009D6ED0" w:rsidR="009D6ED0">
        <w:t>Fourth Section</w:t>
      </w:r>
      <w:r w:rsidRPr="009D6ED0">
        <w:t xml:space="preserve">), sitting as a </w:t>
      </w:r>
      <w:r w:rsidRPr="009D6ED0" w:rsidR="009D6ED0">
        <w:t>Committee</w:t>
      </w:r>
      <w:r w:rsidRPr="009D6ED0" w:rsidR="00E51DEE">
        <w:t xml:space="preserve"> composed of:</w:t>
      </w:r>
    </w:p>
    <w:p w:rsidRPr="009D6ED0" w:rsidR="00F71A6A" w:rsidP="009E3D54" w:rsidRDefault="00D94D0D">
      <w:pPr>
        <w:pStyle w:val="JuJudges"/>
      </w:pPr>
      <w:r w:rsidRPr="00D94D0D">
        <w:tab/>
        <w:t>George</w:t>
      </w:r>
      <w:r>
        <w:t xml:space="preserve"> </w:t>
      </w:r>
      <w:proofErr w:type="spellStart"/>
      <w:r w:rsidRPr="00D94D0D">
        <w:t>Nicolaou</w:t>
      </w:r>
      <w:proofErr w:type="spellEnd"/>
      <w:r>
        <w:t>,</w:t>
      </w:r>
      <w:r w:rsidRPr="00D94D0D">
        <w:rPr>
          <w:i/>
        </w:rPr>
        <w:t xml:space="preserve"> President,</w:t>
      </w:r>
      <w:r>
        <w:rPr>
          <w:i/>
        </w:rPr>
        <w:br/>
      </w:r>
      <w:r w:rsidRPr="00D94D0D">
        <w:tab/>
        <w:t>Zdravka</w:t>
      </w:r>
      <w:r>
        <w:t xml:space="preserve"> </w:t>
      </w:r>
      <w:r w:rsidRPr="00D94D0D">
        <w:t>Kalaydjieva</w:t>
      </w:r>
      <w:r>
        <w:t>,</w:t>
      </w:r>
      <w:r>
        <w:rPr>
          <w:i/>
        </w:rPr>
        <w:br/>
      </w:r>
      <w:r w:rsidRPr="00D94D0D">
        <w:tab/>
        <w:t>Vincent A.</w:t>
      </w:r>
      <w:r>
        <w:t xml:space="preserve"> D</w:t>
      </w:r>
      <w:r w:rsidRPr="00D94D0D">
        <w:t xml:space="preserve">e </w:t>
      </w:r>
      <w:proofErr w:type="spellStart"/>
      <w:r w:rsidRPr="00D94D0D">
        <w:t>Gaetano</w:t>
      </w:r>
      <w:proofErr w:type="spellEnd"/>
      <w:r>
        <w:t>,</w:t>
      </w:r>
      <w:r w:rsidRPr="00D94D0D">
        <w:rPr>
          <w:i/>
        </w:rPr>
        <w:t xml:space="preserve"> judges,</w:t>
      </w:r>
      <w:r w:rsidRPr="009D6ED0" w:rsidR="00E51DEE">
        <w:br/>
      </w:r>
      <w:r w:rsidRPr="009D6ED0" w:rsidR="00F71A6A">
        <w:t>and</w:t>
      </w:r>
      <w:r w:rsidRPr="009D6ED0" w:rsidR="00BE55FA">
        <w:t xml:space="preserve"> </w:t>
      </w:r>
      <w:proofErr w:type="spellStart"/>
      <w:r w:rsidRPr="009D6ED0" w:rsidR="009D6ED0">
        <w:t>Fatoş</w:t>
      </w:r>
      <w:proofErr w:type="spellEnd"/>
      <w:r w:rsidRPr="009D6ED0" w:rsidR="009D6ED0">
        <w:t xml:space="preserve"> </w:t>
      </w:r>
      <w:proofErr w:type="spellStart"/>
      <w:r w:rsidRPr="009D6ED0" w:rsidR="009D6ED0">
        <w:t>Aracı</w:t>
      </w:r>
      <w:proofErr w:type="spellEnd"/>
      <w:r w:rsidRPr="009D6ED0" w:rsidR="00300753">
        <w:rPr>
          <w:rStyle w:val="JuJudgesChar"/>
        </w:rPr>
        <w:t xml:space="preserve">, </w:t>
      </w:r>
      <w:r w:rsidRPr="009D6ED0" w:rsidR="009D6ED0">
        <w:rPr>
          <w:i/>
        </w:rPr>
        <w:t xml:space="preserve">Deputy Section </w:t>
      </w:r>
      <w:r w:rsidRPr="009D6ED0" w:rsidR="009D6ED0">
        <w:rPr>
          <w:i/>
          <w:iCs/>
        </w:rPr>
        <w:t>Registrar</w:t>
      </w:r>
      <w:r w:rsidRPr="009D6ED0" w:rsidR="00F71A6A">
        <w:rPr>
          <w:i/>
        </w:rPr>
        <w:t>,</w:t>
      </w:r>
    </w:p>
    <w:p w:rsidRPr="009D6ED0" w:rsidR="00F71A6A" w:rsidP="009E3D54" w:rsidRDefault="00F71A6A">
      <w:pPr>
        <w:pStyle w:val="JuPara"/>
      </w:pPr>
      <w:r w:rsidRPr="009D6ED0">
        <w:t xml:space="preserve">Having deliberated in private on </w:t>
      </w:r>
      <w:r w:rsidR="00F11048">
        <w:t>13</w:t>
      </w:r>
      <w:r w:rsidR="00D94D0D">
        <w:t xml:space="preserve"> November 2012</w:t>
      </w:r>
      <w:r w:rsidRPr="009D6ED0">
        <w:t>,</w:t>
      </w:r>
    </w:p>
    <w:p w:rsidRPr="009D6ED0" w:rsidR="00F71A6A" w:rsidP="00943B61" w:rsidRDefault="00F71A6A">
      <w:pPr>
        <w:pStyle w:val="JuPara"/>
      </w:pPr>
      <w:r w:rsidRPr="009D6ED0">
        <w:t>Delivers the following judgment, which was adopted on that date:</w:t>
      </w:r>
    </w:p>
    <w:p w:rsidRPr="009D6ED0" w:rsidR="00F71A6A" w:rsidP="009E3D54" w:rsidRDefault="00F71A6A">
      <w:pPr>
        <w:pStyle w:val="JuHHead"/>
      </w:pPr>
      <w:r w:rsidRPr="009D6ED0">
        <w:t>PROCEDURE</w:t>
      </w:r>
    </w:p>
    <w:p w:rsidR="009E75BD" w:rsidP="00B74432" w:rsidRDefault="009D6ED0">
      <w:pPr>
        <w:pStyle w:val="JuPara"/>
      </w:pPr>
      <w:r w:rsidRPr="009D6ED0">
        <w:fldChar w:fldCharType="begin"/>
      </w:r>
      <w:r w:rsidRPr="009D6ED0">
        <w:instrText xml:space="preserve"> SEQ level0 \*arabic </w:instrText>
      </w:r>
      <w:r w:rsidRPr="009D6ED0">
        <w:fldChar w:fldCharType="separate"/>
      </w:r>
      <w:r w:rsidR="009E75BD">
        <w:rPr>
          <w:noProof/>
        </w:rPr>
        <w:t>1</w:t>
      </w:r>
      <w:r w:rsidRPr="009D6ED0">
        <w:fldChar w:fldCharType="end"/>
      </w:r>
      <w:r w:rsidRPr="009D6ED0" w:rsidR="00F71A6A">
        <w:t xml:space="preserve">.  The </w:t>
      </w:r>
      <w:r w:rsidRPr="009D6ED0" w:rsidR="00B04F25">
        <w:t>case</w:t>
      </w:r>
      <w:r w:rsidRPr="009D6ED0" w:rsidR="00F71A6A">
        <w:t xml:space="preserve"> originated in </w:t>
      </w:r>
      <w:r w:rsidRPr="009D6ED0">
        <w:rPr>
          <w:rStyle w:val="JuParaCar"/>
        </w:rPr>
        <w:t>an application (no. 7443/06)</w:t>
      </w:r>
      <w:r w:rsidRPr="009D6ED0" w:rsidR="00F71A6A">
        <w:t xml:space="preserve"> against </w:t>
      </w:r>
      <w:r w:rsidRPr="009D6ED0">
        <w:rPr>
          <w:rStyle w:val="JuParaCar"/>
        </w:rPr>
        <w:t xml:space="preserve">the </w:t>
      </w:r>
      <w:smartTag w:uri="urn:schemas-microsoft-com:office:smarttags" w:element="place">
        <w:smartTag w:uri="urn:schemas-microsoft-com:office:smarttags" w:element="PlaceType">
          <w:r w:rsidRPr="009D6ED0">
            <w:rPr>
              <w:rStyle w:val="JuParaCar"/>
            </w:rPr>
            <w:t>Republic</w:t>
          </w:r>
        </w:smartTag>
        <w:r w:rsidRPr="009D6ED0">
          <w:rPr>
            <w:rStyle w:val="JuParaCar"/>
          </w:rPr>
          <w:t xml:space="preserve"> of </w:t>
        </w:r>
        <w:smartTag w:uri="urn:schemas-microsoft-com:office:smarttags" w:element="PlaceName">
          <w:r w:rsidRPr="009D6ED0">
            <w:rPr>
              <w:rStyle w:val="JuParaCar"/>
            </w:rPr>
            <w:t>Bulgaria</w:t>
          </w:r>
        </w:smartTag>
      </w:smartTag>
      <w:r w:rsidRPr="009D6ED0" w:rsidR="00F71A6A">
        <w:t xml:space="preserve"> lodged with the </w:t>
      </w:r>
      <w:r w:rsidRPr="009D6ED0">
        <w:t>Court under Article 34</w:t>
      </w:r>
      <w:r w:rsidRPr="009D6ED0" w:rsidR="009C77E7">
        <w:t xml:space="preserve"> of the Convention for the Protection of Human Rights and Fundamental Freedoms (“the Convention”)</w:t>
      </w:r>
      <w:r w:rsidRPr="009D6ED0" w:rsidR="00F71A6A">
        <w:t xml:space="preserve"> by </w:t>
      </w:r>
      <w:r w:rsidR="0027133C">
        <w:t xml:space="preserve">two Bulgarian nationals, </w:t>
      </w:r>
      <w:r w:rsidRPr="0052286F" w:rsidR="0027133C">
        <w:t xml:space="preserve">Ms </w:t>
      </w:r>
      <w:proofErr w:type="spellStart"/>
      <w:r w:rsidRPr="0052286F" w:rsidR="0027133C">
        <w:t>Lilyana</w:t>
      </w:r>
      <w:proofErr w:type="spellEnd"/>
      <w:r w:rsidRPr="0052286F" w:rsidR="0027133C">
        <w:t xml:space="preserve"> </w:t>
      </w:r>
      <w:proofErr w:type="spellStart"/>
      <w:r w:rsidRPr="0052286F" w:rsidR="0027133C">
        <w:t>Veselinova</w:t>
      </w:r>
      <w:proofErr w:type="spellEnd"/>
      <w:r w:rsidRPr="0052286F" w:rsidR="0027133C">
        <w:t xml:space="preserve"> </w:t>
      </w:r>
      <w:proofErr w:type="spellStart"/>
      <w:r w:rsidRPr="0052286F" w:rsidR="0027133C">
        <w:t>Dimitrova</w:t>
      </w:r>
      <w:proofErr w:type="spellEnd"/>
      <w:r w:rsidRPr="0052286F" w:rsidR="0027133C">
        <w:t xml:space="preserve"> and </w:t>
      </w:r>
      <w:r w:rsidR="0027133C">
        <w:t xml:space="preserve">Mr </w:t>
      </w:r>
      <w:proofErr w:type="spellStart"/>
      <w:r w:rsidR="0027133C">
        <w:t>Yulian</w:t>
      </w:r>
      <w:proofErr w:type="spellEnd"/>
      <w:r w:rsidR="0027133C">
        <w:t xml:space="preserve"> </w:t>
      </w:r>
      <w:proofErr w:type="spellStart"/>
      <w:r w:rsidR="0027133C">
        <w:t>Dimitrov</w:t>
      </w:r>
      <w:proofErr w:type="spellEnd"/>
      <w:r w:rsidR="0027133C">
        <w:t xml:space="preserve"> </w:t>
      </w:r>
      <w:proofErr w:type="spellStart"/>
      <w:r w:rsidR="0027133C">
        <w:t>Dimitrov</w:t>
      </w:r>
      <w:proofErr w:type="spellEnd"/>
      <w:r w:rsidRPr="0052286F" w:rsidR="0027133C">
        <w:t xml:space="preserve">, </w:t>
      </w:r>
      <w:r w:rsidR="0027133C">
        <w:t>on 9 February 2006</w:t>
      </w:r>
      <w:r w:rsidRPr="0052286F" w:rsidR="0027133C">
        <w:t>.</w:t>
      </w:r>
    </w:p>
    <w:p w:rsidRPr="009D6ED0" w:rsidR="0016278E" w:rsidP="00EA1EBD" w:rsidRDefault="00F116BD">
      <w:pPr>
        <w:pStyle w:val="JuPara"/>
      </w:pPr>
      <w:r>
        <w:fldChar w:fldCharType="begin"/>
      </w:r>
      <w:r>
        <w:instrText xml:space="preserve"> SEQ level0 \*arabic </w:instrText>
      </w:r>
      <w:r>
        <w:fldChar w:fldCharType="separate"/>
      </w:r>
      <w:r w:rsidR="009E75BD">
        <w:rPr>
          <w:noProof/>
        </w:rPr>
        <w:t>2</w:t>
      </w:r>
      <w:r>
        <w:fldChar w:fldCharType="end"/>
      </w:r>
      <w:r>
        <w:t>.  The applicants</w:t>
      </w:r>
      <w:r w:rsidRPr="0052286F" w:rsidR="0027133C">
        <w:t xml:space="preserve"> </w:t>
      </w:r>
      <w:r>
        <w:t>we</w:t>
      </w:r>
      <w:r w:rsidRPr="0052286F" w:rsidR="0027133C">
        <w:t>re represented before the Court by Mr</w:t>
      </w:r>
      <w:r>
        <w:t> </w:t>
      </w:r>
      <w:r w:rsidRPr="0052286F" w:rsidR="0027133C">
        <w:t>M.</w:t>
      </w:r>
      <w:r>
        <w:t> </w:t>
      </w:r>
      <w:proofErr w:type="spellStart"/>
      <w:r w:rsidRPr="0052286F" w:rsidR="0027133C">
        <w:t>Ekimdzhiev</w:t>
      </w:r>
      <w:proofErr w:type="spellEnd"/>
      <w:r w:rsidRPr="0052286F" w:rsidR="0027133C">
        <w:t xml:space="preserve"> and Ms </w:t>
      </w:r>
      <w:r w:rsidR="0027133C">
        <w:t xml:space="preserve">K. </w:t>
      </w:r>
      <w:proofErr w:type="spellStart"/>
      <w:r w:rsidR="0027133C">
        <w:t>Boncheva</w:t>
      </w:r>
      <w:proofErr w:type="spellEnd"/>
      <w:r w:rsidRPr="0052286F" w:rsidR="0027133C">
        <w:t xml:space="preserve">, lawyers practising in </w:t>
      </w:r>
      <w:smartTag w:uri="urn:schemas-microsoft-com:office:smarttags" w:element="City">
        <w:smartTag w:uri="urn:schemas-microsoft-com:office:smarttags" w:element="place">
          <w:r w:rsidR="0027133C" w:rsidRPr="0052286F">
            <w:t>Plovdiv</w:t>
          </w:r>
        </w:smartTag>
      </w:smartTag>
      <w:r w:rsidR="00E86008">
        <w:t xml:space="preserve">. </w:t>
      </w:r>
      <w:r w:rsidRPr="009D6ED0" w:rsidR="0016278E">
        <w:t xml:space="preserve">The </w:t>
      </w:r>
      <w:r w:rsidRPr="009D6ED0" w:rsidR="009D6ED0">
        <w:t>Bulgarian</w:t>
      </w:r>
      <w:r w:rsidRPr="009D6ED0" w:rsidR="0016278E">
        <w:t xml:space="preserve"> Government (“the Government”) were represented by their Agent, Ms </w:t>
      </w:r>
      <w:r w:rsidR="00ED0271">
        <w:t xml:space="preserve">R. </w:t>
      </w:r>
      <w:proofErr w:type="spellStart"/>
      <w:r w:rsidR="00ED0271">
        <w:t>Nikolova</w:t>
      </w:r>
      <w:proofErr w:type="spellEnd"/>
      <w:r w:rsidRPr="009D6ED0" w:rsidR="0016278E">
        <w:t xml:space="preserve">, </w:t>
      </w:r>
      <w:r w:rsidR="00ED0271">
        <w:t>of the Ministry of Justice</w:t>
      </w:r>
      <w:r w:rsidRPr="009D6ED0" w:rsidR="0016278E">
        <w:t>.</w:t>
      </w:r>
    </w:p>
    <w:p w:rsidRPr="009D6ED0" w:rsidR="00CE67CB" w:rsidP="00E02575" w:rsidRDefault="009D6ED0">
      <w:pPr>
        <w:pStyle w:val="JuPara"/>
      </w:pPr>
      <w:r w:rsidRPr="009D6ED0">
        <w:fldChar w:fldCharType="begin"/>
      </w:r>
      <w:r w:rsidRPr="009D6ED0">
        <w:instrText xml:space="preserve"> SEQ level0 \*arabic </w:instrText>
      </w:r>
      <w:r w:rsidRPr="009D6ED0">
        <w:fldChar w:fldCharType="separate"/>
      </w:r>
      <w:r w:rsidR="009E75BD">
        <w:rPr>
          <w:noProof/>
        </w:rPr>
        <w:t>3</w:t>
      </w:r>
      <w:r w:rsidRPr="009D6ED0">
        <w:fldChar w:fldCharType="end"/>
      </w:r>
      <w:r w:rsidRPr="009D6ED0" w:rsidR="00F71A6A">
        <w:t xml:space="preserve">.  On </w:t>
      </w:r>
      <w:r w:rsidRPr="009D6ED0">
        <w:rPr>
          <w:rStyle w:val="JuParaCar"/>
        </w:rPr>
        <w:t>14 January 2011</w:t>
      </w:r>
      <w:r w:rsidRPr="009D6ED0" w:rsidR="00F71A6A">
        <w:t xml:space="preserve"> </w:t>
      </w:r>
      <w:r w:rsidRPr="009D6ED0" w:rsidR="006B7780">
        <w:t xml:space="preserve">the </w:t>
      </w:r>
      <w:r w:rsidRPr="009D6ED0">
        <w:t>application was</w:t>
      </w:r>
      <w:r w:rsidRPr="009D6ED0" w:rsidR="006B7780">
        <w:t xml:space="preserve"> communicated</w:t>
      </w:r>
      <w:r w:rsidRPr="009D6ED0" w:rsidR="00501D1A">
        <w:t xml:space="preserve"> </w:t>
      </w:r>
      <w:r w:rsidRPr="009D6ED0" w:rsidR="00F71A6A">
        <w:t>to the Government</w:t>
      </w:r>
      <w:r w:rsidRPr="009D6ED0" w:rsidR="00CE67CB">
        <w:t>.</w:t>
      </w:r>
    </w:p>
    <w:p w:rsidRPr="009D6ED0" w:rsidR="00F71A6A" w:rsidP="009E3D54" w:rsidRDefault="00F71A6A">
      <w:pPr>
        <w:pStyle w:val="JuHHead"/>
      </w:pPr>
      <w:r w:rsidRPr="009D6ED0">
        <w:t>THE FACTS</w:t>
      </w:r>
    </w:p>
    <w:p w:rsidRPr="009D6ED0" w:rsidR="0050576E" w:rsidP="009E3D54" w:rsidRDefault="0050576E">
      <w:pPr>
        <w:pStyle w:val="JuHIRoman"/>
        <w:outlineLvl w:val="0"/>
      </w:pPr>
      <w:r w:rsidRPr="009D6ED0">
        <w:t>THE CIRCUMSTANCES OF THE CASE</w:t>
      </w:r>
    </w:p>
    <w:p w:rsidR="003A56D8" w:rsidP="003A56D8" w:rsidRDefault="009D6ED0">
      <w:pPr>
        <w:pStyle w:val="JuPara"/>
      </w:pPr>
      <w:r w:rsidRPr="009D6ED0">
        <w:fldChar w:fldCharType="begin"/>
      </w:r>
      <w:r w:rsidRPr="009D6ED0">
        <w:instrText xml:space="preserve"> SEQ level0 \*arabic </w:instrText>
      </w:r>
      <w:r w:rsidRPr="009D6ED0">
        <w:fldChar w:fldCharType="separate"/>
      </w:r>
      <w:r w:rsidR="009E75BD">
        <w:rPr>
          <w:noProof/>
        </w:rPr>
        <w:t>4</w:t>
      </w:r>
      <w:r w:rsidRPr="009D6ED0">
        <w:fldChar w:fldCharType="end"/>
      </w:r>
      <w:r w:rsidRPr="009D6ED0" w:rsidR="00F71A6A">
        <w:t xml:space="preserve">.  The </w:t>
      </w:r>
      <w:r w:rsidRPr="009D6ED0">
        <w:t>applicant</w:t>
      </w:r>
      <w:r w:rsidR="003A56D8">
        <w:t xml:space="preserve">s, Ms </w:t>
      </w:r>
      <w:proofErr w:type="spellStart"/>
      <w:r w:rsidR="003A56D8">
        <w:t>Lilyana</w:t>
      </w:r>
      <w:proofErr w:type="spellEnd"/>
      <w:r w:rsidR="003A56D8">
        <w:t xml:space="preserve"> </w:t>
      </w:r>
      <w:proofErr w:type="spellStart"/>
      <w:r w:rsidR="003A56D8">
        <w:t>Veselinova</w:t>
      </w:r>
      <w:proofErr w:type="spellEnd"/>
      <w:r w:rsidR="003A56D8">
        <w:t xml:space="preserve"> </w:t>
      </w:r>
      <w:proofErr w:type="spellStart"/>
      <w:r w:rsidR="003A56D8">
        <w:t>Dimitrova</w:t>
      </w:r>
      <w:proofErr w:type="spellEnd"/>
      <w:r w:rsidR="003A56D8">
        <w:t>,</w:t>
      </w:r>
      <w:r w:rsidRPr="009D6ED0">
        <w:t xml:space="preserve"> born in 1952</w:t>
      </w:r>
      <w:r w:rsidR="003A56D8">
        <w:t>,</w:t>
      </w:r>
      <w:r w:rsidRPr="009D6ED0">
        <w:t xml:space="preserve"> and</w:t>
      </w:r>
      <w:r w:rsidR="003A56D8">
        <w:t xml:space="preserve"> her son</w:t>
      </w:r>
      <w:r w:rsidR="00F116BD">
        <w:t>, Mr</w:t>
      </w:r>
      <w:r w:rsidR="003A56D8">
        <w:t xml:space="preserve"> </w:t>
      </w:r>
      <w:proofErr w:type="spellStart"/>
      <w:r w:rsidR="003A56D8">
        <w:t>Yulian</w:t>
      </w:r>
      <w:proofErr w:type="spellEnd"/>
      <w:r w:rsidR="003A56D8">
        <w:t xml:space="preserve"> </w:t>
      </w:r>
      <w:proofErr w:type="spellStart"/>
      <w:r w:rsidR="003A56D8">
        <w:t>Dimitrov</w:t>
      </w:r>
      <w:proofErr w:type="spellEnd"/>
      <w:r w:rsidR="003A56D8">
        <w:t xml:space="preserve"> </w:t>
      </w:r>
      <w:proofErr w:type="spellStart"/>
      <w:r w:rsidR="003A56D8">
        <w:t>Dimitrov</w:t>
      </w:r>
      <w:proofErr w:type="spellEnd"/>
      <w:r w:rsidR="003A56D8">
        <w:t>, born in 1983,</w:t>
      </w:r>
      <w:r w:rsidRPr="009D6ED0">
        <w:t xml:space="preserve"> live</w:t>
      </w:r>
      <w:r w:rsidRPr="009D6ED0" w:rsidR="00F71A6A">
        <w:t xml:space="preserve"> in </w:t>
      </w:r>
      <w:smartTag w:uri="urn:schemas-microsoft-com:office:smarttags" w:element="City">
        <w:smartTag w:uri="urn:schemas-microsoft-com:office:smarttags" w:element="place">
          <w:r w:rsidRPr="009D6ED0">
            <w:t>Sofia</w:t>
          </w:r>
        </w:smartTag>
      </w:smartTag>
      <w:r w:rsidRPr="009D6ED0" w:rsidR="00F71A6A">
        <w:t>.</w:t>
      </w:r>
    </w:p>
    <w:p w:rsidR="003A56D8" w:rsidP="003A56D8" w:rsidRDefault="003A56D8">
      <w:pPr>
        <w:pStyle w:val="JuPara"/>
      </w:pPr>
      <w:r>
        <w:fldChar w:fldCharType="begin"/>
      </w:r>
      <w:r>
        <w:instrText xml:space="preserve"> SEQ level0 \*arabic </w:instrText>
      </w:r>
      <w:r>
        <w:fldChar w:fldCharType="separate"/>
      </w:r>
      <w:r w:rsidR="009E75BD">
        <w:rPr>
          <w:noProof/>
        </w:rPr>
        <w:t>5</w:t>
      </w:r>
      <w:r>
        <w:fldChar w:fldCharType="end"/>
      </w:r>
      <w:r>
        <w:t xml:space="preserve">.  On 4 February 1998 their husband and father, Mr D.D., an aircraft maintenance technician, died in an air crash in </w:t>
      </w:r>
      <w:smartTag w:uri="urn:schemas-microsoft-com:office:smarttags" w:element="place">
        <w:smartTag w:uri="urn:schemas-microsoft-com:office:smarttags" w:element="country-region">
          <w:r>
            <w:t>Portugal</w:t>
          </w:r>
        </w:smartTag>
      </w:smartTag>
      <w:r>
        <w:t>.</w:t>
      </w:r>
    </w:p>
    <w:p w:rsidR="003A56D8" w:rsidP="003A56D8" w:rsidRDefault="003A56D8">
      <w:pPr>
        <w:pStyle w:val="JuPara"/>
      </w:pPr>
      <w:r>
        <w:fldChar w:fldCharType="begin"/>
      </w:r>
      <w:r>
        <w:instrText xml:space="preserve"> SEQ level0 \*arabic </w:instrText>
      </w:r>
      <w:r>
        <w:fldChar w:fldCharType="separate"/>
      </w:r>
      <w:r w:rsidR="009E75BD">
        <w:rPr>
          <w:noProof/>
        </w:rPr>
        <w:t>6</w:t>
      </w:r>
      <w:r>
        <w:fldChar w:fldCharType="end"/>
      </w:r>
      <w:r>
        <w:t xml:space="preserve">.  On an unknown date, not later than mid-1999, the applicants received an indemnity of 10,000,000 old Bulgarian </w:t>
      </w:r>
      <w:proofErr w:type="spellStart"/>
      <w:r>
        <w:t>levs</w:t>
      </w:r>
      <w:proofErr w:type="spellEnd"/>
      <w:r>
        <w:t xml:space="preserve"> (BGL) (the equivalent of 10,000 former German marks) under the liability insurance of Mr</w:t>
      </w:r>
      <w:r w:rsidR="00D94D0D">
        <w:t xml:space="preserve"> </w:t>
      </w:r>
      <w:proofErr w:type="spellStart"/>
      <w:r>
        <w:t>D.D.</w:t>
      </w:r>
      <w:r w:rsidR="009E75BD">
        <w:t>’</w:t>
      </w:r>
      <w:r>
        <w:t>s</w:t>
      </w:r>
      <w:proofErr w:type="spellEnd"/>
      <w:r>
        <w:t xml:space="preserve"> employer.</w:t>
      </w:r>
    </w:p>
    <w:p w:rsidR="009E75BD" w:rsidP="003A56D8" w:rsidRDefault="003A56D8">
      <w:pPr>
        <w:pStyle w:val="JuPara"/>
      </w:pPr>
      <w:r>
        <w:fldChar w:fldCharType="begin"/>
      </w:r>
      <w:r>
        <w:instrText xml:space="preserve"> SEQ level0 \*arabic </w:instrText>
      </w:r>
      <w:r>
        <w:fldChar w:fldCharType="separate"/>
      </w:r>
      <w:r w:rsidR="009E75BD">
        <w:rPr>
          <w:noProof/>
        </w:rPr>
        <w:t>7</w:t>
      </w:r>
      <w:r>
        <w:fldChar w:fldCharType="end"/>
      </w:r>
      <w:r>
        <w:t>.  On 10 December 1998 the applicants brought an action against Mr </w:t>
      </w:r>
      <w:proofErr w:type="spellStart"/>
      <w:r>
        <w:t>D.D.</w:t>
      </w:r>
      <w:r w:rsidR="009E75BD">
        <w:t>’</w:t>
      </w:r>
      <w:r>
        <w:t>s</w:t>
      </w:r>
      <w:proofErr w:type="spellEnd"/>
      <w:r>
        <w:t xml:space="preserve"> employer in connection with the occupational accident. They claimed a total of 200,000 new Bulgarian </w:t>
      </w:r>
      <w:proofErr w:type="spellStart"/>
      <w:r>
        <w:t>levs</w:t>
      </w:r>
      <w:proofErr w:type="spellEnd"/>
      <w:r>
        <w:t xml:space="preserve"> (BGN) (approximately 102,250 </w:t>
      </w:r>
      <w:proofErr w:type="spellStart"/>
      <w:r>
        <w:t>euros</w:t>
      </w:r>
      <w:proofErr w:type="spellEnd"/>
      <w:r>
        <w:t xml:space="preserve"> (EUR)) in non-pecuniary damages.</w:t>
      </w:r>
    </w:p>
    <w:p w:rsidR="003A56D8" w:rsidP="003A56D8" w:rsidRDefault="003A56D8">
      <w:pPr>
        <w:pStyle w:val="JuPara"/>
      </w:pPr>
      <w:r>
        <w:fldChar w:fldCharType="begin"/>
      </w:r>
      <w:r>
        <w:instrText xml:space="preserve"> SEQ level0 \*arabic </w:instrText>
      </w:r>
      <w:r>
        <w:fldChar w:fldCharType="separate"/>
      </w:r>
      <w:r w:rsidR="009E75BD">
        <w:rPr>
          <w:noProof/>
        </w:rPr>
        <w:t>8</w:t>
      </w:r>
      <w:r>
        <w:fldChar w:fldCharType="end"/>
      </w:r>
      <w:r>
        <w:t>.  The Sofia City Court conducted the first hearing on 21 June 1999. It ordered an expert report and postponed the hearing for the gathering of evidence. In the period from 24 January 2000 to 11 June 2001 it conducted five hearings, during which it questioned witnesses, admitted the expert report and a report from the Portuguese authorities which had investigated the air crash, and gathered other evidence.</w:t>
      </w:r>
    </w:p>
    <w:p w:rsidR="009E75BD" w:rsidP="003A56D8" w:rsidRDefault="003A56D8">
      <w:pPr>
        <w:pStyle w:val="JuPara"/>
      </w:pPr>
      <w:r>
        <w:fldChar w:fldCharType="begin"/>
      </w:r>
      <w:r>
        <w:instrText xml:space="preserve"> SEQ level0 \*arabic </w:instrText>
      </w:r>
      <w:r>
        <w:fldChar w:fldCharType="separate"/>
      </w:r>
      <w:r w:rsidR="009E75BD">
        <w:rPr>
          <w:noProof/>
        </w:rPr>
        <w:t>9</w:t>
      </w:r>
      <w:r>
        <w:fldChar w:fldCharType="end"/>
      </w:r>
      <w:r>
        <w:t>.  In a judgment of 30 August 2001 the</w:t>
      </w:r>
      <w:r w:rsidR="009950AD">
        <w:t xml:space="preserve"> Sofia</w:t>
      </w:r>
      <w:r>
        <w:t xml:space="preserve"> City Court partly granted the applicant</w:t>
      </w:r>
      <w:r w:rsidR="009E75BD">
        <w:t>’</w:t>
      </w:r>
      <w:r>
        <w:t>s claim, awarding BGN 6,000 to the first applicant and BGN 7,500 to the second applicant, together with the statutory interest since the date of the air crash. It found, on the basis of the expert report and the report from the Portuguese authorities, that the accident had been due to a technical failure. However, certain acts and omissions of the crew,</w:t>
      </w:r>
      <w:r w:rsidRPr="0018439E">
        <w:t xml:space="preserve"> </w:t>
      </w:r>
      <w:r>
        <w:t xml:space="preserve">including Mr D.D., had partly contributed to the crash. The court qualified the behaviour of the crew as gross negligence and held that this called for a reduction of the compensation to be awarded to the applicants. The </w:t>
      </w:r>
      <w:r w:rsidR="00084C4A">
        <w:t>parties</w:t>
      </w:r>
      <w:r>
        <w:t xml:space="preserve"> appealed.</w:t>
      </w:r>
    </w:p>
    <w:p w:rsidR="003A56D8" w:rsidP="003A56D8" w:rsidRDefault="003A56D8">
      <w:pPr>
        <w:pStyle w:val="JuPara"/>
      </w:pPr>
      <w:r>
        <w:fldChar w:fldCharType="begin"/>
      </w:r>
      <w:r>
        <w:instrText xml:space="preserve"> SEQ level0 \*arabic </w:instrText>
      </w:r>
      <w:r>
        <w:fldChar w:fldCharType="separate"/>
      </w:r>
      <w:r w:rsidR="009E75BD">
        <w:rPr>
          <w:noProof/>
        </w:rPr>
        <w:t>10</w:t>
      </w:r>
      <w:r>
        <w:fldChar w:fldCharType="end"/>
      </w:r>
      <w:r>
        <w:t xml:space="preserve">.  The </w:t>
      </w:r>
      <w:smartTag w:uri="urn:schemas-microsoft-com:office:smarttags" w:element="Street">
        <w:smartTag w:uri="urn:schemas-microsoft-com:office:smarttags" w:element="address">
          <w:r>
            <w:t xml:space="preserve">Sofia </w:t>
          </w:r>
          <w:r w:rsidR="009950AD">
            <w:t>Appeal</w:t>
          </w:r>
          <w:r>
            <w:t xml:space="preserve"> Court</w:t>
          </w:r>
        </w:smartTag>
      </w:smartTag>
      <w:r>
        <w:t xml:space="preserve"> conducted hearings on 12 April and 20 September 2002. In a judgment of 25 October 2002, which was rectified for errors by</w:t>
      </w:r>
      <w:r w:rsidRPr="0090454E">
        <w:t xml:space="preserve"> </w:t>
      </w:r>
      <w:r>
        <w:t xml:space="preserve">an additional judgment of 2 January 2003, it increased the award to BGN 13,000 for each applicant (EUR 13,300 in total). It ordered that the statutory interest should be paid as from the date of the incident until settlement. It held that Mr </w:t>
      </w:r>
      <w:proofErr w:type="spellStart"/>
      <w:r>
        <w:t>D.D.</w:t>
      </w:r>
      <w:r w:rsidR="009E75BD">
        <w:t>’</w:t>
      </w:r>
      <w:r>
        <w:t>s</w:t>
      </w:r>
      <w:proofErr w:type="spellEnd"/>
      <w:r>
        <w:t xml:space="preserve"> acts and omissions on the day of the accident could not be qualified as gross negligence and therefore no reduction of the compensation was justified. In assessing the amount of the non-pecuniary damages, the court took into account the insurance indemnity received by the applicants,</w:t>
      </w:r>
      <w:r w:rsidRPr="008674FF">
        <w:t xml:space="preserve"> </w:t>
      </w:r>
      <w:r>
        <w:t xml:space="preserve">the poor state of health of the first applicant and the fact that the second applicant had been underage at the time of the accident. The </w:t>
      </w:r>
      <w:r w:rsidR="00084C4A">
        <w:t>parties</w:t>
      </w:r>
      <w:r>
        <w:t xml:space="preserve"> appealed</w:t>
      </w:r>
      <w:r w:rsidR="00874D8C">
        <w:t xml:space="preserve"> on points of law</w:t>
      </w:r>
      <w:r>
        <w:t>.</w:t>
      </w:r>
    </w:p>
    <w:p w:rsidR="00874D8C" w:rsidP="003A56D8" w:rsidRDefault="00874D8C">
      <w:pPr>
        <w:pStyle w:val="JuPara"/>
      </w:pPr>
      <w:r>
        <w:fldChar w:fldCharType="begin"/>
      </w:r>
      <w:r>
        <w:instrText xml:space="preserve"> SEQ level0 \*arabic </w:instrText>
      </w:r>
      <w:r>
        <w:fldChar w:fldCharType="separate"/>
      </w:r>
      <w:r w:rsidR="009E75BD">
        <w:rPr>
          <w:noProof/>
        </w:rPr>
        <w:t>11</w:t>
      </w:r>
      <w:r>
        <w:fldChar w:fldCharType="end"/>
      </w:r>
      <w:r>
        <w:t>.  On 7 April 2003 the</w:t>
      </w:r>
      <w:r w:rsidRPr="00874D8C">
        <w:t xml:space="preserve"> </w:t>
      </w:r>
      <w:r>
        <w:t xml:space="preserve">Supreme Court of Cassation suspended the enforcement of the judgment of the </w:t>
      </w:r>
      <w:smartTag w:uri="urn:schemas-microsoft-com:office:smarttags" w:element="Street">
        <w:smartTag w:uri="urn:schemas-microsoft-com:office:smarttags" w:element="address">
          <w:r>
            <w:t>Sofia Appeal Court</w:t>
          </w:r>
        </w:smartTag>
      </w:smartTag>
      <w:r>
        <w:t xml:space="preserve"> pending the outcome of the proceedings on points of law.</w:t>
      </w:r>
    </w:p>
    <w:p w:rsidRPr="009D6ED0" w:rsidR="00F71A6A" w:rsidP="003A56D8" w:rsidRDefault="003A56D8">
      <w:pPr>
        <w:pStyle w:val="JuPara"/>
      </w:pPr>
      <w:r>
        <w:fldChar w:fldCharType="begin"/>
      </w:r>
      <w:r>
        <w:instrText xml:space="preserve"> SEQ level0 \*arabic </w:instrText>
      </w:r>
      <w:r>
        <w:fldChar w:fldCharType="separate"/>
      </w:r>
      <w:r w:rsidR="009E75BD">
        <w:rPr>
          <w:noProof/>
        </w:rPr>
        <w:t>12</w:t>
      </w:r>
      <w:r>
        <w:fldChar w:fldCharType="end"/>
      </w:r>
      <w:r>
        <w:t xml:space="preserve">.  On 31 May 2005 the Supreme Court of Cassation conducted a hearing. In a final judgment of 14 December 2005 it upheld the judgment of the </w:t>
      </w:r>
      <w:smartTag w:uri="urn:schemas-microsoft-com:office:smarttags" w:element="Street">
        <w:smartTag w:uri="urn:schemas-microsoft-com:office:smarttags" w:element="address">
          <w:r w:rsidR="009950AD">
            <w:t>Sofia Appeal</w:t>
          </w:r>
          <w:r>
            <w:t xml:space="preserve"> Court</w:t>
          </w:r>
        </w:smartTag>
      </w:smartTag>
      <w:r>
        <w:t>.</w:t>
      </w:r>
    </w:p>
    <w:p w:rsidRPr="009D6ED0" w:rsidR="00F71A6A" w:rsidP="009E3D54" w:rsidRDefault="00F71A6A">
      <w:pPr>
        <w:pStyle w:val="JuHHead"/>
      </w:pPr>
      <w:r w:rsidRPr="009D6ED0">
        <w:t>THE LAW</w:t>
      </w:r>
    </w:p>
    <w:p w:rsidRPr="009D6ED0" w:rsidR="0016278E" w:rsidP="0016278E" w:rsidRDefault="0016278E">
      <w:pPr>
        <w:pStyle w:val="JuHIRoman"/>
      </w:pPr>
      <w:r w:rsidRPr="009D6ED0">
        <w:t>I.  ALLEGED VIOLATION OF ARTICLE</w:t>
      </w:r>
      <w:r w:rsidR="00C17068">
        <w:t>S</w:t>
      </w:r>
      <w:r w:rsidRPr="009D6ED0">
        <w:t xml:space="preserve"> 6 § 1 </w:t>
      </w:r>
      <w:r w:rsidR="00C17068">
        <w:t xml:space="preserve">AND 13 </w:t>
      </w:r>
      <w:r w:rsidRPr="009D6ED0">
        <w:t>OF THE CONVENTION</w:t>
      </w:r>
    </w:p>
    <w:p w:rsidR="0016278E" w:rsidP="00C17068" w:rsidRDefault="009D6ED0">
      <w:pPr>
        <w:pStyle w:val="JuPara"/>
      </w:pPr>
      <w:r w:rsidRPr="009D6ED0">
        <w:fldChar w:fldCharType="begin"/>
      </w:r>
      <w:r w:rsidRPr="009D6ED0">
        <w:instrText xml:space="preserve"> SEQ level0 \*arabic </w:instrText>
      </w:r>
      <w:r w:rsidRPr="009D6ED0">
        <w:fldChar w:fldCharType="separate"/>
      </w:r>
      <w:r w:rsidR="009E75BD">
        <w:rPr>
          <w:noProof/>
        </w:rPr>
        <w:t>13</w:t>
      </w:r>
      <w:r w:rsidRPr="009D6ED0">
        <w:fldChar w:fldCharType="end"/>
      </w:r>
      <w:r w:rsidRPr="009D6ED0" w:rsidR="0016278E">
        <w:t>.  </w:t>
      </w:r>
      <w:r w:rsidRPr="009B56E8" w:rsidR="00C17068">
        <w:t>The applicant</w:t>
      </w:r>
      <w:r w:rsidR="00C17068">
        <w:t>s</w:t>
      </w:r>
      <w:r w:rsidRPr="009B56E8" w:rsidR="00C17068">
        <w:t xml:space="preserve"> complained </w:t>
      </w:r>
      <w:r w:rsidR="00C17068">
        <w:t xml:space="preserve">under Articles 6 </w:t>
      </w:r>
      <w:r w:rsidRPr="009B56E8" w:rsidR="00C17068">
        <w:t>§ 1</w:t>
      </w:r>
      <w:r w:rsidR="00C17068">
        <w:t xml:space="preserve"> and 13 of the Convention </w:t>
      </w:r>
      <w:r w:rsidRPr="009B56E8" w:rsidR="00C17068">
        <w:t>that the length of the proceedings had been incompatible with the “reasonable time” requirement</w:t>
      </w:r>
      <w:r w:rsidR="00C17068">
        <w:t xml:space="preserve"> and that they had not had any effective dom</w:t>
      </w:r>
      <w:r w:rsidR="0032679A">
        <w:t>estic remedies in that respect.</w:t>
      </w:r>
    </w:p>
    <w:p w:rsidR="00C17068" w:rsidP="00C17068" w:rsidRDefault="00C17068">
      <w:pPr>
        <w:pStyle w:val="JuPara"/>
      </w:pPr>
      <w:r>
        <w:t xml:space="preserve">Article 6 </w:t>
      </w:r>
      <w:r w:rsidRPr="00800C5D">
        <w:t>§ 1</w:t>
      </w:r>
      <w:r>
        <w:t xml:space="preserve"> reads, in so far as relevant:</w:t>
      </w:r>
    </w:p>
    <w:p w:rsidR="0016278E" w:rsidP="009912C4" w:rsidRDefault="0016278E">
      <w:pPr>
        <w:pStyle w:val="JuQuot"/>
      </w:pPr>
      <w:r w:rsidRPr="009D6ED0">
        <w:t>“</w:t>
      </w:r>
      <w:r w:rsidRPr="009D6ED0" w:rsidR="009D6ED0">
        <w:t>In the determination of his civil rights and obligations ..., everyone is entitled to a ... hearing within a reasonable time by a ... tribunal...</w:t>
      </w:r>
      <w:r w:rsidRPr="009D6ED0">
        <w:t>”</w:t>
      </w:r>
    </w:p>
    <w:p w:rsidR="00C17068" w:rsidP="00C17068" w:rsidRDefault="00C17068">
      <w:pPr>
        <w:pStyle w:val="JuPara"/>
      </w:pPr>
      <w:r>
        <w:t>Article 13 reads:</w:t>
      </w:r>
    </w:p>
    <w:p w:rsidRPr="009D6ED0" w:rsidR="00C17068" w:rsidP="00C17068" w:rsidRDefault="00C17068">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009D6ED0" w:rsidP="00973A0D" w:rsidRDefault="009D6ED0">
      <w:pPr>
        <w:pStyle w:val="JuPara"/>
      </w:pPr>
      <w:r w:rsidRPr="009D6ED0">
        <w:fldChar w:fldCharType="begin"/>
      </w:r>
      <w:r w:rsidRPr="009D6ED0">
        <w:instrText xml:space="preserve"> SEQ level0 \*arabic </w:instrText>
      </w:r>
      <w:r w:rsidRPr="009D6ED0">
        <w:fldChar w:fldCharType="separate"/>
      </w:r>
      <w:r w:rsidR="009E75BD">
        <w:rPr>
          <w:noProof/>
        </w:rPr>
        <w:t>14</w:t>
      </w:r>
      <w:r w:rsidRPr="009D6ED0">
        <w:fldChar w:fldCharType="end"/>
      </w:r>
      <w:r w:rsidRPr="009D6ED0" w:rsidR="0016278E">
        <w:t>.  </w:t>
      </w:r>
      <w:r w:rsidRPr="008F5771" w:rsidR="003063C5">
        <w:rPr>
          <w:szCs w:val="24"/>
        </w:rPr>
        <w:t xml:space="preserve">The </w:t>
      </w:r>
      <w:r w:rsidR="003063C5">
        <w:rPr>
          <w:szCs w:val="24"/>
        </w:rPr>
        <w:t>period</w:t>
      </w:r>
      <w:r w:rsidRPr="008F5771" w:rsidR="003063C5">
        <w:rPr>
          <w:szCs w:val="24"/>
        </w:rPr>
        <w:t xml:space="preserve"> </w:t>
      </w:r>
      <w:r w:rsidRPr="009D6ED0" w:rsidR="003063C5">
        <w:t xml:space="preserve">to be taken into consideration began on </w:t>
      </w:r>
      <w:r w:rsidRPr="008F5771" w:rsidR="003063C5">
        <w:rPr>
          <w:szCs w:val="24"/>
        </w:rPr>
        <w:t>1</w:t>
      </w:r>
      <w:r w:rsidR="003063C5">
        <w:rPr>
          <w:szCs w:val="24"/>
        </w:rPr>
        <w:t>0 December</w:t>
      </w:r>
      <w:r w:rsidRPr="008F5771" w:rsidR="003063C5">
        <w:rPr>
          <w:szCs w:val="24"/>
        </w:rPr>
        <w:t xml:space="preserve"> 199</w:t>
      </w:r>
      <w:r w:rsidR="003063C5">
        <w:rPr>
          <w:szCs w:val="24"/>
        </w:rPr>
        <w:t>8</w:t>
      </w:r>
      <w:r w:rsidRPr="008F5771" w:rsidR="003063C5">
        <w:rPr>
          <w:szCs w:val="24"/>
        </w:rPr>
        <w:t xml:space="preserve"> and ended on 1</w:t>
      </w:r>
      <w:r w:rsidR="003063C5">
        <w:rPr>
          <w:szCs w:val="24"/>
        </w:rPr>
        <w:t>4</w:t>
      </w:r>
      <w:r w:rsidR="00D94D0D">
        <w:rPr>
          <w:szCs w:val="24"/>
        </w:rPr>
        <w:t xml:space="preserve"> </w:t>
      </w:r>
      <w:r w:rsidR="003063C5">
        <w:rPr>
          <w:szCs w:val="24"/>
        </w:rPr>
        <w:t>December</w:t>
      </w:r>
      <w:r w:rsidRPr="008F5771" w:rsidR="003063C5">
        <w:rPr>
          <w:szCs w:val="24"/>
        </w:rPr>
        <w:t xml:space="preserve"> 2005. </w:t>
      </w:r>
      <w:r w:rsidR="003063C5">
        <w:rPr>
          <w:szCs w:val="24"/>
        </w:rPr>
        <w:t>It thus lasted seven</w:t>
      </w:r>
      <w:r w:rsidRPr="008F5771" w:rsidR="003063C5">
        <w:rPr>
          <w:szCs w:val="24"/>
        </w:rPr>
        <w:t xml:space="preserve"> years </w:t>
      </w:r>
      <w:r w:rsidR="003063C5">
        <w:rPr>
          <w:szCs w:val="24"/>
        </w:rPr>
        <w:t>and</w:t>
      </w:r>
      <w:r w:rsidRPr="008F5771" w:rsidR="003063C5">
        <w:rPr>
          <w:szCs w:val="24"/>
        </w:rPr>
        <w:t xml:space="preserve"> </w:t>
      </w:r>
      <w:r w:rsidR="003063C5">
        <w:rPr>
          <w:szCs w:val="24"/>
        </w:rPr>
        <w:t>four</w:t>
      </w:r>
      <w:r w:rsidRPr="008F5771" w:rsidR="003063C5">
        <w:rPr>
          <w:szCs w:val="24"/>
        </w:rPr>
        <w:t xml:space="preserve"> days</w:t>
      </w:r>
      <w:r w:rsidR="003063C5">
        <w:rPr>
          <w:szCs w:val="24"/>
        </w:rPr>
        <w:t xml:space="preserve"> for three</w:t>
      </w:r>
      <w:r w:rsidRPr="008F5771" w:rsidR="003063C5">
        <w:rPr>
          <w:szCs w:val="24"/>
        </w:rPr>
        <w:t xml:space="preserve"> levels of jurisdiction.</w:t>
      </w:r>
    </w:p>
    <w:p w:rsidRPr="009B56E8" w:rsidR="008D7D4D" w:rsidP="008D7D4D" w:rsidRDefault="008D7D4D">
      <w:pPr>
        <w:pStyle w:val="JuHA"/>
        <w:outlineLvl w:val="0"/>
      </w:pPr>
      <w:r w:rsidRPr="009B56E8">
        <w:t>A.  Admissibility</w:t>
      </w:r>
    </w:p>
    <w:p w:rsidR="008D7D4D" w:rsidP="008D7D4D" w:rsidRDefault="008D7D4D">
      <w:pPr>
        <w:pStyle w:val="JuPara"/>
      </w:pPr>
      <w:r>
        <w:fldChar w:fldCharType="begin"/>
      </w:r>
      <w:r>
        <w:instrText xml:space="preserve"> SEQ level0 \*arabic </w:instrText>
      </w:r>
      <w:r>
        <w:fldChar w:fldCharType="separate"/>
      </w:r>
      <w:r w:rsidR="009E75BD">
        <w:rPr>
          <w:noProof/>
        </w:rPr>
        <w:t>15</w:t>
      </w:r>
      <w:r>
        <w:fldChar w:fldCharType="end"/>
      </w:r>
      <w:r>
        <w:t>.  </w:t>
      </w:r>
      <w:r w:rsidRPr="009B56E8">
        <w:t>The Government</w:t>
      </w:r>
      <w:r>
        <w:t xml:space="preserve"> stated that the applicants had failed to exhaust the available domestic remedies because they had not made a complaint about delays.</w:t>
      </w:r>
    </w:p>
    <w:p w:rsidR="009E75BD" w:rsidP="008D7D4D" w:rsidRDefault="008D7D4D">
      <w:pPr>
        <w:pStyle w:val="JuPara"/>
      </w:pPr>
      <w:r w:rsidRPr="009B56E8">
        <w:fldChar w:fldCharType="begin"/>
      </w:r>
      <w:r w:rsidRPr="009B56E8">
        <w:instrText xml:space="preserve"> SEQ level0 \*arabic </w:instrText>
      </w:r>
      <w:r w:rsidRPr="009B56E8">
        <w:fldChar w:fldCharType="separate"/>
      </w:r>
      <w:r w:rsidR="009E75BD">
        <w:rPr>
          <w:noProof/>
        </w:rPr>
        <w:t>16</w:t>
      </w:r>
      <w:r w:rsidRPr="009B56E8">
        <w:fldChar w:fldCharType="end"/>
      </w:r>
      <w:r w:rsidRPr="009B56E8">
        <w:t>.  </w:t>
      </w:r>
      <w:r>
        <w:t>The Court considers that the question of exhaustion of domestic remedies is closely linked with the substance of the applicants</w:t>
      </w:r>
      <w:r w:rsidR="009E75BD">
        <w:t>’</w:t>
      </w:r>
      <w:r>
        <w:t xml:space="preserve"> complaint under Article 13 of the Convention. It should therefore be joined to the merits.</w:t>
      </w:r>
    </w:p>
    <w:p w:rsidRPr="009B56E8" w:rsidR="00222E9E" w:rsidP="00222E9E" w:rsidRDefault="00222E9E">
      <w:pPr>
        <w:pStyle w:val="JuPara"/>
      </w:pPr>
      <w:r>
        <w:fldChar w:fldCharType="begin"/>
      </w:r>
      <w:r>
        <w:instrText xml:space="preserve"> SEQ level0 \*arabic </w:instrText>
      </w:r>
      <w:r>
        <w:fldChar w:fldCharType="separate"/>
      </w:r>
      <w:r w:rsidR="009E75BD">
        <w:rPr>
          <w:noProof/>
        </w:rPr>
        <w:t>17</w:t>
      </w:r>
      <w:r>
        <w:fldChar w:fldCharType="end"/>
      </w:r>
      <w:r>
        <w:t>.  </w:t>
      </w:r>
      <w:r w:rsidRPr="00A23192">
        <w:t xml:space="preserve">The Court </w:t>
      </w:r>
      <w:r>
        <w:t>considers furthermore</w:t>
      </w:r>
      <w:r w:rsidRPr="00A23192">
        <w:t xml:space="preserve"> that th</w:t>
      </w:r>
      <w:r>
        <w:t>e present</w:t>
      </w:r>
      <w:r w:rsidRPr="00A23192">
        <w:t xml:space="preserve"> complaint</w:t>
      </w:r>
      <w:r>
        <w:t>s</w:t>
      </w:r>
      <w:r w:rsidRPr="00A23192">
        <w:t xml:space="preserve"> </w:t>
      </w:r>
      <w:r>
        <w:t>are</w:t>
      </w:r>
      <w:r w:rsidRPr="00A23192">
        <w:t xml:space="preserve"> not manifestly ill-founded within the meaning of Article 35 § 3 of the Convent</w:t>
      </w:r>
      <w:r>
        <w:t>ion and</w:t>
      </w:r>
      <w:r w:rsidRPr="00A23192">
        <w:t xml:space="preserve"> not inadmissible on any other grounds. </w:t>
      </w:r>
      <w:r>
        <w:t>They</w:t>
      </w:r>
      <w:r w:rsidRPr="00A23192">
        <w:t xml:space="preserve"> must therefore be declared admissible.</w:t>
      </w:r>
    </w:p>
    <w:p w:rsidRPr="009B56E8" w:rsidR="00222E9E" w:rsidP="00222E9E" w:rsidRDefault="00222E9E">
      <w:pPr>
        <w:pStyle w:val="JuHA"/>
        <w:outlineLvl w:val="0"/>
      </w:pPr>
      <w:r w:rsidRPr="009B56E8">
        <w:t>B.  Merits</w:t>
      </w:r>
    </w:p>
    <w:p w:rsidR="009E75BD" w:rsidP="00222E9E" w:rsidRDefault="00222E9E">
      <w:pPr>
        <w:pStyle w:val="JuPara"/>
      </w:pPr>
      <w:r w:rsidRPr="009B56E8">
        <w:fldChar w:fldCharType="begin"/>
      </w:r>
      <w:r w:rsidRPr="009B56E8">
        <w:instrText xml:space="preserve"> SEQ level0 \*arabic </w:instrText>
      </w:r>
      <w:r w:rsidRPr="009B56E8">
        <w:fldChar w:fldCharType="separate"/>
      </w:r>
      <w:r w:rsidR="009E75BD">
        <w:rPr>
          <w:noProof/>
        </w:rPr>
        <w:t>18</w:t>
      </w:r>
      <w:r w:rsidRPr="009B56E8">
        <w:fldChar w:fldCharType="end"/>
      </w:r>
      <w:r w:rsidRPr="009B56E8">
        <w:t>.  </w:t>
      </w:r>
      <w:r>
        <w:t>The Government stated that the length of the proceedings had not been unreasonable in view of the complexity of the case</w:t>
      </w:r>
      <w:r w:rsidR="00E54294">
        <w:t xml:space="preserve"> and the fact that the accident had taken place abroad, which involved communication with foreign authorities</w:t>
      </w:r>
      <w:r>
        <w:t>.</w:t>
      </w:r>
    </w:p>
    <w:p w:rsidR="00222E9E" w:rsidP="00222E9E" w:rsidRDefault="00222E9E">
      <w:pPr>
        <w:pStyle w:val="JuPara"/>
      </w:pPr>
      <w:r>
        <w:fldChar w:fldCharType="begin"/>
      </w:r>
      <w:r>
        <w:instrText xml:space="preserve"> SEQ level0 \*arabic </w:instrText>
      </w:r>
      <w:r>
        <w:fldChar w:fldCharType="separate"/>
      </w:r>
      <w:r w:rsidR="009E75BD">
        <w:rPr>
          <w:noProof/>
        </w:rPr>
        <w:t>19</w:t>
      </w:r>
      <w:r>
        <w:fldChar w:fldCharType="end"/>
      </w:r>
      <w:r>
        <w:t>.  The applicants disagreed.</w:t>
      </w:r>
    </w:p>
    <w:p w:rsidRPr="009D6ED0" w:rsidR="00CE67CB" w:rsidP="00943B61" w:rsidRDefault="00874D8C">
      <w:pPr>
        <w:pStyle w:val="JuPara"/>
        <w:rPr>
          <w:lang w:eastAsia="en-US"/>
        </w:rPr>
      </w:pPr>
      <w:r>
        <w:fldChar w:fldCharType="begin"/>
      </w:r>
      <w:r>
        <w:instrText xml:space="preserve"> SEQ level0 \*arabic </w:instrText>
      </w:r>
      <w:r>
        <w:fldChar w:fldCharType="separate"/>
      </w:r>
      <w:r w:rsidR="009E75BD">
        <w:rPr>
          <w:noProof/>
        </w:rPr>
        <w:t>20</w:t>
      </w:r>
      <w:r>
        <w:fldChar w:fldCharType="end"/>
      </w:r>
      <w:r>
        <w:t>.  </w:t>
      </w:r>
      <w:r w:rsidRPr="009D6ED0" w:rsidR="009D6ED0">
        <w:t xml:space="preserve">The Court reiterates that the reasonableness of the length of proceedings must be assessed in the light of the circumstances of the case and with reference to the following criteria: the complexity of the case, the conduct of the applicants and the relevant authorities and what was at stake for the applicants in the dispute (see, among many other authorities, </w:t>
      </w:r>
      <w:proofErr w:type="spellStart"/>
      <w:r w:rsidRPr="009D6ED0" w:rsidR="009D6ED0">
        <w:rPr>
          <w:i/>
        </w:rPr>
        <w:t>Frydlender</w:t>
      </w:r>
      <w:proofErr w:type="spellEnd"/>
      <w:r w:rsidRPr="009D6ED0" w:rsidR="009D6ED0">
        <w:rPr>
          <w:i/>
        </w:rPr>
        <w:t xml:space="preserve"> v. France</w:t>
      </w:r>
      <w:r w:rsidRPr="009D6ED0" w:rsidR="009D6ED0">
        <w:t xml:space="preserve"> [GC], no. 30979/96, § 43, ECHR 2000-VII).</w:t>
      </w:r>
      <w:r w:rsidRPr="009D6ED0" w:rsidR="009D6ED0">
        <w:rPr>
          <w:szCs w:val="24"/>
        </w:rPr>
        <w:t xml:space="preserve"> </w:t>
      </w:r>
      <w:r w:rsidR="003C5E96">
        <w:t>S</w:t>
      </w:r>
      <w:r w:rsidRPr="009D6ED0" w:rsidR="009D6ED0">
        <w:t>pecial diligence is necessary in</w:t>
      </w:r>
      <w:r w:rsidR="00C17068">
        <w:t xml:space="preserve"> cases </w:t>
      </w:r>
      <w:r w:rsidR="00C17068">
        <w:rPr>
          <w:rStyle w:val="sb8d990e2"/>
        </w:rPr>
        <w:t xml:space="preserve">concerning </w:t>
      </w:r>
      <w:r w:rsidR="003C5E96">
        <w:rPr>
          <w:rStyle w:val="sb8d990e2"/>
        </w:rPr>
        <w:t>alleged</w:t>
      </w:r>
      <w:r w:rsidR="00C17068">
        <w:rPr>
          <w:rStyle w:val="sb8d990e2"/>
        </w:rPr>
        <w:t xml:space="preserve"> negligent acts that might have resulted in loss of life </w:t>
      </w:r>
      <w:r w:rsidRPr="009D6ED0" w:rsidR="009D6ED0">
        <w:t>(</w:t>
      </w:r>
      <w:r w:rsidR="00C17068">
        <w:t xml:space="preserve">see </w:t>
      </w:r>
      <w:proofErr w:type="spellStart"/>
      <w:r w:rsidRPr="00C17068" w:rsidR="00C17068">
        <w:rPr>
          <w:i/>
          <w:lang w:eastAsia="en-US"/>
        </w:rPr>
        <w:t>Dodov</w:t>
      </w:r>
      <w:proofErr w:type="spellEnd"/>
      <w:r w:rsidRPr="00C17068" w:rsidR="00C17068">
        <w:rPr>
          <w:i/>
          <w:lang w:eastAsia="en-US"/>
        </w:rPr>
        <w:t xml:space="preserve"> v. </w:t>
      </w:r>
      <w:smartTag w:uri="urn:schemas-microsoft-com:office:smarttags" w:element="place">
        <w:smartTag w:uri="urn:schemas-microsoft-com:office:smarttags" w:element="country-region">
          <w:r w:rsidR="00C17068" w:rsidRPr="00C17068">
            <w:rPr>
              <w:i/>
              <w:lang w:eastAsia="en-US"/>
            </w:rPr>
            <w:t>Bulgaria</w:t>
          </w:r>
        </w:smartTag>
      </w:smartTag>
      <w:r w:rsidRPr="00C17068" w:rsidR="00C17068">
        <w:rPr>
          <w:lang w:eastAsia="en-US"/>
        </w:rPr>
        <w:t xml:space="preserve">, no. 59548/00, § </w:t>
      </w:r>
      <w:r w:rsidR="00C17068">
        <w:rPr>
          <w:lang w:eastAsia="en-US"/>
        </w:rPr>
        <w:t>109</w:t>
      </w:r>
      <w:r w:rsidRPr="00C17068" w:rsidR="00C17068">
        <w:rPr>
          <w:lang w:eastAsia="en-US"/>
        </w:rPr>
        <w:t>, 17</w:t>
      </w:r>
      <w:r w:rsidR="003C5E96">
        <w:rPr>
          <w:lang w:eastAsia="en-US"/>
        </w:rPr>
        <w:t> </w:t>
      </w:r>
      <w:r w:rsidRPr="00C17068" w:rsidR="00C17068">
        <w:rPr>
          <w:lang w:eastAsia="en-US"/>
        </w:rPr>
        <w:t>January 2008</w:t>
      </w:r>
      <w:r w:rsidR="00C17068">
        <w:rPr>
          <w:i/>
        </w:rPr>
        <w:t>.</w:t>
      </w:r>
    </w:p>
    <w:p w:rsidRPr="007C20AE" w:rsidR="0016278E" w:rsidP="00943B61" w:rsidRDefault="009D6ED0">
      <w:pPr>
        <w:pStyle w:val="JuPara"/>
        <w:rPr>
          <w:i/>
          <w:lang w:eastAsia="en-US"/>
        </w:rPr>
      </w:pPr>
      <w:r w:rsidRPr="009D6ED0">
        <w:fldChar w:fldCharType="begin"/>
      </w:r>
      <w:r w:rsidRPr="009D6ED0">
        <w:instrText xml:space="preserve"> SEQ level0 \*arabic </w:instrText>
      </w:r>
      <w:r w:rsidRPr="009D6ED0">
        <w:fldChar w:fldCharType="separate"/>
      </w:r>
      <w:r w:rsidR="009E75BD">
        <w:rPr>
          <w:noProof/>
        </w:rPr>
        <w:t>21</w:t>
      </w:r>
      <w:r w:rsidRPr="009D6ED0">
        <w:fldChar w:fldCharType="end"/>
      </w:r>
      <w:r w:rsidRPr="009D6ED0" w:rsidR="0016278E">
        <w:t xml:space="preserve">.  The Court has frequently found violations of Article 6 § 1 of the Convention in cases raising issues similar to the one in the present </w:t>
      </w:r>
      <w:r w:rsidRPr="009D6ED0" w:rsidR="00B04F25">
        <w:t>case</w:t>
      </w:r>
      <w:r w:rsidR="00F11048">
        <w:t xml:space="preserve"> (see </w:t>
      </w:r>
      <w:r w:rsidRPr="007C20AE" w:rsidR="007C20AE">
        <w:rPr>
          <w:i/>
          <w:szCs w:val="22"/>
          <w:lang w:eastAsia="en-US"/>
        </w:rPr>
        <w:t xml:space="preserve">Finger </w:t>
      </w:r>
      <w:r w:rsidRPr="007C20AE" w:rsidR="007C20AE">
        <w:rPr>
          <w:i/>
          <w:lang w:eastAsia="en-US"/>
        </w:rPr>
        <w:t xml:space="preserve">v. </w:t>
      </w:r>
      <w:smartTag w:uri="urn:schemas-microsoft-com:office:smarttags" w:element="place">
        <w:smartTag w:uri="urn:schemas-microsoft-com:office:smarttags" w:element="country-region">
          <w:r w:rsidR="007C20AE" w:rsidRPr="007C20AE">
            <w:rPr>
              <w:i/>
              <w:lang w:eastAsia="en-US"/>
            </w:rPr>
            <w:t>Bulgaria</w:t>
          </w:r>
        </w:smartTag>
      </w:smartTag>
      <w:r w:rsidRPr="007C20AE" w:rsidR="007C20AE">
        <w:rPr>
          <w:lang w:eastAsia="en-US"/>
        </w:rPr>
        <w:t>, no. 37346/05</w:t>
      </w:r>
      <w:r w:rsidRPr="007C20AE" w:rsidR="007C20AE">
        <w:rPr>
          <w:snapToGrid w:val="0"/>
          <w:szCs w:val="24"/>
          <w:lang w:val="pt-BR" w:eastAsia="en-US"/>
        </w:rPr>
        <w:t>, 10 May 2011</w:t>
      </w:r>
      <w:r w:rsidRPr="009D6ED0" w:rsidR="0016278E">
        <w:t>).</w:t>
      </w:r>
    </w:p>
    <w:p w:rsidR="003770AB" w:rsidP="003770AB" w:rsidRDefault="009D6ED0">
      <w:pPr>
        <w:pStyle w:val="JuPara"/>
      </w:pPr>
      <w:r w:rsidRPr="009D6ED0">
        <w:fldChar w:fldCharType="begin"/>
      </w:r>
      <w:r w:rsidRPr="009D6ED0">
        <w:instrText xml:space="preserve"> SEQ level0 \*arabic </w:instrText>
      </w:r>
      <w:r w:rsidRPr="009D6ED0">
        <w:fldChar w:fldCharType="separate"/>
      </w:r>
      <w:r w:rsidR="009E75BD">
        <w:rPr>
          <w:noProof/>
        </w:rPr>
        <w:t>22</w:t>
      </w:r>
      <w:r w:rsidRPr="009D6ED0">
        <w:fldChar w:fldCharType="end"/>
      </w:r>
      <w:r w:rsidRPr="009D6ED0" w:rsidR="0016278E">
        <w:t xml:space="preserve">.  Having examined all the material submitted to it, the Court considers that the Government have not put forward any fact or argument capable of persuading it to reach a different conclusion in the present </w:t>
      </w:r>
      <w:r w:rsidRPr="009D6ED0" w:rsidR="00B04F25">
        <w:t>case</w:t>
      </w:r>
      <w:r w:rsidRPr="009D6ED0" w:rsidR="0016278E">
        <w:t>.</w:t>
      </w:r>
      <w:r w:rsidR="004C535C">
        <w:t xml:space="preserve"> </w:t>
      </w:r>
      <w:r w:rsidR="00364AAC">
        <w:t xml:space="preserve">It notes that the applicants were not responsible for any significant delays. </w:t>
      </w:r>
      <w:r w:rsidR="003770AB">
        <w:rPr>
          <w:szCs w:val="24"/>
        </w:rPr>
        <w:t xml:space="preserve">The case </w:t>
      </w:r>
      <w:r w:rsidR="00FC19E9">
        <w:rPr>
          <w:szCs w:val="24"/>
        </w:rPr>
        <w:t>was of some complexity as</w:t>
      </w:r>
      <w:r w:rsidR="003770AB">
        <w:rPr>
          <w:szCs w:val="24"/>
        </w:rPr>
        <w:t xml:space="preserve"> it involved an expert report and </w:t>
      </w:r>
      <w:r w:rsidR="00FC19E9">
        <w:rPr>
          <w:szCs w:val="24"/>
        </w:rPr>
        <w:t>interaction with</w:t>
      </w:r>
      <w:r w:rsidR="003770AB">
        <w:rPr>
          <w:szCs w:val="24"/>
        </w:rPr>
        <w:t xml:space="preserve"> the Portuguese authorities</w:t>
      </w:r>
      <w:r w:rsidR="0089552C">
        <w:rPr>
          <w:szCs w:val="24"/>
        </w:rPr>
        <w:t>. However, it took the Sofia City Court more than six months to schedule the first hearing, only to postpone it for another six</w:t>
      </w:r>
      <w:r w:rsidR="00D94D0D">
        <w:rPr>
          <w:szCs w:val="24"/>
        </w:rPr>
        <w:noBreakHyphen/>
      </w:r>
      <w:r w:rsidR="0089552C">
        <w:rPr>
          <w:szCs w:val="24"/>
        </w:rPr>
        <w:t>month period for gathering of evidence</w:t>
      </w:r>
      <w:r w:rsidR="007C20AE">
        <w:rPr>
          <w:szCs w:val="24"/>
        </w:rPr>
        <w:t xml:space="preserve"> (see paragraph</w:t>
      </w:r>
      <w:r w:rsidR="0089552C">
        <w:rPr>
          <w:szCs w:val="24"/>
        </w:rPr>
        <w:t>s</w:t>
      </w:r>
      <w:r w:rsidR="007C20AE">
        <w:rPr>
          <w:szCs w:val="24"/>
        </w:rPr>
        <w:t xml:space="preserve"> </w:t>
      </w:r>
      <w:r w:rsidR="00874D8C">
        <w:rPr>
          <w:szCs w:val="24"/>
        </w:rPr>
        <w:t>7-8</w:t>
      </w:r>
      <w:r w:rsidR="007C20AE">
        <w:rPr>
          <w:szCs w:val="24"/>
        </w:rPr>
        <w:t xml:space="preserve"> above)</w:t>
      </w:r>
      <w:r w:rsidR="003770AB">
        <w:rPr>
          <w:szCs w:val="24"/>
        </w:rPr>
        <w:t xml:space="preserve">. </w:t>
      </w:r>
      <w:r w:rsidR="0089552C">
        <w:rPr>
          <w:szCs w:val="24"/>
        </w:rPr>
        <w:t>Furthermore</w:t>
      </w:r>
      <w:r w:rsidR="003770AB">
        <w:rPr>
          <w:szCs w:val="24"/>
        </w:rPr>
        <w:t xml:space="preserve">, </w:t>
      </w:r>
      <w:r w:rsidR="00FC19E9">
        <w:rPr>
          <w:szCs w:val="24"/>
        </w:rPr>
        <w:t xml:space="preserve">the rectification of </w:t>
      </w:r>
      <w:r w:rsidR="003770AB">
        <w:rPr>
          <w:szCs w:val="24"/>
        </w:rPr>
        <w:t xml:space="preserve">a technical error in the </w:t>
      </w:r>
      <w:r w:rsidR="00FC19E9">
        <w:rPr>
          <w:szCs w:val="24"/>
        </w:rPr>
        <w:t xml:space="preserve">Sofia </w:t>
      </w:r>
      <w:r w:rsidR="0089552C">
        <w:rPr>
          <w:szCs w:val="24"/>
        </w:rPr>
        <w:t>Appeal</w:t>
      </w:r>
      <w:r w:rsidR="003770AB">
        <w:rPr>
          <w:szCs w:val="24"/>
        </w:rPr>
        <w:t xml:space="preserve"> </w:t>
      </w:r>
      <w:r w:rsidR="00FC19E9">
        <w:rPr>
          <w:szCs w:val="24"/>
        </w:rPr>
        <w:t>Court</w:t>
      </w:r>
      <w:r w:rsidR="009E75BD">
        <w:rPr>
          <w:szCs w:val="24"/>
        </w:rPr>
        <w:t>’</w:t>
      </w:r>
      <w:r w:rsidR="00FC19E9">
        <w:rPr>
          <w:szCs w:val="24"/>
        </w:rPr>
        <w:t xml:space="preserve">s </w:t>
      </w:r>
      <w:r w:rsidR="003770AB">
        <w:rPr>
          <w:szCs w:val="24"/>
        </w:rPr>
        <w:t xml:space="preserve">judgment and the proceedings before the Supreme Court of Cassation </w:t>
      </w:r>
      <w:r w:rsidR="00FC19E9">
        <w:rPr>
          <w:szCs w:val="24"/>
        </w:rPr>
        <w:t>took</w:t>
      </w:r>
      <w:r w:rsidR="003770AB">
        <w:rPr>
          <w:szCs w:val="24"/>
        </w:rPr>
        <w:t xml:space="preserve"> </w:t>
      </w:r>
      <w:r w:rsidR="0089552C">
        <w:rPr>
          <w:szCs w:val="24"/>
        </w:rPr>
        <w:t>more than three</w:t>
      </w:r>
      <w:r w:rsidR="003770AB">
        <w:rPr>
          <w:szCs w:val="24"/>
        </w:rPr>
        <w:t xml:space="preserve"> years</w:t>
      </w:r>
      <w:r w:rsidR="0089552C">
        <w:rPr>
          <w:szCs w:val="24"/>
        </w:rPr>
        <w:t xml:space="preserve"> (see paragraph</w:t>
      </w:r>
      <w:r w:rsidR="00874D8C">
        <w:rPr>
          <w:szCs w:val="24"/>
        </w:rPr>
        <w:t>s</w:t>
      </w:r>
      <w:r w:rsidR="0089552C">
        <w:rPr>
          <w:szCs w:val="24"/>
        </w:rPr>
        <w:t xml:space="preserve"> </w:t>
      </w:r>
      <w:r w:rsidR="00874D8C">
        <w:rPr>
          <w:szCs w:val="24"/>
        </w:rPr>
        <w:t>10-12</w:t>
      </w:r>
      <w:r w:rsidR="0089552C">
        <w:rPr>
          <w:szCs w:val="24"/>
        </w:rPr>
        <w:t xml:space="preserve"> above)</w:t>
      </w:r>
      <w:r w:rsidR="003770AB">
        <w:rPr>
          <w:szCs w:val="24"/>
        </w:rPr>
        <w:t xml:space="preserve">. </w:t>
      </w:r>
      <w:r w:rsidR="003770AB">
        <w:t xml:space="preserve">The Court </w:t>
      </w:r>
      <w:r w:rsidR="00FC19E9">
        <w:t xml:space="preserve">notes </w:t>
      </w:r>
      <w:r w:rsidR="003770AB">
        <w:t xml:space="preserve">that </w:t>
      </w:r>
      <w:r w:rsidR="00FC19E9">
        <w:rPr>
          <w:rStyle w:val="sb8d990e2"/>
        </w:rPr>
        <w:t>the applicants, as heirs of a</w:t>
      </w:r>
      <w:r w:rsidRPr="0039776B" w:rsidR="00FC19E9">
        <w:rPr>
          <w:rStyle w:val="sb8d990e2"/>
        </w:rPr>
        <w:t xml:space="preserve"> </w:t>
      </w:r>
      <w:r w:rsidR="00FC19E9">
        <w:rPr>
          <w:rStyle w:val="sb8d990e2"/>
        </w:rPr>
        <w:t xml:space="preserve">victim of an occupational accident, had an important personal interest in securing a judicial decision on their entitlement to compensation promptly. </w:t>
      </w:r>
      <w:r w:rsidR="00C55631">
        <w:t xml:space="preserve">Thus, in </w:t>
      </w:r>
      <w:r w:rsidR="003770AB">
        <w:t>view of what was at stake in the proceedings</w:t>
      </w:r>
      <w:r w:rsidR="00C55631">
        <w:t>,</w:t>
      </w:r>
      <w:r w:rsidR="003770AB">
        <w:t xml:space="preserve"> their</w:t>
      </w:r>
      <w:r w:rsidR="00C55631">
        <w:t xml:space="preserve"> overall</w:t>
      </w:r>
      <w:r w:rsidR="003770AB">
        <w:t xml:space="preserve"> length</w:t>
      </w:r>
      <w:r w:rsidR="00364AAC">
        <w:t xml:space="preserve"> of seven years</w:t>
      </w:r>
      <w:r w:rsidR="003770AB">
        <w:t xml:space="preserve"> appears excessive.</w:t>
      </w:r>
    </w:p>
    <w:p w:rsidR="00DE2550" w:rsidP="00DE2550" w:rsidRDefault="00DE2550">
      <w:pPr>
        <w:pStyle w:val="JuPara"/>
        <w:rPr>
          <w:color w:val="000000"/>
          <w:szCs w:val="24"/>
          <w:lang w:eastAsia="en-GB"/>
        </w:rPr>
      </w:pPr>
      <w:r>
        <w:fldChar w:fldCharType="begin"/>
      </w:r>
      <w:r>
        <w:instrText xml:space="preserve"> SEQ level0 \*arabic </w:instrText>
      </w:r>
      <w:r>
        <w:fldChar w:fldCharType="separate"/>
      </w:r>
      <w:r w:rsidR="009E75BD">
        <w:rPr>
          <w:noProof/>
        </w:rPr>
        <w:t>23</w:t>
      </w:r>
      <w:r>
        <w:fldChar w:fldCharType="end"/>
      </w:r>
      <w:r>
        <w:t>.  As regards the existence of effective remedies capable of preventing the violation of Article 6 § 1 or its continuation, or providing adequate redress, the Court has already held that a complaint about delays is not an effective remedy in cases</w:t>
      </w:r>
      <w:r w:rsidR="00EE66EB">
        <w:t>, such as the present one,</w:t>
      </w:r>
      <w:r>
        <w:t xml:space="preserve"> where considerable delays occur before the highest court (see </w:t>
      </w:r>
      <w:r w:rsidRPr="00982367">
        <w:rPr>
          <w:i/>
        </w:rPr>
        <w:t>Finger</w:t>
      </w:r>
      <w:r>
        <w:t>, cited above, § 8</w:t>
      </w:r>
      <w:r w:rsidR="005F29B0">
        <w:t>7</w:t>
      </w:r>
      <w:r>
        <w:t>)</w:t>
      </w:r>
      <w:r w:rsidR="00EF5A34">
        <w:t xml:space="preserve"> or where the major source of delay is not the courts</w:t>
      </w:r>
      <w:r w:rsidR="009E75BD">
        <w:t>’</w:t>
      </w:r>
      <w:r w:rsidR="00EF5A34">
        <w:t xml:space="preserve"> failure to schedule hearings at reasonable intervals but rather the fact that they did not organise the examination of the case properly and failed to gather evidence in a more efficient manner (</w:t>
      </w:r>
      <w:r w:rsidR="00485D0D">
        <w:t>ibid.</w:t>
      </w:r>
      <w:r w:rsidR="00EF5A34">
        <w:t>, § 88).</w:t>
      </w:r>
      <w:r>
        <w:t xml:space="preserve"> </w:t>
      </w:r>
      <w:r>
        <w:rPr>
          <w:color w:val="000000"/>
          <w:szCs w:val="24"/>
          <w:lang w:eastAsia="en-GB"/>
        </w:rPr>
        <w:t>Furthermore, under the Bulgarian law there are no compensatory remedies for length of c</w:t>
      </w:r>
      <w:r w:rsidR="00D94D0D">
        <w:rPr>
          <w:color w:val="000000"/>
          <w:szCs w:val="24"/>
          <w:lang w:eastAsia="en-GB"/>
        </w:rPr>
        <w:t>ivil proceedings (ibid., § 89).</w:t>
      </w:r>
    </w:p>
    <w:p w:rsidR="006C1B7B" w:rsidP="005F29B0" w:rsidRDefault="005F29B0">
      <w:pPr>
        <w:pStyle w:val="JuPara"/>
      </w:pPr>
      <w:r>
        <w:fldChar w:fldCharType="begin"/>
      </w:r>
      <w:r>
        <w:instrText xml:space="preserve"> SEQ level0 \*arabic </w:instrText>
      </w:r>
      <w:r>
        <w:fldChar w:fldCharType="separate"/>
      </w:r>
      <w:r w:rsidR="009E75BD">
        <w:rPr>
          <w:noProof/>
        </w:rPr>
        <w:t>24</w:t>
      </w:r>
      <w:r>
        <w:fldChar w:fldCharType="end"/>
      </w:r>
      <w:r>
        <w:t>.  </w:t>
      </w:r>
      <w:r w:rsidR="006C1B7B">
        <w:t>Against this background</w:t>
      </w:r>
      <w:r w:rsidR="006C1B7B">
        <w:rPr>
          <w:color w:val="000000"/>
          <w:szCs w:val="24"/>
          <w:lang w:eastAsia="en-GB"/>
        </w:rPr>
        <w:t>, the Court finds that the Government</w:t>
      </w:r>
      <w:r w:rsidR="009E75BD">
        <w:rPr>
          <w:color w:val="000000"/>
          <w:szCs w:val="24"/>
          <w:lang w:eastAsia="en-GB"/>
        </w:rPr>
        <w:t>’</w:t>
      </w:r>
      <w:r w:rsidR="006C1B7B">
        <w:rPr>
          <w:color w:val="000000"/>
          <w:szCs w:val="24"/>
          <w:lang w:eastAsia="en-GB"/>
        </w:rPr>
        <w:t xml:space="preserve">s preliminary objection about non-exhaustion of domestic remedies must be dismissed and concludes that </w:t>
      </w:r>
      <w:r w:rsidR="006C1B7B">
        <w:rPr>
          <w:lang w:eastAsia="en-US"/>
        </w:rPr>
        <w:t>there has been</w:t>
      </w:r>
      <w:r w:rsidR="006C1B7B">
        <w:t xml:space="preserve"> </w:t>
      </w:r>
      <w:r w:rsidR="006C1B7B">
        <w:rPr>
          <w:lang w:eastAsia="en-US"/>
        </w:rPr>
        <w:t xml:space="preserve">a violation of Articles 6 </w:t>
      </w:r>
      <w:r w:rsidR="006C1B7B">
        <w:t>§ 1 and 13 of the Convention.</w:t>
      </w:r>
    </w:p>
    <w:p w:rsidRPr="009D6ED0" w:rsidR="009D6ED0" w:rsidP="00B74432" w:rsidRDefault="009D6ED0">
      <w:pPr>
        <w:pStyle w:val="JuHIRoman"/>
      </w:pPr>
      <w:r w:rsidRPr="009D6ED0">
        <w:t>II.  OTHER ALLEGED VIOLATIONS OF THE CONVENTION</w:t>
      </w:r>
    </w:p>
    <w:p w:rsidR="00A23466" w:rsidP="00A23466" w:rsidRDefault="009D6ED0">
      <w:pPr>
        <w:pStyle w:val="JuPara"/>
      </w:pPr>
      <w:r w:rsidRPr="009D6ED0">
        <w:fldChar w:fldCharType="begin"/>
      </w:r>
      <w:r w:rsidRPr="009D6ED0">
        <w:instrText xml:space="preserve"> SEQ level0 \*arabic </w:instrText>
      </w:r>
      <w:r w:rsidRPr="009D6ED0">
        <w:fldChar w:fldCharType="separate"/>
      </w:r>
      <w:r w:rsidR="009E75BD">
        <w:rPr>
          <w:noProof/>
        </w:rPr>
        <w:t>25</w:t>
      </w:r>
      <w:r w:rsidRPr="009D6ED0">
        <w:fldChar w:fldCharType="end"/>
      </w:r>
      <w:r w:rsidRPr="009D6ED0">
        <w:t>.  </w:t>
      </w:r>
      <w:r w:rsidR="00A23466">
        <w:t>The applicants also complained</w:t>
      </w:r>
      <w:r w:rsidR="00F639BD">
        <w:t xml:space="preserve"> under</w:t>
      </w:r>
      <w:r w:rsidR="00A23466">
        <w:t xml:space="preserve"> Article 1 of Protocol No. 1 and </w:t>
      </w:r>
      <w:r w:rsidRPr="0052286F" w:rsidR="00A23466">
        <w:t>Article</w:t>
      </w:r>
      <w:r w:rsidR="00A23466">
        <w:t>s</w:t>
      </w:r>
      <w:r w:rsidRPr="0052286F" w:rsidR="00A23466">
        <w:t xml:space="preserve"> </w:t>
      </w:r>
      <w:r w:rsidR="00A23466">
        <w:t>2, 6 and 13</w:t>
      </w:r>
      <w:r w:rsidRPr="0052286F" w:rsidR="00A23466">
        <w:t xml:space="preserve"> of the Convention</w:t>
      </w:r>
      <w:r w:rsidR="00A23466">
        <w:t xml:space="preserve"> that the compensation awarded by the national courts in connection with the death of their husband and father </w:t>
      </w:r>
      <w:r w:rsidR="00091B45">
        <w:t>had been</w:t>
      </w:r>
      <w:r w:rsidR="00A23466">
        <w:t xml:space="preserve"> too low and that they </w:t>
      </w:r>
      <w:r w:rsidR="00091B45">
        <w:t>had</w:t>
      </w:r>
      <w:r w:rsidR="00A23466">
        <w:t xml:space="preserve"> not </w:t>
      </w:r>
      <w:r w:rsidR="00091B45">
        <w:t>had</w:t>
      </w:r>
      <w:r w:rsidR="00A23466">
        <w:t xml:space="preserve"> effective domestic remedies in this respect.</w:t>
      </w:r>
    </w:p>
    <w:p w:rsidR="00237509" w:rsidP="00237509" w:rsidRDefault="00237509">
      <w:pPr>
        <w:pStyle w:val="JuPara"/>
      </w:pPr>
      <w:r>
        <w:fldChar w:fldCharType="begin"/>
      </w:r>
      <w:r>
        <w:instrText xml:space="preserve"> SEQ level0 \*arabic </w:instrText>
      </w:r>
      <w:r>
        <w:fldChar w:fldCharType="separate"/>
      </w:r>
      <w:r w:rsidR="009E75BD">
        <w:rPr>
          <w:noProof/>
        </w:rPr>
        <w:t>26</w:t>
      </w:r>
      <w:r>
        <w:fldChar w:fldCharType="end"/>
      </w:r>
      <w:r>
        <w:t>.  The Court has examined the remainder of the applicants</w:t>
      </w:r>
      <w:r w:rsidR="009E75BD">
        <w:t>’</w:t>
      </w:r>
      <w:r>
        <w:t xml:space="preserve"> complaints as submitted by them. However, in the light of all the material in its possession, and in so far as the matters complained of are within its competence, the Court finds that they do not disclose any appearance of a violation of the rights and freedoms set out in the Convention or its Protocols.</w:t>
      </w:r>
    </w:p>
    <w:p w:rsidR="00237509" w:rsidP="00237509" w:rsidRDefault="00237509">
      <w:pPr>
        <w:pStyle w:val="JuPara"/>
      </w:pPr>
      <w:r>
        <w:fldChar w:fldCharType="begin"/>
      </w:r>
      <w:r>
        <w:instrText xml:space="preserve"> SEQ level0 \*arabic </w:instrText>
      </w:r>
      <w:r>
        <w:fldChar w:fldCharType="separate"/>
      </w:r>
      <w:r w:rsidR="009E75BD">
        <w:rPr>
          <w:noProof/>
        </w:rPr>
        <w:t>27</w:t>
      </w:r>
      <w:r>
        <w:fldChar w:fldCharType="end"/>
      </w:r>
      <w:r>
        <w:t>.  It follows that this part of the application must be rejected as manifestly ill-founded, pursuant to Article 35 §§ 3 (a) and 4 of the Convention.</w:t>
      </w:r>
    </w:p>
    <w:p w:rsidRPr="009D6ED0" w:rsidR="0016278E" w:rsidP="009E3D54" w:rsidRDefault="00CE67CB">
      <w:pPr>
        <w:pStyle w:val="JuHIRoman"/>
        <w:outlineLvl w:val="0"/>
      </w:pPr>
      <w:r w:rsidRPr="009D6ED0">
        <w:t>III</w:t>
      </w:r>
      <w:r w:rsidR="00237509">
        <w:t>.</w:t>
      </w:r>
      <w:r w:rsidRPr="009D6ED0" w:rsidR="0016278E">
        <w:t>  APPLICATION OF ARTICLE 41 OF THE CONVENTION</w:t>
      </w:r>
    </w:p>
    <w:p w:rsidRPr="009D6ED0" w:rsidR="0016278E" w:rsidP="00943B61" w:rsidRDefault="009D6ED0">
      <w:pPr>
        <w:pStyle w:val="JuPara"/>
      </w:pPr>
      <w:r w:rsidRPr="009D6ED0">
        <w:fldChar w:fldCharType="begin"/>
      </w:r>
      <w:r w:rsidRPr="009D6ED0">
        <w:instrText xml:space="preserve"> SEQ level0 \*arabic </w:instrText>
      </w:r>
      <w:r w:rsidRPr="009D6ED0">
        <w:fldChar w:fldCharType="separate"/>
      </w:r>
      <w:r w:rsidR="009E75BD">
        <w:rPr>
          <w:noProof/>
        </w:rPr>
        <w:t>28</w:t>
      </w:r>
      <w:r w:rsidRPr="009D6ED0">
        <w:fldChar w:fldCharType="end"/>
      </w:r>
      <w:r w:rsidRPr="009D6ED0" w:rsidR="0016278E">
        <w:t>.  Article 41 of the Convention provides:</w:t>
      </w:r>
    </w:p>
    <w:p w:rsidRPr="009D6ED0" w:rsidR="0016278E" w:rsidP="0016278E" w:rsidRDefault="0016278E">
      <w:pPr>
        <w:pStyle w:val="JuQuot"/>
        <w:keepNext/>
        <w:keepLines/>
      </w:pPr>
      <w:r w:rsidRPr="009D6ED0">
        <w:t>“If the Court finds that there has been a violation of the Convention or the Protocols thereto, and if the internal law of the High Contracting Party concerned allows only partial rep</w:t>
      </w:r>
      <w:smartTag w:uri="urn:schemas-microsoft-com:office:smarttags" w:element="country-region">
        <w:r w:rsidRPr="009D6ED0">
          <w:t>ara</w:t>
        </w:r>
      </w:smartTag>
      <w:r w:rsidRPr="009D6ED0">
        <w:t>tion to be made, the Court shall, if necessary, afford just satisfaction to the injured party.”</w:t>
      </w:r>
    </w:p>
    <w:p w:rsidRPr="009D6ED0" w:rsidR="0016278E" w:rsidP="009E3D54" w:rsidRDefault="0016278E">
      <w:pPr>
        <w:pStyle w:val="JuHA"/>
        <w:outlineLvl w:val="0"/>
      </w:pPr>
      <w:r w:rsidRPr="009D6ED0">
        <w:t>A.  Damage</w:t>
      </w:r>
    </w:p>
    <w:p w:rsidR="00BE5210" w:rsidP="00BE5210" w:rsidRDefault="009D6ED0">
      <w:pPr>
        <w:pStyle w:val="JuPara"/>
      </w:pPr>
      <w:r w:rsidRPr="009D6ED0">
        <w:fldChar w:fldCharType="begin"/>
      </w:r>
      <w:r w:rsidRPr="009D6ED0">
        <w:instrText xml:space="preserve"> SEQ level0 \*arabic </w:instrText>
      </w:r>
      <w:r w:rsidRPr="009D6ED0">
        <w:fldChar w:fldCharType="separate"/>
      </w:r>
      <w:r w:rsidR="009E75BD">
        <w:rPr>
          <w:noProof/>
        </w:rPr>
        <w:t>29</w:t>
      </w:r>
      <w:r w:rsidRPr="009D6ED0">
        <w:fldChar w:fldCharType="end"/>
      </w:r>
      <w:r w:rsidRPr="009D6ED0" w:rsidR="0016278E">
        <w:t>.  </w:t>
      </w:r>
      <w:r w:rsidR="00BE5210">
        <w:t xml:space="preserve">The applicants claimed 14,000 </w:t>
      </w:r>
      <w:proofErr w:type="spellStart"/>
      <w:r w:rsidRPr="009B56E8" w:rsidR="00BE5210">
        <w:t>euros</w:t>
      </w:r>
      <w:proofErr w:type="spellEnd"/>
      <w:r w:rsidRPr="009B56E8" w:rsidR="00BE5210">
        <w:t xml:space="preserve"> (EUR) </w:t>
      </w:r>
      <w:r w:rsidR="00BE5210">
        <w:t>in respect of non</w:t>
      </w:r>
      <w:r w:rsidR="00F11048">
        <w:noBreakHyphen/>
      </w:r>
      <w:r w:rsidR="00BE5210">
        <w:t>pecuniary damage stemming from the unreasonable length of the proceedings and the lack of effe</w:t>
      </w:r>
      <w:r w:rsidR="00D94D0D">
        <w:t>ctive remedies in that respect.</w:t>
      </w:r>
    </w:p>
    <w:p w:rsidR="00BE5210" w:rsidP="00BE5210" w:rsidRDefault="00BE5210">
      <w:pPr>
        <w:pStyle w:val="JuPara"/>
      </w:pPr>
      <w:r>
        <w:fldChar w:fldCharType="begin"/>
      </w:r>
      <w:r>
        <w:instrText xml:space="preserve"> SEQ level0 \*arabic </w:instrText>
      </w:r>
      <w:r>
        <w:fldChar w:fldCharType="separate"/>
      </w:r>
      <w:r w:rsidR="009E75BD">
        <w:rPr>
          <w:noProof/>
        </w:rPr>
        <w:t>30</w:t>
      </w:r>
      <w:r>
        <w:fldChar w:fldCharType="end"/>
      </w:r>
      <w:r>
        <w:t>.  </w:t>
      </w:r>
      <w:r w:rsidRPr="00A23192">
        <w:t xml:space="preserve">The Government </w:t>
      </w:r>
      <w:r>
        <w:t>contested this claim as excessive.</w:t>
      </w:r>
    </w:p>
    <w:p w:rsidRPr="009D6ED0" w:rsidR="0016278E" w:rsidP="00943B61" w:rsidRDefault="00BE5210">
      <w:pPr>
        <w:pStyle w:val="JuPara"/>
      </w:pPr>
      <w:r>
        <w:rPr>
          <w:color w:val="000000"/>
          <w:szCs w:val="24"/>
          <w:lang w:eastAsia="en-GB"/>
        </w:rPr>
        <w:fldChar w:fldCharType="begin"/>
      </w:r>
      <w:r>
        <w:rPr>
          <w:color w:val="000000"/>
          <w:szCs w:val="24"/>
          <w:lang w:eastAsia="en-GB"/>
        </w:rPr>
        <w:instrText xml:space="preserve"> SEQ level0 \*arabic </w:instrText>
      </w:r>
      <w:r>
        <w:rPr>
          <w:color w:val="000000"/>
          <w:szCs w:val="24"/>
          <w:lang w:eastAsia="en-GB"/>
        </w:rPr>
        <w:fldChar w:fldCharType="separate"/>
      </w:r>
      <w:r w:rsidR="009E75BD">
        <w:rPr>
          <w:noProof/>
          <w:color w:val="000000"/>
          <w:szCs w:val="24"/>
          <w:lang w:eastAsia="en-GB"/>
        </w:rPr>
        <w:t>31</w:t>
      </w:r>
      <w:r>
        <w:rPr>
          <w:color w:val="000000"/>
          <w:szCs w:val="24"/>
          <w:lang w:eastAsia="en-GB"/>
        </w:rPr>
        <w:fldChar w:fldCharType="end"/>
      </w:r>
      <w:r>
        <w:rPr>
          <w:color w:val="000000"/>
          <w:szCs w:val="24"/>
          <w:lang w:eastAsia="en-GB"/>
        </w:rPr>
        <w:t>.  The Court considers that the applicants must have sustained non</w:t>
      </w:r>
      <w:r w:rsidR="00F11048">
        <w:rPr>
          <w:color w:val="000000"/>
          <w:szCs w:val="24"/>
          <w:lang w:eastAsia="en-GB"/>
        </w:rPr>
        <w:noBreakHyphen/>
      </w:r>
      <w:r>
        <w:rPr>
          <w:color w:val="000000"/>
          <w:szCs w:val="24"/>
          <w:lang w:eastAsia="en-GB"/>
        </w:rPr>
        <w:t>pecuniary damage as a result of the</w:t>
      </w:r>
      <w:r w:rsidRPr="00CB171D">
        <w:rPr>
          <w:color w:val="000000"/>
          <w:szCs w:val="24"/>
          <w:lang w:eastAsia="en-GB"/>
        </w:rPr>
        <w:t xml:space="preserve"> </w:t>
      </w:r>
      <w:r>
        <w:rPr>
          <w:color w:val="000000"/>
          <w:szCs w:val="24"/>
          <w:lang w:eastAsia="en-GB"/>
        </w:rPr>
        <w:t>breaches of their rights found in the case. Taking into account all the circumstances of the case,</w:t>
      </w:r>
      <w:r w:rsidRPr="00CB171D">
        <w:t xml:space="preserve"> </w:t>
      </w:r>
      <w:r w:rsidRPr="00D03134">
        <w:t xml:space="preserve">and deciding on an equitable basis, </w:t>
      </w:r>
      <w:r>
        <w:t>it awards each applicant EUR 1,</w:t>
      </w:r>
      <w:r w:rsidR="009E4102">
        <w:t>7</w:t>
      </w:r>
      <w:r>
        <w:t>00 under this head.</w:t>
      </w:r>
    </w:p>
    <w:p w:rsidRPr="009D6ED0" w:rsidR="0016278E" w:rsidP="009E3D54" w:rsidRDefault="0016278E">
      <w:pPr>
        <w:pStyle w:val="JuHA"/>
        <w:outlineLvl w:val="0"/>
      </w:pPr>
      <w:r w:rsidRPr="009D6ED0">
        <w:t>B.  Costs and expenses</w:t>
      </w:r>
    </w:p>
    <w:p w:rsidRPr="001E5651" w:rsidR="00A62E8C" w:rsidP="00A62E8C" w:rsidRDefault="009D6ED0">
      <w:pPr>
        <w:pStyle w:val="JuPara"/>
      </w:pPr>
      <w:r w:rsidRPr="009D6ED0">
        <w:fldChar w:fldCharType="begin"/>
      </w:r>
      <w:r w:rsidRPr="009D6ED0">
        <w:instrText xml:space="preserve"> SEQ level0 \*arabic </w:instrText>
      </w:r>
      <w:r w:rsidRPr="009D6ED0">
        <w:fldChar w:fldCharType="separate"/>
      </w:r>
      <w:r w:rsidR="009E75BD">
        <w:rPr>
          <w:noProof/>
        </w:rPr>
        <w:t>32</w:t>
      </w:r>
      <w:r w:rsidRPr="009D6ED0">
        <w:fldChar w:fldCharType="end"/>
      </w:r>
      <w:r w:rsidRPr="009D6ED0" w:rsidR="0016278E">
        <w:t>.  </w:t>
      </w:r>
      <w:r w:rsidRPr="001E5651" w:rsidR="00A62E8C">
        <w:t>The applicant</w:t>
      </w:r>
      <w:r w:rsidR="00A62E8C">
        <w:t>s</w:t>
      </w:r>
      <w:r w:rsidRPr="001E5651" w:rsidR="00A62E8C">
        <w:t xml:space="preserve"> </w:t>
      </w:r>
      <w:r w:rsidR="00A62E8C">
        <w:t>sought reimbursement of EUR 600 incurred in lawyers</w:t>
      </w:r>
      <w:r w:rsidR="009E75BD">
        <w:t>’</w:t>
      </w:r>
      <w:r w:rsidR="00A62E8C">
        <w:t xml:space="preserve"> fees for work on the proceedings before the Court. They further claimed EUR 168,07 for other expenses, such as translation, postage and office expenses. They submitted a receipt signed by them and their legal representatives</w:t>
      </w:r>
      <w:r w:rsidRPr="00091B45" w:rsidR="00091B45">
        <w:t xml:space="preserve"> </w:t>
      </w:r>
      <w:r w:rsidR="00091B45">
        <w:t>showing that they had paid EUR 600 in lawyers</w:t>
      </w:r>
      <w:r w:rsidR="009E75BD">
        <w:t>’</w:t>
      </w:r>
      <w:r w:rsidR="00091B45">
        <w:t xml:space="preserve"> fees in connection with the proceedings before the Court</w:t>
      </w:r>
      <w:r w:rsidR="00A62E8C">
        <w:t>, a contract for translation services</w:t>
      </w:r>
      <w:r w:rsidR="00091B45">
        <w:t xml:space="preserve"> for the amount of EUR 87,43</w:t>
      </w:r>
      <w:r w:rsidR="00A62E8C">
        <w:t>, and postage receipts. They requested that EUR 600 of any award made under this head be paid directly to them (since they had already paid that sum to their lawyers)</w:t>
      </w:r>
      <w:r w:rsidRPr="006C1932" w:rsidR="00A62E8C">
        <w:t xml:space="preserve"> </w:t>
      </w:r>
      <w:r w:rsidR="00A62E8C">
        <w:t xml:space="preserve">and the remainder to their lawyers, Mr M. </w:t>
      </w:r>
      <w:proofErr w:type="spellStart"/>
      <w:r w:rsidR="00A62E8C">
        <w:t>Ekimdzhiev</w:t>
      </w:r>
      <w:proofErr w:type="spellEnd"/>
      <w:r w:rsidR="00A62E8C">
        <w:t xml:space="preserve"> and Ms K. </w:t>
      </w:r>
      <w:proofErr w:type="spellStart"/>
      <w:r w:rsidR="00A62E8C">
        <w:t>Boncheva</w:t>
      </w:r>
      <w:proofErr w:type="spellEnd"/>
      <w:r w:rsidRPr="001E5651" w:rsidR="00A62E8C">
        <w:t>.</w:t>
      </w:r>
    </w:p>
    <w:p w:rsidRPr="009D6ED0" w:rsidR="0016278E" w:rsidP="00943B61" w:rsidRDefault="009D6ED0">
      <w:pPr>
        <w:pStyle w:val="JuPara"/>
      </w:pPr>
      <w:r w:rsidRPr="009D6ED0">
        <w:fldChar w:fldCharType="begin"/>
      </w:r>
      <w:r w:rsidRPr="009D6ED0">
        <w:instrText xml:space="preserve"> SEQ level0 \*arabic </w:instrText>
      </w:r>
      <w:r w:rsidRPr="009D6ED0">
        <w:fldChar w:fldCharType="separate"/>
      </w:r>
      <w:r w:rsidR="009E75BD">
        <w:rPr>
          <w:noProof/>
        </w:rPr>
        <w:t>33</w:t>
      </w:r>
      <w:r w:rsidRPr="009D6ED0">
        <w:fldChar w:fldCharType="end"/>
      </w:r>
      <w:r w:rsidRPr="009D6ED0" w:rsidR="00A5743D">
        <w:t>.  </w:t>
      </w:r>
      <w:r w:rsidRPr="001E5651" w:rsidR="00A62E8C">
        <w:t>The Government contested these claims</w:t>
      </w:r>
      <w:r w:rsidR="0017499E">
        <w:t xml:space="preserve"> as excessive</w:t>
      </w:r>
      <w:r w:rsidRPr="001E5651" w:rsidR="00A62E8C">
        <w:t>.</w:t>
      </w:r>
    </w:p>
    <w:p w:rsidRPr="002F53C8" w:rsidR="00A62E8C" w:rsidP="00A62E8C" w:rsidRDefault="009D6ED0">
      <w:pPr>
        <w:pStyle w:val="JuPara"/>
        <w:rPr>
          <w:i/>
          <w:szCs w:val="24"/>
          <w:lang w:eastAsia="en-US"/>
        </w:rPr>
      </w:pPr>
      <w:r w:rsidRPr="009D6ED0">
        <w:fldChar w:fldCharType="begin"/>
      </w:r>
      <w:r w:rsidRPr="009D6ED0">
        <w:instrText xml:space="preserve"> SEQ level0 \*arabic </w:instrText>
      </w:r>
      <w:r w:rsidRPr="009D6ED0">
        <w:fldChar w:fldCharType="separate"/>
      </w:r>
      <w:r w:rsidR="009E75BD">
        <w:rPr>
          <w:noProof/>
        </w:rPr>
        <w:t>34</w:t>
      </w:r>
      <w:r w:rsidRPr="009D6ED0">
        <w:fldChar w:fldCharType="end"/>
      </w:r>
      <w:r w:rsidRPr="009D6ED0" w:rsidR="0016278E">
        <w:t>.  </w:t>
      </w:r>
      <w:r w:rsidR="00A62E8C">
        <w:t>According to the Court</w:t>
      </w:r>
      <w:r w:rsidR="009E75BD">
        <w:t>’</w:t>
      </w:r>
      <w:r w:rsidR="00A62E8C">
        <w:t xml:space="preserve">s case-law, costs and expenses claimed under Article 41 must have been actually and necessarily incurred and reasonable as to quantum. </w:t>
      </w:r>
      <w:r w:rsidRPr="002F0A26" w:rsidR="00A62E8C">
        <w:t xml:space="preserve">In the present case, having regard to the information in its possession and the above criteria, the Court considers it reasonable to award </w:t>
      </w:r>
      <w:r w:rsidR="00A62E8C">
        <w:t xml:space="preserve">the applicants </w:t>
      </w:r>
      <w:r w:rsidRPr="002F0A26" w:rsidR="00A62E8C">
        <w:t xml:space="preserve">the sum of EUR </w:t>
      </w:r>
      <w:r w:rsidR="00A62E8C">
        <w:t>6</w:t>
      </w:r>
      <w:r w:rsidRPr="002F0A26" w:rsidR="00A62E8C">
        <w:t>00</w:t>
      </w:r>
      <w:r w:rsidRPr="002F53C8" w:rsidR="00A62E8C">
        <w:t xml:space="preserve"> </w:t>
      </w:r>
      <w:r w:rsidR="00A62E8C">
        <w:t>in respect of lawyers</w:t>
      </w:r>
      <w:r w:rsidR="009E75BD">
        <w:t>’</w:t>
      </w:r>
      <w:r w:rsidR="00A62E8C">
        <w:t xml:space="preserve"> fees, plus any tax </w:t>
      </w:r>
      <w:r w:rsidR="0032679A">
        <w:t>that may be chargeable to them.</w:t>
      </w:r>
    </w:p>
    <w:p w:rsidRPr="001E5651" w:rsidR="00A62E8C" w:rsidP="00A62E8C" w:rsidRDefault="00A62E8C">
      <w:pPr>
        <w:pStyle w:val="JuPara"/>
      </w:pPr>
      <w:r>
        <w:fldChar w:fldCharType="begin"/>
      </w:r>
      <w:r>
        <w:instrText xml:space="preserve"> SEQ level0 \*arabic </w:instrText>
      </w:r>
      <w:r>
        <w:fldChar w:fldCharType="separate"/>
      </w:r>
      <w:r w:rsidR="009E75BD">
        <w:rPr>
          <w:noProof/>
        </w:rPr>
        <w:t>35</w:t>
      </w:r>
      <w:r>
        <w:fldChar w:fldCharType="end"/>
      </w:r>
      <w:r>
        <w:t xml:space="preserve">.  As for the claim for other expenses, the Court observes that the applicants have provided supporting documents only for the sum paid for translation services (EUR 87,43). It therefore awards them that amount, plus any tax that may be chargeable to them. It is to be paid </w:t>
      </w:r>
      <w:r w:rsidR="00E1544D">
        <w:t>in</w:t>
      </w:r>
      <w:r>
        <w:t xml:space="preserve">to the </w:t>
      </w:r>
      <w:r w:rsidR="00E1544D">
        <w:t xml:space="preserve">bank </w:t>
      </w:r>
      <w:r>
        <w:t>account of the applicants</w:t>
      </w:r>
      <w:r w:rsidR="009E75BD">
        <w:t>’</w:t>
      </w:r>
      <w:r>
        <w:t xml:space="preserve"> </w:t>
      </w:r>
      <w:r w:rsidR="00E1544D">
        <w:t>legal representatives</w:t>
      </w:r>
      <w:r>
        <w:t xml:space="preserve">, Mr M. </w:t>
      </w:r>
      <w:proofErr w:type="spellStart"/>
      <w:r>
        <w:t>Ekimdzhiev</w:t>
      </w:r>
      <w:proofErr w:type="spellEnd"/>
      <w:r>
        <w:t xml:space="preserve"> and Ms</w:t>
      </w:r>
      <w:r w:rsidR="00E1544D">
        <w:t> </w:t>
      </w:r>
      <w:r>
        <w:t xml:space="preserve">K. </w:t>
      </w:r>
      <w:proofErr w:type="spellStart"/>
      <w:r>
        <w:t>Boncheva</w:t>
      </w:r>
      <w:proofErr w:type="spellEnd"/>
      <w:r w:rsidRPr="001E5651">
        <w:t>.</w:t>
      </w:r>
    </w:p>
    <w:p w:rsidRPr="009D6ED0" w:rsidR="0016278E" w:rsidP="009E3D54" w:rsidRDefault="0016278E">
      <w:pPr>
        <w:pStyle w:val="JuHA"/>
        <w:outlineLvl w:val="0"/>
      </w:pPr>
      <w:r w:rsidRPr="009D6ED0">
        <w:t>C.  Default interest</w:t>
      </w:r>
      <w:r w:rsidR="002D7C94">
        <w:t xml:space="preserve"> rate</w:t>
      </w:r>
    </w:p>
    <w:p w:rsidRPr="009D6ED0" w:rsidR="0016278E" w:rsidP="00943B61" w:rsidRDefault="009D6ED0">
      <w:pPr>
        <w:pStyle w:val="JuPara"/>
      </w:pPr>
      <w:r w:rsidRPr="009D6ED0">
        <w:fldChar w:fldCharType="begin"/>
      </w:r>
      <w:r w:rsidRPr="009D6ED0">
        <w:instrText xml:space="preserve"> SEQ level0 \*arabic </w:instrText>
      </w:r>
      <w:r w:rsidRPr="009D6ED0">
        <w:fldChar w:fldCharType="separate"/>
      </w:r>
      <w:r w:rsidR="009E75BD">
        <w:rPr>
          <w:noProof/>
        </w:rPr>
        <w:t>36</w:t>
      </w:r>
      <w:r w:rsidRPr="009D6ED0">
        <w:fldChar w:fldCharType="end"/>
      </w:r>
      <w:r w:rsidRPr="009D6ED0" w:rsidR="0016278E">
        <w:t xml:space="preserve">.  The Court considers it appropriate that the default interest </w:t>
      </w:r>
      <w:r w:rsidRPr="009D6ED0" w:rsidR="004D6EC7">
        <w:t xml:space="preserve">rate </w:t>
      </w:r>
      <w:r w:rsidRPr="009D6ED0" w:rsidR="0016278E">
        <w:t>should be based on the marginal lending rate of the European Central Bank, to which should be added three percentage points.</w:t>
      </w:r>
    </w:p>
    <w:p w:rsidRPr="009D6ED0" w:rsidR="0016278E" w:rsidP="009E3D54" w:rsidRDefault="0016278E">
      <w:pPr>
        <w:pStyle w:val="JuHHead"/>
      </w:pPr>
      <w:r w:rsidRPr="009D6ED0">
        <w:t xml:space="preserve">FOR THESE REASONS, THE COURT </w:t>
      </w:r>
      <w:r w:rsidRPr="009D6ED0" w:rsidR="009D6ED0">
        <w:t>UNANIMOUSLY</w:t>
      </w:r>
    </w:p>
    <w:p w:rsidRPr="005A1021" w:rsidR="006C1B7B" w:rsidP="006C1B7B" w:rsidRDefault="006C1B7B">
      <w:pPr>
        <w:pStyle w:val="JuList"/>
      </w:pPr>
      <w:r w:rsidRPr="006C1B7B">
        <w:t>1. </w:t>
      </w:r>
      <w:r>
        <w:rPr>
          <w:i/>
        </w:rPr>
        <w:t> </w:t>
      </w:r>
      <w:r w:rsidRPr="005A1021">
        <w:rPr>
          <w:i/>
        </w:rPr>
        <w:t>Decides</w:t>
      </w:r>
      <w:r w:rsidRPr="005A1021">
        <w:t xml:space="preserve"> to join to the merits the </w:t>
      </w:r>
      <w:r>
        <w:t>Government</w:t>
      </w:r>
      <w:r w:rsidR="009E75BD">
        <w:t>’</w:t>
      </w:r>
      <w:r>
        <w:t xml:space="preserve">s objection concerning the exhaustion of domestic remedies in respect of </w:t>
      </w:r>
      <w:r w:rsidRPr="00D03134">
        <w:t>the complaints concerning</w:t>
      </w:r>
      <w:r>
        <w:t xml:space="preserve"> the length of the proceedings and </w:t>
      </w:r>
      <w:r w:rsidRPr="00D03134">
        <w:t>the availability of an effective remedy in that respect</w:t>
      </w:r>
      <w:r>
        <w:t>, and rejects this objection after having examined the merits</w:t>
      </w:r>
      <w:r w:rsidRPr="005A1021">
        <w:t>;</w:t>
      </w:r>
    </w:p>
    <w:p w:rsidR="006C1B7B" w:rsidP="00BA0E61" w:rsidRDefault="006C1B7B">
      <w:pPr>
        <w:pStyle w:val="JuList"/>
      </w:pPr>
    </w:p>
    <w:p w:rsidRPr="001E5651" w:rsidR="00BA0E61" w:rsidP="00BA0E61" w:rsidRDefault="00D67588">
      <w:pPr>
        <w:pStyle w:val="JuList"/>
      </w:pPr>
      <w:r>
        <w:t>2</w:t>
      </w:r>
      <w:r w:rsidRPr="001E5651" w:rsidR="00BA0E61">
        <w:t>.  </w:t>
      </w:r>
      <w:r w:rsidRPr="001E5651" w:rsidR="00BA0E61">
        <w:rPr>
          <w:i/>
        </w:rPr>
        <w:t>Declares</w:t>
      </w:r>
      <w:r w:rsidRPr="001E5651" w:rsidR="00BA0E61">
        <w:t xml:space="preserve"> the complaint</w:t>
      </w:r>
      <w:r w:rsidR="00BA0E61">
        <w:t>s</w:t>
      </w:r>
      <w:r w:rsidRPr="001E5651" w:rsidR="00BA0E61">
        <w:t xml:space="preserve"> concerning the excessive length of the proceedings</w:t>
      </w:r>
      <w:r w:rsidR="00BA0E61">
        <w:t xml:space="preserve"> and the alleged lack of effective remedies in that respect</w:t>
      </w:r>
      <w:r w:rsidRPr="001E5651" w:rsidR="00BA0E61">
        <w:t xml:space="preserve"> admissible and the remainder of the application inadmissible;</w:t>
      </w:r>
    </w:p>
    <w:p w:rsidRPr="001E5651" w:rsidR="00BA0E61" w:rsidP="00BA0E61" w:rsidRDefault="00BA0E61">
      <w:pPr>
        <w:pStyle w:val="JuLista"/>
      </w:pPr>
    </w:p>
    <w:p w:rsidRPr="001E5651" w:rsidR="00BA0E61" w:rsidP="00BA0E61" w:rsidRDefault="00D67588">
      <w:pPr>
        <w:pStyle w:val="JuList"/>
      </w:pPr>
      <w:r>
        <w:t>3</w:t>
      </w:r>
      <w:r w:rsidRPr="001E5651" w:rsidR="00BA0E61">
        <w:t>.  </w:t>
      </w:r>
      <w:r w:rsidRPr="001E5651" w:rsidR="00BA0E61">
        <w:rPr>
          <w:i/>
        </w:rPr>
        <w:t>Holds</w:t>
      </w:r>
      <w:r w:rsidRPr="001E5651" w:rsidR="00BA0E61">
        <w:t xml:space="preserve"> that there has been a violation of Article 6 § 1 of the Convention;</w:t>
      </w:r>
    </w:p>
    <w:p w:rsidRPr="001E5651" w:rsidR="00BA0E61" w:rsidP="00BA0E61" w:rsidRDefault="00BA0E61">
      <w:pPr>
        <w:pStyle w:val="JuList"/>
      </w:pPr>
    </w:p>
    <w:p w:rsidRPr="001E5651" w:rsidR="00BA0E61" w:rsidP="00BA0E61" w:rsidRDefault="00D67588">
      <w:pPr>
        <w:pStyle w:val="JuList"/>
        <w:outlineLvl w:val="0"/>
      </w:pPr>
      <w:r>
        <w:t>4</w:t>
      </w:r>
      <w:r w:rsidRPr="001E5651" w:rsidR="00BA0E61">
        <w:t>.  </w:t>
      </w:r>
      <w:r w:rsidRPr="001E5651" w:rsidR="00BA0E61">
        <w:rPr>
          <w:i/>
        </w:rPr>
        <w:t>Holds</w:t>
      </w:r>
      <w:r w:rsidRPr="001E5651" w:rsidR="00BA0E61">
        <w:t xml:space="preserve"> that there has been a violation of Article </w:t>
      </w:r>
      <w:r w:rsidR="00BA0E61">
        <w:t>13</w:t>
      </w:r>
      <w:r w:rsidRPr="001E5651" w:rsidR="00BA0E61">
        <w:t xml:space="preserve"> of the Convention;</w:t>
      </w:r>
    </w:p>
    <w:p w:rsidRPr="001E5651" w:rsidR="00BA0E61" w:rsidP="00BA0E61" w:rsidRDefault="00BA0E61">
      <w:pPr>
        <w:pStyle w:val="JuList"/>
      </w:pPr>
    </w:p>
    <w:p w:rsidR="00BA0E61" w:rsidP="00D94D0D" w:rsidRDefault="00D67588">
      <w:pPr>
        <w:pStyle w:val="JuList"/>
        <w:keepNext/>
        <w:keepLines/>
      </w:pPr>
      <w:r>
        <w:t>5</w:t>
      </w:r>
      <w:r w:rsidRPr="001E5651" w:rsidR="00BA0E61">
        <w:t>.  </w:t>
      </w:r>
      <w:r w:rsidRPr="001E5651" w:rsidR="00BA0E61">
        <w:rPr>
          <w:i/>
        </w:rPr>
        <w:t>Holds</w:t>
      </w:r>
    </w:p>
    <w:p w:rsidRPr="001E5651" w:rsidR="00BA0E61" w:rsidP="00D94D0D" w:rsidRDefault="00BA0E61">
      <w:pPr>
        <w:pStyle w:val="JuLista"/>
        <w:keepNext/>
        <w:keepLines/>
      </w:pPr>
      <w:r w:rsidRPr="001E5651">
        <w:t>(a)  that the respondent State is to pay the applicant</w:t>
      </w:r>
      <w:r>
        <w:t>s, within three months</w:t>
      </w:r>
      <w:r w:rsidRPr="001E5651">
        <w:t xml:space="preserve">, the following amounts, to be converted into </w:t>
      </w:r>
      <w:r>
        <w:t xml:space="preserve">Bulgarian </w:t>
      </w:r>
      <w:proofErr w:type="spellStart"/>
      <w:r>
        <w:t>levs</w:t>
      </w:r>
      <w:proofErr w:type="spellEnd"/>
      <w:r w:rsidRPr="001E5651">
        <w:t xml:space="preserve"> at the rate applicable at the date of settlement:</w:t>
      </w:r>
    </w:p>
    <w:p w:rsidR="00CF6A24" w:rsidP="00CF6A24" w:rsidRDefault="00CF6A24">
      <w:pPr>
        <w:pStyle w:val="JuListi"/>
      </w:pPr>
      <w:r w:rsidRPr="00542B92">
        <w:t>(</w:t>
      </w:r>
      <w:proofErr w:type="spellStart"/>
      <w:r w:rsidRPr="00542B92">
        <w:t>i</w:t>
      </w:r>
      <w:proofErr w:type="spellEnd"/>
      <w:r w:rsidRPr="00542B92">
        <w:t>)  </w:t>
      </w:r>
      <w:r>
        <w:t xml:space="preserve">to Mr </w:t>
      </w:r>
      <w:proofErr w:type="spellStart"/>
      <w:r>
        <w:t>Dimitrova</w:t>
      </w:r>
      <w:proofErr w:type="spellEnd"/>
      <w:r>
        <w:t xml:space="preserve">, </w:t>
      </w:r>
      <w:r w:rsidRPr="00542B92">
        <w:t xml:space="preserve">EUR </w:t>
      </w:r>
      <w:r w:rsidR="009E4102">
        <w:t>1</w:t>
      </w:r>
      <w:r>
        <w:t>,</w:t>
      </w:r>
      <w:r w:rsidR="009E4102">
        <w:t>7</w:t>
      </w:r>
      <w:r>
        <w:t xml:space="preserve">00 </w:t>
      </w:r>
      <w:r w:rsidRPr="00542B92">
        <w:t>(</w:t>
      </w:r>
      <w:r w:rsidR="009E4102">
        <w:t>one</w:t>
      </w:r>
      <w:r>
        <w:t xml:space="preserve"> thousand </w:t>
      </w:r>
      <w:r w:rsidR="009E4102">
        <w:t xml:space="preserve">seven hundred </w:t>
      </w:r>
      <w:proofErr w:type="spellStart"/>
      <w:r w:rsidRPr="00542B92">
        <w:t>euros</w:t>
      </w:r>
      <w:proofErr w:type="spellEnd"/>
      <w:r w:rsidRPr="00542B92">
        <w:t>), plus any tax that may be chargeable, in respect of non</w:t>
      </w:r>
      <w:r>
        <w:noBreakHyphen/>
      </w:r>
      <w:r w:rsidRPr="00542B92">
        <w:t>pecuniary damage;</w:t>
      </w:r>
    </w:p>
    <w:p w:rsidR="00CF6A24" w:rsidP="00CF6A24" w:rsidRDefault="00CF6A24">
      <w:pPr>
        <w:pStyle w:val="JuListi"/>
      </w:pPr>
      <w:r>
        <w:t>(ii)</w:t>
      </w:r>
      <w:r w:rsidRPr="00542B92" w:rsidR="00F11048">
        <w:t>  </w:t>
      </w:r>
      <w:r>
        <w:t xml:space="preserve">to Mr </w:t>
      </w:r>
      <w:proofErr w:type="spellStart"/>
      <w:r w:rsidR="009E4102">
        <w:t>Dimitrov</w:t>
      </w:r>
      <w:proofErr w:type="spellEnd"/>
      <w:r>
        <w:t xml:space="preserve">, </w:t>
      </w:r>
      <w:r w:rsidRPr="00542B92">
        <w:t xml:space="preserve">EUR </w:t>
      </w:r>
      <w:r w:rsidR="009E4102">
        <w:t>1</w:t>
      </w:r>
      <w:r>
        <w:t>,</w:t>
      </w:r>
      <w:r w:rsidR="009E4102">
        <w:t>7</w:t>
      </w:r>
      <w:r>
        <w:t xml:space="preserve">00 </w:t>
      </w:r>
      <w:r w:rsidRPr="00542B92" w:rsidR="009E4102">
        <w:t>(</w:t>
      </w:r>
      <w:r w:rsidR="009E4102">
        <w:t xml:space="preserve">one thousand seven hundred </w:t>
      </w:r>
      <w:proofErr w:type="spellStart"/>
      <w:r w:rsidRPr="00542B92" w:rsidR="009E4102">
        <w:t>euros</w:t>
      </w:r>
      <w:proofErr w:type="spellEnd"/>
      <w:r w:rsidRPr="00542B92" w:rsidR="009E4102">
        <w:t>)</w:t>
      </w:r>
      <w:r w:rsidRPr="00542B92">
        <w:t>, plus any tax that may be chargeable, in respect of non</w:t>
      </w:r>
      <w:r>
        <w:noBreakHyphen/>
      </w:r>
      <w:r w:rsidRPr="00542B92">
        <w:t>pecuniary damage;</w:t>
      </w:r>
    </w:p>
    <w:p w:rsidRPr="001E5651" w:rsidR="009E4102" w:rsidP="009E4102" w:rsidRDefault="00CF6A24">
      <w:pPr>
        <w:pStyle w:val="JuListi"/>
      </w:pPr>
      <w:r w:rsidRPr="00542B92">
        <w:t>(</w:t>
      </w:r>
      <w:r>
        <w:t>i</w:t>
      </w:r>
      <w:r w:rsidR="009E4102">
        <w:t>ii)</w:t>
      </w:r>
      <w:r w:rsidRPr="00542B92">
        <w:t>  </w:t>
      </w:r>
      <w:r>
        <w:t xml:space="preserve">jointly to the applicants, </w:t>
      </w:r>
      <w:r w:rsidR="009E4102">
        <w:t xml:space="preserve">EUR </w:t>
      </w:r>
      <w:r w:rsidR="002647A9">
        <w:t>6</w:t>
      </w:r>
      <w:r w:rsidR="009E4102">
        <w:t>87.43 (</w:t>
      </w:r>
      <w:r w:rsidR="002647A9">
        <w:t>six</w:t>
      </w:r>
      <w:r w:rsidR="009E4102">
        <w:t xml:space="preserve"> hundred </w:t>
      </w:r>
      <w:r w:rsidR="000A0652">
        <w:t xml:space="preserve">and </w:t>
      </w:r>
      <w:r w:rsidR="009E4102">
        <w:t>eighty</w:t>
      </w:r>
      <w:r w:rsidR="00F11048">
        <w:noBreakHyphen/>
      </w:r>
      <w:r w:rsidR="009E4102">
        <w:t xml:space="preserve">seven </w:t>
      </w:r>
      <w:proofErr w:type="spellStart"/>
      <w:r w:rsidR="009E4102">
        <w:t>euros</w:t>
      </w:r>
      <w:proofErr w:type="spellEnd"/>
      <w:r w:rsidR="009E4102">
        <w:t xml:space="preserve"> and forty-three cents), plus any tax that may be chargeable to the applicants, in respect of costs and expenses, EUR</w:t>
      </w:r>
      <w:r w:rsidR="002C7EE2">
        <w:t> </w:t>
      </w:r>
      <w:r w:rsidR="009E4102">
        <w:t xml:space="preserve">600 of which is to be paid to the applicants themselves, and the remainder is to be paid </w:t>
      </w:r>
      <w:r w:rsidRPr="00FC0A8C" w:rsidR="009E4102">
        <w:t>into the bank account of</w:t>
      </w:r>
      <w:r w:rsidR="009E4102">
        <w:t xml:space="preserve"> the applicants</w:t>
      </w:r>
      <w:r w:rsidR="009E75BD">
        <w:t>’</w:t>
      </w:r>
      <w:r w:rsidR="00F11048">
        <w:t xml:space="preserve"> legal representatives, Mr M. </w:t>
      </w:r>
      <w:proofErr w:type="spellStart"/>
      <w:r w:rsidR="009E4102">
        <w:t>Ekimdzhiev</w:t>
      </w:r>
      <w:proofErr w:type="spellEnd"/>
      <w:r w:rsidR="009E4102">
        <w:t xml:space="preserve"> and Ms K. </w:t>
      </w:r>
      <w:proofErr w:type="spellStart"/>
      <w:r w:rsidR="009E4102">
        <w:t>Boncheva</w:t>
      </w:r>
      <w:proofErr w:type="spellEnd"/>
      <w:r w:rsidRPr="001E5651" w:rsidR="009E4102">
        <w:t>;</w:t>
      </w:r>
    </w:p>
    <w:p w:rsidRPr="001E5651" w:rsidR="00BA0E61" w:rsidP="00BA0E61" w:rsidRDefault="00BA0E61">
      <w:pPr>
        <w:pStyle w:val="JuLista"/>
      </w:pPr>
      <w:r w:rsidRPr="001E5651">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1E5651" w:rsidR="00BA0E61" w:rsidP="00BA0E61" w:rsidRDefault="00BA0E61">
      <w:pPr>
        <w:pStyle w:val="JuList"/>
      </w:pPr>
    </w:p>
    <w:p w:rsidRPr="009D6ED0" w:rsidR="0016278E" w:rsidP="00BA0E61" w:rsidRDefault="00D67588">
      <w:pPr>
        <w:pStyle w:val="JuList"/>
      </w:pPr>
      <w:r>
        <w:t>6</w:t>
      </w:r>
      <w:r w:rsidRPr="001E5651" w:rsidR="00BA0E61">
        <w:t>.  </w:t>
      </w:r>
      <w:r w:rsidRPr="001E5651" w:rsidR="00BA0E61">
        <w:rPr>
          <w:i/>
        </w:rPr>
        <w:t>Dismisses</w:t>
      </w:r>
      <w:r w:rsidRPr="001E5651" w:rsidR="00BA0E61">
        <w:t xml:space="preserve"> the remainder of the applicants</w:t>
      </w:r>
      <w:r w:rsidR="009E75BD">
        <w:t>’</w:t>
      </w:r>
      <w:r w:rsidRPr="001E5651" w:rsidR="00BA0E61">
        <w:t xml:space="preserve"> claim for just satisfaction.</w:t>
      </w:r>
    </w:p>
    <w:p w:rsidRPr="009D6ED0" w:rsidR="001B00FC" w:rsidP="001B00FC" w:rsidRDefault="0016278E">
      <w:pPr>
        <w:pStyle w:val="JuParaLast"/>
      </w:pPr>
      <w:r w:rsidRPr="009D6ED0">
        <w:t xml:space="preserve">Done in English, and notified in writing on </w:t>
      </w:r>
      <w:r w:rsidR="00FF408E">
        <w:t>4 December</w:t>
      </w:r>
      <w:r w:rsidR="00D94D0D">
        <w:t xml:space="preserve"> 2012</w:t>
      </w:r>
      <w:r w:rsidRPr="009D6ED0">
        <w:t>, pursuant to Rule</w:t>
      </w:r>
      <w:r w:rsidRPr="009D6ED0" w:rsidR="00A5743D">
        <w:t xml:space="preserve"> </w:t>
      </w:r>
      <w:r w:rsidRPr="009D6ED0">
        <w:t>77</w:t>
      </w:r>
      <w:r w:rsidRPr="009D6ED0" w:rsidR="00A5743D">
        <w:t xml:space="preserve"> </w:t>
      </w:r>
      <w:r w:rsidRPr="009D6ED0">
        <w:t>§§</w:t>
      </w:r>
      <w:r w:rsidRPr="009D6ED0" w:rsidR="00A5743D">
        <w:t xml:space="preserve"> </w:t>
      </w:r>
      <w:r w:rsidRPr="009D6ED0">
        <w:t>2 and</w:t>
      </w:r>
      <w:r w:rsidRPr="009D6ED0" w:rsidR="00A5743D">
        <w:t xml:space="preserve"> </w:t>
      </w:r>
      <w:r w:rsidRPr="009D6ED0">
        <w:t>3 of the Rules of Court.</w:t>
      </w:r>
    </w:p>
    <w:p w:rsidRPr="009D6ED0" w:rsidR="009F714E" w:rsidP="00D94D0D" w:rsidRDefault="001B00FC">
      <w:pPr>
        <w:pStyle w:val="JuSigned"/>
        <w:keepNext/>
        <w:keepLines/>
      </w:pPr>
      <w:r w:rsidRPr="009D6ED0">
        <w:tab/>
      </w:r>
      <w:proofErr w:type="spellStart"/>
      <w:r w:rsidRPr="009D6ED0" w:rsidR="009D6ED0">
        <w:t>Fatoş</w:t>
      </w:r>
      <w:proofErr w:type="spellEnd"/>
      <w:r w:rsidRPr="009D6ED0" w:rsidR="009D6ED0">
        <w:t xml:space="preserve"> </w:t>
      </w:r>
      <w:proofErr w:type="spellStart"/>
      <w:r w:rsidRPr="009D6ED0" w:rsidR="009D6ED0">
        <w:t>Aracı</w:t>
      </w:r>
      <w:proofErr w:type="spellEnd"/>
      <w:r w:rsidRPr="009D6ED0" w:rsidR="000C17A2">
        <w:tab/>
      </w:r>
      <w:r w:rsidRPr="00D94D0D" w:rsidR="00D94D0D">
        <w:t>George</w:t>
      </w:r>
      <w:r w:rsidR="00D94D0D">
        <w:t xml:space="preserve"> </w:t>
      </w:r>
      <w:proofErr w:type="spellStart"/>
      <w:r w:rsidRPr="00D94D0D" w:rsidR="00D94D0D">
        <w:t>Nicolaou</w:t>
      </w:r>
      <w:proofErr w:type="spellEnd"/>
      <w:r w:rsidRPr="009D6ED0" w:rsidR="000C17A2">
        <w:br/>
      </w:r>
      <w:r w:rsidRPr="009D6ED0" w:rsidR="000C17A2">
        <w:tab/>
      </w:r>
      <w:r w:rsidRPr="009D6ED0" w:rsidR="009D6ED0">
        <w:t xml:space="preserve">Deputy </w:t>
      </w:r>
      <w:r w:rsidRPr="009D6ED0" w:rsidR="009D6ED0">
        <w:rPr>
          <w:iCs/>
        </w:rPr>
        <w:t>Registrar</w:t>
      </w:r>
      <w:r w:rsidRPr="009D6ED0" w:rsidR="000C17A2">
        <w:tab/>
        <w:t>President</w:t>
      </w:r>
    </w:p>
    <w:sectPr w:rsidRPr="009D6ED0" w:rsidR="009F714E" w:rsidSect="00D94D0D">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2C5" w:rsidRDefault="00D172C5">
      <w:r>
        <w:separator/>
      </w:r>
    </w:p>
  </w:endnote>
  <w:endnote w:type="continuationSeparator" w:id="0">
    <w:p w:rsidR="00D172C5" w:rsidRDefault="00D1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C5" w:rsidRPr="00150BFA" w:rsidRDefault="00D172C5" w:rsidP="00D94D0D">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D172C5" w:rsidRDefault="00D17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2C5" w:rsidRDefault="00D172C5">
      <w:r>
        <w:separator/>
      </w:r>
    </w:p>
  </w:footnote>
  <w:footnote w:type="continuationSeparator" w:id="0">
    <w:p w:rsidR="00D172C5" w:rsidRDefault="00D17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C5" w:rsidRPr="00D94D0D" w:rsidRDefault="00D172C5" w:rsidP="00D94D0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C5" w:rsidRPr="00C00F0F" w:rsidRDefault="00D172C5">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D172C5" w:rsidRDefault="00D172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C5" w:rsidRDefault="00D172C5">
    <w:pPr>
      <w:pStyle w:val="JuHeader"/>
    </w:pPr>
    <w:r>
      <w:rPr>
        <w:rStyle w:val="PageNumber"/>
      </w:rPr>
      <w:fldChar w:fldCharType="begin"/>
    </w:r>
    <w:r>
      <w:rPr>
        <w:rStyle w:val="PageNumber"/>
      </w:rPr>
      <w:instrText xml:space="preserve"> PAGE </w:instrText>
    </w:r>
    <w:r>
      <w:rPr>
        <w:rStyle w:val="PageNumber"/>
      </w:rPr>
      <w:fldChar w:fldCharType="separate"/>
    </w:r>
    <w:r w:rsidR="009E75BD">
      <w:rPr>
        <w:rStyle w:val="PageNumber"/>
        <w:noProof/>
      </w:rPr>
      <w:t>6</w:t>
    </w:r>
    <w:r>
      <w:rPr>
        <w:rStyle w:val="PageNumber"/>
      </w:rPr>
      <w:fldChar w:fldCharType="end"/>
    </w:r>
    <w:r>
      <w:tab/>
      <w:t xml:space="preserve">DIMITROVI v. </w:t>
    </w:r>
    <w:smartTag w:uri="urn:schemas-microsoft-com:office:smarttags" w:element="place">
      <w:smartTag w:uri="urn:schemas-microsoft-com:office:smarttags" w:element="country-region">
        <w:r>
          <w:t>BULGARIA</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C5" w:rsidRDefault="00D172C5">
    <w:pPr>
      <w:pStyle w:val="JuHeader"/>
    </w:pPr>
    <w:r>
      <w:tab/>
      <w:t xml:space="preserve">DIMITROVI v. </w:t>
    </w:r>
    <w:smartTag w:uri="urn:schemas-microsoft-com:office:smarttags" w:element="place">
      <w:smartTag w:uri="urn:schemas-microsoft-com:office:smarttags" w:element="country-region">
        <w:r>
          <w:t>BULGARIA</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9E75BD">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 "/>
    <w:docVar w:name="L4_1Annex" w:val="0"/>
    <w:docVar w:name="L4_1Anonymity" w:val="0"/>
    <w:docVar w:name="NBEMMDOC" w:val="0"/>
    <w:docVar w:name="SignForeName" w:val="0"/>
  </w:docVars>
  <w:rsids>
    <w:rsidRoot w:val="009D6ED0"/>
    <w:rsid w:val="00015B7F"/>
    <w:rsid w:val="00017829"/>
    <w:rsid w:val="000462D1"/>
    <w:rsid w:val="00046A4A"/>
    <w:rsid w:val="0005376F"/>
    <w:rsid w:val="00057E69"/>
    <w:rsid w:val="000621E9"/>
    <w:rsid w:val="00072D28"/>
    <w:rsid w:val="00083DA1"/>
    <w:rsid w:val="00084C4A"/>
    <w:rsid w:val="00085CDF"/>
    <w:rsid w:val="0009043E"/>
    <w:rsid w:val="00091B45"/>
    <w:rsid w:val="00096909"/>
    <w:rsid w:val="00096CC0"/>
    <w:rsid w:val="0009749C"/>
    <w:rsid w:val="0009759E"/>
    <w:rsid w:val="000A0652"/>
    <w:rsid w:val="000B00C8"/>
    <w:rsid w:val="000B129F"/>
    <w:rsid w:val="000B4D2A"/>
    <w:rsid w:val="000C09DC"/>
    <w:rsid w:val="000C17A2"/>
    <w:rsid w:val="000C5E5D"/>
    <w:rsid w:val="000E3B9F"/>
    <w:rsid w:val="000E7BBE"/>
    <w:rsid w:val="000F03F5"/>
    <w:rsid w:val="000F0A18"/>
    <w:rsid w:val="00103204"/>
    <w:rsid w:val="00110F02"/>
    <w:rsid w:val="001162F9"/>
    <w:rsid w:val="0014299A"/>
    <w:rsid w:val="00142AB9"/>
    <w:rsid w:val="0014680A"/>
    <w:rsid w:val="0016278E"/>
    <w:rsid w:val="00172644"/>
    <w:rsid w:val="0017499E"/>
    <w:rsid w:val="00194C63"/>
    <w:rsid w:val="001B00FC"/>
    <w:rsid w:val="001D2996"/>
    <w:rsid w:val="001D5057"/>
    <w:rsid w:val="001E0809"/>
    <w:rsid w:val="001E27AC"/>
    <w:rsid w:val="001E354B"/>
    <w:rsid w:val="001F5EF5"/>
    <w:rsid w:val="0021469D"/>
    <w:rsid w:val="00222E9E"/>
    <w:rsid w:val="00230862"/>
    <w:rsid w:val="00237509"/>
    <w:rsid w:val="00246046"/>
    <w:rsid w:val="00257EB2"/>
    <w:rsid w:val="00262596"/>
    <w:rsid w:val="002647A9"/>
    <w:rsid w:val="0027133C"/>
    <w:rsid w:val="00283019"/>
    <w:rsid w:val="002832A1"/>
    <w:rsid w:val="00283428"/>
    <w:rsid w:val="00284A28"/>
    <w:rsid w:val="00293BD7"/>
    <w:rsid w:val="002A2AFC"/>
    <w:rsid w:val="002A3048"/>
    <w:rsid w:val="002B2DC6"/>
    <w:rsid w:val="002B3282"/>
    <w:rsid w:val="002C0AF2"/>
    <w:rsid w:val="002C637F"/>
    <w:rsid w:val="002C7EE2"/>
    <w:rsid w:val="002D6269"/>
    <w:rsid w:val="002D7C94"/>
    <w:rsid w:val="002E4EB9"/>
    <w:rsid w:val="002F3B14"/>
    <w:rsid w:val="002F5EE8"/>
    <w:rsid w:val="002F6C77"/>
    <w:rsid w:val="002F7E54"/>
    <w:rsid w:val="00300753"/>
    <w:rsid w:val="003063C5"/>
    <w:rsid w:val="003218C5"/>
    <w:rsid w:val="00325F85"/>
    <w:rsid w:val="0032679A"/>
    <w:rsid w:val="0032789F"/>
    <w:rsid w:val="00330332"/>
    <w:rsid w:val="00333BAA"/>
    <w:rsid w:val="00347854"/>
    <w:rsid w:val="003551AD"/>
    <w:rsid w:val="00360BB7"/>
    <w:rsid w:val="00361E4D"/>
    <w:rsid w:val="00364AAC"/>
    <w:rsid w:val="003770AB"/>
    <w:rsid w:val="0038154E"/>
    <w:rsid w:val="00384F4D"/>
    <w:rsid w:val="003901F7"/>
    <w:rsid w:val="00392691"/>
    <w:rsid w:val="003A4140"/>
    <w:rsid w:val="003A56D8"/>
    <w:rsid w:val="003C04B7"/>
    <w:rsid w:val="003C5E96"/>
    <w:rsid w:val="003C6FFD"/>
    <w:rsid w:val="003D65E7"/>
    <w:rsid w:val="003E028A"/>
    <w:rsid w:val="003E1DFE"/>
    <w:rsid w:val="003E7B05"/>
    <w:rsid w:val="00412E07"/>
    <w:rsid w:val="00431DBC"/>
    <w:rsid w:val="004606E6"/>
    <w:rsid w:val="00464B5F"/>
    <w:rsid w:val="00481ADF"/>
    <w:rsid w:val="00485D0D"/>
    <w:rsid w:val="00486430"/>
    <w:rsid w:val="004B5D1D"/>
    <w:rsid w:val="004C4341"/>
    <w:rsid w:val="004C535C"/>
    <w:rsid w:val="004D6EC7"/>
    <w:rsid w:val="004E439F"/>
    <w:rsid w:val="004F4C5F"/>
    <w:rsid w:val="00501D1A"/>
    <w:rsid w:val="0050576E"/>
    <w:rsid w:val="00510BF7"/>
    <w:rsid w:val="0051733D"/>
    <w:rsid w:val="0051794D"/>
    <w:rsid w:val="00520D6E"/>
    <w:rsid w:val="0053027E"/>
    <w:rsid w:val="00536FC1"/>
    <w:rsid w:val="00551452"/>
    <w:rsid w:val="005552A9"/>
    <w:rsid w:val="00555A6A"/>
    <w:rsid w:val="00561EA2"/>
    <w:rsid w:val="00570D34"/>
    <w:rsid w:val="005771EC"/>
    <w:rsid w:val="00577E6A"/>
    <w:rsid w:val="00577EA0"/>
    <w:rsid w:val="00591A4B"/>
    <w:rsid w:val="00591BFA"/>
    <w:rsid w:val="0059507B"/>
    <w:rsid w:val="005959A8"/>
    <w:rsid w:val="005B57AE"/>
    <w:rsid w:val="005B715A"/>
    <w:rsid w:val="005C2165"/>
    <w:rsid w:val="005E4847"/>
    <w:rsid w:val="005F29B0"/>
    <w:rsid w:val="00602AEC"/>
    <w:rsid w:val="00610658"/>
    <w:rsid w:val="00613171"/>
    <w:rsid w:val="00616404"/>
    <w:rsid w:val="00622003"/>
    <w:rsid w:val="00642777"/>
    <w:rsid w:val="0066108D"/>
    <w:rsid w:val="006A4CD5"/>
    <w:rsid w:val="006B570A"/>
    <w:rsid w:val="006B7709"/>
    <w:rsid w:val="006B7780"/>
    <w:rsid w:val="006C1B7B"/>
    <w:rsid w:val="006C67EB"/>
    <w:rsid w:val="006E239E"/>
    <w:rsid w:val="006F5356"/>
    <w:rsid w:val="006F795B"/>
    <w:rsid w:val="007036AC"/>
    <w:rsid w:val="007040C1"/>
    <w:rsid w:val="00706970"/>
    <w:rsid w:val="007418FB"/>
    <w:rsid w:val="00752697"/>
    <w:rsid w:val="00752D46"/>
    <w:rsid w:val="0075456D"/>
    <w:rsid w:val="00773E6E"/>
    <w:rsid w:val="00774552"/>
    <w:rsid w:val="00790865"/>
    <w:rsid w:val="007A3762"/>
    <w:rsid w:val="007C20AE"/>
    <w:rsid w:val="007D248F"/>
    <w:rsid w:val="007D37DD"/>
    <w:rsid w:val="007D4F1A"/>
    <w:rsid w:val="007E6FDB"/>
    <w:rsid w:val="007F0150"/>
    <w:rsid w:val="007F15A7"/>
    <w:rsid w:val="00806E5F"/>
    <w:rsid w:val="0082548A"/>
    <w:rsid w:val="00826617"/>
    <w:rsid w:val="0083596E"/>
    <w:rsid w:val="00844099"/>
    <w:rsid w:val="0084510E"/>
    <w:rsid w:val="008548C8"/>
    <w:rsid w:val="0086150E"/>
    <w:rsid w:val="00861F65"/>
    <w:rsid w:val="00871C3E"/>
    <w:rsid w:val="008726A3"/>
    <w:rsid w:val="00874D8C"/>
    <w:rsid w:val="008874F3"/>
    <w:rsid w:val="00891751"/>
    <w:rsid w:val="0089552C"/>
    <w:rsid w:val="00895D35"/>
    <w:rsid w:val="00896CC5"/>
    <w:rsid w:val="008B155D"/>
    <w:rsid w:val="008D0A4C"/>
    <w:rsid w:val="008D417A"/>
    <w:rsid w:val="008D4318"/>
    <w:rsid w:val="008D7090"/>
    <w:rsid w:val="008D7D4D"/>
    <w:rsid w:val="008E3B03"/>
    <w:rsid w:val="008E5397"/>
    <w:rsid w:val="0090641F"/>
    <w:rsid w:val="00924DD0"/>
    <w:rsid w:val="00926D9B"/>
    <w:rsid w:val="009271A8"/>
    <w:rsid w:val="0093127A"/>
    <w:rsid w:val="009313BD"/>
    <w:rsid w:val="00943B61"/>
    <w:rsid w:val="00973A0D"/>
    <w:rsid w:val="009772B1"/>
    <w:rsid w:val="009912C4"/>
    <w:rsid w:val="009950AD"/>
    <w:rsid w:val="00995AA0"/>
    <w:rsid w:val="00996A2B"/>
    <w:rsid w:val="009A4945"/>
    <w:rsid w:val="009B0886"/>
    <w:rsid w:val="009C211E"/>
    <w:rsid w:val="009C77E7"/>
    <w:rsid w:val="009D6ED0"/>
    <w:rsid w:val="009E3D54"/>
    <w:rsid w:val="009E4102"/>
    <w:rsid w:val="009E75BD"/>
    <w:rsid w:val="009E7DEC"/>
    <w:rsid w:val="009F714E"/>
    <w:rsid w:val="00A00017"/>
    <w:rsid w:val="00A02915"/>
    <w:rsid w:val="00A07A2A"/>
    <w:rsid w:val="00A23466"/>
    <w:rsid w:val="00A23AD5"/>
    <w:rsid w:val="00A32581"/>
    <w:rsid w:val="00A345DF"/>
    <w:rsid w:val="00A420F7"/>
    <w:rsid w:val="00A42B1A"/>
    <w:rsid w:val="00A553A0"/>
    <w:rsid w:val="00A5743D"/>
    <w:rsid w:val="00A62E8C"/>
    <w:rsid w:val="00A640DA"/>
    <w:rsid w:val="00A73FCB"/>
    <w:rsid w:val="00A750C4"/>
    <w:rsid w:val="00A92B83"/>
    <w:rsid w:val="00AA209C"/>
    <w:rsid w:val="00AA6799"/>
    <w:rsid w:val="00AB34EE"/>
    <w:rsid w:val="00AB48C8"/>
    <w:rsid w:val="00AC26E2"/>
    <w:rsid w:val="00AD1047"/>
    <w:rsid w:val="00AD3049"/>
    <w:rsid w:val="00AD76E1"/>
    <w:rsid w:val="00AE714D"/>
    <w:rsid w:val="00AF561D"/>
    <w:rsid w:val="00B04F25"/>
    <w:rsid w:val="00B07AB5"/>
    <w:rsid w:val="00B10F10"/>
    <w:rsid w:val="00B11D20"/>
    <w:rsid w:val="00B407CA"/>
    <w:rsid w:val="00B41A8A"/>
    <w:rsid w:val="00B537AC"/>
    <w:rsid w:val="00B74432"/>
    <w:rsid w:val="00B97AD9"/>
    <w:rsid w:val="00BA0E61"/>
    <w:rsid w:val="00BA7AC4"/>
    <w:rsid w:val="00BB5E62"/>
    <w:rsid w:val="00BE5210"/>
    <w:rsid w:val="00BE55FA"/>
    <w:rsid w:val="00BF23E4"/>
    <w:rsid w:val="00C02F97"/>
    <w:rsid w:val="00C06C44"/>
    <w:rsid w:val="00C17068"/>
    <w:rsid w:val="00C3677F"/>
    <w:rsid w:val="00C36A72"/>
    <w:rsid w:val="00C55631"/>
    <w:rsid w:val="00C56EA0"/>
    <w:rsid w:val="00C72406"/>
    <w:rsid w:val="00C93323"/>
    <w:rsid w:val="00CA296C"/>
    <w:rsid w:val="00CA68B1"/>
    <w:rsid w:val="00CB2A17"/>
    <w:rsid w:val="00CC03C3"/>
    <w:rsid w:val="00CD5761"/>
    <w:rsid w:val="00CE3B2C"/>
    <w:rsid w:val="00CE67CB"/>
    <w:rsid w:val="00CE7FB6"/>
    <w:rsid w:val="00CF6A24"/>
    <w:rsid w:val="00D111D8"/>
    <w:rsid w:val="00D172C5"/>
    <w:rsid w:val="00D35C6C"/>
    <w:rsid w:val="00D67588"/>
    <w:rsid w:val="00D73751"/>
    <w:rsid w:val="00D773E4"/>
    <w:rsid w:val="00D84495"/>
    <w:rsid w:val="00D8540C"/>
    <w:rsid w:val="00D921E9"/>
    <w:rsid w:val="00D94D0D"/>
    <w:rsid w:val="00DC1D8C"/>
    <w:rsid w:val="00DC5031"/>
    <w:rsid w:val="00DC6731"/>
    <w:rsid w:val="00DD6EC4"/>
    <w:rsid w:val="00DD7D9C"/>
    <w:rsid w:val="00DE225C"/>
    <w:rsid w:val="00DE2550"/>
    <w:rsid w:val="00DF0E44"/>
    <w:rsid w:val="00DF581D"/>
    <w:rsid w:val="00DF6524"/>
    <w:rsid w:val="00E01FA7"/>
    <w:rsid w:val="00E02575"/>
    <w:rsid w:val="00E040C5"/>
    <w:rsid w:val="00E0577D"/>
    <w:rsid w:val="00E07630"/>
    <w:rsid w:val="00E11A5C"/>
    <w:rsid w:val="00E14AE4"/>
    <w:rsid w:val="00E1544D"/>
    <w:rsid w:val="00E22864"/>
    <w:rsid w:val="00E41C07"/>
    <w:rsid w:val="00E45ACA"/>
    <w:rsid w:val="00E51DEE"/>
    <w:rsid w:val="00E54294"/>
    <w:rsid w:val="00E62AD8"/>
    <w:rsid w:val="00E72271"/>
    <w:rsid w:val="00E74079"/>
    <w:rsid w:val="00E86008"/>
    <w:rsid w:val="00E95BFA"/>
    <w:rsid w:val="00E964CC"/>
    <w:rsid w:val="00EA1EBD"/>
    <w:rsid w:val="00EA253A"/>
    <w:rsid w:val="00EB087B"/>
    <w:rsid w:val="00EC0B40"/>
    <w:rsid w:val="00ED0271"/>
    <w:rsid w:val="00ED1CE1"/>
    <w:rsid w:val="00ED1E2E"/>
    <w:rsid w:val="00EE66EB"/>
    <w:rsid w:val="00EE73DC"/>
    <w:rsid w:val="00EF5A34"/>
    <w:rsid w:val="00F11048"/>
    <w:rsid w:val="00F116BD"/>
    <w:rsid w:val="00F203D1"/>
    <w:rsid w:val="00F24E61"/>
    <w:rsid w:val="00F344D6"/>
    <w:rsid w:val="00F378D4"/>
    <w:rsid w:val="00F434F2"/>
    <w:rsid w:val="00F44907"/>
    <w:rsid w:val="00F639BD"/>
    <w:rsid w:val="00F64997"/>
    <w:rsid w:val="00F67B28"/>
    <w:rsid w:val="00F71A6A"/>
    <w:rsid w:val="00F76B25"/>
    <w:rsid w:val="00F83897"/>
    <w:rsid w:val="00F90F48"/>
    <w:rsid w:val="00FB3F1A"/>
    <w:rsid w:val="00FC19E9"/>
    <w:rsid w:val="00FC6EDA"/>
    <w:rsid w:val="00FD0B05"/>
    <w:rsid w:val="00FF40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Street"/>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D54"/>
    <w:pPr>
      <w:suppressAutoHyphens/>
    </w:pPr>
    <w:rPr>
      <w:sz w:val="24"/>
      <w:lang w:val="en-GB" w:eastAsia="fr-FR"/>
    </w:rPr>
  </w:style>
  <w:style w:type="paragraph" w:styleId="Heading1">
    <w:name w:val="heading 1"/>
    <w:basedOn w:val="Normal"/>
    <w:next w:val="Normal"/>
    <w:qFormat/>
    <w:rsid w:val="009E3D54"/>
    <w:pPr>
      <w:keepNext/>
      <w:spacing w:before="360" w:after="240"/>
      <w:jc w:val="center"/>
      <w:outlineLvl w:val="0"/>
    </w:pPr>
    <w:rPr>
      <w:b/>
      <w:sz w:val="28"/>
    </w:rPr>
  </w:style>
  <w:style w:type="paragraph" w:styleId="Heading2">
    <w:name w:val="heading 2"/>
    <w:basedOn w:val="Normal"/>
    <w:next w:val="Normal"/>
    <w:qFormat/>
    <w:rsid w:val="009E3D54"/>
    <w:pPr>
      <w:keepNext/>
      <w:spacing w:before="240" w:after="120"/>
      <w:ind w:left="284" w:hanging="284"/>
      <w:outlineLvl w:val="1"/>
    </w:pPr>
    <w:rPr>
      <w:b/>
    </w:rPr>
  </w:style>
  <w:style w:type="paragraph" w:styleId="Heading3">
    <w:name w:val="heading 3"/>
    <w:basedOn w:val="Normal"/>
    <w:next w:val="Normal"/>
    <w:qFormat/>
    <w:rsid w:val="009E3D54"/>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9E3D54"/>
  </w:style>
  <w:style w:type="table" w:default="1" w:styleId="TableNormal">
    <w:name w:val="Normal Table"/>
    <w:semiHidden/>
    <w:rsid w:val="00B74432"/>
    <w:tblPr>
      <w:tblInd w:w="0" w:type="dxa"/>
      <w:tblCellMar>
        <w:top w:w="0" w:type="dxa"/>
        <w:left w:w="108" w:type="dxa"/>
        <w:bottom w:w="0" w:type="dxa"/>
        <w:right w:w="108" w:type="dxa"/>
      </w:tblCellMar>
    </w:tblPr>
  </w:style>
  <w:style w:type="numbering" w:default="1" w:styleId="NoList">
    <w:name w:val="No List"/>
    <w:semiHidden/>
    <w:rsid w:val="009E3D54"/>
  </w:style>
  <w:style w:type="paragraph" w:customStyle="1" w:styleId="OpiHA">
    <w:name w:val="Opi_H_A"/>
    <w:basedOn w:val="JuHIRoman"/>
    <w:next w:val="OpiPara"/>
    <w:rsid w:val="005E4847"/>
    <w:pPr>
      <w:tabs>
        <w:tab w:val="clear" w:pos="357"/>
      </w:tabs>
    </w:pPr>
    <w:rPr>
      <w:b/>
    </w:rPr>
  </w:style>
  <w:style w:type="paragraph" w:customStyle="1" w:styleId="JuHIRoman">
    <w:name w:val="Ju_H_I_Roman"/>
    <w:basedOn w:val="JuHHead"/>
    <w:next w:val="JuPara"/>
    <w:link w:val="JuHIRomanChar"/>
    <w:rsid w:val="0009043E"/>
    <w:pPr>
      <w:tabs>
        <w:tab w:val="left" w:pos="357"/>
      </w:tabs>
      <w:spacing w:before="360"/>
      <w:ind w:left="357" w:hanging="357"/>
      <w:outlineLvl w:val="1"/>
    </w:pPr>
    <w:rPr>
      <w:sz w:val="24"/>
    </w:rPr>
  </w:style>
  <w:style w:type="paragraph" w:customStyle="1" w:styleId="JuHHead">
    <w:name w:val="Ju_H_Head"/>
    <w:basedOn w:val="NormalTimesNewRoman"/>
    <w:next w:val="JuPara"/>
    <w:rsid w:val="0009043E"/>
    <w:pPr>
      <w:keepNext/>
      <w:keepLines/>
      <w:spacing w:before="720" w:after="240"/>
      <w:jc w:val="both"/>
      <w:outlineLvl w:val="0"/>
    </w:pPr>
    <w:rPr>
      <w:sz w:val="28"/>
    </w:rPr>
  </w:style>
  <w:style w:type="character" w:customStyle="1" w:styleId="DefaultTimesNewRoman">
    <w:name w:val="Default_TimesNewRoman"/>
    <w:basedOn w:val="DefaultParagraphFont"/>
    <w:rsid w:val="0009043E"/>
    <w:rPr>
      <w:rFonts w:ascii="Times New Roman" w:hAnsi="Times New Roman"/>
    </w:rPr>
  </w:style>
  <w:style w:type="paragraph" w:customStyle="1" w:styleId="JuPara">
    <w:name w:val="Ju_Para"/>
    <w:aliases w:val="Left,First line:  0 cm"/>
    <w:basedOn w:val="NormalTimesNewRoman"/>
    <w:link w:val="JuParaCar"/>
    <w:rsid w:val="0009043E"/>
    <w:pPr>
      <w:ind w:firstLine="284"/>
      <w:jc w:val="both"/>
    </w:pPr>
  </w:style>
  <w:style w:type="character" w:customStyle="1" w:styleId="JuParaCar">
    <w:name w:val="Ju_Para Car"/>
    <w:basedOn w:val="DefaultParagraphFont"/>
    <w:link w:val="JuPara"/>
    <w:rsid w:val="00943B61"/>
    <w:rPr>
      <w:sz w:val="24"/>
      <w:lang w:val="en-GB" w:eastAsia="fr-FR" w:bidi="ar-SA"/>
    </w:rPr>
  </w:style>
  <w:style w:type="character" w:customStyle="1" w:styleId="JuHIRomanChar">
    <w:name w:val="Ju_H_I_Roman Char"/>
    <w:basedOn w:val="DefaultParagraphFont"/>
    <w:link w:val="JuHIRoman"/>
    <w:rsid w:val="00CE67CB"/>
    <w:rPr>
      <w:sz w:val="24"/>
      <w:lang w:val="en-GB" w:eastAsia="fr-FR" w:bidi="ar-SA"/>
    </w:rPr>
  </w:style>
  <w:style w:type="paragraph" w:customStyle="1" w:styleId="OpiPara">
    <w:name w:val="Opi_Para"/>
    <w:basedOn w:val="JuPara"/>
    <w:rsid w:val="005E4847"/>
  </w:style>
  <w:style w:type="paragraph" w:customStyle="1" w:styleId="OpiH1">
    <w:name w:val="Opi_H_1."/>
    <w:basedOn w:val="OpiHA"/>
    <w:next w:val="OpiPara"/>
    <w:rsid w:val="005E4847"/>
    <w:pPr>
      <w:spacing w:before="240" w:after="120"/>
      <w:ind w:left="635"/>
      <w:outlineLvl w:val="2"/>
    </w:pPr>
    <w:rPr>
      <w:b w:val="0"/>
      <w:i/>
    </w:rPr>
  </w:style>
  <w:style w:type="paragraph" w:customStyle="1" w:styleId="OpiHa0">
    <w:name w:val="Opi_H_a"/>
    <w:basedOn w:val="OpiH1"/>
    <w:next w:val="OpiPara"/>
    <w:rsid w:val="005E4847"/>
    <w:pPr>
      <w:ind w:left="833"/>
      <w:outlineLvl w:val="3"/>
    </w:pPr>
    <w:rPr>
      <w:b/>
      <w:i w:val="0"/>
      <w:sz w:val="20"/>
    </w:rPr>
  </w:style>
  <w:style w:type="paragraph" w:customStyle="1" w:styleId="OpiHHead">
    <w:name w:val="Opi_H_Head"/>
    <w:basedOn w:val="JuHHead"/>
    <w:next w:val="OpiPara"/>
    <w:rsid w:val="005E4847"/>
    <w:pPr>
      <w:spacing w:before="0"/>
      <w:jc w:val="center"/>
    </w:pPr>
  </w:style>
  <w:style w:type="paragraph" w:customStyle="1" w:styleId="OpiHi">
    <w:name w:val="Opi_H_i"/>
    <w:basedOn w:val="OpiHa0"/>
    <w:next w:val="OpiPara"/>
    <w:rsid w:val="005E4847"/>
    <w:pPr>
      <w:ind w:left="1037"/>
      <w:outlineLvl w:val="4"/>
    </w:pPr>
    <w:rPr>
      <w:b w:val="0"/>
      <w:i/>
    </w:rPr>
  </w:style>
  <w:style w:type="paragraph" w:styleId="Footer">
    <w:name w:val="footer"/>
    <w:basedOn w:val="NormalTimesNewRoman"/>
    <w:rsid w:val="0009043E"/>
    <w:pPr>
      <w:tabs>
        <w:tab w:val="center" w:pos="3686"/>
        <w:tab w:val="right" w:pos="7371"/>
      </w:tabs>
    </w:pPr>
    <w:rPr>
      <w:sz w:val="18"/>
    </w:rPr>
  </w:style>
  <w:style w:type="paragraph" w:customStyle="1" w:styleId="JuJudges">
    <w:name w:val="Ju_Judges"/>
    <w:basedOn w:val="NormalTimesNewRoman"/>
    <w:link w:val="JuJudgesChar"/>
    <w:rsid w:val="0009043E"/>
    <w:pPr>
      <w:tabs>
        <w:tab w:val="left" w:pos="567"/>
        <w:tab w:val="left" w:pos="1134"/>
      </w:tabs>
    </w:pPr>
  </w:style>
  <w:style w:type="character" w:customStyle="1" w:styleId="JuJudgesChar">
    <w:name w:val="Ju_Judges Char"/>
    <w:basedOn w:val="DefaultParagraphFont"/>
    <w:link w:val="JuJudges"/>
    <w:locked/>
    <w:rsid w:val="00CE7FB6"/>
    <w:rPr>
      <w:sz w:val="24"/>
      <w:lang w:val="en-GB" w:eastAsia="fr-FR" w:bidi="ar-SA"/>
    </w:rPr>
  </w:style>
  <w:style w:type="character" w:styleId="Hyperlink">
    <w:name w:val="Hyperlink"/>
    <w:basedOn w:val="DefaultParagraphFont"/>
    <w:rsid w:val="0009043E"/>
    <w:rPr>
      <w:color w:val="0000FF"/>
      <w:u w:val="single"/>
    </w:rPr>
  </w:style>
  <w:style w:type="paragraph" w:customStyle="1" w:styleId="JuHA">
    <w:name w:val="Ju_H_A"/>
    <w:basedOn w:val="JuHIRoman"/>
    <w:next w:val="JuPara"/>
    <w:rsid w:val="0009043E"/>
    <w:pPr>
      <w:tabs>
        <w:tab w:val="clear" w:pos="357"/>
        <w:tab w:val="left" w:pos="584"/>
      </w:tabs>
      <w:ind w:left="584" w:hanging="352"/>
      <w:outlineLvl w:val="2"/>
    </w:pPr>
    <w:rPr>
      <w:b/>
    </w:rPr>
  </w:style>
  <w:style w:type="paragraph" w:customStyle="1" w:styleId="JuQuot">
    <w:name w:val="Ju_Quot"/>
    <w:basedOn w:val="JuPara"/>
    <w:rsid w:val="0009043E"/>
    <w:pPr>
      <w:spacing w:before="120" w:after="120"/>
      <w:ind w:left="425" w:firstLine="142"/>
    </w:pPr>
    <w:rPr>
      <w:sz w:val="20"/>
    </w:rPr>
  </w:style>
  <w:style w:type="paragraph" w:customStyle="1" w:styleId="JuSigned">
    <w:name w:val="Ju_Signed"/>
    <w:basedOn w:val="NormalTimesNewRoman"/>
    <w:next w:val="JuParaLast"/>
    <w:link w:val="JuSignedChar"/>
    <w:rsid w:val="0009043E"/>
    <w:pPr>
      <w:tabs>
        <w:tab w:val="center" w:pos="851"/>
        <w:tab w:val="center" w:pos="6407"/>
      </w:tabs>
      <w:spacing w:before="720"/>
    </w:pPr>
  </w:style>
  <w:style w:type="paragraph" w:customStyle="1" w:styleId="JuParaLast">
    <w:name w:val="Ju_Para_Last"/>
    <w:basedOn w:val="JuPara"/>
    <w:next w:val="JuPara"/>
    <w:rsid w:val="0009043E"/>
    <w:pPr>
      <w:keepNext/>
      <w:keepLines/>
      <w:spacing w:before="240"/>
    </w:pPr>
  </w:style>
  <w:style w:type="character" w:customStyle="1" w:styleId="JuSignedChar">
    <w:name w:val="Ju_Signed Char"/>
    <w:basedOn w:val="DefaultParagraphFont"/>
    <w:link w:val="JuSigned"/>
    <w:rsid w:val="00BE55FA"/>
    <w:rPr>
      <w:sz w:val="24"/>
      <w:lang w:val="en-GB" w:eastAsia="fr-FR" w:bidi="ar-SA"/>
    </w:rPr>
  </w:style>
  <w:style w:type="paragraph" w:customStyle="1" w:styleId="JuCase">
    <w:name w:val="Ju_Case"/>
    <w:basedOn w:val="JuPara"/>
    <w:next w:val="JuPara"/>
    <w:rsid w:val="0009043E"/>
    <w:rPr>
      <w:b/>
    </w:rPr>
  </w:style>
  <w:style w:type="paragraph" w:customStyle="1" w:styleId="JuList">
    <w:name w:val="Ju_List"/>
    <w:basedOn w:val="JuPara"/>
    <w:link w:val="JuListChar"/>
    <w:rsid w:val="0009043E"/>
    <w:pPr>
      <w:ind w:left="340" w:hanging="340"/>
    </w:pPr>
  </w:style>
  <w:style w:type="character" w:customStyle="1" w:styleId="JuListChar">
    <w:name w:val="Ju_List Char"/>
    <w:basedOn w:val="JuParaCar"/>
    <w:link w:val="JuList"/>
    <w:rsid w:val="00973A0D"/>
    <w:rPr>
      <w:sz w:val="24"/>
      <w:lang w:val="en-GB" w:eastAsia="fr-FR" w:bidi="ar-SA"/>
    </w:rPr>
  </w:style>
  <w:style w:type="paragraph" w:customStyle="1" w:styleId="JuHArticle">
    <w:name w:val="Ju_H_Article"/>
    <w:basedOn w:val="JuHa0"/>
    <w:next w:val="JuQuot"/>
    <w:rsid w:val="0009043E"/>
    <w:pPr>
      <w:ind w:left="0" w:firstLine="0"/>
      <w:jc w:val="center"/>
    </w:pPr>
  </w:style>
  <w:style w:type="paragraph" w:customStyle="1" w:styleId="JuHa0">
    <w:name w:val="Ju_H_a"/>
    <w:basedOn w:val="JuH1"/>
    <w:next w:val="JuPara"/>
    <w:rsid w:val="0009043E"/>
    <w:pPr>
      <w:tabs>
        <w:tab w:val="clear" w:pos="731"/>
        <w:tab w:val="left" w:pos="975"/>
      </w:tabs>
      <w:ind w:left="975" w:hanging="340"/>
      <w:outlineLvl w:val="4"/>
    </w:pPr>
    <w:rPr>
      <w:b/>
      <w:i w:val="0"/>
      <w:sz w:val="20"/>
    </w:rPr>
  </w:style>
  <w:style w:type="paragraph" w:customStyle="1" w:styleId="JuH1">
    <w:name w:val="Ju_H_1."/>
    <w:basedOn w:val="JuHA"/>
    <w:next w:val="JuPara"/>
    <w:rsid w:val="0009043E"/>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09043E"/>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5E4847"/>
  </w:style>
  <w:style w:type="paragraph" w:customStyle="1" w:styleId="OpiTranslation">
    <w:name w:val="Opi_Translation"/>
    <w:basedOn w:val="OpiHHead"/>
    <w:next w:val="OpiPara"/>
    <w:rsid w:val="005E4847"/>
    <w:rPr>
      <w:i/>
      <w:sz w:val="24"/>
    </w:rPr>
  </w:style>
  <w:style w:type="paragraph" w:styleId="FootnoteText">
    <w:name w:val="footnote text"/>
    <w:basedOn w:val="Normal"/>
    <w:semiHidden/>
    <w:rsid w:val="0009043E"/>
    <w:pPr>
      <w:jc w:val="both"/>
    </w:pPr>
    <w:rPr>
      <w:sz w:val="20"/>
    </w:rPr>
  </w:style>
  <w:style w:type="character" w:styleId="FootnoteReference">
    <w:name w:val="footnote reference"/>
    <w:basedOn w:val="DefaultParagraphFont"/>
    <w:semiHidden/>
    <w:rsid w:val="0009043E"/>
    <w:rPr>
      <w:vertAlign w:val="superscript"/>
    </w:rPr>
  </w:style>
  <w:style w:type="paragraph" w:customStyle="1" w:styleId="JuHi">
    <w:name w:val="Ju_H_i"/>
    <w:basedOn w:val="JuHa0"/>
    <w:next w:val="JuPara"/>
    <w:rsid w:val="0009043E"/>
    <w:pPr>
      <w:tabs>
        <w:tab w:val="clear" w:pos="975"/>
        <w:tab w:val="left" w:pos="1191"/>
      </w:tabs>
      <w:ind w:left="1190" w:hanging="357"/>
      <w:outlineLvl w:val="5"/>
    </w:pPr>
    <w:rPr>
      <w:b w:val="0"/>
      <w:i/>
    </w:rPr>
  </w:style>
  <w:style w:type="paragraph" w:styleId="Header">
    <w:name w:val="header"/>
    <w:basedOn w:val="NormalTimesNewRoman"/>
    <w:rsid w:val="0009043E"/>
    <w:pPr>
      <w:tabs>
        <w:tab w:val="center" w:pos="3686"/>
        <w:tab w:val="right" w:pos="7371"/>
      </w:tabs>
    </w:pPr>
    <w:rPr>
      <w:sz w:val="18"/>
    </w:rPr>
  </w:style>
  <w:style w:type="character" w:styleId="PageNumber">
    <w:name w:val="page number"/>
    <w:basedOn w:val="DefaultParagraphFont"/>
    <w:rsid w:val="0009043E"/>
    <w:rPr>
      <w:sz w:val="18"/>
    </w:rPr>
  </w:style>
  <w:style w:type="paragraph" w:customStyle="1" w:styleId="JuH">
    <w:name w:val="Ju_H_–"/>
    <w:basedOn w:val="JuHalpha"/>
    <w:next w:val="JuPara"/>
    <w:rsid w:val="0009043E"/>
    <w:pPr>
      <w:tabs>
        <w:tab w:val="clear" w:pos="1372"/>
      </w:tabs>
      <w:ind w:left="1236" w:firstLine="0"/>
    </w:pPr>
    <w:rPr>
      <w:i/>
    </w:rPr>
  </w:style>
  <w:style w:type="paragraph" w:customStyle="1" w:styleId="JuHalpha">
    <w:name w:val="Ju_H_alpha"/>
    <w:basedOn w:val="JuHi"/>
    <w:next w:val="JuPara"/>
    <w:rsid w:val="0009043E"/>
    <w:pPr>
      <w:tabs>
        <w:tab w:val="clear" w:pos="1191"/>
        <w:tab w:val="left" w:pos="1372"/>
      </w:tabs>
      <w:ind w:left="1373" w:hanging="335"/>
    </w:pPr>
    <w:rPr>
      <w:i w:val="0"/>
    </w:rPr>
  </w:style>
  <w:style w:type="paragraph" w:customStyle="1" w:styleId="JuLista">
    <w:name w:val="Ju_List_a"/>
    <w:basedOn w:val="JuList"/>
    <w:rsid w:val="0009043E"/>
    <w:pPr>
      <w:ind w:left="346" w:firstLine="0"/>
    </w:pPr>
  </w:style>
  <w:style w:type="paragraph" w:customStyle="1" w:styleId="JuListi">
    <w:name w:val="Ju_List_i"/>
    <w:basedOn w:val="JuLista"/>
    <w:rsid w:val="0009043E"/>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09043E"/>
    <w:pPr>
      <w:tabs>
        <w:tab w:val="clear" w:pos="851"/>
      </w:tabs>
      <w:jc w:val="right"/>
    </w:pPr>
  </w:style>
  <w:style w:type="paragraph" w:customStyle="1" w:styleId="JuHeader">
    <w:name w:val="Ju_Header"/>
    <w:basedOn w:val="Header"/>
    <w:rsid w:val="0009043E"/>
  </w:style>
  <w:style w:type="paragraph" w:customStyle="1" w:styleId="DecHTitle">
    <w:name w:val="Dec_H_Title"/>
    <w:basedOn w:val="Normal"/>
    <w:rsid w:val="00AE714D"/>
    <w:pPr>
      <w:spacing w:after="240"/>
      <w:jc w:val="center"/>
      <w:outlineLvl w:val="0"/>
    </w:pPr>
    <w:rPr>
      <w:sz w:val="28"/>
    </w:rPr>
  </w:style>
  <w:style w:type="paragraph" w:customStyle="1" w:styleId="DecHCase">
    <w:name w:val="Dec_H_Case"/>
    <w:basedOn w:val="DecHTitle"/>
    <w:next w:val="JuPara"/>
    <w:rsid w:val="005E4847"/>
    <w:rPr>
      <w:sz w:val="24"/>
    </w:rPr>
  </w:style>
  <w:style w:type="paragraph" w:customStyle="1" w:styleId="DecList">
    <w:name w:val="Dec_List"/>
    <w:basedOn w:val="Normal"/>
    <w:rsid w:val="00AE714D"/>
    <w:pPr>
      <w:spacing w:before="240"/>
      <w:ind w:left="284"/>
      <w:jc w:val="both"/>
    </w:pPr>
  </w:style>
  <w:style w:type="paragraph" w:customStyle="1" w:styleId="JuParaSub">
    <w:name w:val="Ju_Para_Sub"/>
    <w:basedOn w:val="JuPara"/>
    <w:rsid w:val="0009043E"/>
    <w:pPr>
      <w:ind w:left="284"/>
    </w:pPr>
    <w:rPr>
      <w:szCs w:val="24"/>
    </w:rPr>
  </w:style>
  <w:style w:type="paragraph" w:customStyle="1" w:styleId="JuQuotSub">
    <w:name w:val="Ju_Quot_Sub"/>
    <w:basedOn w:val="JuQuot"/>
    <w:rsid w:val="0009043E"/>
    <w:pPr>
      <w:ind w:left="567"/>
    </w:pPr>
  </w:style>
  <w:style w:type="paragraph" w:styleId="BalloonText">
    <w:name w:val="Balloon Text"/>
    <w:basedOn w:val="Normal"/>
    <w:semiHidden/>
    <w:rsid w:val="00246046"/>
    <w:rPr>
      <w:rFonts w:ascii="Tahoma" w:hAnsi="Tahoma" w:cs="Tahoma"/>
      <w:sz w:val="16"/>
      <w:szCs w:val="16"/>
    </w:rPr>
  </w:style>
  <w:style w:type="paragraph" w:styleId="CommentSubject">
    <w:name w:val="annotation subject"/>
    <w:basedOn w:val="CommentText"/>
    <w:next w:val="CommentText"/>
    <w:semiHidden/>
    <w:rsid w:val="00AF561D"/>
    <w:rPr>
      <w:b/>
      <w:bCs/>
    </w:rPr>
  </w:style>
  <w:style w:type="character" w:styleId="EndnoteReference">
    <w:name w:val="endnote reference"/>
    <w:basedOn w:val="DefaultParagraphFont"/>
    <w:semiHidden/>
    <w:rsid w:val="0009043E"/>
    <w:rPr>
      <w:vertAlign w:val="superscript"/>
    </w:rPr>
  </w:style>
  <w:style w:type="paragraph" w:styleId="EndnoteText">
    <w:name w:val="endnote text"/>
    <w:basedOn w:val="Normal"/>
    <w:semiHidden/>
    <w:rsid w:val="0009043E"/>
    <w:rPr>
      <w:sz w:val="20"/>
    </w:rPr>
  </w:style>
  <w:style w:type="character" w:styleId="FollowedHyperlink">
    <w:name w:val="FollowedHyperlink"/>
    <w:basedOn w:val="DefaultParagraphFont"/>
    <w:rsid w:val="0009043E"/>
    <w:rPr>
      <w:color w:val="800080"/>
      <w:u w:val="single"/>
    </w:rPr>
  </w:style>
  <w:style w:type="paragraph" w:customStyle="1" w:styleId="SuCoverTitle1">
    <w:name w:val="Su_Cover_Title1"/>
    <w:basedOn w:val="Normal"/>
    <w:next w:val="SuCoverTitle2"/>
    <w:rsid w:val="00AE714D"/>
    <w:pPr>
      <w:spacing w:before="2500"/>
      <w:jc w:val="center"/>
    </w:pPr>
    <w:rPr>
      <w:sz w:val="22"/>
    </w:rPr>
  </w:style>
  <w:style w:type="paragraph" w:customStyle="1" w:styleId="SuCoverTitle2">
    <w:name w:val="Su_Cover_Title2"/>
    <w:basedOn w:val="SuCoverTitle1"/>
    <w:next w:val="Normal"/>
    <w:rsid w:val="00431DBC"/>
    <w:pPr>
      <w:spacing w:before="240"/>
    </w:pPr>
    <w:rPr>
      <w:sz w:val="18"/>
    </w:rPr>
  </w:style>
  <w:style w:type="paragraph" w:customStyle="1" w:styleId="SuPara">
    <w:name w:val="Su_Para"/>
    <w:basedOn w:val="SuKeywords"/>
    <w:rsid w:val="00431DBC"/>
    <w:pPr>
      <w:spacing w:before="0" w:after="0"/>
    </w:pPr>
    <w:rPr>
      <w:i w:val="0"/>
    </w:rPr>
  </w:style>
  <w:style w:type="paragraph" w:customStyle="1" w:styleId="SuKeywords">
    <w:name w:val="Su_Keywords"/>
    <w:basedOn w:val="SuHHead"/>
    <w:rsid w:val="00431DBC"/>
    <w:pPr>
      <w:spacing w:before="120"/>
    </w:pPr>
    <w:rPr>
      <w:b w:val="0"/>
      <w:i/>
    </w:rPr>
  </w:style>
  <w:style w:type="paragraph" w:customStyle="1" w:styleId="SuHHead">
    <w:name w:val="Su_H_Head"/>
    <w:basedOn w:val="SuSubject"/>
    <w:rsid w:val="00431DBC"/>
    <w:pPr>
      <w:spacing w:after="120"/>
    </w:pPr>
  </w:style>
  <w:style w:type="paragraph" w:customStyle="1" w:styleId="SuSubject">
    <w:name w:val="Su_Subject"/>
    <w:basedOn w:val="SuSummary"/>
    <w:rsid w:val="00431DBC"/>
    <w:pPr>
      <w:suppressAutoHyphens w:val="0"/>
      <w:spacing w:before="360"/>
      <w:jc w:val="both"/>
    </w:pPr>
    <w:rPr>
      <w:b/>
      <w:sz w:val="22"/>
    </w:rPr>
  </w:style>
  <w:style w:type="paragraph" w:customStyle="1" w:styleId="SuSummary">
    <w:name w:val="Su_Summary"/>
    <w:basedOn w:val="Normal"/>
    <w:next w:val="SuSubject"/>
    <w:rsid w:val="00AE714D"/>
    <w:pPr>
      <w:spacing w:after="240"/>
      <w:jc w:val="center"/>
    </w:pPr>
  </w:style>
  <w:style w:type="paragraph" w:customStyle="1" w:styleId="OpiParaSub">
    <w:name w:val="Opi_Para_Sub"/>
    <w:basedOn w:val="JuParaSub"/>
    <w:rsid w:val="005E4847"/>
  </w:style>
  <w:style w:type="paragraph" w:customStyle="1" w:styleId="OpiQuotSub">
    <w:name w:val="Opi_Quot_Sub"/>
    <w:basedOn w:val="JuQuotSub"/>
    <w:rsid w:val="005E4847"/>
  </w:style>
  <w:style w:type="paragraph" w:styleId="DocumentMap">
    <w:name w:val="Document Map"/>
    <w:basedOn w:val="Normal"/>
    <w:semiHidden/>
    <w:rsid w:val="009E3D54"/>
    <w:pPr>
      <w:shd w:val="clear" w:color="auto" w:fill="000080"/>
    </w:pPr>
    <w:rPr>
      <w:rFonts w:ascii="Tahoma" w:hAnsi="Tahoma" w:cs="Tahoma"/>
      <w:sz w:val="20"/>
    </w:rPr>
  </w:style>
  <w:style w:type="character" w:customStyle="1" w:styleId="JuNames">
    <w:name w:val="Ju_Names"/>
    <w:basedOn w:val="DefaultParagraphFont"/>
    <w:rsid w:val="0009043E"/>
    <w:rPr>
      <w:smallCaps/>
    </w:rPr>
  </w:style>
  <w:style w:type="paragraph" w:customStyle="1" w:styleId="NormalJustified">
    <w:name w:val="Normal_Justified"/>
    <w:basedOn w:val="Normal"/>
    <w:rsid w:val="009E3D54"/>
    <w:pPr>
      <w:jc w:val="both"/>
    </w:pPr>
  </w:style>
  <w:style w:type="paragraph" w:customStyle="1" w:styleId="JuAppQuestion">
    <w:name w:val="Ju_App_Question"/>
    <w:basedOn w:val="ListBullet"/>
    <w:rsid w:val="0009043E"/>
    <w:pPr>
      <w:numPr>
        <w:numId w:val="6"/>
      </w:numPr>
      <w:suppressAutoHyphens w:val="0"/>
    </w:pPr>
    <w:rPr>
      <w:b/>
      <w:color w:val="333333"/>
    </w:rPr>
  </w:style>
  <w:style w:type="paragraph" w:styleId="ListBullet">
    <w:name w:val="List Bullet"/>
    <w:basedOn w:val="Normal"/>
    <w:rsid w:val="009E3D54"/>
    <w:pPr>
      <w:numPr>
        <w:numId w:val="2"/>
      </w:numPr>
    </w:pPr>
  </w:style>
  <w:style w:type="paragraph" w:customStyle="1" w:styleId="NormalTimesNewRoman">
    <w:name w:val="Normal_TimesNewRoman"/>
    <w:rsid w:val="0009043E"/>
    <w:rPr>
      <w:sz w:val="24"/>
      <w:lang w:val="en-GB" w:eastAsia="fr-FR"/>
    </w:rPr>
  </w:style>
  <w:style w:type="character" w:customStyle="1" w:styleId="JuITMark">
    <w:name w:val="Ju_ITMark"/>
    <w:basedOn w:val="DefaultTimesNewRoman"/>
    <w:rsid w:val="0009043E"/>
    <w:rPr>
      <w:rFonts w:ascii="Times New Roman" w:hAnsi="Times New Roman"/>
      <w:vanish/>
      <w:color w:val="339966"/>
      <w:sz w:val="16"/>
      <w:szCs w:val="16"/>
      <w:lang w:val="fi-FI"/>
    </w:rPr>
  </w:style>
  <w:style w:type="paragraph" w:customStyle="1" w:styleId="JuTitle">
    <w:name w:val="Ju_Title"/>
    <w:basedOn w:val="JuHHead"/>
    <w:next w:val="JuPara"/>
    <w:rsid w:val="0009043E"/>
    <w:pPr>
      <w:jc w:val="center"/>
    </w:pPr>
    <w:rPr>
      <w:b/>
      <w:caps/>
      <w:sz w:val="24"/>
      <w:szCs w:val="24"/>
      <w:u w:val="single"/>
    </w:rPr>
  </w:style>
  <w:style w:type="character" w:customStyle="1" w:styleId="sb8d990e2">
    <w:name w:val="sb8d990e2"/>
    <w:basedOn w:val="DefaultParagraphFont"/>
    <w:rsid w:val="00C17068"/>
  </w:style>
  <w:style w:type="character" w:customStyle="1" w:styleId="JuParaChar">
    <w:name w:val="Ju_Para Char"/>
    <w:basedOn w:val="DefaultParagraphFont"/>
    <w:rsid w:val="00237509"/>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8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BD2F2-4981-4202-AE90-1C42D2F1B30A}"/>
</file>

<file path=customXml/itemProps2.xml><?xml version="1.0" encoding="utf-8"?>
<ds:datastoreItem xmlns:ds="http://schemas.openxmlformats.org/officeDocument/2006/customXml" ds:itemID="{41C54329-024B-4290-9E01-13F058A0202D}"/>
</file>

<file path=customXml/itemProps3.xml><?xml version="1.0" encoding="utf-8"?>
<ds:datastoreItem xmlns:ds="http://schemas.openxmlformats.org/officeDocument/2006/customXml" ds:itemID="{F3BF7856-1475-42C0-B7D2-5F041E2AE4F6}"/>
</file>

<file path=docProps/app.xml><?xml version="1.0" encoding="utf-8"?>
<Properties xmlns="http://schemas.openxmlformats.org/officeDocument/2006/extended-properties" xmlns:vt="http://schemas.openxmlformats.org/officeDocument/2006/docPropsVTypes">
  <Template>Normal.dotm</Template>
  <TotalTime>3</TotalTime>
  <Pages>1</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3</cp:revision>
  <cp:lastPrinted>2012-11-16T07:03:00Z</cp:lastPrinted>
  <dcterms:created xsi:type="dcterms:W3CDTF">2015-07-21T17:24:00Z</dcterms:created>
  <dcterms:modified xsi:type="dcterms:W3CDTF">2015-07-21T17:24:00Z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