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E1E9B" w:rsidR="005F3261" w:rsidP="00042867" w:rsidRDefault="005F3261">
      <w:pPr>
        <w:jc w:val="center"/>
        <w:rPr>
          <w:szCs w:val="24"/>
        </w:rPr>
      </w:pPr>
      <w:bookmarkStart w:name="_GoBack" w:id="0"/>
      <w:bookmarkEnd w:id="0"/>
    </w:p>
    <w:p w:rsidRPr="009E1E9B" w:rsidR="005F3261" w:rsidP="00042867" w:rsidRDefault="005F3261">
      <w:pPr>
        <w:jc w:val="center"/>
        <w:rPr>
          <w:szCs w:val="24"/>
        </w:rPr>
      </w:pPr>
    </w:p>
    <w:p w:rsidRPr="009E1E9B" w:rsidR="00F71A6A" w:rsidP="00042867" w:rsidRDefault="00F71A6A">
      <w:pPr>
        <w:jc w:val="center"/>
        <w:rPr>
          <w:szCs w:val="24"/>
        </w:rPr>
      </w:pPr>
    </w:p>
    <w:p w:rsidRPr="00EE1964" w:rsidR="00F71A6A" w:rsidP="00042867" w:rsidRDefault="00EE1964">
      <w:pPr>
        <w:jc w:val="center"/>
      </w:pPr>
      <w:r w:rsidRPr="00EE1964">
        <w:t>FIFTH SECTION</w:t>
      </w:r>
    </w:p>
    <w:p w:rsidRPr="009E1E9B" w:rsidR="005F3261" w:rsidP="00042867" w:rsidRDefault="005F3261">
      <w:pPr>
        <w:jc w:val="center"/>
        <w:rPr>
          <w:szCs w:val="24"/>
        </w:rPr>
      </w:pPr>
      <w:bookmarkStart w:name="To" w:id="1"/>
    </w:p>
    <w:p w:rsidRPr="009E1E9B" w:rsidR="005F3261" w:rsidP="00042867" w:rsidRDefault="005F3261">
      <w:pPr>
        <w:jc w:val="center"/>
        <w:rPr>
          <w:szCs w:val="24"/>
        </w:rPr>
      </w:pPr>
    </w:p>
    <w:p w:rsidRPr="009E1E9B" w:rsidR="005F3261" w:rsidP="00042867" w:rsidRDefault="005F3261">
      <w:pPr>
        <w:jc w:val="center"/>
        <w:rPr>
          <w:szCs w:val="24"/>
        </w:rPr>
      </w:pPr>
    </w:p>
    <w:p w:rsidRPr="009E1E9B" w:rsidR="005F3261" w:rsidP="00042867" w:rsidRDefault="005F3261">
      <w:pPr>
        <w:jc w:val="center"/>
        <w:rPr>
          <w:szCs w:val="24"/>
        </w:rPr>
      </w:pPr>
    </w:p>
    <w:p w:rsidRPr="00EE1964" w:rsidR="00F71A6A" w:rsidP="00042867" w:rsidRDefault="00F71A6A">
      <w:pPr>
        <w:jc w:val="center"/>
        <w:rPr>
          <w:b/>
        </w:rPr>
      </w:pPr>
      <w:r w:rsidRPr="00EE1964">
        <w:rPr>
          <w:b/>
        </w:rPr>
        <w:t xml:space="preserve">CASE OF </w:t>
      </w:r>
      <w:bookmarkEnd w:id="1"/>
      <w:r w:rsidRPr="00EE1964" w:rsidR="00EE1964">
        <w:rPr>
          <w:b/>
        </w:rPr>
        <w:t xml:space="preserve">KOROSTYLYOV v. </w:t>
      </w:r>
      <w:smartTag w:uri="urn:schemas-microsoft-com:office:smarttags" w:element="place">
        <w:smartTag w:uri="urn:schemas-microsoft-com:office:smarttags" w:element="country-region">
          <w:r w:rsidR="00EE1964" w:rsidRPr="00EE1964">
            <w:rPr>
              <w:b/>
            </w:rPr>
            <w:t>UKRAINE</w:t>
          </w:r>
        </w:smartTag>
      </w:smartTag>
    </w:p>
    <w:p w:rsidRPr="00EE1964" w:rsidR="00F71A6A" w:rsidP="00042867" w:rsidRDefault="00F71A6A">
      <w:pPr>
        <w:jc w:val="center"/>
      </w:pPr>
    </w:p>
    <w:p w:rsidRPr="00EE1964" w:rsidR="00F71A6A" w:rsidP="00042867" w:rsidRDefault="00F71A6A">
      <w:pPr>
        <w:jc w:val="center"/>
        <w:rPr>
          <w:i/>
        </w:rPr>
      </w:pPr>
      <w:r w:rsidRPr="00EE1964">
        <w:rPr>
          <w:i/>
        </w:rPr>
        <w:t>(</w:t>
      </w:r>
      <w:r w:rsidRPr="00EE1964" w:rsidR="00EE1964">
        <w:rPr>
          <w:i/>
        </w:rPr>
        <w:t>Application no. 33643/03</w:t>
      </w:r>
      <w:r w:rsidRPr="00EE1964">
        <w:rPr>
          <w:i/>
        </w:rPr>
        <w:t>)</w:t>
      </w:r>
    </w:p>
    <w:p w:rsidRPr="00EE1964" w:rsidR="00F71A6A" w:rsidP="00042867" w:rsidRDefault="00F71A6A">
      <w:pPr>
        <w:jc w:val="center"/>
      </w:pPr>
    </w:p>
    <w:p w:rsidR="005F3261" w:rsidP="005F3261" w:rsidRDefault="005F3261">
      <w:pPr>
        <w:jc w:val="center"/>
        <w:rPr>
          <w:szCs w:val="24"/>
        </w:rPr>
      </w:pPr>
    </w:p>
    <w:p w:rsidR="009E1E9B" w:rsidP="005F3261" w:rsidRDefault="009E1E9B">
      <w:pPr>
        <w:jc w:val="center"/>
        <w:rPr>
          <w:szCs w:val="24"/>
        </w:rPr>
      </w:pPr>
    </w:p>
    <w:p w:rsidR="009E1E9B" w:rsidP="005F3261" w:rsidRDefault="009E1E9B">
      <w:pPr>
        <w:jc w:val="center"/>
        <w:rPr>
          <w:szCs w:val="24"/>
        </w:rPr>
      </w:pPr>
    </w:p>
    <w:p w:rsidR="009E1E9B" w:rsidP="005F3261" w:rsidRDefault="009E1E9B">
      <w:pPr>
        <w:jc w:val="center"/>
        <w:rPr>
          <w:szCs w:val="24"/>
        </w:rPr>
      </w:pPr>
    </w:p>
    <w:p w:rsidRPr="00EE1964" w:rsidR="00733940" w:rsidP="005F3261" w:rsidRDefault="00733940">
      <w:pPr>
        <w:jc w:val="center"/>
        <w:rPr>
          <w:szCs w:val="24"/>
        </w:rPr>
      </w:pPr>
    </w:p>
    <w:p w:rsidR="009E1E9B" w:rsidP="009E1E9B" w:rsidRDefault="005F3261">
      <w:pPr>
        <w:jc w:val="center"/>
        <w:rPr>
          <w:szCs w:val="24"/>
        </w:rPr>
      </w:pPr>
      <w:r w:rsidRPr="009E1E9B">
        <w:rPr>
          <w:szCs w:val="24"/>
        </w:rPr>
        <w:t>JUDGMENT</w:t>
      </w:r>
    </w:p>
    <w:p w:rsidRPr="009E1E9B" w:rsidR="005F3261" w:rsidP="009E1E9B" w:rsidRDefault="005F3261">
      <w:pPr>
        <w:jc w:val="center"/>
        <w:rPr>
          <w:szCs w:val="24"/>
        </w:rPr>
      </w:pPr>
    </w:p>
    <w:p w:rsidRPr="009E1E9B" w:rsidR="005F3261" w:rsidP="009E1E9B" w:rsidRDefault="005F3261">
      <w:pPr>
        <w:jc w:val="center"/>
        <w:rPr>
          <w:szCs w:val="24"/>
        </w:rPr>
      </w:pPr>
    </w:p>
    <w:p w:rsidRPr="009E1E9B" w:rsidR="005F3261" w:rsidP="009E1E9B" w:rsidRDefault="005F3261">
      <w:pPr>
        <w:jc w:val="center"/>
        <w:rPr>
          <w:szCs w:val="24"/>
        </w:rPr>
      </w:pPr>
      <w:r w:rsidRPr="009E1E9B">
        <w:rPr>
          <w:szCs w:val="24"/>
        </w:rPr>
        <w:t>STRASBOURG</w:t>
      </w:r>
    </w:p>
    <w:p w:rsidRPr="009E1E9B" w:rsidR="005F3261" w:rsidP="009E1E9B" w:rsidRDefault="005F3261">
      <w:pPr>
        <w:jc w:val="center"/>
        <w:rPr>
          <w:szCs w:val="24"/>
        </w:rPr>
      </w:pPr>
    </w:p>
    <w:p w:rsidRPr="009E1E9B" w:rsidR="005F3261" w:rsidP="009E1E9B" w:rsidRDefault="005F3261">
      <w:pPr>
        <w:jc w:val="center"/>
        <w:rPr>
          <w:szCs w:val="24"/>
        </w:rPr>
      </w:pPr>
      <w:r w:rsidRPr="009E1E9B">
        <w:rPr>
          <w:szCs w:val="24"/>
        </w:rPr>
        <w:t>13 June 2013</w:t>
      </w:r>
    </w:p>
    <w:p w:rsidRPr="009E1E9B" w:rsidR="005F3261" w:rsidP="009E1E9B" w:rsidRDefault="005F3261">
      <w:pPr>
        <w:jc w:val="center"/>
        <w:rPr>
          <w:szCs w:val="24"/>
        </w:rPr>
      </w:pPr>
    </w:p>
    <w:p w:rsidRPr="009E1E9B" w:rsidR="005F3261" w:rsidP="009E1E9B" w:rsidRDefault="005F3261">
      <w:pPr>
        <w:jc w:val="center"/>
        <w:rPr>
          <w:szCs w:val="24"/>
        </w:rPr>
      </w:pPr>
    </w:p>
    <w:p w:rsidR="00D01D1E" w:rsidP="00D01D1E" w:rsidRDefault="00D01D1E">
      <w:pPr>
        <w:pStyle w:val="jucase0"/>
        <w:ind w:firstLine="0"/>
        <w:jc w:val="center"/>
        <w:rPr>
          <w:color w:val="FF0000"/>
          <w:sz w:val="28"/>
          <w:szCs w:val="28"/>
          <w:u w:val="single"/>
        </w:rPr>
      </w:pPr>
      <w:r>
        <w:rPr>
          <w:color w:val="FF0000"/>
          <w:sz w:val="28"/>
          <w:szCs w:val="28"/>
          <w:u w:val="single"/>
        </w:rPr>
        <w:t>FINAL</w:t>
      </w:r>
    </w:p>
    <w:p w:rsidR="00D01D1E" w:rsidP="00D01D1E" w:rsidRDefault="00D01D1E">
      <w:pPr>
        <w:pStyle w:val="jupara0"/>
        <w:ind w:firstLine="0"/>
        <w:rPr>
          <w:color w:val="FF0000"/>
          <w:sz w:val="28"/>
          <w:szCs w:val="28"/>
        </w:rPr>
      </w:pPr>
    </w:p>
    <w:p w:rsidR="00D01D1E" w:rsidP="00D01D1E" w:rsidRDefault="00D01D1E">
      <w:pPr>
        <w:pStyle w:val="jupara0"/>
        <w:ind w:firstLine="0"/>
        <w:jc w:val="center"/>
        <w:rPr>
          <w:color w:val="FF0000"/>
          <w:sz w:val="28"/>
          <w:szCs w:val="28"/>
        </w:rPr>
      </w:pPr>
      <w:r>
        <w:rPr>
          <w:color w:val="FF0000"/>
          <w:sz w:val="28"/>
          <w:szCs w:val="28"/>
        </w:rPr>
        <w:t>13/09/2013</w:t>
      </w:r>
    </w:p>
    <w:p w:rsidR="00D01D1E" w:rsidP="00D01D1E" w:rsidRDefault="00D01D1E">
      <w:pPr>
        <w:pStyle w:val="jupara0"/>
        <w:ind w:firstLine="0"/>
        <w:jc w:val="center"/>
      </w:pPr>
    </w:p>
    <w:p w:rsidR="00D01D1E" w:rsidP="00D01D1E" w:rsidRDefault="00D01D1E">
      <w:pPr>
        <w:rPr>
          <w:i/>
          <w:iCs/>
          <w:sz w:val="22"/>
          <w:szCs w:val="22"/>
        </w:rPr>
      </w:pPr>
      <w:r>
        <w:rPr>
          <w:i/>
          <w:iCs/>
          <w:sz w:val="22"/>
          <w:szCs w:val="22"/>
        </w:rPr>
        <w:t>This judgment has become final under Article 44 § 2 of the Convention. It may be subject to editorial revision.</w:t>
      </w:r>
    </w:p>
    <w:p w:rsidRPr="009E1E9B" w:rsidR="009E1E9B" w:rsidP="009E1E9B" w:rsidRDefault="009E1E9B">
      <w:pPr>
        <w:rPr>
          <w:i/>
          <w:sz w:val="22"/>
          <w:szCs w:val="22"/>
        </w:rPr>
      </w:pPr>
    </w:p>
    <w:p w:rsidRPr="005F3261" w:rsidR="005F3261" w:rsidP="005F3261" w:rsidRDefault="005F3261">
      <w:pPr>
        <w:pStyle w:val="JuPara"/>
        <w:sectPr w:rsidRPr="005F3261" w:rsidR="005F3261" w:rsidSect="005F3261">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EE1964" w:rsidR="00B030BE" w:rsidP="00B030BE" w:rsidRDefault="00F71A6A">
      <w:pPr>
        <w:pStyle w:val="JuCase"/>
        <w:rPr>
          <w:b w:val="0"/>
          <w:bCs/>
        </w:rPr>
      </w:pPr>
      <w:r w:rsidRPr="00EE1964">
        <w:t>In the case of</w:t>
      </w:r>
      <w:r w:rsidRPr="00EE1964" w:rsidR="00B030BE">
        <w:t xml:space="preserve"> </w:t>
      </w:r>
      <w:r w:rsidRPr="00EE1964" w:rsidR="00EE1964">
        <w:t xml:space="preserve">Korostylyov v. </w:t>
      </w:r>
      <w:smartTag w:uri="urn:schemas-microsoft-com:office:smarttags" w:element="place">
        <w:smartTag w:uri="urn:schemas-microsoft-com:office:smarttags" w:element="country-region">
          <w:r w:rsidR="00EE1964" w:rsidRPr="00EE1964">
            <w:t>Ukraine</w:t>
          </w:r>
        </w:smartTag>
      </w:smartTag>
      <w:r w:rsidRPr="00EE1964" w:rsidR="00B030BE">
        <w:t>,</w:t>
      </w:r>
    </w:p>
    <w:p w:rsidRPr="009E1E9B" w:rsidR="00730433" w:rsidP="009E1E9B" w:rsidRDefault="00F71A6A">
      <w:pPr>
        <w:pStyle w:val="JuPara"/>
      </w:pPr>
      <w:r w:rsidRPr="009E1E9B">
        <w:t>The European Court of Human Rights (</w:t>
      </w:r>
      <w:r w:rsidRPr="009E1E9B" w:rsidR="00EE1964">
        <w:t>Fifth Section</w:t>
      </w:r>
      <w:r w:rsidRPr="009E1E9B">
        <w:t xml:space="preserve">), sitting as a </w:t>
      </w:r>
      <w:r w:rsidRPr="009E1E9B" w:rsidR="00EE1964">
        <w:t>Chamber</w:t>
      </w:r>
      <w:r w:rsidRPr="009E1E9B" w:rsidR="00730433">
        <w:t xml:space="preserve"> composed of:</w:t>
      </w:r>
    </w:p>
    <w:p w:rsidRPr="00EE1964" w:rsidR="00F71A6A" w:rsidP="008824B9" w:rsidRDefault="001C1EEE">
      <w:pPr>
        <w:pStyle w:val="JuJudges"/>
      </w:pPr>
      <w:r w:rsidRPr="00285387">
        <w:rPr>
          <w:rStyle w:val="JuJudgesChar"/>
        </w:rPr>
        <w:tab/>
      </w:r>
      <w:r w:rsidRPr="00285387">
        <w:t>Mark</w:t>
      </w:r>
      <w:r>
        <w:t xml:space="preserve"> </w:t>
      </w:r>
      <w:r w:rsidRPr="00285387">
        <w:t>Villiger</w:t>
      </w:r>
      <w:r>
        <w:t>,</w:t>
      </w:r>
      <w:r w:rsidRPr="00285387">
        <w:rPr>
          <w:i/>
        </w:rPr>
        <w:t xml:space="preserve"> President,</w:t>
      </w:r>
      <w:r>
        <w:rPr>
          <w:rStyle w:val="JuJudgesChar"/>
          <w:i/>
        </w:rPr>
        <w:br/>
      </w:r>
      <w:r w:rsidRPr="00285387">
        <w:rPr>
          <w:rStyle w:val="JuJudgesChar"/>
        </w:rPr>
        <w:tab/>
      </w:r>
      <w:r w:rsidRPr="00285387">
        <w:t>Ann</w:t>
      </w:r>
      <w:r>
        <w:t xml:space="preserve"> </w:t>
      </w:r>
      <w:r w:rsidRPr="00285387">
        <w:t>Power-Forde</w:t>
      </w:r>
      <w:r>
        <w:t>,</w:t>
      </w:r>
      <w:r>
        <w:rPr>
          <w:rStyle w:val="JuJudgesChar"/>
          <w:i/>
        </w:rPr>
        <w:br/>
      </w:r>
      <w:r w:rsidRPr="00285387">
        <w:rPr>
          <w:rStyle w:val="JuJudgesChar"/>
        </w:rPr>
        <w:tab/>
      </w:r>
      <w:r w:rsidRPr="00285387">
        <w:t>Ganna</w:t>
      </w:r>
      <w:r>
        <w:t xml:space="preserve"> </w:t>
      </w:r>
      <w:r w:rsidRPr="00285387">
        <w:t>Yudkivska</w:t>
      </w:r>
      <w:r>
        <w:t>,</w:t>
      </w:r>
      <w:r>
        <w:rPr>
          <w:rStyle w:val="JuJudgesChar"/>
          <w:i/>
        </w:rPr>
        <w:br/>
      </w:r>
      <w:r w:rsidRPr="00285387">
        <w:rPr>
          <w:rStyle w:val="JuJudgesChar"/>
        </w:rPr>
        <w:tab/>
      </w:r>
      <w:r w:rsidRPr="00285387">
        <w:t>André</w:t>
      </w:r>
      <w:r>
        <w:t xml:space="preserve"> </w:t>
      </w:r>
      <w:r w:rsidRPr="00285387">
        <w:t>Potocki</w:t>
      </w:r>
      <w:r>
        <w:t>,</w:t>
      </w:r>
      <w:r>
        <w:rPr>
          <w:rStyle w:val="JuJudgesChar"/>
          <w:i/>
        </w:rPr>
        <w:br/>
      </w:r>
      <w:r w:rsidRPr="00285387">
        <w:rPr>
          <w:rStyle w:val="JuJudgesChar"/>
        </w:rPr>
        <w:tab/>
      </w:r>
      <w:r w:rsidRPr="00285387">
        <w:t>Paul</w:t>
      </w:r>
      <w:r>
        <w:t xml:space="preserve"> </w:t>
      </w:r>
      <w:r w:rsidRPr="00285387">
        <w:t>Lemmens</w:t>
      </w:r>
      <w:r>
        <w:t>,</w:t>
      </w:r>
      <w:r>
        <w:rPr>
          <w:rStyle w:val="JuJudgesChar"/>
          <w:i/>
        </w:rPr>
        <w:br/>
      </w:r>
      <w:r w:rsidRPr="00285387">
        <w:rPr>
          <w:rStyle w:val="JuJudgesChar"/>
        </w:rPr>
        <w:tab/>
      </w:r>
      <w:r w:rsidRPr="00285387">
        <w:t>Helena</w:t>
      </w:r>
      <w:r>
        <w:t xml:space="preserve"> </w:t>
      </w:r>
      <w:r w:rsidRPr="00285387">
        <w:t>Jäderblom</w:t>
      </w:r>
      <w:r>
        <w:t>,</w:t>
      </w:r>
      <w:r>
        <w:rPr>
          <w:rStyle w:val="JuJudgesChar"/>
          <w:i/>
        </w:rPr>
        <w:br/>
      </w:r>
      <w:r w:rsidRPr="00285387">
        <w:rPr>
          <w:rStyle w:val="JuJudgesChar"/>
        </w:rPr>
        <w:tab/>
      </w:r>
      <w:r w:rsidRPr="00285387">
        <w:t>Aleš</w:t>
      </w:r>
      <w:r>
        <w:t xml:space="preserve"> </w:t>
      </w:r>
      <w:r w:rsidRPr="00285387">
        <w:t>Pejchal</w:t>
      </w:r>
      <w:r>
        <w:t>,</w:t>
      </w:r>
      <w:r w:rsidRPr="00285387">
        <w:rPr>
          <w:i/>
        </w:rPr>
        <w:t xml:space="preserve"> judges,</w:t>
      </w:r>
      <w:r w:rsidRPr="00EE1964" w:rsidR="00337600">
        <w:rPr>
          <w:szCs w:val="24"/>
        </w:rPr>
        <w:br/>
      </w:r>
      <w:r w:rsidRPr="00EE1964" w:rsidR="00F71A6A">
        <w:t>and</w:t>
      </w:r>
      <w:r w:rsidRPr="00EE1964" w:rsidR="000726F6">
        <w:t xml:space="preserve"> </w:t>
      </w:r>
      <w:r w:rsidRPr="00EE1964" w:rsidR="00EE1964">
        <w:t>Claudia Westerdiek</w:t>
      </w:r>
      <w:r w:rsidRPr="00EE1964" w:rsidR="009D4B87">
        <w:rPr>
          <w:rStyle w:val="JuJudgesChar"/>
        </w:rPr>
        <w:t xml:space="preserve">, </w:t>
      </w:r>
      <w:r w:rsidRPr="00EE1964" w:rsidR="00EE1964">
        <w:rPr>
          <w:i/>
        </w:rPr>
        <w:t xml:space="preserve">Section </w:t>
      </w:r>
      <w:r w:rsidRPr="00EE1964" w:rsidR="00EE1964">
        <w:rPr>
          <w:i/>
          <w:iCs/>
        </w:rPr>
        <w:t>Registrar</w:t>
      </w:r>
      <w:r w:rsidRPr="00321707" w:rsidR="00F71A6A">
        <w:t>,</w:t>
      </w:r>
    </w:p>
    <w:p w:rsidRPr="00EE1964" w:rsidR="00F71A6A" w:rsidP="002F4BCF" w:rsidRDefault="00F71A6A">
      <w:pPr>
        <w:pStyle w:val="JuPara"/>
      </w:pPr>
      <w:r w:rsidRPr="00EE1964">
        <w:t xml:space="preserve">Having deliberated in private on </w:t>
      </w:r>
      <w:r w:rsidR="001C1EEE">
        <w:t>21 May 2013</w:t>
      </w:r>
      <w:r w:rsidRPr="00EE1964">
        <w:t>,</w:t>
      </w:r>
    </w:p>
    <w:p w:rsidRPr="00EE1964" w:rsidR="00F71A6A" w:rsidP="002F4BCF" w:rsidRDefault="00F71A6A">
      <w:pPr>
        <w:pStyle w:val="JuPara"/>
      </w:pPr>
      <w:r w:rsidRPr="00EE1964">
        <w:t>Delivers the following judgment, which was adopted on that date:</w:t>
      </w:r>
    </w:p>
    <w:p w:rsidRPr="00EE1964" w:rsidR="00F71A6A" w:rsidP="008824B9" w:rsidRDefault="00F71A6A">
      <w:pPr>
        <w:pStyle w:val="JuHHead"/>
      </w:pPr>
      <w:r w:rsidRPr="00EE1964">
        <w:t>PROCEDURE</w:t>
      </w:r>
    </w:p>
    <w:p w:rsidR="00EE1964" w:rsidP="00893782" w:rsidRDefault="00EE1964">
      <w:pPr>
        <w:pStyle w:val="JuPara"/>
      </w:pPr>
      <w:r w:rsidRPr="00EE1964">
        <w:fldChar w:fldCharType="begin"/>
      </w:r>
      <w:r w:rsidRPr="00EE1964">
        <w:instrText xml:space="preserve"> SEQ level0 \*arabic </w:instrText>
      </w:r>
      <w:r w:rsidRPr="00EE1964">
        <w:fldChar w:fldCharType="separate"/>
      </w:r>
      <w:r w:rsidR="00D01D1E">
        <w:rPr>
          <w:noProof/>
        </w:rPr>
        <w:t>1</w:t>
      </w:r>
      <w:r w:rsidRPr="00EE1964">
        <w:fldChar w:fldCharType="end"/>
      </w:r>
      <w:r w:rsidRPr="00EE1964" w:rsidR="00F71A6A">
        <w:t xml:space="preserve">.  The case originated in </w:t>
      </w:r>
      <w:r w:rsidRPr="00EE1964">
        <w:t>an application (no. 33643/03)</w:t>
      </w:r>
      <w:r w:rsidRPr="00EE1964" w:rsidR="00F71A6A">
        <w:t xml:space="preserve"> against </w:t>
      </w:r>
      <w:smartTag w:uri="urn:schemas-microsoft-com:office:smarttags" w:element="place">
        <w:smartTag w:uri="urn:schemas-microsoft-com:office:smarttags" w:element="country-region">
          <w:r w:rsidRPr="00EE1964">
            <w:t>Ukraine</w:t>
          </w:r>
        </w:smartTag>
      </w:smartTag>
      <w:r w:rsidRPr="00EE1964" w:rsidR="00F71A6A">
        <w:t xml:space="preserve"> lodged with the </w:t>
      </w:r>
      <w:r w:rsidRPr="00EE1964">
        <w:t>Court under Article 34</w:t>
      </w:r>
      <w:r w:rsidRPr="00EE1964" w:rsidR="004920B1">
        <w:t xml:space="preserve"> of the Convention for the Protection of Human Rights and Fundamental Freedoms (“the Convention”)</w:t>
      </w:r>
      <w:r w:rsidRPr="00EE1964" w:rsidR="00F71A6A">
        <w:t xml:space="preserve"> by </w:t>
      </w:r>
      <w:r w:rsidR="00542F31">
        <w:t xml:space="preserve">a </w:t>
      </w:r>
      <w:r w:rsidRPr="00EE1964">
        <w:t>Ukrainian national, Mr Nikolay Aleksandrovich Korostylyov (“the applicant”), on 24 September 2003</w:t>
      </w:r>
      <w:r w:rsidRPr="00EE1964" w:rsidR="00F71A6A">
        <w:t>.</w:t>
      </w:r>
    </w:p>
    <w:p w:rsidRPr="00EE1964" w:rsidR="00EE1964" w:rsidP="002F4BCF" w:rsidRDefault="00EE1964">
      <w:pPr>
        <w:pStyle w:val="JuPara"/>
      </w:pPr>
      <w:r w:rsidRPr="00EE1964">
        <w:fldChar w:fldCharType="begin"/>
      </w:r>
      <w:r w:rsidRPr="00EE1964">
        <w:instrText xml:space="preserve"> SEQ level0 \*arabic </w:instrText>
      </w:r>
      <w:r w:rsidRPr="00EE1964">
        <w:fldChar w:fldCharType="separate"/>
      </w:r>
      <w:r w:rsidR="00D01D1E">
        <w:rPr>
          <w:noProof/>
        </w:rPr>
        <w:t>2</w:t>
      </w:r>
      <w:r w:rsidRPr="00EE1964">
        <w:fldChar w:fldCharType="end"/>
      </w:r>
      <w:r w:rsidRPr="00EE1964" w:rsidR="00F71A6A">
        <w:t>.  </w:t>
      </w:r>
      <w:r w:rsidRPr="00EE1964">
        <w:t>The applicant, who had been granted legal aid, was represented by Mr</w:t>
      </w:r>
      <w:r w:rsidR="00B6165A">
        <w:t> </w:t>
      </w:r>
      <w:r w:rsidRPr="00EE1964">
        <w:t>A.</w:t>
      </w:r>
      <w:r w:rsidR="00B6165A">
        <w:t> </w:t>
      </w:r>
      <w:r w:rsidRPr="00EE1964">
        <w:t xml:space="preserve">Kristenko, a lawyer practising in Kharkiv. </w:t>
      </w:r>
      <w:r w:rsidRPr="00EE1964" w:rsidR="00F71A6A">
        <w:t xml:space="preserve">The </w:t>
      </w:r>
      <w:r w:rsidRPr="00EE1964">
        <w:t>Ukrainian</w:t>
      </w:r>
      <w:r w:rsidRPr="00EE1964" w:rsidR="00F71A6A">
        <w:t xml:space="preserve"> Government (“the Government”) were represented by their Agent, Mr</w:t>
      </w:r>
      <w:r w:rsidR="00D16FBF">
        <w:t> N.</w:t>
      </w:r>
      <w:r w:rsidR="00B6165A">
        <w:t> </w:t>
      </w:r>
      <w:r w:rsidR="00D16FBF">
        <w:t>Kulchytskyy</w:t>
      </w:r>
      <w:r w:rsidRPr="00EE1964" w:rsidR="00F71A6A">
        <w:t xml:space="preserve">, </w:t>
      </w:r>
      <w:r w:rsidR="007F102D">
        <w:t>of the Ministry of Justice</w:t>
      </w:r>
      <w:r w:rsidRPr="00EE1964" w:rsidR="00F71A6A">
        <w:t>.</w:t>
      </w:r>
    </w:p>
    <w:p w:rsidRPr="00EE1964" w:rsidR="00F71A6A" w:rsidP="00865450" w:rsidRDefault="00EE1964">
      <w:pPr>
        <w:pStyle w:val="JuPara"/>
      </w:pPr>
      <w:r w:rsidRPr="00EE1964">
        <w:fldChar w:fldCharType="begin"/>
      </w:r>
      <w:r w:rsidRPr="00EE1964">
        <w:instrText xml:space="preserve"> SEQ level0 \*arabic </w:instrText>
      </w:r>
      <w:r w:rsidRPr="00EE1964">
        <w:fldChar w:fldCharType="separate"/>
      </w:r>
      <w:r w:rsidR="00D01D1E">
        <w:rPr>
          <w:noProof/>
        </w:rPr>
        <w:t>3</w:t>
      </w:r>
      <w:r w:rsidRPr="00EE1964">
        <w:fldChar w:fldCharType="end"/>
      </w:r>
      <w:r w:rsidRPr="00EE1964">
        <w:t xml:space="preserve">.  The applicant </w:t>
      </w:r>
      <w:r w:rsidR="007F102D">
        <w:t>complained</w:t>
      </w:r>
      <w:r w:rsidRPr="00EE1964">
        <w:t xml:space="preserve">, in particular, </w:t>
      </w:r>
      <w:r w:rsidR="007F102D">
        <w:t xml:space="preserve">that he had been ill-treated by the police, that the conditions of his detention </w:t>
      </w:r>
      <w:r w:rsidR="004B474B">
        <w:t xml:space="preserve">had been </w:t>
      </w:r>
      <w:r w:rsidR="007F102D">
        <w:t>inhuman, that his pre-trial detention had been unlawful and that his trial had been unfair</w:t>
      </w:r>
      <w:r w:rsidRPr="00EE1964">
        <w:t>.</w:t>
      </w:r>
      <w:r w:rsidR="007F102D">
        <w:t xml:space="preserve"> He also alleged that he had not been able to obtain copies of documents </w:t>
      </w:r>
      <w:r w:rsidR="00A745F2">
        <w:t>to substantiate his application.</w:t>
      </w:r>
    </w:p>
    <w:p w:rsidRPr="00E40B66" w:rsidR="003A64D3" w:rsidP="00E40B66" w:rsidRDefault="00EE1964">
      <w:pPr>
        <w:pStyle w:val="JuPara"/>
        <w:rPr>
          <w:szCs w:val="22"/>
        </w:rPr>
      </w:pPr>
      <w:r w:rsidRPr="00EE1964">
        <w:fldChar w:fldCharType="begin"/>
      </w:r>
      <w:r w:rsidRPr="00EE1964">
        <w:instrText xml:space="preserve"> SEQ level0 \*arabic </w:instrText>
      </w:r>
      <w:r w:rsidRPr="00EE1964">
        <w:fldChar w:fldCharType="separate"/>
      </w:r>
      <w:r w:rsidR="00D01D1E">
        <w:rPr>
          <w:noProof/>
        </w:rPr>
        <w:t>4</w:t>
      </w:r>
      <w:r w:rsidRPr="00EE1964">
        <w:fldChar w:fldCharType="end"/>
      </w:r>
      <w:r w:rsidRPr="00EE1964" w:rsidR="00F71A6A">
        <w:t>.  </w:t>
      </w:r>
      <w:r w:rsidR="001C1EEE">
        <w:t xml:space="preserve">On 11 </w:t>
      </w:r>
      <w:r w:rsidRPr="00EE1964" w:rsidR="00C3297F">
        <w:t>January 2011</w:t>
      </w:r>
      <w:r w:rsidR="00C3297F">
        <w:t xml:space="preserve"> notice of the application was given to the Government. On 22 June 2011</w:t>
      </w:r>
      <w:r w:rsidRPr="00077C92" w:rsidR="00C3297F">
        <w:t xml:space="preserve"> </w:t>
      </w:r>
      <w:r w:rsidR="00C3297F">
        <w:t xml:space="preserve">the Court invited the Government to submit </w:t>
      </w:r>
      <w:r w:rsidRPr="00077C92" w:rsidR="00C3297F">
        <w:t>observations on the admissibility and merits of the application</w:t>
      </w:r>
      <w:r w:rsidRPr="00EE1964">
        <w:t>.</w:t>
      </w:r>
    </w:p>
    <w:p w:rsidRPr="00301977" w:rsidR="00E40B66" w:rsidP="00E40B66" w:rsidRDefault="00E40B66">
      <w:pPr>
        <w:pStyle w:val="JuPara"/>
        <w:rPr>
          <w:color w:val="000000"/>
        </w:rPr>
      </w:pPr>
      <w:r w:rsidRPr="00301977">
        <w:rPr>
          <w:color w:val="000000"/>
        </w:rPr>
        <w:fldChar w:fldCharType="begin"/>
      </w:r>
      <w:r w:rsidRPr="00301977">
        <w:rPr>
          <w:color w:val="000000"/>
        </w:rPr>
        <w:instrText xml:space="preserve"> SEQ level0 \*arabic </w:instrText>
      </w:r>
      <w:r w:rsidRPr="00301977">
        <w:rPr>
          <w:color w:val="000000"/>
        </w:rPr>
        <w:fldChar w:fldCharType="separate"/>
      </w:r>
      <w:r w:rsidR="00D01D1E">
        <w:rPr>
          <w:noProof/>
          <w:color w:val="000000"/>
        </w:rPr>
        <w:t>5</w:t>
      </w:r>
      <w:r w:rsidRPr="00301977">
        <w:rPr>
          <w:color w:val="000000"/>
        </w:rPr>
        <w:fldChar w:fldCharType="end"/>
      </w:r>
      <w:r w:rsidRPr="00301977">
        <w:rPr>
          <w:color w:val="000000"/>
        </w:rPr>
        <w:t>.  Having examined the applicant</w:t>
      </w:r>
      <w:r w:rsidR="00D01D1E">
        <w:rPr>
          <w:color w:val="000000"/>
        </w:rPr>
        <w:t>’</w:t>
      </w:r>
      <w:r w:rsidRPr="00301977">
        <w:rPr>
          <w:color w:val="000000"/>
        </w:rPr>
        <w:t>s request for a hearing, t</w:t>
      </w:r>
      <w:r w:rsidRPr="00301977">
        <w:t>he Chamber decided, under Rule 54 § 3 of the Rules of Court, that no hearing was required in the case.</w:t>
      </w:r>
    </w:p>
    <w:p w:rsidRPr="00EE1964" w:rsidR="00F71A6A" w:rsidP="008824B9" w:rsidRDefault="00F71A6A">
      <w:pPr>
        <w:pStyle w:val="JuHHead"/>
      </w:pPr>
      <w:r w:rsidRPr="00EE1964">
        <w:t>THE FACTS</w:t>
      </w:r>
    </w:p>
    <w:p w:rsidRPr="00EE1964" w:rsidR="00D353F4" w:rsidP="008824B9" w:rsidRDefault="007352DD">
      <w:pPr>
        <w:pStyle w:val="JuHIRoman"/>
        <w:outlineLvl w:val="0"/>
      </w:pPr>
      <w:r w:rsidRPr="00EE1964">
        <w:t xml:space="preserve">I.  THE CIRCUMSTANCES OF THE </w:t>
      </w:r>
      <w:r w:rsidRPr="00EE1964" w:rsidR="00D353F4">
        <w:t>CASE</w:t>
      </w:r>
    </w:p>
    <w:p w:rsidRPr="00EE1964" w:rsidR="00F71A6A" w:rsidP="002F4BCF" w:rsidRDefault="00EE1964">
      <w:pPr>
        <w:pStyle w:val="JuPara"/>
      </w:pPr>
      <w:r w:rsidRPr="00EE1964">
        <w:fldChar w:fldCharType="begin"/>
      </w:r>
      <w:r w:rsidRPr="00EE1964">
        <w:instrText xml:space="preserve"> SEQ level0 \*arabic </w:instrText>
      </w:r>
      <w:r w:rsidRPr="00EE1964">
        <w:fldChar w:fldCharType="separate"/>
      </w:r>
      <w:r w:rsidR="00D01D1E">
        <w:rPr>
          <w:noProof/>
        </w:rPr>
        <w:t>6</w:t>
      </w:r>
      <w:r w:rsidRPr="00EE1964">
        <w:fldChar w:fldCharType="end"/>
      </w:r>
      <w:r w:rsidRPr="00EE1964" w:rsidR="00F71A6A">
        <w:t xml:space="preserve">.  The </w:t>
      </w:r>
      <w:r w:rsidRPr="00EE1964">
        <w:t xml:space="preserve">applicant was born in </w:t>
      </w:r>
      <w:r w:rsidR="00997AB3">
        <w:t>1956</w:t>
      </w:r>
      <w:r w:rsidRPr="00EE1964">
        <w:t xml:space="preserve"> and </w:t>
      </w:r>
      <w:r w:rsidR="00997AB3">
        <w:t>is currently serving a prison sentence in Dnipropetrovsk Correctional Colony (“the prison”)</w:t>
      </w:r>
      <w:r w:rsidRPr="00EE1964" w:rsidR="00F71A6A">
        <w:t>.</w:t>
      </w:r>
    </w:p>
    <w:p w:rsidRPr="00920245" w:rsidR="00A92223" w:rsidP="00A92223" w:rsidRDefault="00A92223">
      <w:pPr>
        <w:pStyle w:val="JuHA"/>
      </w:pPr>
      <w:r>
        <w:t>A</w:t>
      </w:r>
      <w:r w:rsidRPr="00920245">
        <w:t xml:space="preserve">.  The </w:t>
      </w:r>
      <w:r>
        <w:t>applicant</w:t>
      </w:r>
      <w:r w:rsidR="00D01D1E">
        <w:t>’</w:t>
      </w:r>
      <w:r>
        <w:t>s criminal prosecution</w:t>
      </w:r>
    </w:p>
    <w:p w:rsidR="00A431CD" w:rsidP="00A431CD" w:rsidRDefault="00AC7D5C">
      <w:pPr>
        <w:pStyle w:val="JuPara"/>
      </w:pPr>
      <w:r>
        <w:fldChar w:fldCharType="begin"/>
      </w:r>
      <w:r>
        <w:instrText xml:space="preserve"> SEQ level0 \*arabic </w:instrText>
      </w:r>
      <w:r>
        <w:fldChar w:fldCharType="separate"/>
      </w:r>
      <w:r w:rsidR="00D01D1E">
        <w:rPr>
          <w:noProof/>
        </w:rPr>
        <w:t>7</w:t>
      </w:r>
      <w:r>
        <w:fldChar w:fldCharType="end"/>
      </w:r>
      <w:r>
        <w:t>.  </w:t>
      </w:r>
      <w:r w:rsidR="00A431CD">
        <w:t xml:space="preserve">On 21 January 2000 the applicant was arrested by the police on suspicion of </w:t>
      </w:r>
      <w:r w:rsidR="0044296C">
        <w:t xml:space="preserve">the </w:t>
      </w:r>
      <w:r w:rsidR="00563596">
        <w:t xml:space="preserve">premeditated </w:t>
      </w:r>
      <w:r w:rsidR="00A431CD">
        <w:t>murder</w:t>
      </w:r>
      <w:r w:rsidR="0082060E">
        <w:t xml:space="preserve"> of two people in </w:t>
      </w:r>
      <w:r w:rsidR="00D46333">
        <w:t xml:space="preserve">October </w:t>
      </w:r>
      <w:r w:rsidR="0082060E">
        <w:t>1999</w:t>
      </w:r>
      <w:r w:rsidR="00A431CD">
        <w:t>. According to the applicant, in the course of his arrest he was severely beaten by unspecified police officers. The applicant was not examined by a doctor.</w:t>
      </w:r>
    </w:p>
    <w:p w:rsidR="00A431CD" w:rsidP="00A431CD" w:rsidRDefault="00AC7D5C">
      <w:pPr>
        <w:pStyle w:val="JuPara"/>
      </w:pPr>
      <w:r>
        <w:fldChar w:fldCharType="begin"/>
      </w:r>
      <w:r>
        <w:instrText xml:space="preserve"> SEQ level0 \*arabic </w:instrText>
      </w:r>
      <w:r>
        <w:fldChar w:fldCharType="separate"/>
      </w:r>
      <w:r w:rsidR="00D01D1E">
        <w:rPr>
          <w:noProof/>
        </w:rPr>
        <w:t>8</w:t>
      </w:r>
      <w:r>
        <w:fldChar w:fldCharType="end"/>
      </w:r>
      <w:r>
        <w:t>.  </w:t>
      </w:r>
      <w:r w:rsidR="00563596">
        <w:t>The applicant also submitted that d</w:t>
      </w:r>
      <w:r w:rsidR="00A431CD">
        <w:t xml:space="preserve">uring his questioning at the police station </w:t>
      </w:r>
      <w:r w:rsidR="00563596">
        <w:t xml:space="preserve">he had been </w:t>
      </w:r>
      <w:r w:rsidR="00A431CD">
        <w:t>subj</w:t>
      </w:r>
      <w:r w:rsidR="00563596">
        <w:t xml:space="preserve">ected to psychological pressure, which had included </w:t>
      </w:r>
      <w:r w:rsidR="00A431CD">
        <w:t>threats to his close family members</w:t>
      </w:r>
      <w:r w:rsidR="00D01D1E">
        <w:t>’</w:t>
      </w:r>
      <w:r w:rsidR="00A431CD">
        <w:t xml:space="preserve"> life and health. As a result of the ill</w:t>
      </w:r>
      <w:r w:rsidR="00B6165A">
        <w:noBreakHyphen/>
      </w:r>
      <w:r w:rsidR="00A431CD">
        <w:t xml:space="preserve">treatment he </w:t>
      </w:r>
      <w:r w:rsidR="00563596">
        <w:t xml:space="preserve">allegedly </w:t>
      </w:r>
      <w:r w:rsidR="00A431CD">
        <w:t xml:space="preserve">confessed to </w:t>
      </w:r>
      <w:r w:rsidR="00563596">
        <w:t xml:space="preserve">having committed </w:t>
      </w:r>
      <w:r w:rsidR="00A431CD">
        <w:t xml:space="preserve">the </w:t>
      </w:r>
      <w:r w:rsidR="00563596">
        <w:t>murder</w:t>
      </w:r>
      <w:r w:rsidR="0044296C">
        <w:t>s</w:t>
      </w:r>
      <w:r w:rsidR="00A431CD">
        <w:t>. The applicant</w:t>
      </w:r>
      <w:r w:rsidR="00EE1EB1">
        <w:t xml:space="preserve"> stated that he had not had </w:t>
      </w:r>
      <w:r w:rsidR="00A431CD">
        <w:t xml:space="preserve">access to </w:t>
      </w:r>
      <w:r w:rsidR="00BC6C64">
        <w:t>legal assistance</w:t>
      </w:r>
      <w:r w:rsidR="00A431CD">
        <w:t xml:space="preserve"> during his police questioning.</w:t>
      </w:r>
      <w:r w:rsidR="00545415">
        <w:t xml:space="preserve"> The applicant also stated that he had been drunk during that questioning.</w:t>
      </w:r>
    </w:p>
    <w:p w:rsidR="00EE1EB1" w:rsidP="00A431CD" w:rsidRDefault="00AC7D5C">
      <w:pPr>
        <w:pStyle w:val="JuPara"/>
      </w:pPr>
      <w:r>
        <w:fldChar w:fldCharType="begin"/>
      </w:r>
      <w:r>
        <w:instrText xml:space="preserve"> SEQ level0 \*arabic </w:instrText>
      </w:r>
      <w:r>
        <w:fldChar w:fldCharType="separate"/>
      </w:r>
      <w:r w:rsidR="00D01D1E">
        <w:rPr>
          <w:noProof/>
        </w:rPr>
        <w:t>9</w:t>
      </w:r>
      <w:r>
        <w:fldChar w:fldCharType="end"/>
      </w:r>
      <w:r>
        <w:t>.  </w:t>
      </w:r>
      <w:r w:rsidR="00727CAB">
        <w:t>T</w:t>
      </w:r>
      <w:r w:rsidR="00EE1EB1">
        <w:t>he Government</w:t>
      </w:r>
      <w:r w:rsidR="00727CAB">
        <w:t xml:space="preserve"> contested the applicant</w:t>
      </w:r>
      <w:r w:rsidR="00D01D1E">
        <w:t>’</w:t>
      </w:r>
      <w:r w:rsidR="00727CAB">
        <w:t>s allegations</w:t>
      </w:r>
      <w:r w:rsidR="00EE1EB1">
        <w:t xml:space="preserve">, </w:t>
      </w:r>
      <w:r w:rsidR="00727CAB">
        <w:t xml:space="preserve">stating that he had not been </w:t>
      </w:r>
      <w:r w:rsidR="00EE1EB1">
        <w:t xml:space="preserve">subjected to the alleged ill-treatment and </w:t>
      </w:r>
      <w:r w:rsidR="004403C6">
        <w:t xml:space="preserve">that he had been </w:t>
      </w:r>
      <w:r w:rsidR="00EE1EB1">
        <w:t xml:space="preserve">questioned by the police in the presence of a lawyer, Ms P., who </w:t>
      </w:r>
      <w:r w:rsidR="00F40F3B">
        <w:t xml:space="preserve">had been </w:t>
      </w:r>
      <w:r w:rsidR="00EE1EB1">
        <w:t>called by the police to assist the applicant</w:t>
      </w:r>
      <w:r w:rsidR="00895C2C">
        <w:t xml:space="preserve"> at his own request</w:t>
      </w:r>
      <w:r w:rsidR="00EE1EB1">
        <w:t>.</w:t>
      </w:r>
      <w:r w:rsidR="0082060E">
        <w:t xml:space="preserve"> The Government submitted a copy of the verbatim record of the applicant</w:t>
      </w:r>
      <w:r w:rsidR="00D01D1E">
        <w:t>’</w:t>
      </w:r>
      <w:r w:rsidR="0082060E">
        <w:t>s questioning</w:t>
      </w:r>
      <w:r w:rsidR="001C022C">
        <w:t xml:space="preserve"> on 21</w:t>
      </w:r>
      <w:r w:rsidR="008E02F2">
        <w:t xml:space="preserve"> </w:t>
      </w:r>
      <w:r w:rsidR="001C022C">
        <w:t xml:space="preserve">January 2000, in which it was stated that Ms P. </w:t>
      </w:r>
      <w:r w:rsidR="00F40F3B">
        <w:t xml:space="preserve">had taken </w:t>
      </w:r>
      <w:r w:rsidR="001C022C">
        <w:t>part in the questioning and that the applicant</w:t>
      </w:r>
      <w:r w:rsidR="00D85723">
        <w:t xml:space="preserve"> </w:t>
      </w:r>
      <w:r w:rsidR="00F40F3B">
        <w:t xml:space="preserve">had </w:t>
      </w:r>
      <w:r w:rsidR="00D85723">
        <w:t xml:space="preserve">confessed </w:t>
      </w:r>
      <w:r w:rsidR="00F40F3B">
        <w:t xml:space="preserve">to </w:t>
      </w:r>
      <w:r w:rsidR="00D85723">
        <w:t xml:space="preserve">having </w:t>
      </w:r>
      <w:r w:rsidR="00F40F3B">
        <w:t xml:space="preserve">murdered </w:t>
      </w:r>
      <w:r w:rsidR="00D63326">
        <w:t xml:space="preserve">two people </w:t>
      </w:r>
      <w:r w:rsidR="00D85723">
        <w:t xml:space="preserve">and </w:t>
      </w:r>
      <w:r w:rsidR="00F40F3B">
        <w:t xml:space="preserve">robbed </w:t>
      </w:r>
      <w:r w:rsidR="00D63326">
        <w:t>a third one</w:t>
      </w:r>
      <w:r w:rsidR="00FB06F4">
        <w:t>, Ms T</w:t>
      </w:r>
      <w:r w:rsidR="00D85723">
        <w:t>.</w:t>
      </w:r>
    </w:p>
    <w:p w:rsidR="00A431CD" w:rsidP="00A431CD" w:rsidRDefault="00AC7D5C">
      <w:pPr>
        <w:pStyle w:val="JuPara"/>
        <w:rPr>
          <w:lang w:val="en-US"/>
        </w:rPr>
      </w:pPr>
      <w:r>
        <w:fldChar w:fldCharType="begin"/>
      </w:r>
      <w:r>
        <w:instrText xml:space="preserve"> SEQ level0 \*arabic </w:instrText>
      </w:r>
      <w:r>
        <w:fldChar w:fldCharType="separate"/>
      </w:r>
      <w:r w:rsidR="00D01D1E">
        <w:rPr>
          <w:noProof/>
        </w:rPr>
        <w:t>10</w:t>
      </w:r>
      <w:r>
        <w:fldChar w:fldCharType="end"/>
      </w:r>
      <w:r>
        <w:t>.  </w:t>
      </w:r>
      <w:r w:rsidR="00D85723">
        <w:t xml:space="preserve">On 22 January 2000 </w:t>
      </w:r>
      <w:r w:rsidR="00A431CD">
        <w:t xml:space="preserve">the applicant was taken to Odessa Police </w:t>
      </w:r>
      <w:r w:rsidRPr="00B3556E" w:rsidR="00A431CD">
        <w:t xml:space="preserve">Temporary Detention </w:t>
      </w:r>
      <w:r w:rsidR="00A431CD">
        <w:t xml:space="preserve">Centre </w:t>
      </w:r>
      <w:r w:rsidRPr="00B3556E" w:rsidR="00A431CD">
        <w:t>(“the ITT”</w:t>
      </w:r>
      <w:r w:rsidRPr="00B3556E" w:rsidR="00A431CD">
        <w:rPr>
          <w:lang w:val="uk-UA"/>
        </w:rPr>
        <w:t>)</w:t>
      </w:r>
      <w:r w:rsidR="00A431CD">
        <w:rPr>
          <w:lang w:val="en-US"/>
        </w:rPr>
        <w:t xml:space="preserve">, </w:t>
      </w:r>
      <w:r w:rsidR="00667C46">
        <w:rPr>
          <w:lang w:val="en-US"/>
        </w:rPr>
        <w:t>where, according to him,</w:t>
      </w:r>
      <w:r w:rsidR="00A431CD">
        <w:rPr>
          <w:lang w:val="en-US"/>
        </w:rPr>
        <w:t xml:space="preserve"> the conditions of </w:t>
      </w:r>
      <w:r w:rsidR="00F40F3B">
        <w:rPr>
          <w:lang w:val="en-US"/>
        </w:rPr>
        <w:t xml:space="preserve">his </w:t>
      </w:r>
      <w:r w:rsidR="00A431CD">
        <w:rPr>
          <w:lang w:val="en-US"/>
        </w:rPr>
        <w:t xml:space="preserve">detention </w:t>
      </w:r>
      <w:r w:rsidR="00F40F3B">
        <w:rPr>
          <w:lang w:val="en-US"/>
        </w:rPr>
        <w:t>had been</w:t>
      </w:r>
      <w:r w:rsidR="00A431CD">
        <w:rPr>
          <w:lang w:val="en-US"/>
        </w:rPr>
        <w:t xml:space="preserve"> inhuman and degrading. The applicant also allege</w:t>
      </w:r>
      <w:r w:rsidR="00030A78">
        <w:rPr>
          <w:lang w:val="en-US"/>
        </w:rPr>
        <w:t>d</w:t>
      </w:r>
      <w:r w:rsidR="00A431CD">
        <w:rPr>
          <w:lang w:val="en-US"/>
        </w:rPr>
        <w:t xml:space="preserve">, in general terms, that he </w:t>
      </w:r>
      <w:r w:rsidR="00030A78">
        <w:rPr>
          <w:lang w:val="en-US"/>
        </w:rPr>
        <w:t>had been</w:t>
      </w:r>
      <w:r w:rsidR="00A431CD">
        <w:rPr>
          <w:lang w:val="en-US"/>
        </w:rPr>
        <w:t xml:space="preserve"> beaten up during his detention in the ITT.</w:t>
      </w:r>
    </w:p>
    <w:p w:rsidR="00A431CD" w:rsidP="00A431CD" w:rsidRDefault="00AC7D5C">
      <w:pPr>
        <w:pStyle w:val="JuPara"/>
      </w:pPr>
      <w:r>
        <w:rPr>
          <w:lang w:val="en-US"/>
        </w:rPr>
        <w:fldChar w:fldCharType="begin"/>
      </w:r>
      <w:r>
        <w:rPr>
          <w:lang w:val="en-US"/>
        </w:rPr>
        <w:instrText xml:space="preserve"> SEQ level0 \*arabic </w:instrText>
      </w:r>
      <w:r>
        <w:rPr>
          <w:lang w:val="en-US"/>
        </w:rPr>
        <w:fldChar w:fldCharType="separate"/>
      </w:r>
      <w:r w:rsidR="00D01D1E">
        <w:rPr>
          <w:noProof/>
          <w:lang w:val="en-US"/>
        </w:rPr>
        <w:t>11</w:t>
      </w:r>
      <w:r>
        <w:rPr>
          <w:lang w:val="en-US"/>
        </w:rPr>
        <w:fldChar w:fldCharType="end"/>
      </w:r>
      <w:r>
        <w:rPr>
          <w:lang w:val="en-US"/>
        </w:rPr>
        <w:t>.  </w:t>
      </w:r>
      <w:r w:rsidR="00A431CD">
        <w:rPr>
          <w:lang w:val="en-US"/>
        </w:rPr>
        <w:t>On 9 February 2000 the applicant was transferred to Odessa Pre</w:t>
      </w:r>
      <w:r w:rsidR="00B6165A">
        <w:rPr>
          <w:lang w:val="en-US"/>
        </w:rPr>
        <w:noBreakHyphen/>
      </w:r>
      <w:r w:rsidR="00A431CD">
        <w:rPr>
          <w:lang w:val="en-US"/>
        </w:rPr>
        <w:t>Trial Detention Centre</w:t>
      </w:r>
      <w:r w:rsidRPr="001C09D3" w:rsidR="00A431CD">
        <w:rPr>
          <w:szCs w:val="24"/>
        </w:rPr>
        <w:t xml:space="preserve"> </w:t>
      </w:r>
      <w:r w:rsidR="00A431CD">
        <w:rPr>
          <w:szCs w:val="24"/>
        </w:rPr>
        <w:t xml:space="preserve">(“the </w:t>
      </w:r>
      <w:r w:rsidR="00A431CD">
        <w:t xml:space="preserve">SIZO”), </w:t>
      </w:r>
      <w:r w:rsidR="00667C46">
        <w:t>where</w:t>
      </w:r>
      <w:r w:rsidR="00A431CD">
        <w:t xml:space="preserve"> he </w:t>
      </w:r>
      <w:r w:rsidR="006D097D">
        <w:t xml:space="preserve">allegedly </w:t>
      </w:r>
      <w:r w:rsidR="00A431CD">
        <w:t>continued to be subjected to inhuman conditions of detention.</w:t>
      </w:r>
    </w:p>
    <w:p w:rsidR="000B1C37" w:rsidP="00A431CD" w:rsidRDefault="00AC7D5C">
      <w:pPr>
        <w:pStyle w:val="JuPara"/>
      </w:pPr>
      <w:r>
        <w:fldChar w:fldCharType="begin"/>
      </w:r>
      <w:r>
        <w:instrText xml:space="preserve"> SEQ level0 \*arabic </w:instrText>
      </w:r>
      <w:r>
        <w:fldChar w:fldCharType="separate"/>
      </w:r>
      <w:r w:rsidR="00D01D1E">
        <w:rPr>
          <w:noProof/>
        </w:rPr>
        <w:t>12</w:t>
      </w:r>
      <w:r>
        <w:fldChar w:fldCharType="end"/>
      </w:r>
      <w:r>
        <w:t>.  </w:t>
      </w:r>
      <w:r w:rsidR="000B1C37">
        <w:t>The Government contested the trustworthiness of the applicant</w:t>
      </w:r>
      <w:r w:rsidR="00D01D1E">
        <w:t>’</w:t>
      </w:r>
      <w:r w:rsidR="000B1C37">
        <w:t>s allegation</w:t>
      </w:r>
      <w:r w:rsidR="007A1617">
        <w:t>s of ill-treatment in detention and noted that they were not supported by any evidence.</w:t>
      </w:r>
    </w:p>
    <w:p w:rsidR="00B95CFA" w:rsidP="00B95CFA" w:rsidRDefault="00AC7D5C">
      <w:pPr>
        <w:pStyle w:val="JuPara"/>
      </w:pPr>
      <w:r>
        <w:fldChar w:fldCharType="begin"/>
      </w:r>
      <w:r>
        <w:instrText xml:space="preserve"> SEQ level0 \*arabic </w:instrText>
      </w:r>
      <w:r>
        <w:fldChar w:fldCharType="separate"/>
      </w:r>
      <w:r w:rsidR="00D01D1E">
        <w:rPr>
          <w:noProof/>
        </w:rPr>
        <w:t>13</w:t>
      </w:r>
      <w:r>
        <w:fldChar w:fldCharType="end"/>
      </w:r>
      <w:r>
        <w:t>.  </w:t>
      </w:r>
      <w:r w:rsidR="00FB06F4">
        <w:t xml:space="preserve">In February 2000 the applicant was also charged with </w:t>
      </w:r>
      <w:r w:rsidR="00F40F3B">
        <w:t xml:space="preserve">the </w:t>
      </w:r>
      <w:r w:rsidR="00FB06F4">
        <w:t xml:space="preserve">murder of </w:t>
      </w:r>
      <w:r w:rsidR="00542F31">
        <w:t>Ms T.</w:t>
      </w:r>
    </w:p>
    <w:p w:rsidR="009A5840" w:rsidP="00A431CD" w:rsidRDefault="00AC7D5C">
      <w:pPr>
        <w:pStyle w:val="JuPara"/>
      </w:pPr>
      <w:r>
        <w:fldChar w:fldCharType="begin"/>
      </w:r>
      <w:r>
        <w:instrText xml:space="preserve"> SEQ level0 \*arabic </w:instrText>
      </w:r>
      <w:r>
        <w:fldChar w:fldCharType="separate"/>
      </w:r>
      <w:r w:rsidR="00D01D1E">
        <w:rPr>
          <w:noProof/>
        </w:rPr>
        <w:t>14</w:t>
      </w:r>
      <w:r>
        <w:fldChar w:fldCharType="end"/>
      </w:r>
      <w:r>
        <w:t>.  </w:t>
      </w:r>
      <w:r w:rsidR="009A5840">
        <w:t xml:space="preserve">During his subsequent </w:t>
      </w:r>
      <w:r w:rsidR="00004EB2">
        <w:t xml:space="preserve">pre-trial </w:t>
      </w:r>
      <w:r w:rsidR="009A5840">
        <w:t>questioning, the applicant made</w:t>
      </w:r>
      <w:r w:rsidR="00B95CFA">
        <w:t xml:space="preserve"> </w:t>
      </w:r>
      <w:r w:rsidR="009A5840">
        <w:t>conflicting statements concerning his involvement in the crimes of which he was accused</w:t>
      </w:r>
      <w:r w:rsidR="00542F31">
        <w:t xml:space="preserve">, in some </w:t>
      </w:r>
      <w:r w:rsidR="00004EB2">
        <w:t>cases retracting</w:t>
      </w:r>
      <w:r w:rsidR="00542F31">
        <w:t xml:space="preserve"> his earlier statements</w:t>
      </w:r>
      <w:r w:rsidR="009A5840">
        <w:t>.</w:t>
      </w:r>
      <w:r w:rsidRPr="00B95CFA" w:rsidR="00B95CFA">
        <w:t xml:space="preserve"> </w:t>
      </w:r>
      <w:r w:rsidR="00B95CFA">
        <w:t>The applicant was legally repr</w:t>
      </w:r>
      <w:r w:rsidR="005319A5">
        <w:t>esented during the questioning.</w:t>
      </w:r>
    </w:p>
    <w:p w:rsidR="009F157A" w:rsidP="00A431CD" w:rsidRDefault="00AC7D5C">
      <w:pPr>
        <w:pStyle w:val="JuPara"/>
      </w:pPr>
      <w:r>
        <w:fldChar w:fldCharType="begin"/>
      </w:r>
      <w:r>
        <w:instrText xml:space="preserve"> SEQ level0 \*arabic </w:instrText>
      </w:r>
      <w:r>
        <w:fldChar w:fldCharType="separate"/>
      </w:r>
      <w:r w:rsidR="00D01D1E">
        <w:rPr>
          <w:noProof/>
        </w:rPr>
        <w:t>15</w:t>
      </w:r>
      <w:r>
        <w:fldChar w:fldCharType="end"/>
      </w:r>
      <w:r>
        <w:t>.  </w:t>
      </w:r>
      <w:r w:rsidR="009F157A">
        <w:t>The investigation was completed in June 2000</w:t>
      </w:r>
      <w:r w:rsidR="00004EB2">
        <w:t>,</w:t>
      </w:r>
      <w:r w:rsidR="009F157A">
        <w:t xml:space="preserve"> with the applicant</w:t>
      </w:r>
      <w:r w:rsidR="00795291">
        <w:t xml:space="preserve"> and several other </w:t>
      </w:r>
      <w:r w:rsidR="002B5C48">
        <w:t xml:space="preserve">persons </w:t>
      </w:r>
      <w:r w:rsidR="00004EB2">
        <w:t>being</w:t>
      </w:r>
      <w:r w:rsidR="009F157A">
        <w:t xml:space="preserve"> charged with </w:t>
      </w:r>
      <w:r w:rsidR="00BB7E47">
        <w:t xml:space="preserve">a number of </w:t>
      </w:r>
      <w:r w:rsidR="00556D6E">
        <w:t xml:space="preserve">counts of aggravated murder, </w:t>
      </w:r>
      <w:r w:rsidR="007126C5">
        <w:t xml:space="preserve">robbery, </w:t>
      </w:r>
      <w:r w:rsidR="00E87AEA">
        <w:t>banditry</w:t>
      </w:r>
      <w:r w:rsidR="007126C5">
        <w:t xml:space="preserve"> a</w:t>
      </w:r>
      <w:r w:rsidR="001C1EEE">
        <w:t>nd unlawful possession of arms.</w:t>
      </w:r>
    </w:p>
    <w:p w:rsidR="00064564" w:rsidP="00A431CD" w:rsidRDefault="00AC7D5C">
      <w:pPr>
        <w:pStyle w:val="JuPara"/>
      </w:pPr>
      <w:r>
        <w:fldChar w:fldCharType="begin"/>
      </w:r>
      <w:r>
        <w:instrText xml:space="preserve"> SEQ level0 \*arabic </w:instrText>
      </w:r>
      <w:r>
        <w:fldChar w:fldCharType="separate"/>
      </w:r>
      <w:r w:rsidR="00D01D1E">
        <w:rPr>
          <w:noProof/>
        </w:rPr>
        <w:t>16</w:t>
      </w:r>
      <w:r>
        <w:fldChar w:fldCharType="end"/>
      </w:r>
      <w:r>
        <w:t>.  </w:t>
      </w:r>
      <w:r w:rsidR="005319A5">
        <w:t xml:space="preserve">In the course of the </w:t>
      </w:r>
      <w:r w:rsidR="00BE76F3">
        <w:t>investigation</w:t>
      </w:r>
      <w:r w:rsidR="00004EB2">
        <w:t>,</w:t>
      </w:r>
      <w:r w:rsidR="005319A5">
        <w:t xml:space="preserve"> the applicant </w:t>
      </w:r>
      <w:r w:rsidR="00004EB2">
        <w:t>changed</w:t>
      </w:r>
      <w:r w:rsidR="005319A5">
        <w:t xml:space="preserve"> </w:t>
      </w:r>
      <w:r w:rsidR="00004EB2">
        <w:t xml:space="preserve">his </w:t>
      </w:r>
      <w:r w:rsidR="005319A5">
        <w:t>law</w:t>
      </w:r>
      <w:r w:rsidR="00977D65">
        <w:t xml:space="preserve">yer </w:t>
      </w:r>
      <w:r w:rsidR="00004EB2">
        <w:t>several times</w:t>
      </w:r>
      <w:r w:rsidR="005319A5">
        <w:t>. During the trial the applicant was represented by Mr K., a lawyer</w:t>
      </w:r>
      <w:r w:rsidR="00FB62EF">
        <w:t xml:space="preserve"> who, according to the Government, was </w:t>
      </w:r>
      <w:r w:rsidR="005319A5">
        <w:t>hired by the applicant</w:t>
      </w:r>
      <w:r w:rsidR="00D01D1E">
        <w:t>’</w:t>
      </w:r>
      <w:r w:rsidR="005319A5">
        <w:t xml:space="preserve">s wife. </w:t>
      </w:r>
      <w:r w:rsidR="00064564">
        <w:t xml:space="preserve">The applicant did not give details </w:t>
      </w:r>
      <w:r w:rsidR="008C4A23">
        <w:t>of</w:t>
      </w:r>
      <w:r w:rsidR="00004EB2">
        <w:t xml:space="preserve"> </w:t>
      </w:r>
      <w:r w:rsidR="00D25141">
        <w:t xml:space="preserve">how </w:t>
      </w:r>
      <w:r w:rsidR="00064564">
        <w:t>that lawyer</w:t>
      </w:r>
      <w:r w:rsidR="00D25141">
        <w:t xml:space="preserve"> </w:t>
      </w:r>
      <w:r w:rsidR="00CB43B9">
        <w:t xml:space="preserve">had been </w:t>
      </w:r>
      <w:r w:rsidR="00D25141">
        <w:t xml:space="preserve">appointed to </w:t>
      </w:r>
      <w:r w:rsidR="008C4A23">
        <w:t xml:space="preserve">represent </w:t>
      </w:r>
      <w:r w:rsidR="00D25141">
        <w:t>him</w:t>
      </w:r>
      <w:r w:rsidR="00064564">
        <w:t>.</w:t>
      </w:r>
    </w:p>
    <w:p w:rsidR="005319A5" w:rsidP="00A431CD" w:rsidRDefault="00AC7D5C">
      <w:pPr>
        <w:pStyle w:val="JuPara"/>
      </w:pPr>
      <w:r>
        <w:fldChar w:fldCharType="begin"/>
      </w:r>
      <w:r>
        <w:instrText xml:space="preserve"> SEQ level0 \*arabic </w:instrText>
      </w:r>
      <w:r>
        <w:fldChar w:fldCharType="separate"/>
      </w:r>
      <w:r w:rsidR="00D01D1E">
        <w:rPr>
          <w:noProof/>
        </w:rPr>
        <w:t>17</w:t>
      </w:r>
      <w:r>
        <w:fldChar w:fldCharType="end"/>
      </w:r>
      <w:r>
        <w:t>.  </w:t>
      </w:r>
      <w:r w:rsidR="00E95AF9">
        <w:t xml:space="preserve">Although the applicant </w:t>
      </w:r>
      <w:r w:rsidR="008C4A23">
        <w:t xml:space="preserve">sought to have </w:t>
      </w:r>
      <w:r w:rsidR="005319A5">
        <w:rPr>
          <w:lang w:val="en-US"/>
        </w:rPr>
        <w:t xml:space="preserve">his wife </w:t>
      </w:r>
      <w:r w:rsidR="00E95AF9">
        <w:rPr>
          <w:lang w:val="en-US"/>
        </w:rPr>
        <w:t xml:space="preserve">defend him in the proceedings, she </w:t>
      </w:r>
      <w:r w:rsidR="005319A5">
        <w:rPr>
          <w:lang w:val="en-US"/>
        </w:rPr>
        <w:t xml:space="preserve">was not allowed to </w:t>
      </w:r>
      <w:r w:rsidR="00E95AF9">
        <w:rPr>
          <w:lang w:val="en-US"/>
        </w:rPr>
        <w:t>do so</w:t>
      </w:r>
      <w:r w:rsidR="005319A5">
        <w:rPr>
          <w:lang w:val="en-US"/>
        </w:rPr>
        <w:t>, as she had been questioned as a witness in the case.</w:t>
      </w:r>
    </w:p>
    <w:p w:rsidRPr="00777EC6" w:rsidR="00A431CD" w:rsidP="00A431CD" w:rsidRDefault="00AC7D5C">
      <w:pPr>
        <w:pStyle w:val="JuPara"/>
        <w:rPr>
          <w:lang w:val="en-US"/>
        </w:rPr>
      </w:pPr>
      <w:r>
        <w:rPr>
          <w:lang w:val="en-US"/>
        </w:rPr>
        <w:fldChar w:fldCharType="begin"/>
      </w:r>
      <w:r>
        <w:rPr>
          <w:lang w:val="en-US"/>
        </w:rPr>
        <w:instrText xml:space="preserve"> SEQ level0 \*arabic </w:instrText>
      </w:r>
      <w:r>
        <w:rPr>
          <w:lang w:val="en-US"/>
        </w:rPr>
        <w:fldChar w:fldCharType="separate"/>
      </w:r>
      <w:r w:rsidR="00D01D1E">
        <w:rPr>
          <w:noProof/>
          <w:lang w:val="en-US"/>
        </w:rPr>
        <w:t>18</w:t>
      </w:r>
      <w:r>
        <w:rPr>
          <w:lang w:val="en-US"/>
        </w:rPr>
        <w:fldChar w:fldCharType="end"/>
      </w:r>
      <w:r>
        <w:rPr>
          <w:lang w:val="en-US"/>
        </w:rPr>
        <w:t>.  </w:t>
      </w:r>
      <w:r w:rsidR="00A431CD">
        <w:rPr>
          <w:lang w:val="en-US"/>
        </w:rPr>
        <w:t xml:space="preserve">During the trial the applicant </w:t>
      </w:r>
      <w:r w:rsidR="00F7072A">
        <w:rPr>
          <w:lang w:val="en-US"/>
        </w:rPr>
        <w:t xml:space="preserve">partly admitted his responsibility for </w:t>
      </w:r>
      <w:r w:rsidR="0030184A">
        <w:rPr>
          <w:lang w:val="en-US"/>
        </w:rPr>
        <w:t xml:space="preserve">some of </w:t>
      </w:r>
      <w:r w:rsidR="00F7072A">
        <w:rPr>
          <w:lang w:val="en-US"/>
        </w:rPr>
        <w:t xml:space="preserve">the crimes, </w:t>
      </w:r>
      <w:r w:rsidR="0030184A">
        <w:rPr>
          <w:lang w:val="en-US"/>
        </w:rPr>
        <w:t xml:space="preserve">excluding </w:t>
      </w:r>
      <w:r w:rsidR="008C4A23">
        <w:rPr>
          <w:lang w:val="en-US"/>
        </w:rPr>
        <w:t xml:space="preserve">the </w:t>
      </w:r>
      <w:r w:rsidR="0030184A">
        <w:rPr>
          <w:lang w:val="en-US"/>
        </w:rPr>
        <w:t xml:space="preserve">murders. </w:t>
      </w:r>
      <w:r w:rsidR="00AE6119">
        <w:rPr>
          <w:lang w:val="en-US"/>
        </w:rPr>
        <w:t>The applicant</w:t>
      </w:r>
      <w:r w:rsidR="00A431CD">
        <w:rPr>
          <w:lang w:val="en-US"/>
        </w:rPr>
        <w:t xml:space="preserve"> also raised complaints that his self-incriminating statements</w:t>
      </w:r>
      <w:r w:rsidR="004325FC">
        <w:rPr>
          <w:lang w:val="en-US"/>
        </w:rPr>
        <w:t xml:space="preserve"> had been obtained under duress</w:t>
      </w:r>
      <w:r w:rsidR="00A431CD">
        <w:rPr>
          <w:lang w:val="en-US"/>
        </w:rPr>
        <w:t>.</w:t>
      </w:r>
    </w:p>
    <w:p w:rsidR="00A431CD" w:rsidP="00A431CD" w:rsidRDefault="00AC7D5C">
      <w:pPr>
        <w:pStyle w:val="JuPara"/>
      </w:pPr>
      <w:r>
        <w:fldChar w:fldCharType="begin"/>
      </w:r>
      <w:r>
        <w:instrText xml:space="preserve"> SEQ level0 \*arabic </w:instrText>
      </w:r>
      <w:r>
        <w:fldChar w:fldCharType="separate"/>
      </w:r>
      <w:r w:rsidR="00D01D1E">
        <w:rPr>
          <w:noProof/>
        </w:rPr>
        <w:t>19</w:t>
      </w:r>
      <w:r>
        <w:fldChar w:fldCharType="end"/>
      </w:r>
      <w:r>
        <w:t>.  </w:t>
      </w:r>
      <w:r w:rsidR="00A431CD">
        <w:t>On 27 June 2002 the Odessa Regional Court of Appeal</w:t>
      </w:r>
      <w:r w:rsidR="00C85E8F">
        <w:t xml:space="preserve"> (“the Odessa Court”)</w:t>
      </w:r>
      <w:r w:rsidR="00A431CD">
        <w:t xml:space="preserve"> found the applicant </w:t>
      </w:r>
      <w:r w:rsidR="00D26504">
        <w:t xml:space="preserve">and three other </w:t>
      </w:r>
      <w:r w:rsidR="002B5C48">
        <w:t xml:space="preserve">persons </w:t>
      </w:r>
      <w:r w:rsidR="00A431CD">
        <w:t xml:space="preserve">guilty of banditry, illegal possession of firearms, </w:t>
      </w:r>
      <w:r w:rsidR="00C85E8F">
        <w:t xml:space="preserve">and </w:t>
      </w:r>
      <w:r w:rsidR="00A431CD">
        <w:t>several counts of robbery and murder</w:t>
      </w:r>
      <w:r w:rsidR="001F5EDB">
        <w:t xml:space="preserve"> committed in </w:t>
      </w:r>
      <w:r w:rsidR="00980A41">
        <w:t>1999</w:t>
      </w:r>
      <w:r w:rsidR="00C85E8F">
        <w:t>,</w:t>
      </w:r>
      <w:r w:rsidRPr="000705F5" w:rsidR="00A431CD">
        <w:t xml:space="preserve"> </w:t>
      </w:r>
      <w:r w:rsidR="00A431CD">
        <w:t xml:space="preserve">and sentenced </w:t>
      </w:r>
      <w:r w:rsidR="0012405B">
        <w:t>the applicant</w:t>
      </w:r>
      <w:r w:rsidR="00A431CD">
        <w:t xml:space="preserve"> to life imprisonment</w:t>
      </w:r>
      <w:r w:rsidR="00E216C7">
        <w:t xml:space="preserve"> and </w:t>
      </w:r>
      <w:r w:rsidR="00C85E8F">
        <w:t xml:space="preserve">ordered the </w:t>
      </w:r>
      <w:r w:rsidR="00E216C7">
        <w:t>confiscation of all his property</w:t>
      </w:r>
      <w:r w:rsidR="00A431CD">
        <w:t xml:space="preserve">. </w:t>
      </w:r>
      <w:r w:rsidRPr="00301977" w:rsidR="00FD19DF">
        <w:rPr>
          <w:szCs w:val="24"/>
        </w:rPr>
        <w:t xml:space="preserve">The </w:t>
      </w:r>
      <w:r w:rsidR="00DC3537">
        <w:rPr>
          <w:szCs w:val="24"/>
        </w:rPr>
        <w:t xml:space="preserve">Odessa </w:t>
      </w:r>
      <w:r w:rsidR="00157878">
        <w:rPr>
          <w:szCs w:val="24"/>
        </w:rPr>
        <w:t>Court</w:t>
      </w:r>
      <w:r w:rsidRPr="00301977" w:rsidR="00157878">
        <w:rPr>
          <w:szCs w:val="24"/>
        </w:rPr>
        <w:t xml:space="preserve"> based</w:t>
      </w:r>
      <w:r w:rsidRPr="00301977" w:rsidR="00FD19DF">
        <w:rPr>
          <w:szCs w:val="24"/>
        </w:rPr>
        <w:t xml:space="preserve"> its judgment on the testimony of </w:t>
      </w:r>
      <w:r w:rsidR="009D48D9">
        <w:rPr>
          <w:szCs w:val="24"/>
        </w:rPr>
        <w:t xml:space="preserve">a number of </w:t>
      </w:r>
      <w:r w:rsidRPr="00301977" w:rsidR="00FD19DF">
        <w:rPr>
          <w:szCs w:val="24"/>
        </w:rPr>
        <w:t xml:space="preserve">witnesses and victims of the crimes, partly on </w:t>
      </w:r>
      <w:r w:rsidR="009660D5">
        <w:rPr>
          <w:szCs w:val="24"/>
        </w:rPr>
        <w:t xml:space="preserve">some of </w:t>
      </w:r>
      <w:r w:rsidRPr="00301977" w:rsidR="00FD19DF">
        <w:rPr>
          <w:szCs w:val="24"/>
        </w:rPr>
        <w:t xml:space="preserve">the statements </w:t>
      </w:r>
      <w:r w:rsidR="00C85E8F">
        <w:rPr>
          <w:szCs w:val="24"/>
        </w:rPr>
        <w:t>made by</w:t>
      </w:r>
      <w:r w:rsidRPr="00301977" w:rsidR="00C85E8F">
        <w:rPr>
          <w:szCs w:val="24"/>
        </w:rPr>
        <w:t xml:space="preserve"> </w:t>
      </w:r>
      <w:r w:rsidRPr="00301977" w:rsidR="00FD19DF">
        <w:rPr>
          <w:szCs w:val="24"/>
        </w:rPr>
        <w:t xml:space="preserve">the </w:t>
      </w:r>
      <w:r w:rsidR="00F71977">
        <w:rPr>
          <w:szCs w:val="24"/>
        </w:rPr>
        <w:t xml:space="preserve">applicant and his </w:t>
      </w:r>
      <w:r w:rsidRPr="00301977" w:rsidR="00FD19DF">
        <w:rPr>
          <w:szCs w:val="24"/>
        </w:rPr>
        <w:t>co</w:t>
      </w:r>
      <w:r w:rsidR="00B6165A">
        <w:rPr>
          <w:szCs w:val="24"/>
        </w:rPr>
        <w:noBreakHyphen/>
      </w:r>
      <w:r w:rsidRPr="00301977" w:rsidR="00FD19DF">
        <w:rPr>
          <w:szCs w:val="24"/>
        </w:rPr>
        <w:t>defendants in the course of the investigation</w:t>
      </w:r>
      <w:r w:rsidR="00F71977">
        <w:rPr>
          <w:szCs w:val="24"/>
        </w:rPr>
        <w:t xml:space="preserve"> and during the trial</w:t>
      </w:r>
      <w:r w:rsidRPr="00301977" w:rsidR="00FD19DF">
        <w:rPr>
          <w:szCs w:val="24"/>
        </w:rPr>
        <w:t>, and also on the conclusions of several forensic, ballistic and other expert examinations. The court further</w:t>
      </w:r>
      <w:r w:rsidR="0012405B">
        <w:rPr>
          <w:szCs w:val="24"/>
        </w:rPr>
        <w:t xml:space="preserve"> noted that the applicant</w:t>
      </w:r>
      <w:r w:rsidR="00D01D1E">
        <w:rPr>
          <w:szCs w:val="24"/>
        </w:rPr>
        <w:t>’</w:t>
      </w:r>
      <w:r w:rsidR="0012405B">
        <w:rPr>
          <w:szCs w:val="24"/>
        </w:rPr>
        <w:t>s allegation that he had been drunk during his questioning on 21</w:t>
      </w:r>
      <w:r w:rsidR="008E02F2">
        <w:rPr>
          <w:szCs w:val="24"/>
        </w:rPr>
        <w:t> </w:t>
      </w:r>
      <w:r w:rsidR="0012405B">
        <w:rPr>
          <w:szCs w:val="24"/>
        </w:rPr>
        <w:t>Ja</w:t>
      </w:r>
      <w:r w:rsidR="00521128">
        <w:rPr>
          <w:szCs w:val="24"/>
        </w:rPr>
        <w:t>nuary</w:t>
      </w:r>
      <w:r w:rsidR="008E02F2">
        <w:rPr>
          <w:szCs w:val="24"/>
        </w:rPr>
        <w:t> </w:t>
      </w:r>
      <w:r w:rsidR="00521128">
        <w:rPr>
          <w:szCs w:val="24"/>
        </w:rPr>
        <w:t>2000 was unsubstantiated.</w:t>
      </w:r>
    </w:p>
    <w:p w:rsidR="004B5510" w:rsidP="00D9022E" w:rsidRDefault="00AC7D5C">
      <w:pPr>
        <w:pStyle w:val="JuPara"/>
      </w:pPr>
      <w:r>
        <w:fldChar w:fldCharType="begin"/>
      </w:r>
      <w:r>
        <w:instrText xml:space="preserve"> SEQ level0 \*arabic </w:instrText>
      </w:r>
      <w:r>
        <w:fldChar w:fldCharType="separate"/>
      </w:r>
      <w:r w:rsidR="00D01D1E">
        <w:rPr>
          <w:noProof/>
        </w:rPr>
        <w:t>20</w:t>
      </w:r>
      <w:r>
        <w:fldChar w:fldCharType="end"/>
      </w:r>
      <w:r>
        <w:t>.  </w:t>
      </w:r>
      <w:r w:rsidR="00EF1121">
        <w:t>In July 2002</w:t>
      </w:r>
      <w:r w:rsidR="003F02E5">
        <w:t xml:space="preserve"> t</w:t>
      </w:r>
      <w:r w:rsidR="004B5510">
        <w:t xml:space="preserve">he applicant lodged </w:t>
      </w:r>
      <w:r w:rsidR="003A701D">
        <w:t>an appeal in cassation</w:t>
      </w:r>
      <w:r w:rsidRPr="00C85E8F" w:rsidR="00C85E8F">
        <w:t xml:space="preserve"> </w:t>
      </w:r>
      <w:r w:rsidR="00C85E8F">
        <w:t>with the Supreme Court</w:t>
      </w:r>
      <w:r w:rsidR="003A701D">
        <w:t xml:space="preserve">, in which he </w:t>
      </w:r>
      <w:r w:rsidR="00505E92">
        <w:t>mainly</w:t>
      </w:r>
      <w:r w:rsidR="003A701D">
        <w:t xml:space="preserve"> complained that </w:t>
      </w:r>
      <w:r w:rsidR="00EF1121">
        <w:t>his and his co</w:t>
      </w:r>
      <w:r w:rsidR="00B6165A">
        <w:noBreakHyphen/>
      </w:r>
      <w:r w:rsidR="00EF1121">
        <w:t>defendants</w:t>
      </w:r>
      <w:r w:rsidR="00D01D1E">
        <w:t>’</w:t>
      </w:r>
      <w:r w:rsidR="00EF1121">
        <w:t xml:space="preserve"> self-</w:t>
      </w:r>
      <w:r w:rsidR="0091244D">
        <w:t>incriminating statements</w:t>
      </w:r>
      <w:r w:rsidR="00F455F5">
        <w:t xml:space="preserve">, on which the first-instance court had relied, </w:t>
      </w:r>
      <w:r w:rsidR="00EF1121">
        <w:t>had been obtained under torture</w:t>
      </w:r>
      <w:r w:rsidR="00181F74">
        <w:t>.</w:t>
      </w:r>
      <w:r w:rsidR="00A73CEA">
        <w:t xml:space="preserve"> Subsequently, the applicant amended his appeal in cassation, </w:t>
      </w:r>
      <w:r w:rsidR="001823C1">
        <w:t xml:space="preserve">alleging that the </w:t>
      </w:r>
      <w:smartTag w:uri="urn:schemas-microsoft-com:office:smarttags" w:element="Street">
        <w:smartTag w:uri="urn:schemas-microsoft-com:office:smarttags" w:element="address">
          <w:r w:rsidR="007B5974">
            <w:t>Odessa C</w:t>
          </w:r>
          <w:r w:rsidR="001823C1">
            <w:t>ourt</w:t>
          </w:r>
        </w:smartTag>
      </w:smartTag>
      <w:r w:rsidR="001823C1">
        <w:t xml:space="preserve"> had incorrectly established the facts and </w:t>
      </w:r>
      <w:r w:rsidR="001F2CBC">
        <w:t xml:space="preserve">had unlawfully sentenced </w:t>
      </w:r>
      <w:r w:rsidR="00C85E8F">
        <w:t>him</w:t>
      </w:r>
      <w:r w:rsidR="001F2CBC">
        <w:t xml:space="preserve"> to life imprisonment. According to the applicant</w:t>
      </w:r>
      <w:r w:rsidR="00354C61">
        <w:t xml:space="preserve">, such a punishment could not have been applied </w:t>
      </w:r>
      <w:r w:rsidR="00C85E8F">
        <w:t>for</w:t>
      </w:r>
      <w:r w:rsidR="00354C61">
        <w:t xml:space="preserve"> crimes committed before 1</w:t>
      </w:r>
      <w:r w:rsidR="009E1E9B">
        <w:t xml:space="preserve"> </w:t>
      </w:r>
      <w:r w:rsidR="00354C61">
        <w:t>September</w:t>
      </w:r>
      <w:r w:rsidR="009E1E9B">
        <w:t xml:space="preserve"> </w:t>
      </w:r>
      <w:r w:rsidR="00354C61">
        <w:t>2001.</w:t>
      </w:r>
      <w:r w:rsidR="00A94764">
        <w:t xml:space="preserve"> The applicant also complained that the first-instance court had prevented his wife from </w:t>
      </w:r>
      <w:r w:rsidR="00AA7FC1">
        <w:t>defending</w:t>
      </w:r>
      <w:r w:rsidR="00A94764">
        <w:t xml:space="preserve"> </w:t>
      </w:r>
      <w:r w:rsidR="002A5633">
        <w:t>him</w:t>
      </w:r>
      <w:r w:rsidR="00A94764">
        <w:t xml:space="preserve"> </w:t>
      </w:r>
      <w:r w:rsidR="00C85E8F">
        <w:t>at</w:t>
      </w:r>
      <w:r w:rsidR="00484D5B">
        <w:t xml:space="preserve"> trial and</w:t>
      </w:r>
      <w:r w:rsidR="008710B9">
        <w:t xml:space="preserve"> that there had been no video </w:t>
      </w:r>
      <w:r w:rsidR="00484D5B">
        <w:t>recording of the hearings.</w:t>
      </w:r>
    </w:p>
    <w:p w:rsidR="00BA03B7" w:rsidP="00D9022E" w:rsidRDefault="00AC7D5C">
      <w:pPr>
        <w:pStyle w:val="JuPara"/>
      </w:pPr>
      <w:r>
        <w:fldChar w:fldCharType="begin"/>
      </w:r>
      <w:r>
        <w:instrText xml:space="preserve"> SEQ level0 \*arabic </w:instrText>
      </w:r>
      <w:r>
        <w:fldChar w:fldCharType="separate"/>
      </w:r>
      <w:r w:rsidR="00D01D1E">
        <w:rPr>
          <w:noProof/>
        </w:rPr>
        <w:t>21</w:t>
      </w:r>
      <w:r>
        <w:fldChar w:fldCharType="end"/>
      </w:r>
      <w:r>
        <w:t>.  </w:t>
      </w:r>
      <w:r w:rsidR="006F6868">
        <w:t xml:space="preserve">On </w:t>
      </w:r>
      <w:r w:rsidR="00E809A7">
        <w:t>13</w:t>
      </w:r>
      <w:r w:rsidR="009E1E9B">
        <w:t xml:space="preserve"> </w:t>
      </w:r>
      <w:r w:rsidR="006B5F35">
        <w:t>February</w:t>
      </w:r>
      <w:r w:rsidR="009E1E9B">
        <w:t xml:space="preserve"> </w:t>
      </w:r>
      <w:r w:rsidR="00E809A7">
        <w:t>2003</w:t>
      </w:r>
      <w:r w:rsidR="006F6868">
        <w:t xml:space="preserve"> the applicant </w:t>
      </w:r>
      <w:r w:rsidR="00C85E8F">
        <w:t xml:space="preserve">asked </w:t>
      </w:r>
      <w:r w:rsidR="006F6868">
        <w:t xml:space="preserve">the </w:t>
      </w:r>
      <w:r w:rsidR="00DC3537">
        <w:t>Odessa Court to</w:t>
      </w:r>
      <w:r w:rsidR="006F6868">
        <w:t xml:space="preserve"> </w:t>
      </w:r>
      <w:r w:rsidR="00E809A7">
        <w:t xml:space="preserve">replace Mr K. </w:t>
      </w:r>
      <w:r w:rsidR="00C85E8F">
        <w:t xml:space="preserve">with </w:t>
      </w:r>
      <w:r w:rsidR="00E809A7">
        <w:t>another lawyer, Mr M.</w:t>
      </w:r>
      <w:r w:rsidR="008710B9">
        <w:t xml:space="preserve"> The applicant stated that he had </w:t>
      </w:r>
      <w:r w:rsidR="00C85E8F">
        <w:t xml:space="preserve">had </w:t>
      </w:r>
      <w:r w:rsidR="008710B9">
        <w:t>no contact with Mr K.</w:t>
      </w:r>
      <w:r w:rsidR="000A42B3">
        <w:t>, “who had been appointed to [</w:t>
      </w:r>
      <w:r w:rsidR="00C85E8F">
        <w:t>represent him</w:t>
      </w:r>
      <w:r w:rsidR="000A42B3">
        <w:t xml:space="preserve">] by [the </w:t>
      </w:r>
      <w:smartTag w:uri="urn:schemas-microsoft-com:office:smarttags" w:element="Street">
        <w:smartTag w:uri="urn:schemas-microsoft-com:office:smarttags" w:element="address">
          <w:r w:rsidR="000A42B3">
            <w:t>Odessa Court</w:t>
          </w:r>
        </w:smartTag>
      </w:smartTag>
      <w:r w:rsidR="000A42B3">
        <w:t>]”</w:t>
      </w:r>
      <w:r w:rsidR="008324B1">
        <w:t xml:space="preserve"> and that Mr K. had </w:t>
      </w:r>
      <w:r w:rsidR="00C85E8F">
        <w:t xml:space="preserve">had </w:t>
      </w:r>
      <w:r w:rsidR="008324B1">
        <w:t>to be disciplined for “a violation of his duty to provide legal assistance”. The applicant did not give any details of the alleged violation.</w:t>
      </w:r>
    </w:p>
    <w:p w:rsidR="008710B9" w:rsidP="00D9022E" w:rsidRDefault="00AC7D5C">
      <w:pPr>
        <w:pStyle w:val="JuPara"/>
      </w:pPr>
      <w:r>
        <w:fldChar w:fldCharType="begin"/>
      </w:r>
      <w:r>
        <w:instrText xml:space="preserve"> SEQ level0 \*arabic </w:instrText>
      </w:r>
      <w:r>
        <w:fldChar w:fldCharType="separate"/>
      </w:r>
      <w:r w:rsidR="00D01D1E">
        <w:rPr>
          <w:noProof/>
        </w:rPr>
        <w:t>22</w:t>
      </w:r>
      <w:r>
        <w:fldChar w:fldCharType="end"/>
      </w:r>
      <w:r>
        <w:t>.  </w:t>
      </w:r>
      <w:r w:rsidR="008710B9">
        <w:t xml:space="preserve">On the same </w:t>
      </w:r>
      <w:r w:rsidR="00C85E8F">
        <w:t xml:space="preserve">date </w:t>
      </w:r>
      <w:r w:rsidR="008710B9">
        <w:t xml:space="preserve">Mr K. </w:t>
      </w:r>
      <w:r w:rsidR="002D1D08">
        <w:t xml:space="preserve">submitted </w:t>
      </w:r>
      <w:r w:rsidR="008710B9">
        <w:t xml:space="preserve">a statement </w:t>
      </w:r>
      <w:r w:rsidR="002D1D08">
        <w:t xml:space="preserve">to </w:t>
      </w:r>
      <w:r w:rsidR="00BA03B7">
        <w:t xml:space="preserve">the </w:t>
      </w:r>
      <w:r w:rsidR="00DC3537">
        <w:t xml:space="preserve">Odessa Court </w:t>
      </w:r>
      <w:r w:rsidR="002D1D08">
        <w:t xml:space="preserve">informing it </w:t>
      </w:r>
      <w:r w:rsidR="00DC3537">
        <w:t>that</w:t>
      </w:r>
      <w:r w:rsidR="008710B9">
        <w:t xml:space="preserve"> he had met with the applicant several hours earlier </w:t>
      </w:r>
      <w:r w:rsidR="00FC7F92">
        <w:t xml:space="preserve">at the SIZO </w:t>
      </w:r>
      <w:r w:rsidR="008710B9">
        <w:t xml:space="preserve">in order to provide him with legal assistance. According to the lawyer, </w:t>
      </w:r>
      <w:r w:rsidR="007B5974">
        <w:t xml:space="preserve">during that meeting </w:t>
      </w:r>
      <w:r w:rsidR="008710B9">
        <w:t xml:space="preserve">the applicant had refused to cooperate </w:t>
      </w:r>
      <w:r w:rsidR="00236800">
        <w:t>and had made insulting statements</w:t>
      </w:r>
      <w:r w:rsidR="00554B17">
        <w:t>.</w:t>
      </w:r>
      <w:r w:rsidR="00851B6E">
        <w:t xml:space="preserve"> The lawyer also stated that he had previously helped the applicant to prepare his appeal in cassation.</w:t>
      </w:r>
      <w:r w:rsidR="000227CB">
        <w:t xml:space="preserve"> The lawyer</w:t>
      </w:r>
      <w:r w:rsidR="00D01D1E">
        <w:t>’</w:t>
      </w:r>
      <w:r w:rsidR="000227CB">
        <w:t>s statement contain</w:t>
      </w:r>
      <w:r w:rsidR="00C36A5C">
        <w:t>ed</w:t>
      </w:r>
      <w:r w:rsidR="000227CB">
        <w:t xml:space="preserve"> two signatures which he claimed belonged to </w:t>
      </w:r>
      <w:r w:rsidR="00E337FF">
        <w:t xml:space="preserve">the </w:t>
      </w:r>
      <w:r w:rsidR="000227CB">
        <w:t xml:space="preserve">SIZO </w:t>
      </w:r>
      <w:r w:rsidR="00BA037C">
        <w:t>guards</w:t>
      </w:r>
      <w:r w:rsidR="000227CB">
        <w:t xml:space="preserve"> in whose presence </w:t>
      </w:r>
      <w:r w:rsidR="00AD2B8D">
        <w:t>he</w:t>
      </w:r>
      <w:r w:rsidR="000227CB">
        <w:t xml:space="preserve"> prepared that document.</w:t>
      </w:r>
    </w:p>
    <w:p w:rsidR="006F6868" w:rsidP="00D9022E" w:rsidRDefault="00AC7D5C">
      <w:pPr>
        <w:pStyle w:val="JuPara"/>
      </w:pPr>
      <w:r>
        <w:fldChar w:fldCharType="begin"/>
      </w:r>
      <w:r>
        <w:instrText xml:space="preserve"> SEQ level0 \*arabic </w:instrText>
      </w:r>
      <w:r>
        <w:fldChar w:fldCharType="separate"/>
      </w:r>
      <w:r w:rsidR="00D01D1E">
        <w:rPr>
          <w:noProof/>
        </w:rPr>
        <w:t>23</w:t>
      </w:r>
      <w:r>
        <w:fldChar w:fldCharType="end"/>
      </w:r>
      <w:r>
        <w:t>.  </w:t>
      </w:r>
      <w:r w:rsidR="00E809A7">
        <w:t xml:space="preserve">On 17 March 2003 the </w:t>
      </w:r>
      <w:smartTag w:uri="urn:schemas-microsoft-com:office:smarttags" w:element="Street">
        <w:smartTag w:uri="urn:schemas-microsoft-com:office:smarttags" w:element="address">
          <w:r w:rsidR="00DC3537">
            <w:t>Odessa Court</w:t>
          </w:r>
        </w:smartTag>
      </w:smartTag>
      <w:r w:rsidR="00DC3537">
        <w:t xml:space="preserve"> refused</w:t>
      </w:r>
      <w:r w:rsidR="00E809A7">
        <w:t xml:space="preserve"> t</w:t>
      </w:r>
      <w:r w:rsidR="001E757A">
        <w:t>he applicant</w:t>
      </w:r>
      <w:r w:rsidR="00D01D1E">
        <w:t>’</w:t>
      </w:r>
      <w:r w:rsidR="001E757A">
        <w:t>s</w:t>
      </w:r>
      <w:r w:rsidR="00E809A7">
        <w:t xml:space="preserve"> request, </w:t>
      </w:r>
      <w:r w:rsidR="004D7089">
        <w:t xml:space="preserve">noting that during the trial the applicant had not raised any complaints concerning </w:t>
      </w:r>
      <w:r w:rsidR="005B40E0">
        <w:t>his representation</w:t>
      </w:r>
      <w:r w:rsidR="004D7089">
        <w:t xml:space="preserve"> by Mr K. </w:t>
      </w:r>
      <w:r w:rsidR="00CB2B95">
        <w:t xml:space="preserve">The court </w:t>
      </w:r>
      <w:r w:rsidR="005657BE">
        <w:t>held</w:t>
      </w:r>
      <w:r w:rsidR="00CB2B95">
        <w:t xml:space="preserve"> </w:t>
      </w:r>
      <w:r w:rsidR="008F3DB9">
        <w:t xml:space="preserve">that Mr M. </w:t>
      </w:r>
      <w:r w:rsidR="00CB2B95">
        <w:t xml:space="preserve">could not be appointed to represent the applicant, as </w:t>
      </w:r>
      <w:r w:rsidR="005B40E0">
        <w:t>M.</w:t>
      </w:r>
      <w:r w:rsidR="00CB2B95">
        <w:t xml:space="preserve"> </w:t>
      </w:r>
      <w:r w:rsidR="008F3DB9">
        <w:t xml:space="preserve">had </w:t>
      </w:r>
      <w:r w:rsidR="00CB2B95">
        <w:t>represented one of the applicant</w:t>
      </w:r>
      <w:r w:rsidR="00D01D1E">
        <w:t>’</w:t>
      </w:r>
      <w:r w:rsidR="00CB2B95">
        <w:t xml:space="preserve">s co-defendants in the same case and </w:t>
      </w:r>
      <w:r w:rsidR="00CB2B95">
        <w:rPr>
          <w:szCs w:val="24"/>
        </w:rPr>
        <w:t>the applicant and that co</w:t>
      </w:r>
      <w:r w:rsidR="00B6165A">
        <w:rPr>
          <w:szCs w:val="24"/>
        </w:rPr>
        <w:noBreakHyphen/>
      </w:r>
      <w:r w:rsidR="00CB2B95">
        <w:rPr>
          <w:szCs w:val="24"/>
        </w:rPr>
        <w:t xml:space="preserve">defendant </w:t>
      </w:r>
      <w:r w:rsidRPr="00301977" w:rsidR="00CB2B95">
        <w:rPr>
          <w:szCs w:val="24"/>
        </w:rPr>
        <w:t xml:space="preserve">had made conflicting </w:t>
      </w:r>
      <w:r w:rsidRPr="00301977" w:rsidR="005B40E0">
        <w:rPr>
          <w:szCs w:val="24"/>
        </w:rPr>
        <w:t>s</w:t>
      </w:r>
      <w:r w:rsidR="005B40E0">
        <w:rPr>
          <w:szCs w:val="24"/>
        </w:rPr>
        <w:t>tatement</w:t>
      </w:r>
      <w:r w:rsidRPr="00301977" w:rsidR="005B40E0">
        <w:rPr>
          <w:szCs w:val="24"/>
        </w:rPr>
        <w:t xml:space="preserve">s </w:t>
      </w:r>
      <w:r w:rsidRPr="00301977" w:rsidR="00CB2B95">
        <w:rPr>
          <w:szCs w:val="24"/>
        </w:rPr>
        <w:t>concerning the circumstances of the case</w:t>
      </w:r>
      <w:r w:rsidR="00310430">
        <w:t>.</w:t>
      </w:r>
      <w:r w:rsidR="005657BE">
        <w:t xml:space="preserve"> The court also noted that the applicant had completed familiarising himself with the case material</w:t>
      </w:r>
      <w:r w:rsidR="005B40E0">
        <w:t>s</w:t>
      </w:r>
      <w:r w:rsidR="005657BE">
        <w:t>.</w:t>
      </w:r>
    </w:p>
    <w:p w:rsidR="00D9022E" w:rsidP="00D9022E" w:rsidRDefault="00AC7D5C">
      <w:pPr>
        <w:pStyle w:val="JuPara"/>
      </w:pPr>
      <w:r>
        <w:fldChar w:fldCharType="begin"/>
      </w:r>
      <w:r>
        <w:instrText xml:space="preserve"> SEQ level0 \*arabic </w:instrText>
      </w:r>
      <w:r>
        <w:fldChar w:fldCharType="separate"/>
      </w:r>
      <w:r w:rsidR="00D01D1E">
        <w:rPr>
          <w:noProof/>
        </w:rPr>
        <w:t>24</w:t>
      </w:r>
      <w:r>
        <w:fldChar w:fldCharType="end"/>
      </w:r>
      <w:r>
        <w:t>.  </w:t>
      </w:r>
      <w:r w:rsidRPr="0071112E" w:rsidR="000F7337">
        <w:t xml:space="preserve">On 14 April 2003 the applicant lodged a request with </w:t>
      </w:r>
      <w:r w:rsidRPr="0071112E" w:rsidR="00D9022E">
        <w:t>the Supreme Court</w:t>
      </w:r>
      <w:r w:rsidR="007B5974">
        <w:t xml:space="preserve"> asking</w:t>
      </w:r>
      <w:r w:rsidR="005B40E0">
        <w:t xml:space="preserve"> it</w:t>
      </w:r>
      <w:r w:rsidRPr="0071112E" w:rsidR="00D9022E">
        <w:t xml:space="preserve"> to ensure that he was assisted by a lawyer pursuant to the legal aid scheme</w:t>
      </w:r>
      <w:r w:rsidR="005B40E0">
        <w:t xml:space="preserve"> in force</w:t>
      </w:r>
      <w:r w:rsidRPr="0071112E" w:rsidR="00D9022E">
        <w:t xml:space="preserve">. </w:t>
      </w:r>
      <w:r w:rsidR="005B40E0">
        <w:t xml:space="preserve">The same </w:t>
      </w:r>
      <w:r w:rsidR="002454A6">
        <w:t xml:space="preserve">request was raised in the amended appeal </w:t>
      </w:r>
      <w:r w:rsidR="00627882">
        <w:t xml:space="preserve">which </w:t>
      </w:r>
      <w:r w:rsidR="002454A6">
        <w:t xml:space="preserve">the applicant submitted to </w:t>
      </w:r>
      <w:r w:rsidR="00036211">
        <w:t>the Supreme Court on that date.</w:t>
      </w:r>
    </w:p>
    <w:p w:rsidR="0071112E" w:rsidP="00D9022E" w:rsidRDefault="00AC7D5C">
      <w:pPr>
        <w:pStyle w:val="JuPara"/>
      </w:pPr>
      <w:r>
        <w:fldChar w:fldCharType="begin"/>
      </w:r>
      <w:r>
        <w:instrText xml:space="preserve"> SEQ level0 \*arabic </w:instrText>
      </w:r>
      <w:r>
        <w:fldChar w:fldCharType="separate"/>
      </w:r>
      <w:r w:rsidR="00D01D1E">
        <w:rPr>
          <w:noProof/>
        </w:rPr>
        <w:t>25</w:t>
      </w:r>
      <w:r>
        <w:fldChar w:fldCharType="end"/>
      </w:r>
      <w:r>
        <w:t>.  </w:t>
      </w:r>
      <w:r w:rsidR="0071112E">
        <w:t xml:space="preserve">By letter of 17 April 2003 the Supreme Court informed the applicant that his request for a lawyer </w:t>
      </w:r>
      <w:r w:rsidR="005B40E0">
        <w:t xml:space="preserve">had been </w:t>
      </w:r>
      <w:r w:rsidR="0071112E">
        <w:t xml:space="preserve">refused, as </w:t>
      </w:r>
      <w:r w:rsidR="002020EB">
        <w:t>he</w:t>
      </w:r>
      <w:r w:rsidR="0071112E">
        <w:t xml:space="preserve"> was </w:t>
      </w:r>
      <w:r w:rsidR="002020EB">
        <w:t xml:space="preserve">already </w:t>
      </w:r>
      <w:r w:rsidR="0071112E">
        <w:t>represented by Mr K.</w:t>
      </w:r>
      <w:r w:rsidR="005B40E0">
        <w:t>,</w:t>
      </w:r>
      <w:r w:rsidR="0071112E">
        <w:t xml:space="preserve"> who had been duly informed of the hearing before that court scheduled for 15</w:t>
      </w:r>
      <w:r w:rsidR="009E1E9B">
        <w:t xml:space="preserve"> </w:t>
      </w:r>
      <w:r w:rsidR="0071112E">
        <w:t>May</w:t>
      </w:r>
      <w:r w:rsidR="009E1E9B">
        <w:t xml:space="preserve"> </w:t>
      </w:r>
      <w:r w:rsidR="0071112E">
        <w:t xml:space="preserve">2003. The Supreme Court also noted that if the applicant wished to hire another lawyer, he </w:t>
      </w:r>
      <w:r w:rsidR="009E1E9B">
        <w:t>could do so pursuant to Article </w:t>
      </w:r>
      <w:r w:rsidR="0071112E">
        <w:t>47 of the Cod</w:t>
      </w:r>
      <w:r w:rsidR="00865374">
        <w:t xml:space="preserve">e of Criminal Procedure of 1960, and that </w:t>
      </w:r>
      <w:r w:rsidR="00EF7D94">
        <w:t xml:space="preserve">that court </w:t>
      </w:r>
      <w:r w:rsidR="00BB1DCD">
        <w:t>did not</w:t>
      </w:r>
      <w:r w:rsidR="005B40E0">
        <w:t>, in general,</w:t>
      </w:r>
      <w:r w:rsidR="00BB1DCD">
        <w:t xml:space="preserve"> </w:t>
      </w:r>
      <w:r w:rsidR="005B40E0">
        <w:t xml:space="preserve">deal with the </w:t>
      </w:r>
      <w:r w:rsidR="00BB1DCD">
        <w:t xml:space="preserve">issue </w:t>
      </w:r>
      <w:r w:rsidR="00865374">
        <w:t xml:space="preserve">of </w:t>
      </w:r>
      <w:r w:rsidR="005B40E0">
        <w:t>ensuring that prisoners had legal representation</w:t>
      </w:r>
      <w:r w:rsidR="00FB62D0">
        <w:t>.</w:t>
      </w:r>
      <w:r w:rsidR="00627882">
        <w:t xml:space="preserve"> It is unclear if the hearing scheduled for 15</w:t>
      </w:r>
      <w:r w:rsidR="009E1E9B">
        <w:t xml:space="preserve"> </w:t>
      </w:r>
      <w:r w:rsidR="00627882">
        <w:t>May</w:t>
      </w:r>
      <w:r w:rsidR="009E1E9B">
        <w:t xml:space="preserve"> </w:t>
      </w:r>
      <w:r w:rsidR="00627882">
        <w:t>2003 actually took place.</w:t>
      </w:r>
    </w:p>
    <w:p w:rsidR="00A431CD" w:rsidP="00A431CD" w:rsidRDefault="00AC7D5C">
      <w:pPr>
        <w:pStyle w:val="JuPara"/>
      </w:pPr>
      <w:r>
        <w:fldChar w:fldCharType="begin"/>
      </w:r>
      <w:r>
        <w:instrText xml:space="preserve"> SEQ level0 \*arabic </w:instrText>
      </w:r>
      <w:r>
        <w:fldChar w:fldCharType="separate"/>
      </w:r>
      <w:r w:rsidR="00D01D1E">
        <w:rPr>
          <w:noProof/>
        </w:rPr>
        <w:t>26</w:t>
      </w:r>
      <w:r>
        <w:fldChar w:fldCharType="end"/>
      </w:r>
      <w:r>
        <w:t>.  </w:t>
      </w:r>
      <w:r w:rsidR="00A431CD">
        <w:t xml:space="preserve">On 10 July 2003 the Supreme Court </w:t>
      </w:r>
      <w:r w:rsidR="00FE0FF0">
        <w:t xml:space="preserve">heard the case on the merits </w:t>
      </w:r>
      <w:r w:rsidR="00641C53">
        <w:t>in the applicant</w:t>
      </w:r>
      <w:r w:rsidR="00D01D1E">
        <w:t>’</w:t>
      </w:r>
      <w:r w:rsidR="00641C53">
        <w:t xml:space="preserve">s presence. The </w:t>
      </w:r>
      <w:r w:rsidR="00384427">
        <w:t>Supreme C</w:t>
      </w:r>
      <w:r w:rsidR="00641C53">
        <w:t xml:space="preserve">ourt </w:t>
      </w:r>
      <w:r w:rsidR="00A431CD">
        <w:t>partly changed the qualification of the applicant</w:t>
      </w:r>
      <w:r w:rsidR="00D01D1E">
        <w:t>’</w:t>
      </w:r>
      <w:r w:rsidR="00A431CD">
        <w:t>s criminal actions, having upheld the majority of the findings of the first-instance court and the applicant</w:t>
      </w:r>
      <w:r w:rsidR="00D01D1E">
        <w:t>’</w:t>
      </w:r>
      <w:r w:rsidR="00A431CD">
        <w:t xml:space="preserve">s sentence. </w:t>
      </w:r>
      <w:r w:rsidR="00B1084A">
        <w:t>It</w:t>
      </w:r>
      <w:r w:rsidR="00A431CD">
        <w:t xml:space="preserve"> also rejected the applicant</w:t>
      </w:r>
      <w:r w:rsidR="00D01D1E">
        <w:t>’</w:t>
      </w:r>
      <w:r w:rsidR="00A431CD">
        <w:t xml:space="preserve">s complaint that his penalty </w:t>
      </w:r>
      <w:r w:rsidR="005B40E0">
        <w:t xml:space="preserve">had </w:t>
      </w:r>
      <w:r w:rsidR="00A431CD">
        <w:t xml:space="preserve">not </w:t>
      </w:r>
      <w:r w:rsidR="005B40E0">
        <w:t xml:space="preserve">been </w:t>
      </w:r>
      <w:r w:rsidR="00A431CD">
        <w:t xml:space="preserve">based on the law in force at the material time, finding that the applicant had been convicted of crimes for which at the time of their commission the maximum penalty had been death. After the </w:t>
      </w:r>
      <w:smartTag w:uri="urn:schemas-microsoft-com:office:smarttags" w:element="Street">
        <w:smartTag w:uri="urn:schemas-microsoft-com:office:smarttags" w:element="address">
          <w:r w:rsidR="00A431CD">
            <w:t>Constitutional Court</w:t>
          </w:r>
        </w:smartTag>
      </w:smartTag>
      <w:r w:rsidR="00A431CD">
        <w:t xml:space="preserve"> had declared the provisions concerning the death penalty unconstitutional on 29 December 1999, Parliament had replaced that sanction with life imprisonment </w:t>
      </w:r>
      <w:r w:rsidR="00123149">
        <w:t xml:space="preserve">by the </w:t>
      </w:r>
      <w:r w:rsidR="00A431CD">
        <w:t>Act of 22 February 2000.</w:t>
      </w:r>
    </w:p>
    <w:p w:rsidR="004F3EED" w:rsidP="00A431CD" w:rsidRDefault="00AC7D5C">
      <w:pPr>
        <w:pStyle w:val="JuPara"/>
      </w:pPr>
      <w:r>
        <w:fldChar w:fldCharType="begin"/>
      </w:r>
      <w:r>
        <w:instrText xml:space="preserve"> SEQ level0 \*arabic </w:instrText>
      </w:r>
      <w:r>
        <w:fldChar w:fldCharType="separate"/>
      </w:r>
      <w:r w:rsidR="00D01D1E">
        <w:rPr>
          <w:noProof/>
        </w:rPr>
        <w:t>27</w:t>
      </w:r>
      <w:r>
        <w:fldChar w:fldCharType="end"/>
      </w:r>
      <w:r>
        <w:t>.  </w:t>
      </w:r>
      <w:r w:rsidR="004F3EED">
        <w:t>The Supreme Court also noted that the hearings before the first</w:t>
      </w:r>
      <w:r w:rsidR="00B6165A">
        <w:noBreakHyphen/>
      </w:r>
      <w:r w:rsidR="004F3EED">
        <w:t>instance court had been audio recorded and that the applicant</w:t>
      </w:r>
      <w:r w:rsidR="00D01D1E">
        <w:t>’</w:t>
      </w:r>
      <w:r w:rsidR="004F3EED">
        <w:t>s wife could not have been allowed to defend the applicant as she had been questioned as a witness.</w:t>
      </w:r>
    </w:p>
    <w:p w:rsidR="00A431CD" w:rsidP="00A431CD" w:rsidRDefault="00AC7D5C">
      <w:pPr>
        <w:pStyle w:val="JuPara"/>
      </w:pPr>
      <w:r>
        <w:fldChar w:fldCharType="begin"/>
      </w:r>
      <w:r>
        <w:instrText xml:space="preserve"> SEQ level0 \*arabic </w:instrText>
      </w:r>
      <w:r>
        <w:fldChar w:fldCharType="separate"/>
      </w:r>
      <w:r w:rsidR="00D01D1E">
        <w:rPr>
          <w:noProof/>
        </w:rPr>
        <w:t>28</w:t>
      </w:r>
      <w:r>
        <w:fldChar w:fldCharType="end"/>
      </w:r>
      <w:r>
        <w:t>.  </w:t>
      </w:r>
      <w:r w:rsidR="00A431CD">
        <w:t>In 2004 the applicant was transferred to</w:t>
      </w:r>
      <w:r w:rsidR="00627882">
        <w:t xml:space="preserve"> prison</w:t>
      </w:r>
      <w:r w:rsidR="00A431CD">
        <w:t xml:space="preserve"> to serve his sentence.</w:t>
      </w:r>
    </w:p>
    <w:p w:rsidR="00A431CD" w:rsidP="00A431CD" w:rsidRDefault="00AC7D5C">
      <w:pPr>
        <w:pStyle w:val="JuPara"/>
      </w:pPr>
      <w:r>
        <w:fldChar w:fldCharType="begin"/>
      </w:r>
      <w:r>
        <w:instrText xml:space="preserve"> SEQ level0 \*arabic </w:instrText>
      </w:r>
      <w:r>
        <w:fldChar w:fldCharType="separate"/>
      </w:r>
      <w:r w:rsidR="00D01D1E">
        <w:rPr>
          <w:noProof/>
        </w:rPr>
        <w:t>29</w:t>
      </w:r>
      <w:r>
        <w:fldChar w:fldCharType="end"/>
      </w:r>
      <w:r>
        <w:t>.  </w:t>
      </w:r>
      <w:r w:rsidR="00A431CD">
        <w:t xml:space="preserve">In 2005 the applicant lodged civil claims with several courts against the police, prosecutors and the </w:t>
      </w:r>
      <w:smartTag w:uri="urn:schemas-microsoft-com:office:smarttags" w:element="Street">
        <w:smartTag w:uri="urn:schemas-microsoft-com:office:smarttags" w:element="address">
          <w:r w:rsidR="00A431CD">
            <w:t>Odessa Court</w:t>
          </w:r>
        </w:smartTag>
      </w:smartTag>
      <w:r w:rsidR="00A431CD">
        <w:t>, seeking compensation for his allegedly unfair conviction. The claims were dismissed for the applicant</w:t>
      </w:r>
      <w:r w:rsidR="00D01D1E">
        <w:t>’</w:t>
      </w:r>
      <w:r w:rsidR="00A431CD">
        <w:t>s failure to comply with procedural formalities.</w:t>
      </w:r>
    </w:p>
    <w:p w:rsidRPr="00920245" w:rsidR="00A92223" w:rsidP="00A92223" w:rsidRDefault="00D95C7E">
      <w:pPr>
        <w:pStyle w:val="JuHA"/>
      </w:pPr>
      <w:r>
        <w:t>B</w:t>
      </w:r>
      <w:r w:rsidRPr="00920245" w:rsidR="00A92223">
        <w:t>.  The application to the Court</w:t>
      </w:r>
    </w:p>
    <w:p w:rsidR="00A431CD" w:rsidP="00A431CD" w:rsidRDefault="00AC7D5C">
      <w:pPr>
        <w:pStyle w:val="JuPara"/>
      </w:pPr>
      <w:r>
        <w:fldChar w:fldCharType="begin"/>
      </w:r>
      <w:r>
        <w:instrText xml:space="preserve"> SEQ level0 \*arabic </w:instrText>
      </w:r>
      <w:r>
        <w:fldChar w:fldCharType="separate"/>
      </w:r>
      <w:r w:rsidR="00D01D1E">
        <w:rPr>
          <w:noProof/>
        </w:rPr>
        <w:t>30</w:t>
      </w:r>
      <w:r>
        <w:fldChar w:fldCharType="end"/>
      </w:r>
      <w:r>
        <w:t>.  </w:t>
      </w:r>
      <w:r w:rsidR="00D95C7E">
        <w:t xml:space="preserve">After the applicant lodged his application with the </w:t>
      </w:r>
      <w:r w:rsidR="00A431CD">
        <w:t>Court</w:t>
      </w:r>
      <w:r w:rsidR="00D95C7E">
        <w:t xml:space="preserve">, he was </w:t>
      </w:r>
      <w:r w:rsidR="00A431CD">
        <w:t>invited to submit copies of various documents</w:t>
      </w:r>
      <w:r w:rsidR="00E7491E">
        <w:t xml:space="preserve"> pertinent to his complaints</w:t>
      </w:r>
      <w:r w:rsidR="00A431CD">
        <w:t xml:space="preserve">, including a full copy of the judgment of 27 June 2002 and a copy of his appeal in cassation. The applicant </w:t>
      </w:r>
      <w:r w:rsidR="00733578">
        <w:t xml:space="preserve">was </w:t>
      </w:r>
      <w:r w:rsidR="00A431CD">
        <w:t xml:space="preserve">not </w:t>
      </w:r>
      <w:r w:rsidR="00733578">
        <w:t xml:space="preserve">able </w:t>
      </w:r>
      <w:r w:rsidR="008B198D">
        <w:t xml:space="preserve">to </w:t>
      </w:r>
      <w:r w:rsidR="00A431CD">
        <w:t>provide such copies</w:t>
      </w:r>
      <w:r w:rsidR="00733578">
        <w:t xml:space="preserve"> before November 2011</w:t>
      </w:r>
      <w:r w:rsidR="00A431CD">
        <w:t xml:space="preserve">, stating that the authorities </w:t>
      </w:r>
      <w:r w:rsidR="006C3968">
        <w:t xml:space="preserve">had </w:t>
      </w:r>
      <w:r w:rsidR="00A431CD">
        <w:t xml:space="preserve">denied him the opportunity to obtain </w:t>
      </w:r>
      <w:r w:rsidR="008B198D">
        <w:t>them</w:t>
      </w:r>
      <w:r w:rsidR="00A431CD">
        <w:t>.</w:t>
      </w:r>
      <w:r w:rsidR="00DF50F5">
        <w:t xml:space="preserve"> According to the Government, the applicant made no written request for </w:t>
      </w:r>
      <w:r w:rsidR="0095037D">
        <w:t>copies of the judgment or of his appeal in cassation</w:t>
      </w:r>
      <w:r w:rsidR="00DF50F5">
        <w:t>.</w:t>
      </w:r>
      <w:r w:rsidR="003D3271">
        <w:t xml:space="preserve"> Eventually, cop</w:t>
      </w:r>
      <w:r w:rsidR="0019561A">
        <w:t>ies</w:t>
      </w:r>
      <w:r w:rsidR="003D3271">
        <w:t xml:space="preserve"> of the judgment of 27 June 2002 and of the applicant</w:t>
      </w:r>
      <w:r w:rsidR="00D01D1E">
        <w:t>’</w:t>
      </w:r>
      <w:r w:rsidR="003D3271">
        <w:t xml:space="preserve">s appeal in cassation </w:t>
      </w:r>
      <w:r w:rsidR="0019561A">
        <w:t>were</w:t>
      </w:r>
      <w:r w:rsidR="003D3271">
        <w:t xml:space="preserve"> submitted </w:t>
      </w:r>
      <w:r w:rsidR="0019561A">
        <w:t>by the parties</w:t>
      </w:r>
      <w:r w:rsidR="003D3271">
        <w:t>.</w:t>
      </w:r>
    </w:p>
    <w:p w:rsidR="00DF50F5" w:rsidP="00A431CD" w:rsidRDefault="00AC7D5C">
      <w:pPr>
        <w:pStyle w:val="JuPara"/>
      </w:pPr>
      <w:r>
        <w:rPr>
          <w:szCs w:val="24"/>
        </w:rPr>
        <w:fldChar w:fldCharType="begin"/>
      </w:r>
      <w:r>
        <w:rPr>
          <w:szCs w:val="24"/>
        </w:rPr>
        <w:instrText xml:space="preserve"> SEQ level0 \*arabic </w:instrText>
      </w:r>
      <w:r>
        <w:rPr>
          <w:szCs w:val="24"/>
        </w:rPr>
        <w:fldChar w:fldCharType="separate"/>
      </w:r>
      <w:r w:rsidR="00D01D1E">
        <w:rPr>
          <w:noProof/>
          <w:szCs w:val="24"/>
        </w:rPr>
        <w:t>31</w:t>
      </w:r>
      <w:r>
        <w:rPr>
          <w:szCs w:val="24"/>
        </w:rPr>
        <w:fldChar w:fldCharType="end"/>
      </w:r>
      <w:r>
        <w:rPr>
          <w:szCs w:val="24"/>
        </w:rPr>
        <w:t>.  </w:t>
      </w:r>
      <w:r w:rsidR="001C1EEE">
        <w:rPr>
          <w:szCs w:val="24"/>
        </w:rPr>
        <w:t xml:space="preserve">On </w:t>
      </w:r>
      <w:r w:rsidR="00836889">
        <w:rPr>
          <w:szCs w:val="24"/>
        </w:rPr>
        <w:t>25 October</w:t>
      </w:r>
      <w:r w:rsidR="001C1EEE">
        <w:rPr>
          <w:szCs w:val="24"/>
        </w:rPr>
        <w:t xml:space="preserve"> </w:t>
      </w:r>
      <w:r w:rsidRPr="00301977" w:rsidR="00836889">
        <w:rPr>
          <w:szCs w:val="24"/>
        </w:rPr>
        <w:t xml:space="preserve">2004 the applicant </w:t>
      </w:r>
      <w:r w:rsidR="00836889">
        <w:rPr>
          <w:szCs w:val="24"/>
        </w:rPr>
        <w:t xml:space="preserve">lodged </w:t>
      </w:r>
      <w:r w:rsidR="00DC3537">
        <w:rPr>
          <w:szCs w:val="24"/>
        </w:rPr>
        <w:t>a</w:t>
      </w:r>
      <w:r w:rsidR="00836889">
        <w:rPr>
          <w:szCs w:val="24"/>
        </w:rPr>
        <w:t xml:space="preserve"> written request </w:t>
      </w:r>
      <w:r w:rsidR="006C3968">
        <w:rPr>
          <w:szCs w:val="24"/>
        </w:rPr>
        <w:t xml:space="preserve">with </w:t>
      </w:r>
      <w:r w:rsidRPr="00301977" w:rsidR="006C3968">
        <w:rPr>
          <w:szCs w:val="24"/>
        </w:rPr>
        <w:t xml:space="preserve">the </w:t>
      </w:r>
      <w:r w:rsidR="006C3968">
        <w:rPr>
          <w:szCs w:val="24"/>
        </w:rPr>
        <w:t xml:space="preserve">Odessa Court </w:t>
      </w:r>
      <w:r w:rsidR="00836889">
        <w:rPr>
          <w:szCs w:val="24"/>
        </w:rPr>
        <w:t xml:space="preserve">for copies of the </w:t>
      </w:r>
      <w:r w:rsidR="006C3968">
        <w:rPr>
          <w:szCs w:val="24"/>
        </w:rPr>
        <w:t xml:space="preserve">transcripts </w:t>
      </w:r>
      <w:r w:rsidR="00836889">
        <w:rPr>
          <w:szCs w:val="24"/>
        </w:rPr>
        <w:t>of the court hearings in his criminal case</w:t>
      </w:r>
      <w:r w:rsidRPr="00301977" w:rsidR="00836889">
        <w:rPr>
          <w:szCs w:val="24"/>
        </w:rPr>
        <w:t xml:space="preserve">, </w:t>
      </w:r>
      <w:r w:rsidRPr="00521A52" w:rsidR="00521A52">
        <w:rPr>
          <w:szCs w:val="24"/>
        </w:rPr>
        <w:t xml:space="preserve">which </w:t>
      </w:r>
      <w:r w:rsidRPr="00521A52" w:rsidR="00836889">
        <w:rPr>
          <w:szCs w:val="24"/>
        </w:rPr>
        <w:t xml:space="preserve">he </w:t>
      </w:r>
      <w:r w:rsidR="00521A52">
        <w:rPr>
          <w:szCs w:val="24"/>
        </w:rPr>
        <w:t>intended</w:t>
      </w:r>
      <w:r w:rsidRPr="00521A52" w:rsidR="00836889">
        <w:rPr>
          <w:szCs w:val="24"/>
        </w:rPr>
        <w:t xml:space="preserve"> to submit to the Court</w:t>
      </w:r>
      <w:r w:rsidR="00521A52">
        <w:rPr>
          <w:szCs w:val="24"/>
        </w:rPr>
        <w:t xml:space="preserve"> in support of his application</w:t>
      </w:r>
      <w:r w:rsidRPr="00301977" w:rsidR="00836889">
        <w:rPr>
          <w:szCs w:val="24"/>
        </w:rPr>
        <w:t xml:space="preserve">. </w:t>
      </w:r>
      <w:r w:rsidR="00836889">
        <w:rPr>
          <w:szCs w:val="24"/>
        </w:rPr>
        <w:t xml:space="preserve">By letter of 12 November 2004 the </w:t>
      </w:r>
      <w:smartTag w:uri="urn:schemas-microsoft-com:office:smarttags" w:element="Street">
        <w:smartTag w:uri="urn:schemas-microsoft-com:office:smarttags" w:element="address">
          <w:r w:rsidR="00DC3537">
            <w:rPr>
              <w:szCs w:val="24"/>
            </w:rPr>
            <w:t>Odessa Court</w:t>
          </w:r>
        </w:smartTag>
      </w:smartTag>
      <w:r w:rsidR="00DC3537">
        <w:rPr>
          <w:szCs w:val="24"/>
        </w:rPr>
        <w:t xml:space="preserve"> refused</w:t>
      </w:r>
      <w:r w:rsidR="00836889">
        <w:rPr>
          <w:szCs w:val="24"/>
        </w:rPr>
        <w:t xml:space="preserve"> the request, </w:t>
      </w:r>
      <w:r w:rsidR="007D4E90">
        <w:rPr>
          <w:szCs w:val="24"/>
        </w:rPr>
        <w:t xml:space="preserve">noting </w:t>
      </w:r>
      <w:r w:rsidR="00836889">
        <w:rPr>
          <w:szCs w:val="24"/>
        </w:rPr>
        <w:t xml:space="preserve">that </w:t>
      </w:r>
      <w:r w:rsidR="007D4E90">
        <w:rPr>
          <w:szCs w:val="24"/>
        </w:rPr>
        <w:t xml:space="preserve">domestic law did not provide for </w:t>
      </w:r>
      <w:r w:rsidR="000968C4">
        <w:rPr>
          <w:szCs w:val="24"/>
        </w:rPr>
        <w:t>copies of such documents</w:t>
      </w:r>
      <w:r w:rsidR="002020EB">
        <w:rPr>
          <w:szCs w:val="24"/>
        </w:rPr>
        <w:t xml:space="preserve"> to be furnished</w:t>
      </w:r>
      <w:r w:rsidR="000968C4">
        <w:rPr>
          <w:szCs w:val="24"/>
        </w:rPr>
        <w:t xml:space="preserve"> </w:t>
      </w:r>
      <w:r w:rsidR="007352F2">
        <w:rPr>
          <w:szCs w:val="24"/>
        </w:rPr>
        <w:t xml:space="preserve">and that the applicant had </w:t>
      </w:r>
      <w:r w:rsidR="006C3968">
        <w:rPr>
          <w:szCs w:val="24"/>
        </w:rPr>
        <w:t xml:space="preserve">previously </w:t>
      </w:r>
      <w:r w:rsidR="007352F2">
        <w:rPr>
          <w:szCs w:val="24"/>
        </w:rPr>
        <w:t xml:space="preserve">been given </w:t>
      </w:r>
      <w:r w:rsidR="000968C4">
        <w:rPr>
          <w:szCs w:val="24"/>
        </w:rPr>
        <w:t xml:space="preserve">the opportunity </w:t>
      </w:r>
      <w:r w:rsidR="007352F2">
        <w:rPr>
          <w:szCs w:val="24"/>
        </w:rPr>
        <w:t>to study th</w:t>
      </w:r>
      <w:r w:rsidR="00B20EB3">
        <w:rPr>
          <w:szCs w:val="24"/>
        </w:rPr>
        <w:t xml:space="preserve">e </w:t>
      </w:r>
      <w:r w:rsidR="006C3968">
        <w:rPr>
          <w:szCs w:val="24"/>
        </w:rPr>
        <w:t xml:space="preserve">transcripts </w:t>
      </w:r>
      <w:r w:rsidR="00B20EB3">
        <w:rPr>
          <w:szCs w:val="24"/>
        </w:rPr>
        <w:t>of the court hearings</w:t>
      </w:r>
      <w:r w:rsidRPr="00301977" w:rsidR="00836889">
        <w:rPr>
          <w:szCs w:val="24"/>
        </w:rPr>
        <w:t>.</w:t>
      </w:r>
    </w:p>
    <w:p w:rsidR="00230EFB" w:rsidP="00A431CD" w:rsidRDefault="00AC7D5C">
      <w:pPr>
        <w:pStyle w:val="JuPara"/>
      </w:pPr>
      <w:r>
        <w:fldChar w:fldCharType="begin"/>
      </w:r>
      <w:r>
        <w:instrText xml:space="preserve"> SEQ level0 \*arabic </w:instrText>
      </w:r>
      <w:r>
        <w:fldChar w:fldCharType="separate"/>
      </w:r>
      <w:r w:rsidR="00D01D1E">
        <w:rPr>
          <w:noProof/>
        </w:rPr>
        <w:t>32</w:t>
      </w:r>
      <w:r>
        <w:fldChar w:fldCharType="end"/>
      </w:r>
      <w:r>
        <w:t>.  </w:t>
      </w:r>
      <w:r w:rsidR="008A5170">
        <w:t>On</w:t>
      </w:r>
      <w:r w:rsidR="00230EFB">
        <w:t xml:space="preserve"> 12 June 2006 the </w:t>
      </w:r>
      <w:smartTag w:uri="urn:schemas-microsoft-com:office:smarttags" w:element="Street">
        <w:smartTag w:uri="urn:schemas-microsoft-com:office:smarttags" w:element="address">
          <w:r w:rsidR="00DC3537">
            <w:t>Odessa Court</w:t>
          </w:r>
        </w:smartTag>
      </w:smartTag>
      <w:r w:rsidR="00DC3537">
        <w:t xml:space="preserve"> issued</w:t>
      </w:r>
      <w:r w:rsidR="00230EFB">
        <w:t xml:space="preserve"> a copy of the judgment of 27 June 2002 to the applicant</w:t>
      </w:r>
      <w:r w:rsidR="00D01D1E">
        <w:t>’</w:t>
      </w:r>
      <w:r w:rsidR="00230EFB">
        <w:t>s wife upon her written request.</w:t>
      </w:r>
    </w:p>
    <w:p w:rsidRPr="00EE1964" w:rsidR="007352DD" w:rsidP="008824B9" w:rsidRDefault="00602B75">
      <w:pPr>
        <w:pStyle w:val="JuHIRoman"/>
        <w:outlineLvl w:val="0"/>
      </w:pPr>
      <w:r>
        <w:t>II.  RELEVANT DOMESTIC LAW</w:t>
      </w:r>
    </w:p>
    <w:p w:rsidRPr="003711BA" w:rsidR="007352DD" w:rsidP="002F4BCF" w:rsidRDefault="00EE1964">
      <w:pPr>
        <w:pStyle w:val="JuPara"/>
        <w:rPr>
          <w:i/>
          <w:lang w:eastAsia="en-US"/>
        </w:rPr>
      </w:pPr>
      <w:r w:rsidRPr="00EE1964">
        <w:fldChar w:fldCharType="begin"/>
      </w:r>
      <w:r w:rsidRPr="00EE1964">
        <w:instrText xml:space="preserve"> SEQ level0 \*arabic </w:instrText>
      </w:r>
      <w:r w:rsidRPr="00EE1964">
        <w:fldChar w:fldCharType="separate"/>
      </w:r>
      <w:r w:rsidR="00D01D1E">
        <w:rPr>
          <w:noProof/>
        </w:rPr>
        <w:t>33</w:t>
      </w:r>
      <w:r w:rsidRPr="00EE1964">
        <w:fldChar w:fldCharType="end"/>
      </w:r>
      <w:r w:rsidRPr="00EE1964" w:rsidR="007352DD">
        <w:t>.  </w:t>
      </w:r>
      <w:r w:rsidR="00253265">
        <w:t>D</w:t>
      </w:r>
      <w:r w:rsidR="00195EEE">
        <w:t xml:space="preserve">omestic law </w:t>
      </w:r>
      <w:r w:rsidR="00253265">
        <w:t xml:space="preserve">pertinent to </w:t>
      </w:r>
      <w:r w:rsidR="00195EEE">
        <w:t>the applicant</w:t>
      </w:r>
      <w:r w:rsidR="00D01D1E">
        <w:t>’</w:t>
      </w:r>
      <w:r w:rsidR="00195EEE">
        <w:t xml:space="preserve">s </w:t>
      </w:r>
      <w:r w:rsidR="000A2013">
        <w:t>complaint</w:t>
      </w:r>
      <w:r w:rsidR="00195EEE">
        <w:t xml:space="preserve"> </w:t>
      </w:r>
      <w:r w:rsidR="005B40E0">
        <w:t xml:space="preserve">of the </w:t>
      </w:r>
      <w:r w:rsidR="00195EEE">
        <w:t xml:space="preserve">unlawful </w:t>
      </w:r>
      <w:r w:rsidR="00DF589E">
        <w:t>imposition of life</w:t>
      </w:r>
      <w:r w:rsidR="005B40E0">
        <w:t xml:space="preserve"> </w:t>
      </w:r>
      <w:r w:rsidR="00DF589E">
        <w:t xml:space="preserve">imprisonment was </w:t>
      </w:r>
      <w:r w:rsidR="00195EEE">
        <w:t xml:space="preserve">summarised in </w:t>
      </w:r>
      <w:r w:rsidRPr="00195EEE" w:rsidR="00195EEE">
        <w:rPr>
          <w:i/>
          <w:lang w:eastAsia="en-US"/>
        </w:rPr>
        <w:t>Naydyon v. Ukraine</w:t>
      </w:r>
      <w:r w:rsidRPr="00195EEE" w:rsidR="00195EEE">
        <w:rPr>
          <w:lang w:eastAsia="en-US"/>
        </w:rPr>
        <w:t xml:space="preserve"> </w:t>
      </w:r>
      <w:r w:rsidR="00701C5C">
        <w:rPr>
          <w:lang w:eastAsia="en-US"/>
        </w:rPr>
        <w:t>(</w:t>
      </w:r>
      <w:r w:rsidRPr="00195EEE" w:rsidR="00195EEE">
        <w:rPr>
          <w:lang w:eastAsia="en-US"/>
        </w:rPr>
        <w:t>no. 16474/03</w:t>
      </w:r>
      <w:r w:rsidRPr="00195EEE" w:rsidR="00195EEE">
        <w:rPr>
          <w:snapToGrid w:val="0"/>
          <w:szCs w:val="24"/>
          <w:lang w:val="pt-BR" w:eastAsia="en-US"/>
        </w:rPr>
        <w:t>, §</w:t>
      </w:r>
      <w:r w:rsidR="00195EEE">
        <w:rPr>
          <w:snapToGrid w:val="0"/>
          <w:szCs w:val="24"/>
          <w:lang w:val="pt-BR" w:eastAsia="en-US"/>
        </w:rPr>
        <w:t>§</w:t>
      </w:r>
      <w:r w:rsidRPr="00195EEE" w:rsidR="00195EEE">
        <w:rPr>
          <w:snapToGrid w:val="0"/>
          <w:szCs w:val="24"/>
          <w:lang w:val="pt-BR" w:eastAsia="en-US"/>
        </w:rPr>
        <w:t xml:space="preserve"> </w:t>
      </w:r>
      <w:r w:rsidR="00195EEE">
        <w:rPr>
          <w:snapToGrid w:val="0"/>
          <w:szCs w:val="24"/>
          <w:lang w:val="pt-BR" w:eastAsia="en-US"/>
        </w:rPr>
        <w:t>33-34</w:t>
      </w:r>
      <w:r w:rsidRPr="00195EEE" w:rsidR="00195EEE">
        <w:rPr>
          <w:snapToGrid w:val="0"/>
          <w:szCs w:val="24"/>
          <w:lang w:val="pt-BR" w:eastAsia="en-US"/>
        </w:rPr>
        <w:t>, 14 October 2010</w:t>
      </w:r>
      <w:r w:rsidR="00701C5C">
        <w:rPr>
          <w:snapToGrid w:val="0"/>
          <w:szCs w:val="24"/>
          <w:lang w:val="pt-BR" w:eastAsia="en-US"/>
        </w:rPr>
        <w:t>)</w:t>
      </w:r>
      <w:r w:rsidR="00C81C6A">
        <w:t>.</w:t>
      </w:r>
      <w:r w:rsidR="003711BA">
        <w:t xml:space="preserve"> The provisions of the Code of Criminal Procedure of 1960 relating to compulsory legal representation were </w:t>
      </w:r>
      <w:r w:rsidR="005B40E0">
        <w:t xml:space="preserve">set out </w:t>
      </w:r>
      <w:r w:rsidR="003711BA">
        <w:t xml:space="preserve">in </w:t>
      </w:r>
      <w:r w:rsidRPr="003711BA" w:rsidR="003711BA">
        <w:rPr>
          <w:i/>
          <w:szCs w:val="22"/>
          <w:lang w:eastAsia="en-US"/>
        </w:rPr>
        <w:t xml:space="preserve">Dovzhenko </w:t>
      </w:r>
      <w:r w:rsidRPr="003711BA" w:rsidR="003711BA">
        <w:rPr>
          <w:i/>
          <w:lang w:eastAsia="en-US"/>
        </w:rPr>
        <w:t>v. Ukraine</w:t>
      </w:r>
      <w:r w:rsidRPr="003711BA" w:rsidR="003711BA">
        <w:rPr>
          <w:lang w:eastAsia="en-US"/>
        </w:rPr>
        <w:t xml:space="preserve"> </w:t>
      </w:r>
      <w:r w:rsidR="003711BA">
        <w:rPr>
          <w:lang w:eastAsia="en-US"/>
        </w:rPr>
        <w:t>(</w:t>
      </w:r>
      <w:r w:rsidRPr="003711BA" w:rsidR="003711BA">
        <w:rPr>
          <w:lang w:eastAsia="en-US"/>
        </w:rPr>
        <w:t>no. 36650/03</w:t>
      </w:r>
      <w:r w:rsidRPr="003711BA" w:rsidR="003711BA">
        <w:rPr>
          <w:snapToGrid w:val="0"/>
          <w:szCs w:val="24"/>
          <w:lang w:val="pt-BR" w:eastAsia="en-US"/>
        </w:rPr>
        <w:t xml:space="preserve">, </w:t>
      </w:r>
      <w:r w:rsidR="003711BA">
        <w:rPr>
          <w:snapToGrid w:val="0"/>
          <w:szCs w:val="24"/>
          <w:lang w:val="pt-BR" w:eastAsia="en-US"/>
        </w:rPr>
        <w:t>§</w:t>
      </w:r>
      <w:r w:rsidRPr="003711BA" w:rsidR="003711BA">
        <w:rPr>
          <w:snapToGrid w:val="0"/>
          <w:szCs w:val="24"/>
          <w:lang w:val="pt-BR" w:eastAsia="en-US"/>
        </w:rPr>
        <w:t xml:space="preserve"> </w:t>
      </w:r>
      <w:r w:rsidR="003711BA">
        <w:rPr>
          <w:snapToGrid w:val="0"/>
          <w:szCs w:val="24"/>
          <w:lang w:val="pt-BR" w:eastAsia="en-US"/>
        </w:rPr>
        <w:t>31</w:t>
      </w:r>
      <w:r w:rsidRPr="003711BA" w:rsidR="003711BA">
        <w:rPr>
          <w:snapToGrid w:val="0"/>
          <w:szCs w:val="24"/>
          <w:lang w:val="pt-BR" w:eastAsia="en-US"/>
        </w:rPr>
        <w:t xml:space="preserve">, 12 </w:t>
      </w:r>
      <w:r w:rsidRPr="00B6165A" w:rsidR="003711BA">
        <w:rPr>
          <w:snapToGrid w:val="0"/>
          <w:szCs w:val="24"/>
          <w:lang w:eastAsia="en-US"/>
        </w:rPr>
        <w:t>January</w:t>
      </w:r>
      <w:r w:rsidRPr="003711BA" w:rsidR="003711BA">
        <w:rPr>
          <w:snapToGrid w:val="0"/>
          <w:szCs w:val="24"/>
          <w:lang w:val="pt-BR" w:eastAsia="en-US"/>
        </w:rPr>
        <w:t xml:space="preserve"> 2012</w:t>
      </w:r>
      <w:r w:rsidR="003711BA">
        <w:rPr>
          <w:snapToGrid w:val="0"/>
          <w:szCs w:val="24"/>
          <w:lang w:val="pt-BR" w:eastAsia="en-US"/>
        </w:rPr>
        <w:t>).</w:t>
      </w:r>
    </w:p>
    <w:p w:rsidRPr="00EE1964" w:rsidR="00F71A6A" w:rsidP="008824B9" w:rsidRDefault="00F71A6A">
      <w:pPr>
        <w:pStyle w:val="JuHHead"/>
      </w:pPr>
      <w:r w:rsidRPr="00EE1964">
        <w:t>THE LAW</w:t>
      </w:r>
    </w:p>
    <w:p w:rsidRPr="00301977" w:rsidR="0050115A" w:rsidP="0050115A" w:rsidRDefault="0050115A">
      <w:pPr>
        <w:pStyle w:val="JuHIRoman"/>
      </w:pPr>
      <w:r w:rsidRPr="00301977">
        <w:t>I.  SCOPE OF THE CASE</w:t>
      </w:r>
    </w:p>
    <w:p w:rsidRPr="00301977" w:rsidR="0050115A" w:rsidP="0050115A" w:rsidRDefault="0050115A">
      <w:pPr>
        <w:pStyle w:val="JuPara"/>
        <w:rPr>
          <w:szCs w:val="24"/>
        </w:rPr>
      </w:pPr>
      <w:r w:rsidRPr="00301977">
        <w:fldChar w:fldCharType="begin"/>
      </w:r>
      <w:r w:rsidRPr="00301977">
        <w:instrText xml:space="preserve"> SEQ level0 \*arabic </w:instrText>
      </w:r>
      <w:r w:rsidRPr="00301977">
        <w:fldChar w:fldCharType="separate"/>
      </w:r>
      <w:r w:rsidR="00D01D1E">
        <w:rPr>
          <w:noProof/>
        </w:rPr>
        <w:t>34</w:t>
      </w:r>
      <w:r w:rsidRPr="00301977">
        <w:fldChar w:fldCharType="end"/>
      </w:r>
      <w:r w:rsidRPr="00301977">
        <w:t xml:space="preserve">.  The Court notes that, after the communication of the case to the respondent Government, </w:t>
      </w:r>
      <w:r w:rsidRPr="00301977">
        <w:rPr>
          <w:szCs w:val="24"/>
        </w:rPr>
        <w:t xml:space="preserve">the applicant </w:t>
      </w:r>
      <w:r w:rsidR="001D4BB8">
        <w:rPr>
          <w:szCs w:val="24"/>
        </w:rPr>
        <w:t xml:space="preserve">lodged </w:t>
      </w:r>
      <w:r>
        <w:rPr>
          <w:szCs w:val="24"/>
        </w:rPr>
        <w:t xml:space="preserve">a </w:t>
      </w:r>
      <w:r w:rsidRPr="00301977">
        <w:rPr>
          <w:szCs w:val="24"/>
        </w:rPr>
        <w:t>new complaint</w:t>
      </w:r>
      <w:r>
        <w:rPr>
          <w:szCs w:val="24"/>
        </w:rPr>
        <w:t xml:space="preserve"> und</w:t>
      </w:r>
      <w:r w:rsidR="00DC68CB">
        <w:rPr>
          <w:szCs w:val="24"/>
        </w:rPr>
        <w:t>er Article </w:t>
      </w:r>
      <w:r>
        <w:rPr>
          <w:szCs w:val="24"/>
        </w:rPr>
        <w:t>34 of the Convention</w:t>
      </w:r>
      <w:r w:rsidRPr="00301977">
        <w:rPr>
          <w:szCs w:val="24"/>
        </w:rPr>
        <w:t>.</w:t>
      </w:r>
      <w:r w:rsidRPr="0050115A">
        <w:rPr>
          <w:szCs w:val="24"/>
        </w:rPr>
        <w:t xml:space="preserve"> </w:t>
      </w:r>
      <w:r w:rsidRPr="00301977">
        <w:rPr>
          <w:szCs w:val="24"/>
        </w:rPr>
        <w:t>In particular, i</w:t>
      </w:r>
      <w:r w:rsidRPr="00301977">
        <w:t xml:space="preserve">n his submissions dated </w:t>
      </w:r>
      <w:r w:rsidR="00DC68CB">
        <w:t>27 </w:t>
      </w:r>
      <w:r>
        <w:t xml:space="preserve">February 2012 </w:t>
      </w:r>
      <w:r w:rsidRPr="00301977">
        <w:t xml:space="preserve">the applicant complained </w:t>
      </w:r>
      <w:r>
        <w:t>that</w:t>
      </w:r>
      <w:r w:rsidR="00A62A67">
        <w:t xml:space="preserve"> while in prison he had received a damaged envelope</w:t>
      </w:r>
      <w:r w:rsidR="00B7424C">
        <w:t>,</w:t>
      </w:r>
      <w:r w:rsidR="00A62A67">
        <w:t xml:space="preserve"> which </w:t>
      </w:r>
      <w:r w:rsidR="00B7424C">
        <w:t xml:space="preserve">had </w:t>
      </w:r>
      <w:r w:rsidR="00A62A67">
        <w:t xml:space="preserve">included </w:t>
      </w:r>
      <w:r w:rsidR="00B7424C">
        <w:t xml:space="preserve">a letter from the </w:t>
      </w:r>
      <w:r w:rsidR="00A62A67">
        <w:t>Court inviting the applicant to comment on the Government</w:t>
      </w:r>
      <w:r w:rsidR="00D01D1E">
        <w:t>’</w:t>
      </w:r>
      <w:r w:rsidR="00A62A67">
        <w:t>s observations and a copy of those observations</w:t>
      </w:r>
      <w:r w:rsidR="00C07BE4">
        <w:t xml:space="preserve"> together with annexed documents</w:t>
      </w:r>
      <w:r w:rsidR="00A62A67">
        <w:t xml:space="preserve">. </w:t>
      </w:r>
      <w:r w:rsidR="00123EEA">
        <w:t>T</w:t>
      </w:r>
      <w:r w:rsidR="00A62A67">
        <w:t xml:space="preserve">he applicant believed that the </w:t>
      </w:r>
      <w:r w:rsidR="00B7424C">
        <w:t xml:space="preserve">envelope </w:t>
      </w:r>
      <w:r w:rsidR="00E25D12">
        <w:t xml:space="preserve">had been </w:t>
      </w:r>
      <w:r w:rsidR="001D4BB8">
        <w:t xml:space="preserve">opened by the prison authorities. He also alleged that a copy of </w:t>
      </w:r>
      <w:r w:rsidR="00B7424C">
        <w:t xml:space="preserve">a </w:t>
      </w:r>
      <w:r w:rsidR="001D4BB8">
        <w:t>document to which reference had been made in the Government</w:t>
      </w:r>
      <w:r w:rsidR="00D01D1E">
        <w:t>’</w:t>
      </w:r>
      <w:r w:rsidR="001D4BB8">
        <w:t>s observations was missing.</w:t>
      </w:r>
    </w:p>
    <w:p w:rsidRPr="00301977" w:rsidR="0050115A" w:rsidP="0050115A" w:rsidRDefault="0050115A">
      <w:pPr>
        <w:pStyle w:val="JuPara"/>
        <w:rPr>
          <w:lang w:eastAsia="en-US"/>
        </w:rPr>
      </w:pPr>
      <w:r w:rsidRPr="00301977">
        <w:fldChar w:fldCharType="begin"/>
      </w:r>
      <w:r w:rsidRPr="00301977">
        <w:instrText xml:space="preserve"> SEQ level0 \*arabic </w:instrText>
      </w:r>
      <w:r w:rsidRPr="00301977">
        <w:fldChar w:fldCharType="separate"/>
      </w:r>
      <w:r w:rsidR="00D01D1E">
        <w:rPr>
          <w:noProof/>
        </w:rPr>
        <w:t>35</w:t>
      </w:r>
      <w:r w:rsidRPr="00301977">
        <w:fldChar w:fldCharType="end"/>
      </w:r>
      <w:r w:rsidRPr="00301977">
        <w:t>.  In the Court</w:t>
      </w:r>
      <w:r w:rsidR="00D01D1E">
        <w:t>’</w:t>
      </w:r>
      <w:r w:rsidRPr="00301977">
        <w:t>s view, the applicant</w:t>
      </w:r>
      <w:r w:rsidR="00D01D1E">
        <w:t>’</w:t>
      </w:r>
      <w:r w:rsidRPr="00301977">
        <w:t xml:space="preserve">s new </w:t>
      </w:r>
      <w:r w:rsidR="00896C17">
        <w:t xml:space="preserve">complaint is </w:t>
      </w:r>
      <w:r w:rsidRPr="00301977">
        <w:t xml:space="preserve">not an elaboration of his original complaints to the Court on which the parties have commented. The Court considers, therefore, that it is not appropriate to take these matters up in the context of the present case (see </w:t>
      </w:r>
      <w:r w:rsidR="009E1E9B">
        <w:rPr>
          <w:i/>
          <w:lang w:eastAsia="en-US"/>
        </w:rPr>
        <w:t xml:space="preserve">Piryanik v. </w:t>
      </w:r>
      <w:r w:rsidRPr="00301977">
        <w:rPr>
          <w:i/>
          <w:lang w:eastAsia="en-US"/>
        </w:rPr>
        <w:t>Ukraine</w:t>
      </w:r>
      <w:r w:rsidRPr="00301977">
        <w:rPr>
          <w:lang w:eastAsia="en-US"/>
        </w:rPr>
        <w:t>, no. 75788/01, §</w:t>
      </w:r>
      <w:r w:rsidR="008E02F2">
        <w:rPr>
          <w:lang w:eastAsia="en-US"/>
        </w:rPr>
        <w:t xml:space="preserve"> </w:t>
      </w:r>
      <w:r w:rsidRPr="00301977">
        <w:rPr>
          <w:lang w:eastAsia="en-US"/>
        </w:rPr>
        <w:t>20, 19 April 2005</w:t>
      </w:r>
      <w:r w:rsidRPr="00301977">
        <w:t>).</w:t>
      </w:r>
    </w:p>
    <w:p w:rsidRPr="00EE1964" w:rsidR="00F71A6A" w:rsidRDefault="00F71A6A">
      <w:pPr>
        <w:pStyle w:val="JuHIRoman"/>
      </w:pPr>
      <w:r w:rsidRPr="00EE1964">
        <w:t>I</w:t>
      </w:r>
      <w:r w:rsidR="007E3F25">
        <w:t>I</w:t>
      </w:r>
      <w:r w:rsidRPr="00EE1964">
        <w:t xml:space="preserve">.  ALLEGED VIOLATION OF ARTICLE </w:t>
      </w:r>
      <w:r w:rsidR="00680836">
        <w:t>6</w:t>
      </w:r>
      <w:r w:rsidRPr="00EE1964">
        <w:t xml:space="preserve"> OF THE CONVENTION</w:t>
      </w:r>
    </w:p>
    <w:p w:rsidR="00D152BA" w:rsidP="002F4BCF" w:rsidRDefault="00EE1964">
      <w:pPr>
        <w:pStyle w:val="JuPara"/>
      </w:pPr>
      <w:r w:rsidRPr="00EE1964">
        <w:fldChar w:fldCharType="begin"/>
      </w:r>
      <w:r w:rsidRPr="00EE1964">
        <w:instrText xml:space="preserve"> SEQ level0 \*arabic </w:instrText>
      </w:r>
      <w:r w:rsidRPr="00EE1964">
        <w:fldChar w:fldCharType="separate"/>
      </w:r>
      <w:r w:rsidR="00D01D1E">
        <w:rPr>
          <w:noProof/>
        </w:rPr>
        <w:t>36</w:t>
      </w:r>
      <w:r w:rsidRPr="00EE1964">
        <w:fldChar w:fldCharType="end"/>
      </w:r>
      <w:r w:rsidRPr="00EE1964" w:rsidR="00F71A6A">
        <w:t xml:space="preserve">.  The </w:t>
      </w:r>
      <w:r w:rsidRPr="00EE1964" w:rsidR="005F4753">
        <w:t>applicant</w:t>
      </w:r>
      <w:r w:rsidRPr="00EE1964" w:rsidR="00F71A6A">
        <w:t xml:space="preserve"> complained </w:t>
      </w:r>
      <w:r w:rsidR="00EC23E8">
        <w:t>that</w:t>
      </w:r>
      <w:r w:rsidR="001368D1">
        <w:t xml:space="preserve"> the criminal proceedings against him</w:t>
      </w:r>
      <w:r w:rsidR="00EC23E8">
        <w:t xml:space="preserve"> had been unfair</w:t>
      </w:r>
      <w:r w:rsidR="001368D1">
        <w:t xml:space="preserve">. In particular, he alleged </w:t>
      </w:r>
      <w:r w:rsidRPr="00D35DB6" w:rsidR="001368D1">
        <w:t xml:space="preserve">that the </w:t>
      </w:r>
      <w:r w:rsidR="00DC3537">
        <w:t>Odessa Court had</w:t>
      </w:r>
      <w:r w:rsidR="001368D1">
        <w:t xml:space="preserve"> </w:t>
      </w:r>
      <w:r w:rsidRPr="00D35DB6" w:rsidR="001368D1">
        <w:t xml:space="preserve">not </w:t>
      </w:r>
      <w:r w:rsidR="00667CC3">
        <w:t>had jurisdiction</w:t>
      </w:r>
      <w:r w:rsidRPr="00D35DB6" w:rsidR="001368D1">
        <w:t xml:space="preserve"> to try him, that the courts </w:t>
      </w:r>
      <w:r w:rsidR="001368D1">
        <w:t>had incorrectly</w:t>
      </w:r>
      <w:r w:rsidRPr="00D35DB6" w:rsidR="001368D1">
        <w:t xml:space="preserve"> applied the law and assessed the evidence in his case, that they </w:t>
      </w:r>
      <w:r w:rsidR="001368D1">
        <w:t xml:space="preserve">had </w:t>
      </w:r>
      <w:r w:rsidRPr="00D35DB6" w:rsidR="001368D1">
        <w:t>unlawfully used self</w:t>
      </w:r>
      <w:r w:rsidR="00B6165A">
        <w:noBreakHyphen/>
      </w:r>
      <w:r w:rsidRPr="00D35DB6" w:rsidR="001368D1">
        <w:t xml:space="preserve">incriminating statements obtained </w:t>
      </w:r>
      <w:r w:rsidR="00EC23E8">
        <w:t xml:space="preserve">from him </w:t>
      </w:r>
      <w:r w:rsidRPr="00D35DB6" w:rsidR="001368D1">
        <w:t xml:space="preserve">under </w:t>
      </w:r>
      <w:r w:rsidR="007475A2">
        <w:t>torture</w:t>
      </w:r>
      <w:r w:rsidRPr="00D35DB6" w:rsidR="001368D1">
        <w:t xml:space="preserve">, and that </w:t>
      </w:r>
      <w:r w:rsidR="001368D1">
        <w:t>his</w:t>
      </w:r>
      <w:r w:rsidRPr="00D35DB6" w:rsidR="001368D1">
        <w:t xml:space="preserve"> right to</w:t>
      </w:r>
      <w:r w:rsidR="00EC23E8">
        <w:t xml:space="preserve"> </w:t>
      </w:r>
      <w:r w:rsidR="00D60E75">
        <w:t>be assisted by a lawyer</w:t>
      </w:r>
      <w:r w:rsidRPr="00D35DB6" w:rsidR="001368D1">
        <w:t xml:space="preserve"> </w:t>
      </w:r>
      <w:r w:rsidR="00D152BA">
        <w:t xml:space="preserve">had been </w:t>
      </w:r>
      <w:r w:rsidRPr="00D35DB6" w:rsidR="001368D1">
        <w:t>violated</w:t>
      </w:r>
      <w:r w:rsidR="00D152BA">
        <w:t>.</w:t>
      </w:r>
    </w:p>
    <w:p w:rsidRPr="00EE1964" w:rsidR="00F71A6A" w:rsidP="002F4BCF" w:rsidRDefault="00B144B2">
      <w:pPr>
        <w:pStyle w:val="JuPara"/>
      </w:pPr>
      <w:r>
        <w:fldChar w:fldCharType="begin"/>
      </w:r>
      <w:r>
        <w:instrText xml:space="preserve"> SEQ level0 \*arabic </w:instrText>
      </w:r>
      <w:r>
        <w:fldChar w:fldCharType="separate"/>
      </w:r>
      <w:r w:rsidR="00D01D1E">
        <w:rPr>
          <w:noProof/>
        </w:rPr>
        <w:t>37</w:t>
      </w:r>
      <w:r>
        <w:fldChar w:fldCharType="end"/>
      </w:r>
      <w:r>
        <w:t>.  </w:t>
      </w:r>
      <w:r w:rsidR="00D152BA">
        <w:t xml:space="preserve">The applicant relied on </w:t>
      </w:r>
      <w:r w:rsidRPr="00D35DB6" w:rsidR="001368D1">
        <w:t>Article</w:t>
      </w:r>
      <w:r w:rsidR="008E02F2">
        <w:t xml:space="preserve"> </w:t>
      </w:r>
      <w:r w:rsidRPr="00D35DB6" w:rsidR="001368D1">
        <w:t>6</w:t>
      </w:r>
      <w:r w:rsidR="008E02F2">
        <w:t xml:space="preserve"> </w:t>
      </w:r>
      <w:r w:rsidRPr="00D35DB6" w:rsidR="001368D1">
        <w:t>§§</w:t>
      </w:r>
      <w:r w:rsidR="008E02F2">
        <w:t xml:space="preserve"> </w:t>
      </w:r>
      <w:r w:rsidRPr="00D35DB6" w:rsidR="001368D1">
        <w:t>1 and 3 (c) of the Convention</w:t>
      </w:r>
      <w:r w:rsidR="00D152BA">
        <w:t xml:space="preserve"> </w:t>
      </w:r>
      <w:r w:rsidRPr="00EE1964" w:rsidR="00F71A6A">
        <w:t>which read</w:t>
      </w:r>
      <w:r w:rsidR="00D152BA">
        <w:t>, in so far as relevant,</w:t>
      </w:r>
      <w:r w:rsidRPr="00EE1964" w:rsidR="00F71A6A">
        <w:t xml:space="preserve"> as follows:</w:t>
      </w:r>
    </w:p>
    <w:p w:rsidR="00D152BA" w:rsidRDefault="00D152BA">
      <w:pPr>
        <w:pStyle w:val="JuQuot"/>
      </w:pPr>
      <w:r>
        <w:t xml:space="preserve">“1.  In the determination of </w:t>
      </w:r>
      <w:r w:rsidR="005F3261">
        <w:t>...</w:t>
      </w:r>
      <w:r>
        <w:t xml:space="preserve"> any criminal charge against him, everyone is entitled to a fair </w:t>
      </w:r>
      <w:r w:rsidR="005F3261">
        <w:t>...</w:t>
      </w:r>
      <w:r>
        <w:t xml:space="preserve"> hearing </w:t>
      </w:r>
      <w:r w:rsidR="005F3261">
        <w:t>...</w:t>
      </w:r>
      <w:r>
        <w:t xml:space="preserve"> by [a] </w:t>
      </w:r>
      <w:r w:rsidR="005F3261">
        <w:t>...</w:t>
      </w:r>
      <w:r w:rsidR="00E55A25">
        <w:t xml:space="preserve"> tribunal established by law </w:t>
      </w:r>
      <w:r w:rsidR="005F3261">
        <w:t>...</w:t>
      </w:r>
    </w:p>
    <w:p w:rsidR="00E55A25" w:rsidRDefault="005F3261">
      <w:pPr>
        <w:pStyle w:val="JuQuot"/>
      </w:pPr>
      <w:r>
        <w:t>...</w:t>
      </w:r>
    </w:p>
    <w:p w:rsidR="00D152BA" w:rsidRDefault="00D152BA">
      <w:pPr>
        <w:pStyle w:val="JuQuot"/>
      </w:pPr>
      <w:r>
        <w:t>3.  Everyone charged with a criminal offence has the following minimum rights:</w:t>
      </w:r>
    </w:p>
    <w:p w:rsidR="00D152BA" w:rsidRDefault="005F3261">
      <w:pPr>
        <w:pStyle w:val="JuQuot"/>
      </w:pPr>
      <w:r>
        <w:t>...</w:t>
      </w:r>
    </w:p>
    <w:p w:rsidR="00D152BA" w:rsidRDefault="00D152BA">
      <w:pPr>
        <w:pStyle w:val="JuQuot"/>
      </w:pPr>
      <w:r>
        <w:t>(c)  to defend himself in person or through legal assistance of his own choosing or, if he has not sufficient means to pay for legal assistance, to be given it free when the interests of justice so require;</w:t>
      </w:r>
    </w:p>
    <w:p w:rsidR="005B16A8" w:rsidRDefault="00E55A25">
      <w:pPr>
        <w:pStyle w:val="JuQuot"/>
      </w:pPr>
      <w:r>
        <w:t>..</w:t>
      </w:r>
      <w:r w:rsidR="00D152BA">
        <w:t>.”</w:t>
      </w:r>
    </w:p>
    <w:p w:rsidR="007D05A2" w:rsidP="002F4BCF" w:rsidRDefault="00B144B2">
      <w:pPr>
        <w:pStyle w:val="JuPara"/>
      </w:pPr>
      <w:r>
        <w:fldChar w:fldCharType="begin"/>
      </w:r>
      <w:r>
        <w:instrText xml:space="preserve"> SEQ level0 \*arabic </w:instrText>
      </w:r>
      <w:r>
        <w:fldChar w:fldCharType="separate"/>
      </w:r>
      <w:r w:rsidR="00D01D1E">
        <w:rPr>
          <w:noProof/>
        </w:rPr>
        <w:t>38</w:t>
      </w:r>
      <w:r>
        <w:fldChar w:fldCharType="end"/>
      </w:r>
      <w:r>
        <w:t>.  </w:t>
      </w:r>
      <w:r w:rsidR="007D05A2">
        <w:t>The Government submitted that the applicant</w:t>
      </w:r>
      <w:r w:rsidR="00655BAA">
        <w:t xml:space="preserve"> </w:t>
      </w:r>
      <w:r w:rsidR="00542F78">
        <w:t xml:space="preserve">had not raised </w:t>
      </w:r>
      <w:r w:rsidR="00BC457C">
        <w:t>the</w:t>
      </w:r>
      <w:r w:rsidR="007D05A2">
        <w:t xml:space="preserve"> complaints </w:t>
      </w:r>
      <w:r w:rsidR="00EC23E8">
        <w:t xml:space="preserve">of a </w:t>
      </w:r>
      <w:r w:rsidR="00655BAA">
        <w:t>violation of his right to</w:t>
      </w:r>
      <w:r w:rsidR="00EC23E8">
        <w:t xml:space="preserve"> </w:t>
      </w:r>
      <w:r w:rsidR="00D60E75">
        <w:t>be assisted by a lawyer</w:t>
      </w:r>
      <w:r w:rsidR="00655BAA">
        <w:t xml:space="preserve"> and </w:t>
      </w:r>
      <w:r w:rsidR="00EC23E8">
        <w:t xml:space="preserve">of </w:t>
      </w:r>
      <w:r w:rsidR="00655BAA">
        <w:t xml:space="preserve">the </w:t>
      </w:r>
      <w:r w:rsidR="00F85DC6">
        <w:t>Odessa C</w:t>
      </w:r>
      <w:r w:rsidR="00655BAA">
        <w:t>ourt</w:t>
      </w:r>
      <w:r w:rsidR="00D01D1E">
        <w:t>’</w:t>
      </w:r>
      <w:r w:rsidR="00655BAA">
        <w:t xml:space="preserve">s </w:t>
      </w:r>
      <w:r w:rsidR="008E141D">
        <w:t>non-</w:t>
      </w:r>
      <w:r w:rsidR="00655BAA">
        <w:t xml:space="preserve">compliance with the requirement of </w:t>
      </w:r>
      <w:r w:rsidR="00EC23E8">
        <w:t xml:space="preserve">a </w:t>
      </w:r>
      <w:r w:rsidR="00655BAA">
        <w:t>“tribunal established by law”</w:t>
      </w:r>
      <w:r w:rsidR="00542F78">
        <w:t xml:space="preserve"> before the </w:t>
      </w:r>
      <w:r w:rsidR="00A06B5E">
        <w:t xml:space="preserve">Supreme Court and </w:t>
      </w:r>
      <w:r w:rsidR="00EC23E8">
        <w:t xml:space="preserve">had </w:t>
      </w:r>
      <w:r w:rsidR="00A06B5E">
        <w:t xml:space="preserve">therefore not exhausted domestic remedies in that respect. According to the Government, </w:t>
      </w:r>
      <w:r w:rsidR="00792D2B">
        <w:t>t</w:t>
      </w:r>
      <w:r w:rsidR="00655BAA">
        <w:t xml:space="preserve">he </w:t>
      </w:r>
      <w:r w:rsidR="00EC23E8">
        <w:t>remainder</w:t>
      </w:r>
      <w:r w:rsidR="00655BAA">
        <w:t xml:space="preserve"> of the </w:t>
      </w:r>
      <w:r w:rsidR="00A06B5E">
        <w:t>applicant</w:t>
      </w:r>
      <w:r w:rsidR="00D01D1E">
        <w:t>’</w:t>
      </w:r>
      <w:r w:rsidR="00A06B5E">
        <w:t xml:space="preserve">s </w:t>
      </w:r>
      <w:r w:rsidR="00655BAA">
        <w:t xml:space="preserve">complaints </w:t>
      </w:r>
      <w:r w:rsidR="007D05A2">
        <w:t>under Article</w:t>
      </w:r>
      <w:r w:rsidR="008E02F2">
        <w:t xml:space="preserve"> </w:t>
      </w:r>
      <w:r w:rsidR="007D05A2">
        <w:t>6 of the Convention</w:t>
      </w:r>
      <w:r w:rsidR="00655BAA">
        <w:t xml:space="preserve"> </w:t>
      </w:r>
      <w:r w:rsidR="00EC23E8">
        <w:t xml:space="preserve">were </w:t>
      </w:r>
      <w:r w:rsidR="00655BAA">
        <w:t>unsubstantiated.</w:t>
      </w:r>
    </w:p>
    <w:p w:rsidR="00E72D39" w:rsidP="002F4BCF" w:rsidRDefault="00B144B2">
      <w:pPr>
        <w:pStyle w:val="JuPara"/>
      </w:pPr>
      <w:r>
        <w:fldChar w:fldCharType="begin"/>
      </w:r>
      <w:r>
        <w:instrText xml:space="preserve"> SEQ level0 \*arabic </w:instrText>
      </w:r>
      <w:r>
        <w:fldChar w:fldCharType="separate"/>
      </w:r>
      <w:r w:rsidR="00D01D1E">
        <w:rPr>
          <w:noProof/>
        </w:rPr>
        <w:t>39</w:t>
      </w:r>
      <w:r>
        <w:fldChar w:fldCharType="end"/>
      </w:r>
      <w:r>
        <w:t>.  </w:t>
      </w:r>
      <w:r w:rsidR="00E72D39">
        <w:t>The applicant did not contest the Government</w:t>
      </w:r>
      <w:r w:rsidR="00D01D1E">
        <w:t>’</w:t>
      </w:r>
      <w:r w:rsidR="00E72D39">
        <w:t>s submissions</w:t>
      </w:r>
      <w:r w:rsidR="00EC23E8">
        <w:t>,</w:t>
      </w:r>
      <w:r w:rsidR="003C28FA">
        <w:t xml:space="preserve"> except in so far as they concerned the alleged violation of </w:t>
      </w:r>
      <w:r w:rsidR="00EC23E8">
        <w:t>his</w:t>
      </w:r>
      <w:r w:rsidR="003C28FA">
        <w:t xml:space="preserve"> right to </w:t>
      </w:r>
      <w:r w:rsidR="00D60E75">
        <w:t>be assisted by a lawyer</w:t>
      </w:r>
      <w:r w:rsidR="003C28FA">
        <w:t xml:space="preserve"> during the proceedings before the Supreme Court. In that regard, he stated that he had exhausted the domestic remedies available to him. In particular, </w:t>
      </w:r>
      <w:r w:rsidR="00332FF9">
        <w:t xml:space="preserve">the applicant </w:t>
      </w:r>
      <w:r w:rsidR="003C28FA">
        <w:t xml:space="preserve">had </w:t>
      </w:r>
      <w:r w:rsidR="00EC23E8">
        <w:t xml:space="preserve">asked </w:t>
      </w:r>
      <w:r w:rsidR="003C28FA">
        <w:t xml:space="preserve">the Supreme Court </w:t>
      </w:r>
      <w:r w:rsidR="00332FF9">
        <w:t xml:space="preserve">to appoint him a lawyer </w:t>
      </w:r>
      <w:r w:rsidR="00013EAD">
        <w:t>to represent him in the proceedings before that court</w:t>
      </w:r>
      <w:r w:rsidR="00332FF9">
        <w:t xml:space="preserve"> (see paragraph</w:t>
      </w:r>
      <w:r w:rsidR="009E1E9B">
        <w:t> </w:t>
      </w:r>
      <w:r w:rsidR="00013EAD">
        <w:t>24</w:t>
      </w:r>
      <w:r w:rsidR="00332FF9">
        <w:t xml:space="preserve"> above).</w:t>
      </w:r>
      <w:r w:rsidR="00D9022E">
        <w:t xml:space="preserve"> </w:t>
      </w:r>
      <w:r w:rsidRPr="00036211" w:rsidR="00D9022E">
        <w:t xml:space="preserve">However, his request had </w:t>
      </w:r>
      <w:r w:rsidR="00B57E2D">
        <w:t>not been allowed</w:t>
      </w:r>
      <w:r w:rsidR="00036211">
        <w:t>.</w:t>
      </w:r>
    </w:p>
    <w:p w:rsidR="00836A82" w:rsidP="002F4BCF" w:rsidRDefault="00B144B2">
      <w:pPr>
        <w:pStyle w:val="JuPara"/>
      </w:pPr>
      <w:r>
        <w:fldChar w:fldCharType="begin"/>
      </w:r>
      <w:r>
        <w:instrText xml:space="preserve"> SEQ level0 \*arabic </w:instrText>
      </w:r>
      <w:r>
        <w:fldChar w:fldCharType="separate"/>
      </w:r>
      <w:r w:rsidR="00D01D1E">
        <w:rPr>
          <w:noProof/>
        </w:rPr>
        <w:t>40</w:t>
      </w:r>
      <w:r>
        <w:fldChar w:fldCharType="end"/>
      </w:r>
      <w:r>
        <w:t>.  </w:t>
      </w:r>
      <w:r w:rsidR="00FB434B">
        <w:t>The applicant</w:t>
      </w:r>
      <w:r w:rsidR="00FA47EA">
        <w:t xml:space="preserve"> further</w:t>
      </w:r>
      <w:r w:rsidR="00FB434B">
        <w:t xml:space="preserve"> argued that given his lack of funds, the seriousness of the matters at stake and the nature of the </w:t>
      </w:r>
      <w:r w:rsidR="001C5CB9">
        <w:t xml:space="preserve">cassation appeal </w:t>
      </w:r>
      <w:r w:rsidR="00FB434B">
        <w:t xml:space="preserve">proceedings the </w:t>
      </w:r>
      <w:r w:rsidR="001C5CB9">
        <w:t xml:space="preserve">authorities had been under a </w:t>
      </w:r>
      <w:r w:rsidR="00FB434B">
        <w:t xml:space="preserve">duty to provide </w:t>
      </w:r>
      <w:r w:rsidR="00EC23E8">
        <w:t>him</w:t>
      </w:r>
      <w:r w:rsidR="00FB434B">
        <w:t xml:space="preserve"> with </w:t>
      </w:r>
      <w:r w:rsidR="00EC23E8">
        <w:t xml:space="preserve">free </w:t>
      </w:r>
      <w:r w:rsidR="00FB434B">
        <w:t xml:space="preserve">legal aid at that stage. However, </w:t>
      </w:r>
      <w:r w:rsidR="00836A82">
        <w:t xml:space="preserve">the Supreme Court </w:t>
      </w:r>
      <w:r w:rsidR="008E4197">
        <w:t xml:space="preserve">had denied </w:t>
      </w:r>
      <w:r w:rsidR="00F60FD6">
        <w:t xml:space="preserve">being under </w:t>
      </w:r>
      <w:r w:rsidR="00FB434B">
        <w:t xml:space="preserve">such a </w:t>
      </w:r>
      <w:r w:rsidR="00F60FD6">
        <w:t>duty</w:t>
      </w:r>
      <w:r w:rsidR="00C10C04">
        <w:t xml:space="preserve">. </w:t>
      </w:r>
      <w:r w:rsidR="00FB434B">
        <w:t xml:space="preserve">The applicant </w:t>
      </w:r>
      <w:r w:rsidR="00FA47EA">
        <w:t xml:space="preserve">also </w:t>
      </w:r>
      <w:r w:rsidR="00FB434B">
        <w:t xml:space="preserve">argued that </w:t>
      </w:r>
      <w:r w:rsidR="00836A82">
        <w:t xml:space="preserve">domestic law </w:t>
      </w:r>
      <w:r w:rsidR="001C5CB9">
        <w:t xml:space="preserve">had </w:t>
      </w:r>
      <w:r w:rsidR="00836A82">
        <w:t xml:space="preserve">not </w:t>
      </w:r>
      <w:r w:rsidR="001C5CB9">
        <w:t xml:space="preserve">provided </w:t>
      </w:r>
      <w:r w:rsidR="00836A82">
        <w:t xml:space="preserve">for a procedure </w:t>
      </w:r>
      <w:r w:rsidR="001C5CB9">
        <w:t>whereby</w:t>
      </w:r>
      <w:r w:rsidR="00EC23E8">
        <w:t xml:space="preserve"> a legal aid</w:t>
      </w:r>
      <w:r w:rsidR="00E46F16">
        <w:t xml:space="preserve"> </w:t>
      </w:r>
      <w:r w:rsidR="00836A82">
        <w:t xml:space="preserve">lawyer </w:t>
      </w:r>
      <w:r w:rsidR="00EC23E8">
        <w:t xml:space="preserve">could have been appointed </w:t>
      </w:r>
      <w:r w:rsidR="00836A82">
        <w:t>at</w:t>
      </w:r>
      <w:r w:rsidR="001C1EEE">
        <w:t xml:space="preserve"> that stage of the proceedings.</w:t>
      </w:r>
    </w:p>
    <w:p w:rsidR="00F01F73" w:rsidP="002F4BCF" w:rsidRDefault="00B144B2">
      <w:pPr>
        <w:pStyle w:val="JuPara"/>
      </w:pPr>
      <w:r>
        <w:fldChar w:fldCharType="begin"/>
      </w:r>
      <w:r>
        <w:instrText xml:space="preserve"> SEQ level0 \*arabic </w:instrText>
      </w:r>
      <w:r>
        <w:fldChar w:fldCharType="separate"/>
      </w:r>
      <w:r w:rsidR="00D01D1E">
        <w:rPr>
          <w:noProof/>
        </w:rPr>
        <w:t>41</w:t>
      </w:r>
      <w:r>
        <w:fldChar w:fldCharType="end"/>
      </w:r>
      <w:r>
        <w:t>.  </w:t>
      </w:r>
      <w:r w:rsidR="008E204C">
        <w:t xml:space="preserve">The Court </w:t>
      </w:r>
      <w:r w:rsidR="007475A2">
        <w:t xml:space="preserve">notes that the applicant failed to </w:t>
      </w:r>
      <w:r w:rsidR="00684512">
        <w:t xml:space="preserve">raise some of his complaints under Article 6 of the Convention before the Supreme Court, </w:t>
      </w:r>
      <w:r w:rsidR="00F01F73">
        <w:t xml:space="preserve">namely the complaint </w:t>
      </w:r>
      <w:r w:rsidR="00667CC3">
        <w:t xml:space="preserve">concerning </w:t>
      </w:r>
      <w:r w:rsidR="00F01F73">
        <w:t xml:space="preserve">the </w:t>
      </w:r>
      <w:r w:rsidR="00A775D7">
        <w:t>power</w:t>
      </w:r>
      <w:r w:rsidR="00F01F73">
        <w:t xml:space="preserve"> of the </w:t>
      </w:r>
      <w:r w:rsidR="00DC3537">
        <w:t xml:space="preserve">Odessa Court </w:t>
      </w:r>
      <w:r w:rsidR="00A775D7">
        <w:t xml:space="preserve">to try him </w:t>
      </w:r>
      <w:r w:rsidR="00DC3537">
        <w:t>and</w:t>
      </w:r>
      <w:r w:rsidR="00F01F73">
        <w:t xml:space="preserve"> the complaint </w:t>
      </w:r>
      <w:r w:rsidR="00667CC3">
        <w:t xml:space="preserve">of </w:t>
      </w:r>
      <w:r w:rsidR="00F01F73">
        <w:t xml:space="preserve">a violation of </w:t>
      </w:r>
      <w:r w:rsidR="00667CC3">
        <w:t>his</w:t>
      </w:r>
      <w:r w:rsidR="00F01F73">
        <w:t xml:space="preserve"> right to </w:t>
      </w:r>
      <w:r w:rsidR="00D60E75">
        <w:t>be assisted by a lawyer</w:t>
      </w:r>
      <w:r w:rsidR="00667CC3">
        <w:t>,</w:t>
      </w:r>
      <w:r w:rsidR="00F01F73">
        <w:t xml:space="preserve"> in so far as </w:t>
      </w:r>
      <w:r w:rsidR="00667CC3">
        <w:t xml:space="preserve">the latter complaint </w:t>
      </w:r>
      <w:r w:rsidR="00F01F73">
        <w:t>concerns the proceedings before the applicant</w:t>
      </w:r>
      <w:r w:rsidR="00D01D1E">
        <w:t>’</w:t>
      </w:r>
      <w:r w:rsidR="00F01F73">
        <w:t>s conviction on 27 June 2002.</w:t>
      </w:r>
      <w:r w:rsidR="0033206B">
        <w:t xml:space="preserve"> Thus those complaints must be rejected for non-exhaustion of domestic remedies.</w:t>
      </w:r>
    </w:p>
    <w:p w:rsidR="00DE7E96" w:rsidP="00DE7E96" w:rsidRDefault="00DE7E96">
      <w:pPr>
        <w:pStyle w:val="JuPara"/>
      </w:pPr>
      <w:r>
        <w:fldChar w:fldCharType="begin"/>
      </w:r>
      <w:r>
        <w:instrText xml:space="preserve"> SEQ level0 \*arabic </w:instrText>
      </w:r>
      <w:r>
        <w:fldChar w:fldCharType="separate"/>
      </w:r>
      <w:r w:rsidR="00D01D1E">
        <w:rPr>
          <w:noProof/>
        </w:rPr>
        <w:t>42</w:t>
      </w:r>
      <w:r>
        <w:fldChar w:fldCharType="end"/>
      </w:r>
      <w:r>
        <w:t xml:space="preserve">.  Even assuming that the applicant complied with the requirement of exhaustion of domestic remedies as regards the complaint of a violation of his right to </w:t>
      </w:r>
      <w:r w:rsidR="00D60E75">
        <w:t>be assisted by a lawyer</w:t>
      </w:r>
      <w:r>
        <w:t xml:space="preserve"> in the proceedings before the Supreme Court, the Court considers that this complaint is unsubstantiated. In particular, the Court notes that Mr K., the lawyer who had represented the applicant at trial, was apparently </w:t>
      </w:r>
      <w:r w:rsidR="00E2155B">
        <w:t xml:space="preserve">prepared </w:t>
      </w:r>
      <w:r>
        <w:t>to continue defending the applicant in the subsequent proceedings. However, the applicant turned down his assistance without providing an acceptable explanation and sought to have him replaced by a lawyer who had previously represented one of the applicant</w:t>
      </w:r>
      <w:r w:rsidR="00D01D1E">
        <w:t>’</w:t>
      </w:r>
      <w:r>
        <w:t xml:space="preserve">s co-defendants. </w:t>
      </w:r>
      <w:r w:rsidR="00E2155B">
        <w:t xml:space="preserve">Both the </w:t>
      </w:r>
      <w:r w:rsidR="000D572A">
        <w:t>Odessa</w:t>
      </w:r>
      <w:r w:rsidR="00E2155B">
        <w:t xml:space="preserve"> Court and the Supreme Court</w:t>
      </w:r>
      <w:r>
        <w:t xml:space="preserve"> examined the applicant</w:t>
      </w:r>
      <w:r w:rsidR="00D01D1E">
        <w:t>’</w:t>
      </w:r>
      <w:r>
        <w:t>s pleas in this regard and found that there were no grounds for replacing Mr K. or for allowing the applicant</w:t>
      </w:r>
      <w:r w:rsidR="00D01D1E">
        <w:t>’</w:t>
      </w:r>
      <w:r>
        <w:t>s wife to take part in the proceedings as the applicant</w:t>
      </w:r>
      <w:r w:rsidR="00D01D1E">
        <w:t>’</w:t>
      </w:r>
      <w:r>
        <w:t xml:space="preserve">s defence counsel. The Court does not discern any reason to disagree with those findings (see, for instance, </w:t>
      </w:r>
      <w:r w:rsidR="009E1E9B">
        <w:rPr>
          <w:i/>
          <w:szCs w:val="22"/>
          <w:lang w:eastAsia="en-US"/>
        </w:rPr>
        <w:t>Vasiliy </w:t>
      </w:r>
      <w:r w:rsidRPr="006958FD">
        <w:rPr>
          <w:i/>
          <w:lang w:eastAsia="en-US"/>
        </w:rPr>
        <w:t xml:space="preserve">Ivashchenko </w:t>
      </w:r>
      <w:r w:rsidRPr="006958FD">
        <w:rPr>
          <w:i/>
          <w:szCs w:val="22"/>
          <w:lang w:eastAsia="en-US"/>
        </w:rPr>
        <w:t>v. Ukraine</w:t>
      </w:r>
      <w:r>
        <w:rPr>
          <w:szCs w:val="22"/>
          <w:lang w:eastAsia="en-US"/>
        </w:rPr>
        <w:t xml:space="preserve">, </w:t>
      </w:r>
      <w:r w:rsidRPr="006958FD">
        <w:rPr>
          <w:szCs w:val="22"/>
          <w:lang w:eastAsia="en-US"/>
        </w:rPr>
        <w:t>no. 760/03</w:t>
      </w:r>
      <w:r w:rsidRPr="006958FD">
        <w:rPr>
          <w:snapToGrid w:val="0"/>
          <w:lang w:val="pt-BR" w:eastAsia="en-US"/>
        </w:rPr>
        <w:t xml:space="preserve">, § </w:t>
      </w:r>
      <w:r>
        <w:rPr>
          <w:snapToGrid w:val="0"/>
          <w:lang w:val="pt-BR" w:eastAsia="en-US"/>
        </w:rPr>
        <w:t>91</w:t>
      </w:r>
      <w:r w:rsidRPr="006958FD">
        <w:rPr>
          <w:snapToGrid w:val="0"/>
          <w:lang w:val="pt-BR" w:eastAsia="en-US"/>
        </w:rPr>
        <w:t>, 2</w:t>
      </w:r>
      <w:r w:rsidRPr="006958FD">
        <w:rPr>
          <w:lang w:val="pt-BR" w:eastAsia="en-US"/>
        </w:rPr>
        <w:t>6</w:t>
      </w:r>
      <w:r w:rsidRPr="006958FD">
        <w:rPr>
          <w:snapToGrid w:val="0"/>
          <w:lang w:val="pt-BR" w:eastAsia="en-US"/>
        </w:rPr>
        <w:t xml:space="preserve"> July 2012</w:t>
      </w:r>
      <w:r>
        <w:t xml:space="preserve">). Although the applicant argued before this Court that he had not </w:t>
      </w:r>
      <w:r w:rsidR="00E05981">
        <w:t xml:space="preserve">had </w:t>
      </w:r>
      <w:r w:rsidRPr="00E05981" w:rsidR="00E05981">
        <w:t>sufficient means</w:t>
      </w:r>
      <w:r w:rsidR="00E05981">
        <w:t xml:space="preserve"> </w:t>
      </w:r>
      <w:r>
        <w:t xml:space="preserve">to engage Mr K. for the proceedings on appeal in cassation, the Court notes that the applicant did not make such a statement before the domestic authorities (compare and contrast with </w:t>
      </w:r>
      <w:r w:rsidRPr="003B58C9">
        <w:rPr>
          <w:i/>
          <w:szCs w:val="22"/>
          <w:lang w:eastAsia="en-US"/>
        </w:rPr>
        <w:t xml:space="preserve">Maksimenko </w:t>
      </w:r>
      <w:r w:rsidRPr="003B58C9">
        <w:rPr>
          <w:i/>
          <w:lang w:eastAsia="en-US"/>
        </w:rPr>
        <w:t>v.</w:t>
      </w:r>
      <w:r w:rsidR="009E1E9B">
        <w:rPr>
          <w:i/>
          <w:lang w:eastAsia="en-US"/>
        </w:rPr>
        <w:t xml:space="preserve"> </w:t>
      </w:r>
      <w:r w:rsidRPr="003B58C9">
        <w:rPr>
          <w:i/>
          <w:lang w:eastAsia="en-US"/>
        </w:rPr>
        <w:t>Ukraine,</w:t>
      </w:r>
      <w:r w:rsidRPr="003B58C9">
        <w:rPr>
          <w:lang w:eastAsia="en-US"/>
        </w:rPr>
        <w:t xml:space="preserve"> no.</w:t>
      </w:r>
      <w:r w:rsidR="0031361A">
        <w:rPr>
          <w:lang w:eastAsia="en-US"/>
        </w:rPr>
        <w:t> </w:t>
      </w:r>
      <w:r w:rsidRPr="003B58C9">
        <w:rPr>
          <w:lang w:eastAsia="en-US"/>
        </w:rPr>
        <w:t>39488/07</w:t>
      </w:r>
      <w:r w:rsidRPr="003B58C9">
        <w:rPr>
          <w:snapToGrid w:val="0"/>
          <w:szCs w:val="24"/>
          <w:lang w:val="pt-BR" w:eastAsia="en-US"/>
        </w:rPr>
        <w:t xml:space="preserve">, § </w:t>
      </w:r>
      <w:r>
        <w:rPr>
          <w:snapToGrid w:val="0"/>
          <w:szCs w:val="24"/>
          <w:lang w:val="pt-BR" w:eastAsia="en-US"/>
        </w:rPr>
        <w:t>26</w:t>
      </w:r>
      <w:r w:rsidRPr="003B58C9">
        <w:rPr>
          <w:snapToGrid w:val="0"/>
          <w:szCs w:val="24"/>
          <w:lang w:val="pt-BR" w:eastAsia="en-US"/>
        </w:rPr>
        <w:t xml:space="preserve">, 20 </w:t>
      </w:r>
      <w:r w:rsidRPr="003B58C9">
        <w:rPr>
          <w:szCs w:val="24"/>
          <w:lang w:val="pt-BR" w:eastAsia="en-US"/>
        </w:rPr>
        <w:t xml:space="preserve">December </w:t>
      </w:r>
      <w:r w:rsidRPr="003B58C9">
        <w:rPr>
          <w:snapToGrid w:val="0"/>
          <w:szCs w:val="24"/>
          <w:lang w:val="pt-BR" w:eastAsia="en-US"/>
        </w:rPr>
        <w:t>2011</w:t>
      </w:r>
      <w:r>
        <w:t>). The applicant did not give any details of the arrangements on the basis of which Mr K. had represented him, including the cost of the lawyer</w:t>
      </w:r>
      <w:r w:rsidR="00D01D1E">
        <w:t>’</w:t>
      </w:r>
      <w:r>
        <w:t>s services. The fact that Mr K. did not attend the hearing on 10 July 2003 before the Supreme Court might have been linked to the applicant</w:t>
      </w:r>
      <w:r w:rsidR="00D01D1E">
        <w:t>’</w:t>
      </w:r>
      <w:r>
        <w:t>s failure to cooperate with him and cannot be imputable to the State.</w:t>
      </w:r>
      <w:r w:rsidRPr="007A4DED">
        <w:rPr>
          <w:szCs w:val="24"/>
          <w:lang w:val="en-US" w:eastAsia="en-GB"/>
        </w:rPr>
        <w:t xml:space="preserve"> </w:t>
      </w:r>
      <w:r w:rsidRPr="003D7F91">
        <w:rPr>
          <w:szCs w:val="24"/>
          <w:lang w:val="en-US" w:eastAsia="en-GB"/>
        </w:rPr>
        <w:t xml:space="preserve">In any event, the Court notes that the applicant was not precluded from obtaining legal advice prior to </w:t>
      </w:r>
      <w:r>
        <w:rPr>
          <w:szCs w:val="24"/>
          <w:lang w:val="en-US" w:eastAsia="en-GB"/>
        </w:rPr>
        <w:t>that</w:t>
      </w:r>
      <w:r w:rsidRPr="003D7F91">
        <w:rPr>
          <w:szCs w:val="24"/>
          <w:lang w:val="en-US" w:eastAsia="en-GB"/>
        </w:rPr>
        <w:t xml:space="preserve"> hearing from Mr </w:t>
      </w:r>
      <w:r>
        <w:rPr>
          <w:szCs w:val="24"/>
          <w:lang w:val="en-US" w:eastAsia="en-GB"/>
        </w:rPr>
        <w:t>K</w:t>
      </w:r>
      <w:r w:rsidRPr="003D7F91">
        <w:rPr>
          <w:szCs w:val="24"/>
          <w:lang w:val="en-US" w:eastAsia="en-GB"/>
        </w:rPr>
        <w:t xml:space="preserve">., who </w:t>
      </w:r>
      <w:r>
        <w:rPr>
          <w:szCs w:val="24"/>
          <w:lang w:val="en-US" w:eastAsia="en-GB"/>
        </w:rPr>
        <w:t>was</w:t>
      </w:r>
      <w:r w:rsidRPr="003D7F91">
        <w:rPr>
          <w:szCs w:val="24"/>
          <w:lang w:val="en-US" w:eastAsia="en-GB"/>
        </w:rPr>
        <w:t xml:space="preserve"> </w:t>
      </w:r>
      <w:r>
        <w:rPr>
          <w:szCs w:val="24"/>
          <w:lang w:val="en-US" w:eastAsia="en-GB"/>
        </w:rPr>
        <w:t>familiar with the case</w:t>
      </w:r>
      <w:r w:rsidRPr="003D7F91">
        <w:rPr>
          <w:szCs w:val="24"/>
          <w:lang w:val="en-US" w:eastAsia="en-GB"/>
        </w:rPr>
        <w:t xml:space="preserve"> and </w:t>
      </w:r>
      <w:r>
        <w:rPr>
          <w:szCs w:val="24"/>
          <w:lang w:val="en-US" w:eastAsia="en-GB"/>
        </w:rPr>
        <w:t xml:space="preserve">who had </w:t>
      </w:r>
      <w:r w:rsidRPr="003D7F91">
        <w:rPr>
          <w:szCs w:val="24"/>
          <w:lang w:val="en-US" w:eastAsia="en-GB"/>
        </w:rPr>
        <w:t xml:space="preserve">had </w:t>
      </w:r>
      <w:r>
        <w:rPr>
          <w:szCs w:val="24"/>
          <w:lang w:val="en-US" w:eastAsia="en-GB"/>
        </w:rPr>
        <w:t>sufficient</w:t>
      </w:r>
      <w:r w:rsidRPr="003D7F91">
        <w:rPr>
          <w:szCs w:val="24"/>
          <w:lang w:val="en-US" w:eastAsia="en-GB"/>
        </w:rPr>
        <w:t xml:space="preserve"> access to the case file.</w:t>
      </w:r>
      <w:r>
        <w:rPr>
          <w:szCs w:val="24"/>
          <w:lang w:val="en-US" w:eastAsia="en-GB"/>
        </w:rPr>
        <w:t xml:space="preserve"> Although the Court has previously found that the </w:t>
      </w:r>
      <w:r w:rsidRPr="0032582C">
        <w:t>Code of Criminal Procedure</w:t>
      </w:r>
      <w:r>
        <w:rPr>
          <w:szCs w:val="24"/>
          <w:lang w:val="en-US" w:eastAsia="en-GB"/>
        </w:rPr>
        <w:t xml:space="preserve"> of 1960 did not provide for a </w:t>
      </w:r>
      <w:r w:rsidRPr="0032582C">
        <w:t xml:space="preserve">procedure </w:t>
      </w:r>
      <w:r>
        <w:t>by which a lawyer providing</w:t>
      </w:r>
      <w:r w:rsidRPr="0032582C">
        <w:t xml:space="preserve"> free legal representation </w:t>
      </w:r>
      <w:r>
        <w:t xml:space="preserve">in </w:t>
      </w:r>
      <w:r w:rsidRPr="0032582C">
        <w:t xml:space="preserve">proceedings </w:t>
      </w:r>
      <w:r>
        <w:t xml:space="preserve">before the Supreme Court might be appointed (see </w:t>
      </w:r>
      <w:r w:rsidRPr="003B58C9">
        <w:rPr>
          <w:i/>
          <w:szCs w:val="22"/>
          <w:lang w:eastAsia="en-US"/>
        </w:rPr>
        <w:t>Maksimenko</w:t>
      </w:r>
      <w:r w:rsidRPr="003B58C9">
        <w:rPr>
          <w:i/>
          <w:lang w:eastAsia="en-US"/>
        </w:rPr>
        <w:t>,</w:t>
      </w:r>
      <w:r w:rsidRPr="003B58C9">
        <w:rPr>
          <w:lang w:eastAsia="en-US"/>
        </w:rPr>
        <w:t xml:space="preserve"> </w:t>
      </w:r>
      <w:r>
        <w:rPr>
          <w:lang w:eastAsia="en-US"/>
        </w:rPr>
        <w:t>cited above</w:t>
      </w:r>
      <w:r w:rsidRPr="003B58C9">
        <w:rPr>
          <w:snapToGrid w:val="0"/>
          <w:szCs w:val="24"/>
          <w:lang w:val="pt-BR" w:eastAsia="en-US"/>
        </w:rPr>
        <w:t xml:space="preserve">, § </w:t>
      </w:r>
      <w:r>
        <w:rPr>
          <w:snapToGrid w:val="0"/>
          <w:szCs w:val="24"/>
          <w:lang w:val="pt-BR" w:eastAsia="en-US"/>
        </w:rPr>
        <w:t>31</w:t>
      </w:r>
      <w:r>
        <w:t>), in the present case it has not been demonstrated that this shortcoming led to any disadvantage for the applicant</w:t>
      </w:r>
      <w:r w:rsidR="00D01D1E">
        <w:t>’</w:t>
      </w:r>
      <w:r>
        <w:t>s defence.</w:t>
      </w:r>
    </w:p>
    <w:p w:rsidR="00B57E2D" w:rsidP="002F4BCF" w:rsidRDefault="00B144B2">
      <w:pPr>
        <w:pStyle w:val="JuPara"/>
      </w:pPr>
      <w:r>
        <w:fldChar w:fldCharType="begin"/>
      </w:r>
      <w:r>
        <w:instrText xml:space="preserve"> SEQ level0 \*arabic </w:instrText>
      </w:r>
      <w:r>
        <w:fldChar w:fldCharType="separate"/>
      </w:r>
      <w:r w:rsidR="00D01D1E">
        <w:rPr>
          <w:noProof/>
        </w:rPr>
        <w:t>43</w:t>
      </w:r>
      <w:r>
        <w:fldChar w:fldCharType="end"/>
      </w:r>
      <w:r>
        <w:t>.  </w:t>
      </w:r>
      <w:r w:rsidR="00F01F73">
        <w:t xml:space="preserve">The Court further </w:t>
      </w:r>
      <w:r w:rsidR="006F21FB">
        <w:t xml:space="preserve">notes </w:t>
      </w:r>
      <w:r w:rsidR="00F01F73">
        <w:t xml:space="preserve">that </w:t>
      </w:r>
      <w:r w:rsidR="007413A7">
        <w:t>the applicant</w:t>
      </w:r>
      <w:r w:rsidR="00D01D1E">
        <w:t>’</w:t>
      </w:r>
      <w:r w:rsidR="007413A7">
        <w:t xml:space="preserve">s </w:t>
      </w:r>
      <w:r w:rsidR="00684512">
        <w:t xml:space="preserve">other </w:t>
      </w:r>
      <w:r w:rsidR="00F01F73">
        <w:t xml:space="preserve">complaints </w:t>
      </w:r>
      <w:r w:rsidR="007413A7">
        <w:t xml:space="preserve">are </w:t>
      </w:r>
      <w:r w:rsidR="00F01F73">
        <w:t>unsubstantiated. In particular, there is no evidence that the applicant</w:t>
      </w:r>
      <w:r w:rsidR="00D01D1E">
        <w:t>’</w:t>
      </w:r>
      <w:r w:rsidR="00F01F73">
        <w:t>s self</w:t>
      </w:r>
      <w:r w:rsidR="000D6556">
        <w:noBreakHyphen/>
      </w:r>
      <w:r w:rsidR="00F01F73">
        <w:t xml:space="preserve">incriminating statements were obtained under </w:t>
      </w:r>
      <w:r w:rsidR="007413A7">
        <w:t xml:space="preserve">duress </w:t>
      </w:r>
      <w:r w:rsidR="00F01F73">
        <w:t>or in violation of the applicant</w:t>
      </w:r>
      <w:r w:rsidR="00D01D1E">
        <w:t>’</w:t>
      </w:r>
      <w:r w:rsidR="00F01F73">
        <w:t xml:space="preserve">s right to </w:t>
      </w:r>
      <w:r w:rsidR="00D60E75">
        <w:t>be assisted by a lawyer</w:t>
      </w:r>
      <w:r w:rsidR="00AC4A35">
        <w:t>.</w:t>
      </w:r>
      <w:r w:rsidR="00F01F73">
        <w:t xml:space="preserve"> </w:t>
      </w:r>
      <w:r w:rsidR="00AC4A35">
        <w:t>T</w:t>
      </w:r>
      <w:r w:rsidR="00F01F73">
        <w:t>he courts</w:t>
      </w:r>
      <w:r w:rsidR="00D01D1E">
        <w:t>’</w:t>
      </w:r>
      <w:r w:rsidR="00F01F73">
        <w:t xml:space="preserve"> findings of fact and law </w:t>
      </w:r>
      <w:r w:rsidR="00AC4A35">
        <w:t xml:space="preserve">were </w:t>
      </w:r>
      <w:r w:rsidR="00910EB8">
        <w:t xml:space="preserve">based on </w:t>
      </w:r>
      <w:r w:rsidR="00667CC3">
        <w:t xml:space="preserve">a </w:t>
      </w:r>
      <w:r w:rsidR="00910EB8">
        <w:t xml:space="preserve">substantial amount of evidence and </w:t>
      </w:r>
      <w:r w:rsidR="00AC4A35">
        <w:t>do not appear to be arbitrary or manifestly unreasonable.</w:t>
      </w:r>
    </w:p>
    <w:p w:rsidR="00843B4A" w:rsidP="002F4BCF" w:rsidRDefault="00B144B2">
      <w:pPr>
        <w:pStyle w:val="JuPara"/>
      </w:pPr>
      <w:r>
        <w:fldChar w:fldCharType="begin"/>
      </w:r>
      <w:r>
        <w:instrText xml:space="preserve"> SEQ level0 \*arabic </w:instrText>
      </w:r>
      <w:r>
        <w:fldChar w:fldCharType="separate"/>
      </w:r>
      <w:r w:rsidR="00D01D1E">
        <w:rPr>
          <w:noProof/>
        </w:rPr>
        <w:t>44</w:t>
      </w:r>
      <w:r>
        <w:fldChar w:fldCharType="end"/>
      </w:r>
      <w:r>
        <w:t>.  </w:t>
      </w:r>
      <w:r w:rsidR="00843B4A">
        <w:t>In the light of the foregoing, the Court finds that this part of the application must be declared inadmissible pursuant to Article 35</w:t>
      </w:r>
      <w:r w:rsidR="008E02F2">
        <w:t xml:space="preserve"> </w:t>
      </w:r>
      <w:r w:rsidR="00843B4A">
        <w:t>§§ 1, 3 (a) and 4 of the Convention.</w:t>
      </w:r>
    </w:p>
    <w:p w:rsidRPr="00EE1964" w:rsidR="00F71A6A" w:rsidRDefault="007E3F25">
      <w:pPr>
        <w:pStyle w:val="JuHIRoman"/>
      </w:pPr>
      <w:r>
        <w:t>III</w:t>
      </w:r>
      <w:r w:rsidRPr="00EE1964" w:rsidR="00F71A6A">
        <w:t>.</w:t>
      </w:r>
      <w:r w:rsidRPr="00EE1964" w:rsidR="00337600">
        <w:t xml:space="preserve">  ALLEGED VIOLATION OF ARTICLE </w:t>
      </w:r>
      <w:r w:rsidR="00680836">
        <w:t>34</w:t>
      </w:r>
      <w:r w:rsidRPr="00EE1964" w:rsidR="00F71A6A">
        <w:t xml:space="preserve"> OF THE CONVENTION</w:t>
      </w:r>
    </w:p>
    <w:p w:rsidRPr="00301977" w:rsidR="008F3B93" w:rsidP="008F3B93" w:rsidRDefault="008F3B93">
      <w:pPr>
        <w:pStyle w:val="JuPara"/>
      </w:pPr>
      <w:r w:rsidRPr="00301977">
        <w:fldChar w:fldCharType="begin"/>
      </w:r>
      <w:r w:rsidRPr="00301977">
        <w:instrText xml:space="preserve"> SEQ level0 \*arabic </w:instrText>
      </w:r>
      <w:r w:rsidRPr="00301977">
        <w:fldChar w:fldCharType="separate"/>
      </w:r>
      <w:r w:rsidR="00D01D1E">
        <w:rPr>
          <w:noProof/>
        </w:rPr>
        <w:t>45</w:t>
      </w:r>
      <w:r w:rsidRPr="00301977">
        <w:fldChar w:fldCharType="end"/>
      </w:r>
      <w:r w:rsidRPr="00301977">
        <w:rPr>
          <w:szCs w:val="24"/>
        </w:rPr>
        <w:t xml:space="preserve">.  The applicant complained that the authorities had </w:t>
      </w:r>
      <w:r w:rsidR="00277041">
        <w:rPr>
          <w:szCs w:val="24"/>
        </w:rPr>
        <w:t>denied</w:t>
      </w:r>
      <w:r w:rsidRPr="00301977">
        <w:rPr>
          <w:szCs w:val="24"/>
        </w:rPr>
        <w:t xml:space="preserve"> him </w:t>
      </w:r>
      <w:r w:rsidR="00277041">
        <w:rPr>
          <w:szCs w:val="24"/>
        </w:rPr>
        <w:t>of the opportunity to</w:t>
      </w:r>
      <w:r>
        <w:rPr>
          <w:szCs w:val="24"/>
        </w:rPr>
        <w:t xml:space="preserve"> obtain </w:t>
      </w:r>
      <w:r w:rsidRPr="00301977">
        <w:rPr>
          <w:szCs w:val="24"/>
        </w:rPr>
        <w:t>copies of documents from his case file which he had wished to submit to the Court in substantiation of his ap</w:t>
      </w:r>
      <w:r w:rsidR="009E1E9B">
        <w:rPr>
          <w:szCs w:val="24"/>
        </w:rPr>
        <w:t xml:space="preserve">plication. He relied on Article </w:t>
      </w:r>
      <w:r w:rsidRPr="00301977">
        <w:rPr>
          <w:szCs w:val="24"/>
        </w:rPr>
        <w:t>34 of the Convention, which provides as follows:</w:t>
      </w:r>
    </w:p>
    <w:p w:rsidRPr="00301977" w:rsidR="008F3B93" w:rsidP="008F3B93" w:rsidRDefault="008F3B93">
      <w:pPr>
        <w:pStyle w:val="JuQuot"/>
      </w:pPr>
      <w:r w:rsidRPr="00301977">
        <w:t>“The Court may receive applications from any person, non-governmental organisation or group of individuals claiming to be the victim of a violation by one of the High Contracting Parties of the rights set forth in the Convention or the Protocols thereto. The High Contracting Parties undertake not to hinder in any way the effective exercise of this right.”</w:t>
      </w:r>
    </w:p>
    <w:p w:rsidR="00FD5B16" w:rsidP="002F4BCF" w:rsidRDefault="00EE1964">
      <w:pPr>
        <w:pStyle w:val="JuPara"/>
      </w:pPr>
      <w:r w:rsidRPr="00EE1964">
        <w:fldChar w:fldCharType="begin"/>
      </w:r>
      <w:r w:rsidRPr="00EE1964">
        <w:instrText xml:space="preserve"> SEQ level0 \*arabic </w:instrText>
      </w:r>
      <w:r w:rsidRPr="00EE1964">
        <w:fldChar w:fldCharType="separate"/>
      </w:r>
      <w:r w:rsidR="00D01D1E">
        <w:rPr>
          <w:noProof/>
        </w:rPr>
        <w:t>46</w:t>
      </w:r>
      <w:r w:rsidRPr="00EE1964">
        <w:fldChar w:fldCharType="end"/>
      </w:r>
      <w:r w:rsidRPr="00EE1964" w:rsidR="00F71A6A">
        <w:t xml:space="preserve">.  The Government </w:t>
      </w:r>
      <w:r w:rsidR="00FC2631">
        <w:t>contended</w:t>
      </w:r>
      <w:r w:rsidR="0088628C">
        <w:t xml:space="preserve"> that Ukraine </w:t>
      </w:r>
      <w:r w:rsidR="00EE268E">
        <w:t xml:space="preserve">had </w:t>
      </w:r>
      <w:r w:rsidR="009E1E9B">
        <w:t>complied with Article </w:t>
      </w:r>
      <w:r w:rsidR="0088628C">
        <w:t>34 of the Convention</w:t>
      </w:r>
      <w:r w:rsidR="0066521B">
        <w:t xml:space="preserve">. </w:t>
      </w:r>
      <w:r w:rsidR="00FD5B16">
        <w:t xml:space="preserve">They </w:t>
      </w:r>
      <w:r w:rsidR="00D457A4">
        <w:t xml:space="preserve">argued </w:t>
      </w:r>
      <w:r w:rsidR="0066521B">
        <w:t xml:space="preserve">that </w:t>
      </w:r>
      <w:r w:rsidR="00D457A4">
        <w:t xml:space="preserve">while </w:t>
      </w:r>
      <w:r w:rsidR="0066521B">
        <w:t xml:space="preserve">a copy of </w:t>
      </w:r>
      <w:r w:rsidR="003D3543">
        <w:t xml:space="preserve">the judgment convicting </w:t>
      </w:r>
      <w:r w:rsidR="0066521B">
        <w:t>the applicant had been issued to the applicant</w:t>
      </w:r>
      <w:r w:rsidR="00D01D1E">
        <w:t>’</w:t>
      </w:r>
      <w:r w:rsidR="0066521B">
        <w:t xml:space="preserve">s wife upon her request (see paragraph </w:t>
      </w:r>
      <w:r w:rsidR="00BB047B">
        <w:t>32</w:t>
      </w:r>
      <w:r w:rsidR="0066521B">
        <w:t xml:space="preserve"> above)</w:t>
      </w:r>
      <w:r w:rsidR="00D457A4">
        <w:t xml:space="preserve">, neither the applicant nor his relatives </w:t>
      </w:r>
      <w:r w:rsidR="0050527F">
        <w:t xml:space="preserve">had lodged a written request </w:t>
      </w:r>
      <w:r w:rsidR="00EE268E">
        <w:t xml:space="preserve">with the courts </w:t>
      </w:r>
      <w:r w:rsidR="0050527F">
        <w:t xml:space="preserve">for a copy of his appeal in cassation. </w:t>
      </w:r>
      <w:r w:rsidR="0066521B">
        <w:t xml:space="preserve">The Government </w:t>
      </w:r>
      <w:r w:rsidR="00FD5B16">
        <w:t xml:space="preserve">further stated that during the criminal proceedings against him, the applicant had been assisted by several lawyers who had been given the opportunity to make copies of </w:t>
      </w:r>
      <w:r w:rsidR="00E21160">
        <w:t xml:space="preserve">all </w:t>
      </w:r>
      <w:r w:rsidR="00FD5B16">
        <w:t>documents included in the case file.</w:t>
      </w:r>
      <w:r w:rsidR="00E53ED4">
        <w:t xml:space="preserve"> The Government also noted that a copy of the applicant</w:t>
      </w:r>
      <w:r w:rsidR="00D01D1E">
        <w:t>’</w:t>
      </w:r>
      <w:r w:rsidR="00E53ED4">
        <w:t>s appeal in cassation had been joined to their observations on the case.</w:t>
      </w:r>
    </w:p>
    <w:p w:rsidR="00840AA8" w:rsidP="002F4BCF" w:rsidRDefault="00B144B2">
      <w:pPr>
        <w:pStyle w:val="JuPara"/>
      </w:pPr>
      <w:r>
        <w:fldChar w:fldCharType="begin"/>
      </w:r>
      <w:r>
        <w:instrText xml:space="preserve"> SEQ level0 \*arabic </w:instrText>
      </w:r>
      <w:r>
        <w:fldChar w:fldCharType="separate"/>
      </w:r>
      <w:r w:rsidR="00D01D1E">
        <w:rPr>
          <w:noProof/>
        </w:rPr>
        <w:t>47</w:t>
      </w:r>
      <w:r>
        <w:fldChar w:fldCharType="end"/>
      </w:r>
      <w:r>
        <w:t>.  </w:t>
      </w:r>
      <w:r w:rsidR="00840AA8">
        <w:t xml:space="preserve">The applicant </w:t>
      </w:r>
      <w:r w:rsidR="00A75253">
        <w:t>contested the Government</w:t>
      </w:r>
      <w:r w:rsidR="00D01D1E">
        <w:t>’</w:t>
      </w:r>
      <w:r w:rsidR="00A75253">
        <w:t>s submissions. In particular</w:t>
      </w:r>
      <w:r w:rsidR="00B36B60">
        <w:t xml:space="preserve">, </w:t>
      </w:r>
      <w:r w:rsidR="00A75253">
        <w:t xml:space="preserve">he </w:t>
      </w:r>
      <w:r w:rsidR="00FC2631">
        <w:t>stated</w:t>
      </w:r>
      <w:r w:rsidR="00A75253">
        <w:t xml:space="preserve"> </w:t>
      </w:r>
      <w:r w:rsidR="00B36B60">
        <w:t xml:space="preserve">that his wife had </w:t>
      </w:r>
      <w:r w:rsidR="00EE268E">
        <w:t xml:space="preserve">only </w:t>
      </w:r>
      <w:r w:rsidR="00B36B60">
        <w:t xml:space="preserve">been provided with a copy of the </w:t>
      </w:r>
      <w:r w:rsidR="003D3543">
        <w:t>judgment convicting him</w:t>
      </w:r>
      <w:r w:rsidR="00B36B60">
        <w:t xml:space="preserve">, while other documents he had needed for the application had not been </w:t>
      </w:r>
      <w:r w:rsidR="00E32EF4">
        <w:t xml:space="preserve">made available </w:t>
      </w:r>
      <w:r w:rsidR="00B36B60">
        <w:t xml:space="preserve">to her, and that he had </w:t>
      </w:r>
      <w:r w:rsidR="00EE268E">
        <w:t xml:space="preserve">not had the </w:t>
      </w:r>
      <w:r w:rsidR="00B36B60">
        <w:t xml:space="preserve">money </w:t>
      </w:r>
      <w:r w:rsidR="00F92E9A">
        <w:t>to hire a lawyer to help him obtain</w:t>
      </w:r>
      <w:r w:rsidR="00B36B60">
        <w:t xml:space="preserve"> copies of </w:t>
      </w:r>
      <w:r w:rsidR="00B41E91">
        <w:t xml:space="preserve">other </w:t>
      </w:r>
      <w:r w:rsidR="00B36B60">
        <w:t>documents</w:t>
      </w:r>
      <w:r w:rsidR="00B41E91">
        <w:t xml:space="preserve"> from his case file</w:t>
      </w:r>
      <w:r w:rsidR="00B36B60">
        <w:t>.</w:t>
      </w:r>
    </w:p>
    <w:p w:rsidR="001B419D" w:rsidP="002F4BCF" w:rsidRDefault="00B144B2">
      <w:pPr>
        <w:pStyle w:val="JuPara"/>
        <w:rPr>
          <w:lang w:eastAsia="en-US"/>
        </w:rPr>
      </w:pPr>
      <w:r>
        <w:fldChar w:fldCharType="begin"/>
      </w:r>
      <w:r>
        <w:instrText xml:space="preserve"> SEQ level0 \*arabic </w:instrText>
      </w:r>
      <w:r>
        <w:fldChar w:fldCharType="separate"/>
      </w:r>
      <w:r w:rsidR="00D01D1E">
        <w:rPr>
          <w:noProof/>
        </w:rPr>
        <w:t>48</w:t>
      </w:r>
      <w:r>
        <w:fldChar w:fldCharType="end"/>
      </w:r>
      <w:r>
        <w:t>.  </w:t>
      </w:r>
      <w:r w:rsidR="00FD5B16">
        <w:t xml:space="preserve">The Court notes that </w:t>
      </w:r>
      <w:r w:rsidR="00F138E1">
        <w:t>it has already dealt with similar allegations</w:t>
      </w:r>
      <w:r w:rsidR="00B36B60">
        <w:t xml:space="preserve"> of hindrance of the right of individual petition </w:t>
      </w:r>
      <w:r w:rsidR="00F138E1">
        <w:t xml:space="preserve">in a number of cases concerning </w:t>
      </w:r>
      <w:smartTag w:uri="urn:schemas-microsoft-com:office:smarttags" w:element="place">
        <w:smartTag w:uri="urn:schemas-microsoft-com:office:smarttags" w:element="country-region">
          <w:r w:rsidR="00F138E1">
            <w:t>Ukraine</w:t>
          </w:r>
        </w:smartTag>
      </w:smartTag>
      <w:r w:rsidR="00F138E1">
        <w:t xml:space="preserve">. </w:t>
      </w:r>
      <w:r w:rsidR="006958FD">
        <w:t xml:space="preserve">In particular, in </w:t>
      </w:r>
      <w:r w:rsidRPr="006958FD" w:rsidR="006958FD">
        <w:rPr>
          <w:i/>
          <w:szCs w:val="22"/>
          <w:lang w:eastAsia="en-US"/>
        </w:rPr>
        <w:t xml:space="preserve">Vasiliy </w:t>
      </w:r>
      <w:r w:rsidRPr="006958FD" w:rsidR="006958FD">
        <w:rPr>
          <w:i/>
          <w:lang w:eastAsia="en-US"/>
        </w:rPr>
        <w:t xml:space="preserve">Ivashchenko </w:t>
      </w:r>
      <w:r w:rsidR="00840AA8">
        <w:rPr>
          <w:szCs w:val="22"/>
          <w:lang w:eastAsia="en-US"/>
        </w:rPr>
        <w:t>(</w:t>
      </w:r>
      <w:r w:rsidR="003F4C08">
        <w:rPr>
          <w:szCs w:val="22"/>
          <w:lang w:eastAsia="en-US"/>
        </w:rPr>
        <w:t>cited above</w:t>
      </w:r>
      <w:r w:rsidRPr="006958FD" w:rsidR="006958FD">
        <w:rPr>
          <w:snapToGrid w:val="0"/>
          <w:lang w:val="pt-BR" w:eastAsia="en-US"/>
        </w:rPr>
        <w:t xml:space="preserve">, § </w:t>
      </w:r>
      <w:r w:rsidR="00840AA8">
        <w:rPr>
          <w:snapToGrid w:val="0"/>
          <w:lang w:val="pt-BR" w:eastAsia="en-US"/>
        </w:rPr>
        <w:t xml:space="preserve">123) the Court found that </w:t>
      </w:r>
      <w:r w:rsidR="00EE268E">
        <w:rPr>
          <w:snapToGrid w:val="0"/>
          <w:lang w:val="pt-BR" w:eastAsia="en-US"/>
        </w:rPr>
        <w:t xml:space="preserve">the </w:t>
      </w:r>
      <w:r w:rsidR="00840AA8">
        <w:rPr>
          <w:snapToGrid w:val="0"/>
          <w:lang w:val="pt-BR" w:eastAsia="en-US"/>
        </w:rPr>
        <w:t xml:space="preserve">Ukrainian legal system did not provide prisoners with </w:t>
      </w:r>
      <w:r w:rsidRPr="00301977" w:rsidR="00840AA8">
        <w:rPr>
          <w:lang w:eastAsia="en-US"/>
        </w:rPr>
        <w:t xml:space="preserve">a clear and specific procedure enabling </w:t>
      </w:r>
      <w:r w:rsidR="00840AA8">
        <w:rPr>
          <w:lang w:eastAsia="en-US"/>
        </w:rPr>
        <w:t xml:space="preserve">them </w:t>
      </w:r>
      <w:r w:rsidRPr="00301977" w:rsidR="00840AA8">
        <w:rPr>
          <w:lang w:eastAsia="en-US"/>
        </w:rPr>
        <w:t>to obtain copies of case documents</w:t>
      </w:r>
      <w:r w:rsidRPr="00EE268E" w:rsidR="00EE268E">
        <w:rPr>
          <w:lang w:eastAsia="en-US"/>
        </w:rPr>
        <w:t xml:space="preserve"> </w:t>
      </w:r>
      <w:r w:rsidR="00EE268E">
        <w:rPr>
          <w:lang w:eastAsia="en-US"/>
        </w:rPr>
        <w:t>after the completion of criminal proceedings</w:t>
      </w:r>
      <w:r w:rsidRPr="00301977" w:rsidR="00840AA8">
        <w:rPr>
          <w:lang w:eastAsia="en-US"/>
        </w:rPr>
        <w:t xml:space="preserve">, either by making such copies themselves, by hand or using </w:t>
      </w:r>
      <w:r w:rsidR="00EE268E">
        <w:rPr>
          <w:lang w:eastAsia="en-US"/>
        </w:rPr>
        <w:t xml:space="preserve">appropriate </w:t>
      </w:r>
      <w:r w:rsidRPr="00301977" w:rsidR="00840AA8">
        <w:rPr>
          <w:lang w:eastAsia="en-US"/>
        </w:rPr>
        <w:t xml:space="preserve">equipment, or </w:t>
      </w:r>
      <w:r w:rsidR="00EE268E">
        <w:rPr>
          <w:lang w:eastAsia="en-US"/>
        </w:rPr>
        <w:t xml:space="preserve">by </w:t>
      </w:r>
      <w:r w:rsidRPr="00301977" w:rsidR="00840AA8">
        <w:rPr>
          <w:lang w:eastAsia="en-US"/>
        </w:rPr>
        <w:t>having the authorities make copies for them</w:t>
      </w:r>
      <w:r w:rsidR="00B36B60">
        <w:rPr>
          <w:lang w:eastAsia="en-US"/>
        </w:rPr>
        <w:t>.</w:t>
      </w:r>
    </w:p>
    <w:p w:rsidR="007375C2" w:rsidP="002F4BCF" w:rsidRDefault="00B144B2">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01D1E">
        <w:rPr>
          <w:noProof/>
          <w:lang w:eastAsia="en-US"/>
        </w:rPr>
        <w:t>49</w:t>
      </w:r>
      <w:r>
        <w:rPr>
          <w:lang w:eastAsia="en-US"/>
        </w:rPr>
        <w:fldChar w:fldCharType="end"/>
      </w:r>
      <w:r>
        <w:rPr>
          <w:lang w:eastAsia="en-US"/>
        </w:rPr>
        <w:t>.  </w:t>
      </w:r>
      <w:r w:rsidR="0075535E">
        <w:rPr>
          <w:lang w:eastAsia="en-US"/>
        </w:rPr>
        <w:t>I</w:t>
      </w:r>
      <w:r w:rsidR="009435DE">
        <w:rPr>
          <w:lang w:eastAsia="en-US"/>
        </w:rPr>
        <w:t xml:space="preserve">n the present case </w:t>
      </w:r>
      <w:r w:rsidR="00381ED4">
        <w:rPr>
          <w:lang w:eastAsia="en-US"/>
        </w:rPr>
        <w:t xml:space="preserve">the applicant </w:t>
      </w:r>
      <w:r w:rsidR="0075535E">
        <w:rPr>
          <w:lang w:eastAsia="en-US"/>
        </w:rPr>
        <w:t xml:space="preserve">lodged the application after the domestic proceedings against him had been completed. Although it remains unclear whether </w:t>
      </w:r>
      <w:r w:rsidR="00381ED4">
        <w:rPr>
          <w:lang w:eastAsia="en-US"/>
        </w:rPr>
        <w:t xml:space="preserve">he </w:t>
      </w:r>
      <w:r w:rsidR="0075535E">
        <w:rPr>
          <w:lang w:eastAsia="en-US"/>
        </w:rPr>
        <w:t xml:space="preserve">actually </w:t>
      </w:r>
      <w:r w:rsidR="00EE268E">
        <w:rPr>
          <w:lang w:eastAsia="en-US"/>
        </w:rPr>
        <w:t xml:space="preserve">asked </w:t>
      </w:r>
      <w:r w:rsidR="0075535E">
        <w:rPr>
          <w:lang w:eastAsia="en-US"/>
        </w:rPr>
        <w:t xml:space="preserve">the authorities to give him a copy of his appeal in cassation, it is common ground between the parties that </w:t>
      </w:r>
      <w:r w:rsidR="007375C2">
        <w:rPr>
          <w:lang w:eastAsia="en-US"/>
        </w:rPr>
        <w:t xml:space="preserve">his request for </w:t>
      </w:r>
      <w:r w:rsidR="0075535E">
        <w:rPr>
          <w:lang w:eastAsia="en-US"/>
        </w:rPr>
        <w:t xml:space="preserve">copies of </w:t>
      </w:r>
      <w:r w:rsidR="004062E5">
        <w:rPr>
          <w:lang w:eastAsia="en-US"/>
        </w:rPr>
        <w:t>other documents needed to substantiate his application</w:t>
      </w:r>
      <w:r w:rsidR="0075535E">
        <w:rPr>
          <w:lang w:eastAsia="en-US"/>
        </w:rPr>
        <w:t xml:space="preserve"> </w:t>
      </w:r>
      <w:r w:rsidR="007375C2">
        <w:rPr>
          <w:lang w:eastAsia="en-US"/>
        </w:rPr>
        <w:t xml:space="preserve">was </w:t>
      </w:r>
      <w:r w:rsidR="0075535E">
        <w:rPr>
          <w:lang w:eastAsia="en-US"/>
        </w:rPr>
        <w:t xml:space="preserve">refused </w:t>
      </w:r>
      <w:r w:rsidR="007375C2">
        <w:rPr>
          <w:lang w:eastAsia="en-US"/>
        </w:rPr>
        <w:t xml:space="preserve">as </w:t>
      </w:r>
      <w:r w:rsidR="00EE268E">
        <w:rPr>
          <w:lang w:eastAsia="en-US"/>
        </w:rPr>
        <w:t>having no legal basis</w:t>
      </w:r>
      <w:r w:rsidR="007375C2">
        <w:rPr>
          <w:lang w:eastAsia="en-US"/>
        </w:rPr>
        <w:t xml:space="preserve">. </w:t>
      </w:r>
      <w:r w:rsidR="00896F0A">
        <w:rPr>
          <w:lang w:eastAsia="en-US"/>
        </w:rPr>
        <w:t xml:space="preserve">Thus, the Court finds no </w:t>
      </w:r>
      <w:r w:rsidR="00335934">
        <w:rPr>
          <w:lang w:eastAsia="en-US"/>
        </w:rPr>
        <w:t>reason</w:t>
      </w:r>
      <w:r w:rsidR="00896F0A">
        <w:rPr>
          <w:lang w:eastAsia="en-US"/>
        </w:rPr>
        <w:t xml:space="preserve"> to depart</w:t>
      </w:r>
      <w:r w:rsidR="00C459A5">
        <w:rPr>
          <w:lang w:eastAsia="en-US"/>
        </w:rPr>
        <w:t>, in the present case,</w:t>
      </w:r>
      <w:r w:rsidR="00896F0A">
        <w:rPr>
          <w:lang w:eastAsia="en-US"/>
        </w:rPr>
        <w:t xml:space="preserve"> from its findings under Article 34 of the Convention in </w:t>
      </w:r>
      <w:r w:rsidRPr="006958FD" w:rsidR="00896F0A">
        <w:rPr>
          <w:i/>
          <w:szCs w:val="22"/>
          <w:lang w:eastAsia="en-US"/>
        </w:rPr>
        <w:t xml:space="preserve">Vasiliy </w:t>
      </w:r>
      <w:r w:rsidRPr="006958FD" w:rsidR="00896F0A">
        <w:rPr>
          <w:i/>
          <w:lang w:eastAsia="en-US"/>
        </w:rPr>
        <w:t xml:space="preserve">Ivashchenko </w:t>
      </w:r>
      <w:r w:rsidR="00896F0A">
        <w:rPr>
          <w:lang w:eastAsia="en-US"/>
        </w:rPr>
        <w:t>(cited above).</w:t>
      </w:r>
      <w:r w:rsidRPr="00182F1B" w:rsidR="00182F1B">
        <w:rPr>
          <w:lang w:eastAsia="en-US"/>
        </w:rPr>
        <w:t xml:space="preserve"> </w:t>
      </w:r>
      <w:r w:rsidR="00182F1B">
        <w:rPr>
          <w:lang w:eastAsia="en-US"/>
        </w:rPr>
        <w:t>The Government</w:t>
      </w:r>
      <w:r w:rsidR="00D01D1E">
        <w:rPr>
          <w:lang w:eastAsia="en-US"/>
        </w:rPr>
        <w:t>’</w:t>
      </w:r>
      <w:r w:rsidR="00182F1B">
        <w:rPr>
          <w:lang w:eastAsia="en-US"/>
        </w:rPr>
        <w:t xml:space="preserve">s argument concerning the possibility of making copies of case documents during the criminal proceedings </w:t>
      </w:r>
      <w:r w:rsidR="002443F2">
        <w:rPr>
          <w:lang w:eastAsia="en-US"/>
        </w:rPr>
        <w:t>cannot</w:t>
      </w:r>
      <w:r w:rsidR="00182F1B">
        <w:rPr>
          <w:lang w:eastAsia="en-US"/>
        </w:rPr>
        <w:t xml:space="preserve"> be accepted (see </w:t>
      </w:r>
      <w:r w:rsidRPr="006958FD" w:rsidR="00182F1B">
        <w:rPr>
          <w:i/>
          <w:szCs w:val="22"/>
          <w:lang w:eastAsia="en-US"/>
        </w:rPr>
        <w:t xml:space="preserve">Vasiliy </w:t>
      </w:r>
      <w:r w:rsidRPr="006958FD" w:rsidR="00182F1B">
        <w:rPr>
          <w:i/>
          <w:lang w:eastAsia="en-US"/>
        </w:rPr>
        <w:t>Ivashchenko</w:t>
      </w:r>
      <w:r w:rsidR="00182F1B">
        <w:rPr>
          <w:lang w:eastAsia="en-US"/>
        </w:rPr>
        <w:t>, cited above, § 108).</w:t>
      </w:r>
    </w:p>
    <w:p w:rsidRPr="00301977" w:rsidR="006B1AC7" w:rsidP="006B1AC7" w:rsidRDefault="00B144B2">
      <w:pPr>
        <w:pStyle w:val="JuPara"/>
      </w:pPr>
      <w:r>
        <w:fldChar w:fldCharType="begin"/>
      </w:r>
      <w:r>
        <w:instrText xml:space="preserve"> SEQ level0 \*arabic </w:instrText>
      </w:r>
      <w:r>
        <w:fldChar w:fldCharType="separate"/>
      </w:r>
      <w:r w:rsidR="00D01D1E">
        <w:rPr>
          <w:noProof/>
        </w:rPr>
        <w:t>50</w:t>
      </w:r>
      <w:r>
        <w:fldChar w:fldCharType="end"/>
      </w:r>
      <w:r>
        <w:t>.  </w:t>
      </w:r>
      <w:r w:rsidR="006B1AC7">
        <w:t>Accordingly</w:t>
      </w:r>
      <w:r w:rsidRPr="00301977" w:rsidR="006B1AC7">
        <w:t xml:space="preserve">, the Court concludes that </w:t>
      </w:r>
      <w:r w:rsidR="006B1AC7">
        <w:t xml:space="preserve">the respondent State </w:t>
      </w:r>
      <w:r w:rsidRPr="00301977" w:rsidR="006B1AC7">
        <w:t>has failed to comply with its obligation under Article</w:t>
      </w:r>
      <w:r w:rsidR="008E02F2">
        <w:t xml:space="preserve"> </w:t>
      </w:r>
      <w:r w:rsidRPr="00301977" w:rsidR="006B1AC7">
        <w:t>34 of the</w:t>
      </w:r>
      <w:r w:rsidR="008E02F2">
        <w:t xml:space="preserve"> </w:t>
      </w:r>
      <w:r w:rsidRPr="00301977" w:rsidR="006B1AC7">
        <w:t>Convention to furnish all necessary facilities to the applicant in order to make possible a proper and effective examination of his application by the Court.</w:t>
      </w:r>
    </w:p>
    <w:p w:rsidRPr="00EE1964" w:rsidR="00F71A6A" w:rsidRDefault="00260C07">
      <w:pPr>
        <w:pStyle w:val="JuHIRoman"/>
      </w:pPr>
      <w:r>
        <w:t>IV</w:t>
      </w:r>
      <w:r w:rsidRPr="00EE1964" w:rsidR="00F71A6A">
        <w:t>.  OTHER ALLEGED VIOLATIONS OF THE CONVENTION</w:t>
      </w:r>
    </w:p>
    <w:p w:rsidR="00FF1F22" w:rsidP="00FF1F22" w:rsidRDefault="00B144B2">
      <w:pPr>
        <w:pStyle w:val="JuPara"/>
      </w:pPr>
      <w:r>
        <w:fldChar w:fldCharType="begin"/>
      </w:r>
      <w:r>
        <w:instrText xml:space="preserve"> SEQ level0 \*arabic </w:instrText>
      </w:r>
      <w:r>
        <w:fldChar w:fldCharType="separate"/>
      </w:r>
      <w:r w:rsidR="00D01D1E">
        <w:rPr>
          <w:noProof/>
        </w:rPr>
        <w:t>51</w:t>
      </w:r>
      <w:r>
        <w:fldChar w:fldCharType="end"/>
      </w:r>
      <w:r>
        <w:t>.  </w:t>
      </w:r>
      <w:r w:rsidR="00C1296C">
        <w:t>T</w:t>
      </w:r>
      <w:r w:rsidRPr="00EE1964" w:rsidR="00F71A6A">
        <w:t xml:space="preserve">he </w:t>
      </w:r>
      <w:r w:rsidRPr="00EE1964" w:rsidR="0005522C">
        <w:t>applicant</w:t>
      </w:r>
      <w:r w:rsidRPr="00EE1964" w:rsidR="00F71A6A">
        <w:t xml:space="preserve"> </w:t>
      </w:r>
      <w:r w:rsidR="007379A6">
        <w:t xml:space="preserve">also </w:t>
      </w:r>
      <w:r w:rsidRPr="00EE1964" w:rsidR="00F71A6A">
        <w:t xml:space="preserve">complained </w:t>
      </w:r>
      <w:r w:rsidR="00FF1F22">
        <w:t>under Article</w:t>
      </w:r>
      <w:r w:rsidR="008E02F2">
        <w:t xml:space="preserve"> </w:t>
      </w:r>
      <w:r w:rsidR="00FF1F22">
        <w:t xml:space="preserve">3 of the Convention </w:t>
      </w:r>
      <w:r w:rsidR="00EE268E">
        <w:t xml:space="preserve">of </w:t>
      </w:r>
      <w:r w:rsidR="00FF1F22">
        <w:t xml:space="preserve">his ill-treatment by unspecified police officers with the aim of extracting </w:t>
      </w:r>
      <w:r w:rsidR="00EE268E">
        <w:t xml:space="preserve">a </w:t>
      </w:r>
      <w:r w:rsidR="00FF1F22">
        <w:t xml:space="preserve">confession </w:t>
      </w:r>
      <w:r w:rsidR="00EE268E">
        <w:t xml:space="preserve">from him </w:t>
      </w:r>
      <w:r w:rsidR="00FF1F22">
        <w:t xml:space="preserve">and </w:t>
      </w:r>
      <w:r w:rsidR="00EE268E">
        <w:t>that the</w:t>
      </w:r>
      <w:r w:rsidR="00FF1F22">
        <w:t xml:space="preserve"> conditions of his detention in the ITT</w:t>
      </w:r>
      <w:r w:rsidR="00EE268E">
        <w:t xml:space="preserve"> had been inhuman</w:t>
      </w:r>
      <w:r w:rsidR="00FF1F22">
        <w:t>. Relying on Article</w:t>
      </w:r>
      <w:r w:rsidR="008E02F2">
        <w:t xml:space="preserve"> </w:t>
      </w:r>
      <w:r w:rsidR="00FF1F22">
        <w:t>5</w:t>
      </w:r>
      <w:r w:rsidR="008E02F2">
        <w:t xml:space="preserve"> </w:t>
      </w:r>
      <w:r w:rsidR="00FF1F22">
        <w:t>§</w:t>
      </w:r>
      <w:r w:rsidR="008E02F2">
        <w:t xml:space="preserve"> </w:t>
      </w:r>
      <w:r w:rsidR="00FF1F22">
        <w:t xml:space="preserve">1 (c) of the Convention, the applicant complained that he had been unlawfully detained between 21 January and 9 February 2000. The applicant stated that </w:t>
      </w:r>
      <w:r w:rsidR="00FF4676">
        <w:t xml:space="preserve">he had been unlawfully sentenced to </w:t>
      </w:r>
      <w:r w:rsidR="00FF1F22">
        <w:t>life</w:t>
      </w:r>
      <w:r w:rsidR="00FF4676">
        <w:t xml:space="preserve"> </w:t>
      </w:r>
      <w:r w:rsidR="00FF1F22">
        <w:t>imprisonment</w:t>
      </w:r>
      <w:r w:rsidR="00FF4676">
        <w:t>,</w:t>
      </w:r>
      <w:r w:rsidR="00FF1F22">
        <w:t xml:space="preserve"> as </w:t>
      </w:r>
      <w:r w:rsidRPr="00920245" w:rsidR="00FF4676">
        <w:rPr>
          <w:szCs w:val="24"/>
        </w:rPr>
        <w:t xml:space="preserve">in 1999, when he had committed the </w:t>
      </w:r>
      <w:r w:rsidR="00FF4676">
        <w:rPr>
          <w:szCs w:val="24"/>
        </w:rPr>
        <w:t>crimes</w:t>
      </w:r>
      <w:r w:rsidRPr="00920245" w:rsidR="00FF4676">
        <w:rPr>
          <w:szCs w:val="24"/>
        </w:rPr>
        <w:t xml:space="preserve">, such </w:t>
      </w:r>
      <w:r w:rsidR="00EE268E">
        <w:rPr>
          <w:szCs w:val="24"/>
        </w:rPr>
        <w:t xml:space="preserve">a </w:t>
      </w:r>
      <w:r w:rsidRPr="00920245" w:rsidR="00FF4676">
        <w:rPr>
          <w:szCs w:val="24"/>
        </w:rPr>
        <w:t>punishment had not existed</w:t>
      </w:r>
      <w:r w:rsidR="00FF4676">
        <w:rPr>
          <w:szCs w:val="24"/>
        </w:rPr>
        <w:t xml:space="preserve">. The applicant </w:t>
      </w:r>
      <w:r w:rsidR="00EE268E">
        <w:t xml:space="preserve">cited </w:t>
      </w:r>
      <w:r w:rsidR="00FF1F22">
        <w:t>Article</w:t>
      </w:r>
      <w:r w:rsidR="008E02F2">
        <w:t xml:space="preserve"> </w:t>
      </w:r>
      <w:r w:rsidR="00FF1F22">
        <w:t>7 of the Convention</w:t>
      </w:r>
      <w:r w:rsidR="00FF4676">
        <w:t xml:space="preserve"> in that regard.</w:t>
      </w:r>
    </w:p>
    <w:p w:rsidRPr="00EE1964" w:rsidR="00F71A6A" w:rsidP="00FF1F22" w:rsidRDefault="00B144B2">
      <w:pPr>
        <w:pStyle w:val="JuPara"/>
      </w:pPr>
      <w:r>
        <w:fldChar w:fldCharType="begin"/>
      </w:r>
      <w:r>
        <w:instrText xml:space="preserve"> SEQ level0 \*arabic </w:instrText>
      </w:r>
      <w:r>
        <w:fldChar w:fldCharType="separate"/>
      </w:r>
      <w:r w:rsidR="00D01D1E">
        <w:rPr>
          <w:noProof/>
        </w:rPr>
        <w:t>52</w:t>
      </w:r>
      <w:r>
        <w:fldChar w:fldCharType="end"/>
      </w:r>
      <w:r>
        <w:t>.  </w:t>
      </w:r>
      <w:r w:rsidR="00FF1F22">
        <w:t xml:space="preserve">In his </w:t>
      </w:r>
      <w:r w:rsidR="00171AD0">
        <w:t xml:space="preserve">submissions </w:t>
      </w:r>
      <w:r w:rsidR="00EE268E">
        <w:t xml:space="preserve">made </w:t>
      </w:r>
      <w:r w:rsidR="00FF1F22">
        <w:t xml:space="preserve">in 2006, the applicant </w:t>
      </w:r>
      <w:r w:rsidR="00171AD0">
        <w:t xml:space="preserve">further </w:t>
      </w:r>
      <w:r w:rsidR="00FF1F22">
        <w:t xml:space="preserve">complained </w:t>
      </w:r>
      <w:r w:rsidR="00EE268E">
        <w:t>that the</w:t>
      </w:r>
      <w:r w:rsidR="00FF1F22">
        <w:t xml:space="preserve"> conditions of his det</w:t>
      </w:r>
      <w:r w:rsidR="00171AD0">
        <w:t>ention in the SIZO</w:t>
      </w:r>
      <w:r w:rsidR="00EE268E">
        <w:t xml:space="preserve"> had been inhuman</w:t>
      </w:r>
      <w:r w:rsidR="00171AD0">
        <w:t>.</w:t>
      </w:r>
    </w:p>
    <w:p w:rsidRPr="00C24ADF" w:rsidR="007379A6" w:rsidP="007379A6" w:rsidRDefault="00B144B2">
      <w:pPr>
        <w:pStyle w:val="JuPara"/>
      </w:pPr>
      <w:r>
        <w:fldChar w:fldCharType="begin"/>
      </w:r>
      <w:r>
        <w:instrText xml:space="preserve"> SEQ level0 \*arabic </w:instrText>
      </w:r>
      <w:r>
        <w:fldChar w:fldCharType="separate"/>
      </w:r>
      <w:r w:rsidR="00D01D1E">
        <w:rPr>
          <w:noProof/>
        </w:rPr>
        <w:t>53</w:t>
      </w:r>
      <w:r>
        <w:fldChar w:fldCharType="end"/>
      </w:r>
      <w:r>
        <w:t>.  </w:t>
      </w:r>
      <w:r w:rsidR="007379A6">
        <w:t xml:space="preserve">The Court, having examined the remainder of the </w:t>
      </w:r>
      <w:r w:rsidR="00EE268E">
        <w:t>applicant</w:t>
      </w:r>
      <w:r w:rsidR="00D01D1E">
        <w:t>’</w:t>
      </w:r>
      <w:r w:rsidR="00EE268E">
        <w:t xml:space="preserve">s </w:t>
      </w:r>
      <w:r w:rsidR="007379A6">
        <w:t>complaints, considers that, i</w:t>
      </w:r>
      <w:r w:rsidR="003C78FF">
        <w:t>n the light of all the material</w:t>
      </w:r>
      <w:r w:rsidR="007379A6">
        <w:t xml:space="preserve"> in its possession and in so far as the matters complained of </w:t>
      </w:r>
      <w:r w:rsidR="00EE268E">
        <w:t xml:space="preserve">are </w:t>
      </w:r>
      <w:r w:rsidR="007379A6">
        <w:t xml:space="preserve">within its competence, they </w:t>
      </w:r>
      <w:r w:rsidR="00EE268E">
        <w:t xml:space="preserve">do </w:t>
      </w:r>
      <w:r w:rsidR="007379A6">
        <w:t>not disclose any appearance of a violation of the rights and freedoms set out in the Convention or its Protocols. It follows that the remainder of the application must be rejected as manifestly ill-founded, pursuant to Article</w:t>
      </w:r>
      <w:r w:rsidR="00D152D4">
        <w:t> </w:t>
      </w:r>
      <w:r w:rsidR="007379A6">
        <w:t>35 §§</w:t>
      </w:r>
      <w:r w:rsidR="003C78FF">
        <w:t xml:space="preserve"> 1,</w:t>
      </w:r>
      <w:r w:rsidR="007379A6">
        <w:t xml:space="preserve"> 3 (a) and 4 of the Convention.</w:t>
      </w:r>
    </w:p>
    <w:p w:rsidRPr="00EE1964" w:rsidR="00F71A6A" w:rsidRDefault="002D77DD">
      <w:pPr>
        <w:pStyle w:val="JuHIRoman"/>
      </w:pPr>
      <w:r>
        <w:t>V</w:t>
      </w:r>
      <w:r w:rsidRPr="00EE1964" w:rsidR="00F71A6A">
        <w:t>.  APPLICATION OF ARTICLE 41 OF THE CONVENTION</w:t>
      </w:r>
    </w:p>
    <w:p w:rsidRPr="00EE1964" w:rsidR="00F71A6A" w:rsidP="002F4BCF" w:rsidRDefault="00EE1964">
      <w:pPr>
        <w:pStyle w:val="JuPara"/>
        <w:keepNext/>
        <w:keepLines/>
      </w:pPr>
      <w:r w:rsidRPr="00EE1964">
        <w:fldChar w:fldCharType="begin"/>
      </w:r>
      <w:r w:rsidRPr="00EE1964">
        <w:instrText xml:space="preserve"> SEQ level0 \*arabic </w:instrText>
      </w:r>
      <w:r w:rsidRPr="00EE1964">
        <w:fldChar w:fldCharType="separate"/>
      </w:r>
      <w:r w:rsidR="00D01D1E">
        <w:rPr>
          <w:noProof/>
        </w:rPr>
        <w:t>54</w:t>
      </w:r>
      <w:r w:rsidRPr="00EE1964">
        <w:fldChar w:fldCharType="end"/>
      </w:r>
      <w:r w:rsidRPr="00EE1964" w:rsidR="00F71A6A">
        <w:t>.  Article 41 of the Convention provides:</w:t>
      </w:r>
    </w:p>
    <w:p w:rsidRPr="00EE1964" w:rsidR="00F71A6A" w:rsidRDefault="00F71A6A">
      <w:pPr>
        <w:pStyle w:val="JuQuot"/>
        <w:keepNext/>
        <w:keepLines/>
      </w:pPr>
      <w:r w:rsidRPr="00EE1964">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EE1964" w:rsidR="00F71A6A" w:rsidP="008824B9" w:rsidRDefault="00F71A6A">
      <w:pPr>
        <w:pStyle w:val="JuHA"/>
        <w:keepLines w:val="0"/>
        <w:outlineLvl w:val="0"/>
      </w:pPr>
      <w:r w:rsidRPr="00EE1964">
        <w:t>A.  Damage</w:t>
      </w:r>
    </w:p>
    <w:p w:rsidRPr="00301977" w:rsidR="00E17E03" w:rsidP="00E17E03" w:rsidRDefault="00E17E03">
      <w:pPr>
        <w:pStyle w:val="JuPara"/>
      </w:pPr>
      <w:r w:rsidRPr="00301977">
        <w:fldChar w:fldCharType="begin"/>
      </w:r>
      <w:r w:rsidRPr="00301977">
        <w:instrText xml:space="preserve"> SEQ level0 \*arabic </w:instrText>
      </w:r>
      <w:r w:rsidRPr="00301977">
        <w:fldChar w:fldCharType="separate"/>
      </w:r>
      <w:r w:rsidR="00D01D1E">
        <w:rPr>
          <w:noProof/>
        </w:rPr>
        <w:t>55</w:t>
      </w:r>
      <w:r w:rsidRPr="00301977">
        <w:fldChar w:fldCharType="end"/>
      </w:r>
      <w:r w:rsidRPr="00301977">
        <w:t xml:space="preserve">.  The applicant claimed </w:t>
      </w:r>
      <w:r>
        <w:t>50,000</w:t>
      </w:r>
      <w:r w:rsidRPr="00301977">
        <w:t xml:space="preserve"> euros (EUR) in respect of non</w:t>
      </w:r>
      <w:r w:rsidR="000D6556">
        <w:noBreakHyphen/>
      </w:r>
      <w:r w:rsidRPr="00301977">
        <w:t>pecuniary damage.</w:t>
      </w:r>
    </w:p>
    <w:p w:rsidRPr="00301977" w:rsidR="00E17E03" w:rsidP="00E17E03" w:rsidRDefault="00E17E03">
      <w:pPr>
        <w:pStyle w:val="JuPara"/>
      </w:pPr>
      <w:r w:rsidRPr="00301977">
        <w:fldChar w:fldCharType="begin"/>
      </w:r>
      <w:r w:rsidRPr="00301977">
        <w:instrText xml:space="preserve"> SEQ level0 \*arabic </w:instrText>
      </w:r>
      <w:r w:rsidRPr="00301977">
        <w:fldChar w:fldCharType="separate"/>
      </w:r>
      <w:r w:rsidR="00D01D1E">
        <w:rPr>
          <w:noProof/>
        </w:rPr>
        <w:t>56</w:t>
      </w:r>
      <w:r w:rsidRPr="00301977">
        <w:fldChar w:fldCharType="end"/>
      </w:r>
      <w:r w:rsidRPr="00301977">
        <w:t>.  The Government did not comment.</w:t>
      </w:r>
    </w:p>
    <w:p w:rsidRPr="00301977" w:rsidR="00E17E03" w:rsidP="00E17E03" w:rsidRDefault="00E17E03">
      <w:pPr>
        <w:pStyle w:val="JuPara"/>
      </w:pPr>
      <w:r w:rsidRPr="00301977">
        <w:fldChar w:fldCharType="begin"/>
      </w:r>
      <w:r w:rsidRPr="00301977">
        <w:instrText xml:space="preserve"> SEQ level0 \*arabic </w:instrText>
      </w:r>
      <w:r w:rsidRPr="00301977">
        <w:fldChar w:fldCharType="separate"/>
      </w:r>
      <w:r w:rsidR="00D01D1E">
        <w:rPr>
          <w:noProof/>
        </w:rPr>
        <w:t>57</w:t>
      </w:r>
      <w:r w:rsidRPr="00301977">
        <w:fldChar w:fldCharType="end"/>
      </w:r>
      <w:r w:rsidRPr="00301977">
        <w:t>.  The Court</w:t>
      </w:r>
      <w:r w:rsidR="00D54DCE">
        <w:t>, ruling on an equitable basis, awards the applicant EUR </w:t>
      </w:r>
      <w:r w:rsidR="00762968">
        <w:t>3,000</w:t>
      </w:r>
      <w:r w:rsidR="00C945FD">
        <w:t xml:space="preserve"> </w:t>
      </w:r>
      <w:r w:rsidR="00D54DCE">
        <w:t>under this head</w:t>
      </w:r>
      <w:r w:rsidRPr="00301977">
        <w:t>.</w:t>
      </w:r>
    </w:p>
    <w:p w:rsidRPr="00EE1964" w:rsidR="00F71A6A" w:rsidP="008824B9" w:rsidRDefault="00F71A6A">
      <w:pPr>
        <w:pStyle w:val="JuHA"/>
        <w:outlineLvl w:val="0"/>
      </w:pPr>
      <w:r w:rsidRPr="00EE1964">
        <w:t>B.  Costs and expenses</w:t>
      </w:r>
    </w:p>
    <w:p w:rsidRPr="00EE1964" w:rsidR="00F71A6A" w:rsidP="002F4BCF" w:rsidRDefault="00EE1964">
      <w:pPr>
        <w:pStyle w:val="JuPara"/>
      </w:pPr>
      <w:r w:rsidRPr="00EE1964">
        <w:fldChar w:fldCharType="begin"/>
      </w:r>
      <w:r w:rsidRPr="00EE1964">
        <w:instrText xml:space="preserve"> SEQ level0 \*arabic </w:instrText>
      </w:r>
      <w:r w:rsidRPr="00EE1964">
        <w:fldChar w:fldCharType="separate"/>
      </w:r>
      <w:r w:rsidR="00D01D1E">
        <w:rPr>
          <w:noProof/>
        </w:rPr>
        <w:t>58</w:t>
      </w:r>
      <w:r w:rsidRPr="00EE1964">
        <w:fldChar w:fldCharType="end"/>
      </w:r>
      <w:r w:rsidRPr="00EE1964" w:rsidR="00F71A6A">
        <w:t xml:space="preserve">.  The </w:t>
      </w:r>
      <w:r w:rsidRPr="00EE1964" w:rsidR="0005522C">
        <w:t>applicant</w:t>
      </w:r>
      <w:r w:rsidRPr="00EE1964" w:rsidR="00F71A6A">
        <w:t xml:space="preserve"> also claimed </w:t>
      </w:r>
      <w:r w:rsidR="00DA2CC0">
        <w:t>26,426.40 Ukrainian hryvnias (UAH)</w:t>
      </w:r>
      <w:r w:rsidR="00DA2CC0">
        <w:rPr>
          <w:rStyle w:val="FootnoteReference"/>
        </w:rPr>
        <w:footnoteReference w:id="1"/>
      </w:r>
      <w:r w:rsidR="00DA2CC0">
        <w:t xml:space="preserve"> </w:t>
      </w:r>
      <w:r w:rsidRPr="00EE1964" w:rsidR="00F71A6A">
        <w:t xml:space="preserve">for </w:t>
      </w:r>
      <w:r w:rsidR="00DA2CC0">
        <w:t xml:space="preserve">legal </w:t>
      </w:r>
      <w:r w:rsidRPr="00EE1964" w:rsidR="00F71A6A">
        <w:t>costs incurred before the Court</w:t>
      </w:r>
      <w:r w:rsidR="003012C5">
        <w:t xml:space="preserve">. </w:t>
      </w:r>
      <w:r w:rsidR="00E4408A">
        <w:t xml:space="preserve">The applicant </w:t>
      </w:r>
      <w:r w:rsidR="00EE268E">
        <w:t xml:space="preserve">asked for </w:t>
      </w:r>
      <w:r w:rsidR="00E4408A">
        <w:t xml:space="preserve">this sum to be paid directly </w:t>
      </w:r>
      <w:r w:rsidR="00EE268E">
        <w:t>in</w:t>
      </w:r>
      <w:r w:rsidR="00E4408A">
        <w:t>to the bank account of his representative</w:t>
      </w:r>
      <w:r w:rsidRPr="00EE1964" w:rsidR="00E4408A">
        <w:t>.</w:t>
      </w:r>
      <w:r w:rsidR="00E4408A">
        <w:t xml:space="preserve"> </w:t>
      </w:r>
      <w:r w:rsidR="00790F62">
        <w:t xml:space="preserve">The requested sum was based </w:t>
      </w:r>
      <w:r w:rsidR="00E4408A">
        <w:t xml:space="preserve">on </w:t>
      </w:r>
      <w:r w:rsidR="00EE268E">
        <w:t xml:space="preserve">a </w:t>
      </w:r>
      <w:r w:rsidR="00790F62">
        <w:t>rate of UAH 1,540</w:t>
      </w:r>
      <w:r w:rsidR="00790F62">
        <w:rPr>
          <w:rStyle w:val="FootnoteReference"/>
        </w:rPr>
        <w:footnoteReference w:id="2"/>
      </w:r>
      <w:r w:rsidR="00790F62">
        <w:t xml:space="preserve"> </w:t>
      </w:r>
      <w:r w:rsidR="006B09C6">
        <w:t xml:space="preserve">per hour, though </w:t>
      </w:r>
      <w:r w:rsidR="00E4408A">
        <w:t xml:space="preserve">it was not specified whether it included taxes. According to the applicant, </w:t>
      </w:r>
      <w:r w:rsidR="00EE268E">
        <w:t xml:space="preserve">his </w:t>
      </w:r>
      <w:r w:rsidR="00866869">
        <w:t>representative</w:t>
      </w:r>
      <w:r w:rsidR="00E4408A">
        <w:t xml:space="preserve"> had </w:t>
      </w:r>
      <w:r w:rsidR="00EE268E">
        <w:t xml:space="preserve">had </w:t>
      </w:r>
      <w:r w:rsidR="00E4408A">
        <w:t xml:space="preserve">to spend over </w:t>
      </w:r>
      <w:r w:rsidR="00EE268E">
        <w:t xml:space="preserve">seventeen </w:t>
      </w:r>
      <w:r w:rsidR="00E4408A">
        <w:t xml:space="preserve">hours studying the </w:t>
      </w:r>
      <w:r w:rsidR="00EE268E">
        <w:t xml:space="preserve">case </w:t>
      </w:r>
      <w:r w:rsidR="00E4408A">
        <w:t>material</w:t>
      </w:r>
      <w:r w:rsidR="00EE268E">
        <w:t>s</w:t>
      </w:r>
      <w:r w:rsidR="00E4408A">
        <w:t xml:space="preserve"> and </w:t>
      </w:r>
      <w:r w:rsidRPr="00A2276C" w:rsidR="00790F62">
        <w:t>preparing observations</w:t>
      </w:r>
      <w:r w:rsidR="00E4408A">
        <w:t xml:space="preserve"> and </w:t>
      </w:r>
      <w:r w:rsidRPr="00A2276C" w:rsidR="00790F62">
        <w:t>just satisfaction claim</w:t>
      </w:r>
      <w:r w:rsidR="00790F62">
        <w:t>s.</w:t>
      </w:r>
    </w:p>
    <w:p w:rsidRPr="00EE1964" w:rsidR="00F71A6A" w:rsidP="002F4BCF" w:rsidRDefault="00EE1964">
      <w:pPr>
        <w:pStyle w:val="JuPara"/>
      </w:pPr>
      <w:r w:rsidRPr="00EE1964">
        <w:fldChar w:fldCharType="begin"/>
      </w:r>
      <w:r w:rsidRPr="00EE1964">
        <w:instrText xml:space="preserve"> SEQ level0 \*arabic </w:instrText>
      </w:r>
      <w:r w:rsidRPr="00EE1964">
        <w:fldChar w:fldCharType="separate"/>
      </w:r>
      <w:r w:rsidR="00D01D1E">
        <w:rPr>
          <w:noProof/>
        </w:rPr>
        <w:t>59</w:t>
      </w:r>
      <w:r w:rsidRPr="00EE1964">
        <w:fldChar w:fldCharType="end"/>
      </w:r>
      <w:r w:rsidRPr="00EE1964" w:rsidR="00F71A6A">
        <w:t xml:space="preserve">.  The Government </w:t>
      </w:r>
      <w:r w:rsidR="00CD333B">
        <w:t>did not comment.</w:t>
      </w:r>
    </w:p>
    <w:p w:rsidRPr="00EE1964" w:rsidR="00F71A6A" w:rsidP="00D17DEE" w:rsidRDefault="00DF39BA">
      <w:pPr>
        <w:pStyle w:val="JuPara"/>
      </w:pPr>
      <w:r>
        <w:fldChar w:fldCharType="begin"/>
      </w:r>
      <w:r>
        <w:instrText xml:space="preserve"> SEQ level0 \*arabic </w:instrText>
      </w:r>
      <w:r>
        <w:fldChar w:fldCharType="separate"/>
      </w:r>
      <w:r w:rsidR="00D01D1E">
        <w:rPr>
          <w:noProof/>
        </w:rPr>
        <w:t>60</w:t>
      </w:r>
      <w:r>
        <w:fldChar w:fldCharType="end"/>
      </w:r>
      <w:r>
        <w:t>.  </w:t>
      </w:r>
      <w:r w:rsidRPr="00EE1964" w:rsidR="00EE1964">
        <w:t>According to the Court</w:t>
      </w:r>
      <w:r w:rsidR="00D01D1E">
        <w:t>’</w:t>
      </w:r>
      <w:r w:rsidRPr="00EE1964" w:rsidR="00EE1964">
        <w:t xml:space="preserve">s case-law, an applicant is entitled to the reimbursement of costs and expenses only in so far as it has been shown that these have been actually and necessarily incurred and are reasonable as to quantum. In the present case, </w:t>
      </w:r>
      <w:r w:rsidR="00C91595">
        <w:t>the Court notes that the only arguable complaint concerned a straightforward matter,</w:t>
      </w:r>
      <w:r w:rsidRPr="00C91595" w:rsidR="00C91595">
        <w:t xml:space="preserve"> </w:t>
      </w:r>
      <w:r w:rsidR="00C91595">
        <w:t>which did not require extensive legal research or reasoning (see paragraph</w:t>
      </w:r>
      <w:r>
        <w:t>s</w:t>
      </w:r>
      <w:r w:rsidR="00C91595">
        <w:t xml:space="preserve"> </w:t>
      </w:r>
      <w:r>
        <w:t>48-</w:t>
      </w:r>
      <w:r w:rsidR="002A7C99">
        <w:t>50</w:t>
      </w:r>
      <w:r w:rsidR="00C91595">
        <w:t xml:space="preserve"> above). The Court further notes that the applicant</w:t>
      </w:r>
      <w:r w:rsidR="00D01D1E">
        <w:t>’</w:t>
      </w:r>
      <w:r w:rsidR="00C91595">
        <w:t>s repr</w:t>
      </w:r>
      <w:r w:rsidR="00DB3356">
        <w:t xml:space="preserve">esentative </w:t>
      </w:r>
      <w:r w:rsidR="000D47AF">
        <w:t xml:space="preserve">has </w:t>
      </w:r>
      <w:r w:rsidR="00DB3356">
        <w:t xml:space="preserve">already </w:t>
      </w:r>
      <w:r w:rsidR="000D47AF">
        <w:t xml:space="preserve">been </w:t>
      </w:r>
      <w:r w:rsidR="00DB3356">
        <w:t>paid EUR </w:t>
      </w:r>
      <w:r w:rsidR="00C91595">
        <w:t>850 under the Court</w:t>
      </w:r>
      <w:r w:rsidR="00D01D1E">
        <w:t>’</w:t>
      </w:r>
      <w:r w:rsidR="00C91595">
        <w:t>s legal aid scheme. R</w:t>
      </w:r>
      <w:r w:rsidRPr="00EE1964" w:rsidR="00EE1964">
        <w:t>egard</w:t>
      </w:r>
      <w:r w:rsidRPr="00EE1964" w:rsidR="00F73D18">
        <w:t xml:space="preserve"> </w:t>
      </w:r>
      <w:r w:rsidRPr="00EE1964" w:rsidR="005F7A10">
        <w:t xml:space="preserve">being had to the </w:t>
      </w:r>
      <w:r w:rsidR="00CD333B">
        <w:t>nature of the fa</w:t>
      </w:r>
      <w:r w:rsidR="00C945FD">
        <w:t>ctual and legal issues examined and</w:t>
      </w:r>
      <w:r w:rsidR="00CD333B">
        <w:t xml:space="preserve"> the representative</w:t>
      </w:r>
      <w:r w:rsidR="00D01D1E">
        <w:t>’</w:t>
      </w:r>
      <w:r w:rsidR="00CD333B">
        <w:t>s involvement in the case, the Court</w:t>
      </w:r>
      <w:r w:rsidRPr="00EE1964" w:rsidR="00F71A6A">
        <w:t xml:space="preserve"> considers </w:t>
      </w:r>
      <w:r w:rsidR="00A34191">
        <w:t>that</w:t>
      </w:r>
      <w:r w:rsidR="00771BD3">
        <w:t xml:space="preserve"> </w:t>
      </w:r>
      <w:r w:rsidR="002A7C99">
        <w:t>it is not necessary to award</w:t>
      </w:r>
      <w:r w:rsidR="00C945FD">
        <w:t xml:space="preserve"> any additional sum under this head.</w:t>
      </w:r>
    </w:p>
    <w:p w:rsidRPr="00EE1964" w:rsidR="00F71A6A" w:rsidP="008824B9" w:rsidRDefault="00F71A6A">
      <w:pPr>
        <w:pStyle w:val="JuHA"/>
        <w:outlineLvl w:val="0"/>
      </w:pPr>
      <w:r w:rsidRPr="00EE1964">
        <w:t>C.  Default interest</w:t>
      </w:r>
    </w:p>
    <w:p w:rsidRPr="00EE1964" w:rsidR="00F71A6A" w:rsidP="00151CCA" w:rsidRDefault="00EE1964">
      <w:pPr>
        <w:pStyle w:val="JuPara"/>
      </w:pPr>
      <w:r w:rsidRPr="00EE1964">
        <w:fldChar w:fldCharType="begin"/>
      </w:r>
      <w:r w:rsidRPr="00EE1964">
        <w:instrText xml:space="preserve"> SEQ level0 \*arabic </w:instrText>
      </w:r>
      <w:r w:rsidRPr="00EE1964">
        <w:fldChar w:fldCharType="separate"/>
      </w:r>
      <w:r w:rsidR="00D01D1E">
        <w:rPr>
          <w:noProof/>
        </w:rPr>
        <w:t>61</w:t>
      </w:r>
      <w:r w:rsidRPr="00EE1964">
        <w:fldChar w:fldCharType="end"/>
      </w:r>
      <w:r w:rsidRPr="00EE1964" w:rsidR="00F71A6A">
        <w:t xml:space="preserve">.  The Court considers it appropriate that the default interest </w:t>
      </w:r>
      <w:r w:rsidRPr="00EE1964" w:rsidR="0034580F">
        <w:t xml:space="preserve">rate </w:t>
      </w:r>
      <w:r w:rsidRPr="00EE1964" w:rsidR="00F71A6A">
        <w:t>should be based on the marginal lending rate of the European Central Bank, to which should be added three percentage points.</w:t>
      </w:r>
    </w:p>
    <w:p w:rsidRPr="00EE1964" w:rsidR="00F71A6A" w:rsidP="008824B9" w:rsidRDefault="00F71A6A">
      <w:pPr>
        <w:pStyle w:val="JuHHead"/>
      </w:pPr>
      <w:r w:rsidRPr="00EE1964">
        <w:t xml:space="preserve">FOR THESE REASONS, THE COURT </w:t>
      </w:r>
      <w:r w:rsidRPr="00EE1964" w:rsidR="00EE1964">
        <w:t>UNANIMOUSLY</w:t>
      </w:r>
    </w:p>
    <w:p w:rsidRPr="00EE1964" w:rsidR="001279F8" w:rsidP="001279F8" w:rsidRDefault="00C945FD">
      <w:pPr>
        <w:pStyle w:val="JuList"/>
      </w:pPr>
      <w:r>
        <w:t>1</w:t>
      </w:r>
      <w:r w:rsidRPr="00EE1964" w:rsidR="001279F8">
        <w:t>.  </w:t>
      </w:r>
      <w:r w:rsidRPr="00EE1964" w:rsidR="001279F8">
        <w:rPr>
          <w:i/>
        </w:rPr>
        <w:t>Declares</w:t>
      </w:r>
      <w:r w:rsidRPr="00EE1964" w:rsidR="001279F8">
        <w:t xml:space="preserve"> the </w:t>
      </w:r>
      <w:r w:rsidR="001279F8">
        <w:t>applicant</w:t>
      </w:r>
      <w:r w:rsidR="00D01D1E">
        <w:t>’</w:t>
      </w:r>
      <w:r w:rsidR="001279F8">
        <w:t xml:space="preserve">s </w:t>
      </w:r>
      <w:r w:rsidRPr="00EE1964" w:rsidR="001279F8">
        <w:t>complaint</w:t>
      </w:r>
      <w:r w:rsidR="00437929">
        <w:t>s under Articles 3, 5</w:t>
      </w:r>
      <w:r>
        <w:t>, 6</w:t>
      </w:r>
      <w:r w:rsidR="00437929">
        <w:t xml:space="preserve"> and 7 of </w:t>
      </w:r>
      <w:r w:rsidR="001279F8">
        <w:t xml:space="preserve">the Convention </w:t>
      </w:r>
      <w:r w:rsidRPr="00EE1964" w:rsidR="001279F8">
        <w:t>inadmissible;</w:t>
      </w:r>
    </w:p>
    <w:p w:rsidR="001279F8" w:rsidP="009F07CC" w:rsidRDefault="001279F8">
      <w:pPr>
        <w:pStyle w:val="JuList"/>
      </w:pPr>
    </w:p>
    <w:p w:rsidRPr="00EE1964" w:rsidR="00F71A6A" w:rsidRDefault="00C945FD">
      <w:pPr>
        <w:pStyle w:val="JuList"/>
      </w:pPr>
      <w:r>
        <w:t>2</w:t>
      </w:r>
      <w:r w:rsidRPr="00EE1964" w:rsidR="00F71A6A">
        <w:t>.  </w:t>
      </w:r>
      <w:r w:rsidRPr="00EE1964" w:rsidR="00F71A6A">
        <w:rPr>
          <w:i/>
        </w:rPr>
        <w:t>Holds</w:t>
      </w:r>
      <w:r w:rsidRPr="00EE1964" w:rsidR="00F71A6A">
        <w:t xml:space="preserve"> that </w:t>
      </w:r>
      <w:r w:rsidRPr="00EE1964" w:rsidR="002D52F2">
        <w:t>the respondent State</w:t>
      </w:r>
      <w:r w:rsidRPr="00301977" w:rsidR="002B2A6C">
        <w:t xml:space="preserve"> has failed to comply with its obligations under Article 34 of the Convention with respect to the refusal of the authorities to provide the applicant with copies of documents for his application to the Court</w:t>
      </w:r>
      <w:r w:rsidRPr="00EE1964" w:rsidR="00F71A6A">
        <w:t>;</w:t>
      </w:r>
    </w:p>
    <w:p w:rsidRPr="00EE1964" w:rsidR="00F71A6A" w:rsidRDefault="00F71A6A">
      <w:pPr>
        <w:pStyle w:val="JuList"/>
      </w:pPr>
    </w:p>
    <w:p w:rsidRPr="00EE1964" w:rsidR="003104E9" w:rsidP="00901475" w:rsidRDefault="00C945FD">
      <w:pPr>
        <w:pStyle w:val="JuList"/>
      </w:pPr>
      <w:r>
        <w:t>3</w:t>
      </w:r>
      <w:r w:rsidRPr="00EE1964" w:rsidR="00F71A6A">
        <w:t>.  </w:t>
      </w:r>
      <w:r w:rsidRPr="00EE1964" w:rsidR="00F71A6A">
        <w:rPr>
          <w:i/>
        </w:rPr>
        <w:t>Holds</w:t>
      </w:r>
    </w:p>
    <w:p w:rsidRPr="00EE1964" w:rsidR="003104E9" w:rsidP="006138EA" w:rsidRDefault="003104E9">
      <w:pPr>
        <w:pStyle w:val="JuLista"/>
      </w:pPr>
      <w:r w:rsidRPr="00EE1964">
        <w:t xml:space="preserve">(a)  that the respondent State is to </w:t>
      </w:r>
      <w:r w:rsidRPr="00EE1964" w:rsidR="00901475">
        <w:t xml:space="preserve">pay </w:t>
      </w:r>
      <w:r w:rsidRPr="00EE1964">
        <w:t xml:space="preserve">the </w:t>
      </w:r>
      <w:r w:rsidRPr="00EE1964" w:rsidR="0005522C">
        <w:t>applicant</w:t>
      </w:r>
      <w:smartTag w:uri="urn:schemas-microsoft-com:office:smarttags" w:element="PersonName">
        <w:r w:rsidRPr="00EE1964">
          <w:t>,</w:t>
        </w:r>
      </w:smartTag>
      <w:r w:rsidRPr="00EE1964">
        <w:t xml:space="preserve"> within three months</w:t>
      </w:r>
      <w:r w:rsidR="00EE1964">
        <w:t xml:space="preserve"> </w:t>
      </w:r>
      <w:r w:rsidRPr="00EE1964" w:rsidR="00EE1964">
        <w:t>from the date on which the judgment becomes final in accordance with Article</w:t>
      </w:r>
      <w:r w:rsidR="008E02F2">
        <w:t xml:space="preserve"> </w:t>
      </w:r>
      <w:r w:rsidRPr="00EE1964" w:rsidR="00EE1964">
        <w:t>44</w:t>
      </w:r>
      <w:r w:rsidR="008E02F2">
        <w:t xml:space="preserve"> </w:t>
      </w:r>
      <w:r w:rsidRPr="00EE1964" w:rsidR="00EE1964">
        <w:t>§</w:t>
      </w:r>
      <w:r w:rsidR="008E02F2">
        <w:t xml:space="preserve"> </w:t>
      </w:r>
      <w:r w:rsidRPr="00EE1964" w:rsidR="00EE1964">
        <w:t>2 of the Convention,</w:t>
      </w:r>
      <w:r w:rsidR="009E701E">
        <w:t xml:space="preserve"> </w:t>
      </w:r>
      <w:r w:rsidRPr="00EE1964" w:rsidR="00C945FD">
        <w:t xml:space="preserve">EUR </w:t>
      </w:r>
      <w:r w:rsidR="00762968">
        <w:t>3,000</w:t>
      </w:r>
      <w:r w:rsidRPr="00EE1964" w:rsidR="00C945FD">
        <w:t xml:space="preserve"> (</w:t>
      </w:r>
      <w:r w:rsidR="00762968">
        <w:t xml:space="preserve">three </w:t>
      </w:r>
      <w:r w:rsidR="00C945FD">
        <w:t>thousand</w:t>
      </w:r>
      <w:r w:rsidRPr="00EE1964" w:rsidR="00C945FD">
        <w:t xml:space="preserve"> euros), plus any tax that may be chargeable,</w:t>
      </w:r>
      <w:r w:rsidR="00C945FD">
        <w:t xml:space="preserve"> </w:t>
      </w:r>
      <w:r w:rsidRPr="00EE1964" w:rsidR="00C945FD">
        <w:t xml:space="preserve">in respect of </w:t>
      </w:r>
      <w:r w:rsidR="00C945FD">
        <w:t>non-</w:t>
      </w:r>
      <w:r w:rsidRPr="00EE1964" w:rsidR="00C945FD">
        <w:t>pecuniary damage</w:t>
      </w:r>
      <w:r w:rsidRPr="00EE1964">
        <w:t xml:space="preserve">, to be converted into </w:t>
      </w:r>
      <w:r w:rsidRPr="00EE1964" w:rsidR="006138EA">
        <w:rPr>
          <w:color w:val="000000"/>
        </w:rPr>
        <w:t>the currency of the respondent State</w:t>
      </w:r>
      <w:r w:rsidR="003D13E3">
        <w:rPr>
          <w:color w:val="000000"/>
        </w:rPr>
        <w:t xml:space="preserve"> </w:t>
      </w:r>
      <w:r w:rsidRPr="00EE1964">
        <w:t>at the rate applicable at the date of settlement</w:t>
      </w:r>
      <w:r w:rsidR="00C945FD">
        <w:t>;</w:t>
      </w:r>
    </w:p>
    <w:p w:rsidRPr="00EE1964" w:rsidR="003104E9" w:rsidRDefault="003104E9">
      <w:pPr>
        <w:pStyle w:val="JuLista"/>
      </w:pPr>
      <w:r w:rsidRPr="00EE1964">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EE1964" w:rsidR="00F71A6A" w:rsidRDefault="00F71A6A">
      <w:pPr>
        <w:pStyle w:val="JuList"/>
      </w:pPr>
    </w:p>
    <w:p w:rsidRPr="00EE1964" w:rsidR="00F71A6A" w:rsidRDefault="00C945FD">
      <w:pPr>
        <w:pStyle w:val="JuList"/>
      </w:pPr>
      <w:r>
        <w:t>4</w:t>
      </w:r>
      <w:r w:rsidRPr="00EE1964" w:rsidR="00F71A6A">
        <w:t>.  </w:t>
      </w:r>
      <w:r w:rsidRPr="00EE1964" w:rsidR="00F71A6A">
        <w:rPr>
          <w:i/>
        </w:rPr>
        <w:t>Dismisses</w:t>
      </w:r>
      <w:r w:rsidRPr="00EE1964" w:rsidR="00F71A6A">
        <w:t xml:space="preserve"> the remainder of the </w:t>
      </w:r>
      <w:r w:rsidRPr="00EE1964" w:rsidR="005F4753">
        <w:t>applicant</w:t>
      </w:r>
      <w:r w:rsidR="00D01D1E">
        <w:t>’</w:t>
      </w:r>
      <w:r w:rsidRPr="00EE1964" w:rsidR="00EE1964">
        <w:t>s</w:t>
      </w:r>
      <w:r w:rsidRPr="00EE1964" w:rsidR="00F71A6A">
        <w:t xml:space="preserve"> claim for just satisfaction.</w:t>
      </w:r>
    </w:p>
    <w:p w:rsidRPr="00EE1964" w:rsidR="00325C2B" w:rsidP="00325C2B" w:rsidRDefault="00F71A6A">
      <w:pPr>
        <w:pStyle w:val="JuParaLast"/>
      </w:pPr>
      <w:r w:rsidRPr="00EE1964">
        <w:t xml:space="preserve">Done in English, and notified in writing on </w:t>
      </w:r>
      <w:r w:rsidR="001C1EEE">
        <w:t>13 June 2013</w:t>
      </w:r>
      <w:r w:rsidRPr="00EE1964">
        <w:t>, pursuant to Rule</w:t>
      </w:r>
      <w:r w:rsidRPr="00EE1964" w:rsidR="0011665B">
        <w:t xml:space="preserve"> </w:t>
      </w:r>
      <w:r w:rsidRPr="00EE1964">
        <w:t>77</w:t>
      </w:r>
      <w:r w:rsidRPr="00EE1964" w:rsidR="0011665B">
        <w:t xml:space="preserve"> </w:t>
      </w:r>
      <w:r w:rsidRPr="00EE1964">
        <w:t>§§</w:t>
      </w:r>
      <w:r w:rsidRPr="00EE1964" w:rsidR="0011665B">
        <w:t xml:space="preserve"> </w:t>
      </w:r>
      <w:r w:rsidRPr="00EE1964">
        <w:t>2 and</w:t>
      </w:r>
      <w:r w:rsidRPr="00EE1964" w:rsidR="0011665B">
        <w:t xml:space="preserve"> </w:t>
      </w:r>
      <w:r w:rsidRPr="00EE1964">
        <w:t>3 of the Rules of Court.</w:t>
      </w:r>
    </w:p>
    <w:p w:rsidRPr="00EE1964" w:rsidR="0079187F" w:rsidP="00C01E1C" w:rsidRDefault="00325C2B">
      <w:pPr>
        <w:pStyle w:val="JuSigned"/>
        <w:keepNext/>
        <w:keepLines/>
      </w:pPr>
      <w:r w:rsidRPr="00EE1964">
        <w:tab/>
      </w:r>
      <w:r w:rsidRPr="00EE1964" w:rsidR="00EE1964">
        <w:t>Claudia Westerdiek</w:t>
      </w:r>
      <w:r w:rsidRPr="00EE1964" w:rsidR="00A8381C">
        <w:tab/>
      </w:r>
      <w:r w:rsidRPr="00EE1964" w:rsidR="00EE1964">
        <w:rPr>
          <w:szCs w:val="24"/>
        </w:rPr>
        <w:t>Mark Villiger</w:t>
      </w:r>
      <w:r w:rsidR="009E1E9B">
        <w:rPr>
          <w:szCs w:val="24"/>
        </w:rPr>
        <w:br/>
      </w:r>
      <w:r w:rsidRPr="00EE1964" w:rsidR="00A8381C">
        <w:tab/>
      </w:r>
      <w:r w:rsidRPr="00EE1964" w:rsidR="00EE1964">
        <w:rPr>
          <w:iCs/>
        </w:rPr>
        <w:t>Registrar</w:t>
      </w:r>
      <w:r w:rsidRPr="00EE1964" w:rsidR="00A8381C">
        <w:tab/>
        <w:t>President</w:t>
      </w:r>
    </w:p>
    <w:sectPr w:rsidRPr="00EE1964" w:rsidR="0079187F" w:rsidSect="005F3261">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E72" w:rsidRDefault="00654E72">
      <w:r>
        <w:separator/>
      </w:r>
    </w:p>
  </w:endnote>
  <w:endnote w:type="continuationSeparator" w:id="0">
    <w:p w:rsidR="00654E72" w:rsidRDefault="00654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261" w:rsidRPr="00150BFA" w:rsidRDefault="005F3261" w:rsidP="003A25A3">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5F3261" w:rsidRDefault="005F3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E72" w:rsidRDefault="00654E72">
      <w:r>
        <w:separator/>
      </w:r>
    </w:p>
  </w:footnote>
  <w:footnote w:type="continuationSeparator" w:id="0">
    <w:p w:rsidR="00654E72" w:rsidRDefault="00654E72">
      <w:r>
        <w:continuationSeparator/>
      </w:r>
    </w:p>
  </w:footnote>
  <w:footnote w:id="1">
    <w:p w:rsidR="00287ED6" w:rsidRPr="00DA2CC0" w:rsidRDefault="00287ED6">
      <w:pPr>
        <w:pStyle w:val="FootnoteText"/>
      </w:pPr>
      <w:r w:rsidRPr="00EB4B10">
        <w:rPr>
          <w:vertAlign w:val="superscript"/>
        </w:rPr>
        <w:footnoteRef/>
      </w:r>
      <w:r w:rsidR="00EB4B10">
        <w:rPr>
          <w:vertAlign w:val="superscript"/>
        </w:rPr>
        <w:t xml:space="preserve"> </w:t>
      </w:r>
      <w:r>
        <w:t xml:space="preserve">About EUR 2,400 </w:t>
      </w:r>
    </w:p>
  </w:footnote>
  <w:footnote w:id="2">
    <w:p w:rsidR="00287ED6" w:rsidRPr="00790F62" w:rsidRDefault="00287ED6">
      <w:pPr>
        <w:pStyle w:val="FootnoteText"/>
      </w:pPr>
      <w:r w:rsidRPr="00EB4B10">
        <w:rPr>
          <w:vertAlign w:val="superscript"/>
        </w:rPr>
        <w:footnoteRef/>
      </w:r>
      <w:r w:rsidR="00EB4B10">
        <w:rPr>
          <w:vertAlign w:val="superscript"/>
        </w:rPr>
        <w:t xml:space="preserve"> </w:t>
      </w:r>
      <w:r>
        <w:t>About EUR 142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ED6" w:rsidRDefault="00287ED6" w:rsidP="005F3261">
    <w:pPr>
      <w:pStyle w:val="Ju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261" w:rsidRPr="00C00F0F" w:rsidRDefault="005F3261">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287ED6" w:rsidRDefault="00287E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261" w:rsidRDefault="005F3261">
    <w:pPr>
      <w:pStyle w:val="JuHeader"/>
    </w:pPr>
    <w:r>
      <w:rPr>
        <w:rStyle w:val="PageNumber"/>
      </w:rPr>
      <w:fldChar w:fldCharType="begin"/>
    </w:r>
    <w:r>
      <w:rPr>
        <w:rStyle w:val="PageNumber"/>
      </w:rPr>
      <w:instrText xml:space="preserve"> PAGE </w:instrText>
    </w:r>
    <w:r>
      <w:rPr>
        <w:rStyle w:val="PageNumber"/>
      </w:rPr>
      <w:fldChar w:fldCharType="separate"/>
    </w:r>
    <w:r w:rsidR="00D01D1E">
      <w:rPr>
        <w:rStyle w:val="PageNumber"/>
        <w:noProof/>
      </w:rPr>
      <w:t>12</w:t>
    </w:r>
    <w:r>
      <w:rPr>
        <w:rStyle w:val="PageNumber"/>
      </w:rPr>
      <w:fldChar w:fldCharType="end"/>
    </w:r>
    <w:r>
      <w:tab/>
      <w:t>KOROSTYLYOV v. UKRAINE</w:t>
    </w:r>
    <w:r w:rsidR="009E1E9B">
      <w:t xml:space="preserve"> </w:t>
    </w:r>
    <w: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261" w:rsidRDefault="005F3261">
    <w:pPr>
      <w:pStyle w:val="JuHeader"/>
    </w:pPr>
    <w:r>
      <w:tab/>
      <w:t>KOROSTYLYOV v. UKRAINE</w:t>
    </w:r>
    <w:r w:rsidR="009E1E9B">
      <w:t xml:space="preserve"> </w:t>
    </w:r>
    <w:r>
      <w:t>JUDGMENT</w:t>
    </w:r>
    <w:r>
      <w:tab/>
    </w:r>
    <w:r>
      <w:rPr>
        <w:rStyle w:val="PageNumber"/>
      </w:rPr>
      <w:fldChar w:fldCharType="begin"/>
    </w:r>
    <w:r>
      <w:rPr>
        <w:rStyle w:val="PageNumber"/>
      </w:rPr>
      <w:instrText xml:space="preserve"> PAGE </w:instrText>
    </w:r>
    <w:r>
      <w:rPr>
        <w:rStyle w:val="PageNumber"/>
      </w:rPr>
      <w:fldChar w:fldCharType="separate"/>
    </w:r>
    <w:r w:rsidR="00D01D1E">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 "/>
    <w:docVar w:name="L4_1Annex" w:val="0"/>
    <w:docVar w:name="L4_1Anonymity" w:val="0"/>
    <w:docVar w:name="NBEMMDOC" w:val="0"/>
    <w:docVar w:name="SignForeName" w:val="0"/>
  </w:docVars>
  <w:rsids>
    <w:rsidRoot w:val="00EE1964"/>
    <w:rsid w:val="00001CC5"/>
    <w:rsid w:val="00002DD1"/>
    <w:rsid w:val="000042D1"/>
    <w:rsid w:val="00004EB2"/>
    <w:rsid w:val="00007B38"/>
    <w:rsid w:val="00010206"/>
    <w:rsid w:val="00013894"/>
    <w:rsid w:val="00013EAD"/>
    <w:rsid w:val="00021ECD"/>
    <w:rsid w:val="000227CB"/>
    <w:rsid w:val="00030A78"/>
    <w:rsid w:val="00033160"/>
    <w:rsid w:val="00033FD2"/>
    <w:rsid w:val="00036211"/>
    <w:rsid w:val="0003679E"/>
    <w:rsid w:val="00042867"/>
    <w:rsid w:val="00046AFB"/>
    <w:rsid w:val="00053E53"/>
    <w:rsid w:val="0005522C"/>
    <w:rsid w:val="00055AC1"/>
    <w:rsid w:val="0006026F"/>
    <w:rsid w:val="0006303D"/>
    <w:rsid w:val="00064564"/>
    <w:rsid w:val="000726F6"/>
    <w:rsid w:val="00076A67"/>
    <w:rsid w:val="00077A29"/>
    <w:rsid w:val="00085837"/>
    <w:rsid w:val="00085B3A"/>
    <w:rsid w:val="00087185"/>
    <w:rsid w:val="000902DF"/>
    <w:rsid w:val="00090C82"/>
    <w:rsid w:val="0009409F"/>
    <w:rsid w:val="000968C4"/>
    <w:rsid w:val="000A1AA3"/>
    <w:rsid w:val="000A2013"/>
    <w:rsid w:val="000A42B3"/>
    <w:rsid w:val="000B1C37"/>
    <w:rsid w:val="000B7AA0"/>
    <w:rsid w:val="000C2EAA"/>
    <w:rsid w:val="000D47AF"/>
    <w:rsid w:val="000D572A"/>
    <w:rsid w:val="000D6108"/>
    <w:rsid w:val="000D6556"/>
    <w:rsid w:val="000E0DD5"/>
    <w:rsid w:val="000E1449"/>
    <w:rsid w:val="000E2F30"/>
    <w:rsid w:val="000F236B"/>
    <w:rsid w:val="000F699D"/>
    <w:rsid w:val="000F7337"/>
    <w:rsid w:val="00104AD1"/>
    <w:rsid w:val="00111D99"/>
    <w:rsid w:val="001134E0"/>
    <w:rsid w:val="001149A9"/>
    <w:rsid w:val="0011665B"/>
    <w:rsid w:val="00117230"/>
    <w:rsid w:val="00123149"/>
    <w:rsid w:val="00123EEA"/>
    <w:rsid w:val="0012405B"/>
    <w:rsid w:val="00126213"/>
    <w:rsid w:val="001279F8"/>
    <w:rsid w:val="0013290F"/>
    <w:rsid w:val="001368D1"/>
    <w:rsid w:val="00137CC6"/>
    <w:rsid w:val="001409DD"/>
    <w:rsid w:val="00141275"/>
    <w:rsid w:val="0014435B"/>
    <w:rsid w:val="00151CCA"/>
    <w:rsid w:val="00152C37"/>
    <w:rsid w:val="00155DA4"/>
    <w:rsid w:val="00157878"/>
    <w:rsid w:val="00157BD8"/>
    <w:rsid w:val="00171AD0"/>
    <w:rsid w:val="00174A6F"/>
    <w:rsid w:val="001812B2"/>
    <w:rsid w:val="001817F2"/>
    <w:rsid w:val="00181F74"/>
    <w:rsid w:val="001823C1"/>
    <w:rsid w:val="00182F1B"/>
    <w:rsid w:val="00190002"/>
    <w:rsid w:val="0019388B"/>
    <w:rsid w:val="00195378"/>
    <w:rsid w:val="0019561A"/>
    <w:rsid w:val="00195EEE"/>
    <w:rsid w:val="00197C29"/>
    <w:rsid w:val="00197D61"/>
    <w:rsid w:val="001A0EBE"/>
    <w:rsid w:val="001A1313"/>
    <w:rsid w:val="001A2CB2"/>
    <w:rsid w:val="001A411E"/>
    <w:rsid w:val="001B049C"/>
    <w:rsid w:val="001B15EB"/>
    <w:rsid w:val="001B2EFC"/>
    <w:rsid w:val="001B419D"/>
    <w:rsid w:val="001B62B1"/>
    <w:rsid w:val="001B74F7"/>
    <w:rsid w:val="001C022C"/>
    <w:rsid w:val="001C1EEE"/>
    <w:rsid w:val="001C4A31"/>
    <w:rsid w:val="001C5CB9"/>
    <w:rsid w:val="001C5E0F"/>
    <w:rsid w:val="001D4BB8"/>
    <w:rsid w:val="001E757A"/>
    <w:rsid w:val="001F2CBC"/>
    <w:rsid w:val="001F3F43"/>
    <w:rsid w:val="001F5586"/>
    <w:rsid w:val="001F5EDB"/>
    <w:rsid w:val="001F69A5"/>
    <w:rsid w:val="001F75AD"/>
    <w:rsid w:val="002020EB"/>
    <w:rsid w:val="002041E3"/>
    <w:rsid w:val="0021050F"/>
    <w:rsid w:val="002127A3"/>
    <w:rsid w:val="002163C4"/>
    <w:rsid w:val="00216E4B"/>
    <w:rsid w:val="00225BE5"/>
    <w:rsid w:val="002266CD"/>
    <w:rsid w:val="00227D6A"/>
    <w:rsid w:val="002306CC"/>
    <w:rsid w:val="00230EFB"/>
    <w:rsid w:val="002320C6"/>
    <w:rsid w:val="00233457"/>
    <w:rsid w:val="00236800"/>
    <w:rsid w:val="00242896"/>
    <w:rsid w:val="002443F2"/>
    <w:rsid w:val="002454A6"/>
    <w:rsid w:val="00252B31"/>
    <w:rsid w:val="00253265"/>
    <w:rsid w:val="002563F5"/>
    <w:rsid w:val="00260C07"/>
    <w:rsid w:val="00265471"/>
    <w:rsid w:val="0026789F"/>
    <w:rsid w:val="00267E01"/>
    <w:rsid w:val="00271A81"/>
    <w:rsid w:val="002720BE"/>
    <w:rsid w:val="00277041"/>
    <w:rsid w:val="00285F2C"/>
    <w:rsid w:val="00287ED6"/>
    <w:rsid w:val="00296B76"/>
    <w:rsid w:val="00297147"/>
    <w:rsid w:val="00297942"/>
    <w:rsid w:val="002A0F63"/>
    <w:rsid w:val="002A4296"/>
    <w:rsid w:val="002A5633"/>
    <w:rsid w:val="002A7C99"/>
    <w:rsid w:val="002B18B7"/>
    <w:rsid w:val="002B1913"/>
    <w:rsid w:val="002B2A6C"/>
    <w:rsid w:val="002B3CE5"/>
    <w:rsid w:val="002B5C48"/>
    <w:rsid w:val="002B7DB2"/>
    <w:rsid w:val="002C29B7"/>
    <w:rsid w:val="002C29BC"/>
    <w:rsid w:val="002C2E39"/>
    <w:rsid w:val="002C34BA"/>
    <w:rsid w:val="002C632C"/>
    <w:rsid w:val="002C7D3E"/>
    <w:rsid w:val="002D1D08"/>
    <w:rsid w:val="002D52F2"/>
    <w:rsid w:val="002D77DD"/>
    <w:rsid w:val="002E2EAF"/>
    <w:rsid w:val="002E6A74"/>
    <w:rsid w:val="002F4BCF"/>
    <w:rsid w:val="002F6A48"/>
    <w:rsid w:val="002F6FE9"/>
    <w:rsid w:val="003012C5"/>
    <w:rsid w:val="0030184A"/>
    <w:rsid w:val="00302008"/>
    <w:rsid w:val="00310430"/>
    <w:rsid w:val="003104E9"/>
    <w:rsid w:val="0031361A"/>
    <w:rsid w:val="0031573C"/>
    <w:rsid w:val="0032093A"/>
    <w:rsid w:val="003209DB"/>
    <w:rsid w:val="00321707"/>
    <w:rsid w:val="00325C2B"/>
    <w:rsid w:val="00327233"/>
    <w:rsid w:val="0033206B"/>
    <w:rsid w:val="00332547"/>
    <w:rsid w:val="00332FF9"/>
    <w:rsid w:val="0033375B"/>
    <w:rsid w:val="00335934"/>
    <w:rsid w:val="00336887"/>
    <w:rsid w:val="0033703A"/>
    <w:rsid w:val="00337600"/>
    <w:rsid w:val="003403BB"/>
    <w:rsid w:val="00342CFB"/>
    <w:rsid w:val="00343D30"/>
    <w:rsid w:val="0034580F"/>
    <w:rsid w:val="003506C9"/>
    <w:rsid w:val="00354C61"/>
    <w:rsid w:val="00355F8F"/>
    <w:rsid w:val="003572B6"/>
    <w:rsid w:val="00360008"/>
    <w:rsid w:val="003620AB"/>
    <w:rsid w:val="003626D0"/>
    <w:rsid w:val="00365FD1"/>
    <w:rsid w:val="00367CC6"/>
    <w:rsid w:val="003711BA"/>
    <w:rsid w:val="00371277"/>
    <w:rsid w:val="0037228D"/>
    <w:rsid w:val="00381ED4"/>
    <w:rsid w:val="00384427"/>
    <w:rsid w:val="00391394"/>
    <w:rsid w:val="003A25A3"/>
    <w:rsid w:val="003A29CE"/>
    <w:rsid w:val="003A2F48"/>
    <w:rsid w:val="003A64D3"/>
    <w:rsid w:val="003A695C"/>
    <w:rsid w:val="003A701D"/>
    <w:rsid w:val="003B41C7"/>
    <w:rsid w:val="003B50D7"/>
    <w:rsid w:val="003B58C9"/>
    <w:rsid w:val="003B60F9"/>
    <w:rsid w:val="003C28FA"/>
    <w:rsid w:val="003C78FF"/>
    <w:rsid w:val="003D015C"/>
    <w:rsid w:val="003D13E3"/>
    <w:rsid w:val="003D3271"/>
    <w:rsid w:val="003D3543"/>
    <w:rsid w:val="003D6CA6"/>
    <w:rsid w:val="003E2006"/>
    <w:rsid w:val="003E319C"/>
    <w:rsid w:val="003E3A87"/>
    <w:rsid w:val="003E7B17"/>
    <w:rsid w:val="003F02E5"/>
    <w:rsid w:val="003F3BFD"/>
    <w:rsid w:val="003F4C08"/>
    <w:rsid w:val="00401C5B"/>
    <w:rsid w:val="00404467"/>
    <w:rsid w:val="004062E5"/>
    <w:rsid w:val="00412F5F"/>
    <w:rsid w:val="00413EFC"/>
    <w:rsid w:val="00415AC0"/>
    <w:rsid w:val="004325FC"/>
    <w:rsid w:val="00437929"/>
    <w:rsid w:val="004403C6"/>
    <w:rsid w:val="004406AA"/>
    <w:rsid w:val="00441946"/>
    <w:rsid w:val="0044296C"/>
    <w:rsid w:val="004445EF"/>
    <w:rsid w:val="0044560A"/>
    <w:rsid w:val="00452CF1"/>
    <w:rsid w:val="00457679"/>
    <w:rsid w:val="00457A18"/>
    <w:rsid w:val="00460FAD"/>
    <w:rsid w:val="00465AD7"/>
    <w:rsid w:val="00471505"/>
    <w:rsid w:val="00484D5B"/>
    <w:rsid w:val="00485A6F"/>
    <w:rsid w:val="004920B1"/>
    <w:rsid w:val="004B474B"/>
    <w:rsid w:val="004B5510"/>
    <w:rsid w:val="004D7089"/>
    <w:rsid w:val="004E5DFC"/>
    <w:rsid w:val="004F3EED"/>
    <w:rsid w:val="004F4A61"/>
    <w:rsid w:val="00500618"/>
    <w:rsid w:val="0050096C"/>
    <w:rsid w:val="00500A3C"/>
    <w:rsid w:val="0050115A"/>
    <w:rsid w:val="005034AD"/>
    <w:rsid w:val="00503F1E"/>
    <w:rsid w:val="0050527F"/>
    <w:rsid w:val="00505E92"/>
    <w:rsid w:val="00510DB0"/>
    <w:rsid w:val="00512A41"/>
    <w:rsid w:val="00513446"/>
    <w:rsid w:val="005138F1"/>
    <w:rsid w:val="00514913"/>
    <w:rsid w:val="00516EBF"/>
    <w:rsid w:val="00521128"/>
    <w:rsid w:val="00521A52"/>
    <w:rsid w:val="00522362"/>
    <w:rsid w:val="00522F16"/>
    <w:rsid w:val="00523787"/>
    <w:rsid w:val="00524FFC"/>
    <w:rsid w:val="005319A5"/>
    <w:rsid w:val="0054074A"/>
    <w:rsid w:val="005416A4"/>
    <w:rsid w:val="005419B6"/>
    <w:rsid w:val="00542F31"/>
    <w:rsid w:val="00542F78"/>
    <w:rsid w:val="00545415"/>
    <w:rsid w:val="00546F49"/>
    <w:rsid w:val="00553A19"/>
    <w:rsid w:val="00553C1A"/>
    <w:rsid w:val="00554B17"/>
    <w:rsid w:val="00556D6E"/>
    <w:rsid w:val="0055784A"/>
    <w:rsid w:val="0056241D"/>
    <w:rsid w:val="00563596"/>
    <w:rsid w:val="005657BE"/>
    <w:rsid w:val="0056771C"/>
    <w:rsid w:val="00572408"/>
    <w:rsid w:val="005753E1"/>
    <w:rsid w:val="005777BA"/>
    <w:rsid w:val="00577E6A"/>
    <w:rsid w:val="00580918"/>
    <w:rsid w:val="00582D1B"/>
    <w:rsid w:val="00584A11"/>
    <w:rsid w:val="005871AB"/>
    <w:rsid w:val="005874FF"/>
    <w:rsid w:val="0059064C"/>
    <w:rsid w:val="005929D7"/>
    <w:rsid w:val="005944D6"/>
    <w:rsid w:val="00595C5D"/>
    <w:rsid w:val="005A3D27"/>
    <w:rsid w:val="005A6FA5"/>
    <w:rsid w:val="005B16A8"/>
    <w:rsid w:val="005B40E0"/>
    <w:rsid w:val="005B4233"/>
    <w:rsid w:val="005C1929"/>
    <w:rsid w:val="005C1956"/>
    <w:rsid w:val="005C2C88"/>
    <w:rsid w:val="005C41CB"/>
    <w:rsid w:val="005C5277"/>
    <w:rsid w:val="005C7050"/>
    <w:rsid w:val="005E245B"/>
    <w:rsid w:val="005E384F"/>
    <w:rsid w:val="005E78B1"/>
    <w:rsid w:val="005F1615"/>
    <w:rsid w:val="005F3261"/>
    <w:rsid w:val="005F4753"/>
    <w:rsid w:val="005F5075"/>
    <w:rsid w:val="005F7A10"/>
    <w:rsid w:val="00602B75"/>
    <w:rsid w:val="006053AC"/>
    <w:rsid w:val="0060600F"/>
    <w:rsid w:val="006111FF"/>
    <w:rsid w:val="006138EA"/>
    <w:rsid w:val="00620344"/>
    <w:rsid w:val="00625699"/>
    <w:rsid w:val="0062787C"/>
    <w:rsid w:val="00627882"/>
    <w:rsid w:val="00633478"/>
    <w:rsid w:val="00634319"/>
    <w:rsid w:val="00640B82"/>
    <w:rsid w:val="00641C53"/>
    <w:rsid w:val="00654E72"/>
    <w:rsid w:val="00655126"/>
    <w:rsid w:val="00655BAA"/>
    <w:rsid w:val="006639B6"/>
    <w:rsid w:val="0066521B"/>
    <w:rsid w:val="00666892"/>
    <w:rsid w:val="00667C46"/>
    <w:rsid w:val="00667CC3"/>
    <w:rsid w:val="00680836"/>
    <w:rsid w:val="00684512"/>
    <w:rsid w:val="00685980"/>
    <w:rsid w:val="006915B1"/>
    <w:rsid w:val="006958FD"/>
    <w:rsid w:val="00695D05"/>
    <w:rsid w:val="00697F14"/>
    <w:rsid w:val="006A1BD1"/>
    <w:rsid w:val="006A3D9D"/>
    <w:rsid w:val="006A7C48"/>
    <w:rsid w:val="006B09C6"/>
    <w:rsid w:val="006B1AC7"/>
    <w:rsid w:val="006B5F35"/>
    <w:rsid w:val="006C2B52"/>
    <w:rsid w:val="006C35C5"/>
    <w:rsid w:val="006C3968"/>
    <w:rsid w:val="006D097D"/>
    <w:rsid w:val="006D71BC"/>
    <w:rsid w:val="006E6D33"/>
    <w:rsid w:val="006F21FB"/>
    <w:rsid w:val="006F4751"/>
    <w:rsid w:val="006F64B1"/>
    <w:rsid w:val="006F6868"/>
    <w:rsid w:val="00701C5C"/>
    <w:rsid w:val="007045BD"/>
    <w:rsid w:val="0071112E"/>
    <w:rsid w:val="007126C5"/>
    <w:rsid w:val="00714C7C"/>
    <w:rsid w:val="007156E0"/>
    <w:rsid w:val="00715EAA"/>
    <w:rsid w:val="00716CF6"/>
    <w:rsid w:val="00727CAB"/>
    <w:rsid w:val="00730053"/>
    <w:rsid w:val="00730433"/>
    <w:rsid w:val="00733578"/>
    <w:rsid w:val="00733940"/>
    <w:rsid w:val="007352DD"/>
    <w:rsid w:val="007352F2"/>
    <w:rsid w:val="007375C2"/>
    <w:rsid w:val="007379A6"/>
    <w:rsid w:val="00741268"/>
    <w:rsid w:val="007413A7"/>
    <w:rsid w:val="00744C98"/>
    <w:rsid w:val="007475A2"/>
    <w:rsid w:val="00750E5E"/>
    <w:rsid w:val="00754ABE"/>
    <w:rsid w:val="0075535E"/>
    <w:rsid w:val="00756D5B"/>
    <w:rsid w:val="007603BB"/>
    <w:rsid w:val="007603C8"/>
    <w:rsid w:val="00762968"/>
    <w:rsid w:val="00771BD3"/>
    <w:rsid w:val="00774849"/>
    <w:rsid w:val="00775DCE"/>
    <w:rsid w:val="00776807"/>
    <w:rsid w:val="0077789B"/>
    <w:rsid w:val="0078062F"/>
    <w:rsid w:val="007827E7"/>
    <w:rsid w:val="00790F62"/>
    <w:rsid w:val="0079163D"/>
    <w:rsid w:val="0079187F"/>
    <w:rsid w:val="00792933"/>
    <w:rsid w:val="00792D2B"/>
    <w:rsid w:val="00795291"/>
    <w:rsid w:val="007A1617"/>
    <w:rsid w:val="007A1FFE"/>
    <w:rsid w:val="007A357A"/>
    <w:rsid w:val="007A4DED"/>
    <w:rsid w:val="007A6DBA"/>
    <w:rsid w:val="007B2958"/>
    <w:rsid w:val="007B5974"/>
    <w:rsid w:val="007B5C9B"/>
    <w:rsid w:val="007B697A"/>
    <w:rsid w:val="007C090B"/>
    <w:rsid w:val="007C1CE3"/>
    <w:rsid w:val="007D05A2"/>
    <w:rsid w:val="007D0D75"/>
    <w:rsid w:val="007D4E90"/>
    <w:rsid w:val="007E3F25"/>
    <w:rsid w:val="007E603C"/>
    <w:rsid w:val="007F102D"/>
    <w:rsid w:val="007F3B81"/>
    <w:rsid w:val="007F6842"/>
    <w:rsid w:val="007F735A"/>
    <w:rsid w:val="00806E5F"/>
    <w:rsid w:val="0082060E"/>
    <w:rsid w:val="00830A1D"/>
    <w:rsid w:val="008324B1"/>
    <w:rsid w:val="00836889"/>
    <w:rsid w:val="00836A82"/>
    <w:rsid w:val="0084096A"/>
    <w:rsid w:val="00840AA8"/>
    <w:rsid w:val="00842D09"/>
    <w:rsid w:val="00843B4A"/>
    <w:rsid w:val="00846856"/>
    <w:rsid w:val="00851B6E"/>
    <w:rsid w:val="00853345"/>
    <w:rsid w:val="008601F7"/>
    <w:rsid w:val="00864209"/>
    <w:rsid w:val="00865374"/>
    <w:rsid w:val="00865450"/>
    <w:rsid w:val="00866869"/>
    <w:rsid w:val="008710B9"/>
    <w:rsid w:val="00873E12"/>
    <w:rsid w:val="00880ABB"/>
    <w:rsid w:val="00881864"/>
    <w:rsid w:val="008824B9"/>
    <w:rsid w:val="0088315D"/>
    <w:rsid w:val="00884205"/>
    <w:rsid w:val="0088628C"/>
    <w:rsid w:val="00886BB5"/>
    <w:rsid w:val="008870CC"/>
    <w:rsid w:val="00893782"/>
    <w:rsid w:val="00895C2C"/>
    <w:rsid w:val="00896C17"/>
    <w:rsid w:val="00896F0A"/>
    <w:rsid w:val="008A5170"/>
    <w:rsid w:val="008B198D"/>
    <w:rsid w:val="008B5BFB"/>
    <w:rsid w:val="008C39B5"/>
    <w:rsid w:val="008C4A23"/>
    <w:rsid w:val="008C60EE"/>
    <w:rsid w:val="008C6F68"/>
    <w:rsid w:val="008D4C0A"/>
    <w:rsid w:val="008D7BF2"/>
    <w:rsid w:val="008E02F2"/>
    <w:rsid w:val="008E05A3"/>
    <w:rsid w:val="008E141D"/>
    <w:rsid w:val="008E204C"/>
    <w:rsid w:val="008E4197"/>
    <w:rsid w:val="008E7B0F"/>
    <w:rsid w:val="008F3B93"/>
    <w:rsid w:val="008F3DB9"/>
    <w:rsid w:val="00900F2B"/>
    <w:rsid w:val="00901475"/>
    <w:rsid w:val="00907334"/>
    <w:rsid w:val="00910EB8"/>
    <w:rsid w:val="0091244D"/>
    <w:rsid w:val="009169BC"/>
    <w:rsid w:val="0091782E"/>
    <w:rsid w:val="0092695C"/>
    <w:rsid w:val="00927277"/>
    <w:rsid w:val="00930CD7"/>
    <w:rsid w:val="00932C7B"/>
    <w:rsid w:val="00935E0D"/>
    <w:rsid w:val="0094239F"/>
    <w:rsid w:val="009423F0"/>
    <w:rsid w:val="009435DE"/>
    <w:rsid w:val="0095037D"/>
    <w:rsid w:val="00956501"/>
    <w:rsid w:val="009606DD"/>
    <w:rsid w:val="00964488"/>
    <w:rsid w:val="00965484"/>
    <w:rsid w:val="00965BD4"/>
    <w:rsid w:val="009660D5"/>
    <w:rsid w:val="00975B2F"/>
    <w:rsid w:val="00977D65"/>
    <w:rsid w:val="009803F1"/>
    <w:rsid w:val="0098064F"/>
    <w:rsid w:val="00980A41"/>
    <w:rsid w:val="0098535B"/>
    <w:rsid w:val="00991C1E"/>
    <w:rsid w:val="0099561C"/>
    <w:rsid w:val="00995F44"/>
    <w:rsid w:val="00997AB3"/>
    <w:rsid w:val="009A01F2"/>
    <w:rsid w:val="009A5840"/>
    <w:rsid w:val="009A590A"/>
    <w:rsid w:val="009A6925"/>
    <w:rsid w:val="009A7454"/>
    <w:rsid w:val="009B039E"/>
    <w:rsid w:val="009B15A1"/>
    <w:rsid w:val="009B246F"/>
    <w:rsid w:val="009C5183"/>
    <w:rsid w:val="009D46D7"/>
    <w:rsid w:val="009D48D9"/>
    <w:rsid w:val="009D4B87"/>
    <w:rsid w:val="009D6081"/>
    <w:rsid w:val="009E1E9B"/>
    <w:rsid w:val="009E23AB"/>
    <w:rsid w:val="009E701E"/>
    <w:rsid w:val="009F0055"/>
    <w:rsid w:val="009F07CC"/>
    <w:rsid w:val="009F0E29"/>
    <w:rsid w:val="009F157A"/>
    <w:rsid w:val="009F18CE"/>
    <w:rsid w:val="009F1D27"/>
    <w:rsid w:val="009F5625"/>
    <w:rsid w:val="00A012A5"/>
    <w:rsid w:val="00A04E02"/>
    <w:rsid w:val="00A06A89"/>
    <w:rsid w:val="00A06B5E"/>
    <w:rsid w:val="00A135BE"/>
    <w:rsid w:val="00A24C8E"/>
    <w:rsid w:val="00A32B81"/>
    <w:rsid w:val="00A34191"/>
    <w:rsid w:val="00A35C98"/>
    <w:rsid w:val="00A36290"/>
    <w:rsid w:val="00A431CD"/>
    <w:rsid w:val="00A50EED"/>
    <w:rsid w:val="00A5331A"/>
    <w:rsid w:val="00A57A42"/>
    <w:rsid w:val="00A62A67"/>
    <w:rsid w:val="00A7049C"/>
    <w:rsid w:val="00A73CEA"/>
    <w:rsid w:val="00A745F2"/>
    <w:rsid w:val="00A75253"/>
    <w:rsid w:val="00A775D7"/>
    <w:rsid w:val="00A80135"/>
    <w:rsid w:val="00A8381C"/>
    <w:rsid w:val="00A92223"/>
    <w:rsid w:val="00A94764"/>
    <w:rsid w:val="00AA0A20"/>
    <w:rsid w:val="00AA2B6A"/>
    <w:rsid w:val="00AA373E"/>
    <w:rsid w:val="00AA6CAF"/>
    <w:rsid w:val="00AA7CA2"/>
    <w:rsid w:val="00AA7FC1"/>
    <w:rsid w:val="00AB0594"/>
    <w:rsid w:val="00AB0A35"/>
    <w:rsid w:val="00AB2166"/>
    <w:rsid w:val="00AB43D9"/>
    <w:rsid w:val="00AB6C5B"/>
    <w:rsid w:val="00AB713B"/>
    <w:rsid w:val="00AC134B"/>
    <w:rsid w:val="00AC4995"/>
    <w:rsid w:val="00AC4A35"/>
    <w:rsid w:val="00AC7D5C"/>
    <w:rsid w:val="00AD2B8D"/>
    <w:rsid w:val="00AD57B2"/>
    <w:rsid w:val="00AE2F4F"/>
    <w:rsid w:val="00AE6119"/>
    <w:rsid w:val="00AF6660"/>
    <w:rsid w:val="00B030BE"/>
    <w:rsid w:val="00B0594B"/>
    <w:rsid w:val="00B1084A"/>
    <w:rsid w:val="00B122EA"/>
    <w:rsid w:val="00B144B2"/>
    <w:rsid w:val="00B17265"/>
    <w:rsid w:val="00B20EB3"/>
    <w:rsid w:val="00B324A5"/>
    <w:rsid w:val="00B3608A"/>
    <w:rsid w:val="00B36B60"/>
    <w:rsid w:val="00B41E91"/>
    <w:rsid w:val="00B43F78"/>
    <w:rsid w:val="00B4551C"/>
    <w:rsid w:val="00B460AF"/>
    <w:rsid w:val="00B46955"/>
    <w:rsid w:val="00B52010"/>
    <w:rsid w:val="00B574E7"/>
    <w:rsid w:val="00B57E2D"/>
    <w:rsid w:val="00B6108B"/>
    <w:rsid w:val="00B6165A"/>
    <w:rsid w:val="00B64488"/>
    <w:rsid w:val="00B662B2"/>
    <w:rsid w:val="00B6763B"/>
    <w:rsid w:val="00B67CBD"/>
    <w:rsid w:val="00B704A3"/>
    <w:rsid w:val="00B72A1A"/>
    <w:rsid w:val="00B7424C"/>
    <w:rsid w:val="00B743BC"/>
    <w:rsid w:val="00B77048"/>
    <w:rsid w:val="00B81192"/>
    <w:rsid w:val="00B81C73"/>
    <w:rsid w:val="00B902D7"/>
    <w:rsid w:val="00B921A8"/>
    <w:rsid w:val="00B95CFA"/>
    <w:rsid w:val="00B964B1"/>
    <w:rsid w:val="00BA037C"/>
    <w:rsid w:val="00BA03B7"/>
    <w:rsid w:val="00BA163F"/>
    <w:rsid w:val="00BB047B"/>
    <w:rsid w:val="00BB1DCD"/>
    <w:rsid w:val="00BB7E47"/>
    <w:rsid w:val="00BC288F"/>
    <w:rsid w:val="00BC3D19"/>
    <w:rsid w:val="00BC457C"/>
    <w:rsid w:val="00BC4FB8"/>
    <w:rsid w:val="00BC6C64"/>
    <w:rsid w:val="00BC7EEE"/>
    <w:rsid w:val="00BD19AE"/>
    <w:rsid w:val="00BD20D7"/>
    <w:rsid w:val="00BE50FE"/>
    <w:rsid w:val="00BE5958"/>
    <w:rsid w:val="00BE76F3"/>
    <w:rsid w:val="00BF071D"/>
    <w:rsid w:val="00C01E1C"/>
    <w:rsid w:val="00C02E48"/>
    <w:rsid w:val="00C07BE4"/>
    <w:rsid w:val="00C10C04"/>
    <w:rsid w:val="00C1296C"/>
    <w:rsid w:val="00C27EF9"/>
    <w:rsid w:val="00C3018F"/>
    <w:rsid w:val="00C30671"/>
    <w:rsid w:val="00C3297F"/>
    <w:rsid w:val="00C36A5C"/>
    <w:rsid w:val="00C459A5"/>
    <w:rsid w:val="00C47696"/>
    <w:rsid w:val="00C53BED"/>
    <w:rsid w:val="00C577C8"/>
    <w:rsid w:val="00C600BC"/>
    <w:rsid w:val="00C63E30"/>
    <w:rsid w:val="00C646E6"/>
    <w:rsid w:val="00C70117"/>
    <w:rsid w:val="00C73967"/>
    <w:rsid w:val="00C759CD"/>
    <w:rsid w:val="00C81C6A"/>
    <w:rsid w:val="00C84877"/>
    <w:rsid w:val="00C8548C"/>
    <w:rsid w:val="00C85E8F"/>
    <w:rsid w:val="00C91595"/>
    <w:rsid w:val="00C94023"/>
    <w:rsid w:val="00C945FD"/>
    <w:rsid w:val="00C96EBF"/>
    <w:rsid w:val="00C97CF0"/>
    <w:rsid w:val="00CA0F8A"/>
    <w:rsid w:val="00CB2B95"/>
    <w:rsid w:val="00CB3270"/>
    <w:rsid w:val="00CB43B9"/>
    <w:rsid w:val="00CC3A9C"/>
    <w:rsid w:val="00CC6623"/>
    <w:rsid w:val="00CD31A0"/>
    <w:rsid w:val="00CD333B"/>
    <w:rsid w:val="00CD5D90"/>
    <w:rsid w:val="00CE1C9D"/>
    <w:rsid w:val="00CE5750"/>
    <w:rsid w:val="00CF166A"/>
    <w:rsid w:val="00D00569"/>
    <w:rsid w:val="00D01D1E"/>
    <w:rsid w:val="00D034F1"/>
    <w:rsid w:val="00D102A7"/>
    <w:rsid w:val="00D1288A"/>
    <w:rsid w:val="00D152BA"/>
    <w:rsid w:val="00D152D4"/>
    <w:rsid w:val="00D15473"/>
    <w:rsid w:val="00D16FBF"/>
    <w:rsid w:val="00D17DEE"/>
    <w:rsid w:val="00D249B6"/>
    <w:rsid w:val="00D25141"/>
    <w:rsid w:val="00D26504"/>
    <w:rsid w:val="00D30474"/>
    <w:rsid w:val="00D30F97"/>
    <w:rsid w:val="00D33169"/>
    <w:rsid w:val="00D333B8"/>
    <w:rsid w:val="00D353F4"/>
    <w:rsid w:val="00D357B5"/>
    <w:rsid w:val="00D37F9C"/>
    <w:rsid w:val="00D4163B"/>
    <w:rsid w:val="00D441A1"/>
    <w:rsid w:val="00D44697"/>
    <w:rsid w:val="00D44EA3"/>
    <w:rsid w:val="00D457A4"/>
    <w:rsid w:val="00D46333"/>
    <w:rsid w:val="00D4752E"/>
    <w:rsid w:val="00D5173C"/>
    <w:rsid w:val="00D54DCE"/>
    <w:rsid w:val="00D56B5D"/>
    <w:rsid w:val="00D60E75"/>
    <w:rsid w:val="00D63326"/>
    <w:rsid w:val="00D63793"/>
    <w:rsid w:val="00D73611"/>
    <w:rsid w:val="00D75655"/>
    <w:rsid w:val="00D76B5D"/>
    <w:rsid w:val="00D85723"/>
    <w:rsid w:val="00D9022E"/>
    <w:rsid w:val="00D90810"/>
    <w:rsid w:val="00D90AEC"/>
    <w:rsid w:val="00D9554F"/>
    <w:rsid w:val="00D95C7E"/>
    <w:rsid w:val="00D97522"/>
    <w:rsid w:val="00DA2CC0"/>
    <w:rsid w:val="00DA35FA"/>
    <w:rsid w:val="00DA5360"/>
    <w:rsid w:val="00DB1176"/>
    <w:rsid w:val="00DB3356"/>
    <w:rsid w:val="00DB5B90"/>
    <w:rsid w:val="00DB6D67"/>
    <w:rsid w:val="00DC2093"/>
    <w:rsid w:val="00DC3537"/>
    <w:rsid w:val="00DC5C22"/>
    <w:rsid w:val="00DC68CB"/>
    <w:rsid w:val="00DD2F6B"/>
    <w:rsid w:val="00DD3DF7"/>
    <w:rsid w:val="00DE5E8F"/>
    <w:rsid w:val="00DE7406"/>
    <w:rsid w:val="00DE7E96"/>
    <w:rsid w:val="00DF06A0"/>
    <w:rsid w:val="00DF39BA"/>
    <w:rsid w:val="00DF4240"/>
    <w:rsid w:val="00DF50F5"/>
    <w:rsid w:val="00DF589E"/>
    <w:rsid w:val="00E05981"/>
    <w:rsid w:val="00E17E03"/>
    <w:rsid w:val="00E203B8"/>
    <w:rsid w:val="00E21160"/>
    <w:rsid w:val="00E2155B"/>
    <w:rsid w:val="00E216C7"/>
    <w:rsid w:val="00E220D9"/>
    <w:rsid w:val="00E224A1"/>
    <w:rsid w:val="00E25D12"/>
    <w:rsid w:val="00E32625"/>
    <w:rsid w:val="00E32971"/>
    <w:rsid w:val="00E32EF4"/>
    <w:rsid w:val="00E32FC2"/>
    <w:rsid w:val="00E337FF"/>
    <w:rsid w:val="00E40B66"/>
    <w:rsid w:val="00E422D1"/>
    <w:rsid w:val="00E4408A"/>
    <w:rsid w:val="00E46467"/>
    <w:rsid w:val="00E46F16"/>
    <w:rsid w:val="00E50968"/>
    <w:rsid w:val="00E526A4"/>
    <w:rsid w:val="00E52A9F"/>
    <w:rsid w:val="00E53645"/>
    <w:rsid w:val="00E53ED4"/>
    <w:rsid w:val="00E55A25"/>
    <w:rsid w:val="00E635DB"/>
    <w:rsid w:val="00E635E1"/>
    <w:rsid w:val="00E71072"/>
    <w:rsid w:val="00E72D39"/>
    <w:rsid w:val="00E7491E"/>
    <w:rsid w:val="00E809A7"/>
    <w:rsid w:val="00E81663"/>
    <w:rsid w:val="00E85A97"/>
    <w:rsid w:val="00E87AEA"/>
    <w:rsid w:val="00E904B2"/>
    <w:rsid w:val="00E9155E"/>
    <w:rsid w:val="00E9209A"/>
    <w:rsid w:val="00E95AF9"/>
    <w:rsid w:val="00E96FFB"/>
    <w:rsid w:val="00E973F5"/>
    <w:rsid w:val="00EA4C31"/>
    <w:rsid w:val="00EA730D"/>
    <w:rsid w:val="00EB0CCC"/>
    <w:rsid w:val="00EB2A33"/>
    <w:rsid w:val="00EB41E9"/>
    <w:rsid w:val="00EB49D1"/>
    <w:rsid w:val="00EB4B10"/>
    <w:rsid w:val="00EB5EBC"/>
    <w:rsid w:val="00EB621C"/>
    <w:rsid w:val="00EC23E8"/>
    <w:rsid w:val="00ED12C3"/>
    <w:rsid w:val="00ED3AC7"/>
    <w:rsid w:val="00ED6269"/>
    <w:rsid w:val="00EE1252"/>
    <w:rsid w:val="00EE1964"/>
    <w:rsid w:val="00EE1EB1"/>
    <w:rsid w:val="00EE268E"/>
    <w:rsid w:val="00EE47FF"/>
    <w:rsid w:val="00EE7911"/>
    <w:rsid w:val="00EF1121"/>
    <w:rsid w:val="00EF2384"/>
    <w:rsid w:val="00EF7D94"/>
    <w:rsid w:val="00F01F73"/>
    <w:rsid w:val="00F02C4F"/>
    <w:rsid w:val="00F02E50"/>
    <w:rsid w:val="00F130FF"/>
    <w:rsid w:val="00F138E1"/>
    <w:rsid w:val="00F17A82"/>
    <w:rsid w:val="00F22E8B"/>
    <w:rsid w:val="00F233D0"/>
    <w:rsid w:val="00F324E0"/>
    <w:rsid w:val="00F408F2"/>
    <w:rsid w:val="00F40F3B"/>
    <w:rsid w:val="00F429D7"/>
    <w:rsid w:val="00F43FF3"/>
    <w:rsid w:val="00F455F5"/>
    <w:rsid w:val="00F472E0"/>
    <w:rsid w:val="00F5124B"/>
    <w:rsid w:val="00F5429E"/>
    <w:rsid w:val="00F54A59"/>
    <w:rsid w:val="00F60FD6"/>
    <w:rsid w:val="00F62FA4"/>
    <w:rsid w:val="00F7072A"/>
    <w:rsid w:val="00F71040"/>
    <w:rsid w:val="00F71977"/>
    <w:rsid w:val="00F71A6A"/>
    <w:rsid w:val="00F73D18"/>
    <w:rsid w:val="00F755F9"/>
    <w:rsid w:val="00F85DC6"/>
    <w:rsid w:val="00F90D0D"/>
    <w:rsid w:val="00F92E9A"/>
    <w:rsid w:val="00F94742"/>
    <w:rsid w:val="00F95973"/>
    <w:rsid w:val="00FA132B"/>
    <w:rsid w:val="00FA47EA"/>
    <w:rsid w:val="00FA5329"/>
    <w:rsid w:val="00FA64A1"/>
    <w:rsid w:val="00FA7C29"/>
    <w:rsid w:val="00FA7C66"/>
    <w:rsid w:val="00FB06F4"/>
    <w:rsid w:val="00FB434B"/>
    <w:rsid w:val="00FB5681"/>
    <w:rsid w:val="00FB5F2E"/>
    <w:rsid w:val="00FB62D0"/>
    <w:rsid w:val="00FB62EF"/>
    <w:rsid w:val="00FB6670"/>
    <w:rsid w:val="00FC2631"/>
    <w:rsid w:val="00FC50DA"/>
    <w:rsid w:val="00FC6CEF"/>
    <w:rsid w:val="00FC7F92"/>
    <w:rsid w:val="00FD00AD"/>
    <w:rsid w:val="00FD19DF"/>
    <w:rsid w:val="00FD3E2F"/>
    <w:rsid w:val="00FD5B16"/>
    <w:rsid w:val="00FE0FF0"/>
    <w:rsid w:val="00FE3516"/>
    <w:rsid w:val="00FE6E31"/>
    <w:rsid w:val="00FF1F22"/>
    <w:rsid w:val="00FF46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Street"/>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4B9"/>
    <w:pPr>
      <w:suppressAutoHyphens/>
    </w:pPr>
    <w:rPr>
      <w:sz w:val="24"/>
      <w:lang w:val="en-GB" w:eastAsia="fr-FR"/>
    </w:rPr>
  </w:style>
  <w:style w:type="paragraph" w:styleId="Heading1">
    <w:name w:val="heading 1"/>
    <w:basedOn w:val="Normal"/>
    <w:next w:val="Normal"/>
    <w:qFormat/>
    <w:rsid w:val="008824B9"/>
    <w:pPr>
      <w:keepNext/>
      <w:spacing w:before="360" w:after="240"/>
      <w:jc w:val="center"/>
      <w:outlineLvl w:val="0"/>
    </w:pPr>
    <w:rPr>
      <w:b/>
      <w:sz w:val="28"/>
    </w:rPr>
  </w:style>
  <w:style w:type="paragraph" w:styleId="Heading2">
    <w:name w:val="heading 2"/>
    <w:basedOn w:val="Normal"/>
    <w:next w:val="Normal"/>
    <w:qFormat/>
    <w:rsid w:val="008824B9"/>
    <w:pPr>
      <w:keepNext/>
      <w:spacing w:before="240" w:after="120"/>
      <w:ind w:left="284" w:hanging="284"/>
      <w:outlineLvl w:val="1"/>
    </w:pPr>
    <w:rPr>
      <w:b/>
    </w:rPr>
  </w:style>
  <w:style w:type="paragraph" w:styleId="Heading3">
    <w:name w:val="heading 3"/>
    <w:basedOn w:val="Normal"/>
    <w:next w:val="Normal"/>
    <w:qFormat/>
    <w:rsid w:val="008824B9"/>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824B9"/>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8824B9"/>
  </w:style>
  <w:style w:type="paragraph" w:customStyle="1" w:styleId="OpiHA">
    <w:name w:val="Opi_H_A"/>
    <w:basedOn w:val="JuHIRoman"/>
    <w:next w:val="OpiPara"/>
    <w:rsid w:val="00302008"/>
    <w:pPr>
      <w:tabs>
        <w:tab w:val="clear" w:pos="357"/>
      </w:tabs>
    </w:pPr>
    <w:rPr>
      <w:b/>
    </w:rPr>
  </w:style>
  <w:style w:type="paragraph" w:customStyle="1" w:styleId="JuHIRoman">
    <w:name w:val="Ju_H_I_Roman"/>
    <w:basedOn w:val="JuHHead"/>
    <w:next w:val="JuPara"/>
    <w:link w:val="JuHIRomanChar"/>
    <w:rsid w:val="00D1288A"/>
    <w:pPr>
      <w:tabs>
        <w:tab w:val="left" w:pos="357"/>
      </w:tabs>
      <w:spacing w:before="360"/>
      <w:ind w:left="357" w:hanging="357"/>
      <w:outlineLvl w:val="1"/>
    </w:pPr>
    <w:rPr>
      <w:sz w:val="24"/>
    </w:rPr>
  </w:style>
  <w:style w:type="paragraph" w:customStyle="1" w:styleId="JuHHead">
    <w:name w:val="Ju_H_Head"/>
    <w:basedOn w:val="NormalTimesNewRoman"/>
    <w:next w:val="JuPara"/>
    <w:rsid w:val="00D1288A"/>
    <w:pPr>
      <w:keepNext/>
      <w:keepLines/>
      <w:spacing w:before="720" w:after="240"/>
      <w:jc w:val="both"/>
      <w:outlineLvl w:val="0"/>
    </w:pPr>
    <w:rPr>
      <w:sz w:val="28"/>
    </w:rPr>
  </w:style>
  <w:style w:type="character" w:customStyle="1" w:styleId="DefaultTimesNewRoman">
    <w:name w:val="Default_TimesNewRoman"/>
    <w:rsid w:val="00D1288A"/>
    <w:rPr>
      <w:rFonts w:ascii="Times New Roman" w:hAnsi="Times New Roman"/>
    </w:rPr>
  </w:style>
  <w:style w:type="paragraph" w:customStyle="1" w:styleId="JuPara">
    <w:name w:val="Ju_Para"/>
    <w:aliases w:val="Left,First line:  0 cm"/>
    <w:basedOn w:val="NormalTimesNewRoman"/>
    <w:link w:val="JuParaChar"/>
    <w:rsid w:val="00D1288A"/>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302008"/>
  </w:style>
  <w:style w:type="paragraph" w:customStyle="1" w:styleId="OpiH1">
    <w:name w:val="Opi_H_1."/>
    <w:basedOn w:val="OpiHA"/>
    <w:next w:val="OpiPara"/>
    <w:rsid w:val="00302008"/>
    <w:pPr>
      <w:spacing w:before="240" w:after="120"/>
      <w:ind w:left="635"/>
      <w:outlineLvl w:val="2"/>
    </w:pPr>
    <w:rPr>
      <w:b w:val="0"/>
      <w:i/>
    </w:rPr>
  </w:style>
  <w:style w:type="paragraph" w:customStyle="1" w:styleId="OpiHa0">
    <w:name w:val="Opi_H_a"/>
    <w:basedOn w:val="OpiH1"/>
    <w:next w:val="OpiPara"/>
    <w:rsid w:val="00302008"/>
    <w:pPr>
      <w:ind w:left="833"/>
      <w:outlineLvl w:val="3"/>
    </w:pPr>
    <w:rPr>
      <w:b/>
      <w:i w:val="0"/>
      <w:sz w:val="20"/>
    </w:rPr>
  </w:style>
  <w:style w:type="paragraph" w:customStyle="1" w:styleId="OpiHHead">
    <w:name w:val="Opi_H_Head"/>
    <w:basedOn w:val="JuHHead"/>
    <w:next w:val="OpiPara"/>
    <w:rsid w:val="00302008"/>
    <w:pPr>
      <w:spacing w:before="0"/>
      <w:jc w:val="center"/>
    </w:pPr>
  </w:style>
  <w:style w:type="paragraph" w:customStyle="1" w:styleId="OpiHi">
    <w:name w:val="Opi_H_i"/>
    <w:basedOn w:val="OpiHa0"/>
    <w:next w:val="OpiPara"/>
    <w:rsid w:val="00302008"/>
    <w:pPr>
      <w:ind w:left="1037"/>
      <w:outlineLvl w:val="4"/>
    </w:pPr>
    <w:rPr>
      <w:b w:val="0"/>
      <w:i/>
    </w:rPr>
  </w:style>
  <w:style w:type="paragraph" w:styleId="Footer">
    <w:name w:val="footer"/>
    <w:basedOn w:val="NormalTimesNewRoman"/>
    <w:rsid w:val="00D1288A"/>
    <w:pPr>
      <w:tabs>
        <w:tab w:val="center" w:pos="3686"/>
        <w:tab w:val="right" w:pos="7371"/>
      </w:tabs>
    </w:pPr>
    <w:rPr>
      <w:sz w:val="18"/>
    </w:rPr>
  </w:style>
  <w:style w:type="paragraph" w:customStyle="1" w:styleId="JuJudges">
    <w:name w:val="Ju_Judges"/>
    <w:basedOn w:val="NormalTimesNewRoman"/>
    <w:link w:val="JuJudgesChar"/>
    <w:rsid w:val="00D1288A"/>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link w:val="JuHAChar"/>
    <w:rsid w:val="00D1288A"/>
    <w:pPr>
      <w:tabs>
        <w:tab w:val="clear" w:pos="357"/>
        <w:tab w:val="left" w:pos="584"/>
      </w:tabs>
      <w:ind w:left="584" w:hanging="352"/>
      <w:outlineLvl w:val="2"/>
    </w:pPr>
    <w:rPr>
      <w:b/>
    </w:rPr>
  </w:style>
  <w:style w:type="paragraph" w:customStyle="1" w:styleId="JuQuot">
    <w:name w:val="Ju_Quot"/>
    <w:basedOn w:val="JuPara"/>
    <w:link w:val="JuQuotChar1"/>
    <w:rsid w:val="00D1288A"/>
    <w:pPr>
      <w:spacing w:before="120" w:after="120"/>
      <w:ind w:left="425" w:firstLine="142"/>
    </w:pPr>
    <w:rPr>
      <w:sz w:val="20"/>
    </w:rPr>
  </w:style>
  <w:style w:type="paragraph" w:customStyle="1" w:styleId="JuSigned">
    <w:name w:val="Ju_Signed"/>
    <w:basedOn w:val="NormalTimesNewRoman"/>
    <w:next w:val="JuParaLast"/>
    <w:link w:val="JuSignedChar"/>
    <w:rsid w:val="00D1288A"/>
    <w:pPr>
      <w:tabs>
        <w:tab w:val="center" w:pos="851"/>
        <w:tab w:val="center" w:pos="6407"/>
      </w:tabs>
      <w:spacing w:before="720"/>
    </w:pPr>
  </w:style>
  <w:style w:type="paragraph" w:customStyle="1" w:styleId="JuParaLast">
    <w:name w:val="Ju_Para_Last"/>
    <w:basedOn w:val="JuPara"/>
    <w:next w:val="JuPara"/>
    <w:rsid w:val="00D1288A"/>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D1288A"/>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D1288A"/>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D1288A"/>
    <w:pPr>
      <w:ind w:left="0" w:firstLine="0"/>
      <w:jc w:val="center"/>
    </w:pPr>
  </w:style>
  <w:style w:type="paragraph" w:customStyle="1" w:styleId="JuHa0">
    <w:name w:val="Ju_H_a"/>
    <w:basedOn w:val="JuH1"/>
    <w:next w:val="JuPara"/>
    <w:rsid w:val="00D1288A"/>
    <w:pPr>
      <w:tabs>
        <w:tab w:val="clear" w:pos="731"/>
        <w:tab w:val="left" w:pos="975"/>
      </w:tabs>
      <w:ind w:left="975" w:hanging="340"/>
      <w:outlineLvl w:val="4"/>
    </w:pPr>
    <w:rPr>
      <w:b/>
      <w:i w:val="0"/>
      <w:sz w:val="20"/>
    </w:rPr>
  </w:style>
  <w:style w:type="paragraph" w:customStyle="1" w:styleId="JuH1">
    <w:name w:val="Ju_H_1."/>
    <w:basedOn w:val="JuHA"/>
    <w:next w:val="JuPara"/>
    <w:rsid w:val="00D1288A"/>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D1288A"/>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302008"/>
  </w:style>
  <w:style w:type="paragraph" w:customStyle="1" w:styleId="OpiTranslation">
    <w:name w:val="Opi_Translation"/>
    <w:basedOn w:val="OpiHHead"/>
    <w:next w:val="OpiPara"/>
    <w:rsid w:val="00302008"/>
    <w:rPr>
      <w:i/>
      <w:sz w:val="24"/>
    </w:rPr>
  </w:style>
  <w:style w:type="paragraph" w:styleId="FootnoteText">
    <w:name w:val="footnote text"/>
    <w:basedOn w:val="Normal"/>
    <w:semiHidden/>
    <w:rsid w:val="00D1288A"/>
    <w:pPr>
      <w:jc w:val="both"/>
    </w:pPr>
    <w:rPr>
      <w:sz w:val="20"/>
    </w:rPr>
  </w:style>
  <w:style w:type="character" w:styleId="FootnoteReference">
    <w:name w:val="footnote reference"/>
    <w:semiHidden/>
    <w:rsid w:val="00D1288A"/>
    <w:rPr>
      <w:vertAlign w:val="superscript"/>
    </w:rPr>
  </w:style>
  <w:style w:type="paragraph" w:customStyle="1" w:styleId="JuHi">
    <w:name w:val="Ju_H_i"/>
    <w:basedOn w:val="JuHa0"/>
    <w:next w:val="JuPara"/>
    <w:rsid w:val="00D1288A"/>
    <w:pPr>
      <w:tabs>
        <w:tab w:val="clear" w:pos="975"/>
        <w:tab w:val="left" w:pos="1191"/>
      </w:tabs>
      <w:ind w:left="1190" w:hanging="357"/>
      <w:outlineLvl w:val="5"/>
    </w:pPr>
    <w:rPr>
      <w:b w:val="0"/>
      <w:i/>
    </w:rPr>
  </w:style>
  <w:style w:type="paragraph" w:styleId="Header">
    <w:name w:val="header"/>
    <w:basedOn w:val="NormalTimesNewRoman"/>
    <w:rsid w:val="00D1288A"/>
    <w:pPr>
      <w:tabs>
        <w:tab w:val="center" w:pos="3686"/>
        <w:tab w:val="right" w:pos="7371"/>
      </w:tabs>
    </w:pPr>
    <w:rPr>
      <w:sz w:val="18"/>
    </w:rPr>
  </w:style>
  <w:style w:type="character" w:styleId="PageNumber">
    <w:name w:val="page number"/>
    <w:rsid w:val="00D1288A"/>
    <w:rPr>
      <w:sz w:val="18"/>
    </w:rPr>
  </w:style>
  <w:style w:type="paragraph" w:customStyle="1" w:styleId="JuH">
    <w:name w:val="Ju_H_–"/>
    <w:basedOn w:val="JuHalpha"/>
    <w:next w:val="JuPara"/>
    <w:rsid w:val="00D1288A"/>
    <w:pPr>
      <w:tabs>
        <w:tab w:val="clear" w:pos="1372"/>
      </w:tabs>
      <w:ind w:left="1236" w:firstLine="0"/>
    </w:pPr>
    <w:rPr>
      <w:i/>
    </w:rPr>
  </w:style>
  <w:style w:type="paragraph" w:customStyle="1" w:styleId="JuHalpha">
    <w:name w:val="Ju_H_alpha"/>
    <w:basedOn w:val="JuHi"/>
    <w:next w:val="JuPara"/>
    <w:rsid w:val="00D1288A"/>
    <w:pPr>
      <w:tabs>
        <w:tab w:val="clear" w:pos="1191"/>
        <w:tab w:val="left" w:pos="1372"/>
      </w:tabs>
      <w:ind w:left="1373" w:hanging="335"/>
    </w:pPr>
    <w:rPr>
      <w:i w:val="0"/>
    </w:rPr>
  </w:style>
  <w:style w:type="paragraph" w:customStyle="1" w:styleId="JuLista">
    <w:name w:val="Ju_List_a"/>
    <w:basedOn w:val="JuList"/>
    <w:rsid w:val="00D1288A"/>
    <w:pPr>
      <w:ind w:left="346" w:firstLine="0"/>
    </w:pPr>
  </w:style>
  <w:style w:type="paragraph" w:customStyle="1" w:styleId="JuListi">
    <w:name w:val="Ju_List_i"/>
    <w:basedOn w:val="JuLista"/>
    <w:rsid w:val="00D1288A"/>
    <w:pPr>
      <w:ind w:left="794"/>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D1288A"/>
    <w:pPr>
      <w:tabs>
        <w:tab w:val="clear" w:pos="851"/>
      </w:tabs>
      <w:jc w:val="right"/>
    </w:pPr>
  </w:style>
  <w:style w:type="paragraph" w:customStyle="1" w:styleId="JuHeader">
    <w:name w:val="Ju_Header"/>
    <w:basedOn w:val="Header"/>
    <w:rsid w:val="00D1288A"/>
  </w:style>
  <w:style w:type="paragraph" w:customStyle="1" w:styleId="DecHTitle">
    <w:name w:val="Dec_H_Title"/>
    <w:basedOn w:val="Normal"/>
    <w:rsid w:val="0037228D"/>
    <w:pPr>
      <w:spacing w:after="240"/>
      <w:jc w:val="center"/>
      <w:outlineLvl w:val="0"/>
    </w:pPr>
    <w:rPr>
      <w:sz w:val="28"/>
    </w:rPr>
  </w:style>
  <w:style w:type="paragraph" w:customStyle="1" w:styleId="DecHCase">
    <w:name w:val="Dec_H_Case"/>
    <w:basedOn w:val="DecHTitle"/>
    <w:next w:val="JuPara"/>
    <w:rsid w:val="00302008"/>
    <w:rPr>
      <w:sz w:val="24"/>
    </w:rPr>
  </w:style>
  <w:style w:type="paragraph" w:customStyle="1" w:styleId="DecList">
    <w:name w:val="Dec_List"/>
    <w:basedOn w:val="Normal"/>
    <w:rsid w:val="0037228D"/>
    <w:pPr>
      <w:spacing w:before="240"/>
      <w:ind w:left="284"/>
      <w:jc w:val="both"/>
    </w:pPr>
  </w:style>
  <w:style w:type="paragraph" w:customStyle="1" w:styleId="JuParaSub">
    <w:name w:val="Ju_Para_Sub"/>
    <w:basedOn w:val="JuPara"/>
    <w:rsid w:val="00D1288A"/>
    <w:pPr>
      <w:ind w:left="284"/>
    </w:pPr>
    <w:rPr>
      <w:szCs w:val="24"/>
    </w:rPr>
  </w:style>
  <w:style w:type="paragraph" w:customStyle="1" w:styleId="JuQuotSub">
    <w:name w:val="Ju_Quot_Sub"/>
    <w:basedOn w:val="JuQuot"/>
    <w:rsid w:val="00D1288A"/>
    <w:pPr>
      <w:ind w:left="567"/>
    </w:pPr>
  </w:style>
  <w:style w:type="paragraph" w:styleId="BalloonText">
    <w:name w:val="Balloon Text"/>
    <w:basedOn w:val="Normal"/>
    <w:semiHidden/>
    <w:rsid w:val="00457A18"/>
    <w:rPr>
      <w:rFonts w:ascii="Tahoma" w:hAnsi="Tahoma" w:cs="Tahoma"/>
      <w:sz w:val="16"/>
      <w:szCs w:val="16"/>
    </w:rPr>
  </w:style>
  <w:style w:type="paragraph" w:styleId="CommentSubject">
    <w:name w:val="annotation subject"/>
    <w:basedOn w:val="CommentText"/>
    <w:next w:val="CommentText"/>
    <w:semiHidden/>
    <w:rsid w:val="00D353F4"/>
    <w:rPr>
      <w:b/>
      <w:bCs/>
    </w:rPr>
  </w:style>
  <w:style w:type="character" w:styleId="EndnoteReference">
    <w:name w:val="endnote reference"/>
    <w:semiHidden/>
    <w:rsid w:val="00D1288A"/>
    <w:rPr>
      <w:vertAlign w:val="superscript"/>
    </w:rPr>
  </w:style>
  <w:style w:type="paragraph" w:styleId="EndnoteText">
    <w:name w:val="endnote text"/>
    <w:basedOn w:val="Normal"/>
    <w:semiHidden/>
    <w:rsid w:val="00D1288A"/>
    <w:rPr>
      <w:sz w:val="20"/>
    </w:rPr>
  </w:style>
  <w:style w:type="character" w:styleId="FollowedHyperlink">
    <w:name w:val="FollowedHyperlink"/>
    <w:rsid w:val="00D1288A"/>
    <w:rPr>
      <w:color w:val="800080"/>
      <w:u w:val="single"/>
    </w:rPr>
  </w:style>
  <w:style w:type="paragraph" w:customStyle="1" w:styleId="SuCoverTitle1">
    <w:name w:val="Su_Cover_Title1"/>
    <w:basedOn w:val="Normal"/>
    <w:next w:val="SuCoverTitle2"/>
    <w:rsid w:val="0037228D"/>
    <w:pPr>
      <w:spacing w:before="2500"/>
      <w:jc w:val="center"/>
    </w:pPr>
    <w:rPr>
      <w:sz w:val="22"/>
    </w:rPr>
  </w:style>
  <w:style w:type="paragraph" w:customStyle="1" w:styleId="SuCoverTitle2">
    <w:name w:val="Su_Cover_Title2"/>
    <w:basedOn w:val="SuCoverTitle1"/>
    <w:next w:val="Normal"/>
    <w:rsid w:val="00864209"/>
    <w:pPr>
      <w:spacing w:before="240"/>
    </w:pPr>
    <w:rPr>
      <w:sz w:val="18"/>
    </w:rPr>
  </w:style>
  <w:style w:type="paragraph" w:customStyle="1" w:styleId="SuPara">
    <w:name w:val="Su_Para"/>
    <w:basedOn w:val="SuKeywords"/>
    <w:rsid w:val="00864209"/>
    <w:pPr>
      <w:spacing w:before="0" w:after="0"/>
    </w:pPr>
    <w:rPr>
      <w:i w:val="0"/>
    </w:rPr>
  </w:style>
  <w:style w:type="paragraph" w:customStyle="1" w:styleId="SuKeywords">
    <w:name w:val="Su_Keywords"/>
    <w:basedOn w:val="SuHHead"/>
    <w:rsid w:val="00864209"/>
    <w:pPr>
      <w:spacing w:before="120"/>
    </w:pPr>
    <w:rPr>
      <w:b w:val="0"/>
      <w:i/>
    </w:rPr>
  </w:style>
  <w:style w:type="paragraph" w:customStyle="1" w:styleId="SuHHead">
    <w:name w:val="Su_H_Head"/>
    <w:basedOn w:val="SuSubject"/>
    <w:rsid w:val="00864209"/>
    <w:pPr>
      <w:spacing w:after="120"/>
    </w:pPr>
  </w:style>
  <w:style w:type="paragraph" w:customStyle="1" w:styleId="SuSubject">
    <w:name w:val="Su_Subject"/>
    <w:basedOn w:val="SuSummary"/>
    <w:rsid w:val="00864209"/>
    <w:pPr>
      <w:suppressAutoHyphens w:val="0"/>
      <w:spacing w:before="360"/>
      <w:jc w:val="both"/>
    </w:pPr>
    <w:rPr>
      <w:b/>
      <w:sz w:val="22"/>
    </w:rPr>
  </w:style>
  <w:style w:type="paragraph" w:customStyle="1" w:styleId="SuSummary">
    <w:name w:val="Su_Summary"/>
    <w:basedOn w:val="Normal"/>
    <w:next w:val="SuSubject"/>
    <w:rsid w:val="0037228D"/>
    <w:pPr>
      <w:spacing w:after="240"/>
      <w:jc w:val="center"/>
    </w:pPr>
  </w:style>
  <w:style w:type="paragraph" w:customStyle="1" w:styleId="OpiParaSub">
    <w:name w:val="Opi_Para_Sub"/>
    <w:basedOn w:val="JuParaSub"/>
    <w:rsid w:val="00302008"/>
  </w:style>
  <w:style w:type="paragraph" w:customStyle="1" w:styleId="OpiQuotSub">
    <w:name w:val="Opi_Quot_Sub"/>
    <w:basedOn w:val="JuQuotSub"/>
    <w:rsid w:val="00302008"/>
  </w:style>
  <w:style w:type="character" w:styleId="Hyperlink">
    <w:name w:val="Hyperlink"/>
    <w:rsid w:val="00D1288A"/>
    <w:rPr>
      <w:color w:val="0000FF"/>
      <w:u w:val="single"/>
    </w:rPr>
  </w:style>
  <w:style w:type="character" w:styleId="Strong">
    <w:name w:val="Strong"/>
    <w:qFormat/>
    <w:rsid w:val="00AA7CA2"/>
    <w:rPr>
      <w:b/>
      <w:bCs/>
    </w:rPr>
  </w:style>
  <w:style w:type="paragraph" w:styleId="DocumentMap">
    <w:name w:val="Document Map"/>
    <w:basedOn w:val="Normal"/>
    <w:semiHidden/>
    <w:rsid w:val="008824B9"/>
    <w:pPr>
      <w:shd w:val="clear" w:color="auto" w:fill="000080"/>
    </w:pPr>
    <w:rPr>
      <w:rFonts w:ascii="Tahoma" w:hAnsi="Tahoma" w:cs="Tahoma"/>
      <w:sz w:val="20"/>
    </w:rPr>
  </w:style>
  <w:style w:type="character" w:customStyle="1" w:styleId="JuNames">
    <w:name w:val="Ju_Names"/>
    <w:rsid w:val="00D1288A"/>
    <w:rPr>
      <w:smallCaps/>
    </w:rPr>
  </w:style>
  <w:style w:type="paragraph" w:customStyle="1" w:styleId="NormalJustified">
    <w:name w:val="Normal_Justified"/>
    <w:basedOn w:val="Normal"/>
    <w:rsid w:val="008824B9"/>
    <w:pPr>
      <w:jc w:val="both"/>
    </w:pPr>
  </w:style>
  <w:style w:type="paragraph" w:customStyle="1" w:styleId="JuAppQuestion">
    <w:name w:val="Ju_App_Question"/>
    <w:basedOn w:val="ListBullet"/>
    <w:rsid w:val="00D1288A"/>
    <w:pPr>
      <w:numPr>
        <w:numId w:val="6"/>
      </w:numPr>
      <w:suppressAutoHyphens w:val="0"/>
    </w:pPr>
    <w:rPr>
      <w:b/>
      <w:color w:val="333333"/>
    </w:rPr>
  </w:style>
  <w:style w:type="paragraph" w:styleId="ListBullet">
    <w:name w:val="List Bullet"/>
    <w:basedOn w:val="Normal"/>
    <w:rsid w:val="008824B9"/>
    <w:pPr>
      <w:numPr>
        <w:numId w:val="2"/>
      </w:numPr>
    </w:pPr>
  </w:style>
  <w:style w:type="paragraph" w:customStyle="1" w:styleId="NormalTimesNewRoman">
    <w:name w:val="Normal_TimesNewRoman"/>
    <w:rsid w:val="00D1288A"/>
    <w:rPr>
      <w:sz w:val="24"/>
      <w:lang w:val="en-GB" w:eastAsia="fr-FR"/>
    </w:rPr>
  </w:style>
  <w:style w:type="character" w:customStyle="1" w:styleId="JuITMark">
    <w:name w:val="Ju_ITMark"/>
    <w:rsid w:val="00D1288A"/>
    <w:rPr>
      <w:rFonts w:ascii="Times New Roman" w:hAnsi="Times New Roman"/>
      <w:vanish/>
      <w:color w:val="339966"/>
      <w:sz w:val="16"/>
      <w:szCs w:val="16"/>
      <w:lang w:val="fi-FI"/>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A36290"/>
    <w:rPr>
      <w:sz w:val="24"/>
      <w:lang w:val="en-GB" w:eastAsia="fr-FR" w:bidi="ar-SA"/>
    </w:rPr>
  </w:style>
  <w:style w:type="character" w:customStyle="1" w:styleId="JuHIRomanChar">
    <w:name w:val="Ju_H_I_Roman Char"/>
    <w:link w:val="JuHIRoman"/>
    <w:rsid w:val="0050115A"/>
    <w:rPr>
      <w:sz w:val="24"/>
      <w:lang w:val="en-GB" w:eastAsia="fr-FR" w:bidi="ar-SA"/>
    </w:rPr>
  </w:style>
  <w:style w:type="character" w:customStyle="1" w:styleId="JuHAChar">
    <w:name w:val="Ju_H_A Char"/>
    <w:link w:val="JuHA"/>
    <w:locked/>
    <w:rsid w:val="00A92223"/>
    <w:rPr>
      <w:b/>
      <w:sz w:val="24"/>
      <w:lang w:val="en-GB" w:eastAsia="fr-FR" w:bidi="ar-SA"/>
    </w:rPr>
  </w:style>
  <w:style w:type="character" w:customStyle="1" w:styleId="JuQuotChar1">
    <w:name w:val="Ju_Quot Char1"/>
    <w:basedOn w:val="JuParaChar"/>
    <w:link w:val="JuQuot"/>
    <w:rsid w:val="008F3B93"/>
    <w:rPr>
      <w:sz w:val="24"/>
      <w:lang w:val="en-GB" w:eastAsia="fr-FR" w:bidi="ar-SA"/>
    </w:rPr>
  </w:style>
  <w:style w:type="paragraph" w:customStyle="1" w:styleId="jupara0">
    <w:name w:val="jupara"/>
    <w:basedOn w:val="Normal"/>
    <w:rsid w:val="00D01D1E"/>
    <w:pPr>
      <w:suppressAutoHyphens w:val="0"/>
      <w:ind w:firstLine="284"/>
      <w:jc w:val="both"/>
    </w:pPr>
    <w:rPr>
      <w:szCs w:val="24"/>
      <w:lang w:eastAsia="en-GB"/>
    </w:rPr>
  </w:style>
  <w:style w:type="paragraph" w:customStyle="1" w:styleId="jucase0">
    <w:name w:val="jucase"/>
    <w:basedOn w:val="Normal"/>
    <w:rsid w:val="00D01D1E"/>
    <w:pPr>
      <w:suppressAutoHyphens w:val="0"/>
      <w:ind w:firstLine="284"/>
      <w:jc w:val="both"/>
    </w:pPr>
    <w:rPr>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FA682A-C3C5-428D-B886-26F408E39BB3}"/>
</file>

<file path=customXml/itemProps2.xml><?xml version="1.0" encoding="utf-8"?>
<ds:datastoreItem xmlns:ds="http://schemas.openxmlformats.org/officeDocument/2006/customXml" ds:itemID="{B2394323-9D9A-4BB3-AE47-671C454E8B19}"/>
</file>

<file path=customXml/itemProps3.xml><?xml version="1.0" encoding="utf-8"?>
<ds:datastoreItem xmlns:ds="http://schemas.openxmlformats.org/officeDocument/2006/customXml" ds:itemID="{2488D87C-5F2F-4493-9E3A-987D273308B4}"/>
</file>

<file path=customXml/itemProps4.xml><?xml version="1.0" encoding="utf-8"?>
<ds:datastoreItem xmlns:ds="http://schemas.openxmlformats.org/officeDocument/2006/customXml" ds:itemID="{8662EB47-8513-4AA0-AF64-2EABAA6FFFF4}"/>
</file>

<file path=docProps/app.xml><?xml version="1.0" encoding="utf-8"?>
<Properties xmlns="http://schemas.openxmlformats.org/officeDocument/2006/extended-properties" xmlns:vt="http://schemas.openxmlformats.org/officeDocument/2006/docPropsVTypes">
  <Template>Normal.dotm</Template>
  <TotalTime>0</TotalTime>
  <Pages>1</Pages>
  <Words>4311</Words>
  <Characters>24578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2013-03-28T15:46:00Z</cp:lastPrinted>
  <dcterms:created xsi:type="dcterms:W3CDTF">2015-03-19T15:10:00Z</dcterms:created>
  <dcterms:modified xsi:type="dcterms:W3CDTF">2015-03-19T15:10:00Z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