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4.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A6A" w:rsidP="00042867" w:rsidRDefault="00F71A6A">
      <w:pPr>
        <w:jc w:val="center"/>
      </w:pPr>
      <w:bookmarkStart w:name="_GoBack" w:id="0"/>
      <w:bookmarkEnd w:id="0"/>
    </w:p>
    <w:p w:rsidR="00135286" w:rsidP="00042867" w:rsidRDefault="00135286">
      <w:pPr>
        <w:jc w:val="center"/>
      </w:pPr>
    </w:p>
    <w:p w:rsidRPr="001025CE" w:rsidR="00135286" w:rsidP="00042867" w:rsidRDefault="00135286">
      <w:pPr>
        <w:jc w:val="center"/>
      </w:pPr>
    </w:p>
    <w:p w:rsidRPr="001025CE" w:rsidR="00F71A6A" w:rsidP="00042867" w:rsidRDefault="001025CE">
      <w:pPr>
        <w:jc w:val="center"/>
      </w:pPr>
      <w:r w:rsidRPr="001025CE">
        <w:t>FOURTH SECTION</w:t>
      </w:r>
    </w:p>
    <w:p w:rsidR="00F71A6A" w:rsidP="00042867" w:rsidRDefault="00F71A6A">
      <w:pPr>
        <w:jc w:val="center"/>
      </w:pPr>
    </w:p>
    <w:p w:rsidR="00135286" w:rsidP="00042867" w:rsidRDefault="00135286">
      <w:pPr>
        <w:jc w:val="center"/>
      </w:pPr>
    </w:p>
    <w:p w:rsidR="00135286" w:rsidP="00042867" w:rsidRDefault="00135286">
      <w:pPr>
        <w:jc w:val="center"/>
      </w:pPr>
    </w:p>
    <w:p w:rsidR="00135286" w:rsidP="00042867" w:rsidRDefault="00135286">
      <w:pPr>
        <w:jc w:val="center"/>
      </w:pPr>
    </w:p>
    <w:p w:rsidRPr="001025CE" w:rsidR="00135286" w:rsidP="00042867" w:rsidRDefault="00135286">
      <w:pPr>
        <w:jc w:val="center"/>
      </w:pPr>
    </w:p>
    <w:p w:rsidRPr="001025CE" w:rsidR="00F71A6A" w:rsidP="00042867" w:rsidRDefault="00F71A6A">
      <w:pPr>
        <w:jc w:val="center"/>
        <w:rPr>
          <w:b/>
        </w:rPr>
      </w:pPr>
      <w:bookmarkStart w:name="To" w:id="1"/>
      <w:r w:rsidRPr="001025CE">
        <w:rPr>
          <w:b/>
        </w:rPr>
        <w:t xml:space="preserve">CASE OF </w:t>
      </w:r>
      <w:bookmarkEnd w:id="1"/>
      <w:r w:rsidR="00457916">
        <w:rPr>
          <w:b/>
        </w:rPr>
        <w:t xml:space="preserve">MILEN </w:t>
      </w:r>
      <w:r w:rsidRPr="001025CE" w:rsidR="001025CE">
        <w:rPr>
          <w:b/>
        </w:rPr>
        <w:t xml:space="preserve">KOSTOV v. </w:t>
      </w:r>
      <w:smartTag w:uri="urn:schemas-microsoft-com:office:smarttags" w:element="country-region">
        <w:smartTag w:uri="urn:schemas-microsoft-com:office:smarttags" w:element="place">
          <w:r w:rsidR="001025CE" w:rsidRPr="001025CE">
            <w:rPr>
              <w:b/>
            </w:rPr>
            <w:t>BULGARIA</w:t>
          </w:r>
        </w:smartTag>
      </w:smartTag>
    </w:p>
    <w:p w:rsidRPr="001025CE" w:rsidR="00F71A6A" w:rsidP="00042867" w:rsidRDefault="00F71A6A">
      <w:pPr>
        <w:jc w:val="center"/>
      </w:pPr>
    </w:p>
    <w:p w:rsidRPr="001025CE" w:rsidR="00F71A6A" w:rsidP="00042867" w:rsidRDefault="00F71A6A">
      <w:pPr>
        <w:jc w:val="center"/>
        <w:rPr>
          <w:i/>
        </w:rPr>
      </w:pPr>
      <w:r w:rsidRPr="001025CE">
        <w:rPr>
          <w:i/>
        </w:rPr>
        <w:t>(</w:t>
      </w:r>
      <w:r w:rsidRPr="001025CE" w:rsidR="001025CE">
        <w:rPr>
          <w:i/>
        </w:rPr>
        <w:t>Application no. 40026/07</w:t>
      </w:r>
      <w:r w:rsidRPr="001025CE">
        <w:rPr>
          <w:i/>
        </w:rPr>
        <w:t>)</w:t>
      </w:r>
    </w:p>
    <w:p w:rsidRPr="001025CE" w:rsidR="00F71A6A" w:rsidP="00042867" w:rsidRDefault="00F71A6A">
      <w:pPr>
        <w:jc w:val="center"/>
      </w:pPr>
    </w:p>
    <w:p w:rsidRPr="001025CE" w:rsidR="00F71A6A" w:rsidP="00042867" w:rsidRDefault="00F71A6A">
      <w:pPr>
        <w:jc w:val="center"/>
      </w:pPr>
    </w:p>
    <w:p w:rsidRPr="001025CE" w:rsidR="00F71A6A" w:rsidP="00042867" w:rsidRDefault="00F71A6A">
      <w:pPr>
        <w:jc w:val="center"/>
      </w:pPr>
    </w:p>
    <w:p w:rsidRPr="00135286" w:rsidR="00D73611" w:rsidP="00135286" w:rsidRDefault="00135286">
      <w:pPr>
        <w:jc w:val="center"/>
        <w:rPr>
          <w:szCs w:val="24"/>
        </w:rPr>
      </w:pPr>
      <w:r>
        <w:rPr>
          <w:szCs w:val="24"/>
        </w:rPr>
        <w:t>JUDGMENT</w:t>
      </w:r>
    </w:p>
    <w:p w:rsidR="00F71A6A" w:rsidP="00042867" w:rsidRDefault="00F71A6A">
      <w:pPr>
        <w:rPr>
          <w:szCs w:val="24"/>
        </w:rPr>
      </w:pPr>
    </w:p>
    <w:p w:rsidR="00135286" w:rsidP="00135286" w:rsidRDefault="00135286">
      <w:pPr>
        <w:pStyle w:val="JuPara"/>
        <w:ind w:firstLine="0"/>
        <w:jc w:val="center"/>
        <w:rPr>
          <w:szCs w:val="24"/>
        </w:rPr>
      </w:pPr>
    </w:p>
    <w:p w:rsidR="00135286" w:rsidP="00135286" w:rsidRDefault="00135286">
      <w:pPr>
        <w:pStyle w:val="JuPara"/>
        <w:ind w:firstLine="0"/>
        <w:jc w:val="center"/>
        <w:rPr>
          <w:szCs w:val="24"/>
        </w:rPr>
      </w:pPr>
    </w:p>
    <w:p w:rsidR="00135286" w:rsidP="00135286" w:rsidRDefault="00135286">
      <w:pPr>
        <w:pStyle w:val="JuPara"/>
        <w:ind w:firstLine="0"/>
        <w:jc w:val="center"/>
        <w:rPr>
          <w:szCs w:val="24"/>
        </w:rPr>
      </w:pPr>
      <w:r>
        <w:rPr>
          <w:szCs w:val="24"/>
        </w:rPr>
        <w:t>STRASBOURG</w:t>
      </w:r>
    </w:p>
    <w:p w:rsidR="00135286" w:rsidP="00135286" w:rsidRDefault="00135286">
      <w:pPr>
        <w:pStyle w:val="JuPara"/>
        <w:ind w:firstLine="0"/>
        <w:jc w:val="center"/>
        <w:rPr>
          <w:szCs w:val="24"/>
        </w:rPr>
      </w:pPr>
    </w:p>
    <w:p w:rsidR="00135286" w:rsidP="00135286" w:rsidRDefault="00135286">
      <w:pPr>
        <w:pStyle w:val="JuPara"/>
        <w:ind w:firstLine="0"/>
        <w:jc w:val="center"/>
        <w:rPr>
          <w:szCs w:val="24"/>
        </w:rPr>
      </w:pPr>
      <w:r>
        <w:rPr>
          <w:szCs w:val="24"/>
        </w:rPr>
        <w:t>3 September 2013</w:t>
      </w:r>
    </w:p>
    <w:p w:rsidR="00135286" w:rsidP="00135286" w:rsidRDefault="00135286">
      <w:pPr>
        <w:pStyle w:val="JuPara"/>
        <w:ind w:firstLine="0"/>
        <w:jc w:val="center"/>
        <w:rPr>
          <w:szCs w:val="24"/>
        </w:rPr>
      </w:pPr>
    </w:p>
    <w:p w:rsidR="00135286" w:rsidP="00135286" w:rsidRDefault="00135286">
      <w:pPr>
        <w:pStyle w:val="JuPara"/>
        <w:ind w:firstLine="0"/>
        <w:jc w:val="center"/>
        <w:rPr>
          <w:szCs w:val="24"/>
        </w:rPr>
      </w:pPr>
    </w:p>
    <w:p w:rsidR="002F1B7F" w:rsidP="00135286" w:rsidRDefault="002F1B7F">
      <w:pPr>
        <w:pStyle w:val="JuPara"/>
        <w:ind w:firstLine="0"/>
        <w:jc w:val="center"/>
        <w:rPr>
          <w:szCs w:val="24"/>
        </w:rPr>
      </w:pPr>
    </w:p>
    <w:p w:rsidR="002F1B7F" w:rsidP="00135286" w:rsidRDefault="002F1B7F">
      <w:pPr>
        <w:pStyle w:val="JuPara"/>
        <w:ind w:firstLine="0"/>
        <w:jc w:val="center"/>
        <w:rPr>
          <w:szCs w:val="24"/>
        </w:rPr>
      </w:pPr>
    </w:p>
    <w:p w:rsidR="00947469" w:rsidP="00947469" w:rsidRDefault="00947469">
      <w:pPr>
        <w:pStyle w:val="jucase0"/>
        <w:ind w:firstLine="0"/>
        <w:jc w:val="center"/>
        <w:rPr>
          <w:color w:val="FF0000"/>
          <w:sz w:val="28"/>
          <w:szCs w:val="28"/>
          <w:u w:val="single"/>
        </w:rPr>
      </w:pPr>
      <w:r>
        <w:rPr>
          <w:color w:val="FF0000"/>
          <w:sz w:val="28"/>
          <w:szCs w:val="28"/>
          <w:u w:val="single"/>
        </w:rPr>
        <w:t>FINAL</w:t>
      </w:r>
    </w:p>
    <w:p w:rsidR="00947469" w:rsidP="00947469" w:rsidRDefault="00947469">
      <w:pPr>
        <w:pStyle w:val="jupara0"/>
        <w:ind w:firstLine="0"/>
        <w:rPr>
          <w:color w:val="FF0000"/>
          <w:sz w:val="28"/>
          <w:szCs w:val="28"/>
        </w:rPr>
      </w:pPr>
    </w:p>
    <w:p w:rsidR="00947469" w:rsidP="00947469" w:rsidRDefault="00947469">
      <w:pPr>
        <w:pStyle w:val="jupara0"/>
        <w:ind w:firstLine="0"/>
        <w:jc w:val="center"/>
        <w:rPr>
          <w:color w:val="FF0000"/>
          <w:sz w:val="28"/>
          <w:szCs w:val="28"/>
        </w:rPr>
      </w:pPr>
      <w:r>
        <w:rPr>
          <w:color w:val="FF0000"/>
          <w:sz w:val="28"/>
          <w:szCs w:val="28"/>
        </w:rPr>
        <w:t>03/12/2013</w:t>
      </w:r>
    </w:p>
    <w:p w:rsidR="00947469" w:rsidP="00947469" w:rsidRDefault="00947469">
      <w:pPr>
        <w:pStyle w:val="jupara0"/>
        <w:ind w:firstLine="0"/>
        <w:jc w:val="center"/>
      </w:pPr>
    </w:p>
    <w:p w:rsidR="00947469" w:rsidP="00947469" w:rsidRDefault="00947469">
      <w:pPr>
        <w:rPr>
          <w:i/>
          <w:iCs/>
          <w:sz w:val="22"/>
          <w:szCs w:val="22"/>
        </w:rPr>
      </w:pPr>
      <w:r>
        <w:rPr>
          <w:i/>
          <w:iCs/>
          <w:sz w:val="22"/>
          <w:szCs w:val="22"/>
        </w:rPr>
        <w:t>This judgment has become final under Article 44 § 2 of the Convention. It may be subject to editorial revision.</w:t>
      </w:r>
    </w:p>
    <w:p w:rsidRPr="00135286" w:rsidR="00390D03" w:rsidP="00135286" w:rsidRDefault="00390D03">
      <w:pPr>
        <w:pStyle w:val="JuPara"/>
        <w:ind w:firstLine="0"/>
        <w:rPr>
          <w:szCs w:val="24"/>
        </w:rPr>
      </w:pPr>
    </w:p>
    <w:p w:rsidR="00135286" w:rsidP="00B030BE" w:rsidRDefault="00135286">
      <w:pPr>
        <w:pStyle w:val="JuCase"/>
        <w:sectPr w:rsidR="00135286" w:rsidSect="00135286">
          <w:headerReference w:type="default" r:id="rId8"/>
          <w:headerReference w:type="first" r:id="rId9"/>
          <w:footerReference w:type="first" r:id="rId10"/>
          <w:footnotePr>
            <w:numRestart w:val="eachPage"/>
          </w:footnotePr>
          <w:pgSz w:w="11906" w:h="16838" w:code="9"/>
          <w:pgMar w:top="2274" w:right="2274" w:bottom="2274" w:left="2274" w:header="1701" w:footer="720" w:gutter="0"/>
          <w:pgNumType w:start="1"/>
          <w:cols w:space="720"/>
          <w:titlePg/>
          <w:docGrid w:linePitch="326"/>
        </w:sectPr>
      </w:pPr>
    </w:p>
    <w:p w:rsidRPr="001025CE" w:rsidR="00B030BE" w:rsidP="00B030BE" w:rsidRDefault="00F71A6A">
      <w:pPr>
        <w:pStyle w:val="JuCase"/>
        <w:rPr>
          <w:b w:val="0"/>
          <w:bCs/>
        </w:rPr>
      </w:pPr>
      <w:r w:rsidRPr="001025CE">
        <w:t>In the case of</w:t>
      </w:r>
      <w:r w:rsidRPr="001025CE" w:rsidR="00B030BE">
        <w:t xml:space="preserve"> </w:t>
      </w:r>
      <w:r w:rsidR="002F1B7F">
        <w:t xml:space="preserve">Milen </w:t>
      </w:r>
      <w:r w:rsidRPr="001025CE" w:rsidR="001025CE">
        <w:t xml:space="preserve">Kostov v. </w:t>
      </w:r>
      <w:smartTag w:uri="urn:schemas-microsoft-com:office:smarttags" w:element="country-region">
        <w:smartTag w:uri="urn:schemas-microsoft-com:office:smarttags" w:element="place">
          <w:r w:rsidR="001025CE" w:rsidRPr="001025CE">
            <w:t>Bulgaria</w:t>
          </w:r>
        </w:smartTag>
      </w:smartTag>
      <w:r w:rsidRPr="001025CE" w:rsidR="00B030BE">
        <w:t>,</w:t>
      </w:r>
    </w:p>
    <w:p w:rsidRPr="0005726D" w:rsidR="00730433" w:rsidP="0005726D" w:rsidRDefault="00F71A6A">
      <w:pPr>
        <w:pStyle w:val="JuPara"/>
      </w:pPr>
      <w:r w:rsidRPr="0005726D">
        <w:t>The European Court of Human Rights (</w:t>
      </w:r>
      <w:r w:rsidRPr="0005726D" w:rsidR="001025CE">
        <w:t>Fourth Section</w:t>
      </w:r>
      <w:r w:rsidRPr="0005726D">
        <w:t xml:space="preserve">), sitting as a </w:t>
      </w:r>
      <w:r w:rsidRPr="0005726D" w:rsidR="001025CE">
        <w:t>Committee</w:t>
      </w:r>
      <w:r w:rsidRPr="0005726D" w:rsidR="00730433">
        <w:t xml:space="preserve"> composed of:</w:t>
      </w:r>
    </w:p>
    <w:p w:rsidR="00135286" w:rsidP="0005726D" w:rsidRDefault="00135286">
      <w:pPr>
        <w:pStyle w:val="JuJudges"/>
      </w:pPr>
      <w:r>
        <w:tab/>
        <w:t>Ineta Ziemele, President,</w:t>
      </w:r>
    </w:p>
    <w:p w:rsidR="00135286" w:rsidP="0005726D" w:rsidRDefault="00135286">
      <w:pPr>
        <w:pStyle w:val="JuJudges"/>
      </w:pPr>
      <w:r>
        <w:tab/>
        <w:t>David Thór Björgvinsson,</w:t>
      </w:r>
    </w:p>
    <w:p w:rsidR="00135286" w:rsidP="0005726D" w:rsidRDefault="00135286">
      <w:pPr>
        <w:pStyle w:val="JuJudges"/>
      </w:pPr>
      <w:r>
        <w:tab/>
        <w:t>Päivi Hirvelä,</w:t>
      </w:r>
    </w:p>
    <w:p w:rsidR="00135286" w:rsidP="0005726D" w:rsidRDefault="00135286">
      <w:pPr>
        <w:pStyle w:val="JuJudges"/>
      </w:pPr>
      <w:r>
        <w:tab/>
        <w:t>George Nicolaou,</w:t>
      </w:r>
    </w:p>
    <w:p w:rsidR="00135286" w:rsidP="0005726D" w:rsidRDefault="00135286">
      <w:pPr>
        <w:pStyle w:val="JuJudges"/>
      </w:pPr>
      <w:r>
        <w:tab/>
        <w:t>Zdravka Kalaydjieva,</w:t>
      </w:r>
    </w:p>
    <w:p w:rsidR="00135286" w:rsidP="0005726D" w:rsidRDefault="00135286">
      <w:pPr>
        <w:pStyle w:val="JuJudges"/>
      </w:pPr>
      <w:r>
        <w:tab/>
        <w:t>Vincent A. De Gaetano,</w:t>
      </w:r>
    </w:p>
    <w:p w:rsidR="00135286" w:rsidP="0005726D" w:rsidRDefault="00135286">
      <w:pPr>
        <w:pStyle w:val="JuJudges"/>
      </w:pPr>
      <w:r>
        <w:tab/>
        <w:t xml:space="preserve">Krzysztof Wojtyczek, </w:t>
      </w:r>
      <w:r w:rsidRPr="00135286">
        <w:rPr>
          <w:i/>
        </w:rPr>
        <w:t>judges,</w:t>
      </w:r>
    </w:p>
    <w:p w:rsidRPr="001025CE" w:rsidR="00F71A6A" w:rsidP="0005726D" w:rsidRDefault="00F71A6A">
      <w:pPr>
        <w:pStyle w:val="JuJudges"/>
      </w:pPr>
      <w:r w:rsidRPr="001025CE">
        <w:t>and</w:t>
      </w:r>
      <w:r w:rsidRPr="001025CE" w:rsidR="000726F6">
        <w:t xml:space="preserve"> </w:t>
      </w:r>
      <w:r w:rsidRPr="00135286" w:rsidR="00135286">
        <w:rPr>
          <w:lang w:val="en-US"/>
        </w:rPr>
        <w:t xml:space="preserve">Françoise Elens-Passos, </w:t>
      </w:r>
      <w:r w:rsidRPr="00135286" w:rsidR="00135286">
        <w:rPr>
          <w:i/>
          <w:lang w:val="en-US"/>
        </w:rPr>
        <w:t>Section Registrar</w:t>
      </w:r>
      <w:r w:rsidRPr="00135286">
        <w:rPr>
          <w:i/>
        </w:rPr>
        <w:t>,</w:t>
      </w:r>
    </w:p>
    <w:p w:rsidRPr="001025CE" w:rsidR="00F71A6A" w:rsidP="002F4BCF" w:rsidRDefault="00F71A6A">
      <w:pPr>
        <w:pStyle w:val="JuPara"/>
      </w:pPr>
      <w:r w:rsidRPr="001025CE">
        <w:t>Having deliberated in private on</w:t>
      </w:r>
      <w:r w:rsidR="00135286">
        <w:t xml:space="preserve"> 9 July 2013</w:t>
      </w:r>
      <w:r w:rsidRPr="001025CE">
        <w:t>,</w:t>
      </w:r>
    </w:p>
    <w:p w:rsidRPr="001025CE" w:rsidR="00F71A6A" w:rsidP="002F4BCF" w:rsidRDefault="00F71A6A">
      <w:pPr>
        <w:pStyle w:val="JuPara"/>
      </w:pPr>
      <w:r w:rsidRPr="001025CE">
        <w:t>Delivers the following judgment, which was adopted on that date:</w:t>
      </w:r>
    </w:p>
    <w:p w:rsidRPr="001025CE" w:rsidR="00F71A6A" w:rsidP="008824B9" w:rsidRDefault="00F71A6A">
      <w:pPr>
        <w:pStyle w:val="JuHHead"/>
      </w:pPr>
      <w:r w:rsidRPr="001025CE">
        <w:t>PROCEDURE</w:t>
      </w:r>
    </w:p>
    <w:p w:rsidR="000A6DDA" w:rsidP="00893782" w:rsidRDefault="001025CE">
      <w:pPr>
        <w:pStyle w:val="JuPara"/>
      </w:pPr>
      <w:r w:rsidRPr="001025CE">
        <w:fldChar w:fldCharType="begin"/>
      </w:r>
      <w:r w:rsidRPr="001025CE">
        <w:instrText xml:space="preserve"> SEQ level0 \*arabic </w:instrText>
      </w:r>
      <w:r w:rsidRPr="001025CE">
        <w:fldChar w:fldCharType="separate"/>
      </w:r>
      <w:r w:rsidR="00947469">
        <w:rPr>
          <w:noProof/>
        </w:rPr>
        <w:t>1</w:t>
      </w:r>
      <w:r w:rsidRPr="001025CE">
        <w:fldChar w:fldCharType="end"/>
      </w:r>
      <w:r w:rsidRPr="001025CE" w:rsidR="00F71A6A">
        <w:t xml:space="preserve">.  The case originated in </w:t>
      </w:r>
      <w:r w:rsidRPr="001025CE">
        <w:t>an application (no. 40026/07)</w:t>
      </w:r>
      <w:r w:rsidRPr="001025CE" w:rsidR="00F71A6A">
        <w:t xml:space="preserve"> against </w:t>
      </w:r>
      <w:r w:rsidRPr="001025CE">
        <w:t>the Republic of Bulgaria</w:t>
      </w:r>
      <w:r w:rsidRPr="001025CE" w:rsidR="00F71A6A">
        <w:t xml:space="preserve"> lodged with the </w:t>
      </w:r>
      <w:r w:rsidRPr="001025CE">
        <w:t>Court under Article 34</w:t>
      </w:r>
      <w:r w:rsidRPr="001025CE" w:rsidR="004920B1">
        <w:t xml:space="preserve"> of the Convention for the Protection of Human Rights and Fundamental Freedoms (“the Convention”)</w:t>
      </w:r>
      <w:r w:rsidRPr="001025CE" w:rsidR="00F71A6A">
        <w:t xml:space="preserve"> by </w:t>
      </w:r>
      <w:r w:rsidRPr="001025CE">
        <w:t>a</w:t>
      </w:r>
      <w:r w:rsidR="002F1B7F">
        <w:t xml:space="preserve"> Bulgarian and</w:t>
      </w:r>
      <w:r w:rsidRPr="001025CE">
        <w:t xml:space="preserve"> Greek national, Mr Milen Dimitrov Kostov (“the applicant”), on 20 August 2007</w:t>
      </w:r>
      <w:r w:rsidRPr="001025CE" w:rsidR="00F71A6A">
        <w:t>.</w:t>
      </w:r>
    </w:p>
    <w:p w:rsidRPr="001025CE" w:rsidR="00F71A6A" w:rsidP="00865450" w:rsidRDefault="001025CE">
      <w:pPr>
        <w:pStyle w:val="JuPara"/>
      </w:pPr>
      <w:r w:rsidRPr="001025CE">
        <w:fldChar w:fldCharType="begin"/>
      </w:r>
      <w:r w:rsidRPr="001025CE">
        <w:instrText xml:space="preserve"> SEQ level0 \*arabic </w:instrText>
      </w:r>
      <w:r w:rsidRPr="001025CE">
        <w:fldChar w:fldCharType="separate"/>
      </w:r>
      <w:r w:rsidR="00947469">
        <w:rPr>
          <w:noProof/>
        </w:rPr>
        <w:t>2</w:t>
      </w:r>
      <w:r w:rsidRPr="001025CE">
        <w:fldChar w:fldCharType="end"/>
      </w:r>
      <w:r w:rsidRPr="001025CE" w:rsidR="00F71A6A">
        <w:t>.  </w:t>
      </w:r>
      <w:r w:rsidRPr="001025CE">
        <w:t>The applicant was represented by Mr M. Ekimdzhiev an</w:t>
      </w:r>
      <w:r w:rsidR="00AE34D3">
        <w:t>d Mrs K. </w:t>
      </w:r>
      <w:r>
        <w:t>Boncheva</w:t>
      </w:r>
      <w:r w:rsidRPr="001025CE">
        <w:t xml:space="preserve">, lawyers practising in Plovdiv. </w:t>
      </w:r>
      <w:r w:rsidRPr="001025CE" w:rsidR="00F71A6A">
        <w:t xml:space="preserve">The </w:t>
      </w:r>
      <w:r w:rsidRPr="001025CE">
        <w:t>Bulgarian</w:t>
      </w:r>
      <w:r w:rsidRPr="001025CE" w:rsidR="00F71A6A">
        <w:t xml:space="preserve"> Government (“the Government”) were represented by their Agent, </w:t>
      </w:r>
      <w:r w:rsidR="00D10E96">
        <w:t>Ms</w:t>
      </w:r>
      <w:r w:rsidR="004F5222">
        <w:t> </w:t>
      </w:r>
      <w:r w:rsidR="00D10E96">
        <w:t>M.</w:t>
      </w:r>
      <w:r w:rsidR="004F5222">
        <w:t> </w:t>
      </w:r>
      <w:r w:rsidR="00D10E96">
        <w:t>Dimova, of the Ministry of Justice</w:t>
      </w:r>
      <w:r w:rsidRPr="001025CE" w:rsidR="00F71A6A">
        <w:t>.</w:t>
      </w:r>
    </w:p>
    <w:p w:rsidRPr="009C3FAE" w:rsidR="003A64D3" w:rsidP="008C60EE" w:rsidRDefault="001025CE">
      <w:pPr>
        <w:pStyle w:val="JuPara"/>
      </w:pPr>
      <w:r w:rsidRPr="001025CE">
        <w:fldChar w:fldCharType="begin"/>
      </w:r>
      <w:r w:rsidRPr="001025CE">
        <w:instrText xml:space="preserve"> SEQ level0 \*arabic </w:instrText>
      </w:r>
      <w:r w:rsidRPr="001025CE">
        <w:fldChar w:fldCharType="separate"/>
      </w:r>
      <w:r w:rsidR="00947469">
        <w:rPr>
          <w:noProof/>
        </w:rPr>
        <w:t>3</w:t>
      </w:r>
      <w:r w:rsidRPr="001025CE">
        <w:fldChar w:fldCharType="end"/>
      </w:r>
      <w:r w:rsidRPr="001025CE" w:rsidR="00F71A6A">
        <w:t xml:space="preserve">.  On </w:t>
      </w:r>
      <w:r w:rsidRPr="001025CE">
        <w:rPr>
          <w:szCs w:val="24"/>
        </w:rPr>
        <w:t>11 May 2011</w:t>
      </w:r>
      <w:r w:rsidRPr="001025CE" w:rsidR="00F71A6A">
        <w:t xml:space="preserve"> </w:t>
      </w:r>
      <w:r w:rsidRPr="001025CE" w:rsidR="0009409F">
        <w:t xml:space="preserve">the </w:t>
      </w:r>
      <w:r w:rsidRPr="001025CE">
        <w:t>application was</w:t>
      </w:r>
      <w:r w:rsidRPr="001025CE" w:rsidR="0009409F">
        <w:t xml:space="preserve"> communicated </w:t>
      </w:r>
      <w:r w:rsidRPr="001025CE" w:rsidR="00F71A6A">
        <w:t>to the Gove</w:t>
      </w:r>
      <w:r w:rsidRPr="001025CE" w:rsidR="00485A6F">
        <w:t>rnment</w:t>
      </w:r>
      <w:r w:rsidRPr="009C3FAE" w:rsidR="00485A6F">
        <w:t>.</w:t>
      </w:r>
      <w:r w:rsidRPr="009C3FAE" w:rsidR="00645F0B">
        <w:t xml:space="preserve"> On 17 May 2011, the Greek Government was informed of their right to intervene in the proceedings in accordance with Article 36 § 1 of the Convention and Rule 44 § 1 of the Rules of Court. They chose not to avail themselves of this right.</w:t>
      </w:r>
    </w:p>
    <w:p w:rsidRPr="001025CE" w:rsidR="00F71A6A" w:rsidP="008824B9" w:rsidRDefault="00F71A6A">
      <w:pPr>
        <w:pStyle w:val="JuHHead"/>
      </w:pPr>
      <w:r w:rsidRPr="001025CE">
        <w:t>THE FACTS</w:t>
      </w:r>
    </w:p>
    <w:p w:rsidRPr="001025CE" w:rsidR="00D353F4" w:rsidP="008824B9" w:rsidRDefault="007352DD">
      <w:pPr>
        <w:pStyle w:val="JuHIRoman"/>
        <w:outlineLvl w:val="0"/>
      </w:pPr>
      <w:r w:rsidRPr="001025CE">
        <w:t xml:space="preserve">I.  THE CIRCUMSTANCES OF THE </w:t>
      </w:r>
      <w:r w:rsidRPr="001025CE" w:rsidR="00D353F4">
        <w:t>CASE</w:t>
      </w:r>
    </w:p>
    <w:p w:rsidRPr="001025CE" w:rsidR="00F71A6A" w:rsidP="002F4BCF" w:rsidRDefault="00383291">
      <w:pPr>
        <w:pStyle w:val="JuPara"/>
      </w:pPr>
      <w:r>
        <w:fldChar w:fldCharType="begin"/>
      </w:r>
      <w:r>
        <w:instrText xml:space="preserve"> SEQ level0 \*arabic </w:instrText>
      </w:r>
      <w:r>
        <w:fldChar w:fldCharType="separate"/>
      </w:r>
      <w:r w:rsidR="00947469">
        <w:rPr>
          <w:noProof/>
        </w:rPr>
        <w:t>4</w:t>
      </w:r>
      <w:r>
        <w:fldChar w:fldCharType="end"/>
      </w:r>
      <w:r>
        <w:t>.  </w:t>
      </w:r>
      <w:r w:rsidRPr="001025CE" w:rsidR="00F71A6A">
        <w:t xml:space="preserve">The </w:t>
      </w:r>
      <w:r w:rsidRPr="001025CE" w:rsidR="001025CE">
        <w:t>applicant was born in 1966 and lives</w:t>
      </w:r>
      <w:r w:rsidRPr="001025CE" w:rsidR="00F71A6A">
        <w:t xml:space="preserve"> in </w:t>
      </w:r>
      <w:smartTag w:uri="urn:schemas-microsoft-com:office:smarttags" w:element="City">
        <w:smartTag w:uri="urn:schemas-microsoft-com:office:smarttags" w:element="place">
          <w:r w:rsidR="001025CE" w:rsidRPr="001025CE">
            <w:t>Varna</w:t>
          </w:r>
        </w:smartTag>
      </w:smartTag>
      <w:r w:rsidRPr="001025CE" w:rsidR="00F71A6A">
        <w:t>.</w:t>
      </w:r>
    </w:p>
    <w:p w:rsidR="001025CE" w:rsidP="001025CE" w:rsidRDefault="00383291">
      <w:pPr>
        <w:pStyle w:val="JuPara"/>
      </w:pPr>
      <w:r>
        <w:fldChar w:fldCharType="begin"/>
      </w:r>
      <w:r>
        <w:instrText xml:space="preserve"> SEQ level0 \*arabic </w:instrText>
      </w:r>
      <w:r>
        <w:fldChar w:fldCharType="separate"/>
      </w:r>
      <w:r w:rsidR="00947469">
        <w:rPr>
          <w:noProof/>
        </w:rPr>
        <w:t>5</w:t>
      </w:r>
      <w:r>
        <w:fldChar w:fldCharType="end"/>
      </w:r>
      <w:r>
        <w:t>.  </w:t>
      </w:r>
      <w:r w:rsidR="001025CE">
        <w:t>On 30 September 2005</w:t>
      </w:r>
      <w:r w:rsidR="007272F9">
        <w:t>,</w:t>
      </w:r>
      <w:r w:rsidRPr="007272F9" w:rsidR="007272F9">
        <w:t xml:space="preserve"> </w:t>
      </w:r>
      <w:r w:rsidR="007272F9">
        <w:t>relying on section 76 § 2 of the Bulgarian Identity Papers Act of 1998,</w:t>
      </w:r>
      <w:r w:rsidR="001025CE">
        <w:t xml:space="preserve"> the Varna Regional Police Di</w:t>
      </w:r>
      <w:r w:rsidR="007272F9">
        <w:t xml:space="preserve">rectorate (“the VRPD”) </w:t>
      </w:r>
      <w:r w:rsidR="00514873">
        <w:t>issued an order refusing</w:t>
      </w:r>
      <w:r w:rsidR="007272F9">
        <w:t xml:space="preserve"> to issue </w:t>
      </w:r>
      <w:r w:rsidR="001025CE">
        <w:t xml:space="preserve">the applicant </w:t>
      </w:r>
      <w:r w:rsidR="007272F9">
        <w:t>with</w:t>
      </w:r>
      <w:r w:rsidR="001025CE">
        <w:t xml:space="preserve"> an international passport </w:t>
      </w:r>
      <w:r w:rsidR="007272F9">
        <w:t>and</w:t>
      </w:r>
      <w:r w:rsidRPr="007272F9" w:rsidR="007272F9">
        <w:t xml:space="preserve"> </w:t>
      </w:r>
      <w:r w:rsidR="00514873">
        <w:t>ordering</w:t>
      </w:r>
      <w:r w:rsidR="001025CE">
        <w:t xml:space="preserve"> that his existing passport be seized. The order was issued on </w:t>
      </w:r>
      <w:r w:rsidR="001851AA">
        <w:t>the grounds</w:t>
      </w:r>
      <w:r w:rsidR="001025CE">
        <w:t xml:space="preserve"> that the applicant had been previously convicted and the statutory period for legal rehabilitation had not yet expired.</w:t>
      </w:r>
    </w:p>
    <w:p w:rsidR="0005726D" w:rsidP="001025CE" w:rsidRDefault="00383291">
      <w:pPr>
        <w:pStyle w:val="JuPara"/>
      </w:pPr>
      <w:r>
        <w:fldChar w:fldCharType="begin"/>
      </w:r>
      <w:r>
        <w:instrText xml:space="preserve"> SEQ level0 \*arabic </w:instrText>
      </w:r>
      <w:r>
        <w:fldChar w:fldCharType="separate"/>
      </w:r>
      <w:r w:rsidR="00947469">
        <w:rPr>
          <w:noProof/>
        </w:rPr>
        <w:t>6</w:t>
      </w:r>
      <w:r>
        <w:fldChar w:fldCharType="end"/>
      </w:r>
      <w:r>
        <w:t xml:space="preserve">.  At the time when the order was issued, the applicant was </w:t>
      </w:r>
      <w:r w:rsidR="00777E08">
        <w:t xml:space="preserve">apparently </w:t>
      </w:r>
      <w:r w:rsidR="00E21AB5">
        <w:t xml:space="preserve">living </w:t>
      </w:r>
      <w:r>
        <w:t xml:space="preserve">in </w:t>
      </w:r>
      <w:smartTag w:uri="urn:schemas-microsoft-com:office:smarttags" w:element="country-region">
        <w:smartTag w:uri="urn:schemas-microsoft-com:office:smarttags" w:element="place">
          <w:r>
            <w:t>Germany</w:t>
          </w:r>
        </w:smartTag>
      </w:smartTag>
      <w:r>
        <w:t xml:space="preserve">. He travelled to </w:t>
      </w:r>
      <w:smartTag w:uri="urn:schemas-microsoft-com:office:smarttags" w:element="country-region">
        <w:smartTag w:uri="urn:schemas-microsoft-com:office:smarttags" w:element="place">
          <w:r>
            <w:t>Bulgaria</w:t>
          </w:r>
        </w:smartTag>
      </w:smartTag>
      <w:r>
        <w:t xml:space="preserve"> in early </w:t>
      </w:r>
      <w:r w:rsidR="001C759E">
        <w:t xml:space="preserve">April </w:t>
      </w:r>
      <w:r w:rsidR="00777E08">
        <w:t>2</w:t>
      </w:r>
      <w:r>
        <w:t xml:space="preserve">006 to renew his identity papers. When he </w:t>
      </w:r>
      <w:r w:rsidR="001C759E">
        <w:t>applied</w:t>
      </w:r>
      <w:r w:rsidR="00E21AB5">
        <w:t xml:space="preserve"> for </w:t>
      </w:r>
      <w:r w:rsidR="00F77BEF">
        <w:t>his papers</w:t>
      </w:r>
      <w:r w:rsidR="001C759E">
        <w:t xml:space="preserve"> on 25 April 2006, the authorities informed him of the order of 30 September 2005 and refused</w:t>
      </w:r>
      <w:r>
        <w:t xml:space="preserve"> to</w:t>
      </w:r>
      <w:r w:rsidR="001C759E">
        <w:t xml:space="preserve"> issue a new passport to him.</w:t>
      </w:r>
    </w:p>
    <w:p w:rsidR="001025CE" w:rsidP="001025CE" w:rsidRDefault="00383291">
      <w:pPr>
        <w:pStyle w:val="JuPara"/>
      </w:pPr>
      <w:r>
        <w:fldChar w:fldCharType="begin"/>
      </w:r>
      <w:r>
        <w:instrText xml:space="preserve"> SEQ level0 \*arabic </w:instrText>
      </w:r>
      <w:r>
        <w:fldChar w:fldCharType="separate"/>
      </w:r>
      <w:r w:rsidR="00947469">
        <w:rPr>
          <w:noProof/>
        </w:rPr>
        <w:t>7</w:t>
      </w:r>
      <w:r>
        <w:fldChar w:fldCharType="end"/>
      </w:r>
      <w:r>
        <w:t>.  </w:t>
      </w:r>
      <w:r w:rsidR="001025CE">
        <w:t xml:space="preserve">The applicant appealed against the order arguing that it </w:t>
      </w:r>
      <w:r w:rsidR="00C94EAF">
        <w:t>contained no reasons to justify</w:t>
      </w:r>
      <w:r w:rsidR="001025CE">
        <w:t xml:space="preserve"> the imposition of the ban.</w:t>
      </w:r>
    </w:p>
    <w:p w:rsidR="0005726D" w:rsidP="001025CE" w:rsidRDefault="00383291">
      <w:pPr>
        <w:pStyle w:val="JuPara"/>
      </w:pPr>
      <w:r>
        <w:fldChar w:fldCharType="begin"/>
      </w:r>
      <w:r>
        <w:instrText xml:space="preserve"> SEQ level0 \*arabic </w:instrText>
      </w:r>
      <w:r>
        <w:fldChar w:fldCharType="separate"/>
      </w:r>
      <w:r w:rsidR="00947469">
        <w:rPr>
          <w:noProof/>
        </w:rPr>
        <w:t>8</w:t>
      </w:r>
      <w:r>
        <w:fldChar w:fldCharType="end"/>
      </w:r>
      <w:r>
        <w:t>.  </w:t>
      </w:r>
      <w:r w:rsidR="001E4EDA">
        <w:t>In a judgment of 2 August 2006 t</w:t>
      </w:r>
      <w:r w:rsidR="001025CE">
        <w:t>he Varna Regional Court quashed the order and remitted the case to the VRPD. The court established that the applicant had been released in No</w:t>
      </w:r>
      <w:r w:rsidR="00AE34D3">
        <w:t>vember 2003 after serving a two</w:t>
      </w:r>
      <w:r w:rsidR="005F6F7A">
        <w:t>-</w:t>
      </w:r>
      <w:r w:rsidR="001025CE">
        <w:t xml:space="preserve">year </w:t>
      </w:r>
      <w:r w:rsidR="000050BE">
        <w:t xml:space="preserve">prison </w:t>
      </w:r>
      <w:r w:rsidR="001025CE">
        <w:t xml:space="preserve">sentence. It then </w:t>
      </w:r>
      <w:r w:rsidR="000050BE">
        <w:t>observed</w:t>
      </w:r>
      <w:r w:rsidR="001025CE">
        <w:t xml:space="preserve"> that the appropriateness of the imposed administrative measure was </w:t>
      </w:r>
      <w:r w:rsidR="000050BE">
        <w:t>not subject to judicial control. However, the court found</w:t>
      </w:r>
      <w:r w:rsidR="00402BFC">
        <w:t xml:space="preserve"> that</w:t>
      </w:r>
      <w:r w:rsidR="001025CE">
        <w:t xml:space="preserve"> the order was deficient </w:t>
      </w:r>
      <w:r w:rsidR="000050BE">
        <w:t>as the</w:t>
      </w:r>
      <w:r w:rsidR="001025CE">
        <w:t xml:space="preserve"> relevant circ</w:t>
      </w:r>
      <w:r w:rsidR="000050BE">
        <w:t>umstances had not been examined. In particular,</w:t>
      </w:r>
      <w:r w:rsidR="001025CE">
        <w:t xml:space="preserve"> the </w:t>
      </w:r>
      <w:r w:rsidR="00644CA7">
        <w:t xml:space="preserve">VRPD </w:t>
      </w:r>
      <w:r w:rsidR="000050BE">
        <w:t xml:space="preserve">had not commented on the </w:t>
      </w:r>
      <w:r w:rsidR="001025CE">
        <w:t>applicant</w:t>
      </w:r>
      <w:r w:rsidR="00947469">
        <w:t>’</w:t>
      </w:r>
      <w:r w:rsidR="001025CE">
        <w:t xml:space="preserve">s numerous trips </w:t>
      </w:r>
      <w:r w:rsidR="003A0289">
        <w:t>from and back to</w:t>
      </w:r>
      <w:r w:rsidR="001025CE">
        <w:t xml:space="preserve"> Bulgaria following his</w:t>
      </w:r>
      <w:r w:rsidR="000050BE">
        <w:t xml:space="preserve"> release, on his Greek citizenship and</w:t>
      </w:r>
      <w:r w:rsidR="001025CE">
        <w:t xml:space="preserve"> </w:t>
      </w:r>
      <w:r w:rsidR="000050BE">
        <w:t xml:space="preserve">on </w:t>
      </w:r>
      <w:r w:rsidR="001025CE">
        <w:t>his permanent residenc</w:t>
      </w:r>
      <w:r w:rsidR="000050BE">
        <w:t>e permit and address in Germany. All of those factors</w:t>
      </w:r>
      <w:r w:rsidR="001025CE">
        <w:t xml:space="preserve"> could have pointed against the imposition of the ban. </w:t>
      </w:r>
      <w:r w:rsidR="00C21266">
        <w:t>T</w:t>
      </w:r>
      <w:r w:rsidR="001025CE">
        <w:t xml:space="preserve">he </w:t>
      </w:r>
      <w:r w:rsidR="003A0289">
        <w:t xml:space="preserve">Varna </w:t>
      </w:r>
      <w:r w:rsidR="001025CE">
        <w:t xml:space="preserve">Regional Court </w:t>
      </w:r>
      <w:r w:rsidR="00C21266">
        <w:t>concluded</w:t>
      </w:r>
      <w:r w:rsidR="001025CE">
        <w:t xml:space="preserve"> that the order was not sufficiently reasoned.</w:t>
      </w:r>
    </w:p>
    <w:p w:rsidR="00F71A6A" w:rsidP="002F4BCF" w:rsidRDefault="00383291">
      <w:pPr>
        <w:pStyle w:val="JuPara"/>
      </w:pPr>
      <w:r>
        <w:fldChar w:fldCharType="begin"/>
      </w:r>
      <w:r>
        <w:instrText xml:space="preserve"> SEQ level0 \*arabic </w:instrText>
      </w:r>
      <w:r>
        <w:fldChar w:fldCharType="separate"/>
      </w:r>
      <w:r w:rsidR="00947469">
        <w:rPr>
          <w:noProof/>
        </w:rPr>
        <w:t>9</w:t>
      </w:r>
      <w:r>
        <w:fldChar w:fldCharType="end"/>
      </w:r>
      <w:r>
        <w:t>.  </w:t>
      </w:r>
      <w:r w:rsidR="003434B1">
        <w:t>Upon appeal, in</w:t>
      </w:r>
      <w:r w:rsidR="001025CE">
        <w:t xml:space="preserve"> a final judgment of 22 February 2007, the Supreme Administrative Court (“the SAC”) set aside the lower court</w:t>
      </w:r>
      <w:r w:rsidR="00947469">
        <w:t>’</w:t>
      </w:r>
      <w:r w:rsidR="001025CE">
        <w:t xml:space="preserve">s judgment and </w:t>
      </w:r>
      <w:r w:rsidR="003434B1">
        <w:t>confirmed</w:t>
      </w:r>
      <w:r w:rsidR="001025CE">
        <w:t xml:space="preserve"> the order. The </w:t>
      </w:r>
      <w:r w:rsidR="003434B1">
        <w:t>SAC</w:t>
      </w:r>
      <w:r w:rsidR="001025CE">
        <w:t xml:space="preserve"> held that the order was reasoned in so far as it made a reference to the statutory provisions on the basis of which it had been issued. It also held that the personal circumstances of the applicant should not have been examined by the lower court as the VRPD</w:t>
      </w:r>
      <w:r w:rsidR="00947469">
        <w:t>’</w:t>
      </w:r>
      <w:r w:rsidR="001025CE">
        <w:t>s discretion in issuing the order was not subject to judicial control.</w:t>
      </w:r>
    </w:p>
    <w:p w:rsidR="000A6DDA" w:rsidP="002F4BCF" w:rsidRDefault="00383291">
      <w:pPr>
        <w:pStyle w:val="JuPara"/>
      </w:pPr>
      <w:r>
        <w:fldChar w:fldCharType="begin"/>
      </w:r>
      <w:r>
        <w:instrText xml:space="preserve"> SEQ level0 \*arabic </w:instrText>
      </w:r>
      <w:r>
        <w:fldChar w:fldCharType="separate"/>
      </w:r>
      <w:r w:rsidR="00947469">
        <w:rPr>
          <w:noProof/>
        </w:rPr>
        <w:t>10</w:t>
      </w:r>
      <w:r>
        <w:fldChar w:fldCharType="end"/>
      </w:r>
      <w:r>
        <w:t>.  </w:t>
      </w:r>
      <w:r w:rsidR="003434B1">
        <w:t>On 2 May 2007 the applicant</w:t>
      </w:r>
      <w:r>
        <w:t xml:space="preserve"> request</w:t>
      </w:r>
      <w:r w:rsidR="003434B1">
        <w:t>ed</w:t>
      </w:r>
      <w:r>
        <w:t xml:space="preserve"> </w:t>
      </w:r>
      <w:r w:rsidR="003434B1">
        <w:t>that</w:t>
      </w:r>
      <w:r>
        <w:t xml:space="preserve"> the travel ban</w:t>
      </w:r>
      <w:r w:rsidR="003434B1">
        <w:t xml:space="preserve"> be lifted</w:t>
      </w:r>
      <w:r w:rsidR="00B33E41">
        <w:t xml:space="preserve"> </w:t>
      </w:r>
      <w:r w:rsidR="003434B1">
        <w:t xml:space="preserve">because he </w:t>
      </w:r>
      <w:r w:rsidR="00F04CFB">
        <w:t>had been</w:t>
      </w:r>
      <w:r w:rsidR="003434B1">
        <w:t xml:space="preserve"> rehabilitated. The VRPD lifted</w:t>
      </w:r>
      <w:r>
        <w:t xml:space="preserve"> the </w:t>
      </w:r>
      <w:r w:rsidR="00B33E41">
        <w:t>ban</w:t>
      </w:r>
      <w:r>
        <w:t xml:space="preserve"> in an order of 11 May 2007</w:t>
      </w:r>
      <w:r w:rsidR="009612CC">
        <w:t xml:space="preserve"> </w:t>
      </w:r>
      <w:r w:rsidR="00FA79A1">
        <w:t xml:space="preserve">on the grounds </w:t>
      </w:r>
      <w:r w:rsidR="003434B1">
        <w:t>of</w:t>
      </w:r>
      <w:r w:rsidR="00FA79A1">
        <w:t xml:space="preserve"> the applicant</w:t>
      </w:r>
      <w:r w:rsidR="00947469">
        <w:t>’</w:t>
      </w:r>
      <w:r w:rsidR="003434B1">
        <w:t>s</w:t>
      </w:r>
      <w:r w:rsidR="00FA79A1">
        <w:t xml:space="preserve"> </w:t>
      </w:r>
      <w:r w:rsidR="003434B1">
        <w:t>rehabilitation</w:t>
      </w:r>
      <w:r w:rsidR="0005726D">
        <w:t>.</w:t>
      </w:r>
    </w:p>
    <w:p w:rsidRPr="001025CE" w:rsidR="007352DD" w:rsidP="008824B9" w:rsidRDefault="009009B8">
      <w:pPr>
        <w:pStyle w:val="JuHIRoman"/>
        <w:outlineLvl w:val="0"/>
      </w:pPr>
      <w:r>
        <w:t>II. </w:t>
      </w:r>
      <w:r w:rsidR="0005726D">
        <w:t> </w:t>
      </w:r>
      <w:r w:rsidRPr="001025CE" w:rsidR="007352DD">
        <w:t>RELEVANT DOMESTIC LAW AND PRACTICE</w:t>
      </w:r>
    </w:p>
    <w:p w:rsidRPr="00BC3F3E" w:rsidR="007352DD" w:rsidP="002F4BCF" w:rsidRDefault="001025CE">
      <w:pPr>
        <w:pStyle w:val="JuPara"/>
        <w:rPr>
          <w:snapToGrid w:val="0"/>
          <w:lang w:val="pt-BR" w:eastAsia="en-US"/>
        </w:rPr>
      </w:pPr>
      <w:r>
        <w:fldChar w:fldCharType="begin"/>
      </w:r>
      <w:r>
        <w:instrText xml:space="preserve"> SEQ level0 \*arabic </w:instrText>
      </w:r>
      <w:r>
        <w:fldChar w:fldCharType="separate"/>
      </w:r>
      <w:r w:rsidR="00947469">
        <w:rPr>
          <w:noProof/>
        </w:rPr>
        <w:t>11</w:t>
      </w:r>
      <w:r>
        <w:fldChar w:fldCharType="end"/>
      </w:r>
      <w:r>
        <w:t>.  </w:t>
      </w:r>
      <w:r w:rsidR="00BC3F3E">
        <w:t>The relevant domestic law concerning travel bans on convicted individuals pending their rehabilitation is set out in the Court</w:t>
      </w:r>
      <w:r w:rsidR="00947469">
        <w:t>’</w:t>
      </w:r>
      <w:r w:rsidR="00BC3F3E">
        <w:t xml:space="preserve">s judgment in the case of </w:t>
      </w:r>
      <w:r w:rsidR="00BC3F3E">
        <w:rPr>
          <w:i/>
          <w:lang w:eastAsia="en-US"/>
        </w:rPr>
        <w:t>Nalbantski v. Bulgaria</w:t>
      </w:r>
      <w:r w:rsidR="00BC3F3E">
        <w:rPr>
          <w:lang w:eastAsia="en-US"/>
        </w:rPr>
        <w:t xml:space="preserve"> (no. 30943/04</w:t>
      </w:r>
      <w:r w:rsidR="00BC3F3E">
        <w:rPr>
          <w:snapToGrid w:val="0"/>
          <w:lang w:val="pt-BR" w:eastAsia="en-US"/>
        </w:rPr>
        <w:t>, §§ 25</w:t>
      </w:r>
      <w:r w:rsidR="00BC3F3E">
        <w:rPr>
          <w:snapToGrid w:val="0"/>
          <w:lang w:val="pt-BR" w:eastAsia="en-US"/>
        </w:rPr>
        <w:noBreakHyphen/>
        <w:t>29, 10 February 2011).</w:t>
      </w:r>
    </w:p>
    <w:p w:rsidRPr="001025CE" w:rsidR="00F71A6A" w:rsidP="008824B9" w:rsidRDefault="00F71A6A">
      <w:pPr>
        <w:pStyle w:val="JuHHead"/>
      </w:pPr>
      <w:r w:rsidRPr="001025CE">
        <w:t>THE LAW</w:t>
      </w:r>
    </w:p>
    <w:p w:rsidRPr="001025CE" w:rsidR="00F71A6A" w:rsidRDefault="00F71A6A">
      <w:pPr>
        <w:pStyle w:val="JuHIRoman"/>
      </w:pPr>
      <w:smartTag w:uri="urn:schemas-microsoft-com:office:smarttags" w:element="place">
        <w:r w:rsidRPr="001025CE">
          <w:t>I.</w:t>
        </w:r>
      </w:smartTag>
      <w:r w:rsidRPr="001025CE">
        <w:t xml:space="preserve">  ALLEGED VIOLATION OF ARTICLE </w:t>
      </w:r>
      <w:r w:rsidR="004A0C35">
        <w:t>2 OF PROTOCOL No. 4 TO</w:t>
      </w:r>
      <w:r w:rsidRPr="001025CE">
        <w:t xml:space="preserve"> THE CONVENTION</w:t>
      </w:r>
    </w:p>
    <w:p w:rsidR="0005726D" w:rsidP="002F4BCF" w:rsidRDefault="005765DC">
      <w:pPr>
        <w:pStyle w:val="JuPara"/>
      </w:pPr>
      <w:r>
        <w:fldChar w:fldCharType="begin"/>
      </w:r>
      <w:r>
        <w:instrText xml:space="preserve"> SEQ level0 \*arabic </w:instrText>
      </w:r>
      <w:r>
        <w:fldChar w:fldCharType="separate"/>
      </w:r>
      <w:r w:rsidR="00947469">
        <w:rPr>
          <w:noProof/>
        </w:rPr>
        <w:t>12</w:t>
      </w:r>
      <w:r>
        <w:fldChar w:fldCharType="end"/>
      </w:r>
      <w:r>
        <w:t>.  </w:t>
      </w:r>
      <w:r w:rsidRPr="001025CE" w:rsidR="00F71A6A">
        <w:t xml:space="preserve">The </w:t>
      </w:r>
      <w:r w:rsidRPr="001025CE" w:rsidR="005F4753">
        <w:t>applicant</w:t>
      </w:r>
      <w:r w:rsidRPr="001025CE" w:rsidR="00F71A6A">
        <w:t xml:space="preserve"> complained that </w:t>
      </w:r>
      <w:r w:rsidR="00E63350">
        <w:t>the re</w:t>
      </w:r>
      <w:r w:rsidR="0029604B">
        <w:t xml:space="preserve">striction of 30 September 2005 </w:t>
      </w:r>
      <w:r w:rsidR="00E63350">
        <w:t>on his freedom to leave Bulgaria was not necessary and proportionate,</w:t>
      </w:r>
      <w:r w:rsidRPr="001025CE" w:rsidR="00F71A6A">
        <w:t xml:space="preserve"> </w:t>
      </w:r>
      <w:r w:rsidR="003D01AE">
        <w:t>contrary</w:t>
      </w:r>
      <w:r w:rsidRPr="001025CE" w:rsidR="00F71A6A">
        <w:t xml:space="preserve"> </w:t>
      </w:r>
      <w:r w:rsidR="003D01AE">
        <w:t>to</w:t>
      </w:r>
      <w:r w:rsidRPr="001025CE" w:rsidR="00F71A6A">
        <w:t xml:space="preserve"> Article </w:t>
      </w:r>
      <w:r w:rsidR="00E63350">
        <w:t>2 of Protocol No. 4 to</w:t>
      </w:r>
      <w:r w:rsidRPr="001025CE" w:rsidR="00F71A6A">
        <w:t xml:space="preserve"> the Convention</w:t>
      </w:r>
      <w:r w:rsidR="0029604B">
        <w:t>.</w:t>
      </w:r>
    </w:p>
    <w:p w:rsidRPr="001025CE" w:rsidR="00E63350" w:rsidP="002F4BCF" w:rsidRDefault="00E63350">
      <w:pPr>
        <w:pStyle w:val="JuPara"/>
      </w:pPr>
      <w:r>
        <w:t>The relevant part of Article 2 of Protocol No. 4 reads as follows</w:t>
      </w:r>
      <w:r w:rsidRPr="001025CE" w:rsidR="00F71A6A">
        <w:t>:</w:t>
      </w:r>
    </w:p>
    <w:p w:rsidR="004A0C35" w:rsidRDefault="004A0C35">
      <w:pPr>
        <w:pStyle w:val="JuQuot"/>
      </w:pPr>
      <w:r>
        <w:t>“</w:t>
      </w:r>
      <w:r w:rsidR="000A6DDA">
        <w:t>...</w:t>
      </w:r>
      <w:r w:rsidR="00BC3F3E">
        <w:t>..</w:t>
      </w:r>
      <w:r>
        <w:t>2.  Everyone shall be free to leave any country, including his own.</w:t>
      </w:r>
    </w:p>
    <w:p w:rsidR="004A0C35" w:rsidP="005765DC" w:rsidRDefault="00D41908">
      <w:pPr>
        <w:pStyle w:val="JuQuot"/>
      </w:pPr>
      <w:r>
        <w:t>3. </w:t>
      </w:r>
      <w:r w:rsidR="004A0C35">
        <w:t>No restrictions shall be placed on the exercise of these rights other than such as are in accordance with law and are necessary in a democratic society in the interests of national security or public safety, for the maintenance of ordre public, for the prevention of crime, for the protection of health or morals, or for the protection of the</w:t>
      </w:r>
      <w:r w:rsidR="00BC3F3E">
        <w:t xml:space="preserve"> rights and freedoms of others</w:t>
      </w:r>
      <w:r w:rsidR="00135286">
        <w:t>...</w:t>
      </w:r>
      <w:r w:rsidR="00BC3F3E">
        <w:t>.</w:t>
      </w:r>
      <w:r w:rsidR="004A0C35">
        <w:t>”</w:t>
      </w:r>
    </w:p>
    <w:p w:rsidRPr="001025CE" w:rsidR="003554F8" w:rsidP="003554F8" w:rsidRDefault="003554F8">
      <w:pPr>
        <w:pStyle w:val="JuHA"/>
        <w:outlineLvl w:val="0"/>
      </w:pPr>
      <w:r w:rsidRPr="001025CE">
        <w:t>A.  </w:t>
      </w:r>
      <w:r w:rsidR="00BE298E">
        <w:t>Admissibility</w:t>
      </w:r>
    </w:p>
    <w:p w:rsidR="000A6DDA" w:rsidP="000A6DDA" w:rsidRDefault="00BC3F3E">
      <w:pPr>
        <w:pStyle w:val="JuPara"/>
      </w:pPr>
      <w:r>
        <w:fldChar w:fldCharType="begin"/>
      </w:r>
      <w:r>
        <w:instrText xml:space="preserve"> SEQ level0 \*arabic </w:instrText>
      </w:r>
      <w:r>
        <w:fldChar w:fldCharType="separate"/>
      </w:r>
      <w:r w:rsidR="00947469">
        <w:rPr>
          <w:noProof/>
        </w:rPr>
        <w:t>13</w:t>
      </w:r>
      <w:r>
        <w:fldChar w:fldCharType="end"/>
      </w:r>
      <w:r>
        <w:t>.  </w:t>
      </w:r>
      <w:r w:rsidR="00AA1541">
        <w:t>The Court notes that this complaint is not manifestly ill-founded within the meaning of Article 35 § 3 (a) of the Convention. It further notes that it is not inadmissible on any other grounds. It must therefore be declared admissible.</w:t>
      </w:r>
    </w:p>
    <w:p w:rsidR="00F71A6A" w:rsidP="008824B9" w:rsidRDefault="00F71A6A">
      <w:pPr>
        <w:pStyle w:val="JuHA"/>
        <w:outlineLvl w:val="0"/>
      </w:pPr>
      <w:r w:rsidRPr="001025CE">
        <w:t>B.  Merits</w:t>
      </w:r>
    </w:p>
    <w:p w:rsidRPr="005C72E2" w:rsidR="005C72E2" w:rsidP="005C72E2" w:rsidRDefault="0005726D">
      <w:pPr>
        <w:pStyle w:val="JuH1"/>
      </w:pPr>
      <w:r>
        <w:t>1.  </w:t>
      </w:r>
      <w:r w:rsidR="005C72E2">
        <w:t>The parties</w:t>
      </w:r>
      <w:r w:rsidR="00947469">
        <w:t>’</w:t>
      </w:r>
      <w:r w:rsidR="005C72E2">
        <w:t xml:space="preserve"> submissions</w:t>
      </w:r>
    </w:p>
    <w:p w:rsidR="00BC3F3E" w:rsidP="00BC3F3E" w:rsidRDefault="00BC3F3E">
      <w:pPr>
        <w:pStyle w:val="JuPara"/>
      </w:pPr>
      <w:r>
        <w:fldChar w:fldCharType="begin"/>
      </w:r>
      <w:r>
        <w:instrText xml:space="preserve"> SEQ level0 \*arabic </w:instrText>
      </w:r>
      <w:r>
        <w:fldChar w:fldCharType="separate"/>
      </w:r>
      <w:r w:rsidR="00947469">
        <w:rPr>
          <w:noProof/>
        </w:rPr>
        <w:t>14</w:t>
      </w:r>
      <w:r>
        <w:fldChar w:fldCharType="end"/>
      </w:r>
      <w:r>
        <w:t>.  In t</w:t>
      </w:r>
      <w:r w:rsidRPr="001025CE">
        <w:t>he Government</w:t>
      </w:r>
      <w:r w:rsidR="00947469">
        <w:t>’</w:t>
      </w:r>
      <w:r>
        <w:t>s view, the travel ban had been imposed on the basis of a thorough assessment of all relevant factors</w:t>
      </w:r>
      <w:r w:rsidR="003430FE">
        <w:t xml:space="preserve">, namely a prior criminal conviction </w:t>
      </w:r>
      <w:r w:rsidR="006B33D6">
        <w:t xml:space="preserve">and </w:t>
      </w:r>
      <w:r w:rsidR="00644CA7">
        <w:t xml:space="preserve">the </w:t>
      </w:r>
      <w:r w:rsidR="006B33D6">
        <w:t>absence of rehabilitation of the applicant</w:t>
      </w:r>
      <w:r>
        <w:t xml:space="preserve">. </w:t>
      </w:r>
      <w:r w:rsidR="006B33D6">
        <w:t>The</w:t>
      </w:r>
      <w:r>
        <w:t xml:space="preserve"> ban had been issued by the competent authorities and in accordance with the law, as well as for the purposes of national security, the protection of the rights of others and the prevention of crime. Given that the applicant had been convicted and not rehabilitated, the ban had been proportionate and justified. Finally, the ban</w:t>
      </w:r>
      <w:r w:rsidR="00947469">
        <w:t>’</w:t>
      </w:r>
      <w:r>
        <w:t xml:space="preserve">s effects vis-à-vis the applicant had only lasted </w:t>
      </w:r>
      <w:r w:rsidR="005C72E2">
        <w:t xml:space="preserve">just over a year: between 25 April 2006, when </w:t>
      </w:r>
      <w:r>
        <w:t>t</w:t>
      </w:r>
      <w:r w:rsidR="005C72E2">
        <w:t>he ban</w:t>
      </w:r>
      <w:r>
        <w:t xml:space="preserve"> had been served on him, and 11 May 2007, when it had been lifted.</w:t>
      </w:r>
    </w:p>
    <w:p w:rsidR="001C5400" w:rsidP="00BC3F3E" w:rsidRDefault="00BC3F3E">
      <w:pPr>
        <w:pStyle w:val="JuPara"/>
      </w:pPr>
      <w:r>
        <w:fldChar w:fldCharType="begin"/>
      </w:r>
      <w:r>
        <w:instrText xml:space="preserve"> SEQ level0 \*arabic </w:instrText>
      </w:r>
      <w:r>
        <w:fldChar w:fldCharType="separate"/>
      </w:r>
      <w:r w:rsidR="00947469">
        <w:rPr>
          <w:noProof/>
        </w:rPr>
        <w:t>15</w:t>
      </w:r>
      <w:r>
        <w:fldChar w:fldCharType="end"/>
      </w:r>
      <w:r>
        <w:t xml:space="preserve">.  The applicant maintained his claim. In particular, he pointed out that, in the judicial review proceedings in which he had challenged the ban, the domestic courts had not reviewed the assessment </w:t>
      </w:r>
      <w:r w:rsidR="006B33D6">
        <w:t>of</w:t>
      </w:r>
      <w:r>
        <w:t xml:space="preserve"> the police </w:t>
      </w:r>
      <w:r w:rsidR="006B33D6">
        <w:t>as to</w:t>
      </w:r>
      <w:r>
        <w:t xml:space="preserve"> whether it </w:t>
      </w:r>
      <w:r w:rsidR="006B33D6">
        <w:t>had been</w:t>
      </w:r>
      <w:r>
        <w:t xml:space="preserve"> necessary to ban him from leaving the country.</w:t>
      </w:r>
    </w:p>
    <w:p w:rsidRPr="00BC3F3E" w:rsidR="005C72E2" w:rsidP="005C72E2" w:rsidRDefault="0005726D">
      <w:pPr>
        <w:pStyle w:val="JuH1"/>
      </w:pPr>
      <w:r>
        <w:t>2.  </w:t>
      </w:r>
      <w:r w:rsidR="005C72E2">
        <w:t>The Court</w:t>
      </w:r>
      <w:r w:rsidR="00947469">
        <w:t>’</w:t>
      </w:r>
      <w:r w:rsidR="005C72E2">
        <w:t>s assessment</w:t>
      </w:r>
    </w:p>
    <w:p w:rsidR="009C4ABF" w:rsidP="009C4ABF" w:rsidRDefault="00BC3F3E">
      <w:pPr>
        <w:pStyle w:val="JuPara"/>
      </w:pPr>
      <w:r>
        <w:fldChar w:fldCharType="begin"/>
      </w:r>
      <w:r>
        <w:instrText xml:space="preserve"> SEQ level0 \*arabic </w:instrText>
      </w:r>
      <w:r>
        <w:fldChar w:fldCharType="separate"/>
      </w:r>
      <w:r w:rsidR="00947469">
        <w:rPr>
          <w:noProof/>
        </w:rPr>
        <w:t>16</w:t>
      </w:r>
      <w:r>
        <w:fldChar w:fldCharType="end"/>
      </w:r>
      <w:r>
        <w:t>.  </w:t>
      </w:r>
      <w:r w:rsidR="009C4ABF">
        <w:t xml:space="preserve">The </w:t>
      </w:r>
      <w:r>
        <w:t xml:space="preserve">Court finds that the </w:t>
      </w:r>
      <w:r w:rsidR="009C4ABF">
        <w:t>present case</w:t>
      </w:r>
      <w:r>
        <w:t xml:space="preserve"> </w:t>
      </w:r>
      <w:r w:rsidR="009C4ABF">
        <w:t>concerns a travel ban imp</w:t>
      </w:r>
      <w:r w:rsidR="005C72E2">
        <w:t xml:space="preserve">osed on a convicted and </w:t>
      </w:r>
      <w:r w:rsidR="00B35939">
        <w:t xml:space="preserve">not </w:t>
      </w:r>
      <w:r w:rsidR="005C72E2">
        <w:t xml:space="preserve">yet </w:t>
      </w:r>
      <w:r>
        <w:t>rehabilitated offender</w:t>
      </w:r>
      <w:r w:rsidRPr="009C3FAE">
        <w:t xml:space="preserve">. </w:t>
      </w:r>
      <w:r w:rsidRPr="009C3FAE" w:rsidR="008237E4">
        <w:t xml:space="preserve">The Court also notes that the parties do not contest that the applicant was unable to leave the country as a result of the ban. </w:t>
      </w:r>
      <w:r w:rsidRPr="009C3FAE" w:rsidR="00845A5C">
        <w:t>The case</w:t>
      </w:r>
      <w:r w:rsidRPr="009C3FAE" w:rsidR="009C4ABF">
        <w:t xml:space="preserve"> </w:t>
      </w:r>
      <w:r w:rsidR="009C4ABF">
        <w:t xml:space="preserve">is almost identical to </w:t>
      </w:r>
      <w:r w:rsidR="009C4ABF">
        <w:rPr>
          <w:i/>
        </w:rPr>
        <w:t>Nalbantski</w:t>
      </w:r>
      <w:r w:rsidR="009C4ABF">
        <w:t xml:space="preserve"> (cited above), as well as to the more recent cases of </w:t>
      </w:r>
      <w:r w:rsidRPr="00B339A9" w:rsidR="009C4ABF">
        <w:rPr>
          <w:i/>
          <w:szCs w:val="22"/>
          <w:lang w:eastAsia="en-US"/>
        </w:rPr>
        <w:t>Sarkizov and Others v.</w:t>
      </w:r>
      <w:r w:rsidR="009C4ABF">
        <w:rPr>
          <w:i/>
          <w:szCs w:val="22"/>
          <w:lang w:eastAsia="en-US"/>
        </w:rPr>
        <w:t> </w:t>
      </w:r>
      <w:r w:rsidRPr="00B339A9" w:rsidR="009C4ABF">
        <w:rPr>
          <w:i/>
          <w:szCs w:val="22"/>
          <w:lang w:eastAsia="en-US"/>
        </w:rPr>
        <w:t>Bulgaria</w:t>
      </w:r>
      <w:r w:rsidR="009C4ABF">
        <w:rPr>
          <w:szCs w:val="22"/>
          <w:lang w:eastAsia="en-US"/>
        </w:rPr>
        <w:t xml:space="preserve"> (</w:t>
      </w:r>
      <w:r w:rsidRPr="00B339A9" w:rsidR="009C4ABF">
        <w:rPr>
          <w:szCs w:val="22"/>
          <w:lang w:eastAsia="en-US"/>
        </w:rPr>
        <w:t>nos.</w:t>
      </w:r>
      <w:r w:rsidR="009C4ABF">
        <w:rPr>
          <w:szCs w:val="22"/>
          <w:lang w:eastAsia="en-US"/>
        </w:rPr>
        <w:t xml:space="preserve"> </w:t>
      </w:r>
      <w:r w:rsidRPr="00B339A9" w:rsidR="009C4ABF">
        <w:rPr>
          <w:szCs w:val="22"/>
          <w:lang w:eastAsia="en-US"/>
        </w:rPr>
        <w:t>37981/06</w:t>
      </w:r>
      <w:r w:rsidR="009C4ABF">
        <w:rPr>
          <w:szCs w:val="22"/>
          <w:lang w:eastAsia="en-US"/>
        </w:rPr>
        <w:t xml:space="preserve"> et al.</w:t>
      </w:r>
      <w:r w:rsidRPr="00B339A9" w:rsidR="009C4ABF">
        <w:rPr>
          <w:snapToGrid w:val="0"/>
          <w:szCs w:val="24"/>
          <w:lang w:val="pt-BR" w:eastAsia="en-US"/>
        </w:rPr>
        <w:t xml:space="preserve">, §§ </w:t>
      </w:r>
      <w:r w:rsidR="009C4ABF">
        <w:rPr>
          <w:snapToGrid w:val="0"/>
          <w:szCs w:val="24"/>
          <w:lang w:val="pt-BR" w:eastAsia="en-US"/>
        </w:rPr>
        <w:t>66</w:t>
      </w:r>
      <w:r w:rsidR="009C4ABF">
        <w:rPr>
          <w:snapToGrid w:val="0"/>
          <w:szCs w:val="24"/>
          <w:lang w:val="pt-BR" w:eastAsia="en-US"/>
        </w:rPr>
        <w:noBreakHyphen/>
        <w:t>70</w:t>
      </w:r>
      <w:r w:rsidRPr="00B339A9" w:rsidR="009C4ABF">
        <w:rPr>
          <w:snapToGrid w:val="0"/>
          <w:szCs w:val="24"/>
          <w:lang w:val="pt-BR" w:eastAsia="en-US"/>
        </w:rPr>
        <w:t>, 17 April 2012</w:t>
      </w:r>
      <w:r w:rsidR="009C4ABF">
        <w:rPr>
          <w:snapToGrid w:val="0"/>
          <w:szCs w:val="24"/>
          <w:lang w:val="pt-BR" w:eastAsia="en-US"/>
        </w:rPr>
        <w:t xml:space="preserve">) and </w:t>
      </w:r>
      <w:r w:rsidR="009C3FAE">
        <w:rPr>
          <w:i/>
          <w:snapToGrid w:val="0"/>
          <w:szCs w:val="24"/>
          <w:lang w:val="pt-BR" w:eastAsia="en-US"/>
        </w:rPr>
        <w:t>Dimitar </w:t>
      </w:r>
      <w:r w:rsidR="009C4ABF">
        <w:rPr>
          <w:i/>
          <w:snapToGrid w:val="0"/>
          <w:szCs w:val="24"/>
          <w:lang w:val="pt-BR" w:eastAsia="en-US"/>
        </w:rPr>
        <w:t>Ivanov v. Bulgaria</w:t>
      </w:r>
      <w:r w:rsidRPr="008D19A6" w:rsidR="009C4ABF">
        <w:rPr>
          <w:snapToGrid w:val="0"/>
          <w:szCs w:val="24"/>
          <w:lang w:val="pt-BR" w:eastAsia="en-US"/>
        </w:rPr>
        <w:t xml:space="preserve"> </w:t>
      </w:r>
      <w:r w:rsidR="009C4ABF">
        <w:rPr>
          <w:snapToGrid w:val="0"/>
          <w:szCs w:val="24"/>
          <w:lang w:val="pt-BR" w:eastAsia="en-US"/>
        </w:rPr>
        <w:t xml:space="preserve">([Committee], no. 19418/07, </w:t>
      </w:r>
      <w:r w:rsidRPr="00B339A9" w:rsidR="009C4ABF">
        <w:rPr>
          <w:snapToGrid w:val="0"/>
          <w:szCs w:val="24"/>
          <w:lang w:val="pt-BR" w:eastAsia="en-US"/>
        </w:rPr>
        <w:t>§§</w:t>
      </w:r>
      <w:r w:rsidR="009C4ABF">
        <w:rPr>
          <w:snapToGrid w:val="0"/>
          <w:szCs w:val="24"/>
          <w:lang w:val="pt-BR" w:eastAsia="en-US"/>
        </w:rPr>
        <w:t xml:space="preserve"> 36</w:t>
      </w:r>
      <w:r w:rsidR="009C4ABF">
        <w:rPr>
          <w:snapToGrid w:val="0"/>
          <w:szCs w:val="24"/>
          <w:lang w:val="pt-BR" w:eastAsia="en-US"/>
        </w:rPr>
        <w:noBreakHyphen/>
        <w:t>38</w:t>
      </w:r>
      <w:r w:rsidR="00662209">
        <w:rPr>
          <w:snapToGrid w:val="0"/>
          <w:szCs w:val="24"/>
          <w:lang w:val="pt-BR" w:eastAsia="en-US"/>
        </w:rPr>
        <w:t>,</w:t>
      </w:r>
      <w:r w:rsidR="009C4ABF">
        <w:rPr>
          <w:snapToGrid w:val="0"/>
          <w:szCs w:val="24"/>
          <w:lang w:val="pt-BR" w:eastAsia="en-US"/>
        </w:rPr>
        <w:t xml:space="preserve"> 14</w:t>
      </w:r>
      <w:r w:rsidR="004F5222">
        <w:rPr>
          <w:snapToGrid w:val="0"/>
          <w:szCs w:val="24"/>
          <w:lang w:val="pt-BR" w:eastAsia="en-US"/>
        </w:rPr>
        <w:t> </w:t>
      </w:r>
      <w:r w:rsidR="009C4ABF">
        <w:rPr>
          <w:snapToGrid w:val="0"/>
          <w:szCs w:val="24"/>
          <w:lang w:val="pt-BR" w:eastAsia="en-US"/>
        </w:rPr>
        <w:t xml:space="preserve">February 2012), in all of </w:t>
      </w:r>
      <w:r w:rsidR="009C4ABF">
        <w:t>which the Court found breaches of Article 2 of Protocol No. 4.</w:t>
      </w:r>
    </w:p>
    <w:p w:rsidR="00BC3F3E" w:rsidP="00BC3F3E" w:rsidRDefault="00BC3F3E">
      <w:pPr>
        <w:pStyle w:val="JuPara"/>
      </w:pPr>
      <w:r>
        <w:fldChar w:fldCharType="begin"/>
      </w:r>
      <w:r>
        <w:instrText xml:space="preserve"> SEQ level0 \*arabic </w:instrText>
      </w:r>
      <w:r>
        <w:fldChar w:fldCharType="separate"/>
      </w:r>
      <w:r w:rsidR="00947469">
        <w:rPr>
          <w:noProof/>
        </w:rPr>
        <w:t>17</w:t>
      </w:r>
      <w:r>
        <w:fldChar w:fldCharType="end"/>
      </w:r>
      <w:r>
        <w:t xml:space="preserve">.  In the instant case, as in </w:t>
      </w:r>
      <w:r w:rsidRPr="00662209" w:rsidR="00662209">
        <w:t>the ones mentioned above</w:t>
      </w:r>
      <w:r w:rsidRPr="00662209">
        <w:t>,</w:t>
      </w:r>
      <w:r>
        <w:t xml:space="preserve"> in deciding to impose </w:t>
      </w:r>
      <w:r w:rsidR="000F3E05">
        <w:t>a</w:t>
      </w:r>
      <w:r>
        <w:t xml:space="preserve"> travel ban</w:t>
      </w:r>
      <w:r w:rsidR="00793809">
        <w:t>,</w:t>
      </w:r>
      <w:r>
        <w:t xml:space="preserve"> the authorities referred onl</w:t>
      </w:r>
      <w:r w:rsidR="00793809">
        <w:t>y to the applicant</w:t>
      </w:r>
      <w:r w:rsidR="00947469">
        <w:t>’</w:t>
      </w:r>
      <w:r w:rsidR="00793809">
        <w:t xml:space="preserve">s conviction and </w:t>
      </w:r>
      <w:r w:rsidR="00644CA7">
        <w:t xml:space="preserve">his </w:t>
      </w:r>
      <w:r w:rsidR="00793809">
        <w:t>lack of rehabilitation. At the same time they</w:t>
      </w:r>
      <w:r>
        <w:t xml:space="preserve"> </w:t>
      </w:r>
      <w:r w:rsidR="00793809">
        <w:t>failed</w:t>
      </w:r>
      <w:r>
        <w:t xml:space="preserve"> to take into consideration his individual situation or to assess the proportionality of the measure (see </w:t>
      </w:r>
      <w:r>
        <w:rPr>
          <w:i/>
        </w:rPr>
        <w:t>Nalbantski</w:t>
      </w:r>
      <w:r w:rsidR="000F3E05">
        <w:t>, cited above, § 66</w:t>
      </w:r>
      <w:r>
        <w:t>).</w:t>
      </w:r>
      <w:r w:rsidR="00192BCD">
        <w:t xml:space="preserve"> T</w:t>
      </w:r>
      <w:r>
        <w:t>hat situation could not be rectified through judicial review proceedings</w:t>
      </w:r>
      <w:r w:rsidR="00793809">
        <w:t xml:space="preserve">. The reason for that was </w:t>
      </w:r>
      <w:r>
        <w:t>the courts</w:t>
      </w:r>
      <w:r w:rsidR="00947469">
        <w:t>’</w:t>
      </w:r>
      <w:r>
        <w:t xml:space="preserve"> </w:t>
      </w:r>
      <w:r w:rsidR="00793809">
        <w:t>finding</w:t>
      </w:r>
      <w:r>
        <w:t xml:space="preserve"> that they could not review the manner in which the </w:t>
      </w:r>
      <w:r w:rsidR="00793809">
        <w:t>police authorities</w:t>
      </w:r>
      <w:r>
        <w:t xml:space="preserve"> had exercised their discretion </w:t>
      </w:r>
      <w:r w:rsidR="000F3E05">
        <w:t>in</w:t>
      </w:r>
      <w:r>
        <w:t xml:space="preserve"> assess</w:t>
      </w:r>
      <w:r w:rsidR="000F3E05">
        <w:t>ing</w:t>
      </w:r>
      <w:r>
        <w:t xml:space="preserve"> the necessity of im</w:t>
      </w:r>
      <w:r w:rsidR="00793809">
        <w:t>posing the ban (see paragraph 9</w:t>
      </w:r>
      <w:r>
        <w:t xml:space="preserve"> above). Such a rigid and automatic approach cannot be reconciled with the obligation imposed by Article 2 of Protocol No. 4 to ensure that any interference with an individual</w:t>
      </w:r>
      <w:r w:rsidR="00947469">
        <w:t>’</w:t>
      </w:r>
      <w:r>
        <w:t xml:space="preserve">s right to leave his or her country is, from the outset and throughout its duration, justified and proportionate in the light of the circumstances (see </w:t>
      </w:r>
      <w:r w:rsidR="00433563">
        <w:rPr>
          <w:i/>
        </w:rPr>
        <w:t xml:space="preserve">Nalbantski, </w:t>
      </w:r>
      <w:r w:rsidRPr="00B339A9" w:rsidR="00433563">
        <w:rPr>
          <w:i/>
          <w:szCs w:val="22"/>
          <w:lang w:eastAsia="en-US"/>
        </w:rPr>
        <w:t>Sarkizov and Others</w:t>
      </w:r>
      <w:r w:rsidR="00433563">
        <w:rPr>
          <w:i/>
          <w:szCs w:val="22"/>
          <w:lang w:eastAsia="en-US"/>
        </w:rPr>
        <w:t xml:space="preserve"> </w:t>
      </w:r>
      <w:r w:rsidRPr="00433563" w:rsidR="00433563">
        <w:rPr>
          <w:szCs w:val="22"/>
          <w:lang w:eastAsia="en-US"/>
        </w:rPr>
        <w:t>and</w:t>
      </w:r>
      <w:r w:rsidR="00433563">
        <w:t xml:space="preserve"> </w:t>
      </w:r>
      <w:r w:rsidR="00433563">
        <w:rPr>
          <w:i/>
          <w:snapToGrid w:val="0"/>
          <w:szCs w:val="24"/>
          <w:lang w:val="pt-BR" w:eastAsia="en-US"/>
        </w:rPr>
        <w:t xml:space="preserve">Dimitar Ivanov, </w:t>
      </w:r>
      <w:r w:rsidR="00433563">
        <w:rPr>
          <w:snapToGrid w:val="0"/>
          <w:szCs w:val="24"/>
          <w:lang w:val="pt-BR" w:eastAsia="en-US"/>
        </w:rPr>
        <w:t xml:space="preserve">all </w:t>
      </w:r>
      <w:r w:rsidRPr="00433563" w:rsidR="00433563">
        <w:rPr>
          <w:snapToGrid w:val="0"/>
          <w:szCs w:val="24"/>
          <w:lang w:val="pt-BR" w:eastAsia="en-US"/>
        </w:rPr>
        <w:t>cited above</w:t>
      </w:r>
      <w:r>
        <w:t>).</w:t>
      </w:r>
    </w:p>
    <w:p w:rsidRPr="001025CE" w:rsidR="00F71A6A" w:rsidP="002F4BCF" w:rsidRDefault="00B87715">
      <w:pPr>
        <w:pStyle w:val="JuPara"/>
      </w:pPr>
      <w:r w:rsidRPr="00A30F98">
        <w:t xml:space="preserve">There has accordingly been a violation of Article </w:t>
      </w:r>
      <w:r>
        <w:t>2 of Protocol No. 4</w:t>
      </w:r>
      <w:r w:rsidRPr="00A30F98">
        <w:t xml:space="preserve"> of the Convention.</w:t>
      </w:r>
    </w:p>
    <w:p w:rsidRPr="001025CE" w:rsidR="00F71A6A" w:rsidRDefault="00B87715">
      <w:pPr>
        <w:pStyle w:val="JuHIRoman"/>
      </w:pPr>
      <w:r>
        <w:t>II</w:t>
      </w:r>
      <w:r w:rsidRPr="001025CE" w:rsidR="00F71A6A">
        <w:t>.</w:t>
      </w:r>
      <w:r>
        <w:t> </w:t>
      </w:r>
      <w:r w:rsidR="0005726D">
        <w:t> </w:t>
      </w:r>
      <w:r w:rsidRPr="001025CE" w:rsidR="00337600">
        <w:t xml:space="preserve">ALLEGED VIOLATION OF ARTICLE </w:t>
      </w:r>
      <w:r>
        <w:t>13</w:t>
      </w:r>
      <w:r w:rsidRPr="001025CE" w:rsidR="00F71A6A">
        <w:t xml:space="preserve"> </w:t>
      </w:r>
      <w:r w:rsidR="00D10E96">
        <w:t>IN CONJUNCTION WITH ARTICLE 2 OF</w:t>
      </w:r>
      <w:r>
        <w:t xml:space="preserve"> PROTOCOL NO. 4 TO</w:t>
      </w:r>
      <w:r w:rsidRPr="001025CE" w:rsidR="00F71A6A">
        <w:t xml:space="preserve"> THE CONVENTION</w:t>
      </w:r>
    </w:p>
    <w:p w:rsidR="00F71A6A" w:rsidP="002F4BCF" w:rsidRDefault="001025CE">
      <w:pPr>
        <w:pStyle w:val="JuPara"/>
      </w:pPr>
      <w:r w:rsidRPr="001025CE">
        <w:fldChar w:fldCharType="begin"/>
      </w:r>
      <w:r w:rsidRPr="001025CE">
        <w:instrText xml:space="preserve"> SEQ level0 \*arabic </w:instrText>
      </w:r>
      <w:r w:rsidRPr="001025CE">
        <w:fldChar w:fldCharType="separate"/>
      </w:r>
      <w:r w:rsidR="00947469">
        <w:rPr>
          <w:noProof/>
        </w:rPr>
        <w:t>18</w:t>
      </w:r>
      <w:r w:rsidRPr="001025CE">
        <w:fldChar w:fldCharType="end"/>
      </w:r>
      <w:r w:rsidRPr="001025CE" w:rsidR="00F71A6A">
        <w:t xml:space="preserve">.  The </w:t>
      </w:r>
      <w:r w:rsidRPr="001025CE" w:rsidR="005F4753">
        <w:t>applicant</w:t>
      </w:r>
      <w:r w:rsidR="008C2F5C">
        <w:t xml:space="preserve"> complained that he </w:t>
      </w:r>
      <w:r w:rsidR="001D46C7">
        <w:t>had not had</w:t>
      </w:r>
      <w:r w:rsidR="008C2F5C">
        <w:t xml:space="preserve"> an effective domestic remedy in relation to his complaint </w:t>
      </w:r>
      <w:r w:rsidR="001D46C7">
        <w:t>under Article 2 of Protocol No. 4</w:t>
      </w:r>
      <w:r w:rsidRPr="001025CE" w:rsidR="00F71A6A">
        <w:t xml:space="preserve">. </w:t>
      </w:r>
      <w:r w:rsidRPr="001025CE">
        <w:t>He</w:t>
      </w:r>
      <w:r w:rsidRPr="001025CE" w:rsidR="00F71A6A">
        <w:t xml:space="preserve"> relied on Article </w:t>
      </w:r>
      <w:r w:rsidR="001D46C7">
        <w:t>13</w:t>
      </w:r>
      <w:r w:rsidRPr="001025CE" w:rsidR="00F71A6A">
        <w:t xml:space="preserve"> of the Convention.</w:t>
      </w:r>
    </w:p>
    <w:p w:rsidR="0005726D" w:rsidP="005542E7" w:rsidRDefault="005542E7">
      <w:pPr>
        <w:pStyle w:val="JuPara"/>
      </w:pPr>
      <w:r>
        <w:t>Article 13 of the Convention provides:</w:t>
      </w:r>
    </w:p>
    <w:p w:rsidRPr="001025CE" w:rsidR="005542E7" w:rsidP="005542E7" w:rsidRDefault="005542E7">
      <w:pPr>
        <w:pStyle w:val="JuQuot"/>
      </w:pPr>
      <w:r>
        <w:t>“Everyone whose rights and freedoms as set forth in [the] Convention are violated shall have an effective remedy before a national authority notwithstanding that the violation has been committed by persons acting in an official capacity.”</w:t>
      </w:r>
    </w:p>
    <w:p w:rsidRPr="001025CE" w:rsidR="00F71A6A" w:rsidP="002F4BCF" w:rsidRDefault="001025CE">
      <w:pPr>
        <w:pStyle w:val="JuPara"/>
      </w:pPr>
      <w:r w:rsidRPr="001025CE">
        <w:fldChar w:fldCharType="begin"/>
      </w:r>
      <w:r w:rsidRPr="001025CE">
        <w:instrText xml:space="preserve"> SEQ level0 \*arabic </w:instrText>
      </w:r>
      <w:r w:rsidRPr="001025CE">
        <w:fldChar w:fldCharType="separate"/>
      </w:r>
      <w:r w:rsidR="00947469">
        <w:rPr>
          <w:noProof/>
        </w:rPr>
        <w:t>19</w:t>
      </w:r>
      <w:r w:rsidRPr="001025CE">
        <w:fldChar w:fldCharType="end"/>
      </w:r>
      <w:r w:rsidRPr="001025CE" w:rsidR="00F71A6A">
        <w:t xml:space="preserve">.  The Government </w:t>
      </w:r>
      <w:r w:rsidR="001D46C7">
        <w:t xml:space="preserve">did not </w:t>
      </w:r>
      <w:r w:rsidR="005542E7">
        <w:t xml:space="preserve">submit any </w:t>
      </w:r>
      <w:r w:rsidR="001D46C7">
        <w:t>comment</w:t>
      </w:r>
      <w:r w:rsidR="005542E7">
        <w:t>s</w:t>
      </w:r>
      <w:r w:rsidRPr="001025CE" w:rsidR="00F71A6A">
        <w:t>.</w:t>
      </w:r>
    </w:p>
    <w:p w:rsidRPr="00A36875" w:rsidR="00F71A6A" w:rsidP="002F4BCF" w:rsidRDefault="008D5779">
      <w:pPr>
        <w:pStyle w:val="JuPara"/>
        <w:rPr>
          <w:lang w:eastAsia="en-US"/>
        </w:rPr>
      </w:pPr>
      <w:r>
        <w:fldChar w:fldCharType="begin"/>
      </w:r>
      <w:r>
        <w:instrText xml:space="preserve"> SEQ level0 \*arabic </w:instrText>
      </w:r>
      <w:r>
        <w:fldChar w:fldCharType="separate"/>
      </w:r>
      <w:r w:rsidR="00947469">
        <w:rPr>
          <w:noProof/>
        </w:rPr>
        <w:t>20</w:t>
      </w:r>
      <w:r>
        <w:fldChar w:fldCharType="end"/>
      </w:r>
      <w:r>
        <w:t>.  The Court notes that where there is an arguable claim that an act of the authorities may infringe the individual</w:t>
      </w:r>
      <w:r w:rsidR="00947469">
        <w:t>’</w:t>
      </w:r>
      <w:r>
        <w:t xml:space="preserve">s right to leave his or her country, guaranteed by Article 2 of Protocol No. 4 to the Convention, Article 13 of the Convention requires the national legal system </w:t>
      </w:r>
      <w:r w:rsidR="00FF0811">
        <w:t xml:space="preserve">to </w:t>
      </w:r>
      <w:r>
        <w:t xml:space="preserve">make available to the individual concerned the effective possibility of challenging the measure complained of and of having the relevant issues examined with sufficient procedural safeguards and thoroughness by an appropriate domestic forum offering adequate guarantees of independence and impartiality (see, </w:t>
      </w:r>
      <w:r w:rsidRPr="002F1B7F">
        <w:rPr>
          <w:i/>
        </w:rPr>
        <w:t>mutatis mutandis</w:t>
      </w:r>
      <w:r>
        <w:t xml:space="preserve">, </w:t>
      </w:r>
      <w:r w:rsidRPr="00A36875" w:rsidR="00A36875">
        <w:rPr>
          <w:i/>
          <w:lang w:eastAsia="en-US"/>
        </w:rPr>
        <w:t>Al-Nashif v. Bulgaria</w:t>
      </w:r>
      <w:r w:rsidR="005D5F49">
        <w:rPr>
          <w:lang w:eastAsia="en-US"/>
        </w:rPr>
        <w:t>,</w:t>
      </w:r>
      <w:r w:rsidR="00FF0811">
        <w:rPr>
          <w:lang w:eastAsia="en-US"/>
        </w:rPr>
        <w:t xml:space="preserve"> </w:t>
      </w:r>
      <w:r w:rsidR="005D5F49">
        <w:rPr>
          <w:lang w:eastAsia="en-US"/>
        </w:rPr>
        <w:t>no.</w:t>
      </w:r>
      <w:r w:rsidR="00FF0811">
        <w:rPr>
          <w:lang w:eastAsia="en-US"/>
        </w:rPr>
        <w:t> </w:t>
      </w:r>
      <w:r w:rsidR="005D5F49">
        <w:rPr>
          <w:lang w:eastAsia="en-US"/>
        </w:rPr>
        <w:t>50963/99,</w:t>
      </w:r>
      <w:r w:rsidR="00FF0811">
        <w:rPr>
          <w:lang w:eastAsia="en-US"/>
        </w:rPr>
        <w:t> </w:t>
      </w:r>
      <w:r w:rsidR="005D5F49">
        <w:rPr>
          <w:lang w:eastAsia="en-US"/>
        </w:rPr>
        <w:t>§</w:t>
      </w:r>
      <w:r w:rsidR="00FF0811">
        <w:rPr>
          <w:lang w:eastAsia="en-US"/>
        </w:rPr>
        <w:t> </w:t>
      </w:r>
      <w:r w:rsidR="005D5F49">
        <w:rPr>
          <w:lang w:eastAsia="en-US"/>
        </w:rPr>
        <w:t>133</w:t>
      </w:r>
      <w:r w:rsidRPr="00A36875" w:rsidR="00A36875">
        <w:rPr>
          <w:lang w:eastAsia="en-US"/>
        </w:rPr>
        <w:t>, 20 June 2002</w:t>
      </w:r>
      <w:r w:rsidRPr="00A82023">
        <w:t xml:space="preserve">; </w:t>
      </w:r>
      <w:r w:rsidRPr="00A82023">
        <w:rPr>
          <w:i/>
          <w:szCs w:val="24"/>
          <w:lang w:eastAsia="en-US"/>
        </w:rPr>
        <w:t xml:space="preserve">Riener v. </w:t>
      </w:r>
      <w:r w:rsidRPr="00A82023">
        <w:rPr>
          <w:i/>
          <w:spacing w:val="-2"/>
          <w:szCs w:val="24"/>
          <w:lang w:eastAsia="en-US"/>
        </w:rPr>
        <w:t>Bulgaria</w:t>
      </w:r>
      <w:r w:rsidRPr="00A82023">
        <w:rPr>
          <w:szCs w:val="24"/>
          <w:lang w:eastAsia="en-US"/>
        </w:rPr>
        <w:t>, no. 46343/99, § 138, 23 May 2006</w:t>
      </w:r>
      <w:r w:rsidRPr="00A82023">
        <w:t>).</w:t>
      </w:r>
    </w:p>
    <w:p w:rsidR="00130E45" w:rsidP="002F4BCF" w:rsidRDefault="001025CE">
      <w:pPr>
        <w:pStyle w:val="JuPara"/>
      </w:pPr>
      <w:r w:rsidRPr="001025CE">
        <w:fldChar w:fldCharType="begin"/>
      </w:r>
      <w:r w:rsidRPr="001025CE">
        <w:instrText xml:space="preserve"> SEQ level0 \*arabic </w:instrText>
      </w:r>
      <w:r w:rsidRPr="001025CE">
        <w:fldChar w:fldCharType="separate"/>
      </w:r>
      <w:r w:rsidR="00947469">
        <w:rPr>
          <w:noProof/>
        </w:rPr>
        <w:t>21</w:t>
      </w:r>
      <w:r w:rsidRPr="001025CE">
        <w:fldChar w:fldCharType="end"/>
      </w:r>
      <w:r w:rsidRPr="001025CE" w:rsidR="00F71A6A">
        <w:t>.  </w:t>
      </w:r>
      <w:r w:rsidR="00130E45">
        <w:t>There is no doubt that the applicant</w:t>
      </w:r>
      <w:r w:rsidR="00947469">
        <w:t>’</w:t>
      </w:r>
      <w:r w:rsidR="00130E45">
        <w:t xml:space="preserve">s complaint under Article 2 of Protocol No. 4 to the Convention in respect of the prohibition for him to leave </w:t>
      </w:r>
      <w:smartTag w:uri="urn:schemas-microsoft-com:office:smarttags" w:element="place">
        <w:smartTag w:uri="urn:schemas-microsoft-com:office:smarttags" w:element="country-region">
          <w:r w:rsidR="00130E45">
            <w:t>Bulgaria</w:t>
          </w:r>
        </w:smartTag>
      </w:smartTag>
      <w:r w:rsidR="00130E45">
        <w:t xml:space="preserve"> was arguable. He was entitled, therefore, to an effective complaints procedure in Bulgarian law.</w:t>
      </w:r>
    </w:p>
    <w:p w:rsidR="00130E45" w:rsidP="002F4BCF" w:rsidRDefault="00130E45">
      <w:pPr>
        <w:pStyle w:val="JuPara"/>
      </w:pPr>
      <w:r>
        <w:fldChar w:fldCharType="begin"/>
      </w:r>
      <w:r>
        <w:instrText xml:space="preserve"> SEQ level0 \*arabic </w:instrText>
      </w:r>
      <w:r>
        <w:fldChar w:fldCharType="separate"/>
      </w:r>
      <w:r w:rsidR="00947469">
        <w:rPr>
          <w:noProof/>
        </w:rPr>
        <w:t>22</w:t>
      </w:r>
      <w:r>
        <w:fldChar w:fldCharType="end"/>
      </w:r>
      <w:r>
        <w:t>.  Bulgarian law provided for a possibility to seek judicial review of an order imposing a prohibition to leave the country. The applicant</w:t>
      </w:r>
      <w:r w:rsidR="00947469">
        <w:t>’</w:t>
      </w:r>
      <w:r>
        <w:t>s appeals against the travel ban were examined by the courts, which gave reasoned decisions.</w:t>
      </w:r>
    </w:p>
    <w:p w:rsidR="00130E45" w:rsidP="002F4BCF" w:rsidRDefault="00130E45">
      <w:pPr>
        <w:pStyle w:val="JuPara"/>
      </w:pPr>
      <w:r>
        <w:fldChar w:fldCharType="begin"/>
      </w:r>
      <w:r>
        <w:instrText xml:space="preserve"> SEQ level0 \*arabic </w:instrText>
      </w:r>
      <w:r>
        <w:fldChar w:fldCharType="separate"/>
      </w:r>
      <w:r w:rsidR="00947469">
        <w:rPr>
          <w:noProof/>
        </w:rPr>
        <w:t>23</w:t>
      </w:r>
      <w:r>
        <w:fldChar w:fldCharType="end"/>
      </w:r>
      <w:r>
        <w:t>.  </w:t>
      </w:r>
      <w:r w:rsidR="00AE7EE6">
        <w:t>However, i</w:t>
      </w:r>
      <w:r>
        <w:t xml:space="preserve">n </w:t>
      </w:r>
      <w:r w:rsidR="00AC0FD1">
        <w:t>its analysis</w:t>
      </w:r>
      <w:r>
        <w:t xml:space="preserve"> the </w:t>
      </w:r>
      <w:r w:rsidR="00AE7EE6">
        <w:t>SAC was</w:t>
      </w:r>
      <w:r w:rsidR="0073699A">
        <w:t xml:space="preserve"> </w:t>
      </w:r>
      <w:r>
        <w:t>only concerned with the formal lawfulness of the ban</w:t>
      </w:r>
      <w:r w:rsidR="00F05189">
        <w:t xml:space="preserve">. Once satisfied that </w:t>
      </w:r>
      <w:r w:rsidR="00540208">
        <w:t>t</w:t>
      </w:r>
      <w:r w:rsidR="00F05189">
        <w:t>he</w:t>
      </w:r>
      <w:r w:rsidR="00540208">
        <w:t xml:space="preserve"> applicant</w:t>
      </w:r>
      <w:r w:rsidR="00F05189">
        <w:t xml:space="preserve"> had indeed been convicted and not rehabilitated</w:t>
      </w:r>
      <w:r>
        <w:t>, t</w:t>
      </w:r>
      <w:r w:rsidR="00F05189">
        <w:t>he SAC</w:t>
      </w:r>
      <w:r>
        <w:t xml:space="preserve"> automatically </w:t>
      </w:r>
      <w:r w:rsidR="00F05189">
        <w:t>confirmed</w:t>
      </w:r>
      <w:r>
        <w:t xml:space="preserve"> the travel ban</w:t>
      </w:r>
      <w:r w:rsidR="00F05189">
        <w:t>, quashing t</w:t>
      </w:r>
      <w:r w:rsidR="00540208">
        <w:t>he lower court</w:t>
      </w:r>
      <w:r w:rsidR="00947469">
        <w:t>’</w:t>
      </w:r>
      <w:r w:rsidR="00540208">
        <w:t>s finding that the ban</w:t>
      </w:r>
      <w:r w:rsidR="00F05189">
        <w:t xml:space="preserve"> had not been sufficiently reasoned</w:t>
      </w:r>
      <w:r>
        <w:t>.</w:t>
      </w:r>
      <w:r w:rsidR="00362140">
        <w:t xml:space="preserve"> </w:t>
      </w:r>
      <w:r w:rsidR="00F05189">
        <w:t>Questions such as the applicant</w:t>
      </w:r>
      <w:r w:rsidR="00947469">
        <w:t>’</w:t>
      </w:r>
      <w:r w:rsidR="00F05189">
        <w:t xml:space="preserve">s numerous trips </w:t>
      </w:r>
      <w:r w:rsidR="00165641">
        <w:t>from and to</w:t>
      </w:r>
      <w:r w:rsidR="00F05189">
        <w:t xml:space="preserve"> Bulgaria following his release, his Greek citizenship, his permanent </w:t>
      </w:r>
      <w:r w:rsidR="00540208">
        <w:t xml:space="preserve">residence permit and address in Germany </w:t>
      </w:r>
      <w:r w:rsidR="00FF0811">
        <w:t>were not considered</w:t>
      </w:r>
      <w:r w:rsidR="00540208">
        <w:t>.</w:t>
      </w:r>
      <w:r w:rsidR="00AA3704">
        <w:t xml:space="preserve"> </w:t>
      </w:r>
      <w:r>
        <w:t>The applicant</w:t>
      </w:r>
      <w:r w:rsidR="00947469">
        <w:t>’</w:t>
      </w:r>
      <w:r>
        <w:t xml:space="preserve">s right to respect for </w:t>
      </w:r>
      <w:r w:rsidR="00540208">
        <w:t>his</w:t>
      </w:r>
      <w:r>
        <w:t xml:space="preserve"> private and fa</w:t>
      </w:r>
      <w:r w:rsidR="00540208">
        <w:t xml:space="preserve">mily life was also </w:t>
      </w:r>
      <w:r w:rsidR="00FF0811">
        <w:t xml:space="preserve">held to be </w:t>
      </w:r>
      <w:r>
        <w:t>irrelevant</w:t>
      </w:r>
      <w:r w:rsidR="00FF0811">
        <w:t>,</w:t>
      </w:r>
      <w:r>
        <w:t xml:space="preserve"> and no attempt was made to assess whether the restrictions </w:t>
      </w:r>
      <w:r w:rsidR="00540208">
        <w:t>on the applicant</w:t>
      </w:r>
      <w:r w:rsidR="00947469">
        <w:t>’</w:t>
      </w:r>
      <w:r w:rsidR="00540208">
        <w:t>s leaving the country</w:t>
      </w:r>
      <w:r>
        <w:t xml:space="preserve"> were a proportionate measure, </w:t>
      </w:r>
      <w:r w:rsidRPr="00A05276" w:rsidR="00845A5C">
        <w:t>namely</w:t>
      </w:r>
      <w:r w:rsidR="00FF0811">
        <w:t xml:space="preserve"> whether they struck </w:t>
      </w:r>
      <w:r>
        <w:t>a fair balance between the public interest and the ap</w:t>
      </w:r>
      <w:r w:rsidR="00540208">
        <w:t>plicant</w:t>
      </w:r>
      <w:r w:rsidR="00947469">
        <w:t>’</w:t>
      </w:r>
      <w:r w:rsidR="00540208">
        <w:t>s rights (see paragraph</w:t>
      </w:r>
      <w:r>
        <w:t xml:space="preserve"> </w:t>
      </w:r>
      <w:r w:rsidR="00540208">
        <w:t xml:space="preserve">9 </w:t>
      </w:r>
      <w:r>
        <w:t>above).</w:t>
      </w:r>
    </w:p>
    <w:p w:rsidRPr="00540208" w:rsidR="00540208" w:rsidP="00540208" w:rsidRDefault="00375F21">
      <w:pPr>
        <w:pStyle w:val="JuPara"/>
      </w:pPr>
      <w:r>
        <w:fldChar w:fldCharType="begin"/>
      </w:r>
      <w:r>
        <w:instrText xml:space="preserve"> SEQ level0 \*arabic </w:instrText>
      </w:r>
      <w:r>
        <w:fldChar w:fldCharType="separate"/>
      </w:r>
      <w:r w:rsidR="00947469">
        <w:rPr>
          <w:noProof/>
        </w:rPr>
        <w:t>24</w:t>
      </w:r>
      <w:r>
        <w:fldChar w:fldCharType="end"/>
      </w:r>
      <w:r>
        <w:t>.  The Court has already held that</w:t>
      </w:r>
      <w:r w:rsidRPr="00540208" w:rsidR="00540208">
        <w:t xml:space="preserve"> a domestic appeals procedure cannot be considered effective within the meaning of Article 13 of the Convention, unless it affords a possibility to deal with the substance of an “arguable complaint” under the Convention and to grant appropriate relief. Giving direct expression to the States</w:t>
      </w:r>
      <w:r w:rsidR="00947469">
        <w:t>’</w:t>
      </w:r>
      <w:r w:rsidRPr="00540208" w:rsidR="00540208">
        <w:t xml:space="preserve"> obligation to protect human rights first and foremost within their own legal system, Article 13 establishes an additional guarantee for an individual in order to ensure that he or she effectively enjoys those rights (see </w:t>
      </w:r>
      <w:r w:rsidRPr="00375F21" w:rsidR="00540208">
        <w:rPr>
          <w:i/>
        </w:rPr>
        <w:t>Kudła v. Poland [GC]</w:t>
      </w:r>
      <w:r w:rsidRPr="00540208" w:rsidR="00540208">
        <w:t xml:space="preserve">, no. </w:t>
      </w:r>
      <w:hyperlink w:tgtFrame="_blank" w:history="1" w:anchor="{&quot;appno&quot;:[&quot;30210/96&quot;]}" r:id="rId11">
        <w:r w:rsidRPr="00540208" w:rsidR="00540208">
          <w:t>30210/96</w:t>
        </w:r>
      </w:hyperlink>
      <w:r w:rsidRPr="00540208" w:rsidR="00540208">
        <w:t>, ECHR</w:t>
      </w:r>
      <w:r w:rsidR="00FF0811">
        <w:t> </w:t>
      </w:r>
      <w:r w:rsidRPr="00540208" w:rsidR="00540208">
        <w:t>2000</w:t>
      </w:r>
      <w:r w:rsidRPr="00540208" w:rsidR="00540208">
        <w:noBreakHyphen/>
        <w:t>XI, § 152</w:t>
      </w:r>
      <w:r>
        <w:t xml:space="preserve">; </w:t>
      </w:r>
      <w:r w:rsidRPr="00375F21" w:rsidR="00540208">
        <w:rPr>
          <w:i/>
        </w:rPr>
        <w:t>T.P. and K.M. v. the United Kingdom [GC],</w:t>
      </w:r>
      <w:r w:rsidRPr="00540208" w:rsidR="00540208">
        <w:t xml:space="preserve"> no.</w:t>
      </w:r>
      <w:r w:rsidR="00FF0811">
        <w:t> </w:t>
      </w:r>
      <w:hyperlink w:tgtFrame="_blank" w:history="1" w:anchor="{&quot;appno&quot;:[&quot;28945/95&quot;]}" r:id="rId12">
        <w:r w:rsidRPr="00540208" w:rsidR="00540208">
          <w:t>28945/95</w:t>
        </w:r>
      </w:hyperlink>
      <w:r w:rsidRPr="00540208" w:rsidR="00540208">
        <w:t>, ECHR 2001-V, § 107</w:t>
      </w:r>
      <w:r>
        <w:t xml:space="preserve">; </w:t>
      </w:r>
      <w:r w:rsidRPr="00A82023">
        <w:rPr>
          <w:i/>
          <w:szCs w:val="24"/>
          <w:lang w:eastAsia="en-US"/>
        </w:rPr>
        <w:t>Riener</w:t>
      </w:r>
      <w:r>
        <w:rPr>
          <w:i/>
          <w:szCs w:val="24"/>
          <w:lang w:eastAsia="en-US"/>
        </w:rPr>
        <w:t xml:space="preserve"> </w:t>
      </w:r>
      <w:r w:rsidRPr="00375F21">
        <w:rPr>
          <w:szCs w:val="24"/>
          <w:lang w:eastAsia="en-US"/>
        </w:rPr>
        <w:t>cited above</w:t>
      </w:r>
      <w:r w:rsidRPr="00540208" w:rsidR="00540208">
        <w:t>).</w:t>
      </w:r>
    </w:p>
    <w:p w:rsidR="0005726D" w:rsidP="00540208" w:rsidRDefault="00375F21">
      <w:pPr>
        <w:pStyle w:val="JuPara"/>
      </w:pPr>
      <w:r>
        <w:fldChar w:fldCharType="begin"/>
      </w:r>
      <w:r>
        <w:instrText xml:space="preserve"> SEQ level0 \*arabic </w:instrText>
      </w:r>
      <w:r>
        <w:fldChar w:fldCharType="separate"/>
      </w:r>
      <w:r w:rsidR="00947469">
        <w:rPr>
          <w:noProof/>
        </w:rPr>
        <w:t>25</w:t>
      </w:r>
      <w:r>
        <w:fldChar w:fldCharType="end"/>
      </w:r>
      <w:r>
        <w:t>.  </w:t>
      </w:r>
      <w:r w:rsidRPr="00540208" w:rsidR="00540208">
        <w:t>The limi</w:t>
      </w:r>
      <w:r w:rsidR="00725CBA">
        <w:t xml:space="preserve">ted scope of review </w:t>
      </w:r>
      <w:r w:rsidRPr="00540208" w:rsidR="00725CBA">
        <w:t>in the applicant</w:t>
      </w:r>
      <w:r w:rsidR="00947469">
        <w:t>’</w:t>
      </w:r>
      <w:r w:rsidRPr="00540208" w:rsidR="00725CBA">
        <w:t>s case</w:t>
      </w:r>
      <w:r w:rsidR="00725CBA">
        <w:t>, result</w:t>
      </w:r>
      <w:r w:rsidR="00BF5479">
        <w:t>ing</w:t>
      </w:r>
      <w:r w:rsidR="00725CBA">
        <w:t xml:space="preserve"> </w:t>
      </w:r>
      <w:r w:rsidR="00BF5479">
        <w:t>from</w:t>
      </w:r>
      <w:r w:rsidR="00725CBA">
        <w:t xml:space="preserve"> the</w:t>
      </w:r>
      <w:r w:rsidR="00165641">
        <w:t xml:space="preserve"> </w:t>
      </w:r>
      <w:r w:rsidR="00BF5479">
        <w:t>SAC</w:t>
      </w:r>
      <w:r w:rsidR="00947469">
        <w:t>’</w:t>
      </w:r>
      <w:r w:rsidR="00BF5479">
        <w:t xml:space="preserve">s </w:t>
      </w:r>
      <w:r w:rsidR="00165641">
        <w:t xml:space="preserve">application </w:t>
      </w:r>
      <w:r w:rsidR="00725CBA">
        <w:t xml:space="preserve">of </w:t>
      </w:r>
      <w:r w:rsidRPr="00540208" w:rsidR="00725CBA">
        <w:t>Bulgarian law</w:t>
      </w:r>
      <w:r w:rsidR="00BF5479">
        <w:t xml:space="preserve"> at the time of the events</w:t>
      </w:r>
      <w:r w:rsidR="00725CBA">
        <w:t>,</w:t>
      </w:r>
      <w:r w:rsidRPr="00540208" w:rsidR="00540208">
        <w:t xml:space="preserve"> did not satisfy the requirements of Article 13 of the Convention in conjunction with </w:t>
      </w:r>
      <w:r>
        <w:t>Article 2 of Protocol No. 4. Th</w:t>
      </w:r>
      <w:r w:rsidRPr="00540208" w:rsidR="00540208">
        <w:t>e</w:t>
      </w:r>
      <w:r>
        <w:t xml:space="preserve"> applicant</w:t>
      </w:r>
      <w:r w:rsidRPr="00540208" w:rsidR="00540208">
        <w:t xml:space="preserve"> did not have any other effective remedy in Bulgarian law.</w:t>
      </w:r>
    </w:p>
    <w:p w:rsidR="0005726D" w:rsidP="00540208" w:rsidRDefault="00540208">
      <w:pPr>
        <w:pStyle w:val="JuPara"/>
      </w:pPr>
      <w:r w:rsidRPr="00540208">
        <w:t>It follows that there has been a violation of Article 13 of the Convention</w:t>
      </w:r>
      <w:r w:rsidR="002F1B7F">
        <w:t>, in conjunction with Article 2 of Protocol No. 4</w:t>
      </w:r>
      <w:r w:rsidRPr="00540208">
        <w:t>.</w:t>
      </w:r>
    </w:p>
    <w:p w:rsidRPr="001025CE" w:rsidR="00F71A6A" w:rsidP="00540208" w:rsidRDefault="0099574D">
      <w:pPr>
        <w:pStyle w:val="JuHIRoman"/>
      </w:pPr>
      <w:r>
        <w:t>III.</w:t>
      </w:r>
      <w:r w:rsidRPr="001025CE" w:rsidR="00F71A6A">
        <w:t> </w:t>
      </w:r>
      <w:r w:rsidR="0005726D">
        <w:t> </w:t>
      </w:r>
      <w:r w:rsidRPr="001025CE" w:rsidR="00F71A6A">
        <w:t xml:space="preserve">ALLEGED VIOLATION OF ARTICLE </w:t>
      </w:r>
      <w:r>
        <w:t>6 § 1</w:t>
      </w:r>
      <w:r w:rsidRPr="001025CE" w:rsidR="00F71A6A">
        <w:t xml:space="preserve"> OF THE CONVENTION</w:t>
      </w:r>
    </w:p>
    <w:p w:rsidRPr="001025CE" w:rsidR="00F71A6A" w:rsidP="002F4BCF" w:rsidRDefault="001025CE">
      <w:pPr>
        <w:pStyle w:val="JuPara"/>
      </w:pPr>
      <w:r w:rsidRPr="001025CE">
        <w:fldChar w:fldCharType="begin"/>
      </w:r>
      <w:r w:rsidRPr="001025CE">
        <w:instrText xml:space="preserve"> SEQ level0 \*arabic </w:instrText>
      </w:r>
      <w:r w:rsidRPr="001025CE">
        <w:fldChar w:fldCharType="separate"/>
      </w:r>
      <w:r w:rsidR="00947469">
        <w:rPr>
          <w:noProof/>
        </w:rPr>
        <w:t>26</w:t>
      </w:r>
      <w:r w:rsidRPr="001025CE">
        <w:fldChar w:fldCharType="end"/>
      </w:r>
      <w:r w:rsidRPr="001025CE" w:rsidR="00F71A6A">
        <w:t xml:space="preserve">.  The </w:t>
      </w:r>
      <w:r w:rsidRPr="001025CE" w:rsidR="0005522C">
        <w:t>applicant</w:t>
      </w:r>
      <w:r w:rsidRPr="001025CE" w:rsidR="00F71A6A">
        <w:t xml:space="preserve"> further complained that </w:t>
      </w:r>
      <w:r w:rsidR="0099574D">
        <w:t xml:space="preserve">he was denied access to a court in that the </w:t>
      </w:r>
      <w:r w:rsidR="00D52F6D">
        <w:t>SAC</w:t>
      </w:r>
      <w:r w:rsidR="0099574D">
        <w:t xml:space="preserve"> refused to examine the proportionality of the imposed </w:t>
      </w:r>
      <w:r w:rsidR="00D52F6D">
        <w:t>restriction on his travel</w:t>
      </w:r>
      <w:r w:rsidR="0099574D">
        <w:t xml:space="preserve">. </w:t>
      </w:r>
      <w:r w:rsidRPr="001025CE">
        <w:t>He</w:t>
      </w:r>
      <w:r w:rsidRPr="001025CE" w:rsidR="00F71A6A">
        <w:t xml:space="preserve"> relied on Article </w:t>
      </w:r>
      <w:r w:rsidR="0099574D">
        <w:t>6 § 1</w:t>
      </w:r>
      <w:r w:rsidRPr="001025CE" w:rsidR="00F71A6A">
        <w:t xml:space="preserve"> of the Convention.</w:t>
      </w:r>
    </w:p>
    <w:p w:rsidR="0005726D" w:rsidP="002F4BCF" w:rsidRDefault="001025CE">
      <w:pPr>
        <w:pStyle w:val="JuPara"/>
      </w:pPr>
      <w:r w:rsidRPr="001025CE">
        <w:fldChar w:fldCharType="begin"/>
      </w:r>
      <w:r w:rsidRPr="001025CE">
        <w:instrText xml:space="preserve"> SEQ level0 \*arabic </w:instrText>
      </w:r>
      <w:r w:rsidRPr="001025CE">
        <w:fldChar w:fldCharType="separate"/>
      </w:r>
      <w:r w:rsidR="00947469">
        <w:rPr>
          <w:noProof/>
        </w:rPr>
        <w:t>27</w:t>
      </w:r>
      <w:r w:rsidRPr="001025CE">
        <w:fldChar w:fldCharType="end"/>
      </w:r>
      <w:r w:rsidRPr="001025CE" w:rsidR="00F71A6A">
        <w:t>.  </w:t>
      </w:r>
      <w:r w:rsidRPr="00327698" w:rsidR="00327698">
        <w:t>The Court notes that this complaint is linked to the one</w:t>
      </w:r>
      <w:r w:rsidR="00327698">
        <w:t>s</w:t>
      </w:r>
      <w:r w:rsidRPr="00327698" w:rsidR="00327698">
        <w:t xml:space="preserve"> examined above and must</w:t>
      </w:r>
      <w:r w:rsidR="00327698">
        <w:t>,</w:t>
      </w:r>
      <w:r w:rsidRPr="00327698" w:rsidR="00327698">
        <w:t xml:space="preserve"> therefore</w:t>
      </w:r>
      <w:r w:rsidR="00327698">
        <w:t>,</w:t>
      </w:r>
      <w:r w:rsidRPr="00327698" w:rsidR="00327698">
        <w:t xml:space="preserve"> be declared admissible.</w:t>
      </w:r>
    </w:p>
    <w:p w:rsidR="0005726D" w:rsidP="002F4BCF" w:rsidRDefault="001025CE">
      <w:pPr>
        <w:pStyle w:val="JuPara"/>
      </w:pPr>
      <w:r w:rsidRPr="001025CE">
        <w:fldChar w:fldCharType="begin"/>
      </w:r>
      <w:r w:rsidRPr="001025CE">
        <w:instrText xml:space="preserve"> SEQ level0 \*arabic </w:instrText>
      </w:r>
      <w:r w:rsidRPr="001025CE">
        <w:fldChar w:fldCharType="separate"/>
      </w:r>
      <w:r w:rsidR="00947469">
        <w:rPr>
          <w:noProof/>
        </w:rPr>
        <w:t>28</w:t>
      </w:r>
      <w:r w:rsidRPr="001025CE">
        <w:fldChar w:fldCharType="end"/>
      </w:r>
      <w:r w:rsidRPr="001025CE" w:rsidR="00F71A6A">
        <w:t>.  </w:t>
      </w:r>
      <w:r w:rsidRPr="00327698" w:rsidR="00841D7A">
        <w:t xml:space="preserve">Having regard to </w:t>
      </w:r>
      <w:r w:rsidR="00841D7A">
        <w:t>its</w:t>
      </w:r>
      <w:r w:rsidRPr="00327698" w:rsidR="00841D7A">
        <w:t xml:space="preserve"> finding</w:t>
      </w:r>
      <w:r w:rsidR="00841D7A">
        <w:t>s related</w:t>
      </w:r>
      <w:r w:rsidRPr="00327698" w:rsidR="00841D7A">
        <w:t xml:space="preserve"> to Article </w:t>
      </w:r>
      <w:r w:rsidR="00841D7A">
        <w:t>2 of Protocol No. 4</w:t>
      </w:r>
      <w:r w:rsidRPr="00327698" w:rsidR="00841D7A">
        <w:t xml:space="preserve"> </w:t>
      </w:r>
      <w:r w:rsidR="00841D7A">
        <w:t xml:space="preserve">and to Article 13 of the Convention </w:t>
      </w:r>
      <w:r w:rsidRPr="00327698" w:rsidR="00841D7A">
        <w:t>(see paragraph</w:t>
      </w:r>
      <w:r w:rsidR="00841D7A">
        <w:t>s 17 and 25</w:t>
      </w:r>
      <w:r w:rsidRPr="00327698" w:rsidR="00841D7A">
        <w:t xml:space="preserve"> above), the Court considers that</w:t>
      </w:r>
      <w:r w:rsidR="00A05840">
        <w:t>, in the circumstances of the present case, no separate issue arises under Article 6 § 1.</w:t>
      </w:r>
    </w:p>
    <w:p w:rsidRPr="001025CE" w:rsidR="00F71A6A" w:rsidRDefault="00C941C3">
      <w:pPr>
        <w:pStyle w:val="JuHIRoman"/>
      </w:pPr>
      <w:r>
        <w:t>IV. </w:t>
      </w:r>
      <w:r w:rsidR="0005726D">
        <w:t> </w:t>
      </w:r>
      <w:r w:rsidRPr="001025CE" w:rsidR="00F71A6A">
        <w:t>APPLICATION OF ARTICLE 41 OF THE CONVENTION</w:t>
      </w:r>
    </w:p>
    <w:p w:rsidRPr="001025CE" w:rsidR="00F71A6A" w:rsidP="002F4BCF" w:rsidRDefault="00C941C3">
      <w:pPr>
        <w:pStyle w:val="JuPara"/>
        <w:keepNext/>
        <w:keepLines/>
      </w:pPr>
      <w:r>
        <w:fldChar w:fldCharType="begin"/>
      </w:r>
      <w:r>
        <w:instrText xml:space="preserve"> SEQ level0 \*arabic </w:instrText>
      </w:r>
      <w:r>
        <w:fldChar w:fldCharType="separate"/>
      </w:r>
      <w:r w:rsidR="00947469">
        <w:rPr>
          <w:noProof/>
        </w:rPr>
        <w:t>29</w:t>
      </w:r>
      <w:r>
        <w:fldChar w:fldCharType="end"/>
      </w:r>
      <w:r>
        <w:t>.  </w:t>
      </w:r>
      <w:r w:rsidRPr="001025CE" w:rsidR="00F71A6A">
        <w:t>Article 41 of the Convention provides:</w:t>
      </w:r>
    </w:p>
    <w:p w:rsidRPr="001025CE" w:rsidR="00F71A6A" w:rsidRDefault="00F71A6A">
      <w:pPr>
        <w:pStyle w:val="JuQuot"/>
        <w:keepNext/>
        <w:keepLines/>
      </w:pPr>
      <w:r w:rsidRPr="001025CE">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1025CE" w:rsidR="00F71A6A" w:rsidP="008824B9" w:rsidRDefault="00F71A6A">
      <w:pPr>
        <w:pStyle w:val="JuHA"/>
        <w:keepLines w:val="0"/>
        <w:outlineLvl w:val="0"/>
      </w:pPr>
      <w:r w:rsidRPr="001025CE">
        <w:t>A.  Damage</w:t>
      </w:r>
    </w:p>
    <w:p w:rsidRPr="001025CE" w:rsidR="00F71A6A" w:rsidP="002F4BCF" w:rsidRDefault="004D3400">
      <w:pPr>
        <w:pStyle w:val="JuPara"/>
      </w:pPr>
      <w:r>
        <w:fldChar w:fldCharType="begin"/>
      </w:r>
      <w:r>
        <w:instrText xml:space="preserve"> SEQ level0 \*arabic </w:instrText>
      </w:r>
      <w:r>
        <w:fldChar w:fldCharType="separate"/>
      </w:r>
      <w:r w:rsidR="00947469">
        <w:rPr>
          <w:noProof/>
        </w:rPr>
        <w:t>30</w:t>
      </w:r>
      <w:r>
        <w:fldChar w:fldCharType="end"/>
      </w:r>
      <w:r>
        <w:t>.  </w:t>
      </w:r>
      <w:r w:rsidRPr="001025CE" w:rsidR="00F71A6A">
        <w:t xml:space="preserve">The </w:t>
      </w:r>
      <w:r w:rsidRPr="001025CE" w:rsidR="0005522C">
        <w:t>applicant</w:t>
      </w:r>
      <w:r w:rsidRPr="001025CE" w:rsidR="00F71A6A">
        <w:t xml:space="preserve"> claimed </w:t>
      </w:r>
      <w:r w:rsidR="00C941C3">
        <w:t>15,000</w:t>
      </w:r>
      <w:r w:rsidR="00362140">
        <w:t xml:space="preserve"> euros (EUR) in respect of non</w:t>
      </w:r>
      <w:r w:rsidR="00362140">
        <w:noBreakHyphen/>
      </w:r>
      <w:r w:rsidRPr="001025CE" w:rsidR="00F71A6A">
        <w:t>pecuniary damage</w:t>
      </w:r>
      <w:r w:rsidR="009009B8">
        <w:t xml:space="preserve"> stemming from a violatio</w:t>
      </w:r>
      <w:r w:rsidR="002F1B7F">
        <w:t>n of Article 2 of Protocol </w:t>
      </w:r>
      <w:r w:rsidR="009009B8">
        <w:t>No. 4 and also EUR 5,000 in respect of non-pecuniary damage as a result of a breach of Article 13</w:t>
      </w:r>
      <w:r w:rsidRPr="001025CE" w:rsidR="00F71A6A">
        <w:t>.</w:t>
      </w:r>
    </w:p>
    <w:p w:rsidR="0005726D" w:rsidP="002F4BCF" w:rsidRDefault="001025CE">
      <w:pPr>
        <w:pStyle w:val="JuPara"/>
      </w:pPr>
      <w:r w:rsidRPr="001025CE">
        <w:fldChar w:fldCharType="begin"/>
      </w:r>
      <w:r w:rsidRPr="001025CE">
        <w:instrText xml:space="preserve"> SEQ level0 \*arabic </w:instrText>
      </w:r>
      <w:r w:rsidRPr="001025CE">
        <w:fldChar w:fldCharType="separate"/>
      </w:r>
      <w:r w:rsidR="00947469">
        <w:rPr>
          <w:noProof/>
        </w:rPr>
        <w:t>31</w:t>
      </w:r>
      <w:r w:rsidRPr="001025CE">
        <w:fldChar w:fldCharType="end"/>
      </w:r>
      <w:r w:rsidRPr="001025CE" w:rsidR="00F71A6A">
        <w:t>.  </w:t>
      </w:r>
      <w:r w:rsidR="00C941C3">
        <w:t>The Government contested these claims as</w:t>
      </w:r>
      <w:r w:rsidR="009009B8">
        <w:t xml:space="preserve"> unfounded, not proven and</w:t>
      </w:r>
      <w:r w:rsidR="00C941C3">
        <w:t xml:space="preserve"> exorbitant.</w:t>
      </w:r>
    </w:p>
    <w:p w:rsidR="0005726D" w:rsidP="002F4BCF" w:rsidRDefault="001025CE">
      <w:pPr>
        <w:pStyle w:val="JuPara"/>
      </w:pPr>
      <w:r w:rsidRPr="001025CE">
        <w:fldChar w:fldCharType="begin"/>
      </w:r>
      <w:r w:rsidRPr="001025CE">
        <w:instrText xml:space="preserve"> SEQ level0 \*arabic </w:instrText>
      </w:r>
      <w:r w:rsidRPr="001025CE">
        <w:fldChar w:fldCharType="separate"/>
      </w:r>
      <w:r w:rsidR="00947469">
        <w:rPr>
          <w:noProof/>
        </w:rPr>
        <w:t>32</w:t>
      </w:r>
      <w:r w:rsidRPr="001025CE">
        <w:fldChar w:fldCharType="end"/>
      </w:r>
      <w:r w:rsidRPr="001025CE" w:rsidR="00F71A6A">
        <w:t xml:space="preserve">.  The Court </w:t>
      </w:r>
      <w:r w:rsidR="009009B8">
        <w:t>considers that the ap</w:t>
      </w:r>
      <w:r w:rsidR="00362140">
        <w:t>plicant must have sustained non</w:t>
      </w:r>
      <w:r w:rsidR="00362140">
        <w:noBreakHyphen/>
      </w:r>
      <w:r w:rsidR="009009B8">
        <w:t>pecuniary damage as a result of the breaches of the Convention in his case. Taking into account the particular circumstances and the awards made in similar cases, and ruling on an equitable</w:t>
      </w:r>
      <w:r w:rsidR="00A0397B">
        <w:t xml:space="preserve"> basis</w:t>
      </w:r>
      <w:r w:rsidR="00362140">
        <w:t xml:space="preserve"> as required under Article </w:t>
      </w:r>
      <w:r w:rsidR="009009B8">
        <w:t>41, the Court</w:t>
      </w:r>
      <w:r w:rsidR="00254E17">
        <w:t xml:space="preserve"> awards the applicant </w:t>
      </w:r>
      <w:r w:rsidR="00661ADE">
        <w:t>EUR 2</w:t>
      </w:r>
      <w:r w:rsidR="00247817">
        <w:t>,0</w:t>
      </w:r>
      <w:r w:rsidR="00254E17">
        <w:t>00</w:t>
      </w:r>
      <w:r w:rsidRPr="00254E17" w:rsidR="00254E17">
        <w:t xml:space="preserve"> </w:t>
      </w:r>
      <w:r w:rsidR="00362140">
        <w:t>in respect of non</w:t>
      </w:r>
      <w:r w:rsidR="00362140">
        <w:noBreakHyphen/>
      </w:r>
      <w:r w:rsidRPr="001025CE" w:rsidR="00254E17">
        <w:t>pecuniary damage</w:t>
      </w:r>
      <w:r w:rsidR="009009B8">
        <w:t xml:space="preserve"> plus</w:t>
      </w:r>
      <w:r w:rsidR="00254E17">
        <w:t xml:space="preserve"> any tax that may be chargeable</w:t>
      </w:r>
      <w:r w:rsidRPr="001025CE" w:rsidR="00F71A6A">
        <w:t>.</w:t>
      </w:r>
    </w:p>
    <w:p w:rsidRPr="001025CE" w:rsidR="00F71A6A" w:rsidP="008824B9" w:rsidRDefault="00F71A6A">
      <w:pPr>
        <w:pStyle w:val="JuHA"/>
        <w:outlineLvl w:val="0"/>
      </w:pPr>
      <w:r w:rsidRPr="001025CE">
        <w:t>B.  Costs and expenses</w:t>
      </w:r>
    </w:p>
    <w:p w:rsidR="0005726D" w:rsidP="00BF0EAB" w:rsidRDefault="001025CE">
      <w:pPr>
        <w:pStyle w:val="JuPara"/>
      </w:pPr>
      <w:r w:rsidRPr="001025CE">
        <w:fldChar w:fldCharType="begin"/>
      </w:r>
      <w:r w:rsidRPr="001025CE">
        <w:instrText xml:space="preserve"> SEQ level0 \*arabic </w:instrText>
      </w:r>
      <w:r w:rsidRPr="001025CE">
        <w:fldChar w:fldCharType="separate"/>
      </w:r>
      <w:r w:rsidR="00947469">
        <w:rPr>
          <w:noProof/>
        </w:rPr>
        <w:t>33</w:t>
      </w:r>
      <w:r w:rsidRPr="001025CE">
        <w:fldChar w:fldCharType="end"/>
      </w:r>
      <w:r w:rsidRPr="001025CE" w:rsidR="00F71A6A">
        <w:t xml:space="preserve">.  The </w:t>
      </w:r>
      <w:r w:rsidRPr="001025CE" w:rsidR="0005522C">
        <w:t>applicant</w:t>
      </w:r>
      <w:r w:rsidRPr="001025CE" w:rsidR="00F71A6A">
        <w:t xml:space="preserve"> also claimed EUR </w:t>
      </w:r>
      <w:r w:rsidR="007C0A03">
        <w:t>1,995</w:t>
      </w:r>
      <w:r w:rsidRPr="001025CE" w:rsidR="00F71A6A">
        <w:t xml:space="preserve"> </w:t>
      </w:r>
      <w:r w:rsidR="00660A93">
        <w:t xml:space="preserve">for the legal work carried out by his representatives in the proceedings before the Court and </w:t>
      </w:r>
      <w:r w:rsidRPr="001025CE" w:rsidR="00F71A6A">
        <w:t xml:space="preserve">EUR </w:t>
      </w:r>
      <w:r w:rsidR="007C0A03">
        <w:t>185.65</w:t>
      </w:r>
      <w:r w:rsidRPr="001025CE" w:rsidR="00F71A6A">
        <w:t xml:space="preserve"> for </w:t>
      </w:r>
      <w:r w:rsidR="007C0A03">
        <w:t xml:space="preserve">other expenses, such as </w:t>
      </w:r>
      <w:r w:rsidR="00660A93">
        <w:t xml:space="preserve">postal and clerical </w:t>
      </w:r>
      <w:r w:rsidR="00F35AD9">
        <w:t>costs</w:t>
      </w:r>
      <w:r w:rsidRPr="001025CE" w:rsidR="00F71A6A">
        <w:t>.</w:t>
      </w:r>
      <w:r w:rsidR="007C0A03">
        <w:t xml:space="preserve"> He requested that EUR</w:t>
      </w:r>
      <w:r w:rsidR="004F5222">
        <w:t> </w:t>
      </w:r>
      <w:r w:rsidR="007C0A03">
        <w:t>511.29 of the lawyers</w:t>
      </w:r>
      <w:r w:rsidR="00947469">
        <w:t>’</w:t>
      </w:r>
      <w:r w:rsidR="007C0A03">
        <w:t xml:space="preserve"> fees be made payable to him, and the remaining EUR 1</w:t>
      </w:r>
      <w:r w:rsidR="00FA14BD">
        <w:t>,</w:t>
      </w:r>
      <w:r w:rsidR="007C0A03">
        <w:t>483.71 to his legal representatives, Mr M. Ekimdzhiev</w:t>
      </w:r>
      <w:r w:rsidR="00F35AD9">
        <w:t xml:space="preserve"> and Ms</w:t>
      </w:r>
      <w:r w:rsidR="00FA14BD">
        <w:t> </w:t>
      </w:r>
      <w:r w:rsidR="00F35AD9">
        <w:t>K.</w:t>
      </w:r>
      <w:r w:rsidR="00FA14BD">
        <w:t> </w:t>
      </w:r>
      <w:r w:rsidR="00F35AD9">
        <w:t>Boncheva</w:t>
      </w:r>
      <w:r w:rsidR="007C0A03">
        <w:t xml:space="preserve">. He requested that </w:t>
      </w:r>
      <w:r w:rsidR="002A0524">
        <w:t xml:space="preserve">EUR 39 from </w:t>
      </w:r>
      <w:r w:rsidR="007C0A03">
        <w:t>the other expenses be paid directly to his lawyers</w:t>
      </w:r>
      <w:r w:rsidR="002A0524">
        <w:t xml:space="preserve"> </w:t>
      </w:r>
      <w:r w:rsidR="00BF0EAB">
        <w:t xml:space="preserve">indicated above </w:t>
      </w:r>
      <w:r w:rsidR="002A0524">
        <w:t>and EUR 146.65 be paid into the account of “Legal Offices of Ekimdzhiev, Boncheva and Chernicherska”</w:t>
      </w:r>
      <w:r w:rsidR="00BF0EAB">
        <w:t xml:space="preserve"> for the translation services provided</w:t>
      </w:r>
      <w:r w:rsidR="007C0A03">
        <w:t>. He submitted a fee agreement</w:t>
      </w:r>
      <w:r w:rsidR="00BF0EAB">
        <w:t xml:space="preserve"> with his lawyers, a time sheet and</w:t>
      </w:r>
      <w:r w:rsidR="007C0A03">
        <w:t xml:space="preserve"> a co</w:t>
      </w:r>
      <w:r w:rsidR="00BF0EAB">
        <w:t>ntract for translation services</w:t>
      </w:r>
      <w:r w:rsidR="007C0A03">
        <w:t>.</w:t>
      </w:r>
    </w:p>
    <w:p w:rsidRPr="00BF0EAB" w:rsidR="00F71A6A" w:rsidP="002F4BCF" w:rsidRDefault="001025CE">
      <w:pPr>
        <w:pStyle w:val="JuPara"/>
      </w:pPr>
      <w:r w:rsidRPr="001025CE">
        <w:fldChar w:fldCharType="begin"/>
      </w:r>
      <w:r w:rsidRPr="001025CE">
        <w:instrText xml:space="preserve"> SEQ level0 \*arabic </w:instrText>
      </w:r>
      <w:r w:rsidRPr="001025CE">
        <w:fldChar w:fldCharType="separate"/>
      </w:r>
      <w:r w:rsidR="00947469">
        <w:rPr>
          <w:noProof/>
        </w:rPr>
        <w:t>34</w:t>
      </w:r>
      <w:r w:rsidRPr="001025CE">
        <w:fldChar w:fldCharType="end"/>
      </w:r>
      <w:r w:rsidRPr="001025CE" w:rsidR="00F71A6A">
        <w:t xml:space="preserve">.  The Government </w:t>
      </w:r>
      <w:r w:rsidR="00BF0EAB">
        <w:t>disputed the hourly rate charged by the applicant</w:t>
      </w:r>
      <w:r w:rsidR="00947469">
        <w:t>’</w:t>
      </w:r>
      <w:r w:rsidR="00BF0EAB">
        <w:t xml:space="preserve">s lawyers. They also </w:t>
      </w:r>
      <w:r w:rsidR="00FA14BD">
        <w:t xml:space="preserve">stated </w:t>
      </w:r>
      <w:r w:rsidR="00BF0EAB">
        <w:t>that postal and translation expenses should be allowed only in so far as they were supported by documents.</w:t>
      </w:r>
    </w:p>
    <w:p w:rsidR="0005726D" w:rsidP="002F4BCF" w:rsidRDefault="001025CE">
      <w:pPr>
        <w:pStyle w:val="JuPara"/>
      </w:pPr>
      <w:r w:rsidRPr="001025CE">
        <w:fldChar w:fldCharType="begin"/>
      </w:r>
      <w:r w:rsidRPr="001025CE">
        <w:instrText xml:space="preserve"> SEQ level0 \*arabic </w:instrText>
      </w:r>
      <w:r w:rsidRPr="001025CE">
        <w:fldChar w:fldCharType="separate"/>
      </w:r>
      <w:r w:rsidR="00947469">
        <w:rPr>
          <w:noProof/>
        </w:rPr>
        <w:t>35</w:t>
      </w:r>
      <w:r w:rsidRPr="001025CE">
        <w:fldChar w:fldCharType="end"/>
      </w:r>
      <w:r w:rsidRPr="001025CE" w:rsidR="00F71A6A">
        <w:t>.  </w:t>
      </w:r>
      <w:r w:rsidR="00BF0EAB">
        <w:t>According to the Court</w:t>
      </w:r>
      <w:r w:rsidR="00947469">
        <w:t>’</w:t>
      </w:r>
      <w:r w:rsidR="00BF0EAB">
        <w:t>s case</w:t>
      </w:r>
      <w:r w:rsidR="00FA14BD">
        <w:t>-</w:t>
      </w:r>
      <w:r w:rsidR="00BF0EAB">
        <w:t>law, costs and expenses will not be awarded under Article 41</w:t>
      </w:r>
      <w:r w:rsidR="00F35AD9">
        <w:t>,</w:t>
      </w:r>
      <w:r w:rsidR="00BF0EAB">
        <w:t xml:space="preserve"> unless it is established that they were actually and necessarily incurred and reasonable as to quantum. In the present case, having regard to the documents in its possession and the above criteria, the Court considers</w:t>
      </w:r>
      <w:r w:rsidR="00B234D1">
        <w:t xml:space="preserve"> it appropriate to award EUR 1,0</w:t>
      </w:r>
      <w:r w:rsidR="00BF0EAB">
        <w:t>00 in respect of the legal fees incurred by the applican</w:t>
      </w:r>
      <w:r w:rsidR="00B234D1">
        <w:t>t, payable as follows: EUR 511.29 to the applicant and EUR 488.71</w:t>
      </w:r>
      <w:r w:rsidR="00BF0EAB">
        <w:t xml:space="preserve"> to the applicant</w:t>
      </w:r>
      <w:r w:rsidR="00947469">
        <w:t>’</w:t>
      </w:r>
      <w:r w:rsidR="00BF0EAB">
        <w:t>s legal representative</w:t>
      </w:r>
      <w:r w:rsidR="00B234D1">
        <w:t>s</w:t>
      </w:r>
      <w:r w:rsidR="008833B6">
        <w:t>,</w:t>
      </w:r>
      <w:r w:rsidR="00B234D1">
        <w:t xml:space="preserve"> Mr</w:t>
      </w:r>
      <w:r w:rsidR="00FA14BD">
        <w:t> </w:t>
      </w:r>
      <w:r w:rsidR="00B234D1">
        <w:t>M.</w:t>
      </w:r>
      <w:r w:rsidR="00FA14BD">
        <w:t> </w:t>
      </w:r>
      <w:r w:rsidR="00B234D1">
        <w:t>Ekimdzhiev</w:t>
      </w:r>
      <w:r w:rsidR="008833B6">
        <w:t xml:space="preserve"> and Ms K. Boncheva</w:t>
      </w:r>
      <w:r w:rsidR="00BF0EAB">
        <w:t xml:space="preserve">. As regards the other expenses, </w:t>
      </w:r>
      <w:r w:rsidR="00F35AD9">
        <w:t>h</w:t>
      </w:r>
      <w:r w:rsidR="00BF0EAB">
        <w:t>aving regard to the documen</w:t>
      </w:r>
      <w:r w:rsidR="00F35AD9">
        <w:t>ts in its possession, the Court</w:t>
      </w:r>
      <w:r w:rsidR="00BF0EAB">
        <w:t xml:space="preserve"> considers it appropriat</w:t>
      </w:r>
      <w:r w:rsidR="00B234D1">
        <w:t>e to award the applicant EUR 146.65</w:t>
      </w:r>
      <w:r w:rsidR="00BF0EAB">
        <w:t xml:space="preserve"> under this head, payable </w:t>
      </w:r>
      <w:r w:rsidR="00B234D1">
        <w:t>into the account of “Legal Offices of Ekimdzhiev, Boncheva and Chernicherska”</w:t>
      </w:r>
      <w:r w:rsidR="00BF0EAB">
        <w:t>.</w:t>
      </w:r>
      <w:r w:rsidR="00B234D1">
        <w:t xml:space="preserve"> </w:t>
      </w:r>
      <w:r w:rsidR="00BF0EAB">
        <w:t>To all of those amounts is to be added any tax that may be chargeable to the applicant.</w:t>
      </w:r>
    </w:p>
    <w:p w:rsidR="0005726D" w:rsidP="008824B9" w:rsidRDefault="00F71A6A">
      <w:pPr>
        <w:pStyle w:val="JuHA"/>
        <w:outlineLvl w:val="0"/>
      </w:pPr>
      <w:r w:rsidRPr="001025CE">
        <w:t>C.  Default interest</w:t>
      </w:r>
    </w:p>
    <w:p w:rsidRPr="001025CE" w:rsidR="00F71A6A" w:rsidP="00151CCA" w:rsidRDefault="001025CE">
      <w:pPr>
        <w:pStyle w:val="JuPara"/>
      </w:pPr>
      <w:r w:rsidRPr="001025CE">
        <w:fldChar w:fldCharType="begin"/>
      </w:r>
      <w:r w:rsidRPr="001025CE">
        <w:instrText xml:space="preserve"> SEQ level0 \*arabic </w:instrText>
      </w:r>
      <w:r w:rsidRPr="001025CE">
        <w:fldChar w:fldCharType="separate"/>
      </w:r>
      <w:r w:rsidR="00947469">
        <w:rPr>
          <w:noProof/>
        </w:rPr>
        <w:t>36</w:t>
      </w:r>
      <w:r w:rsidRPr="001025CE">
        <w:fldChar w:fldCharType="end"/>
      </w:r>
      <w:r w:rsidRPr="001025CE" w:rsidR="00F71A6A">
        <w:t xml:space="preserve">.  The Court considers it appropriate that the default interest </w:t>
      </w:r>
      <w:r w:rsidRPr="001025CE" w:rsidR="0034580F">
        <w:t xml:space="preserve">rate </w:t>
      </w:r>
      <w:r w:rsidRPr="001025CE" w:rsidR="00F71A6A">
        <w:t>should be based on the marginal lending rate of the European Central Bank, to which should be added three percentage points.</w:t>
      </w:r>
    </w:p>
    <w:p w:rsidRPr="001025CE" w:rsidR="00F71A6A" w:rsidP="008824B9" w:rsidRDefault="00F71A6A">
      <w:pPr>
        <w:pStyle w:val="JuHHead"/>
      </w:pPr>
      <w:r w:rsidRPr="001025CE">
        <w:t>FOR THESE REASONS</w:t>
      </w:r>
      <w:r w:rsidR="00605745">
        <w:t>, THE COURT</w:t>
      </w:r>
      <w:r w:rsidR="005F11AB">
        <w:t xml:space="preserve"> UNANIMOUSLY</w:t>
      </w:r>
    </w:p>
    <w:p w:rsidRPr="001025CE" w:rsidR="00F71A6A" w:rsidRDefault="00F71A6A">
      <w:pPr>
        <w:pStyle w:val="JuList"/>
      </w:pPr>
      <w:r w:rsidRPr="001025CE">
        <w:t>1.  </w:t>
      </w:r>
      <w:r w:rsidRPr="001025CE">
        <w:rPr>
          <w:i/>
        </w:rPr>
        <w:t>Declares</w:t>
      </w:r>
      <w:r w:rsidRPr="001025CE">
        <w:t xml:space="preserve"> the </w:t>
      </w:r>
      <w:r w:rsidR="00133FDD">
        <w:t>application</w:t>
      </w:r>
      <w:r w:rsidRPr="001025CE">
        <w:t xml:space="preserve"> admissible</w:t>
      </w:r>
      <w:r w:rsidRPr="001025CE" w:rsidR="0011665B">
        <w:t>;</w:t>
      </w:r>
    </w:p>
    <w:p w:rsidRPr="001025CE" w:rsidR="00F71A6A" w:rsidRDefault="00F71A6A">
      <w:pPr>
        <w:pStyle w:val="JuList"/>
      </w:pPr>
    </w:p>
    <w:p w:rsidRPr="001025CE" w:rsidR="009F07CC" w:rsidP="009F07CC" w:rsidRDefault="00784629">
      <w:pPr>
        <w:pStyle w:val="JuList"/>
      </w:pPr>
      <w:r>
        <w:t>2</w:t>
      </w:r>
      <w:r w:rsidRPr="001025CE" w:rsidR="009F07CC">
        <w:t>.</w:t>
      </w:r>
      <w:r w:rsidRPr="001025CE" w:rsidR="00F71A6A">
        <w:t>  </w:t>
      </w:r>
      <w:r w:rsidRPr="001025CE" w:rsidR="00F71A6A">
        <w:rPr>
          <w:i/>
        </w:rPr>
        <w:t>Holds</w:t>
      </w:r>
      <w:r w:rsidR="005F11AB">
        <w:rPr>
          <w:i/>
        </w:rPr>
        <w:t xml:space="preserve"> </w:t>
      </w:r>
      <w:r w:rsidRPr="001025CE" w:rsidR="00F71A6A">
        <w:t xml:space="preserve">that there has been a violation of Article </w:t>
      </w:r>
      <w:r>
        <w:t>2 of Protocol No. 4 to</w:t>
      </w:r>
      <w:r w:rsidRPr="001025CE" w:rsidR="00F71A6A">
        <w:t xml:space="preserve"> the Convention;</w:t>
      </w:r>
    </w:p>
    <w:p w:rsidRPr="001025CE" w:rsidR="00F71A6A" w:rsidRDefault="00F71A6A">
      <w:pPr>
        <w:pStyle w:val="JuList"/>
      </w:pPr>
    </w:p>
    <w:p w:rsidR="00F71A6A" w:rsidRDefault="00784629">
      <w:pPr>
        <w:pStyle w:val="JuList"/>
      </w:pPr>
      <w:r>
        <w:t>3</w:t>
      </w:r>
      <w:r w:rsidRPr="001025CE" w:rsidR="00F71A6A">
        <w:t>.  </w:t>
      </w:r>
      <w:r w:rsidRPr="001025CE" w:rsidR="00F71A6A">
        <w:rPr>
          <w:i/>
        </w:rPr>
        <w:t>Holds</w:t>
      </w:r>
      <w:r w:rsidRPr="001025CE" w:rsidR="002A3A18">
        <w:rPr>
          <w:color w:val="000000"/>
        </w:rPr>
        <w:t xml:space="preserve"> </w:t>
      </w:r>
      <w:r w:rsidRPr="001025CE" w:rsidR="00F71A6A">
        <w:t xml:space="preserve">that there has been a violation of Article </w:t>
      </w:r>
      <w:r>
        <w:t>13</w:t>
      </w:r>
      <w:r w:rsidRPr="001025CE" w:rsidR="00F71A6A">
        <w:t xml:space="preserve"> of the Convention</w:t>
      </w:r>
      <w:r w:rsidR="001702F0">
        <w:t xml:space="preserve"> in conjunction with Article 2 of </w:t>
      </w:r>
      <w:r w:rsidR="00FA14BD">
        <w:t>P</w:t>
      </w:r>
      <w:r w:rsidR="001702F0">
        <w:t>rotocol No.</w:t>
      </w:r>
      <w:r w:rsidR="002F1B7F">
        <w:t xml:space="preserve"> </w:t>
      </w:r>
      <w:r w:rsidR="001702F0">
        <w:t>4</w:t>
      </w:r>
      <w:r w:rsidRPr="001025CE" w:rsidR="00F71A6A">
        <w:t>;</w:t>
      </w:r>
    </w:p>
    <w:p w:rsidR="00133FDD" w:rsidRDefault="00133FDD">
      <w:pPr>
        <w:pStyle w:val="JuList"/>
      </w:pPr>
    </w:p>
    <w:p w:rsidRPr="001025CE" w:rsidR="00133FDD" w:rsidRDefault="00415F85">
      <w:pPr>
        <w:pStyle w:val="JuList"/>
      </w:pPr>
      <w:r>
        <w:t>4.  </w:t>
      </w:r>
      <w:r w:rsidR="00133FDD">
        <w:t>Holds that no separate issue arises under Article 6 § 1</w:t>
      </w:r>
      <w:r w:rsidRPr="001025CE" w:rsidR="00133FDD">
        <w:t xml:space="preserve"> of the Convention</w:t>
      </w:r>
      <w:r w:rsidR="00133FDD">
        <w:t>;</w:t>
      </w:r>
    </w:p>
    <w:p w:rsidRPr="001025CE" w:rsidR="00F71A6A" w:rsidP="008824B9" w:rsidRDefault="00F71A6A">
      <w:pPr>
        <w:pStyle w:val="JuList"/>
      </w:pPr>
    </w:p>
    <w:p w:rsidR="000A6DDA" w:rsidP="00901475" w:rsidRDefault="00133FDD">
      <w:pPr>
        <w:pStyle w:val="JuList"/>
      </w:pPr>
      <w:r>
        <w:t>5</w:t>
      </w:r>
      <w:r w:rsidRPr="001025CE" w:rsidR="00F71A6A">
        <w:t>.  </w:t>
      </w:r>
      <w:r w:rsidRPr="001025CE" w:rsidR="00F71A6A">
        <w:rPr>
          <w:i/>
        </w:rPr>
        <w:t>Holds</w:t>
      </w:r>
    </w:p>
    <w:p w:rsidRPr="001025CE" w:rsidR="003104E9" w:rsidP="006138EA" w:rsidRDefault="003104E9">
      <w:pPr>
        <w:pStyle w:val="JuLista"/>
      </w:pPr>
      <w:r w:rsidRPr="001025CE">
        <w:t xml:space="preserve">(a)  that the respondent State is to </w:t>
      </w:r>
      <w:r w:rsidRPr="001025CE" w:rsidR="00901475">
        <w:t xml:space="preserve">pay </w:t>
      </w:r>
      <w:r w:rsidRPr="001025CE">
        <w:t xml:space="preserve">the </w:t>
      </w:r>
      <w:r w:rsidRPr="001025CE" w:rsidR="0005522C">
        <w:t>applicant</w:t>
      </w:r>
      <w:smartTag w:uri="urn:schemas-microsoft-com:office:smarttags" w:element="PersonName">
        <w:r w:rsidRPr="001025CE">
          <w:t>,</w:t>
        </w:r>
      </w:smartTag>
      <w:r w:rsidRPr="001025CE">
        <w:t xml:space="preserve"> within three months </w:t>
      </w:r>
      <w:r w:rsidR="00784629">
        <w:t>from the date on which the judgment becomes final in accordance with Article 44 § 2 of the Convention, the following amounts, to be converted into Bulgarian levs at the rate applicable at the date of settlement</w:t>
      </w:r>
      <w:r w:rsidRPr="001025CE">
        <w:t>:</w:t>
      </w:r>
    </w:p>
    <w:p w:rsidRPr="001025CE" w:rsidR="003104E9" w:rsidP="003104E9" w:rsidRDefault="003104E9">
      <w:pPr>
        <w:pStyle w:val="JuListi"/>
      </w:pPr>
      <w:r w:rsidRPr="001025CE">
        <w:t xml:space="preserve">(i)  EUR </w:t>
      </w:r>
      <w:r w:rsidR="00661ADE">
        <w:t>2</w:t>
      </w:r>
      <w:r w:rsidR="00784629">
        <w:t>,000</w:t>
      </w:r>
      <w:r w:rsidR="00976CD7">
        <w:t xml:space="preserve"> (two thousand euros)</w:t>
      </w:r>
      <w:r w:rsidR="00784629">
        <w:t>,</w:t>
      </w:r>
      <w:r w:rsidRPr="001025CE">
        <w:t xml:space="preserve"> plus any tax that may be chargeable,</w:t>
      </w:r>
      <w:r w:rsidR="00784629">
        <w:t xml:space="preserve"> </w:t>
      </w:r>
      <w:r w:rsidRPr="001025CE">
        <w:t xml:space="preserve">in respect of </w:t>
      </w:r>
      <w:r w:rsidR="00784629">
        <w:t>non-</w:t>
      </w:r>
      <w:r w:rsidRPr="001025CE">
        <w:t>pecuniary damage;</w:t>
      </w:r>
    </w:p>
    <w:p w:rsidRPr="001025CE" w:rsidR="003104E9" w:rsidP="003104E9" w:rsidRDefault="00784629">
      <w:pPr>
        <w:pStyle w:val="JuListi"/>
      </w:pPr>
      <w:r>
        <w:t>(ii</w:t>
      </w:r>
      <w:r w:rsidRPr="001025CE" w:rsidR="003104E9">
        <w:t xml:space="preserve">)  EUR </w:t>
      </w:r>
      <w:r w:rsidR="0045640F">
        <w:t>1,146.65</w:t>
      </w:r>
      <w:r w:rsidR="00976CD7">
        <w:t xml:space="preserve"> (one thousand one hundred and forty-six euros, and sixty-five cents)</w:t>
      </w:r>
      <w:r w:rsidRPr="001025CE" w:rsidR="003104E9">
        <w:t xml:space="preserve">, plus any tax that may be chargeable to the </w:t>
      </w:r>
      <w:r w:rsidRPr="001025CE" w:rsidR="0005522C">
        <w:t>applicant</w:t>
      </w:r>
      <w:r w:rsidRPr="001025CE" w:rsidR="003104E9">
        <w:t>, in respect of costs and expenses</w:t>
      </w:r>
      <w:r w:rsidR="0045640F">
        <w:t>, payable as follows: EUR 511.29 (five hundred and eleven euros</w:t>
      </w:r>
      <w:r w:rsidR="00133FDD">
        <w:t>,</w:t>
      </w:r>
      <w:r w:rsidR="0045640F">
        <w:t xml:space="preserve"> and </w:t>
      </w:r>
      <w:r w:rsidR="00976CD7">
        <w:t>twenty-nine</w:t>
      </w:r>
      <w:r w:rsidR="0045640F">
        <w:t xml:space="preserve"> cents) to the applicant himself; EUR 488.71 (four hundred </w:t>
      </w:r>
      <w:r w:rsidR="00774045">
        <w:t xml:space="preserve">and </w:t>
      </w:r>
      <w:r w:rsidR="00976CD7">
        <w:t>eighty</w:t>
      </w:r>
      <w:r w:rsidR="00976CD7">
        <w:noBreakHyphen/>
      </w:r>
      <w:r w:rsidR="0045640F">
        <w:t>eight euros</w:t>
      </w:r>
      <w:r w:rsidR="00133FDD">
        <w:t>,</w:t>
      </w:r>
      <w:r w:rsidR="0045640F">
        <w:t xml:space="preserve"> and seventy</w:t>
      </w:r>
      <w:r w:rsidR="00976CD7">
        <w:t>-</w:t>
      </w:r>
      <w:r w:rsidR="0045640F">
        <w:t>one cents) to the applicant</w:t>
      </w:r>
      <w:r w:rsidR="00947469">
        <w:t>’</w:t>
      </w:r>
      <w:r w:rsidR="0045640F">
        <w:t>s legal representatives</w:t>
      </w:r>
      <w:r w:rsidR="008833B6">
        <w:t>,</w:t>
      </w:r>
      <w:r w:rsidR="0045640F">
        <w:t xml:space="preserve"> Mr M. Ekimdzhiev</w:t>
      </w:r>
      <w:r w:rsidR="008833B6">
        <w:t xml:space="preserve"> and Ms K. Boncheva</w:t>
      </w:r>
      <w:r w:rsidR="0045640F">
        <w:t>; and EUR</w:t>
      </w:r>
      <w:r w:rsidR="00FA14BD">
        <w:t> </w:t>
      </w:r>
      <w:r w:rsidR="00976CD7">
        <w:t>146.65 (one hundred and forty-</w:t>
      </w:r>
      <w:r w:rsidR="0045640F">
        <w:t>six euros</w:t>
      </w:r>
      <w:r w:rsidR="00133FDD">
        <w:t>,</w:t>
      </w:r>
      <w:r w:rsidR="0045640F">
        <w:t xml:space="preserve"> and sixty</w:t>
      </w:r>
      <w:r w:rsidR="00976CD7">
        <w:t>-</w:t>
      </w:r>
      <w:r w:rsidR="0045640F">
        <w:t>five cents</w:t>
      </w:r>
      <w:r w:rsidR="00BA2986">
        <w:t>)</w:t>
      </w:r>
      <w:r w:rsidR="0045640F">
        <w:t xml:space="preserve"> into the account of “Legal Offices of Ekimdzhiev, Boncheva and Chernicherska”;</w:t>
      </w:r>
    </w:p>
    <w:p w:rsidRPr="001025CE" w:rsidR="003104E9" w:rsidRDefault="003104E9">
      <w:pPr>
        <w:pStyle w:val="JuLista"/>
      </w:pPr>
      <w:r w:rsidRPr="001025CE">
        <w:t>(b)  that from the expiry of the above-mentioned three months until settlement simple interest shall be payable on the above amounts at a rate equal to the marginal lending rate of the European Central Bank during the default period plus three percentage points;</w:t>
      </w:r>
    </w:p>
    <w:p w:rsidRPr="001025CE" w:rsidR="00F71A6A" w:rsidRDefault="00F71A6A">
      <w:pPr>
        <w:pStyle w:val="JuList"/>
      </w:pPr>
    </w:p>
    <w:p w:rsidRPr="001025CE" w:rsidR="00F71A6A" w:rsidRDefault="00CF6AE1">
      <w:pPr>
        <w:pStyle w:val="JuList"/>
      </w:pPr>
      <w:r>
        <w:t>6</w:t>
      </w:r>
      <w:r w:rsidRPr="001025CE" w:rsidR="00F71A6A">
        <w:t>.  </w:t>
      </w:r>
      <w:r w:rsidRPr="001025CE" w:rsidR="00F71A6A">
        <w:rPr>
          <w:i/>
        </w:rPr>
        <w:t>Dismisses</w:t>
      </w:r>
      <w:r w:rsidRPr="001025CE" w:rsidR="002A3A18">
        <w:rPr>
          <w:color w:val="000000"/>
        </w:rPr>
        <w:t xml:space="preserve"> </w:t>
      </w:r>
      <w:r w:rsidRPr="001025CE" w:rsidR="00F71A6A">
        <w:t xml:space="preserve">the remainder of the </w:t>
      </w:r>
      <w:r w:rsidRPr="001025CE" w:rsidR="005F4753">
        <w:t>applicant</w:t>
      </w:r>
      <w:r w:rsidR="00947469">
        <w:t>’</w:t>
      </w:r>
      <w:r w:rsidRPr="001025CE" w:rsidR="001025CE">
        <w:t>s</w:t>
      </w:r>
      <w:r w:rsidRPr="001025CE" w:rsidR="00F71A6A">
        <w:t xml:space="preserve"> claim for just satisfaction.</w:t>
      </w:r>
    </w:p>
    <w:p w:rsidRPr="001025CE" w:rsidR="00325C2B" w:rsidP="00325C2B" w:rsidRDefault="00F71A6A">
      <w:pPr>
        <w:pStyle w:val="JuParaLast"/>
      </w:pPr>
      <w:r w:rsidRPr="001025CE">
        <w:t xml:space="preserve">Done in English, and notified in writing </w:t>
      </w:r>
      <w:r w:rsidRPr="005F11AB">
        <w:t xml:space="preserve">on </w:t>
      </w:r>
      <w:r w:rsidR="00415F85">
        <w:t>3 September 2013</w:t>
      </w:r>
      <w:r w:rsidRPr="001025CE">
        <w:t>, pursuant to Rule</w:t>
      </w:r>
      <w:r w:rsidRPr="001025CE" w:rsidR="0011665B">
        <w:t xml:space="preserve"> </w:t>
      </w:r>
      <w:r w:rsidRPr="001025CE">
        <w:t>77</w:t>
      </w:r>
      <w:r w:rsidRPr="001025CE" w:rsidR="0011665B">
        <w:t xml:space="preserve"> </w:t>
      </w:r>
      <w:r w:rsidRPr="001025CE">
        <w:t>§§</w:t>
      </w:r>
      <w:r w:rsidRPr="001025CE" w:rsidR="0011665B">
        <w:t xml:space="preserve"> </w:t>
      </w:r>
      <w:r w:rsidRPr="001025CE">
        <w:t>2 and</w:t>
      </w:r>
      <w:r w:rsidRPr="001025CE" w:rsidR="0011665B">
        <w:t xml:space="preserve"> </w:t>
      </w:r>
      <w:r w:rsidRPr="001025CE">
        <w:t>3 of the Rules of Court.</w:t>
      </w:r>
    </w:p>
    <w:p w:rsidRPr="0005726D" w:rsidR="0079187F" w:rsidP="0005726D" w:rsidRDefault="00D75447">
      <w:pPr>
        <w:pStyle w:val="JuSigned"/>
        <w:tabs>
          <w:tab w:val="clear" w:pos="851"/>
          <w:tab w:val="center" w:pos="1134"/>
          <w:tab w:val="center" w:pos="7938"/>
        </w:tabs>
      </w:pPr>
      <w:r w:rsidRPr="00CF1C76">
        <w:rPr>
          <w:rStyle w:val="JuJudgesChar"/>
        </w:rPr>
        <w:tab/>
      </w:r>
      <w:r w:rsidRPr="00CF1C76">
        <w:t>Françoise Elens-Passos</w:t>
      </w:r>
      <w:r w:rsidRPr="00CF1C76">
        <w:tab/>
        <w:t>Ineta Ziemele</w:t>
      </w:r>
      <w:r w:rsidRPr="00CF1C76">
        <w:br/>
      </w:r>
      <w:r w:rsidRPr="00CF1C76">
        <w:tab/>
        <w:t>Registrar</w:t>
      </w:r>
      <w:r w:rsidRPr="00CF1C76">
        <w:tab/>
        <w:t>President</w:t>
      </w:r>
    </w:p>
    <w:sectPr w:rsidRPr="0005726D" w:rsidR="0079187F" w:rsidSect="00135286">
      <w:headerReference w:type="even" r:id="rId13"/>
      <w:headerReference w:type="default" r:id="rId14"/>
      <w:footnotePr>
        <w:numRestart w:val="eachPage"/>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45C" w:rsidRDefault="0022145C">
      <w:r>
        <w:separator/>
      </w:r>
    </w:p>
  </w:endnote>
  <w:endnote w:type="continuationSeparator" w:id="0">
    <w:p w:rsidR="0022145C" w:rsidRDefault="00221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286" w:rsidRPr="00150BFA" w:rsidRDefault="00135286" w:rsidP="009B1992">
    <w:pPr>
      <w:jc w:val="center"/>
      <w:rPr>
        <w:sz w:val="4"/>
        <w:szCs w:val="4"/>
      </w:rPr>
    </w:pPr>
    <w:r w:rsidRPr="00150BFA">
      <w:rPr>
        <w:sz w:val="4"/>
        <w:szCs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4pt;height:33pt">
          <v:imagedata r:id="rId1" o:title="DocFooter-03"/>
        </v:shape>
      </w:pict>
    </w:r>
  </w:p>
  <w:p w:rsidR="00135286" w:rsidRDefault="001352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45C" w:rsidRDefault="0022145C">
      <w:r>
        <w:separator/>
      </w:r>
    </w:p>
  </w:footnote>
  <w:footnote w:type="continuationSeparator" w:id="0">
    <w:p w:rsidR="0022145C" w:rsidRDefault="002214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779" w:rsidRPr="00135286" w:rsidRDefault="008D5779" w:rsidP="00135286">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286" w:rsidRPr="00C00F0F" w:rsidRDefault="00135286">
    <w:pPr>
      <w:pStyle w:val="Header"/>
      <w:jc w:val="center"/>
      <w:rPr>
        <w:sz w:val="4"/>
        <w:szCs w:val="4"/>
      </w:rPr>
    </w:pPr>
    <w:r w:rsidRPr="00C31FDF">
      <w:rPr>
        <w:sz w:val="4"/>
        <w:szCs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64.25pt">
          <v:imagedata r:id="rId1" o:title="TranspDocHeaderBigBlack"/>
        </v:shape>
      </w:pict>
    </w:r>
  </w:p>
  <w:p w:rsidR="008D5779" w:rsidRDefault="008D577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286" w:rsidRDefault="00135286">
    <w:pPr>
      <w:pStyle w:val="JuHeader"/>
    </w:pPr>
    <w:r>
      <w:rPr>
        <w:rStyle w:val="PageNumber"/>
      </w:rPr>
      <w:fldChar w:fldCharType="begin"/>
    </w:r>
    <w:r>
      <w:rPr>
        <w:rStyle w:val="PageNumber"/>
      </w:rPr>
      <w:instrText xml:space="preserve"> PAGE </w:instrText>
    </w:r>
    <w:r>
      <w:rPr>
        <w:rStyle w:val="PageNumber"/>
      </w:rPr>
      <w:fldChar w:fldCharType="separate"/>
    </w:r>
    <w:r w:rsidR="00947469">
      <w:rPr>
        <w:rStyle w:val="PageNumber"/>
        <w:noProof/>
      </w:rPr>
      <w:t>2</w:t>
    </w:r>
    <w:r>
      <w:rPr>
        <w:rStyle w:val="PageNumber"/>
      </w:rPr>
      <w:fldChar w:fldCharType="end"/>
    </w:r>
    <w:r>
      <w:tab/>
    </w:r>
    <w:r w:rsidR="000A487D">
      <w:t xml:space="preserve">MILEN </w:t>
    </w:r>
    <w:r>
      <w:t>KOSTOV v. BULGARIA 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286" w:rsidRDefault="00135286">
    <w:pPr>
      <w:pStyle w:val="JuHeader"/>
    </w:pPr>
    <w:r>
      <w:tab/>
    </w:r>
    <w:r w:rsidR="000A487D">
      <w:t xml:space="preserve">MILEN </w:t>
    </w:r>
    <w:r>
      <w:t>KOSTOV v. BULGARIA JUDGMENT</w:t>
    </w:r>
    <w:r>
      <w:tab/>
    </w:r>
    <w:r>
      <w:rPr>
        <w:rStyle w:val="PageNumber"/>
      </w:rPr>
      <w:fldChar w:fldCharType="begin"/>
    </w:r>
    <w:r>
      <w:rPr>
        <w:rStyle w:val="PageNumber"/>
      </w:rPr>
      <w:instrText xml:space="preserve"> PAGE </w:instrText>
    </w:r>
    <w:r>
      <w:rPr>
        <w:rStyle w:val="PageNumber"/>
      </w:rPr>
      <w:fldChar w:fldCharType="separate"/>
    </w:r>
    <w:r w:rsidR="00947469">
      <w:rPr>
        <w:rStyle w:val="PageNumber"/>
        <w:noProof/>
      </w:rPr>
      <w:t>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EE8A85E"/>
    <w:lvl w:ilvl="0">
      <w:start w:val="1"/>
      <w:numFmt w:val="bullet"/>
      <w:lvlText w:val=""/>
      <w:lvlJc w:val="left"/>
      <w:pPr>
        <w:tabs>
          <w:tab w:val="num" w:pos="360"/>
        </w:tabs>
        <w:ind w:left="360" w:hanging="360"/>
      </w:pPr>
      <w:rPr>
        <w:rFonts w:ascii="Symbol" w:hAnsi="Symbol" w:hint="default"/>
      </w:rPr>
    </w:lvl>
  </w:abstractNum>
  <w:abstractNum w:abstractNumId="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2">
    <w:nsid w:val="7BBE6CBD"/>
    <w:multiLevelType w:val="hybridMultilevel"/>
    <w:tmpl w:val="5B122094"/>
    <w:lvl w:ilvl="0" w:tplc="4FDAD2AA">
      <w:start w:val="1"/>
      <w:numFmt w:val="decimal"/>
      <w:pStyle w:val="JuAppQuestion"/>
      <w:lvlText w:val="%1."/>
      <w:lvlJc w:val="left"/>
      <w:pPr>
        <w:tabs>
          <w:tab w:val="num" w:pos="720"/>
        </w:tabs>
        <w:ind w:left="720" w:hanging="360"/>
      </w:pPr>
      <w:rPr>
        <w:rFonts w:ascii="Cambria" w:hAnsi="Cambria"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6"/>
  <w:hyphenationZone w:val="425"/>
  <w:evenAndOddHeaders/>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ppNatAutre" w:val="1"/>
    <w:docVar w:name="DocVarPREMATURE" w:val="0"/>
    <w:docVar w:name="EMM" w:val="0"/>
    <w:docVar w:name="ETRANSMISSION" w:val=" "/>
    <w:docVar w:name="L4_1Annex" w:val="0"/>
    <w:docVar w:name="L4_1Anonymity" w:val="0"/>
    <w:docVar w:name="L4_1AppNatList" w:val="Greek"/>
    <w:docVar w:name="NBEMMDOC" w:val="0"/>
    <w:docVar w:name="SignForeName" w:val="0"/>
  </w:docVars>
  <w:rsids>
    <w:rsidRoot w:val="001025CE"/>
    <w:rsid w:val="00001CC5"/>
    <w:rsid w:val="00002DD1"/>
    <w:rsid w:val="000042D1"/>
    <w:rsid w:val="000050BE"/>
    <w:rsid w:val="0000753F"/>
    <w:rsid w:val="00007B38"/>
    <w:rsid w:val="00013894"/>
    <w:rsid w:val="000146A4"/>
    <w:rsid w:val="00033160"/>
    <w:rsid w:val="00033FD2"/>
    <w:rsid w:val="0003679E"/>
    <w:rsid w:val="00042867"/>
    <w:rsid w:val="0005522C"/>
    <w:rsid w:val="00055AC1"/>
    <w:rsid w:val="0005726D"/>
    <w:rsid w:val="000726F6"/>
    <w:rsid w:val="00076A67"/>
    <w:rsid w:val="00085837"/>
    <w:rsid w:val="00085B3A"/>
    <w:rsid w:val="00090C82"/>
    <w:rsid w:val="0009409F"/>
    <w:rsid w:val="000A1AA3"/>
    <w:rsid w:val="000A487D"/>
    <w:rsid w:val="000A6DDA"/>
    <w:rsid w:val="000D6108"/>
    <w:rsid w:val="000E1449"/>
    <w:rsid w:val="000F3E05"/>
    <w:rsid w:val="000F699D"/>
    <w:rsid w:val="001025CE"/>
    <w:rsid w:val="00104AD1"/>
    <w:rsid w:val="00111D99"/>
    <w:rsid w:val="0011665B"/>
    <w:rsid w:val="00126213"/>
    <w:rsid w:val="00130E45"/>
    <w:rsid w:val="0013290F"/>
    <w:rsid w:val="00133224"/>
    <w:rsid w:val="00133FDD"/>
    <w:rsid w:val="00135286"/>
    <w:rsid w:val="00136B5C"/>
    <w:rsid w:val="001375EE"/>
    <w:rsid w:val="00151BFE"/>
    <w:rsid w:val="00151CCA"/>
    <w:rsid w:val="00154891"/>
    <w:rsid w:val="00157BD8"/>
    <w:rsid w:val="00165641"/>
    <w:rsid w:val="001702F0"/>
    <w:rsid w:val="00174A6F"/>
    <w:rsid w:val="001767E6"/>
    <w:rsid w:val="001812B2"/>
    <w:rsid w:val="001851AA"/>
    <w:rsid w:val="00192BCD"/>
    <w:rsid w:val="0019388B"/>
    <w:rsid w:val="00195378"/>
    <w:rsid w:val="00197C29"/>
    <w:rsid w:val="001A0EBE"/>
    <w:rsid w:val="001A2CB2"/>
    <w:rsid w:val="001B2EFC"/>
    <w:rsid w:val="001B62B1"/>
    <w:rsid w:val="001B74F7"/>
    <w:rsid w:val="001C333A"/>
    <w:rsid w:val="001C5400"/>
    <w:rsid w:val="001C759E"/>
    <w:rsid w:val="001D46C7"/>
    <w:rsid w:val="001E4EDA"/>
    <w:rsid w:val="001F5586"/>
    <w:rsid w:val="002041E3"/>
    <w:rsid w:val="00213410"/>
    <w:rsid w:val="0022145C"/>
    <w:rsid w:val="00225BE5"/>
    <w:rsid w:val="002266CD"/>
    <w:rsid w:val="002320C6"/>
    <w:rsid w:val="00245217"/>
    <w:rsid w:val="00247817"/>
    <w:rsid w:val="00252B31"/>
    <w:rsid w:val="00254E17"/>
    <w:rsid w:val="002563F5"/>
    <w:rsid w:val="00265471"/>
    <w:rsid w:val="0026789F"/>
    <w:rsid w:val="00267E01"/>
    <w:rsid w:val="00271A81"/>
    <w:rsid w:val="0029604B"/>
    <w:rsid w:val="00296B76"/>
    <w:rsid w:val="00297942"/>
    <w:rsid w:val="002A0524"/>
    <w:rsid w:val="002A3A18"/>
    <w:rsid w:val="002A4296"/>
    <w:rsid w:val="002B18B7"/>
    <w:rsid w:val="002B529A"/>
    <w:rsid w:val="002B7DBF"/>
    <w:rsid w:val="002C7D3E"/>
    <w:rsid w:val="002D3719"/>
    <w:rsid w:val="002E2EAF"/>
    <w:rsid w:val="002E6A74"/>
    <w:rsid w:val="002F1B7F"/>
    <w:rsid w:val="002F4BCF"/>
    <w:rsid w:val="002F6FE9"/>
    <w:rsid w:val="00302008"/>
    <w:rsid w:val="003037CB"/>
    <w:rsid w:val="003104E9"/>
    <w:rsid w:val="0031573C"/>
    <w:rsid w:val="0032093A"/>
    <w:rsid w:val="00325C2B"/>
    <w:rsid w:val="00327698"/>
    <w:rsid w:val="003321BD"/>
    <w:rsid w:val="00332547"/>
    <w:rsid w:val="00333C76"/>
    <w:rsid w:val="00336887"/>
    <w:rsid w:val="00337600"/>
    <w:rsid w:val="003403BB"/>
    <w:rsid w:val="003430FE"/>
    <w:rsid w:val="003434B1"/>
    <w:rsid w:val="0034580F"/>
    <w:rsid w:val="003506C9"/>
    <w:rsid w:val="003554F8"/>
    <w:rsid w:val="00355F8F"/>
    <w:rsid w:val="00362140"/>
    <w:rsid w:val="00371277"/>
    <w:rsid w:val="0037228D"/>
    <w:rsid w:val="00375F21"/>
    <w:rsid w:val="00383291"/>
    <w:rsid w:val="00385B3A"/>
    <w:rsid w:val="00390D03"/>
    <w:rsid w:val="003A0289"/>
    <w:rsid w:val="003A64D3"/>
    <w:rsid w:val="003B361C"/>
    <w:rsid w:val="003B41C7"/>
    <w:rsid w:val="003B50D7"/>
    <w:rsid w:val="003C68F5"/>
    <w:rsid w:val="003D01AE"/>
    <w:rsid w:val="003E2006"/>
    <w:rsid w:val="003E319C"/>
    <w:rsid w:val="003E6993"/>
    <w:rsid w:val="003F3BFD"/>
    <w:rsid w:val="003F53A9"/>
    <w:rsid w:val="00401C5B"/>
    <w:rsid w:val="00402BFC"/>
    <w:rsid w:val="00412F5F"/>
    <w:rsid w:val="00413EFC"/>
    <w:rsid w:val="00415F85"/>
    <w:rsid w:val="00432BFF"/>
    <w:rsid w:val="00433563"/>
    <w:rsid w:val="004406AA"/>
    <w:rsid w:val="00452CF1"/>
    <w:rsid w:val="0045640F"/>
    <w:rsid w:val="00457916"/>
    <w:rsid w:val="00457A18"/>
    <w:rsid w:val="00460FAD"/>
    <w:rsid w:val="00465AD7"/>
    <w:rsid w:val="00465BFA"/>
    <w:rsid w:val="00471505"/>
    <w:rsid w:val="004736C5"/>
    <w:rsid w:val="00485A6F"/>
    <w:rsid w:val="004920B1"/>
    <w:rsid w:val="004A0C35"/>
    <w:rsid w:val="004A18F1"/>
    <w:rsid w:val="004B6489"/>
    <w:rsid w:val="004C5A29"/>
    <w:rsid w:val="004D3400"/>
    <w:rsid w:val="004E5DFC"/>
    <w:rsid w:val="004F5222"/>
    <w:rsid w:val="0050096C"/>
    <w:rsid w:val="00513446"/>
    <w:rsid w:val="00514873"/>
    <w:rsid w:val="00516EBF"/>
    <w:rsid w:val="00522362"/>
    <w:rsid w:val="00524FFC"/>
    <w:rsid w:val="00531C56"/>
    <w:rsid w:val="00537EB2"/>
    <w:rsid w:val="00540208"/>
    <w:rsid w:val="005419B6"/>
    <w:rsid w:val="00546F49"/>
    <w:rsid w:val="005542E7"/>
    <w:rsid w:val="0056771C"/>
    <w:rsid w:val="00573347"/>
    <w:rsid w:val="005765DC"/>
    <w:rsid w:val="005777BA"/>
    <w:rsid w:val="00577E6A"/>
    <w:rsid w:val="00582D1B"/>
    <w:rsid w:val="00584A11"/>
    <w:rsid w:val="005874FF"/>
    <w:rsid w:val="005944D6"/>
    <w:rsid w:val="00595C5D"/>
    <w:rsid w:val="005A3D27"/>
    <w:rsid w:val="005B16A8"/>
    <w:rsid w:val="005B4233"/>
    <w:rsid w:val="005B792D"/>
    <w:rsid w:val="005C1929"/>
    <w:rsid w:val="005C1956"/>
    <w:rsid w:val="005C2C88"/>
    <w:rsid w:val="005C41CB"/>
    <w:rsid w:val="005C72E2"/>
    <w:rsid w:val="005D1B72"/>
    <w:rsid w:val="005D5F49"/>
    <w:rsid w:val="005E384F"/>
    <w:rsid w:val="005F11AB"/>
    <w:rsid w:val="005F4753"/>
    <w:rsid w:val="005F6F7A"/>
    <w:rsid w:val="005F7A10"/>
    <w:rsid w:val="006053AC"/>
    <w:rsid w:val="00605745"/>
    <w:rsid w:val="006111FF"/>
    <w:rsid w:val="006138EA"/>
    <w:rsid w:val="00625699"/>
    <w:rsid w:val="0062787C"/>
    <w:rsid w:val="00633478"/>
    <w:rsid w:val="00640B82"/>
    <w:rsid w:val="00644CA7"/>
    <w:rsid w:val="00645F0B"/>
    <w:rsid w:val="00655126"/>
    <w:rsid w:val="00660A93"/>
    <w:rsid w:val="00661ADE"/>
    <w:rsid w:val="00662209"/>
    <w:rsid w:val="006639B6"/>
    <w:rsid w:val="00665783"/>
    <w:rsid w:val="00680CFA"/>
    <w:rsid w:val="00692128"/>
    <w:rsid w:val="00697F14"/>
    <w:rsid w:val="006A3D9D"/>
    <w:rsid w:val="006A7C48"/>
    <w:rsid w:val="006B33D6"/>
    <w:rsid w:val="006B3DC7"/>
    <w:rsid w:val="006C0085"/>
    <w:rsid w:val="006C2B52"/>
    <w:rsid w:val="006C35C5"/>
    <w:rsid w:val="006D71BC"/>
    <w:rsid w:val="006E6D33"/>
    <w:rsid w:val="006F4751"/>
    <w:rsid w:val="006F71BB"/>
    <w:rsid w:val="007024B4"/>
    <w:rsid w:val="007155FC"/>
    <w:rsid w:val="007156E0"/>
    <w:rsid w:val="00716956"/>
    <w:rsid w:val="00725A9D"/>
    <w:rsid w:val="00725CBA"/>
    <w:rsid w:val="007272F9"/>
    <w:rsid w:val="00730053"/>
    <w:rsid w:val="00730433"/>
    <w:rsid w:val="007352DD"/>
    <w:rsid w:val="0073699A"/>
    <w:rsid w:val="00746899"/>
    <w:rsid w:val="00750E5E"/>
    <w:rsid w:val="00754ABE"/>
    <w:rsid w:val="00756D5B"/>
    <w:rsid w:val="007603BB"/>
    <w:rsid w:val="00774045"/>
    <w:rsid w:val="00776807"/>
    <w:rsid w:val="0077789B"/>
    <w:rsid w:val="00777E08"/>
    <w:rsid w:val="0078062F"/>
    <w:rsid w:val="007827E7"/>
    <w:rsid w:val="00784629"/>
    <w:rsid w:val="0079163D"/>
    <w:rsid w:val="0079187F"/>
    <w:rsid w:val="00793809"/>
    <w:rsid w:val="007A1FFE"/>
    <w:rsid w:val="007A357A"/>
    <w:rsid w:val="007A6DBA"/>
    <w:rsid w:val="007B03C9"/>
    <w:rsid w:val="007B2958"/>
    <w:rsid w:val="007B6690"/>
    <w:rsid w:val="007C090B"/>
    <w:rsid w:val="007C0A03"/>
    <w:rsid w:val="007C1CE3"/>
    <w:rsid w:val="007D0D75"/>
    <w:rsid w:val="007D185A"/>
    <w:rsid w:val="007E603C"/>
    <w:rsid w:val="007F735A"/>
    <w:rsid w:val="00806E5F"/>
    <w:rsid w:val="00817425"/>
    <w:rsid w:val="008237E4"/>
    <w:rsid w:val="00841D7A"/>
    <w:rsid w:val="00845A5C"/>
    <w:rsid w:val="00846856"/>
    <w:rsid w:val="00853345"/>
    <w:rsid w:val="008601F7"/>
    <w:rsid w:val="00864209"/>
    <w:rsid w:val="00865450"/>
    <w:rsid w:val="008824B9"/>
    <w:rsid w:val="0088315D"/>
    <w:rsid w:val="008833B6"/>
    <w:rsid w:val="00884205"/>
    <w:rsid w:val="00886BB5"/>
    <w:rsid w:val="00893782"/>
    <w:rsid w:val="008B15A7"/>
    <w:rsid w:val="008B5BFB"/>
    <w:rsid w:val="008B7F00"/>
    <w:rsid w:val="008C2F5C"/>
    <w:rsid w:val="008C39B5"/>
    <w:rsid w:val="008C4CE2"/>
    <w:rsid w:val="008C60EE"/>
    <w:rsid w:val="008C6F68"/>
    <w:rsid w:val="008D1D24"/>
    <w:rsid w:val="008D5779"/>
    <w:rsid w:val="008D7BF2"/>
    <w:rsid w:val="008E05A3"/>
    <w:rsid w:val="008F5DEF"/>
    <w:rsid w:val="009009B8"/>
    <w:rsid w:val="00900F2B"/>
    <w:rsid w:val="00901475"/>
    <w:rsid w:val="00906127"/>
    <w:rsid w:val="009169BC"/>
    <w:rsid w:val="00921C55"/>
    <w:rsid w:val="0092299D"/>
    <w:rsid w:val="00927277"/>
    <w:rsid w:val="00930CD7"/>
    <w:rsid w:val="00932C7B"/>
    <w:rsid w:val="009350C2"/>
    <w:rsid w:val="0094239F"/>
    <w:rsid w:val="00947469"/>
    <w:rsid w:val="009518FA"/>
    <w:rsid w:val="00956501"/>
    <w:rsid w:val="009612CC"/>
    <w:rsid w:val="009621FB"/>
    <w:rsid w:val="00965BD4"/>
    <w:rsid w:val="00976A02"/>
    <w:rsid w:val="00976CD7"/>
    <w:rsid w:val="0098535B"/>
    <w:rsid w:val="009952D0"/>
    <w:rsid w:val="0099561C"/>
    <w:rsid w:val="0099574D"/>
    <w:rsid w:val="00995F44"/>
    <w:rsid w:val="009A6925"/>
    <w:rsid w:val="009B039E"/>
    <w:rsid w:val="009B15A1"/>
    <w:rsid w:val="009B1992"/>
    <w:rsid w:val="009C3FAE"/>
    <w:rsid w:val="009C4ABF"/>
    <w:rsid w:val="009C5183"/>
    <w:rsid w:val="009D46D7"/>
    <w:rsid w:val="009D4B87"/>
    <w:rsid w:val="009F0055"/>
    <w:rsid w:val="009F07CC"/>
    <w:rsid w:val="009F18CE"/>
    <w:rsid w:val="009F1D27"/>
    <w:rsid w:val="009F5625"/>
    <w:rsid w:val="00A012A5"/>
    <w:rsid w:val="00A0397B"/>
    <w:rsid w:val="00A04E02"/>
    <w:rsid w:val="00A05276"/>
    <w:rsid w:val="00A05840"/>
    <w:rsid w:val="00A06A89"/>
    <w:rsid w:val="00A135BE"/>
    <w:rsid w:val="00A32B81"/>
    <w:rsid w:val="00A35C98"/>
    <w:rsid w:val="00A36290"/>
    <w:rsid w:val="00A36875"/>
    <w:rsid w:val="00A5331A"/>
    <w:rsid w:val="00A7049C"/>
    <w:rsid w:val="00A80135"/>
    <w:rsid w:val="00A82023"/>
    <w:rsid w:val="00A8381C"/>
    <w:rsid w:val="00AA0A20"/>
    <w:rsid w:val="00AA1541"/>
    <w:rsid w:val="00AA2B6A"/>
    <w:rsid w:val="00AA3704"/>
    <w:rsid w:val="00AA373E"/>
    <w:rsid w:val="00AA6021"/>
    <w:rsid w:val="00AA6CAF"/>
    <w:rsid w:val="00AA7CA2"/>
    <w:rsid w:val="00AB0594"/>
    <w:rsid w:val="00AB2166"/>
    <w:rsid w:val="00AB43D9"/>
    <w:rsid w:val="00AC0FD1"/>
    <w:rsid w:val="00AC134B"/>
    <w:rsid w:val="00AC4995"/>
    <w:rsid w:val="00AC4B9B"/>
    <w:rsid w:val="00AD57B2"/>
    <w:rsid w:val="00AE2F4F"/>
    <w:rsid w:val="00AE34D3"/>
    <w:rsid w:val="00AE7EE6"/>
    <w:rsid w:val="00B030BE"/>
    <w:rsid w:val="00B040EE"/>
    <w:rsid w:val="00B0594B"/>
    <w:rsid w:val="00B122EA"/>
    <w:rsid w:val="00B234D1"/>
    <w:rsid w:val="00B324A5"/>
    <w:rsid w:val="00B33E41"/>
    <w:rsid w:val="00B343F2"/>
    <w:rsid w:val="00B35939"/>
    <w:rsid w:val="00B3608A"/>
    <w:rsid w:val="00B42FA9"/>
    <w:rsid w:val="00B4551C"/>
    <w:rsid w:val="00B460AF"/>
    <w:rsid w:val="00B52010"/>
    <w:rsid w:val="00B5581F"/>
    <w:rsid w:val="00B574E7"/>
    <w:rsid w:val="00B6108B"/>
    <w:rsid w:val="00B64488"/>
    <w:rsid w:val="00B662B2"/>
    <w:rsid w:val="00B6763B"/>
    <w:rsid w:val="00B67CBD"/>
    <w:rsid w:val="00B743BC"/>
    <w:rsid w:val="00B76215"/>
    <w:rsid w:val="00B81192"/>
    <w:rsid w:val="00B85C33"/>
    <w:rsid w:val="00B87715"/>
    <w:rsid w:val="00B921A8"/>
    <w:rsid w:val="00BA2986"/>
    <w:rsid w:val="00BC3F3E"/>
    <w:rsid w:val="00BC7EEE"/>
    <w:rsid w:val="00BD19AE"/>
    <w:rsid w:val="00BE298E"/>
    <w:rsid w:val="00BE50FE"/>
    <w:rsid w:val="00BE5958"/>
    <w:rsid w:val="00BF071D"/>
    <w:rsid w:val="00BF0EAB"/>
    <w:rsid w:val="00BF10EA"/>
    <w:rsid w:val="00BF5479"/>
    <w:rsid w:val="00C01E1C"/>
    <w:rsid w:val="00C02E48"/>
    <w:rsid w:val="00C21266"/>
    <w:rsid w:val="00C27EF9"/>
    <w:rsid w:val="00C3018F"/>
    <w:rsid w:val="00C30671"/>
    <w:rsid w:val="00C47696"/>
    <w:rsid w:val="00C53BED"/>
    <w:rsid w:val="00C577C8"/>
    <w:rsid w:val="00C62BD4"/>
    <w:rsid w:val="00C63E30"/>
    <w:rsid w:val="00C67E73"/>
    <w:rsid w:val="00C733DE"/>
    <w:rsid w:val="00C73967"/>
    <w:rsid w:val="00C76379"/>
    <w:rsid w:val="00C84877"/>
    <w:rsid w:val="00C94023"/>
    <w:rsid w:val="00C941C3"/>
    <w:rsid w:val="00C94EAF"/>
    <w:rsid w:val="00C96EBF"/>
    <w:rsid w:val="00CB2C3B"/>
    <w:rsid w:val="00CC3FF6"/>
    <w:rsid w:val="00CC6623"/>
    <w:rsid w:val="00CD31A0"/>
    <w:rsid w:val="00CD5D90"/>
    <w:rsid w:val="00CE1C9D"/>
    <w:rsid w:val="00CE35DA"/>
    <w:rsid w:val="00CE49CA"/>
    <w:rsid w:val="00CE5750"/>
    <w:rsid w:val="00CF166A"/>
    <w:rsid w:val="00CF3BFB"/>
    <w:rsid w:val="00CF6AE1"/>
    <w:rsid w:val="00D00569"/>
    <w:rsid w:val="00D102A7"/>
    <w:rsid w:val="00D10E96"/>
    <w:rsid w:val="00D1288A"/>
    <w:rsid w:val="00D15473"/>
    <w:rsid w:val="00D30F97"/>
    <w:rsid w:val="00D33169"/>
    <w:rsid w:val="00D333B8"/>
    <w:rsid w:val="00D353F4"/>
    <w:rsid w:val="00D357B5"/>
    <w:rsid w:val="00D41908"/>
    <w:rsid w:val="00D43EF7"/>
    <w:rsid w:val="00D44EA3"/>
    <w:rsid w:val="00D52F6D"/>
    <w:rsid w:val="00D56B5D"/>
    <w:rsid w:val="00D63793"/>
    <w:rsid w:val="00D73611"/>
    <w:rsid w:val="00D75447"/>
    <w:rsid w:val="00D76B5D"/>
    <w:rsid w:val="00D82D9A"/>
    <w:rsid w:val="00D90810"/>
    <w:rsid w:val="00DA5694"/>
    <w:rsid w:val="00DB5B90"/>
    <w:rsid w:val="00DB6D67"/>
    <w:rsid w:val="00DC2093"/>
    <w:rsid w:val="00DC5C22"/>
    <w:rsid w:val="00DE5E8F"/>
    <w:rsid w:val="00DF06A0"/>
    <w:rsid w:val="00E21AB5"/>
    <w:rsid w:val="00E32625"/>
    <w:rsid w:val="00E32971"/>
    <w:rsid w:val="00E422D1"/>
    <w:rsid w:val="00E50968"/>
    <w:rsid w:val="00E526A4"/>
    <w:rsid w:val="00E63350"/>
    <w:rsid w:val="00E81663"/>
    <w:rsid w:val="00E904B2"/>
    <w:rsid w:val="00E9155E"/>
    <w:rsid w:val="00E973F5"/>
    <w:rsid w:val="00EA4C31"/>
    <w:rsid w:val="00EB0CCC"/>
    <w:rsid w:val="00EB2A33"/>
    <w:rsid w:val="00EB41E9"/>
    <w:rsid w:val="00EB5EBC"/>
    <w:rsid w:val="00EB7B43"/>
    <w:rsid w:val="00ED12C3"/>
    <w:rsid w:val="00ED3AC7"/>
    <w:rsid w:val="00ED6F50"/>
    <w:rsid w:val="00EE0457"/>
    <w:rsid w:val="00EE1252"/>
    <w:rsid w:val="00EE3021"/>
    <w:rsid w:val="00EE47FF"/>
    <w:rsid w:val="00EE7911"/>
    <w:rsid w:val="00EF2384"/>
    <w:rsid w:val="00F00895"/>
    <w:rsid w:val="00F04CFB"/>
    <w:rsid w:val="00F05189"/>
    <w:rsid w:val="00F22E8B"/>
    <w:rsid w:val="00F324E0"/>
    <w:rsid w:val="00F35AD9"/>
    <w:rsid w:val="00F43FF3"/>
    <w:rsid w:val="00F4608D"/>
    <w:rsid w:val="00F466E9"/>
    <w:rsid w:val="00F5124B"/>
    <w:rsid w:val="00F62FA4"/>
    <w:rsid w:val="00F71040"/>
    <w:rsid w:val="00F71A6A"/>
    <w:rsid w:val="00F73D18"/>
    <w:rsid w:val="00F77BEF"/>
    <w:rsid w:val="00F80E24"/>
    <w:rsid w:val="00F86E81"/>
    <w:rsid w:val="00F94742"/>
    <w:rsid w:val="00F96D00"/>
    <w:rsid w:val="00FA14BD"/>
    <w:rsid w:val="00FA79A1"/>
    <w:rsid w:val="00FD3E2F"/>
    <w:rsid w:val="00FE6E31"/>
    <w:rsid w:val="00FF08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4B9"/>
    <w:pPr>
      <w:suppressAutoHyphens/>
    </w:pPr>
    <w:rPr>
      <w:sz w:val="24"/>
      <w:lang w:val="en-GB" w:eastAsia="fr-FR"/>
    </w:rPr>
  </w:style>
  <w:style w:type="paragraph" w:styleId="Heading1">
    <w:name w:val="heading 1"/>
    <w:basedOn w:val="Normal"/>
    <w:next w:val="Normal"/>
    <w:qFormat/>
    <w:rsid w:val="008824B9"/>
    <w:pPr>
      <w:keepNext/>
      <w:spacing w:before="360" w:after="240"/>
      <w:jc w:val="center"/>
      <w:outlineLvl w:val="0"/>
    </w:pPr>
    <w:rPr>
      <w:b/>
      <w:sz w:val="28"/>
    </w:rPr>
  </w:style>
  <w:style w:type="paragraph" w:styleId="Heading2">
    <w:name w:val="heading 2"/>
    <w:basedOn w:val="Normal"/>
    <w:next w:val="Normal"/>
    <w:qFormat/>
    <w:rsid w:val="008824B9"/>
    <w:pPr>
      <w:keepNext/>
      <w:spacing w:before="240" w:after="120"/>
      <w:ind w:left="284" w:hanging="284"/>
      <w:outlineLvl w:val="1"/>
    </w:pPr>
    <w:rPr>
      <w:b/>
    </w:rPr>
  </w:style>
  <w:style w:type="paragraph" w:styleId="Heading3">
    <w:name w:val="heading 3"/>
    <w:basedOn w:val="Normal"/>
    <w:next w:val="Normal"/>
    <w:qFormat/>
    <w:rsid w:val="008824B9"/>
    <w:pPr>
      <w:keepNext/>
      <w:spacing w:before="120" w:after="60"/>
      <w:ind w:left="1418" w:hanging="851"/>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jc w:val="both"/>
      <w:outlineLvl w:val="8"/>
    </w:pPr>
    <w:rPr>
      <w:i/>
      <w:spacing w:val="-2"/>
      <w:sz w:val="22"/>
    </w:rPr>
  </w:style>
  <w:style w:type="character" w:default="1" w:styleId="DefaultParagraphFont">
    <w:name w:val="Default Paragraph Font"/>
    <w:semiHidden/>
    <w:rsid w:val="008824B9"/>
  </w:style>
  <w:style w:type="table" w:default="1" w:styleId="TableNormal">
    <w:name w:val="Normal Table"/>
    <w:semiHidden/>
    <w:rsid w:val="009B039E"/>
    <w:tblPr>
      <w:tblInd w:w="0" w:type="dxa"/>
      <w:tblCellMar>
        <w:top w:w="0" w:type="dxa"/>
        <w:left w:w="108" w:type="dxa"/>
        <w:bottom w:w="0" w:type="dxa"/>
        <w:right w:w="108" w:type="dxa"/>
      </w:tblCellMar>
    </w:tblPr>
  </w:style>
  <w:style w:type="numbering" w:default="1" w:styleId="NoList">
    <w:name w:val="No List"/>
    <w:semiHidden/>
    <w:rsid w:val="008824B9"/>
  </w:style>
  <w:style w:type="paragraph" w:customStyle="1" w:styleId="OpiHA">
    <w:name w:val="Opi_H_A"/>
    <w:basedOn w:val="JuHIRoman"/>
    <w:next w:val="OpiPara"/>
    <w:rsid w:val="00302008"/>
    <w:pPr>
      <w:tabs>
        <w:tab w:val="clear" w:pos="357"/>
      </w:tabs>
    </w:pPr>
    <w:rPr>
      <w:b/>
    </w:rPr>
  </w:style>
  <w:style w:type="paragraph" w:customStyle="1" w:styleId="JuHIRoman">
    <w:name w:val="Ju_H_I_Roman"/>
    <w:basedOn w:val="JuHHead"/>
    <w:next w:val="JuPara"/>
    <w:rsid w:val="00D1288A"/>
    <w:pPr>
      <w:tabs>
        <w:tab w:val="left" w:pos="357"/>
      </w:tabs>
      <w:spacing w:before="360"/>
      <w:ind w:left="357" w:hanging="357"/>
      <w:outlineLvl w:val="1"/>
    </w:pPr>
    <w:rPr>
      <w:sz w:val="24"/>
    </w:rPr>
  </w:style>
  <w:style w:type="paragraph" w:customStyle="1" w:styleId="JuHHead">
    <w:name w:val="Ju_H_Head"/>
    <w:basedOn w:val="NormalTimesNewRoman"/>
    <w:next w:val="JuPara"/>
    <w:rsid w:val="00D1288A"/>
    <w:pPr>
      <w:keepNext/>
      <w:keepLines/>
      <w:spacing w:before="720" w:after="240"/>
      <w:jc w:val="both"/>
      <w:outlineLvl w:val="0"/>
    </w:pPr>
    <w:rPr>
      <w:sz w:val="28"/>
    </w:rPr>
  </w:style>
  <w:style w:type="character" w:customStyle="1" w:styleId="DefaultTimesNewRoman">
    <w:name w:val="Default_TimesNewRoman"/>
    <w:rsid w:val="00D1288A"/>
    <w:rPr>
      <w:rFonts w:ascii="Times New Roman" w:hAnsi="Times New Roman"/>
    </w:rPr>
  </w:style>
  <w:style w:type="paragraph" w:customStyle="1" w:styleId="JuPara">
    <w:name w:val="Ju_Para"/>
    <w:aliases w:val="Left,First line:  0 cm"/>
    <w:basedOn w:val="NormalTimesNewRoman"/>
    <w:link w:val="JuParaChar"/>
    <w:rsid w:val="00D1288A"/>
    <w:pPr>
      <w:ind w:firstLine="284"/>
      <w:jc w:val="both"/>
    </w:pPr>
  </w:style>
  <w:style w:type="character" w:customStyle="1" w:styleId="JuParaChar">
    <w:name w:val="Ju_Para Char"/>
    <w:link w:val="JuPara"/>
    <w:rsid w:val="00B921A8"/>
    <w:rPr>
      <w:sz w:val="24"/>
      <w:lang w:val="en-GB" w:eastAsia="fr-FR" w:bidi="ar-SA"/>
    </w:rPr>
  </w:style>
  <w:style w:type="paragraph" w:customStyle="1" w:styleId="OpiPara">
    <w:name w:val="Opi_Para"/>
    <w:basedOn w:val="JuPara"/>
    <w:rsid w:val="00302008"/>
  </w:style>
  <w:style w:type="paragraph" w:customStyle="1" w:styleId="OpiH1">
    <w:name w:val="Opi_H_1."/>
    <w:basedOn w:val="OpiHA"/>
    <w:next w:val="OpiPara"/>
    <w:rsid w:val="00302008"/>
    <w:pPr>
      <w:spacing w:before="240" w:after="120"/>
      <w:ind w:left="635"/>
      <w:outlineLvl w:val="2"/>
    </w:pPr>
    <w:rPr>
      <w:b w:val="0"/>
      <w:i/>
    </w:rPr>
  </w:style>
  <w:style w:type="paragraph" w:customStyle="1" w:styleId="OpiHa0">
    <w:name w:val="Opi_H_a"/>
    <w:basedOn w:val="OpiH1"/>
    <w:next w:val="OpiPara"/>
    <w:rsid w:val="00302008"/>
    <w:pPr>
      <w:ind w:left="833"/>
      <w:outlineLvl w:val="3"/>
    </w:pPr>
    <w:rPr>
      <w:b/>
      <w:i w:val="0"/>
      <w:sz w:val="20"/>
    </w:rPr>
  </w:style>
  <w:style w:type="paragraph" w:customStyle="1" w:styleId="OpiHHead">
    <w:name w:val="Opi_H_Head"/>
    <w:basedOn w:val="JuHHead"/>
    <w:next w:val="OpiPara"/>
    <w:rsid w:val="00302008"/>
    <w:pPr>
      <w:spacing w:before="0"/>
      <w:jc w:val="center"/>
    </w:pPr>
  </w:style>
  <w:style w:type="paragraph" w:customStyle="1" w:styleId="OpiHi">
    <w:name w:val="Opi_H_i"/>
    <w:basedOn w:val="OpiHa0"/>
    <w:next w:val="OpiPara"/>
    <w:rsid w:val="00302008"/>
    <w:pPr>
      <w:ind w:left="1037"/>
      <w:outlineLvl w:val="4"/>
    </w:pPr>
    <w:rPr>
      <w:b w:val="0"/>
      <w:i/>
    </w:rPr>
  </w:style>
  <w:style w:type="paragraph" w:styleId="Footer">
    <w:name w:val="footer"/>
    <w:basedOn w:val="NormalTimesNewRoman"/>
    <w:rsid w:val="00D1288A"/>
    <w:pPr>
      <w:tabs>
        <w:tab w:val="center" w:pos="3686"/>
        <w:tab w:val="right" w:pos="7371"/>
      </w:tabs>
    </w:pPr>
    <w:rPr>
      <w:sz w:val="18"/>
    </w:rPr>
  </w:style>
  <w:style w:type="paragraph" w:customStyle="1" w:styleId="JuJudges">
    <w:name w:val="Ju_Judges"/>
    <w:basedOn w:val="NormalTimesNewRoman"/>
    <w:link w:val="JuJudgesChar"/>
    <w:rsid w:val="00D1288A"/>
    <w:pPr>
      <w:tabs>
        <w:tab w:val="left" w:pos="567"/>
        <w:tab w:val="left" w:pos="1134"/>
      </w:tabs>
    </w:pPr>
  </w:style>
  <w:style w:type="character" w:customStyle="1" w:styleId="JuJudgesChar">
    <w:name w:val="Ju_Judges Char"/>
    <w:link w:val="JuJudges"/>
    <w:locked/>
    <w:rsid w:val="00D15473"/>
    <w:rPr>
      <w:sz w:val="24"/>
      <w:lang w:val="en-GB" w:eastAsia="fr-FR" w:bidi="ar-SA"/>
    </w:rPr>
  </w:style>
  <w:style w:type="paragraph" w:customStyle="1" w:styleId="JuHA">
    <w:name w:val="Ju_H_A"/>
    <w:basedOn w:val="JuHIRoman"/>
    <w:next w:val="JuPara"/>
    <w:rsid w:val="00D1288A"/>
    <w:pPr>
      <w:tabs>
        <w:tab w:val="clear" w:pos="357"/>
        <w:tab w:val="left" w:pos="584"/>
      </w:tabs>
      <w:ind w:left="584" w:hanging="352"/>
      <w:outlineLvl w:val="2"/>
    </w:pPr>
    <w:rPr>
      <w:b/>
    </w:rPr>
  </w:style>
  <w:style w:type="paragraph" w:customStyle="1" w:styleId="JuQuot">
    <w:name w:val="Ju_Quot"/>
    <w:basedOn w:val="JuPara"/>
    <w:rsid w:val="00D1288A"/>
    <w:pPr>
      <w:spacing w:before="120" w:after="120"/>
      <w:ind w:left="425" w:firstLine="142"/>
    </w:pPr>
    <w:rPr>
      <w:sz w:val="20"/>
    </w:rPr>
  </w:style>
  <w:style w:type="paragraph" w:customStyle="1" w:styleId="JuSigned">
    <w:name w:val="Ju_Signed"/>
    <w:basedOn w:val="NormalTimesNewRoman"/>
    <w:next w:val="JuParaLast"/>
    <w:link w:val="JuSignedChar"/>
    <w:rsid w:val="00D1288A"/>
    <w:pPr>
      <w:tabs>
        <w:tab w:val="center" w:pos="851"/>
        <w:tab w:val="center" w:pos="6407"/>
      </w:tabs>
      <w:spacing w:before="720"/>
    </w:pPr>
  </w:style>
  <w:style w:type="paragraph" w:customStyle="1" w:styleId="JuParaLast">
    <w:name w:val="Ju_Para_Last"/>
    <w:basedOn w:val="JuPara"/>
    <w:next w:val="JuPara"/>
    <w:rsid w:val="00D1288A"/>
    <w:pPr>
      <w:keepNext/>
      <w:keepLines/>
      <w:spacing w:before="240"/>
    </w:pPr>
  </w:style>
  <w:style w:type="character" w:customStyle="1" w:styleId="JuSignedChar">
    <w:name w:val="Ju_Signed Char"/>
    <w:link w:val="JuSigned"/>
    <w:rsid w:val="000726F6"/>
    <w:rPr>
      <w:sz w:val="24"/>
      <w:lang w:val="en-GB" w:eastAsia="fr-FR" w:bidi="ar-SA"/>
    </w:rPr>
  </w:style>
  <w:style w:type="paragraph" w:customStyle="1" w:styleId="JuCase">
    <w:name w:val="Ju_Case"/>
    <w:basedOn w:val="JuPara"/>
    <w:next w:val="JuPara"/>
    <w:link w:val="JuCaseChar"/>
    <w:rsid w:val="00D1288A"/>
    <w:rPr>
      <w:b/>
    </w:rPr>
  </w:style>
  <w:style w:type="character" w:customStyle="1" w:styleId="JuCaseChar">
    <w:name w:val="Ju_Case Char"/>
    <w:link w:val="JuCase"/>
    <w:rsid w:val="00B921A8"/>
    <w:rPr>
      <w:b/>
      <w:sz w:val="24"/>
      <w:lang w:val="en-GB" w:eastAsia="fr-FR" w:bidi="ar-SA"/>
    </w:rPr>
  </w:style>
  <w:style w:type="paragraph" w:customStyle="1" w:styleId="JuList">
    <w:name w:val="Ju_List"/>
    <w:basedOn w:val="JuPara"/>
    <w:link w:val="JuListChar"/>
    <w:rsid w:val="00D1288A"/>
    <w:pPr>
      <w:ind w:left="340" w:hanging="340"/>
    </w:pPr>
  </w:style>
  <w:style w:type="character" w:customStyle="1" w:styleId="JuListChar">
    <w:name w:val="Ju_List Char"/>
    <w:link w:val="JuList"/>
    <w:rsid w:val="00930CD7"/>
    <w:rPr>
      <w:sz w:val="24"/>
      <w:lang w:val="en-GB" w:eastAsia="fr-FR" w:bidi="ar-SA"/>
    </w:rPr>
  </w:style>
  <w:style w:type="paragraph" w:customStyle="1" w:styleId="JuHArticle">
    <w:name w:val="Ju_H_Article"/>
    <w:basedOn w:val="JuHa0"/>
    <w:next w:val="JuQuot"/>
    <w:rsid w:val="00D1288A"/>
    <w:pPr>
      <w:ind w:left="0" w:firstLine="0"/>
      <w:jc w:val="center"/>
    </w:pPr>
  </w:style>
  <w:style w:type="paragraph" w:customStyle="1" w:styleId="JuHa0">
    <w:name w:val="Ju_H_a"/>
    <w:basedOn w:val="JuH1"/>
    <w:next w:val="JuPara"/>
    <w:rsid w:val="00D1288A"/>
    <w:pPr>
      <w:tabs>
        <w:tab w:val="clear" w:pos="731"/>
        <w:tab w:val="left" w:pos="975"/>
      </w:tabs>
      <w:ind w:left="975" w:hanging="340"/>
      <w:outlineLvl w:val="4"/>
    </w:pPr>
    <w:rPr>
      <w:b/>
      <w:i w:val="0"/>
      <w:sz w:val="20"/>
    </w:rPr>
  </w:style>
  <w:style w:type="paragraph" w:customStyle="1" w:styleId="JuH1">
    <w:name w:val="Ju_H_1."/>
    <w:basedOn w:val="JuHA"/>
    <w:next w:val="JuPara"/>
    <w:rsid w:val="00D1288A"/>
    <w:pPr>
      <w:tabs>
        <w:tab w:val="clear" w:pos="584"/>
        <w:tab w:val="left" w:pos="731"/>
      </w:tabs>
      <w:spacing w:before="240" w:after="120"/>
      <w:ind w:left="732" w:hanging="301"/>
      <w:outlineLvl w:val="3"/>
    </w:pPr>
    <w:rPr>
      <w:b w:val="0"/>
      <w:i/>
    </w:rPr>
  </w:style>
  <w:style w:type="paragraph" w:customStyle="1" w:styleId="JuQuotList">
    <w:name w:val="Ju_Quot_List"/>
    <w:basedOn w:val="JuQuot"/>
    <w:pPr>
      <w:tabs>
        <w:tab w:val="left" w:pos="1021"/>
      </w:tabs>
      <w:ind w:left="567" w:firstLine="0"/>
    </w:pPr>
  </w:style>
  <w:style w:type="paragraph" w:customStyle="1" w:styleId="JuCourt">
    <w:name w:val="Ju_Court"/>
    <w:basedOn w:val="JuJudges"/>
    <w:rsid w:val="00D1288A"/>
    <w:pPr>
      <w:tabs>
        <w:tab w:val="clear" w:pos="567"/>
        <w:tab w:val="clear" w:pos="1134"/>
        <w:tab w:val="left" w:pos="907"/>
        <w:tab w:val="left" w:pos="1701"/>
        <w:tab w:val="right" w:pos="7371"/>
      </w:tabs>
      <w:spacing w:before="240"/>
      <w:ind w:left="397" w:hanging="397"/>
    </w:pPr>
  </w:style>
  <w:style w:type="paragraph" w:customStyle="1" w:styleId="OpiQuot">
    <w:name w:val="Opi_Quot"/>
    <w:basedOn w:val="JuQuot"/>
    <w:rsid w:val="00302008"/>
  </w:style>
  <w:style w:type="paragraph" w:customStyle="1" w:styleId="OpiTranslation">
    <w:name w:val="Opi_Translation"/>
    <w:basedOn w:val="OpiHHead"/>
    <w:next w:val="OpiPara"/>
    <w:rsid w:val="00302008"/>
    <w:rPr>
      <w:i/>
      <w:sz w:val="24"/>
    </w:rPr>
  </w:style>
  <w:style w:type="paragraph" w:styleId="FootnoteText">
    <w:name w:val="footnote text"/>
    <w:basedOn w:val="Normal"/>
    <w:semiHidden/>
    <w:rsid w:val="00D1288A"/>
    <w:pPr>
      <w:jc w:val="both"/>
    </w:pPr>
    <w:rPr>
      <w:sz w:val="20"/>
    </w:rPr>
  </w:style>
  <w:style w:type="character" w:styleId="FootnoteReference">
    <w:name w:val="footnote reference"/>
    <w:semiHidden/>
    <w:rsid w:val="00D1288A"/>
    <w:rPr>
      <w:vertAlign w:val="superscript"/>
    </w:rPr>
  </w:style>
  <w:style w:type="paragraph" w:customStyle="1" w:styleId="JuHi">
    <w:name w:val="Ju_H_i"/>
    <w:basedOn w:val="JuHa0"/>
    <w:next w:val="JuPara"/>
    <w:rsid w:val="00D1288A"/>
    <w:pPr>
      <w:tabs>
        <w:tab w:val="clear" w:pos="975"/>
        <w:tab w:val="left" w:pos="1191"/>
      </w:tabs>
      <w:ind w:left="1190" w:hanging="357"/>
      <w:outlineLvl w:val="5"/>
    </w:pPr>
    <w:rPr>
      <w:b w:val="0"/>
      <w:i/>
    </w:rPr>
  </w:style>
  <w:style w:type="paragraph" w:styleId="Header">
    <w:name w:val="header"/>
    <w:basedOn w:val="NormalTimesNewRoman"/>
    <w:rsid w:val="00D1288A"/>
    <w:pPr>
      <w:tabs>
        <w:tab w:val="center" w:pos="3686"/>
        <w:tab w:val="right" w:pos="7371"/>
      </w:tabs>
    </w:pPr>
    <w:rPr>
      <w:sz w:val="18"/>
    </w:rPr>
  </w:style>
  <w:style w:type="character" w:styleId="PageNumber">
    <w:name w:val="page number"/>
    <w:rsid w:val="00D1288A"/>
    <w:rPr>
      <w:sz w:val="18"/>
    </w:rPr>
  </w:style>
  <w:style w:type="paragraph" w:customStyle="1" w:styleId="JuH">
    <w:name w:val="Ju_H_–"/>
    <w:basedOn w:val="JuHalpha"/>
    <w:next w:val="JuPara"/>
    <w:rsid w:val="00D1288A"/>
    <w:pPr>
      <w:tabs>
        <w:tab w:val="clear" w:pos="1372"/>
      </w:tabs>
      <w:ind w:left="1236" w:firstLine="0"/>
    </w:pPr>
    <w:rPr>
      <w:i/>
    </w:rPr>
  </w:style>
  <w:style w:type="paragraph" w:customStyle="1" w:styleId="JuHalpha">
    <w:name w:val="Ju_H_alpha"/>
    <w:basedOn w:val="JuHi"/>
    <w:next w:val="JuPara"/>
    <w:rsid w:val="00D1288A"/>
    <w:pPr>
      <w:tabs>
        <w:tab w:val="clear" w:pos="1191"/>
        <w:tab w:val="left" w:pos="1372"/>
      </w:tabs>
      <w:ind w:left="1373" w:hanging="335"/>
    </w:pPr>
    <w:rPr>
      <w:i w:val="0"/>
    </w:rPr>
  </w:style>
  <w:style w:type="paragraph" w:customStyle="1" w:styleId="JuLista">
    <w:name w:val="Ju_List_a"/>
    <w:basedOn w:val="JuList"/>
    <w:rsid w:val="00D1288A"/>
    <w:pPr>
      <w:ind w:left="346" w:firstLine="0"/>
    </w:pPr>
  </w:style>
  <w:style w:type="paragraph" w:customStyle="1" w:styleId="JuListi">
    <w:name w:val="Ju_List_i"/>
    <w:basedOn w:val="JuLista"/>
    <w:rsid w:val="00D1288A"/>
    <w:pPr>
      <w:ind w:left="794"/>
    </w:pPr>
  </w:style>
  <w:style w:type="character" w:styleId="CommentReference">
    <w:name w:val="annotation reference"/>
    <w:semiHidden/>
    <w:rPr>
      <w:sz w:val="16"/>
    </w:rPr>
  </w:style>
  <w:style w:type="paragraph" w:styleId="CommentText">
    <w:name w:val="annotation text"/>
    <w:basedOn w:val="Normal"/>
    <w:semiHidden/>
    <w:rPr>
      <w:sz w:val="20"/>
    </w:rPr>
  </w:style>
  <w:style w:type="paragraph" w:customStyle="1" w:styleId="JuInitialled">
    <w:name w:val="Ju_Initialled"/>
    <w:basedOn w:val="JuSigned"/>
    <w:rsid w:val="00D1288A"/>
    <w:pPr>
      <w:tabs>
        <w:tab w:val="clear" w:pos="851"/>
      </w:tabs>
      <w:jc w:val="right"/>
    </w:pPr>
  </w:style>
  <w:style w:type="paragraph" w:customStyle="1" w:styleId="JuHeader">
    <w:name w:val="Ju_Header"/>
    <w:basedOn w:val="Header"/>
    <w:rsid w:val="00D1288A"/>
  </w:style>
  <w:style w:type="paragraph" w:customStyle="1" w:styleId="DecHTitle">
    <w:name w:val="Dec_H_Title"/>
    <w:basedOn w:val="Normal"/>
    <w:rsid w:val="0037228D"/>
    <w:pPr>
      <w:spacing w:after="240"/>
      <w:jc w:val="center"/>
      <w:outlineLvl w:val="0"/>
    </w:pPr>
    <w:rPr>
      <w:sz w:val="28"/>
    </w:rPr>
  </w:style>
  <w:style w:type="paragraph" w:customStyle="1" w:styleId="DecHCase">
    <w:name w:val="Dec_H_Case"/>
    <w:basedOn w:val="DecHTitle"/>
    <w:next w:val="JuPara"/>
    <w:rsid w:val="00302008"/>
    <w:rPr>
      <w:sz w:val="24"/>
    </w:rPr>
  </w:style>
  <w:style w:type="paragraph" w:customStyle="1" w:styleId="DecList">
    <w:name w:val="Dec_List"/>
    <w:basedOn w:val="Normal"/>
    <w:rsid w:val="0037228D"/>
    <w:pPr>
      <w:spacing w:before="240"/>
      <w:ind w:left="284"/>
      <w:jc w:val="both"/>
    </w:pPr>
  </w:style>
  <w:style w:type="paragraph" w:customStyle="1" w:styleId="JuParaSub">
    <w:name w:val="Ju_Para_Sub"/>
    <w:basedOn w:val="JuPara"/>
    <w:rsid w:val="00D1288A"/>
    <w:pPr>
      <w:ind w:left="284"/>
    </w:pPr>
    <w:rPr>
      <w:szCs w:val="24"/>
    </w:rPr>
  </w:style>
  <w:style w:type="paragraph" w:customStyle="1" w:styleId="JuQuotSub">
    <w:name w:val="Ju_Quot_Sub"/>
    <w:basedOn w:val="JuQuot"/>
    <w:rsid w:val="00D1288A"/>
    <w:pPr>
      <w:ind w:left="567"/>
    </w:pPr>
  </w:style>
  <w:style w:type="paragraph" w:styleId="BalloonText">
    <w:name w:val="Balloon Text"/>
    <w:basedOn w:val="Normal"/>
    <w:semiHidden/>
    <w:rsid w:val="00457A18"/>
    <w:rPr>
      <w:rFonts w:ascii="Tahoma" w:hAnsi="Tahoma" w:cs="Tahoma"/>
      <w:sz w:val="16"/>
      <w:szCs w:val="16"/>
    </w:rPr>
  </w:style>
  <w:style w:type="paragraph" w:styleId="CommentSubject">
    <w:name w:val="annotation subject"/>
    <w:basedOn w:val="CommentText"/>
    <w:next w:val="CommentText"/>
    <w:semiHidden/>
    <w:rsid w:val="00D353F4"/>
    <w:rPr>
      <w:b/>
      <w:bCs/>
    </w:rPr>
  </w:style>
  <w:style w:type="character" w:styleId="EndnoteReference">
    <w:name w:val="endnote reference"/>
    <w:semiHidden/>
    <w:rsid w:val="00D1288A"/>
    <w:rPr>
      <w:vertAlign w:val="superscript"/>
    </w:rPr>
  </w:style>
  <w:style w:type="paragraph" w:styleId="EndnoteText">
    <w:name w:val="endnote text"/>
    <w:basedOn w:val="Normal"/>
    <w:semiHidden/>
    <w:rsid w:val="00D1288A"/>
    <w:rPr>
      <w:sz w:val="20"/>
    </w:rPr>
  </w:style>
  <w:style w:type="character" w:styleId="FollowedHyperlink">
    <w:name w:val="FollowedHyperlink"/>
    <w:rsid w:val="00D1288A"/>
    <w:rPr>
      <w:color w:val="800080"/>
      <w:u w:val="single"/>
    </w:rPr>
  </w:style>
  <w:style w:type="paragraph" w:customStyle="1" w:styleId="SuCoverTitle1">
    <w:name w:val="Su_Cover_Title1"/>
    <w:basedOn w:val="Normal"/>
    <w:next w:val="SuCoverTitle2"/>
    <w:rsid w:val="0037228D"/>
    <w:pPr>
      <w:spacing w:before="2500"/>
      <w:jc w:val="center"/>
    </w:pPr>
    <w:rPr>
      <w:sz w:val="22"/>
    </w:rPr>
  </w:style>
  <w:style w:type="paragraph" w:customStyle="1" w:styleId="SuCoverTitle2">
    <w:name w:val="Su_Cover_Title2"/>
    <w:basedOn w:val="SuCoverTitle1"/>
    <w:next w:val="Normal"/>
    <w:rsid w:val="00864209"/>
    <w:pPr>
      <w:spacing w:before="240"/>
    </w:pPr>
    <w:rPr>
      <w:sz w:val="18"/>
    </w:rPr>
  </w:style>
  <w:style w:type="paragraph" w:customStyle="1" w:styleId="SuPara">
    <w:name w:val="Su_Para"/>
    <w:basedOn w:val="SuKeywords"/>
    <w:rsid w:val="00864209"/>
    <w:pPr>
      <w:spacing w:before="0" w:after="0"/>
    </w:pPr>
    <w:rPr>
      <w:i w:val="0"/>
    </w:rPr>
  </w:style>
  <w:style w:type="paragraph" w:customStyle="1" w:styleId="SuKeywords">
    <w:name w:val="Su_Keywords"/>
    <w:basedOn w:val="SuHHead"/>
    <w:rsid w:val="00864209"/>
    <w:pPr>
      <w:spacing w:before="120"/>
    </w:pPr>
    <w:rPr>
      <w:b w:val="0"/>
      <w:i/>
    </w:rPr>
  </w:style>
  <w:style w:type="paragraph" w:customStyle="1" w:styleId="SuHHead">
    <w:name w:val="Su_H_Head"/>
    <w:basedOn w:val="SuSubject"/>
    <w:rsid w:val="00864209"/>
    <w:pPr>
      <w:spacing w:after="120"/>
    </w:pPr>
  </w:style>
  <w:style w:type="paragraph" w:customStyle="1" w:styleId="SuSubject">
    <w:name w:val="Su_Subject"/>
    <w:basedOn w:val="SuSummary"/>
    <w:rsid w:val="00864209"/>
    <w:pPr>
      <w:suppressAutoHyphens w:val="0"/>
      <w:spacing w:before="360"/>
      <w:jc w:val="both"/>
    </w:pPr>
    <w:rPr>
      <w:b/>
      <w:sz w:val="22"/>
    </w:rPr>
  </w:style>
  <w:style w:type="paragraph" w:customStyle="1" w:styleId="SuSummary">
    <w:name w:val="Su_Summary"/>
    <w:basedOn w:val="Normal"/>
    <w:next w:val="SuSubject"/>
    <w:rsid w:val="0037228D"/>
    <w:pPr>
      <w:spacing w:after="240"/>
      <w:jc w:val="center"/>
    </w:pPr>
  </w:style>
  <w:style w:type="paragraph" w:customStyle="1" w:styleId="OpiParaSub">
    <w:name w:val="Opi_Para_Sub"/>
    <w:basedOn w:val="JuParaSub"/>
    <w:rsid w:val="00302008"/>
  </w:style>
  <w:style w:type="paragraph" w:customStyle="1" w:styleId="OpiQuotSub">
    <w:name w:val="Opi_Quot_Sub"/>
    <w:basedOn w:val="JuQuotSub"/>
    <w:rsid w:val="00302008"/>
  </w:style>
  <w:style w:type="character" w:styleId="Hyperlink">
    <w:name w:val="Hyperlink"/>
    <w:rsid w:val="00D1288A"/>
    <w:rPr>
      <w:color w:val="0000FF"/>
      <w:u w:val="single"/>
    </w:rPr>
  </w:style>
  <w:style w:type="character" w:styleId="Strong">
    <w:name w:val="Strong"/>
    <w:qFormat/>
    <w:rsid w:val="00AA7CA2"/>
    <w:rPr>
      <w:b/>
      <w:bCs/>
    </w:rPr>
  </w:style>
  <w:style w:type="paragraph" w:styleId="DocumentMap">
    <w:name w:val="Document Map"/>
    <w:basedOn w:val="Normal"/>
    <w:semiHidden/>
    <w:rsid w:val="008824B9"/>
    <w:pPr>
      <w:shd w:val="clear" w:color="auto" w:fill="000080"/>
    </w:pPr>
    <w:rPr>
      <w:rFonts w:ascii="Tahoma" w:hAnsi="Tahoma" w:cs="Tahoma"/>
      <w:sz w:val="20"/>
    </w:rPr>
  </w:style>
  <w:style w:type="character" w:customStyle="1" w:styleId="JuNames">
    <w:name w:val="Ju_Names"/>
    <w:rsid w:val="00D1288A"/>
    <w:rPr>
      <w:smallCaps/>
    </w:rPr>
  </w:style>
  <w:style w:type="paragraph" w:customStyle="1" w:styleId="NormalJustified">
    <w:name w:val="Normal_Justified"/>
    <w:basedOn w:val="Normal"/>
    <w:rsid w:val="008824B9"/>
    <w:pPr>
      <w:jc w:val="both"/>
    </w:pPr>
  </w:style>
  <w:style w:type="paragraph" w:customStyle="1" w:styleId="JuAppQuestion">
    <w:name w:val="Ju_App_Question"/>
    <w:basedOn w:val="ListBullet"/>
    <w:rsid w:val="00D1288A"/>
    <w:pPr>
      <w:numPr>
        <w:numId w:val="6"/>
      </w:numPr>
      <w:suppressAutoHyphens w:val="0"/>
    </w:pPr>
    <w:rPr>
      <w:b/>
      <w:color w:val="333333"/>
    </w:rPr>
  </w:style>
  <w:style w:type="paragraph" w:styleId="ListBullet">
    <w:name w:val="List Bullet"/>
    <w:basedOn w:val="Normal"/>
    <w:rsid w:val="008824B9"/>
    <w:pPr>
      <w:numPr>
        <w:numId w:val="2"/>
      </w:numPr>
    </w:pPr>
  </w:style>
  <w:style w:type="paragraph" w:customStyle="1" w:styleId="NormalTimesNewRoman">
    <w:name w:val="Normal_TimesNewRoman"/>
    <w:rsid w:val="00D1288A"/>
    <w:rPr>
      <w:sz w:val="24"/>
      <w:lang w:val="en-GB" w:eastAsia="fr-FR"/>
    </w:rPr>
  </w:style>
  <w:style w:type="character" w:customStyle="1" w:styleId="JuITMark">
    <w:name w:val="Ju_ITMark"/>
    <w:rsid w:val="00D1288A"/>
    <w:rPr>
      <w:rFonts w:ascii="Times New Roman" w:hAnsi="Times New Roman"/>
      <w:vanish/>
      <w:color w:val="339966"/>
      <w:sz w:val="16"/>
      <w:szCs w:val="16"/>
      <w:lang w:val="fi-FI"/>
    </w:rPr>
  </w:style>
  <w:style w:type="paragraph" w:customStyle="1" w:styleId="JuTitle">
    <w:name w:val="Ju_Title"/>
    <w:basedOn w:val="JuHHead"/>
    <w:next w:val="JuPara"/>
    <w:rsid w:val="00D1288A"/>
    <w:pPr>
      <w:jc w:val="center"/>
    </w:pPr>
    <w:rPr>
      <w:b/>
      <w:caps/>
      <w:sz w:val="24"/>
      <w:szCs w:val="24"/>
      <w:u w:val="single"/>
    </w:rPr>
  </w:style>
  <w:style w:type="character" w:customStyle="1" w:styleId="JuParaCar">
    <w:name w:val="Ju_Para Car"/>
    <w:rsid w:val="00A36290"/>
    <w:rPr>
      <w:sz w:val="24"/>
      <w:lang w:val="en-GB" w:eastAsia="fr-FR" w:bidi="ar-SA"/>
    </w:rPr>
  </w:style>
  <w:style w:type="character" w:customStyle="1" w:styleId="sb8d990e2">
    <w:name w:val="sb8d990e2"/>
    <w:basedOn w:val="DefaultParagraphFont"/>
    <w:rsid w:val="008D5779"/>
  </w:style>
  <w:style w:type="character" w:customStyle="1" w:styleId="s6b621b36">
    <w:name w:val="s6b621b36"/>
    <w:basedOn w:val="DefaultParagraphFont"/>
    <w:rsid w:val="008D5779"/>
  </w:style>
  <w:style w:type="paragraph" w:customStyle="1" w:styleId="s30eec3f8">
    <w:name w:val="s30eec3f8"/>
    <w:basedOn w:val="Normal"/>
    <w:rsid w:val="00540208"/>
    <w:pPr>
      <w:suppressAutoHyphens w:val="0"/>
      <w:spacing w:before="100" w:beforeAutospacing="1" w:after="100" w:afterAutospacing="1"/>
    </w:pPr>
    <w:rPr>
      <w:szCs w:val="24"/>
      <w:lang w:val="en-US" w:eastAsia="en-US"/>
    </w:rPr>
  </w:style>
  <w:style w:type="character" w:customStyle="1" w:styleId="wordhighlighted">
    <w:name w:val="wordhighlighted"/>
    <w:rsid w:val="00327698"/>
  </w:style>
  <w:style w:type="paragraph" w:customStyle="1" w:styleId="jupara0">
    <w:name w:val="jupara"/>
    <w:basedOn w:val="Normal"/>
    <w:rsid w:val="00947469"/>
    <w:pPr>
      <w:suppressAutoHyphens w:val="0"/>
      <w:ind w:firstLine="284"/>
      <w:jc w:val="both"/>
    </w:pPr>
    <w:rPr>
      <w:szCs w:val="24"/>
      <w:lang w:eastAsia="en-GB"/>
    </w:rPr>
  </w:style>
  <w:style w:type="paragraph" w:customStyle="1" w:styleId="jucase0">
    <w:name w:val="jucase"/>
    <w:basedOn w:val="Normal"/>
    <w:rsid w:val="00947469"/>
    <w:pPr>
      <w:suppressAutoHyphens w:val="0"/>
      <w:ind w:firstLine="284"/>
      <w:jc w:val="both"/>
    </w:pPr>
    <w:rPr>
      <w:b/>
      <w:bCs/>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851601">
      <w:bodyDiv w:val="1"/>
      <w:marLeft w:val="0"/>
      <w:marRight w:val="0"/>
      <w:marTop w:val="0"/>
      <w:marBottom w:val="0"/>
      <w:divBdr>
        <w:top w:val="none" w:sz="0" w:space="0" w:color="auto"/>
        <w:left w:val="none" w:sz="0" w:space="0" w:color="auto"/>
        <w:bottom w:val="none" w:sz="0" w:space="0" w:color="auto"/>
        <w:right w:val="none" w:sz="0" w:space="0" w:color="auto"/>
      </w:divBdr>
    </w:div>
    <w:div w:id="465317141">
      <w:bodyDiv w:val="1"/>
      <w:marLeft w:val="0"/>
      <w:marRight w:val="0"/>
      <w:marTop w:val="0"/>
      <w:marBottom w:val="0"/>
      <w:divBdr>
        <w:top w:val="none" w:sz="0" w:space="0" w:color="auto"/>
        <w:left w:val="none" w:sz="0" w:space="0" w:color="auto"/>
        <w:bottom w:val="none" w:sz="0" w:space="0" w:color="auto"/>
        <w:right w:val="none" w:sz="0" w:space="0" w:color="auto"/>
      </w:divBdr>
      <w:divsChild>
        <w:div w:id="1306007724">
          <w:marLeft w:val="0"/>
          <w:marRight w:val="0"/>
          <w:marTop w:val="0"/>
          <w:marBottom w:val="0"/>
          <w:divBdr>
            <w:top w:val="none" w:sz="0" w:space="0" w:color="auto"/>
            <w:left w:val="none" w:sz="0" w:space="0" w:color="auto"/>
            <w:bottom w:val="none" w:sz="0" w:space="0" w:color="auto"/>
            <w:right w:val="none" w:sz="0" w:space="0" w:color="auto"/>
          </w:divBdr>
          <w:divsChild>
            <w:div w:id="1852988481">
              <w:marLeft w:val="0"/>
              <w:marRight w:val="0"/>
              <w:marTop w:val="0"/>
              <w:marBottom w:val="0"/>
              <w:divBdr>
                <w:top w:val="none" w:sz="0" w:space="0" w:color="auto"/>
                <w:left w:val="none" w:sz="0" w:space="0" w:color="auto"/>
                <w:bottom w:val="none" w:sz="0" w:space="0" w:color="auto"/>
                <w:right w:val="none" w:sz="0" w:space="0" w:color="auto"/>
              </w:divBdr>
              <w:divsChild>
                <w:div w:id="1194802146">
                  <w:marLeft w:val="0"/>
                  <w:marRight w:val="0"/>
                  <w:marTop w:val="0"/>
                  <w:marBottom w:val="0"/>
                  <w:divBdr>
                    <w:top w:val="none" w:sz="0" w:space="0" w:color="auto"/>
                    <w:left w:val="none" w:sz="0" w:space="0" w:color="auto"/>
                    <w:bottom w:val="none" w:sz="0" w:space="0" w:color="auto"/>
                    <w:right w:val="none" w:sz="0" w:space="0" w:color="auto"/>
                  </w:divBdr>
                  <w:divsChild>
                    <w:div w:id="1756324162">
                      <w:marLeft w:val="0"/>
                      <w:marRight w:val="0"/>
                      <w:marTop w:val="0"/>
                      <w:marBottom w:val="0"/>
                      <w:divBdr>
                        <w:top w:val="none" w:sz="0" w:space="0" w:color="auto"/>
                        <w:left w:val="none" w:sz="0" w:space="0" w:color="auto"/>
                        <w:bottom w:val="none" w:sz="0" w:space="0" w:color="auto"/>
                        <w:right w:val="none" w:sz="0" w:space="0" w:color="auto"/>
                      </w:divBdr>
                      <w:divsChild>
                        <w:div w:id="687365773">
                          <w:marLeft w:val="0"/>
                          <w:marRight w:val="0"/>
                          <w:marTop w:val="0"/>
                          <w:marBottom w:val="0"/>
                          <w:divBdr>
                            <w:top w:val="none" w:sz="0" w:space="0" w:color="auto"/>
                            <w:left w:val="none" w:sz="0" w:space="0" w:color="auto"/>
                            <w:bottom w:val="none" w:sz="0" w:space="0" w:color="auto"/>
                            <w:right w:val="none" w:sz="0" w:space="0" w:color="auto"/>
                          </w:divBdr>
                          <w:divsChild>
                            <w:div w:id="80315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928767">
      <w:bodyDiv w:val="1"/>
      <w:marLeft w:val="0"/>
      <w:marRight w:val="0"/>
      <w:marTop w:val="0"/>
      <w:marBottom w:val="0"/>
      <w:divBdr>
        <w:top w:val="none" w:sz="0" w:space="0" w:color="auto"/>
        <w:left w:val="none" w:sz="0" w:space="0" w:color="auto"/>
        <w:bottom w:val="none" w:sz="0" w:space="0" w:color="auto"/>
        <w:right w:val="none" w:sz="0" w:space="0" w:color="auto"/>
      </w:divBdr>
      <w:divsChild>
        <w:div w:id="71512032">
          <w:marLeft w:val="0"/>
          <w:marRight w:val="0"/>
          <w:marTop w:val="0"/>
          <w:marBottom w:val="0"/>
          <w:divBdr>
            <w:top w:val="none" w:sz="0" w:space="0" w:color="auto"/>
            <w:left w:val="none" w:sz="0" w:space="0" w:color="auto"/>
            <w:bottom w:val="none" w:sz="0" w:space="0" w:color="auto"/>
            <w:right w:val="none" w:sz="0" w:space="0" w:color="auto"/>
          </w:divBdr>
          <w:divsChild>
            <w:div w:id="54816038">
              <w:marLeft w:val="0"/>
              <w:marRight w:val="0"/>
              <w:marTop w:val="0"/>
              <w:marBottom w:val="0"/>
              <w:divBdr>
                <w:top w:val="none" w:sz="0" w:space="0" w:color="auto"/>
                <w:left w:val="none" w:sz="0" w:space="0" w:color="auto"/>
                <w:bottom w:val="none" w:sz="0" w:space="0" w:color="auto"/>
                <w:right w:val="none" w:sz="0" w:space="0" w:color="auto"/>
              </w:divBdr>
              <w:divsChild>
                <w:div w:id="721027816">
                  <w:marLeft w:val="0"/>
                  <w:marRight w:val="0"/>
                  <w:marTop w:val="0"/>
                  <w:marBottom w:val="0"/>
                  <w:divBdr>
                    <w:top w:val="none" w:sz="0" w:space="0" w:color="auto"/>
                    <w:left w:val="none" w:sz="0" w:space="0" w:color="auto"/>
                    <w:bottom w:val="none" w:sz="0" w:space="0" w:color="auto"/>
                    <w:right w:val="none" w:sz="0" w:space="0" w:color="auto"/>
                  </w:divBdr>
                  <w:divsChild>
                    <w:div w:id="1854102125">
                      <w:marLeft w:val="0"/>
                      <w:marRight w:val="0"/>
                      <w:marTop w:val="0"/>
                      <w:marBottom w:val="0"/>
                      <w:divBdr>
                        <w:top w:val="none" w:sz="0" w:space="0" w:color="auto"/>
                        <w:left w:val="none" w:sz="0" w:space="0" w:color="auto"/>
                        <w:bottom w:val="none" w:sz="0" w:space="0" w:color="auto"/>
                        <w:right w:val="none" w:sz="0" w:space="0" w:color="auto"/>
                      </w:divBdr>
                      <w:divsChild>
                        <w:div w:id="87192557">
                          <w:marLeft w:val="0"/>
                          <w:marRight w:val="0"/>
                          <w:marTop w:val="0"/>
                          <w:marBottom w:val="0"/>
                          <w:divBdr>
                            <w:top w:val="none" w:sz="0" w:space="0" w:color="auto"/>
                            <w:left w:val="none" w:sz="0" w:space="0" w:color="auto"/>
                            <w:bottom w:val="none" w:sz="0" w:space="0" w:color="auto"/>
                            <w:right w:val="none" w:sz="0" w:space="0" w:color="auto"/>
                          </w:divBdr>
                          <w:divsChild>
                            <w:div w:id="21183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udoc.echr.coe.int/sites/eng/Pages/search.aspx"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udoc.echr.coe.int/sites/eng/Pages/search.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51A3AA-B355-4260-A9F3-0904FB4EA671}"/>
</file>

<file path=customXml/itemProps2.xml><?xml version="1.0" encoding="utf-8"?>
<ds:datastoreItem xmlns:ds="http://schemas.openxmlformats.org/officeDocument/2006/customXml" ds:itemID="{FBE5AC7E-4BC2-4A3A-929C-ABCFA45C637C}"/>
</file>

<file path=customXml/itemProps3.xml><?xml version="1.0" encoding="utf-8"?>
<ds:datastoreItem xmlns:ds="http://schemas.openxmlformats.org/officeDocument/2006/customXml" ds:itemID="{A025EA00-D78D-4F3D-943E-FC0B9783C381}"/>
</file>

<file path=customXml/itemProps4.xml><?xml version="1.0" encoding="utf-8"?>
<ds:datastoreItem xmlns:ds="http://schemas.openxmlformats.org/officeDocument/2006/customXml" ds:itemID="{BD710C5A-2B71-4624-BAA3-E07A40C2DB42}"/>
</file>

<file path=docProps/app.xml><?xml version="1.0" encoding="utf-8"?>
<Properties xmlns="http://schemas.openxmlformats.org/officeDocument/2006/extended-properties" xmlns:vt="http://schemas.openxmlformats.org/officeDocument/2006/docPropsVTypes">
  <Template>Normal.dotm</Template>
  <TotalTime>0</TotalTime>
  <Pages>1</Pages>
  <Words>2811</Words>
  <Characters>16025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18799</CharactersWithSpaces>
  <SharedDoc>false</SharedDoc>
  <HLinks>
    <vt:vector size="12" baseType="variant">
      <vt:variant>
        <vt:i4>6094943</vt:i4>
      </vt:variant>
      <vt:variant>
        <vt:i4>75</vt:i4>
      </vt:variant>
      <vt:variant>
        <vt:i4>0</vt:i4>
      </vt:variant>
      <vt:variant>
        <vt:i4>5</vt:i4>
      </vt:variant>
      <vt:variant>
        <vt:lpwstr>http://hudoc.echr.coe.int/sites/eng/Pages/search.aspx</vt:lpwstr>
      </vt:variant>
      <vt:variant>
        <vt:lpwstr>{"appno":["28945/95"]}</vt:lpwstr>
      </vt:variant>
      <vt:variant>
        <vt:i4>5374033</vt:i4>
      </vt:variant>
      <vt:variant>
        <vt:i4>72</vt:i4>
      </vt:variant>
      <vt:variant>
        <vt:i4>0</vt:i4>
      </vt:variant>
      <vt:variant>
        <vt:i4>5</vt:i4>
      </vt:variant>
      <vt:variant>
        <vt:lpwstr>http://hudoc.echr.coe.int/sites/eng/Pages/search.aspx</vt:lpwstr>
      </vt:variant>
      <vt:variant>
        <vt:lpwstr>{"appno":["30210/96"]}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keywords/>
  <dc:description/>
  <cp:lastModifiedBy/>
  <cp:revision>1</cp:revision>
  <cp:lastPrinted>2008-01-17T09:46:00Z</cp:lastPrinted>
  <dcterms:created xsi:type="dcterms:W3CDTF">2015-07-21T17:28:00Z</dcterms:created>
  <dcterms:modified xsi:type="dcterms:W3CDTF">2015-07-21T17:28:00Z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