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5.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F32A62" w:rsidR="00F32A62" w:rsidP="00F32A62" w:rsidRDefault="00F32A62">
      <w:pPr>
        <w:pStyle w:val="ECHRDecisionBody"/>
        <w:jc w:val="center"/>
        <w:rPr>
          <w:szCs w:val="24"/>
          <w:lang w:val="en-GB"/>
        </w:rPr>
      </w:pPr>
      <w:bookmarkStart w:name="_GoBack" w:id="0"/>
      <w:bookmarkEnd w:id="0"/>
    </w:p>
    <w:p w:rsidRPr="00F32A62" w:rsidR="00F32A62" w:rsidP="00F32A62" w:rsidRDefault="00F32A62">
      <w:pPr>
        <w:pStyle w:val="ECHRDecisionBody"/>
        <w:jc w:val="center"/>
        <w:rPr>
          <w:szCs w:val="24"/>
          <w:lang w:val="en-GB"/>
        </w:rPr>
      </w:pPr>
    </w:p>
    <w:p w:rsidRPr="00062973" w:rsidR="00014566" w:rsidP="00F32A62" w:rsidRDefault="00014566">
      <w:pPr>
        <w:pStyle w:val="ECHRDecisionBody"/>
        <w:jc w:val="center"/>
        <w:rPr>
          <w:lang w:val="en-GB"/>
        </w:rPr>
      </w:pPr>
    </w:p>
    <w:p w:rsidRPr="00062973" w:rsidR="00014566" w:rsidP="00014566" w:rsidRDefault="00DD0E01">
      <w:pPr>
        <w:jc w:val="center"/>
        <w:rPr>
          <w:lang w:val="en-GB"/>
        </w:rPr>
      </w:pPr>
      <w:r>
        <w:rPr>
          <w:lang w:val="en-GB"/>
        </w:rPr>
        <w:t>FOURTH SECTION</w:t>
      </w:r>
    </w:p>
    <w:p w:rsidR="00014566" w:rsidP="00014566" w:rsidRDefault="00014566">
      <w:pPr>
        <w:jc w:val="center"/>
        <w:rPr>
          <w:lang w:val="en-GB"/>
        </w:rPr>
      </w:pPr>
    </w:p>
    <w:p w:rsidR="00F32A62" w:rsidP="00014566" w:rsidRDefault="00F32A62">
      <w:pPr>
        <w:jc w:val="center"/>
        <w:rPr>
          <w:lang w:val="en-GB"/>
        </w:rPr>
      </w:pPr>
    </w:p>
    <w:p w:rsidR="00F32A62" w:rsidP="00014566" w:rsidRDefault="00F32A62">
      <w:pPr>
        <w:jc w:val="center"/>
        <w:rPr>
          <w:lang w:val="en-GB"/>
        </w:rPr>
      </w:pPr>
    </w:p>
    <w:p w:rsidR="00F32A62" w:rsidP="00014566" w:rsidRDefault="00F32A62">
      <w:pPr>
        <w:jc w:val="center"/>
        <w:rPr>
          <w:lang w:val="en-GB"/>
        </w:rPr>
      </w:pPr>
    </w:p>
    <w:p w:rsidR="00357DCE" w:rsidP="00014566" w:rsidRDefault="00357DCE">
      <w:pPr>
        <w:jc w:val="center"/>
        <w:rPr>
          <w:lang w:val="en-GB"/>
        </w:rPr>
      </w:pPr>
    </w:p>
    <w:p w:rsidR="00357DCE" w:rsidP="00014566" w:rsidRDefault="00357DCE">
      <w:pPr>
        <w:jc w:val="center"/>
        <w:rPr>
          <w:lang w:val="en-GB"/>
        </w:rPr>
      </w:pPr>
    </w:p>
    <w:p w:rsidRPr="00062973" w:rsidR="00357DCE" w:rsidP="00014566" w:rsidRDefault="00357DCE">
      <w:pPr>
        <w:jc w:val="center"/>
        <w:rPr>
          <w:lang w:val="en-GB"/>
        </w:rPr>
      </w:pPr>
    </w:p>
    <w:p w:rsidRPr="008B659F" w:rsidR="00014566" w:rsidP="00014566" w:rsidRDefault="00014566">
      <w:pPr>
        <w:jc w:val="center"/>
        <w:rPr>
          <w:b/>
          <w:lang w:val="en-GB"/>
        </w:rPr>
      </w:pPr>
      <w:bookmarkStart w:name="To" w:id="1"/>
      <w:r w:rsidRPr="008B659F">
        <w:rPr>
          <w:b/>
          <w:lang w:val="en-GB"/>
        </w:rPr>
        <w:t xml:space="preserve">CASE OF </w:t>
      </w:r>
      <w:bookmarkEnd w:id="1"/>
      <w:r w:rsidR="00DD0E01">
        <w:rPr>
          <w:b/>
        </w:rPr>
        <w:t>RINAS v. FINLAND</w:t>
      </w:r>
    </w:p>
    <w:p w:rsidRPr="00062973" w:rsidR="00014566" w:rsidP="00014566" w:rsidRDefault="00014566">
      <w:pPr>
        <w:jc w:val="center"/>
        <w:rPr>
          <w:lang w:val="en-GB"/>
        </w:rPr>
      </w:pPr>
    </w:p>
    <w:p w:rsidRPr="00922718" w:rsidR="00014566" w:rsidP="00014566" w:rsidRDefault="00014566">
      <w:pPr>
        <w:jc w:val="center"/>
        <w:rPr>
          <w:i/>
          <w:lang w:val="en-GB"/>
        </w:rPr>
      </w:pPr>
      <w:r w:rsidRPr="00922718">
        <w:rPr>
          <w:i/>
          <w:lang w:val="en-GB"/>
        </w:rPr>
        <w:t>(</w:t>
      </w:r>
      <w:r w:rsidRPr="00922718" w:rsidR="00DD0E01">
        <w:rPr>
          <w:i/>
        </w:rPr>
        <w:t>Application no. 17039/13</w:t>
      </w:r>
      <w:r w:rsidRPr="00922718">
        <w:rPr>
          <w:i/>
          <w:lang w:val="en-GB"/>
        </w:rPr>
        <w:t>)</w:t>
      </w:r>
    </w:p>
    <w:p w:rsidRPr="00062973" w:rsidR="00014566" w:rsidP="00014566" w:rsidRDefault="00014566">
      <w:pPr>
        <w:jc w:val="center"/>
        <w:rPr>
          <w:lang w:val="en-GB"/>
        </w:rPr>
      </w:pPr>
    </w:p>
    <w:p w:rsidRPr="00062973" w:rsidR="00014566" w:rsidP="00014566" w:rsidRDefault="00014566">
      <w:pPr>
        <w:jc w:val="center"/>
        <w:rPr>
          <w:lang w:val="en-GB"/>
        </w:rPr>
      </w:pPr>
    </w:p>
    <w:p w:rsidR="00014566" w:rsidP="00014566" w:rsidRDefault="00014566">
      <w:pPr>
        <w:jc w:val="center"/>
        <w:rPr>
          <w:lang w:val="en-GB"/>
        </w:rPr>
      </w:pPr>
    </w:p>
    <w:p w:rsidR="00357DCE" w:rsidP="00014566" w:rsidRDefault="00357DCE">
      <w:pPr>
        <w:jc w:val="center"/>
        <w:rPr>
          <w:lang w:val="en-GB"/>
        </w:rPr>
      </w:pPr>
    </w:p>
    <w:p w:rsidR="00357DCE" w:rsidP="00014566" w:rsidRDefault="00357DCE">
      <w:pPr>
        <w:jc w:val="center"/>
        <w:rPr>
          <w:lang w:val="en-GB"/>
        </w:rPr>
      </w:pPr>
    </w:p>
    <w:p w:rsidR="00357DCE" w:rsidP="00014566" w:rsidRDefault="00357DCE">
      <w:pPr>
        <w:jc w:val="center"/>
        <w:rPr>
          <w:lang w:val="en-GB"/>
        </w:rPr>
      </w:pPr>
    </w:p>
    <w:p w:rsidRPr="00062973" w:rsidR="00357DCE" w:rsidP="00014566" w:rsidRDefault="00357DCE">
      <w:pPr>
        <w:jc w:val="center"/>
        <w:rPr>
          <w:lang w:val="en-GB"/>
        </w:rPr>
      </w:pPr>
    </w:p>
    <w:p w:rsidRPr="00F32A62" w:rsidR="00014566" w:rsidP="00F32A62" w:rsidRDefault="00F32A62">
      <w:pPr>
        <w:jc w:val="center"/>
        <w:rPr>
          <w:szCs w:val="24"/>
          <w:lang w:val="en-GB"/>
        </w:rPr>
      </w:pPr>
      <w:r>
        <w:rPr>
          <w:szCs w:val="24"/>
          <w:lang w:val="en-GB"/>
        </w:rPr>
        <w:t>JUDGMENT</w:t>
      </w:r>
    </w:p>
    <w:p w:rsidRPr="00062973" w:rsidR="00014566" w:rsidP="00F32A62" w:rsidRDefault="00014566">
      <w:pPr>
        <w:jc w:val="center"/>
        <w:rPr>
          <w:szCs w:val="24"/>
          <w:lang w:val="en-GB"/>
        </w:rPr>
      </w:pPr>
    </w:p>
    <w:p w:rsidRPr="00062973" w:rsidR="00014566" w:rsidP="00F32A62" w:rsidRDefault="00014566">
      <w:pPr>
        <w:jc w:val="center"/>
        <w:rPr>
          <w:szCs w:val="24"/>
          <w:lang w:val="en-GB"/>
        </w:rPr>
      </w:pPr>
    </w:p>
    <w:p w:rsidR="00F32A62" w:rsidP="00F32A62" w:rsidRDefault="00F32A62">
      <w:pPr>
        <w:pStyle w:val="JuCase"/>
        <w:ind w:firstLine="0"/>
        <w:jc w:val="center"/>
        <w:rPr>
          <w:b w:val="0"/>
          <w:lang w:val="en-GB"/>
        </w:rPr>
      </w:pPr>
    </w:p>
    <w:p w:rsidR="00F32A62" w:rsidP="00F32A62" w:rsidRDefault="00F32A62">
      <w:pPr>
        <w:pStyle w:val="JuCase"/>
        <w:ind w:firstLine="0"/>
        <w:jc w:val="center"/>
        <w:rPr>
          <w:b w:val="0"/>
          <w:lang w:val="en-GB"/>
        </w:rPr>
      </w:pPr>
      <w:r>
        <w:rPr>
          <w:b w:val="0"/>
          <w:lang w:val="en-GB"/>
        </w:rPr>
        <w:t>STRASBOURG</w:t>
      </w:r>
    </w:p>
    <w:p w:rsidR="00F32A62" w:rsidP="00F32A62" w:rsidRDefault="00F32A62">
      <w:pPr>
        <w:pStyle w:val="JuCase"/>
        <w:ind w:firstLine="0"/>
        <w:jc w:val="center"/>
        <w:rPr>
          <w:b w:val="0"/>
          <w:lang w:val="en-GB"/>
        </w:rPr>
      </w:pPr>
    </w:p>
    <w:p w:rsidR="00F32A62" w:rsidP="00F32A62" w:rsidRDefault="00F32A62">
      <w:pPr>
        <w:pStyle w:val="JuCase"/>
        <w:ind w:firstLine="0"/>
        <w:jc w:val="center"/>
        <w:rPr>
          <w:b w:val="0"/>
          <w:lang w:val="en-GB"/>
        </w:rPr>
      </w:pPr>
      <w:r>
        <w:rPr>
          <w:b w:val="0"/>
          <w:lang w:val="en-GB"/>
        </w:rPr>
        <w:t>27 January 2015</w:t>
      </w:r>
    </w:p>
    <w:p w:rsidR="00F32A62" w:rsidP="00357DCE" w:rsidRDefault="00F32A62">
      <w:pPr>
        <w:pStyle w:val="JuCase"/>
        <w:ind w:firstLine="0"/>
        <w:jc w:val="center"/>
        <w:rPr>
          <w:b w:val="0"/>
          <w:lang w:val="en-GB"/>
        </w:rPr>
      </w:pPr>
    </w:p>
    <w:p w:rsidR="00357DCE" w:rsidP="00357DCE" w:rsidRDefault="00357DCE">
      <w:pPr>
        <w:jc w:val="center"/>
        <w:rPr>
          <w:lang w:val="en-GB"/>
        </w:rPr>
      </w:pPr>
    </w:p>
    <w:p w:rsidR="00763D01" w:rsidP="00763D01" w:rsidRDefault="00763D01">
      <w:pPr>
        <w:pStyle w:val="jucase0"/>
        <w:ind w:firstLine="0"/>
        <w:jc w:val="center"/>
        <w:rPr>
          <w:color w:val="FF0000"/>
          <w:sz w:val="28"/>
          <w:szCs w:val="28"/>
          <w:u w:val="single"/>
        </w:rPr>
      </w:pPr>
      <w:r>
        <w:rPr>
          <w:color w:val="FF0000"/>
          <w:sz w:val="28"/>
          <w:szCs w:val="28"/>
          <w:u w:val="single"/>
        </w:rPr>
        <w:t>FINAL</w:t>
      </w:r>
    </w:p>
    <w:p w:rsidR="00763D01" w:rsidP="00763D01" w:rsidRDefault="00763D01">
      <w:pPr>
        <w:pStyle w:val="jupara"/>
        <w:tabs>
          <w:tab w:val="left" w:pos="4650"/>
        </w:tabs>
        <w:ind w:firstLine="0"/>
        <w:jc w:val="left"/>
        <w:rPr>
          <w:color w:val="FF0000"/>
          <w:sz w:val="28"/>
          <w:szCs w:val="28"/>
        </w:rPr>
      </w:pPr>
      <w:r>
        <w:rPr>
          <w:color w:val="FF0000"/>
          <w:sz w:val="28"/>
          <w:szCs w:val="28"/>
        </w:rPr>
        <w:tab/>
      </w:r>
    </w:p>
    <w:p w:rsidR="00763D01" w:rsidP="00763D01" w:rsidRDefault="00763D01">
      <w:pPr>
        <w:pStyle w:val="jupara"/>
        <w:ind w:firstLine="0"/>
        <w:jc w:val="center"/>
        <w:rPr>
          <w:color w:val="FF0000"/>
          <w:sz w:val="28"/>
          <w:szCs w:val="28"/>
        </w:rPr>
      </w:pPr>
      <w:r>
        <w:rPr>
          <w:color w:val="FF0000"/>
          <w:sz w:val="28"/>
          <w:szCs w:val="28"/>
        </w:rPr>
        <w:t>27/04/2015</w:t>
      </w:r>
    </w:p>
    <w:p w:rsidR="00763D01" w:rsidP="00763D01" w:rsidRDefault="00763D01">
      <w:pPr>
        <w:pStyle w:val="jupara"/>
        <w:ind w:firstLine="0"/>
        <w:jc w:val="center"/>
      </w:pPr>
    </w:p>
    <w:p w:rsidR="00763D01" w:rsidP="00763D01" w:rsidRDefault="00763D01">
      <w:pPr>
        <w:jc w:val="center"/>
        <w:rPr>
          <w:i/>
          <w:iCs/>
          <w:sz w:val="22"/>
        </w:rPr>
      </w:pPr>
      <w:r>
        <w:rPr>
          <w:i/>
          <w:iCs/>
          <w:sz w:val="22"/>
        </w:rPr>
        <w:t>This judgment has become final under Article 44 § 2 of the Convention. It may be subject to editorial revision.</w:t>
      </w:r>
    </w:p>
    <w:p w:rsidR="00357DCE" w:rsidP="00357DCE" w:rsidRDefault="00357DCE">
      <w:pPr>
        <w:rPr>
          <w:lang w:val="en-GB"/>
        </w:rPr>
      </w:pPr>
    </w:p>
    <w:p w:rsidRPr="00357DCE" w:rsidR="00357DCE" w:rsidP="00357DCE" w:rsidRDefault="00357DCE">
      <w:pPr>
        <w:rPr>
          <w:lang w:val="en-GB"/>
        </w:rPr>
        <w:sectPr w:rsidRPr="00357DCE" w:rsidR="00357DCE" w:rsidSect="00F32A62">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1906" w:h="16838" w:code="9"/>
          <w:pgMar w:top="2274" w:right="2274" w:bottom="2274" w:left="2274" w:header="1701" w:footer="720" w:gutter="0"/>
          <w:pgNumType w:start="1"/>
          <w:cols w:space="720"/>
          <w:titlePg/>
          <w:docGrid w:linePitch="326"/>
        </w:sectPr>
      </w:pPr>
    </w:p>
    <w:p w:rsidRPr="00062973" w:rsidR="00014566" w:rsidP="00D60D87" w:rsidRDefault="00014566">
      <w:pPr>
        <w:pStyle w:val="JuCase"/>
        <w:rPr>
          <w:bCs/>
          <w:lang w:val="en-GB"/>
        </w:rPr>
      </w:pPr>
      <w:r w:rsidRPr="00062973">
        <w:rPr>
          <w:lang w:val="en-GB"/>
        </w:rPr>
        <w:t xml:space="preserve">In the case of </w:t>
      </w:r>
      <w:proofErr w:type="spellStart"/>
      <w:r w:rsidR="00DD0E01">
        <w:t>Rinas</w:t>
      </w:r>
      <w:proofErr w:type="spellEnd"/>
      <w:r w:rsidR="00DD0E01">
        <w:t xml:space="preserve"> v. Finland</w:t>
      </w:r>
      <w:r w:rsidRPr="00062973">
        <w:rPr>
          <w:lang w:val="en-GB"/>
        </w:rPr>
        <w:t>,</w:t>
      </w:r>
    </w:p>
    <w:p w:rsidRPr="00062973" w:rsidR="00014566" w:rsidP="005E2A43" w:rsidRDefault="00014566">
      <w:pPr>
        <w:pStyle w:val="ECHRPara"/>
        <w:rPr>
          <w:lang w:val="en-GB"/>
        </w:rPr>
      </w:pPr>
      <w:r w:rsidRPr="00062973">
        <w:rPr>
          <w:lang w:val="en-GB"/>
        </w:rPr>
        <w:t>The European Court of Human Rights (</w:t>
      </w:r>
      <w:r w:rsidR="00DD0E01">
        <w:rPr>
          <w:lang w:val="en-GB"/>
        </w:rPr>
        <w:t>Fourth Section</w:t>
      </w:r>
      <w:r w:rsidRPr="00062973">
        <w:rPr>
          <w:lang w:val="en-GB"/>
        </w:rPr>
        <w:t xml:space="preserve">), sitting as a </w:t>
      </w:r>
      <w:r w:rsidR="00DD0E01">
        <w:rPr>
          <w:lang w:val="en-GB"/>
        </w:rPr>
        <w:t>Chamber</w:t>
      </w:r>
      <w:r w:rsidRPr="00062973">
        <w:rPr>
          <w:lang w:val="en-GB"/>
        </w:rPr>
        <w:t xml:space="preserve"> composed of:</w:t>
      </w:r>
    </w:p>
    <w:p w:rsidRPr="00F32A62" w:rsidR="00014566" w:rsidP="00DF0549" w:rsidRDefault="00F32A62">
      <w:pPr>
        <w:pStyle w:val="ECHRDecisionBody"/>
      </w:pPr>
      <w:r w:rsidRPr="00F32A62">
        <w:tab/>
        <w:t>Guido</w:t>
      </w:r>
      <w:r>
        <w:t xml:space="preserve"> </w:t>
      </w:r>
      <w:r w:rsidRPr="00F32A62">
        <w:t>Raimondi</w:t>
      </w:r>
      <w:r>
        <w:t>,</w:t>
      </w:r>
      <w:r w:rsidRPr="00F32A62">
        <w:rPr>
          <w:i/>
        </w:rPr>
        <w:t xml:space="preserve"> President,</w:t>
      </w:r>
      <w:r>
        <w:rPr>
          <w:i/>
        </w:rPr>
        <w:br/>
      </w:r>
      <w:r w:rsidRPr="00F32A62">
        <w:tab/>
      </w:r>
      <w:proofErr w:type="spellStart"/>
      <w:r w:rsidRPr="00F32A62">
        <w:t>Päivi</w:t>
      </w:r>
      <w:proofErr w:type="spellEnd"/>
      <w:r>
        <w:t xml:space="preserve"> </w:t>
      </w:r>
      <w:proofErr w:type="spellStart"/>
      <w:r w:rsidRPr="00F32A62">
        <w:t>Hirvelä</w:t>
      </w:r>
      <w:proofErr w:type="spellEnd"/>
      <w:r>
        <w:t>,</w:t>
      </w:r>
      <w:r>
        <w:rPr>
          <w:i/>
        </w:rPr>
        <w:br/>
      </w:r>
      <w:r w:rsidRPr="00F32A62">
        <w:tab/>
        <w:t>George</w:t>
      </w:r>
      <w:r>
        <w:t xml:space="preserve"> </w:t>
      </w:r>
      <w:proofErr w:type="spellStart"/>
      <w:r w:rsidRPr="00F32A62">
        <w:t>Nicolaou</w:t>
      </w:r>
      <w:proofErr w:type="spellEnd"/>
      <w:r>
        <w:t>,</w:t>
      </w:r>
      <w:r>
        <w:rPr>
          <w:i/>
        </w:rPr>
        <w:br/>
      </w:r>
      <w:r w:rsidRPr="00F32A62">
        <w:tab/>
        <w:t>Nona</w:t>
      </w:r>
      <w:r>
        <w:t xml:space="preserve"> </w:t>
      </w:r>
      <w:proofErr w:type="spellStart"/>
      <w:r w:rsidRPr="00F32A62">
        <w:t>Tsotsoria</w:t>
      </w:r>
      <w:proofErr w:type="spellEnd"/>
      <w:r>
        <w:t>,</w:t>
      </w:r>
      <w:r>
        <w:rPr>
          <w:i/>
        </w:rPr>
        <w:br/>
      </w:r>
      <w:r w:rsidRPr="00F32A62">
        <w:tab/>
      </w:r>
      <w:proofErr w:type="spellStart"/>
      <w:r w:rsidRPr="00F32A62">
        <w:t>Zdravka</w:t>
      </w:r>
      <w:proofErr w:type="spellEnd"/>
      <w:r>
        <w:t xml:space="preserve"> </w:t>
      </w:r>
      <w:proofErr w:type="spellStart"/>
      <w:r w:rsidRPr="00F32A62">
        <w:t>Kalaydjieva</w:t>
      </w:r>
      <w:proofErr w:type="spellEnd"/>
      <w:r>
        <w:t>,</w:t>
      </w:r>
      <w:r>
        <w:rPr>
          <w:i/>
        </w:rPr>
        <w:br/>
      </w:r>
      <w:r w:rsidRPr="00F32A62">
        <w:tab/>
        <w:t>Krzysztof</w:t>
      </w:r>
      <w:r>
        <w:t xml:space="preserve"> </w:t>
      </w:r>
      <w:proofErr w:type="spellStart"/>
      <w:r w:rsidRPr="00F32A62">
        <w:t>Wojtyczek</w:t>
      </w:r>
      <w:proofErr w:type="spellEnd"/>
      <w:r>
        <w:t>,</w:t>
      </w:r>
      <w:r>
        <w:rPr>
          <w:i/>
        </w:rPr>
        <w:br/>
      </w:r>
      <w:r w:rsidRPr="00F32A62">
        <w:tab/>
      </w:r>
      <w:proofErr w:type="spellStart"/>
      <w:r w:rsidRPr="00F32A62">
        <w:t>Faris</w:t>
      </w:r>
      <w:proofErr w:type="spellEnd"/>
      <w:r>
        <w:t xml:space="preserve"> </w:t>
      </w:r>
      <w:proofErr w:type="spellStart"/>
      <w:r w:rsidRPr="00F32A62">
        <w:t>Vehabović</w:t>
      </w:r>
      <w:proofErr w:type="spellEnd"/>
      <w:r>
        <w:t>,</w:t>
      </w:r>
      <w:r w:rsidRPr="00F32A62">
        <w:rPr>
          <w:i/>
        </w:rPr>
        <w:t xml:space="preserve"> judges,</w:t>
      </w:r>
      <w:r w:rsidRPr="00F32A62" w:rsidR="00014566">
        <w:rPr>
          <w:szCs w:val="24"/>
        </w:rPr>
        <w:br/>
      </w:r>
      <w:r w:rsidRPr="00F32A62" w:rsidR="00014566">
        <w:t xml:space="preserve">and </w:t>
      </w:r>
      <w:r w:rsidRPr="00F32A62" w:rsidR="00DD0E01">
        <w:t>Françoise Elens-Passos</w:t>
      </w:r>
      <w:r w:rsidRPr="00F32A62" w:rsidR="00014566">
        <w:t xml:space="preserve">, </w:t>
      </w:r>
      <w:r w:rsidRPr="00F32A62" w:rsidR="00DD0E01">
        <w:rPr>
          <w:i/>
        </w:rPr>
        <w:t xml:space="preserve">Section </w:t>
      </w:r>
      <w:r w:rsidRPr="00F32A62" w:rsidR="00DD0E01">
        <w:rPr>
          <w:i/>
          <w:iCs/>
        </w:rPr>
        <w:t>Registrar</w:t>
      </w:r>
      <w:r w:rsidRPr="00F32A62" w:rsidR="00014566">
        <w:rPr>
          <w:i/>
        </w:rPr>
        <w:t>,</w:t>
      </w:r>
    </w:p>
    <w:p w:rsidRPr="00062973" w:rsidR="00014566" w:rsidP="00C621C2" w:rsidRDefault="00014566">
      <w:pPr>
        <w:pStyle w:val="ECHRPara"/>
        <w:rPr>
          <w:lang w:val="en-GB"/>
        </w:rPr>
      </w:pPr>
      <w:r w:rsidRPr="00062973">
        <w:rPr>
          <w:lang w:val="en-GB"/>
        </w:rPr>
        <w:t xml:space="preserve">Having deliberated in private on </w:t>
      </w:r>
      <w:r w:rsidR="00F32A62">
        <w:rPr>
          <w:lang w:val="en-GB"/>
        </w:rPr>
        <w:t>6 January 2015</w:t>
      </w:r>
      <w:r w:rsidRPr="00062973">
        <w:rPr>
          <w:lang w:val="en-GB"/>
        </w:rPr>
        <w:t>,</w:t>
      </w:r>
    </w:p>
    <w:p w:rsidRPr="00062973" w:rsidR="00014566" w:rsidP="00C621C2" w:rsidRDefault="00014566">
      <w:pPr>
        <w:pStyle w:val="ECHRPara"/>
        <w:rPr>
          <w:lang w:val="en-GB"/>
        </w:rPr>
      </w:pPr>
      <w:r w:rsidRPr="00062973">
        <w:rPr>
          <w:lang w:val="en-GB"/>
        </w:rPr>
        <w:t>Delivers the following judgment, which was adopted on that date:</w:t>
      </w:r>
    </w:p>
    <w:p w:rsidRPr="00062973" w:rsidR="00014566" w:rsidP="00014566" w:rsidRDefault="00014566">
      <w:pPr>
        <w:pStyle w:val="ECHRTitle1"/>
        <w:rPr>
          <w:lang w:val="en-GB"/>
        </w:rPr>
      </w:pPr>
      <w:r w:rsidRPr="00062973">
        <w:rPr>
          <w:lang w:val="en-GB"/>
        </w:rPr>
        <w:t>PROCEDURE</w:t>
      </w:r>
    </w:p>
    <w:p w:rsidR="00DD0E01" w:rsidP="00C621C2" w:rsidRDefault="002807A1">
      <w:pPr>
        <w:pStyle w:val="ECHRPara"/>
        <w:rPr>
          <w:lang w:val="en-GB"/>
        </w:rPr>
      </w:pPr>
      <w:r>
        <w:rPr>
          <w:lang w:val="en-GB"/>
        </w:rPr>
        <w:fldChar w:fldCharType="begin"/>
      </w:r>
      <w:r>
        <w:rPr>
          <w:lang w:val="en-GB"/>
        </w:rPr>
        <w:instrText xml:space="preserve"> SEQ level0 \*arabic </w:instrText>
      </w:r>
      <w:r>
        <w:rPr>
          <w:lang w:val="en-GB"/>
        </w:rPr>
        <w:fldChar w:fldCharType="separate"/>
      </w:r>
      <w:r w:rsidR="00D15CBD">
        <w:rPr>
          <w:noProof/>
          <w:lang w:val="en-GB"/>
        </w:rPr>
        <w:t>1</w:t>
      </w:r>
      <w:r>
        <w:rPr>
          <w:lang w:val="en-GB"/>
        </w:rPr>
        <w:fldChar w:fldCharType="end"/>
      </w:r>
      <w:r>
        <w:rPr>
          <w:lang w:val="en-GB"/>
        </w:rPr>
        <w:t>.  </w:t>
      </w:r>
      <w:r w:rsidRPr="00062973" w:rsidR="00014566">
        <w:rPr>
          <w:lang w:val="en-GB"/>
        </w:rPr>
        <w:t xml:space="preserve">The case originated in </w:t>
      </w:r>
      <w:r w:rsidRPr="00062973" w:rsidR="00DD0E01">
        <w:rPr>
          <w:lang w:val="en-GB"/>
        </w:rPr>
        <w:t xml:space="preserve">an application (no. </w:t>
      </w:r>
      <w:r w:rsidR="00DD0E01">
        <w:rPr>
          <w:lang w:val="en-GB"/>
        </w:rPr>
        <w:t>17039/13</w:t>
      </w:r>
      <w:r w:rsidRPr="00062973" w:rsidR="00DD0E01">
        <w:rPr>
          <w:lang w:val="en-GB"/>
        </w:rPr>
        <w:t>)</w:t>
      </w:r>
      <w:r w:rsidRPr="00062973" w:rsidR="00014566">
        <w:rPr>
          <w:lang w:val="en-GB"/>
        </w:rPr>
        <w:t xml:space="preserve"> against </w:t>
      </w:r>
      <w:r w:rsidR="00DD0E01">
        <w:rPr>
          <w:lang w:val="en-GB"/>
        </w:rPr>
        <w:t>the Republic of Finland</w:t>
      </w:r>
      <w:r w:rsidRPr="00062973" w:rsidR="00014566">
        <w:rPr>
          <w:lang w:val="en-GB"/>
        </w:rPr>
        <w:t xml:space="preserve"> lodged with the </w:t>
      </w:r>
      <w:r w:rsidRPr="00062973" w:rsidR="00DD0E01">
        <w:rPr>
          <w:lang w:val="en-GB"/>
        </w:rPr>
        <w:t>Court under Article 34</w:t>
      </w:r>
      <w:r w:rsidRPr="00062973" w:rsidR="00014566">
        <w:rPr>
          <w:lang w:val="en-GB"/>
        </w:rPr>
        <w:t xml:space="preserve"> of the Convention for the Protection of Human Rights and Fundamental Freedoms (“the Convention”) by </w:t>
      </w:r>
      <w:r w:rsidRPr="00062973" w:rsidR="00DD0E01">
        <w:rPr>
          <w:lang w:val="en-GB"/>
        </w:rPr>
        <w:t xml:space="preserve">a </w:t>
      </w:r>
      <w:r w:rsidR="00DD0E01">
        <w:rPr>
          <w:lang w:val="en-GB"/>
        </w:rPr>
        <w:t>Russian</w:t>
      </w:r>
      <w:r w:rsidRPr="00062973" w:rsidR="00DD0E01">
        <w:rPr>
          <w:lang w:val="en-GB"/>
        </w:rPr>
        <w:t xml:space="preserve"> national, </w:t>
      </w:r>
      <w:r w:rsidR="00DD0E01">
        <w:rPr>
          <w:lang w:val="en-GB"/>
        </w:rPr>
        <w:t>Mr</w:t>
      </w:r>
      <w:r w:rsidRPr="00062973" w:rsidR="00DD0E01">
        <w:rPr>
          <w:lang w:val="en-GB"/>
        </w:rPr>
        <w:t xml:space="preserve"> </w:t>
      </w:r>
      <w:r w:rsidR="00DD0E01">
        <w:rPr>
          <w:lang w:val="en-GB"/>
        </w:rPr>
        <w:t xml:space="preserve">Pavel </w:t>
      </w:r>
      <w:proofErr w:type="spellStart"/>
      <w:r w:rsidR="00DD0E01">
        <w:rPr>
          <w:lang w:val="en-GB"/>
        </w:rPr>
        <w:t>Vladimirovic</w:t>
      </w:r>
      <w:proofErr w:type="spellEnd"/>
      <w:r w:rsidRPr="00062973" w:rsidR="00DD0E01">
        <w:rPr>
          <w:lang w:val="en-GB"/>
        </w:rPr>
        <w:t xml:space="preserve"> </w:t>
      </w:r>
      <w:proofErr w:type="spellStart"/>
      <w:r w:rsidR="00DD0E01">
        <w:rPr>
          <w:lang w:val="en-GB"/>
        </w:rPr>
        <w:t>Rinas</w:t>
      </w:r>
      <w:proofErr w:type="spellEnd"/>
      <w:r w:rsidRPr="00062973" w:rsidR="00DD0E01">
        <w:rPr>
          <w:lang w:val="en-GB"/>
        </w:rPr>
        <w:t xml:space="preserve"> (“the applicant”), on </w:t>
      </w:r>
      <w:r w:rsidR="00DD0E01">
        <w:rPr>
          <w:lang w:val="en-GB"/>
        </w:rPr>
        <w:t>5 March 2013</w:t>
      </w:r>
      <w:r w:rsidRPr="00062973" w:rsidR="00014566">
        <w:rPr>
          <w:lang w:val="en-GB"/>
        </w:rPr>
        <w:t>.</w:t>
      </w:r>
    </w:p>
    <w:p w:rsidRPr="00062973" w:rsidR="00DD0E01" w:rsidP="00C621C2" w:rsidRDefault="00DD0E01">
      <w:pPr>
        <w:pStyle w:val="ECHRPara"/>
        <w:rPr>
          <w:lang w:val="en-GB"/>
        </w:rPr>
      </w:pPr>
      <w:r>
        <w:rPr>
          <w:lang w:val="pt-BR"/>
        </w:rPr>
        <w:fldChar w:fldCharType="begin"/>
      </w:r>
      <w:r w:rsidRPr="00867E82">
        <w:instrText xml:space="preserve"> SEQ level0 \*arabic </w:instrText>
      </w:r>
      <w:r>
        <w:rPr>
          <w:lang w:val="pt-BR"/>
        </w:rPr>
        <w:fldChar w:fldCharType="separate"/>
      </w:r>
      <w:r w:rsidR="00D15CBD">
        <w:rPr>
          <w:noProof/>
        </w:rPr>
        <w:t>2</w:t>
      </w:r>
      <w:r>
        <w:rPr>
          <w:lang w:val="pt-BR"/>
        </w:rPr>
        <w:fldChar w:fldCharType="end"/>
      </w:r>
      <w:r w:rsidRPr="00867E82" w:rsidR="00014566">
        <w:t>.  </w:t>
      </w:r>
      <w:r w:rsidRPr="00610FF1">
        <w:t xml:space="preserve">The applicant was represented by </w:t>
      </w:r>
      <w:proofErr w:type="spellStart"/>
      <w:r w:rsidRPr="00610FF1" w:rsidR="00610FF1">
        <w:t>Mr</w:t>
      </w:r>
      <w:proofErr w:type="spellEnd"/>
      <w:r w:rsidRPr="00610FF1">
        <w:t xml:space="preserve"> </w:t>
      </w:r>
      <w:r w:rsidRPr="00610FF1" w:rsidR="00610FF1">
        <w:t>Seppo</w:t>
      </w:r>
      <w:r w:rsidRPr="00610FF1">
        <w:t xml:space="preserve"> </w:t>
      </w:r>
      <w:proofErr w:type="spellStart"/>
      <w:r w:rsidR="00610FF1">
        <w:t>Jääskelä</w:t>
      </w:r>
      <w:r w:rsidRPr="00610FF1">
        <w:t>inen</w:t>
      </w:r>
      <w:proofErr w:type="spellEnd"/>
      <w:r w:rsidRPr="00610FF1">
        <w:t xml:space="preserve">, a lawyer </w:t>
      </w:r>
      <w:proofErr w:type="spellStart"/>
      <w:r w:rsidRPr="00610FF1">
        <w:t>practising</w:t>
      </w:r>
      <w:proofErr w:type="spellEnd"/>
      <w:r w:rsidRPr="00610FF1">
        <w:t xml:space="preserve"> in E</w:t>
      </w:r>
      <w:r w:rsidR="00610FF1">
        <w:t>spoo</w:t>
      </w:r>
      <w:r w:rsidRPr="00610FF1">
        <w:t xml:space="preserve">. </w:t>
      </w:r>
      <w:r w:rsidRPr="00610FF1" w:rsidR="00014566">
        <w:t xml:space="preserve">The </w:t>
      </w:r>
      <w:r w:rsidRPr="00610FF1">
        <w:t>Finnish</w:t>
      </w:r>
      <w:r w:rsidRPr="00610FF1" w:rsidR="00014566">
        <w:t xml:space="preserve"> Government (“the Government”) </w:t>
      </w:r>
      <w:proofErr w:type="gramStart"/>
      <w:r w:rsidRPr="00610FF1" w:rsidR="00014566">
        <w:t>were</w:t>
      </w:r>
      <w:proofErr w:type="gramEnd"/>
      <w:r w:rsidRPr="00610FF1" w:rsidR="00014566">
        <w:t xml:space="preserve"> represented by their Agent, </w:t>
      </w:r>
      <w:r w:rsidRPr="00087DDA" w:rsidR="00610FF1">
        <w:rPr>
          <w:lang w:val="en-GB"/>
        </w:rPr>
        <w:t>Mr Arto Kosonen of the Ministry for Foreign Affairs</w:t>
      </w:r>
      <w:r w:rsidRPr="00D3302A" w:rsidR="00610FF1">
        <w:rPr>
          <w:lang w:val="en-GB"/>
        </w:rPr>
        <w:t>.</w:t>
      </w:r>
    </w:p>
    <w:p w:rsidRPr="000B488A" w:rsidR="00610FF1" w:rsidP="00610FF1" w:rsidRDefault="00DD0E01">
      <w:pPr>
        <w:pStyle w:val="ECHRPara"/>
        <w:rPr>
          <w:lang w:val="en-GB"/>
        </w:rPr>
      </w:pPr>
      <w:r>
        <w:rPr>
          <w:lang w:val="en-GB"/>
        </w:rPr>
        <w:fldChar w:fldCharType="begin"/>
      </w:r>
      <w:r>
        <w:rPr>
          <w:lang w:val="en-GB"/>
        </w:rPr>
        <w:instrText xml:space="preserve"> SEQ level0 \*arabic </w:instrText>
      </w:r>
      <w:r>
        <w:rPr>
          <w:lang w:val="en-GB"/>
        </w:rPr>
        <w:fldChar w:fldCharType="separate"/>
      </w:r>
      <w:r w:rsidR="00D15CBD">
        <w:rPr>
          <w:noProof/>
          <w:lang w:val="en-GB"/>
        </w:rPr>
        <w:t>3</w:t>
      </w:r>
      <w:r>
        <w:rPr>
          <w:lang w:val="en-GB"/>
        </w:rPr>
        <w:fldChar w:fldCharType="end"/>
      </w:r>
      <w:r w:rsidRPr="00062973">
        <w:rPr>
          <w:lang w:val="en-GB"/>
        </w:rPr>
        <w:t xml:space="preserve">.  The applicant alleged, in particular, </w:t>
      </w:r>
      <w:r w:rsidR="00610FF1">
        <w:rPr>
          <w:lang w:val="en-GB"/>
        </w:rPr>
        <w:t xml:space="preserve">that the </w:t>
      </w:r>
      <w:proofErr w:type="spellStart"/>
      <w:r w:rsidRPr="00BD25A3" w:rsidR="00610FF1">
        <w:rPr>
          <w:i/>
          <w:lang w:val="en-GB"/>
        </w:rPr>
        <w:t>ne</w:t>
      </w:r>
      <w:proofErr w:type="spellEnd"/>
      <w:r w:rsidRPr="00BD25A3" w:rsidR="00610FF1">
        <w:rPr>
          <w:i/>
          <w:lang w:val="en-GB"/>
        </w:rPr>
        <w:t xml:space="preserve"> </w:t>
      </w:r>
      <w:proofErr w:type="spellStart"/>
      <w:r w:rsidRPr="00BD25A3" w:rsidR="00610FF1">
        <w:rPr>
          <w:i/>
          <w:lang w:val="en-GB"/>
        </w:rPr>
        <w:t>bis</w:t>
      </w:r>
      <w:proofErr w:type="spellEnd"/>
      <w:r w:rsidRPr="00BD25A3" w:rsidR="00610FF1">
        <w:rPr>
          <w:i/>
          <w:lang w:val="en-GB"/>
        </w:rPr>
        <w:t xml:space="preserve"> in idem</w:t>
      </w:r>
      <w:r w:rsidR="00610FF1">
        <w:rPr>
          <w:lang w:val="en-GB"/>
        </w:rPr>
        <w:t xml:space="preserve"> principle had been violated in his case</w:t>
      </w:r>
      <w:r w:rsidRPr="00062973" w:rsidR="00610FF1">
        <w:rPr>
          <w:lang w:val="en-GB"/>
        </w:rPr>
        <w:t>.</w:t>
      </w:r>
    </w:p>
    <w:p w:rsidRPr="00062973" w:rsidR="00014566" w:rsidP="00C621C2" w:rsidRDefault="00DD0E01">
      <w:pPr>
        <w:pStyle w:val="ECHRPara"/>
        <w:rPr>
          <w:lang w:val="en-GB"/>
        </w:rPr>
      </w:pPr>
      <w:r>
        <w:rPr>
          <w:lang w:val="en-GB"/>
        </w:rPr>
        <w:fldChar w:fldCharType="begin"/>
      </w:r>
      <w:r>
        <w:rPr>
          <w:lang w:val="en-GB"/>
        </w:rPr>
        <w:instrText xml:space="preserve"> SEQ level0 \*arabic </w:instrText>
      </w:r>
      <w:r>
        <w:rPr>
          <w:lang w:val="en-GB"/>
        </w:rPr>
        <w:fldChar w:fldCharType="separate"/>
      </w:r>
      <w:r w:rsidR="00D15CBD">
        <w:rPr>
          <w:noProof/>
          <w:lang w:val="en-GB"/>
        </w:rPr>
        <w:t>4</w:t>
      </w:r>
      <w:r>
        <w:rPr>
          <w:lang w:val="en-GB"/>
        </w:rPr>
        <w:fldChar w:fldCharType="end"/>
      </w:r>
      <w:r w:rsidRPr="00062973" w:rsidR="00014566">
        <w:rPr>
          <w:lang w:val="en-GB"/>
        </w:rPr>
        <w:t>.  </w:t>
      </w:r>
      <w:r w:rsidRPr="00062973">
        <w:rPr>
          <w:lang w:val="en-GB"/>
        </w:rPr>
        <w:t xml:space="preserve">On </w:t>
      </w:r>
      <w:r>
        <w:rPr>
          <w:szCs w:val="24"/>
          <w:lang w:val="en-GB"/>
        </w:rPr>
        <w:t>3 December 2013</w:t>
      </w:r>
      <w:r w:rsidRPr="00062973" w:rsidR="00014566">
        <w:rPr>
          <w:lang w:val="en-GB"/>
        </w:rPr>
        <w:t xml:space="preserve"> the </w:t>
      </w:r>
      <w:r w:rsidRPr="00062973">
        <w:rPr>
          <w:lang w:val="en-GB"/>
        </w:rPr>
        <w:t>complaint concerning</w:t>
      </w:r>
      <w:r w:rsidR="00C350F1">
        <w:rPr>
          <w:lang w:val="en-GB"/>
        </w:rPr>
        <w:t xml:space="preserve"> the</w:t>
      </w:r>
      <w:r w:rsidRPr="00062973">
        <w:rPr>
          <w:lang w:val="en-GB"/>
        </w:rPr>
        <w:t xml:space="preserve"> </w:t>
      </w:r>
      <w:proofErr w:type="spellStart"/>
      <w:r w:rsidRPr="00BD25A3" w:rsidR="00610FF1">
        <w:rPr>
          <w:i/>
          <w:lang w:val="en-GB"/>
        </w:rPr>
        <w:t>ne</w:t>
      </w:r>
      <w:proofErr w:type="spellEnd"/>
      <w:r w:rsidRPr="00BD25A3" w:rsidR="00610FF1">
        <w:rPr>
          <w:i/>
          <w:lang w:val="en-GB"/>
        </w:rPr>
        <w:t xml:space="preserve"> </w:t>
      </w:r>
      <w:proofErr w:type="spellStart"/>
      <w:r w:rsidRPr="00BD25A3" w:rsidR="00610FF1">
        <w:rPr>
          <w:i/>
          <w:lang w:val="en-GB"/>
        </w:rPr>
        <w:t>bis</w:t>
      </w:r>
      <w:proofErr w:type="spellEnd"/>
      <w:r w:rsidRPr="00BD25A3" w:rsidR="00610FF1">
        <w:rPr>
          <w:i/>
          <w:lang w:val="en-GB"/>
        </w:rPr>
        <w:t xml:space="preserve"> in idem</w:t>
      </w:r>
      <w:r w:rsidR="00610FF1">
        <w:rPr>
          <w:lang w:val="en-GB"/>
        </w:rPr>
        <w:t xml:space="preserve"> principle</w:t>
      </w:r>
      <w:r w:rsidRPr="00062973">
        <w:rPr>
          <w:lang w:val="en-GB"/>
        </w:rPr>
        <w:t xml:space="preserve"> was communicated to the Government and the remainder of the application was declared inadmissible</w:t>
      </w:r>
      <w:r w:rsidRPr="00062973" w:rsidR="00014566">
        <w:rPr>
          <w:lang w:val="en-GB"/>
        </w:rPr>
        <w:t>.</w:t>
      </w:r>
    </w:p>
    <w:p w:rsidRPr="00062973" w:rsidR="00014566" w:rsidP="00294C92" w:rsidRDefault="00014566">
      <w:pPr>
        <w:pStyle w:val="ECHRTitle1"/>
        <w:rPr>
          <w:lang w:val="en-GB"/>
        </w:rPr>
      </w:pPr>
      <w:r w:rsidRPr="00062973">
        <w:rPr>
          <w:lang w:val="en-GB"/>
        </w:rPr>
        <w:t>THE FACTS</w:t>
      </w:r>
    </w:p>
    <w:p w:rsidRPr="00062973" w:rsidR="00014566" w:rsidP="00014566" w:rsidRDefault="00014566">
      <w:pPr>
        <w:pStyle w:val="ECHRHeading1"/>
        <w:rPr>
          <w:lang w:val="en-GB"/>
        </w:rPr>
      </w:pPr>
      <w:r w:rsidRPr="00062973">
        <w:rPr>
          <w:lang w:val="en-GB"/>
        </w:rPr>
        <w:t>I.  THE CIRCUMSTANCES OF THE CASE</w:t>
      </w:r>
    </w:p>
    <w:p w:rsidRPr="00062973" w:rsidR="00014566" w:rsidP="00C621C2" w:rsidRDefault="00DD0E01">
      <w:pPr>
        <w:pStyle w:val="ECHRPara"/>
        <w:rPr>
          <w:lang w:val="en-GB"/>
        </w:rPr>
      </w:pPr>
      <w:r>
        <w:rPr>
          <w:lang w:val="en-GB"/>
        </w:rPr>
        <w:fldChar w:fldCharType="begin"/>
      </w:r>
      <w:r>
        <w:rPr>
          <w:lang w:val="en-GB"/>
        </w:rPr>
        <w:instrText xml:space="preserve"> SEQ level0 \*arabic </w:instrText>
      </w:r>
      <w:r>
        <w:rPr>
          <w:lang w:val="en-GB"/>
        </w:rPr>
        <w:fldChar w:fldCharType="separate"/>
      </w:r>
      <w:r w:rsidR="00D15CBD">
        <w:rPr>
          <w:noProof/>
          <w:lang w:val="en-GB"/>
        </w:rPr>
        <w:t>5</w:t>
      </w:r>
      <w:r>
        <w:rPr>
          <w:lang w:val="en-GB"/>
        </w:rPr>
        <w:fldChar w:fldCharType="end"/>
      </w:r>
      <w:r w:rsidRPr="00062973" w:rsidR="00014566">
        <w:rPr>
          <w:lang w:val="en-GB"/>
        </w:rPr>
        <w:t xml:space="preserve">.  The </w:t>
      </w:r>
      <w:r w:rsidRPr="00062973">
        <w:rPr>
          <w:lang w:val="en-GB"/>
        </w:rPr>
        <w:t xml:space="preserve">applicant was born in </w:t>
      </w:r>
      <w:r>
        <w:rPr>
          <w:lang w:val="en-GB"/>
        </w:rPr>
        <w:t>1960</w:t>
      </w:r>
      <w:r w:rsidRPr="00062973">
        <w:rPr>
          <w:lang w:val="en-GB"/>
        </w:rPr>
        <w:t xml:space="preserve"> and </w:t>
      </w:r>
      <w:r w:rsidRPr="009A46DF">
        <w:t>lives</w:t>
      </w:r>
      <w:r w:rsidRPr="00062973" w:rsidR="00014566">
        <w:rPr>
          <w:lang w:val="en-GB"/>
        </w:rPr>
        <w:t xml:space="preserve"> in </w:t>
      </w:r>
      <w:r>
        <w:rPr>
          <w:lang w:val="en-GB"/>
        </w:rPr>
        <w:t>Vantaa</w:t>
      </w:r>
      <w:r w:rsidRPr="00062973" w:rsidR="00014566">
        <w:rPr>
          <w:lang w:val="en-GB"/>
        </w:rPr>
        <w:t>.</w:t>
      </w:r>
    </w:p>
    <w:p w:rsidRPr="002E1229" w:rsidR="00867E82" w:rsidP="00867E82" w:rsidRDefault="00867E82">
      <w:pPr>
        <w:pStyle w:val="ECHRHeading2"/>
      </w:pPr>
      <w:r>
        <w:t>A.  </w:t>
      </w:r>
      <w:r w:rsidRPr="002E1229">
        <w:t>Taxation proceedings</w:t>
      </w:r>
    </w:p>
    <w:p w:rsidRPr="00781032" w:rsidR="00867E82" w:rsidP="00867E82" w:rsidRDefault="00763D01">
      <w:pPr>
        <w:pStyle w:val="ECHRPara"/>
      </w:pPr>
      <w:fldSimple w:instr=" SEQ level0 \*arabic ">
        <w:r w:rsidR="00D15CBD">
          <w:rPr>
            <w:noProof/>
          </w:rPr>
          <w:t>6</w:t>
        </w:r>
      </w:fldSimple>
      <w:r w:rsidR="00867E82">
        <w:t>.  </w:t>
      </w:r>
      <w:r w:rsidRPr="00781032" w:rsidR="00867E82">
        <w:t>In 1998 the applicant</w:t>
      </w:r>
      <w:r>
        <w:t>’</w:t>
      </w:r>
      <w:r w:rsidRPr="00781032" w:rsidR="00867E82">
        <w:t>s Finnish company was subject</w:t>
      </w:r>
      <w:r w:rsidR="002F39A8">
        <w:t>ed</w:t>
      </w:r>
      <w:r w:rsidRPr="00781032" w:rsidR="00867E82">
        <w:t xml:space="preserve"> to </w:t>
      </w:r>
      <w:r w:rsidR="00867E82">
        <w:t xml:space="preserve">a </w:t>
      </w:r>
      <w:r w:rsidRPr="00781032" w:rsidR="00867E82">
        <w:t>tax inspection but the tax authorities found no irregularities.</w:t>
      </w:r>
    </w:p>
    <w:p w:rsidR="00867E82" w:rsidP="00867E82" w:rsidRDefault="00763D01">
      <w:pPr>
        <w:pStyle w:val="ECHRPara"/>
      </w:pPr>
      <w:fldSimple w:instr=" SEQ level0 \*arabic ">
        <w:r w:rsidR="00D15CBD">
          <w:rPr>
            <w:noProof/>
          </w:rPr>
          <w:t>7</w:t>
        </w:r>
      </w:fldSimple>
      <w:r w:rsidR="00867E82">
        <w:t>.  </w:t>
      </w:r>
      <w:r w:rsidRPr="008562A7" w:rsidR="00867E82">
        <w:t>In 2004 and 2005 the applicant was again subject</w:t>
      </w:r>
      <w:r w:rsidR="002F39A8">
        <w:t>ed</w:t>
      </w:r>
      <w:r w:rsidRPr="008562A7" w:rsidR="00867E82">
        <w:t xml:space="preserve"> to a tax inspection </w:t>
      </w:r>
      <w:r w:rsidR="00867E82">
        <w:t>of</w:t>
      </w:r>
      <w:r w:rsidRPr="008562A7" w:rsidR="00867E82">
        <w:t xml:space="preserve"> his foreign compan</w:t>
      </w:r>
      <w:r w:rsidR="00867E82">
        <w:t>ies</w:t>
      </w:r>
      <w:r w:rsidRPr="008562A7" w:rsidR="00867E82">
        <w:t xml:space="preserve">. The </w:t>
      </w:r>
      <w:r w:rsidR="00867E82">
        <w:t xml:space="preserve">preliminary </w:t>
      </w:r>
      <w:r w:rsidRPr="008562A7" w:rsidR="00867E82">
        <w:t>tax</w:t>
      </w:r>
      <w:r w:rsidRPr="00781032" w:rsidR="00867E82">
        <w:t xml:space="preserve"> inspection report was </w:t>
      </w:r>
      <w:r w:rsidR="00867E82">
        <w:t xml:space="preserve">issued </w:t>
      </w:r>
      <w:r w:rsidRPr="00781032" w:rsidR="00867E82">
        <w:t>on 5</w:t>
      </w:r>
      <w:r w:rsidR="00867E82">
        <w:t xml:space="preserve"> </w:t>
      </w:r>
      <w:r w:rsidRPr="00781032" w:rsidR="00867E82">
        <w:t>December 2005</w:t>
      </w:r>
      <w:r w:rsidR="00867E82">
        <w:t>. The tax inspection was concluded with a final report on 27 February 2006.</w:t>
      </w:r>
    </w:p>
    <w:p w:rsidRPr="00781032" w:rsidR="00867E82" w:rsidP="00867E82" w:rsidRDefault="00763D01">
      <w:pPr>
        <w:pStyle w:val="ECHRPara"/>
      </w:pPr>
      <w:fldSimple w:instr=" SEQ level0 \*arabic ">
        <w:r w:rsidR="00D15CBD">
          <w:rPr>
            <w:noProof/>
          </w:rPr>
          <w:t>8</w:t>
        </w:r>
      </w:fldSimple>
      <w:r w:rsidR="00867E82">
        <w:t>.  </w:t>
      </w:r>
      <w:r w:rsidRPr="00781032" w:rsidR="00867E82">
        <w:t xml:space="preserve">On 22 December 2005 the tax authorities imposed </w:t>
      </w:r>
      <w:r w:rsidR="00867E82">
        <w:t xml:space="preserve">on </w:t>
      </w:r>
      <w:r w:rsidRPr="00781032" w:rsidR="00867E82">
        <w:t>the applicant additional taxes as well as tax surcharges (</w:t>
      </w:r>
      <w:proofErr w:type="spellStart"/>
      <w:r w:rsidRPr="00781032" w:rsidR="00867E82">
        <w:rPr>
          <w:rStyle w:val="ju--005fpara----char--char"/>
          <w:i/>
          <w:iCs/>
        </w:rPr>
        <w:t>veronkorotus</w:t>
      </w:r>
      <w:proofErr w:type="spellEnd"/>
      <w:r w:rsidRPr="00781032" w:rsidR="00867E82">
        <w:rPr>
          <w:rStyle w:val="ju--005fpara----char--char"/>
          <w:i/>
          <w:iCs/>
        </w:rPr>
        <w:t xml:space="preserve">, </w:t>
      </w:r>
      <w:proofErr w:type="spellStart"/>
      <w:r w:rsidRPr="00781032" w:rsidR="00867E82">
        <w:rPr>
          <w:rStyle w:val="ju--005fpara----char--char"/>
          <w:i/>
          <w:iCs/>
        </w:rPr>
        <w:t>skatteförhöjning</w:t>
      </w:r>
      <w:proofErr w:type="spellEnd"/>
      <w:r w:rsidRPr="00781032" w:rsidR="00867E82">
        <w:t>) for the tax year 1999</w:t>
      </w:r>
      <w:r w:rsidR="00867E82">
        <w:t xml:space="preserve"> for having received disguised dividends from the foreign companies</w:t>
      </w:r>
      <w:r w:rsidRPr="00781032" w:rsidR="00867E82">
        <w:t>.</w:t>
      </w:r>
      <w:r w:rsidR="00867E82">
        <w:t xml:space="preserve"> The tax surcharges amounted to 6,727 euros</w:t>
      </w:r>
      <w:r w:rsidR="00625CE4">
        <w:t xml:space="preserve"> (EUR)</w:t>
      </w:r>
      <w:r w:rsidR="00867E82">
        <w:t>.</w:t>
      </w:r>
    </w:p>
    <w:p w:rsidRPr="00781032" w:rsidR="00867E82" w:rsidP="00867E82" w:rsidRDefault="00763D01">
      <w:pPr>
        <w:pStyle w:val="ECHRPara"/>
      </w:pPr>
      <w:fldSimple w:instr=" SEQ level0 \*arabic ">
        <w:r w:rsidR="00D15CBD">
          <w:rPr>
            <w:noProof/>
          </w:rPr>
          <w:t>9</w:t>
        </w:r>
      </w:fldSimple>
      <w:r w:rsidR="00867E82">
        <w:t>.  </w:t>
      </w:r>
      <w:r w:rsidRPr="00781032" w:rsidR="00867E82">
        <w:t>By letter dated 19 February 2006 the applicant sought rectification from the local Tax Rectification Committee (</w:t>
      </w:r>
      <w:bookmarkStart w:name="01000001" w:id="2"/>
      <w:bookmarkEnd w:id="2"/>
      <w:proofErr w:type="spellStart"/>
      <w:r w:rsidRPr="00781032" w:rsidR="00867E82">
        <w:rPr>
          <w:rStyle w:val="ju--005fpara----char--char"/>
          <w:i/>
          <w:iCs/>
        </w:rPr>
        <w:t>verotuksen</w:t>
      </w:r>
      <w:proofErr w:type="spellEnd"/>
      <w:r w:rsidRPr="00781032" w:rsidR="00867E82">
        <w:rPr>
          <w:rStyle w:val="ju--005fpara----char--char"/>
          <w:i/>
          <w:iCs/>
        </w:rPr>
        <w:t xml:space="preserve"> </w:t>
      </w:r>
      <w:proofErr w:type="spellStart"/>
      <w:r w:rsidRPr="00781032" w:rsidR="00867E82">
        <w:rPr>
          <w:rStyle w:val="ju--005fpara----char--char"/>
          <w:i/>
          <w:iCs/>
        </w:rPr>
        <w:t>oikaisulautakunta</w:t>
      </w:r>
      <w:proofErr w:type="spellEnd"/>
      <w:r w:rsidRPr="00781032" w:rsidR="00867E82">
        <w:rPr>
          <w:rStyle w:val="ju--005fpara----char--char"/>
          <w:i/>
          <w:iCs/>
        </w:rPr>
        <w:t xml:space="preserve">, </w:t>
      </w:r>
      <w:proofErr w:type="spellStart"/>
      <w:r w:rsidRPr="00781032" w:rsidR="00867E82">
        <w:rPr>
          <w:rStyle w:val="ju--005fpara----char--char"/>
          <w:i/>
          <w:iCs/>
        </w:rPr>
        <w:t>prövningsnämnden</w:t>
      </w:r>
      <w:proofErr w:type="spellEnd"/>
      <w:r w:rsidRPr="00781032" w:rsidR="00867E82">
        <w:rPr>
          <w:rStyle w:val="ju--005fpara----char--char"/>
          <w:i/>
          <w:iCs/>
        </w:rPr>
        <w:t xml:space="preserve"> </w:t>
      </w:r>
      <w:proofErr w:type="spellStart"/>
      <w:r w:rsidRPr="00781032" w:rsidR="00867E82">
        <w:rPr>
          <w:rStyle w:val="ju--005fpara----char--char"/>
          <w:i/>
          <w:iCs/>
        </w:rPr>
        <w:t>i</w:t>
      </w:r>
      <w:proofErr w:type="spellEnd"/>
      <w:r w:rsidRPr="00781032" w:rsidR="00867E82">
        <w:rPr>
          <w:rStyle w:val="ju--005fpara----char--char"/>
          <w:i/>
          <w:iCs/>
        </w:rPr>
        <w:t xml:space="preserve"> </w:t>
      </w:r>
      <w:proofErr w:type="spellStart"/>
      <w:r w:rsidRPr="00781032" w:rsidR="00867E82">
        <w:rPr>
          <w:rStyle w:val="ju--005fpara----char--char"/>
          <w:i/>
          <w:iCs/>
        </w:rPr>
        <w:t>beskattningsärenden</w:t>
      </w:r>
      <w:proofErr w:type="spellEnd"/>
      <w:r w:rsidRPr="00781032" w:rsidR="00867E82">
        <w:rPr>
          <w:rStyle w:val="ju--005fpara----char--char"/>
          <w:iCs/>
        </w:rPr>
        <w:t>), requ</w:t>
      </w:r>
      <w:r w:rsidR="00867E82">
        <w:rPr>
          <w:rStyle w:val="ju--005fpara----char--char"/>
          <w:iCs/>
        </w:rPr>
        <w:t>esting it to quash the decision</w:t>
      </w:r>
      <w:r w:rsidRPr="00781032" w:rsidR="00867E82">
        <w:rPr>
          <w:rStyle w:val="ju--005fpara----char--char"/>
          <w:iCs/>
        </w:rPr>
        <w:t xml:space="preserve"> of </w:t>
      </w:r>
      <w:r w:rsidR="00867E82">
        <w:rPr>
          <w:rStyle w:val="ju--005fpara----char--char"/>
          <w:iCs/>
        </w:rPr>
        <w:t>22</w:t>
      </w:r>
      <w:r w:rsidRPr="00781032" w:rsidR="00867E82">
        <w:rPr>
          <w:rStyle w:val="ju--005fpara----char--char"/>
          <w:iCs/>
        </w:rPr>
        <w:t xml:space="preserve"> </w:t>
      </w:r>
      <w:r w:rsidR="00867E82">
        <w:rPr>
          <w:rStyle w:val="ju--005fpara----char--char"/>
          <w:iCs/>
        </w:rPr>
        <w:t>December 2005 concerning the tax year 1999</w:t>
      </w:r>
      <w:r w:rsidRPr="00781032" w:rsidR="00867E82">
        <w:rPr>
          <w:rStyle w:val="ju--005fpara----char--char"/>
          <w:iCs/>
        </w:rPr>
        <w:t>.</w:t>
      </w:r>
    </w:p>
    <w:p w:rsidRPr="00E34114" w:rsidR="00867E82" w:rsidP="00867E82" w:rsidRDefault="00763D01">
      <w:pPr>
        <w:pStyle w:val="ECHRPara"/>
      </w:pPr>
      <w:fldSimple w:instr=" SEQ level0 \*arabic ">
        <w:r w:rsidR="00D15CBD">
          <w:rPr>
            <w:noProof/>
          </w:rPr>
          <w:t>10</w:t>
        </w:r>
      </w:fldSimple>
      <w:r w:rsidR="00867E82">
        <w:t>.  </w:t>
      </w:r>
      <w:r w:rsidRPr="00781032" w:rsidR="00867E82">
        <w:t xml:space="preserve">On 26 June 2006 the tax authorities imposed </w:t>
      </w:r>
      <w:r w:rsidR="00867E82">
        <w:t xml:space="preserve">on </w:t>
      </w:r>
      <w:r w:rsidRPr="00781032" w:rsidR="00867E82">
        <w:t>the applicant additional taxes and tax surcharges for the tax years 2000, 2002, 2003 and 2004</w:t>
      </w:r>
      <w:r w:rsidR="00867E82">
        <w:t xml:space="preserve"> for having received disguised dividends from the foreign companies</w:t>
      </w:r>
      <w:r w:rsidRPr="00E34114" w:rsidR="00867E82">
        <w:t xml:space="preserve">. The amount of tax surcharges varied between </w:t>
      </w:r>
      <w:r w:rsidR="00625CE4">
        <w:t xml:space="preserve">EUR </w:t>
      </w:r>
      <w:r w:rsidRPr="00E34114" w:rsidR="00867E82">
        <w:t xml:space="preserve">824 and </w:t>
      </w:r>
      <w:r w:rsidR="00625CE4">
        <w:t xml:space="preserve">EUR </w:t>
      </w:r>
      <w:r w:rsidRPr="00E34114" w:rsidR="00867E82">
        <w:t>5,000.</w:t>
      </w:r>
    </w:p>
    <w:p w:rsidRPr="00781032" w:rsidR="00867E82" w:rsidP="00867E82" w:rsidRDefault="00763D01">
      <w:pPr>
        <w:pStyle w:val="ECHRPara"/>
      </w:pPr>
      <w:fldSimple w:instr=" SEQ level0 \*arabic ">
        <w:r w:rsidR="00D15CBD">
          <w:rPr>
            <w:noProof/>
          </w:rPr>
          <w:t>11</w:t>
        </w:r>
      </w:fldSimple>
      <w:r w:rsidR="00867E82">
        <w:t>.  </w:t>
      </w:r>
      <w:r w:rsidRPr="00781032" w:rsidR="00867E82">
        <w:t xml:space="preserve">By letter dated </w:t>
      </w:r>
      <w:r w:rsidR="00867E82">
        <w:t>25</w:t>
      </w:r>
      <w:r w:rsidRPr="00781032" w:rsidR="00867E82">
        <w:t xml:space="preserve"> </w:t>
      </w:r>
      <w:r w:rsidR="00867E82">
        <w:t xml:space="preserve">August </w:t>
      </w:r>
      <w:r w:rsidRPr="00781032" w:rsidR="00867E82">
        <w:t>2006 the applicant sought rectification from the local Tax Rectification Committee</w:t>
      </w:r>
      <w:r w:rsidRPr="00781032" w:rsidR="00867E82">
        <w:rPr>
          <w:rStyle w:val="ju--005fpara----char--char"/>
          <w:iCs/>
        </w:rPr>
        <w:t>, requ</w:t>
      </w:r>
      <w:r w:rsidR="00867E82">
        <w:rPr>
          <w:rStyle w:val="ju--005fpara----char--char"/>
          <w:iCs/>
        </w:rPr>
        <w:t>esting it to quash the decisions</w:t>
      </w:r>
      <w:r w:rsidRPr="00781032" w:rsidR="00867E82">
        <w:rPr>
          <w:rStyle w:val="ju--005fpara----char--char"/>
          <w:iCs/>
        </w:rPr>
        <w:t xml:space="preserve"> of </w:t>
      </w:r>
      <w:r w:rsidR="00867E82">
        <w:rPr>
          <w:rStyle w:val="ju--005fpara----char--char"/>
          <w:iCs/>
        </w:rPr>
        <w:t>26</w:t>
      </w:r>
      <w:r w:rsidRPr="00781032" w:rsidR="00867E82">
        <w:rPr>
          <w:rStyle w:val="ju--005fpara----char--char"/>
          <w:iCs/>
        </w:rPr>
        <w:t xml:space="preserve"> </w:t>
      </w:r>
      <w:r w:rsidR="00867E82">
        <w:rPr>
          <w:rStyle w:val="ju--005fpara----char--char"/>
          <w:iCs/>
        </w:rPr>
        <w:t>June 2006 concerning the tax years 2000 and 2002 to 2004</w:t>
      </w:r>
      <w:r w:rsidRPr="00781032" w:rsidR="00867E82">
        <w:rPr>
          <w:rStyle w:val="ju--005fpara----char--char"/>
          <w:iCs/>
        </w:rPr>
        <w:t>.</w:t>
      </w:r>
    </w:p>
    <w:p w:rsidRPr="00781032" w:rsidR="00867E82" w:rsidP="00867E82" w:rsidRDefault="00763D01">
      <w:pPr>
        <w:pStyle w:val="ECHRPara"/>
      </w:pPr>
      <w:fldSimple w:instr=" SEQ level0 \*arabic ">
        <w:r w:rsidR="00D15CBD">
          <w:rPr>
            <w:noProof/>
          </w:rPr>
          <w:t>12</w:t>
        </w:r>
      </w:fldSimple>
      <w:r w:rsidR="00867E82">
        <w:t>.  </w:t>
      </w:r>
      <w:r w:rsidRPr="00781032" w:rsidR="00867E82">
        <w:t>On 4 October 2006 the Tax Rectification Committee rejected the applicant</w:t>
      </w:r>
      <w:r>
        <w:t>’</w:t>
      </w:r>
      <w:r w:rsidRPr="00781032" w:rsidR="00867E82">
        <w:t>s applications concerning the tax imposed for the tax years 1999, 2000, 2002, 2003 and 2004.</w:t>
      </w:r>
    </w:p>
    <w:p w:rsidRPr="00A778DB" w:rsidR="00867E82" w:rsidP="00867E82" w:rsidRDefault="00763D01">
      <w:pPr>
        <w:pStyle w:val="ECHRPara"/>
      </w:pPr>
      <w:fldSimple w:instr=" SEQ level0 \*arabic ">
        <w:r w:rsidR="00D15CBD">
          <w:rPr>
            <w:noProof/>
          </w:rPr>
          <w:t>13</w:t>
        </w:r>
      </w:fldSimple>
      <w:r w:rsidR="00867E82">
        <w:t>.  </w:t>
      </w:r>
      <w:r w:rsidRPr="00781032" w:rsidR="00867E82">
        <w:t xml:space="preserve">By letter dated </w:t>
      </w:r>
      <w:r w:rsidR="00867E82">
        <w:t xml:space="preserve">31 December </w:t>
      </w:r>
      <w:r w:rsidRPr="00781032" w:rsidR="00867E82">
        <w:t>200</w:t>
      </w:r>
      <w:r w:rsidR="00867E82">
        <w:t>9</w:t>
      </w:r>
      <w:r w:rsidRPr="00781032" w:rsidR="00867E82">
        <w:t xml:space="preserve"> the applicant </w:t>
      </w:r>
      <w:r w:rsidRPr="00A778DB" w:rsidR="00867E82">
        <w:t xml:space="preserve">appealed </w:t>
      </w:r>
      <w:r w:rsidR="00867E82">
        <w:t xml:space="preserve">against </w:t>
      </w:r>
      <w:r w:rsidRPr="00A778DB" w:rsidR="00867E82">
        <w:t>the rectification decisions of 4 October 2006 to the Helsinki Administrative Court (</w:t>
      </w:r>
      <w:proofErr w:type="spellStart"/>
      <w:r w:rsidRPr="00A778DB" w:rsidR="00867E82">
        <w:rPr>
          <w:rStyle w:val="ju-005fpara-002cleft-002cfirst-0020line-003a-0020-00200-0020cm--char"/>
          <w:i/>
          <w:iCs/>
        </w:rPr>
        <w:t>hallinto-oikeus</w:t>
      </w:r>
      <w:proofErr w:type="spellEnd"/>
      <w:r w:rsidRPr="00A778DB" w:rsidR="00867E82">
        <w:rPr>
          <w:rStyle w:val="ju-005fpara-002cleft-002cfirst-0020line-003a-0020-00200-0020cm--char"/>
          <w:i/>
          <w:iCs/>
        </w:rPr>
        <w:t xml:space="preserve">, </w:t>
      </w:r>
      <w:proofErr w:type="spellStart"/>
      <w:r w:rsidRPr="00A778DB" w:rsidR="00867E82">
        <w:rPr>
          <w:rStyle w:val="ju-005fpara-002cleft-002cfirst-0020line-003a-0020-00200-0020cm--char"/>
          <w:i/>
          <w:iCs/>
        </w:rPr>
        <w:t>förvaltningsdomstolen</w:t>
      </w:r>
      <w:proofErr w:type="spellEnd"/>
      <w:r w:rsidRPr="00A778DB" w:rsidR="00867E82">
        <w:t>)</w:t>
      </w:r>
      <w:r w:rsidR="00867E82">
        <w:t xml:space="preserve">, requesting that the taxation decisions be quashed and the tax surcharges withdrawn. </w:t>
      </w:r>
      <w:r w:rsidRPr="00E852CC" w:rsidR="00867E82">
        <w:t>He also requeste</w:t>
      </w:r>
      <w:r w:rsidR="00867E82">
        <w:t>d that an oral hearing be held.</w:t>
      </w:r>
    </w:p>
    <w:p w:rsidRPr="00FA2AF2" w:rsidR="00867E82" w:rsidP="00867E82" w:rsidRDefault="00763D01">
      <w:pPr>
        <w:pStyle w:val="ECHRPara"/>
      </w:pPr>
      <w:fldSimple w:instr=" SEQ level0 \*arabic ">
        <w:r w:rsidR="00D15CBD">
          <w:rPr>
            <w:noProof/>
          </w:rPr>
          <w:t>14</w:t>
        </w:r>
      </w:fldSimple>
      <w:r w:rsidR="00867E82">
        <w:t>.  </w:t>
      </w:r>
      <w:r w:rsidRPr="00A778DB" w:rsidR="00867E82">
        <w:t xml:space="preserve">On 8 April 2011 the Helsinki Administrative Court </w:t>
      </w:r>
      <w:r w:rsidRPr="00FA2AF2" w:rsidR="00867E82">
        <w:t>rejected the applicant</w:t>
      </w:r>
      <w:r>
        <w:t>’</w:t>
      </w:r>
      <w:r w:rsidRPr="00FA2AF2" w:rsidR="00867E82">
        <w:t xml:space="preserve">s appeals as well as the request for an oral hearing. </w:t>
      </w:r>
      <w:r w:rsidR="00C350F1">
        <w:t>T</w:t>
      </w:r>
      <w:r w:rsidR="00867E82">
        <w:t>he court found that it was not necessary to hold</w:t>
      </w:r>
      <w:r w:rsidR="00C350F1">
        <w:t xml:space="preserve"> an oral hearing</w:t>
      </w:r>
      <w:r w:rsidR="00867E82">
        <w:t xml:space="preserve"> as the same witnesses had already been heard by the District Court and the Appeal Court in the same matter. The court </w:t>
      </w:r>
      <w:r w:rsidRPr="00FA2AF2" w:rsidR="00867E82">
        <w:t>examined the appeal concerning the tax years 1999, 2000 and 2002 as a material appeal (</w:t>
      </w:r>
      <w:proofErr w:type="spellStart"/>
      <w:r w:rsidRPr="00FA2AF2" w:rsidR="00867E82">
        <w:rPr>
          <w:i/>
        </w:rPr>
        <w:t>perustevalitus</w:t>
      </w:r>
      <w:proofErr w:type="spellEnd"/>
      <w:r w:rsidRPr="00FA2AF2" w:rsidR="00867E82">
        <w:rPr>
          <w:i/>
        </w:rPr>
        <w:t xml:space="preserve">, </w:t>
      </w:r>
      <w:proofErr w:type="spellStart"/>
      <w:r w:rsidRPr="00FA2AF2" w:rsidR="00867E82">
        <w:rPr>
          <w:i/>
        </w:rPr>
        <w:t>grundbesvär</w:t>
      </w:r>
      <w:proofErr w:type="spellEnd"/>
      <w:r w:rsidRPr="00FA2AF2" w:rsidR="00867E82">
        <w:t>) and the rest as ordinary appeals.</w:t>
      </w:r>
    </w:p>
    <w:p w:rsidR="00867E82" w:rsidP="00867E82" w:rsidRDefault="00763D01">
      <w:pPr>
        <w:pStyle w:val="ECHRPara"/>
      </w:pPr>
      <w:fldSimple w:instr=" SEQ level0 \*arabic ">
        <w:r w:rsidR="00D15CBD">
          <w:rPr>
            <w:noProof/>
          </w:rPr>
          <w:t>15</w:t>
        </w:r>
      </w:fldSimple>
      <w:r w:rsidR="00867E82">
        <w:t>.  </w:t>
      </w:r>
      <w:r w:rsidRPr="00A778DB" w:rsidR="00867E82">
        <w:t>By letter dated 7 June 2011 the applicant appealed against the Administrative Court decision to the Supreme Administrative Court (</w:t>
      </w:r>
      <w:proofErr w:type="spellStart"/>
      <w:r w:rsidRPr="00A778DB" w:rsidR="00867E82">
        <w:rPr>
          <w:rStyle w:val="ju-005fpara-002cleft-002cfirst-0020line-003a-0020-00200-0020cm--char"/>
          <w:i/>
          <w:iCs/>
        </w:rPr>
        <w:t>korkein</w:t>
      </w:r>
      <w:proofErr w:type="spellEnd"/>
      <w:r w:rsidRPr="00A778DB" w:rsidR="00867E82">
        <w:rPr>
          <w:rStyle w:val="ju-005fpara-002cleft-002cfirst-0020line-003a-0020-00200-0020cm--char"/>
          <w:i/>
          <w:iCs/>
        </w:rPr>
        <w:t xml:space="preserve"> </w:t>
      </w:r>
      <w:proofErr w:type="spellStart"/>
      <w:r w:rsidRPr="00A778DB" w:rsidR="00867E82">
        <w:rPr>
          <w:rStyle w:val="ju-005fpara-002cleft-002cfirst-0020line-003a-0020-00200-0020cm--char"/>
          <w:i/>
          <w:iCs/>
        </w:rPr>
        <w:t>hallinto-oikeus</w:t>
      </w:r>
      <w:proofErr w:type="spellEnd"/>
      <w:r w:rsidRPr="00A778DB" w:rsidR="00867E82">
        <w:rPr>
          <w:rStyle w:val="ju-005fpara-002cleft-002cfirst-0020line-003a-0020-00200-0020cm--char"/>
          <w:i/>
          <w:iCs/>
        </w:rPr>
        <w:t xml:space="preserve">, </w:t>
      </w:r>
      <w:proofErr w:type="spellStart"/>
      <w:r w:rsidRPr="00A778DB" w:rsidR="00867E82">
        <w:rPr>
          <w:rStyle w:val="ju-005fpara-002cleft-002cfirst-0020line-003a-0020-00200-0020cm--char"/>
          <w:i/>
          <w:iCs/>
        </w:rPr>
        <w:t>högsta</w:t>
      </w:r>
      <w:proofErr w:type="spellEnd"/>
      <w:r w:rsidRPr="00A778DB" w:rsidR="00867E82">
        <w:rPr>
          <w:rStyle w:val="ju-005fpara-002cleft-002cfirst-0020line-003a-0020-00200-0020cm--char"/>
          <w:i/>
          <w:iCs/>
        </w:rPr>
        <w:t xml:space="preserve"> </w:t>
      </w:r>
      <w:proofErr w:type="spellStart"/>
      <w:r w:rsidRPr="00A778DB" w:rsidR="00867E82">
        <w:rPr>
          <w:rStyle w:val="ju-005fpara-002cleft-002cfirst-0020line-003a-0020-00200-0020cm--char"/>
          <w:i/>
          <w:iCs/>
        </w:rPr>
        <w:t>förvaltningsdomstolen</w:t>
      </w:r>
      <w:proofErr w:type="spellEnd"/>
      <w:r w:rsidRPr="00A778DB" w:rsidR="00867E82">
        <w:t>)</w:t>
      </w:r>
      <w:r w:rsidR="00867E82">
        <w:t xml:space="preserve">, </w:t>
      </w:r>
      <w:r w:rsidRPr="002365E1" w:rsidR="00867E82">
        <w:t>reiterating the grounds of appeal already presented before the A</w:t>
      </w:r>
      <w:r w:rsidR="00867E82">
        <w:t xml:space="preserve">dministrative </w:t>
      </w:r>
      <w:r w:rsidRPr="002365E1" w:rsidR="00867E82">
        <w:t>Court</w:t>
      </w:r>
      <w:r w:rsidR="00867E82">
        <w:t xml:space="preserve">. Moreover, he pointed out that the charges had already been dismissed </w:t>
      </w:r>
      <w:r w:rsidR="009B0979">
        <w:t xml:space="preserve">by the Appeal Court </w:t>
      </w:r>
      <w:r w:rsidR="00867E82">
        <w:t>for the tax years 1999 to 2000 without examining the merits and that this fact should prevent the further examination of these matters by the administrative courts.</w:t>
      </w:r>
    </w:p>
    <w:p w:rsidRPr="00D50960" w:rsidR="00867E82" w:rsidP="00867E82" w:rsidRDefault="00763D01">
      <w:pPr>
        <w:pStyle w:val="ECHRPara"/>
      </w:pPr>
      <w:fldSimple w:instr=" SEQ level0 \*arabic ">
        <w:r w:rsidR="00D15CBD">
          <w:rPr>
            <w:noProof/>
          </w:rPr>
          <w:t>16</w:t>
        </w:r>
      </w:fldSimple>
      <w:r w:rsidR="00867E82">
        <w:t xml:space="preserve">.  On 13 September 2012 </w:t>
      </w:r>
      <w:r w:rsidRPr="00A778DB" w:rsidR="00867E82">
        <w:t xml:space="preserve">the </w:t>
      </w:r>
      <w:r w:rsidR="00867E82">
        <w:t xml:space="preserve">Supreme </w:t>
      </w:r>
      <w:r w:rsidRPr="00A778DB" w:rsidR="00867E82">
        <w:t xml:space="preserve">Administrative </w:t>
      </w:r>
      <w:r w:rsidRPr="00D50960" w:rsidR="00867E82">
        <w:t>Court refused the applicant leave to appeal.</w:t>
      </w:r>
    </w:p>
    <w:p w:rsidRPr="00781032" w:rsidR="00867E82" w:rsidP="00867E82" w:rsidRDefault="00867E82">
      <w:pPr>
        <w:pStyle w:val="ECHRHeading2"/>
      </w:pPr>
      <w:r>
        <w:t>B.  </w:t>
      </w:r>
      <w:r w:rsidRPr="00781032">
        <w:t>Criminal proceedings</w:t>
      </w:r>
    </w:p>
    <w:p w:rsidR="00867E82" w:rsidP="00867E82" w:rsidRDefault="00763D01">
      <w:pPr>
        <w:pStyle w:val="ECHRPara"/>
      </w:pPr>
      <w:fldSimple w:instr=" SEQ level0 \*arabic ">
        <w:r w:rsidR="00D15CBD">
          <w:rPr>
            <w:noProof/>
          </w:rPr>
          <w:t>17</w:t>
        </w:r>
      </w:fldSimple>
      <w:r w:rsidR="00867E82">
        <w:t>.  By letter dated 15 April 2005 the tax authorities asked the police to investigate whether the applicant had committed aggravated tax fraud between 1999 and 2005 concerning the tax years 1998 to 2004.</w:t>
      </w:r>
    </w:p>
    <w:p w:rsidRPr="00793F58" w:rsidR="00867E82" w:rsidP="00867E82" w:rsidRDefault="00763D01">
      <w:pPr>
        <w:pStyle w:val="ECHRPara"/>
      </w:pPr>
      <w:fldSimple w:instr=" SEQ level0 \*arabic ">
        <w:r w:rsidR="00D15CBD">
          <w:rPr>
            <w:noProof/>
          </w:rPr>
          <w:t>18</w:t>
        </w:r>
      </w:fldSimple>
      <w:r w:rsidR="00867E82">
        <w:t>.  </w:t>
      </w:r>
      <w:r w:rsidRPr="00781032" w:rsidR="00867E82">
        <w:t xml:space="preserve">On 17 November 2008 the public prosecutor brought charges against the applicant, </w:t>
      </w:r>
      <w:r w:rsidRPr="00781032" w:rsidR="00867E82">
        <w:rPr>
          <w:i/>
        </w:rPr>
        <w:t>inter alia</w:t>
      </w:r>
      <w:r w:rsidRPr="00781032" w:rsidR="00867E82">
        <w:t xml:space="preserve">, </w:t>
      </w:r>
      <w:r w:rsidR="00867E82">
        <w:t>f</w:t>
      </w:r>
      <w:r w:rsidRPr="00781032" w:rsidR="00867E82">
        <w:t>o</w:t>
      </w:r>
      <w:r w:rsidR="00867E82">
        <w:t>r</w:t>
      </w:r>
      <w:r w:rsidRPr="00781032" w:rsidR="00867E82">
        <w:t xml:space="preserve"> aggravated </w:t>
      </w:r>
      <w:r w:rsidRPr="00A778DB" w:rsidR="00867E82">
        <w:t>tax fraud (</w:t>
      </w:r>
      <w:proofErr w:type="spellStart"/>
      <w:r w:rsidRPr="00A778DB" w:rsidR="00867E82">
        <w:rPr>
          <w:i/>
        </w:rPr>
        <w:t>törkeä</w:t>
      </w:r>
      <w:proofErr w:type="spellEnd"/>
      <w:r w:rsidRPr="00A778DB" w:rsidR="00867E82">
        <w:rPr>
          <w:i/>
        </w:rPr>
        <w:t xml:space="preserve"> </w:t>
      </w:r>
      <w:proofErr w:type="spellStart"/>
      <w:r w:rsidRPr="00A778DB" w:rsidR="00867E82">
        <w:rPr>
          <w:i/>
        </w:rPr>
        <w:t>veropetos</w:t>
      </w:r>
      <w:proofErr w:type="spellEnd"/>
      <w:r w:rsidRPr="00A778DB" w:rsidR="00867E82">
        <w:rPr>
          <w:i/>
        </w:rPr>
        <w:t xml:space="preserve">, </w:t>
      </w:r>
      <w:proofErr w:type="spellStart"/>
      <w:r w:rsidRPr="00A778DB" w:rsidR="00867E82">
        <w:rPr>
          <w:i/>
        </w:rPr>
        <w:t>grovt</w:t>
      </w:r>
      <w:proofErr w:type="spellEnd"/>
      <w:r w:rsidRPr="00A778DB" w:rsidR="00867E82">
        <w:rPr>
          <w:i/>
        </w:rPr>
        <w:t xml:space="preserve"> </w:t>
      </w:r>
      <w:proofErr w:type="spellStart"/>
      <w:r w:rsidRPr="00A778DB" w:rsidR="00867E82">
        <w:rPr>
          <w:rStyle w:val="ju-005fpara--char"/>
          <w:i/>
          <w:iCs/>
        </w:rPr>
        <w:t>skattebedrägeri</w:t>
      </w:r>
      <w:proofErr w:type="spellEnd"/>
      <w:r w:rsidRPr="00A778DB" w:rsidR="00867E82">
        <w:t xml:space="preserve">) </w:t>
      </w:r>
      <w:r w:rsidRPr="00E34114" w:rsidR="00867E82">
        <w:t xml:space="preserve">concerning the tax years 1999 to </w:t>
      </w:r>
      <w:r w:rsidR="004C0E89">
        <w:t xml:space="preserve">2000 and 2002 to </w:t>
      </w:r>
      <w:r w:rsidRPr="00E34114" w:rsidR="00867E82">
        <w:t>2004. According to the charges, the applicant was accused of aggravated tax fraud as he had failed to declare in his personal taxation</w:t>
      </w:r>
      <w:r w:rsidR="00867E82">
        <w:t xml:space="preserve"> </w:t>
      </w:r>
      <w:r w:rsidRPr="00E34114" w:rsidR="00867E82">
        <w:t>income received from the foreign compan</w:t>
      </w:r>
      <w:r w:rsidR="00867E82">
        <w:t>ies</w:t>
      </w:r>
      <w:r w:rsidRPr="00E34114" w:rsidR="00867E82">
        <w:t xml:space="preserve"> </w:t>
      </w:r>
      <w:r w:rsidR="00867E82">
        <w:t>and</w:t>
      </w:r>
      <w:r w:rsidRPr="00E34114" w:rsidR="00867E82">
        <w:t xml:space="preserve">, consequently, the tax imposed on him had been too </w:t>
      </w:r>
      <w:r w:rsidRPr="00E852CC" w:rsidR="00867E82">
        <w:t xml:space="preserve">low. The tax authorities joined the charges and presented a compensation </w:t>
      </w:r>
      <w:r w:rsidRPr="00E852CC" w:rsidR="00867E82">
        <w:rPr>
          <w:lang w:val="en-GB"/>
        </w:rPr>
        <w:t xml:space="preserve">claim totalling </w:t>
      </w:r>
      <w:r w:rsidR="00793F58">
        <w:rPr>
          <w:lang w:val="en-GB"/>
        </w:rPr>
        <w:t xml:space="preserve">EUR </w:t>
      </w:r>
      <w:r w:rsidRPr="00E852CC" w:rsidR="00867E82">
        <w:rPr>
          <w:lang w:val="en-GB"/>
        </w:rPr>
        <w:t xml:space="preserve">48,870 which was the </w:t>
      </w:r>
      <w:r w:rsidRPr="00E852CC" w:rsidR="00867E82">
        <w:t>amount of avoided taxes still unpaid.</w:t>
      </w:r>
    </w:p>
    <w:p w:rsidRPr="00E852CC" w:rsidR="00867E82" w:rsidP="00867E82" w:rsidRDefault="00763D01">
      <w:pPr>
        <w:pStyle w:val="ECHRPara"/>
      </w:pPr>
      <w:fldSimple w:instr=" SEQ level0 \*arabic ">
        <w:r w:rsidR="00D15CBD">
          <w:rPr>
            <w:noProof/>
          </w:rPr>
          <w:t>19</w:t>
        </w:r>
      </w:fldSimple>
      <w:r w:rsidR="00867E82">
        <w:t>.  </w:t>
      </w:r>
      <w:r w:rsidRPr="00A778DB" w:rsidR="00867E82">
        <w:t>On 12 June 2009 the Vantaa District Court (</w:t>
      </w:r>
      <w:proofErr w:type="spellStart"/>
      <w:r w:rsidRPr="00A778DB" w:rsidR="00867E82">
        <w:rPr>
          <w:rStyle w:val="ju-005fpara--char"/>
          <w:i/>
          <w:iCs/>
        </w:rPr>
        <w:t>käräjäoikeus</w:t>
      </w:r>
      <w:proofErr w:type="spellEnd"/>
      <w:r w:rsidRPr="00A778DB" w:rsidR="00867E82">
        <w:rPr>
          <w:rStyle w:val="ju-005fpara--char"/>
          <w:i/>
          <w:iCs/>
        </w:rPr>
        <w:t xml:space="preserve">, </w:t>
      </w:r>
      <w:proofErr w:type="spellStart"/>
      <w:r w:rsidRPr="00A778DB" w:rsidR="00867E82">
        <w:rPr>
          <w:rStyle w:val="ju-005fpara--char"/>
          <w:i/>
          <w:iCs/>
        </w:rPr>
        <w:t>tingsrätten</w:t>
      </w:r>
      <w:proofErr w:type="spellEnd"/>
      <w:r w:rsidRPr="00A778DB" w:rsidR="00867E82">
        <w:t xml:space="preserve">) convicted the applicant of </w:t>
      </w:r>
      <w:r w:rsidRPr="00E852CC" w:rsidR="00867E82">
        <w:t xml:space="preserve">aggravated tax fraud, and </w:t>
      </w:r>
      <w:r w:rsidR="004B49DE">
        <w:t>impos</w:t>
      </w:r>
      <w:r w:rsidRPr="00E852CC" w:rsidR="00867E82">
        <w:t xml:space="preserve">ed a </w:t>
      </w:r>
      <w:r w:rsidR="00867E82">
        <w:t>suspended</w:t>
      </w:r>
      <w:r w:rsidRPr="00E852CC" w:rsidR="00867E82">
        <w:t xml:space="preserve"> prison sentence of 1 year and 6 months. He was ordered to pay the tax authorities the </w:t>
      </w:r>
      <w:r w:rsidR="00793F58">
        <w:t xml:space="preserve">EUR </w:t>
      </w:r>
      <w:r w:rsidRPr="00E852CC" w:rsidR="00867E82">
        <w:t xml:space="preserve">48,870 </w:t>
      </w:r>
      <w:r w:rsidR="00867E82">
        <w:t xml:space="preserve">claimed, </w:t>
      </w:r>
      <w:r w:rsidRPr="00E852CC" w:rsidR="00867E82">
        <w:t>plus interest</w:t>
      </w:r>
      <w:r w:rsidR="00867E82">
        <w:t>,</w:t>
      </w:r>
      <w:r w:rsidRPr="00E852CC" w:rsidR="00867E82">
        <w:t xml:space="preserve"> </w:t>
      </w:r>
      <w:r w:rsidR="00867E82">
        <w:t>in</w:t>
      </w:r>
      <w:r w:rsidRPr="00E852CC" w:rsidR="00867E82">
        <w:t xml:space="preserve"> compensation.</w:t>
      </w:r>
    </w:p>
    <w:p w:rsidR="00867E82" w:rsidP="00867E82" w:rsidRDefault="00763D01">
      <w:pPr>
        <w:pStyle w:val="ECHRPara"/>
      </w:pPr>
      <w:fldSimple w:instr=" SEQ level0 \*arabic ">
        <w:r w:rsidR="00D15CBD">
          <w:rPr>
            <w:noProof/>
          </w:rPr>
          <w:t>20</w:t>
        </w:r>
      </w:fldSimple>
      <w:r w:rsidR="00867E82">
        <w:t>.  </w:t>
      </w:r>
      <w:r w:rsidRPr="00A778DB" w:rsidR="00867E82">
        <w:t>By letter dated 14 August 2009 the applicant appealed to the Helsinki Appeal Court (</w:t>
      </w:r>
      <w:proofErr w:type="spellStart"/>
      <w:r w:rsidRPr="00A778DB" w:rsidR="00867E82">
        <w:rPr>
          <w:rStyle w:val="ju-005fpara-002cleft-002cfirst-0020line-003a-0020-00200-0020cm--char"/>
          <w:i/>
          <w:iCs/>
        </w:rPr>
        <w:t>hovioikeus</w:t>
      </w:r>
      <w:proofErr w:type="spellEnd"/>
      <w:r w:rsidRPr="00A778DB" w:rsidR="00867E82">
        <w:rPr>
          <w:rStyle w:val="ju-005fpara-002cleft-002cfirst-0020line-003a-0020-00200-0020cm--char"/>
          <w:i/>
          <w:iCs/>
        </w:rPr>
        <w:t xml:space="preserve">, </w:t>
      </w:r>
      <w:proofErr w:type="spellStart"/>
      <w:r w:rsidRPr="00A778DB" w:rsidR="00867E82">
        <w:rPr>
          <w:rStyle w:val="ju-005fpara-002cleft-002cfirst-0020line-003a-0020-00200-0020cm--char"/>
          <w:i/>
          <w:iCs/>
        </w:rPr>
        <w:t>hovrätten</w:t>
      </w:r>
      <w:proofErr w:type="spellEnd"/>
      <w:r w:rsidRPr="00A778DB" w:rsidR="00867E82">
        <w:t xml:space="preserve">), requesting that </w:t>
      </w:r>
      <w:r w:rsidR="00867E82">
        <w:t xml:space="preserve">the </w:t>
      </w:r>
      <w:r w:rsidRPr="00E852CC" w:rsidR="00867E82">
        <w:t>District Court judgment be quashed and the charges dismissed. He also requeste</w:t>
      </w:r>
      <w:r w:rsidR="00867E82">
        <w:t>d that an oral hearing be held.</w:t>
      </w:r>
    </w:p>
    <w:p w:rsidR="00867E82" w:rsidP="00867E82" w:rsidRDefault="00867E82">
      <w:pPr>
        <w:pStyle w:val="ECHRPara"/>
        <w:rPr>
          <w:lang w:val="en-GB"/>
        </w:rPr>
      </w:pPr>
      <w:r>
        <w:rPr>
          <w:lang w:val="en-GB"/>
        </w:rPr>
        <w:fldChar w:fldCharType="begin"/>
      </w:r>
      <w:r>
        <w:rPr>
          <w:lang w:val="en-GB"/>
        </w:rPr>
        <w:instrText xml:space="preserve"> SEQ level0 \*arabic </w:instrText>
      </w:r>
      <w:r>
        <w:rPr>
          <w:lang w:val="en-GB"/>
        </w:rPr>
        <w:fldChar w:fldCharType="separate"/>
      </w:r>
      <w:r w:rsidR="00D15CBD">
        <w:rPr>
          <w:noProof/>
          <w:lang w:val="en-GB"/>
        </w:rPr>
        <w:t>21</w:t>
      </w:r>
      <w:r>
        <w:rPr>
          <w:lang w:val="en-GB"/>
        </w:rPr>
        <w:fldChar w:fldCharType="end"/>
      </w:r>
      <w:r>
        <w:rPr>
          <w:lang w:val="en-GB"/>
        </w:rPr>
        <w:t>.  </w:t>
      </w:r>
      <w:r w:rsidRPr="00A778DB">
        <w:rPr>
          <w:lang w:val="en-GB"/>
        </w:rPr>
        <w:t>On 21 December 2010 the Helsinki Appeal Court</w:t>
      </w:r>
      <w:r w:rsidRPr="003F2F93">
        <w:rPr>
          <w:lang w:val="en-GB"/>
        </w:rPr>
        <w:t xml:space="preserve">, after having held an oral hearing, </w:t>
      </w:r>
      <w:r>
        <w:rPr>
          <w:lang w:val="en-GB"/>
        </w:rPr>
        <w:t xml:space="preserve">dismissed the charges concerning the tax years 1999 to 2000 without examining the merits but </w:t>
      </w:r>
      <w:r w:rsidRPr="003F2F93">
        <w:rPr>
          <w:lang w:val="en-GB"/>
        </w:rPr>
        <w:t>otherwise</w:t>
      </w:r>
      <w:r>
        <w:rPr>
          <w:lang w:val="en-GB"/>
        </w:rPr>
        <w:t xml:space="preserve"> upheld</w:t>
      </w:r>
      <w:r w:rsidRPr="003F2F93">
        <w:rPr>
          <w:lang w:val="en-GB"/>
        </w:rPr>
        <w:t xml:space="preserve"> the District Court</w:t>
      </w:r>
      <w:r w:rsidR="00763D01">
        <w:rPr>
          <w:lang w:val="en-GB"/>
        </w:rPr>
        <w:t>’</w:t>
      </w:r>
      <w:r>
        <w:rPr>
          <w:lang w:val="en-GB"/>
        </w:rPr>
        <w:t>s</w:t>
      </w:r>
      <w:r w:rsidRPr="003F2F93">
        <w:rPr>
          <w:lang w:val="en-GB"/>
        </w:rPr>
        <w:t xml:space="preserve"> judgment. The sentence </w:t>
      </w:r>
      <w:r>
        <w:rPr>
          <w:lang w:val="en-GB"/>
        </w:rPr>
        <w:t xml:space="preserve">imposed </w:t>
      </w:r>
      <w:r w:rsidRPr="003F2F93">
        <w:rPr>
          <w:lang w:val="en-GB"/>
        </w:rPr>
        <w:t xml:space="preserve">was </w:t>
      </w:r>
      <w:r>
        <w:rPr>
          <w:lang w:val="en-GB"/>
        </w:rPr>
        <w:t>reduced</w:t>
      </w:r>
      <w:r w:rsidRPr="003F2F93">
        <w:rPr>
          <w:lang w:val="en-GB"/>
        </w:rPr>
        <w:t xml:space="preserve"> to </w:t>
      </w:r>
      <w:r>
        <w:rPr>
          <w:lang w:val="en-GB"/>
        </w:rPr>
        <w:t>a 10-month suspended</w:t>
      </w:r>
      <w:r w:rsidRPr="003F2F93">
        <w:rPr>
          <w:lang w:val="en-GB"/>
        </w:rPr>
        <w:t xml:space="preserve"> </w:t>
      </w:r>
      <w:r>
        <w:rPr>
          <w:lang w:val="en-GB"/>
        </w:rPr>
        <w:t>sentence</w:t>
      </w:r>
      <w:r w:rsidRPr="003F2F93">
        <w:rPr>
          <w:lang w:val="en-GB"/>
        </w:rPr>
        <w:t xml:space="preserve">. The compensation to be paid to the tax authorities was </w:t>
      </w:r>
      <w:r>
        <w:rPr>
          <w:lang w:val="en-GB"/>
        </w:rPr>
        <w:t>reduced</w:t>
      </w:r>
      <w:r w:rsidRPr="003F2F93">
        <w:rPr>
          <w:lang w:val="en-GB"/>
        </w:rPr>
        <w:t xml:space="preserve"> to </w:t>
      </w:r>
      <w:r w:rsidR="00793F58">
        <w:rPr>
          <w:lang w:val="en-GB"/>
        </w:rPr>
        <w:t xml:space="preserve">EUR </w:t>
      </w:r>
      <w:r w:rsidRPr="003F2F93">
        <w:rPr>
          <w:lang w:val="en-GB"/>
        </w:rPr>
        <w:t xml:space="preserve">10,718 plus interest. The court </w:t>
      </w:r>
      <w:r>
        <w:rPr>
          <w:lang w:val="en-GB"/>
        </w:rPr>
        <w:t xml:space="preserve">raised </w:t>
      </w:r>
      <w:r w:rsidRPr="003F2F93">
        <w:rPr>
          <w:i/>
          <w:lang w:val="en-GB"/>
        </w:rPr>
        <w:t>ex officio</w:t>
      </w:r>
      <w:r>
        <w:rPr>
          <w:lang w:val="en-GB"/>
        </w:rPr>
        <w:t xml:space="preserve"> the question of </w:t>
      </w:r>
      <w:r w:rsidRPr="003F2F93">
        <w:rPr>
          <w:i/>
          <w:lang w:val="en-GB"/>
        </w:rPr>
        <w:t xml:space="preserve">ne </w:t>
      </w:r>
      <w:proofErr w:type="spellStart"/>
      <w:r w:rsidRPr="003F2F93">
        <w:rPr>
          <w:i/>
          <w:lang w:val="en-GB"/>
        </w:rPr>
        <w:t>bis</w:t>
      </w:r>
      <w:proofErr w:type="spellEnd"/>
      <w:r w:rsidRPr="003F2F93">
        <w:rPr>
          <w:i/>
          <w:lang w:val="en-GB"/>
        </w:rPr>
        <w:t xml:space="preserve"> in idem</w:t>
      </w:r>
      <w:r>
        <w:rPr>
          <w:lang w:val="en-GB"/>
        </w:rPr>
        <w:t xml:space="preserve">. It </w:t>
      </w:r>
      <w:r w:rsidRPr="003F2F93">
        <w:rPr>
          <w:lang w:val="en-GB"/>
        </w:rPr>
        <w:t xml:space="preserve">found that </w:t>
      </w:r>
      <w:r>
        <w:rPr>
          <w:lang w:val="en-GB"/>
        </w:rPr>
        <w:t xml:space="preserve">the charge of aggravated tax fraud and the tax surcharges imposed clearly concerned the same failure to declare income. As the time-limit for applying for rectification within the taxation proceedings in respect of the tax years 1999 and 2000 had already run out before the charges were brought, the taxation had become final and these years could no longer be </w:t>
      </w:r>
      <w:r w:rsidR="00DE752D">
        <w:rPr>
          <w:lang w:val="en-GB"/>
        </w:rPr>
        <w:t xml:space="preserve">the </w:t>
      </w:r>
      <w:r>
        <w:rPr>
          <w:lang w:val="en-GB"/>
        </w:rPr>
        <w:t>subject</w:t>
      </w:r>
      <w:r w:rsidR="00DE752D">
        <w:rPr>
          <w:lang w:val="en-GB"/>
        </w:rPr>
        <w:t xml:space="preserve"> of</w:t>
      </w:r>
      <w:r>
        <w:rPr>
          <w:lang w:val="en-GB"/>
        </w:rPr>
        <w:t xml:space="preserve"> criminal proceedings. Therefore the charges had to be dismissed without examining the merits. However, as the charges had been brought before the time-limit ran out in respect of the tax years 2002 to 2004, there was no impediment to examining the charges in respect of these tax years.</w:t>
      </w:r>
    </w:p>
    <w:p w:rsidR="00867E82" w:rsidP="00867E82" w:rsidRDefault="00763D01">
      <w:pPr>
        <w:pStyle w:val="ECHRPara"/>
      </w:pPr>
      <w:fldSimple w:instr=" SEQ level0 \*arabic ">
        <w:r w:rsidR="00D15CBD">
          <w:rPr>
            <w:noProof/>
          </w:rPr>
          <w:t>22</w:t>
        </w:r>
      </w:fldSimple>
      <w:r w:rsidR="00867E82">
        <w:t>.  </w:t>
      </w:r>
      <w:r w:rsidRPr="00A778DB" w:rsidR="00867E82">
        <w:t>By letter dated 2</w:t>
      </w:r>
      <w:r w:rsidR="00867E82">
        <w:t>0</w:t>
      </w:r>
      <w:r w:rsidRPr="00A778DB" w:rsidR="00867E82">
        <w:t xml:space="preserve"> February 2011 the applicant appealed to the Supreme Court (</w:t>
      </w:r>
      <w:proofErr w:type="spellStart"/>
      <w:r w:rsidRPr="00A778DB" w:rsidR="00867E82">
        <w:rPr>
          <w:rStyle w:val="ju-005fpara-002cleft-002cfirst-0020line-003a-0020-00200-0020cm--char"/>
          <w:i/>
          <w:iCs/>
        </w:rPr>
        <w:t>korkein</w:t>
      </w:r>
      <w:proofErr w:type="spellEnd"/>
      <w:r w:rsidRPr="00A778DB" w:rsidR="00867E82">
        <w:rPr>
          <w:rStyle w:val="ju-005fpara-002cleft-002cfirst-0020line-003a-0020-00200-0020cm--char"/>
          <w:i/>
          <w:iCs/>
        </w:rPr>
        <w:t xml:space="preserve"> </w:t>
      </w:r>
      <w:proofErr w:type="spellStart"/>
      <w:r w:rsidRPr="00A778DB" w:rsidR="00867E82">
        <w:rPr>
          <w:rStyle w:val="ju-005fpara-002cleft-002cfirst-0020line-003a-0020-00200-0020cm--char"/>
          <w:i/>
          <w:iCs/>
        </w:rPr>
        <w:t>oikeus</w:t>
      </w:r>
      <w:proofErr w:type="spellEnd"/>
      <w:r w:rsidRPr="00A778DB" w:rsidR="00867E82">
        <w:rPr>
          <w:rStyle w:val="ju-005fpara-002cleft-002cfirst-0020line-003a-0020-00200-0020cm--char"/>
          <w:i/>
          <w:iCs/>
        </w:rPr>
        <w:t xml:space="preserve">, </w:t>
      </w:r>
      <w:proofErr w:type="spellStart"/>
      <w:r w:rsidRPr="00A778DB" w:rsidR="00867E82">
        <w:rPr>
          <w:rStyle w:val="ju-005fpara-002cleft-002cfirst-0020line-003a-0020-00200-0020cm--char"/>
          <w:i/>
          <w:iCs/>
        </w:rPr>
        <w:t>högsta</w:t>
      </w:r>
      <w:proofErr w:type="spellEnd"/>
      <w:r w:rsidRPr="00A778DB" w:rsidR="00867E82">
        <w:rPr>
          <w:rStyle w:val="ju-005fpara-002cleft-002cfirst-0020line-003a-0020-00200-0020cm--char"/>
          <w:i/>
          <w:iCs/>
        </w:rPr>
        <w:t xml:space="preserve"> </w:t>
      </w:r>
      <w:proofErr w:type="spellStart"/>
      <w:r w:rsidRPr="00A778DB" w:rsidR="00867E82">
        <w:rPr>
          <w:rStyle w:val="ju-005fpara-002cleft-002cfirst-0020line-003a-0020-00200-0020cm--char"/>
          <w:i/>
          <w:iCs/>
        </w:rPr>
        <w:t>domstolen</w:t>
      </w:r>
      <w:proofErr w:type="spellEnd"/>
      <w:r w:rsidRPr="00A778DB" w:rsidR="00867E82">
        <w:t xml:space="preserve">), </w:t>
      </w:r>
      <w:r w:rsidRPr="002365E1" w:rsidR="00867E82">
        <w:t>reiterating the grounds of appeal already presented before the Appeal Court. Moreover, he noted that the Appeal Court</w:t>
      </w:r>
      <w:r>
        <w:t>’</w:t>
      </w:r>
      <w:r w:rsidRPr="002365E1" w:rsidR="00867E82">
        <w:t xml:space="preserve">s interpretation of the finality of the taxation decisions could not be tied to the time-limit for lodging an application for rectification </w:t>
      </w:r>
      <w:r w:rsidR="00793F58">
        <w:t>bec</w:t>
      </w:r>
      <w:r w:rsidRPr="002365E1" w:rsidR="00867E82">
        <w:t>a</w:t>
      </w:r>
      <w:r w:rsidR="00793F58">
        <w:t>u</w:t>
      </w:r>
      <w:r w:rsidRPr="002365E1" w:rsidR="00867E82">
        <w:t>s</w:t>
      </w:r>
      <w:r w:rsidR="00793F58">
        <w:t>e</w:t>
      </w:r>
      <w:r w:rsidRPr="002365E1" w:rsidR="00867E82">
        <w:t xml:space="preserve"> in the present case the Tax Rectification Committee</w:t>
      </w:r>
      <w:r w:rsidRPr="00781032" w:rsidR="00867E82">
        <w:t xml:space="preserve"> </w:t>
      </w:r>
      <w:r w:rsidR="00867E82">
        <w:t xml:space="preserve">had already </w:t>
      </w:r>
      <w:r w:rsidRPr="00781032" w:rsidR="00867E82">
        <w:t xml:space="preserve">rejected </w:t>
      </w:r>
      <w:r w:rsidR="00867E82">
        <w:t>such applications in 2006.</w:t>
      </w:r>
    </w:p>
    <w:p w:rsidR="00867E82" w:rsidP="00867E82" w:rsidRDefault="00763D01">
      <w:pPr>
        <w:pStyle w:val="ECHRPara"/>
      </w:pPr>
      <w:fldSimple w:instr=" SEQ level0 \*arabic ">
        <w:r w:rsidR="00D15CBD">
          <w:rPr>
            <w:noProof/>
          </w:rPr>
          <w:t>23</w:t>
        </w:r>
      </w:fldSimple>
      <w:r w:rsidR="00867E82">
        <w:t>.  </w:t>
      </w:r>
      <w:r w:rsidRPr="00A778DB" w:rsidR="00867E82">
        <w:t>On 1</w:t>
      </w:r>
      <w:r w:rsidR="00867E82">
        <w:t>2</w:t>
      </w:r>
      <w:r w:rsidRPr="00A778DB" w:rsidR="00867E82">
        <w:t xml:space="preserve"> September 2011 the Supreme Court </w:t>
      </w:r>
      <w:r w:rsidR="00867E82">
        <w:t xml:space="preserve">granted </w:t>
      </w:r>
      <w:r w:rsidRPr="00A778DB" w:rsidR="00867E82">
        <w:t>the applicant leave to appeal</w:t>
      </w:r>
      <w:r w:rsidR="00867E82">
        <w:t xml:space="preserve"> as far as the charges concerned the tax years 2002 to 2004.</w:t>
      </w:r>
    </w:p>
    <w:p w:rsidRPr="00867E82" w:rsidR="00014566" w:rsidP="00867E82" w:rsidRDefault="00763D01">
      <w:pPr>
        <w:pStyle w:val="ECHRPara"/>
      </w:pPr>
      <w:fldSimple w:instr=" SEQ level0 \*arabic ">
        <w:r w:rsidR="00D15CBD">
          <w:rPr>
            <w:noProof/>
          </w:rPr>
          <w:t>24</w:t>
        </w:r>
      </w:fldSimple>
      <w:r w:rsidR="00867E82">
        <w:t xml:space="preserve">.  On 31 May 2012 the Supreme Court upheld the Appeal Court judgment. It found that the tax rectification decisions could not have become final before the time-limit for lodging an application for rectification had run out </w:t>
      </w:r>
      <w:r w:rsidR="00793F58">
        <w:t>bec</w:t>
      </w:r>
      <w:r w:rsidR="00867E82">
        <w:t>a</w:t>
      </w:r>
      <w:r w:rsidR="00793F58">
        <w:t>u</w:t>
      </w:r>
      <w:r w:rsidR="00867E82">
        <w:t>s</w:t>
      </w:r>
      <w:r w:rsidR="00793F58">
        <w:t>e</w:t>
      </w:r>
      <w:r w:rsidR="00867E82">
        <w:t xml:space="preserve"> the same time-limit also applied for lodging a further appeal to the administrative courts. As</w:t>
      </w:r>
      <w:r w:rsidR="008B052C">
        <w:t>, at the time of bringing charges,</w:t>
      </w:r>
      <w:r w:rsidR="00867E82">
        <w:t xml:space="preserve"> the applicant still had</w:t>
      </w:r>
      <w:r w:rsidR="008B052C">
        <w:t xml:space="preserve"> </w:t>
      </w:r>
      <w:r w:rsidR="00867E82">
        <w:t>a right to appeal to the administrative courts, which he had in fact exercised after the charges had been brought, the taxation decisions for the tax years 2002 to 2004 had not yet become final.</w:t>
      </w:r>
    </w:p>
    <w:p w:rsidRPr="00062973" w:rsidR="00014566" w:rsidP="00014566" w:rsidRDefault="00014566">
      <w:pPr>
        <w:pStyle w:val="ECHRHeading1"/>
        <w:rPr>
          <w:lang w:val="en-GB"/>
        </w:rPr>
      </w:pPr>
      <w:r w:rsidRPr="00062973">
        <w:rPr>
          <w:lang w:val="en-GB"/>
        </w:rPr>
        <w:t>II.</w:t>
      </w:r>
      <w:proofErr w:type="gramStart"/>
      <w:r w:rsidRPr="00062973">
        <w:rPr>
          <w:lang w:val="en-GB"/>
        </w:rPr>
        <w:t>  RELEVANT</w:t>
      </w:r>
      <w:proofErr w:type="gramEnd"/>
      <w:r w:rsidRPr="00062973">
        <w:rPr>
          <w:lang w:val="en-GB"/>
        </w:rPr>
        <w:t xml:space="preserve"> DOMESTIC LAW AND PRACTICE</w:t>
      </w:r>
    </w:p>
    <w:p w:rsidRPr="008354B2" w:rsidR="00867E82" w:rsidP="00867E82" w:rsidRDefault="00867E82">
      <w:pPr>
        <w:pStyle w:val="ECHRHeading2"/>
        <w:rPr>
          <w:lang w:val="en-GB"/>
        </w:rPr>
      </w:pPr>
      <w:r w:rsidRPr="008354B2">
        <w:rPr>
          <w:lang w:val="en-GB"/>
        </w:rPr>
        <w:t>A.  Tax Assessment Procedure Act</w:t>
      </w:r>
    </w:p>
    <w:p w:rsidR="00867E82" w:rsidP="00867E82" w:rsidRDefault="00763D01">
      <w:pPr>
        <w:pStyle w:val="ECHRPara"/>
      </w:pPr>
      <w:fldSimple w:instr=" SEQ level0 \*arabic ">
        <w:r w:rsidR="00D15CBD">
          <w:rPr>
            <w:noProof/>
          </w:rPr>
          <w:t>25</w:t>
        </w:r>
      </w:fldSimple>
      <w:r w:rsidR="00867E82">
        <w:t>.  </w:t>
      </w:r>
      <w:r w:rsidRPr="00EC1A93" w:rsidR="00867E82">
        <w:t>Section 57, subsection 1, of the Tax Assessment Procedure Act (</w:t>
      </w:r>
      <w:proofErr w:type="spellStart"/>
      <w:r w:rsidRPr="00EC1A93" w:rsidR="00867E82">
        <w:rPr>
          <w:rStyle w:val="ju-005fpara-002cleft-002cfirst-0020line-003a-0020-00200-0020cm--char"/>
          <w:i/>
          <w:iCs/>
        </w:rPr>
        <w:t>laki</w:t>
      </w:r>
      <w:proofErr w:type="spellEnd"/>
      <w:r w:rsidRPr="00EC1A93" w:rsidR="00867E82">
        <w:t xml:space="preserve"> </w:t>
      </w:r>
      <w:proofErr w:type="spellStart"/>
      <w:r w:rsidRPr="00EC1A93" w:rsidR="00867E82">
        <w:rPr>
          <w:rStyle w:val="ju--005fpara----char--char"/>
          <w:i/>
          <w:iCs/>
        </w:rPr>
        <w:t>verotusmenettelystä</w:t>
      </w:r>
      <w:proofErr w:type="spellEnd"/>
      <w:r w:rsidRPr="00EC1A93" w:rsidR="00867E82">
        <w:rPr>
          <w:rStyle w:val="ju--005fpara----char--char"/>
          <w:i/>
          <w:iCs/>
        </w:rPr>
        <w:t xml:space="preserve">, </w:t>
      </w:r>
      <w:proofErr w:type="spellStart"/>
      <w:r w:rsidRPr="00EC1A93" w:rsidR="00867E82">
        <w:rPr>
          <w:rStyle w:val="ju--005fpara----char--char"/>
          <w:i/>
          <w:iCs/>
        </w:rPr>
        <w:t>lagen</w:t>
      </w:r>
      <w:proofErr w:type="spellEnd"/>
      <w:r w:rsidRPr="00EC1A93" w:rsidR="00867E82">
        <w:rPr>
          <w:rStyle w:val="ju--005fpara----char--char"/>
          <w:i/>
          <w:iCs/>
        </w:rPr>
        <w:t xml:space="preserve"> om </w:t>
      </w:r>
      <w:proofErr w:type="spellStart"/>
      <w:r w:rsidRPr="00EC1A93" w:rsidR="00867E82">
        <w:rPr>
          <w:rStyle w:val="ju--005fpara----char--char"/>
          <w:i/>
          <w:iCs/>
        </w:rPr>
        <w:t>beskattningsförfarande</w:t>
      </w:r>
      <w:proofErr w:type="spellEnd"/>
      <w:r w:rsidRPr="00EC1A93" w:rsidR="00867E82">
        <w:rPr>
          <w:rStyle w:val="ju--005fpara----char--char"/>
          <w:i/>
          <w:iCs/>
        </w:rPr>
        <w:t xml:space="preserve">, </w:t>
      </w:r>
      <w:r w:rsidRPr="00EC1A93" w:rsidR="00867E82">
        <w:rPr>
          <w:rStyle w:val="ju--005fpara----char--char"/>
        </w:rPr>
        <w:t>Act no.</w:t>
      </w:r>
      <w:r w:rsidRPr="00EC1A93" w:rsidR="00867E82">
        <w:t xml:space="preserve"> 1558/1995, as amended by Act no. 1079/2005) provides that if a person has failed to make the required tax returns or has given incomplete, misleading or false information to</w:t>
      </w:r>
      <w:r w:rsidR="00867E82">
        <w:t xml:space="preserve"> the</w:t>
      </w:r>
      <w:r w:rsidRPr="00EC1A93" w:rsidR="00867E82">
        <w:t xml:space="preserve"> tax authorities and tax has therefore been incompletely or partially levied, the taxpayer shall be ordered to pay unpaid </w:t>
      </w:r>
      <w:bookmarkStart w:name="0100000E" w:id="3"/>
      <w:bookmarkStart w:name="0100000F" w:id="4"/>
      <w:bookmarkEnd w:id="3"/>
      <w:bookmarkEnd w:id="4"/>
      <w:r w:rsidRPr="00EC1A93" w:rsidR="00867E82">
        <w:t>taxes together with additional tax and a tax surcharge.</w:t>
      </w:r>
    </w:p>
    <w:p w:rsidRPr="008354B2" w:rsidR="00867E82" w:rsidP="00867E82" w:rsidRDefault="00867E82">
      <w:pPr>
        <w:pStyle w:val="ECHRHeading2"/>
        <w:rPr>
          <w:lang w:val="en-GB"/>
        </w:rPr>
      </w:pPr>
      <w:r w:rsidRPr="008354B2">
        <w:rPr>
          <w:lang w:val="en-GB"/>
        </w:rPr>
        <w:t>B.  Penal Code</w:t>
      </w:r>
    </w:p>
    <w:p w:rsidRPr="00622693" w:rsidR="00867E82" w:rsidP="00867E82" w:rsidRDefault="00763D01">
      <w:pPr>
        <w:pStyle w:val="ECHRPara"/>
      </w:pPr>
      <w:fldSimple w:instr=" SEQ level0 \*arabic ">
        <w:r w:rsidR="00D15CBD">
          <w:rPr>
            <w:noProof/>
          </w:rPr>
          <w:t>26</w:t>
        </w:r>
      </w:fldSimple>
      <w:r w:rsidR="00867E82">
        <w:t>.  </w:t>
      </w:r>
      <w:r w:rsidRPr="003E59E1" w:rsidR="00867E82">
        <w:t>According to Chapter 29, sections 1 and 2, of the Penal Code (</w:t>
      </w:r>
      <w:proofErr w:type="spellStart"/>
      <w:r w:rsidRPr="00EC1A93" w:rsidR="00867E82">
        <w:rPr>
          <w:rStyle w:val="ju-005fpara-002cleft-002cfirst-0020line-003a-0020-00200-0020cm--char"/>
          <w:i/>
          <w:iCs/>
        </w:rPr>
        <w:t>rikoslaki</w:t>
      </w:r>
      <w:proofErr w:type="spellEnd"/>
      <w:r w:rsidRPr="00EC1A93" w:rsidR="00867E82">
        <w:rPr>
          <w:rStyle w:val="ju-005fpara-002cleft-002cfirst-0020line-003a-0020-00200-0020cm--char"/>
          <w:i/>
          <w:iCs/>
        </w:rPr>
        <w:t xml:space="preserve">, </w:t>
      </w:r>
      <w:proofErr w:type="spellStart"/>
      <w:r w:rsidRPr="00EC1A93" w:rsidR="00867E82">
        <w:rPr>
          <w:rStyle w:val="ju-005fpara-002cleft-002cfirst-0020line-003a-0020-00200-0020cm--char"/>
          <w:i/>
          <w:iCs/>
        </w:rPr>
        <w:t>strafflagen</w:t>
      </w:r>
      <w:proofErr w:type="spellEnd"/>
      <w:r w:rsidR="00867E82">
        <w:rPr>
          <w:rStyle w:val="ju-005fpara-002cleft-002cfirst-0020line-003a-0020-00200-0020cm--char"/>
          <w:i/>
          <w:iCs/>
        </w:rPr>
        <w:t>,</w:t>
      </w:r>
      <w:r w:rsidRPr="003E59E1" w:rsidR="00867E82">
        <w:t xml:space="preserve"> as amended by Acts no. 1228/1997 and no.</w:t>
      </w:r>
      <w:r w:rsidR="00DE752D">
        <w:t> </w:t>
      </w:r>
      <w:r w:rsidRPr="003E59E1" w:rsidR="00867E82">
        <w:t xml:space="preserve">769/1990), a person who (1) gives a tax authority false information on a fact that influences the assessment of tax, (2) files a tax return concealing a fact that influences the assessment of tax, (3) for the purpose of avoiding tax, fails to observe a duty pertaining to taxation, influencing the assessment of tax, or (4) acts otherwise fraudulently and thereby causes or attempts to cause a tax not to be assessed, or too low a tax to be assessed or a tax to be unduly refunded, shall be sentenced for </w:t>
      </w:r>
      <w:r w:rsidRPr="003E59E1" w:rsidR="00867E82">
        <w:rPr>
          <w:i/>
        </w:rPr>
        <w:t>tax fraud</w:t>
      </w:r>
      <w:r w:rsidRPr="003E59E1" w:rsidR="00867E82">
        <w:t xml:space="preserve"> to a fine or to imprisonment for a period of up to two years. </w:t>
      </w:r>
      <w:r w:rsidRPr="00622693" w:rsidR="00867E82">
        <w:t>If by the tax fraud (1)</w:t>
      </w:r>
      <w:r w:rsidR="001060FE">
        <w:t> </w:t>
      </w:r>
      <w:r w:rsidRPr="00622693" w:rsidR="00867E82">
        <w:t xml:space="preserve">considerable financial benefit is sought or (2) the offence is committed in a particularly methodical manner and the tax fraud is aggravated when assessed as a whole, the offender shall be sentenced for </w:t>
      </w:r>
      <w:r w:rsidRPr="00622693" w:rsidR="00867E82">
        <w:rPr>
          <w:i/>
        </w:rPr>
        <w:t>aggravated tax fraud</w:t>
      </w:r>
      <w:r w:rsidRPr="00622693" w:rsidR="00867E82">
        <w:t xml:space="preserve"> to imprisonment for a period between four months and four years.</w:t>
      </w:r>
    </w:p>
    <w:p w:rsidRPr="008354B2" w:rsidR="00867E82" w:rsidP="00867E82" w:rsidRDefault="00867E82">
      <w:pPr>
        <w:pStyle w:val="ECHRHeading2"/>
        <w:rPr>
          <w:lang w:val="en-GB"/>
        </w:rPr>
      </w:pPr>
      <w:r w:rsidRPr="008354B2">
        <w:rPr>
          <w:lang w:val="en-GB"/>
        </w:rPr>
        <w:t>C.  Supreme Court</w:t>
      </w:r>
      <w:r w:rsidR="00763D01">
        <w:rPr>
          <w:lang w:val="en-GB"/>
        </w:rPr>
        <w:t>’</w:t>
      </w:r>
      <w:r w:rsidRPr="008354B2">
        <w:rPr>
          <w:lang w:val="en-GB"/>
        </w:rPr>
        <w:t>s case-law</w:t>
      </w:r>
    </w:p>
    <w:p w:rsidR="00867E82" w:rsidP="00867E82" w:rsidRDefault="00763D01">
      <w:pPr>
        <w:pStyle w:val="ECHRPara"/>
      </w:pPr>
      <w:fldSimple w:instr=" SEQ level0 \*arabic ">
        <w:r w:rsidR="00D15CBD">
          <w:rPr>
            <w:noProof/>
          </w:rPr>
          <w:t>27</w:t>
        </w:r>
      </w:fldSimple>
      <w:r w:rsidR="00867E82">
        <w:t>.  </w:t>
      </w:r>
      <w:r w:rsidRPr="00EC1A93" w:rsidR="00867E82">
        <w:t xml:space="preserve">The Supreme Court has taken a stand on the </w:t>
      </w:r>
      <w:proofErr w:type="spellStart"/>
      <w:r w:rsidRPr="00EC1A93" w:rsidR="00867E82">
        <w:rPr>
          <w:rStyle w:val="ju-005fpara-002cleft-002cfirst-0020line-003a-0020-00200-0020cm--char"/>
          <w:i/>
          <w:iCs/>
        </w:rPr>
        <w:t>ne</w:t>
      </w:r>
      <w:proofErr w:type="spellEnd"/>
      <w:r w:rsidRPr="00EC1A93" w:rsidR="00867E82">
        <w:rPr>
          <w:rStyle w:val="ju-005fpara-002cleft-002cfirst-0020line-003a-0020-00200-0020cm--char"/>
          <w:i/>
          <w:iCs/>
        </w:rPr>
        <w:t xml:space="preserve"> </w:t>
      </w:r>
      <w:proofErr w:type="spellStart"/>
      <w:r w:rsidRPr="00EC1A93" w:rsidR="00867E82">
        <w:rPr>
          <w:rStyle w:val="ju-005fpara-002cleft-002cfirst-0020line-003a-0020-00200-0020cm--char"/>
          <w:i/>
          <w:iCs/>
        </w:rPr>
        <w:t>bis</w:t>
      </w:r>
      <w:proofErr w:type="spellEnd"/>
      <w:r w:rsidRPr="00EC1A93" w:rsidR="00867E82">
        <w:rPr>
          <w:rStyle w:val="ju-005fpara-002cleft-002cfirst-0020line-003a-0020-00200-0020cm--char"/>
          <w:i/>
          <w:iCs/>
        </w:rPr>
        <w:t xml:space="preserve"> in idem</w:t>
      </w:r>
      <w:r w:rsidRPr="00EC1A93" w:rsidR="00867E82">
        <w:t xml:space="preserve"> principle in its precedent case </w:t>
      </w:r>
      <w:r w:rsidRPr="00EC1A93" w:rsidR="00867E82">
        <w:rPr>
          <w:rStyle w:val="ju-005fpara-002cleft-002cfirst-0020line-003a-0020-00200-0020cm--char"/>
          <w:i/>
          <w:iCs/>
        </w:rPr>
        <w:t>KKO 2010:46</w:t>
      </w:r>
      <w:r w:rsidRPr="00EC1A93" w:rsidR="00867E82">
        <w:t xml:space="preserve"> which concerned tax surcharges and aggravated tax fraud. In that case it found, </w:t>
      </w:r>
      <w:r w:rsidRPr="00EC1A93" w:rsidR="00867E82">
        <w:rPr>
          <w:rStyle w:val="ju-005fpara-002cleft-002cfirst-0020line-003a-0020-00200-0020cm--char"/>
          <w:i/>
          <w:iCs/>
        </w:rPr>
        <w:t>inter alia</w:t>
      </w:r>
      <w:r w:rsidRPr="00EC1A93" w:rsidR="00867E82">
        <w:t>, that even though a final judgment in a taxation case, in which tax surcharges had been imposed, prevented criminal charges being brought about the same matter, such preventive effect could not be a</w:t>
      </w:r>
      <w:r w:rsidR="00867E82">
        <w:t>pplied</w:t>
      </w:r>
      <w:r w:rsidRPr="00EC1A93" w:rsidR="00867E82">
        <w:t xml:space="preserve"> to pending cases (</w:t>
      </w:r>
      <w:proofErr w:type="spellStart"/>
      <w:r w:rsidRPr="00EC1A93" w:rsidR="00867E82">
        <w:rPr>
          <w:rStyle w:val="ju-005fpara-002cleft-002cfirst-0020line-003a-0020-00200-0020cm--char"/>
          <w:i/>
          <w:iCs/>
        </w:rPr>
        <w:t>lis</w:t>
      </w:r>
      <w:proofErr w:type="spellEnd"/>
      <w:r w:rsidRPr="00EC1A93" w:rsidR="00867E82">
        <w:rPr>
          <w:rStyle w:val="ju-005fpara-002cleft-002cfirst-0020line-003a-0020-00200-0020cm--char"/>
          <w:i/>
          <w:iCs/>
        </w:rPr>
        <w:t xml:space="preserve"> </w:t>
      </w:r>
      <w:proofErr w:type="spellStart"/>
      <w:r w:rsidRPr="00EC1A93" w:rsidR="00867E82">
        <w:rPr>
          <w:rStyle w:val="ju-005fpara-002cleft-002cfirst-0020line-003a-0020-00200-0020cm--char"/>
          <w:i/>
          <w:iCs/>
        </w:rPr>
        <w:t>pendens</w:t>
      </w:r>
      <w:proofErr w:type="spellEnd"/>
      <w:r w:rsidRPr="00EC1A93" w:rsidR="00867E82">
        <w:t>) crossing from administrative proceedings to criminal proceedings or vice versa.</w:t>
      </w:r>
      <w:r w:rsidR="00867E82">
        <w:t xml:space="preserve"> However, in July 2013 the Supreme Court reversed its line of interpretation, </w:t>
      </w:r>
      <w:r w:rsidR="00867E82">
        <w:rPr>
          <w:lang w:val="en-GB"/>
        </w:rPr>
        <w:t>finding that charges for tax fraud could no longer be brought if there was already a decision to order or not to order tax surcharges</w:t>
      </w:r>
      <w:r w:rsidR="00867E82">
        <w:t xml:space="preserve"> in the same matter (</w:t>
      </w:r>
      <w:r w:rsidRPr="00EC1A93" w:rsidR="00867E82">
        <w:rPr>
          <w:i/>
        </w:rPr>
        <w:t>KKO 2013:59</w:t>
      </w:r>
      <w:r w:rsidR="00867E82">
        <w:t>).</w:t>
      </w:r>
    </w:p>
    <w:p w:rsidRPr="008354B2" w:rsidR="00867E82" w:rsidP="00867E82" w:rsidRDefault="00867E82">
      <w:pPr>
        <w:pStyle w:val="ECHRHeading2"/>
        <w:rPr>
          <w:lang w:val="en-GB"/>
        </w:rPr>
      </w:pPr>
      <w:r w:rsidRPr="008354B2">
        <w:rPr>
          <w:lang w:val="en-GB"/>
        </w:rPr>
        <w:t>D.  Legislative amendments</w:t>
      </w:r>
    </w:p>
    <w:p w:rsidRPr="00062973" w:rsidR="00014566" w:rsidP="00867E82" w:rsidRDefault="00763D01">
      <w:pPr>
        <w:pStyle w:val="ECHRPara"/>
        <w:rPr>
          <w:lang w:val="en-GB"/>
        </w:rPr>
      </w:pPr>
      <w:fldSimple w:instr=" SEQ level0 \*arabic ">
        <w:r w:rsidR="00D15CBD">
          <w:rPr>
            <w:noProof/>
          </w:rPr>
          <w:t>28</w:t>
        </w:r>
      </w:fldSimple>
      <w:r w:rsidR="00867E82">
        <w:t>.  </w:t>
      </w:r>
      <w:r w:rsidRPr="008354B2" w:rsidR="00867E82">
        <w:rPr>
          <w:lang w:val="en-GB"/>
        </w:rPr>
        <w:t>The Act on Tax Surcharges and Customs Duty Surcharges Imposed by a Separate Decision (</w:t>
      </w:r>
      <w:proofErr w:type="spellStart"/>
      <w:r w:rsidRPr="008354B2" w:rsidR="00867E82">
        <w:rPr>
          <w:rStyle w:val="Strong"/>
          <w:b w:val="0"/>
          <w:bCs w:val="0"/>
          <w:i/>
          <w:lang w:val="en-GB"/>
        </w:rPr>
        <w:t>laki</w:t>
      </w:r>
      <w:proofErr w:type="spellEnd"/>
      <w:r w:rsidRPr="008354B2" w:rsidR="00867E82">
        <w:rPr>
          <w:rStyle w:val="Strong"/>
          <w:b w:val="0"/>
          <w:bCs w:val="0"/>
          <w:i/>
          <w:lang w:val="en-GB"/>
        </w:rPr>
        <w:t xml:space="preserve"> </w:t>
      </w:r>
      <w:proofErr w:type="spellStart"/>
      <w:r w:rsidRPr="008354B2" w:rsidR="00867E82">
        <w:rPr>
          <w:i/>
          <w:lang w:val="en-GB"/>
        </w:rPr>
        <w:t>erillisellä</w:t>
      </w:r>
      <w:proofErr w:type="spellEnd"/>
      <w:r w:rsidRPr="008354B2" w:rsidR="00867E82">
        <w:rPr>
          <w:i/>
          <w:lang w:val="en-GB"/>
        </w:rPr>
        <w:t xml:space="preserve"> </w:t>
      </w:r>
      <w:proofErr w:type="spellStart"/>
      <w:r w:rsidRPr="008354B2" w:rsidR="00867E82">
        <w:rPr>
          <w:i/>
          <w:lang w:val="en-GB"/>
        </w:rPr>
        <w:t>päätöksellä</w:t>
      </w:r>
      <w:proofErr w:type="spellEnd"/>
      <w:r w:rsidRPr="008354B2" w:rsidR="00867E82">
        <w:rPr>
          <w:i/>
          <w:lang w:val="en-GB"/>
        </w:rPr>
        <w:t xml:space="preserve"> </w:t>
      </w:r>
      <w:proofErr w:type="spellStart"/>
      <w:r w:rsidRPr="008354B2" w:rsidR="00867E82">
        <w:rPr>
          <w:i/>
          <w:lang w:val="en-GB"/>
        </w:rPr>
        <w:t>määrättävästä</w:t>
      </w:r>
      <w:proofErr w:type="spellEnd"/>
      <w:r w:rsidRPr="008354B2" w:rsidR="00867E82">
        <w:rPr>
          <w:i/>
          <w:lang w:val="en-GB"/>
        </w:rPr>
        <w:t xml:space="preserve"> </w:t>
      </w:r>
      <w:proofErr w:type="spellStart"/>
      <w:r w:rsidRPr="008354B2" w:rsidR="00867E82">
        <w:rPr>
          <w:i/>
          <w:lang w:val="en-GB"/>
        </w:rPr>
        <w:t>veron</w:t>
      </w:r>
      <w:proofErr w:type="spellEnd"/>
      <w:r w:rsidRPr="008354B2" w:rsidR="00867E82">
        <w:rPr>
          <w:i/>
          <w:lang w:val="en-GB"/>
        </w:rPr>
        <w:t xml:space="preserve">- </w:t>
      </w:r>
      <w:proofErr w:type="gramStart"/>
      <w:r w:rsidRPr="008354B2" w:rsidR="00867E82">
        <w:rPr>
          <w:i/>
          <w:lang w:val="en-GB"/>
        </w:rPr>
        <w:t>tai</w:t>
      </w:r>
      <w:proofErr w:type="gramEnd"/>
      <w:r w:rsidRPr="008354B2" w:rsidR="00867E82">
        <w:rPr>
          <w:i/>
          <w:lang w:val="en-GB"/>
        </w:rPr>
        <w:t xml:space="preserve"> </w:t>
      </w:r>
      <w:proofErr w:type="spellStart"/>
      <w:r w:rsidRPr="008354B2" w:rsidR="00867E82">
        <w:rPr>
          <w:i/>
          <w:lang w:val="en-GB"/>
        </w:rPr>
        <w:t>tullinkorotuksesta</w:t>
      </w:r>
      <w:proofErr w:type="spellEnd"/>
      <w:r w:rsidRPr="008354B2" w:rsidR="00867E82">
        <w:rPr>
          <w:i/>
          <w:lang w:val="en-GB"/>
        </w:rPr>
        <w:t xml:space="preserve">, </w:t>
      </w:r>
      <w:proofErr w:type="spellStart"/>
      <w:r w:rsidRPr="008354B2" w:rsidR="00867E82">
        <w:rPr>
          <w:i/>
          <w:lang w:val="en-GB"/>
        </w:rPr>
        <w:t>l</w:t>
      </w:r>
      <w:r w:rsidRPr="008354B2" w:rsidR="00867E82">
        <w:rPr>
          <w:rStyle w:val="Strong"/>
          <w:b w:val="0"/>
          <w:bCs w:val="0"/>
          <w:i/>
          <w:lang w:val="en-GB"/>
        </w:rPr>
        <w:t>agen</w:t>
      </w:r>
      <w:proofErr w:type="spellEnd"/>
      <w:r w:rsidRPr="008354B2" w:rsidR="00867E82">
        <w:rPr>
          <w:rStyle w:val="Strong"/>
          <w:b w:val="0"/>
          <w:bCs w:val="0"/>
          <w:i/>
          <w:lang w:val="en-GB"/>
        </w:rPr>
        <w:t xml:space="preserve"> </w:t>
      </w:r>
      <w:r w:rsidRPr="008354B2" w:rsidR="00867E82">
        <w:rPr>
          <w:i/>
          <w:lang w:val="en-GB"/>
        </w:rPr>
        <w:t xml:space="preserve">om </w:t>
      </w:r>
      <w:proofErr w:type="spellStart"/>
      <w:r w:rsidRPr="008354B2" w:rsidR="00867E82">
        <w:rPr>
          <w:i/>
          <w:lang w:val="en-GB"/>
        </w:rPr>
        <w:t>skatteförhöjning</w:t>
      </w:r>
      <w:proofErr w:type="spellEnd"/>
      <w:r w:rsidRPr="008354B2" w:rsidR="00867E82">
        <w:rPr>
          <w:i/>
          <w:lang w:val="en-GB"/>
        </w:rPr>
        <w:t xml:space="preserve"> </w:t>
      </w:r>
      <w:proofErr w:type="spellStart"/>
      <w:r w:rsidRPr="008354B2" w:rsidR="00867E82">
        <w:rPr>
          <w:i/>
          <w:lang w:val="en-GB"/>
        </w:rPr>
        <w:t>och</w:t>
      </w:r>
      <w:proofErr w:type="spellEnd"/>
      <w:r w:rsidRPr="008354B2" w:rsidR="00867E82">
        <w:rPr>
          <w:i/>
          <w:lang w:val="en-GB"/>
        </w:rPr>
        <w:t xml:space="preserve"> </w:t>
      </w:r>
      <w:proofErr w:type="spellStart"/>
      <w:r w:rsidRPr="008354B2" w:rsidR="00867E82">
        <w:rPr>
          <w:i/>
          <w:lang w:val="en-GB"/>
        </w:rPr>
        <w:t>tullhöjning</w:t>
      </w:r>
      <w:proofErr w:type="spellEnd"/>
      <w:r w:rsidRPr="008354B2" w:rsidR="00867E82">
        <w:rPr>
          <w:i/>
          <w:lang w:val="en-GB"/>
        </w:rPr>
        <w:t xml:space="preserve"> </w:t>
      </w:r>
      <w:proofErr w:type="spellStart"/>
      <w:r w:rsidRPr="008354B2" w:rsidR="00867E82">
        <w:rPr>
          <w:i/>
          <w:lang w:val="en-GB"/>
        </w:rPr>
        <w:t>som</w:t>
      </w:r>
      <w:proofErr w:type="spellEnd"/>
      <w:r w:rsidRPr="008354B2" w:rsidR="00867E82">
        <w:rPr>
          <w:i/>
          <w:lang w:val="en-GB"/>
        </w:rPr>
        <w:t xml:space="preserve"> </w:t>
      </w:r>
      <w:proofErr w:type="spellStart"/>
      <w:r w:rsidRPr="008354B2" w:rsidR="00867E82">
        <w:rPr>
          <w:i/>
          <w:lang w:val="en-GB"/>
        </w:rPr>
        <w:t>påförs</w:t>
      </w:r>
      <w:proofErr w:type="spellEnd"/>
      <w:r w:rsidRPr="008354B2" w:rsidR="00867E82">
        <w:rPr>
          <w:i/>
          <w:lang w:val="en-GB"/>
        </w:rPr>
        <w:t xml:space="preserve"> </w:t>
      </w:r>
      <w:proofErr w:type="spellStart"/>
      <w:r w:rsidRPr="008354B2" w:rsidR="00867E82">
        <w:rPr>
          <w:i/>
          <w:lang w:val="en-GB"/>
        </w:rPr>
        <w:t>genom</w:t>
      </w:r>
      <w:proofErr w:type="spellEnd"/>
      <w:r w:rsidRPr="008354B2" w:rsidR="00867E82">
        <w:rPr>
          <w:i/>
          <w:lang w:val="en-GB"/>
        </w:rPr>
        <w:t xml:space="preserve"> </w:t>
      </w:r>
      <w:proofErr w:type="spellStart"/>
      <w:r w:rsidRPr="008354B2" w:rsidR="00867E82">
        <w:rPr>
          <w:i/>
          <w:lang w:val="en-GB"/>
        </w:rPr>
        <w:t>ett</w:t>
      </w:r>
      <w:proofErr w:type="spellEnd"/>
      <w:r w:rsidRPr="008354B2" w:rsidR="00867E82">
        <w:rPr>
          <w:i/>
          <w:lang w:val="en-GB"/>
        </w:rPr>
        <w:t xml:space="preserve"> </w:t>
      </w:r>
      <w:proofErr w:type="spellStart"/>
      <w:r w:rsidRPr="008354B2" w:rsidR="00867E82">
        <w:rPr>
          <w:i/>
          <w:lang w:val="en-GB"/>
        </w:rPr>
        <w:t>särskilt</w:t>
      </w:r>
      <w:proofErr w:type="spellEnd"/>
      <w:r w:rsidRPr="008354B2" w:rsidR="00867E82">
        <w:rPr>
          <w:i/>
          <w:lang w:val="en-GB"/>
        </w:rPr>
        <w:t xml:space="preserve"> </w:t>
      </w:r>
      <w:proofErr w:type="spellStart"/>
      <w:r w:rsidRPr="008354B2" w:rsidR="00867E82">
        <w:rPr>
          <w:i/>
          <w:lang w:val="en-GB"/>
        </w:rPr>
        <w:t>beslut</w:t>
      </w:r>
      <w:proofErr w:type="spellEnd"/>
      <w:r w:rsidRPr="008354B2" w:rsidR="00867E82">
        <w:rPr>
          <w:lang w:val="en-GB"/>
        </w:rPr>
        <w:t>, Act no. 781/2013) enter</w:t>
      </w:r>
      <w:r w:rsidR="00867E82">
        <w:rPr>
          <w:lang w:val="en-GB"/>
        </w:rPr>
        <w:t>ed</w:t>
      </w:r>
      <w:r w:rsidRPr="008354B2" w:rsidR="00867E82">
        <w:rPr>
          <w:lang w:val="en-GB"/>
        </w:rPr>
        <w:t xml:space="preserve"> into force on 1</w:t>
      </w:r>
      <w:r w:rsidR="00867E82">
        <w:rPr>
          <w:lang w:val="en-GB"/>
        </w:rPr>
        <w:t> </w:t>
      </w:r>
      <w:r w:rsidRPr="008354B2" w:rsidR="00867E82">
        <w:rPr>
          <w:lang w:val="en-GB"/>
        </w:rPr>
        <w:t xml:space="preserve">December 2013. </w:t>
      </w:r>
      <w:r w:rsidR="00867E82">
        <w:rPr>
          <w:lang w:val="en-GB"/>
        </w:rPr>
        <w:t xml:space="preserve">According to </w:t>
      </w:r>
      <w:r w:rsidRPr="008354B2" w:rsidR="00867E82">
        <w:rPr>
          <w:lang w:val="en-GB"/>
        </w:rPr>
        <w:t>the Act, the tax authorities c</w:t>
      </w:r>
      <w:r w:rsidR="00867E82">
        <w:rPr>
          <w:lang w:val="en-GB"/>
        </w:rPr>
        <w:t>an</w:t>
      </w:r>
      <w:r w:rsidRPr="008354B2" w:rsidR="00867E82">
        <w:rPr>
          <w:lang w:val="en-GB"/>
        </w:rPr>
        <w:t>, when making a tax decision, assess whether to impose a tax surcharge or to report the matter to the police. The tax authorities c</w:t>
      </w:r>
      <w:r w:rsidR="00867E82">
        <w:rPr>
          <w:lang w:val="en-GB"/>
        </w:rPr>
        <w:t>an</w:t>
      </w:r>
      <w:r w:rsidRPr="008354B2" w:rsidR="00867E82">
        <w:rPr>
          <w:lang w:val="en-GB"/>
        </w:rPr>
        <w:t xml:space="preserve"> decide not to impose a tax surcharge. If they ha</w:t>
      </w:r>
      <w:r w:rsidR="00867E82">
        <w:rPr>
          <w:lang w:val="en-GB"/>
        </w:rPr>
        <w:t>ve</w:t>
      </w:r>
      <w:r w:rsidRPr="008354B2" w:rsidR="00867E82">
        <w:rPr>
          <w:lang w:val="en-GB"/>
        </w:rPr>
        <w:t xml:space="preserve"> not reported the matter to the police, a tax surcharge c</w:t>
      </w:r>
      <w:r w:rsidR="00867E82">
        <w:rPr>
          <w:lang w:val="en-GB"/>
        </w:rPr>
        <w:t>an</w:t>
      </w:r>
      <w:r w:rsidRPr="008354B2" w:rsidR="00867E82">
        <w:rPr>
          <w:lang w:val="en-GB"/>
        </w:rPr>
        <w:t xml:space="preserve"> be imposed by a separate decision by the end of the calendar year following the actual tax decision. If the tax authorities ha</w:t>
      </w:r>
      <w:r w:rsidR="00867E82">
        <w:rPr>
          <w:lang w:val="en-GB"/>
        </w:rPr>
        <w:t>ve</w:t>
      </w:r>
      <w:r w:rsidRPr="008354B2" w:rsidR="00867E82">
        <w:rPr>
          <w:lang w:val="en-GB"/>
        </w:rPr>
        <w:t xml:space="preserve"> imposed tax surcharges, they c</w:t>
      </w:r>
      <w:r w:rsidR="00867E82">
        <w:rPr>
          <w:lang w:val="en-GB"/>
        </w:rPr>
        <w:t xml:space="preserve">an </w:t>
      </w:r>
      <w:r w:rsidRPr="008354B2" w:rsidR="00867E82">
        <w:rPr>
          <w:lang w:val="en-GB"/>
        </w:rPr>
        <w:t>no longer report the same matter to the police unless, after imposing the tax surcharges, they ha</w:t>
      </w:r>
      <w:r w:rsidR="00867E82">
        <w:rPr>
          <w:lang w:val="en-GB"/>
        </w:rPr>
        <w:t>ve</w:t>
      </w:r>
      <w:r w:rsidRPr="008354B2" w:rsidR="00867E82">
        <w:rPr>
          <w:lang w:val="en-GB"/>
        </w:rPr>
        <w:t xml:space="preserve"> received evidence of new or recently revealed facts. If the tax authorities ha</w:t>
      </w:r>
      <w:r w:rsidR="00867E82">
        <w:rPr>
          <w:lang w:val="en-GB"/>
        </w:rPr>
        <w:t>ve</w:t>
      </w:r>
      <w:r w:rsidRPr="008354B2" w:rsidR="00867E82">
        <w:rPr>
          <w:lang w:val="en-GB"/>
        </w:rPr>
        <w:t xml:space="preserve"> reported the matter to the police, tax surcharges c</w:t>
      </w:r>
      <w:r w:rsidR="00867E82">
        <w:rPr>
          <w:lang w:val="en-GB"/>
        </w:rPr>
        <w:t>an</w:t>
      </w:r>
      <w:r w:rsidRPr="008354B2" w:rsidR="00867E82">
        <w:rPr>
          <w:lang w:val="en-GB"/>
        </w:rPr>
        <w:t>, as a rule, no longer be imposed. The purpose of the Act is thus to ensure that a tax or a customs duty matter is processed and possibly punished in only one set of proceedings.</w:t>
      </w:r>
      <w:r w:rsidR="00867E82">
        <w:rPr>
          <w:lang w:val="en-GB"/>
        </w:rPr>
        <w:t xml:space="preserve"> </w:t>
      </w:r>
      <w:r w:rsidRPr="008354B2" w:rsidR="00867E82">
        <w:rPr>
          <w:lang w:val="en-GB"/>
        </w:rPr>
        <w:t>The Act does not</w:t>
      </w:r>
      <w:r w:rsidR="00867E82">
        <w:rPr>
          <w:lang w:val="en-GB"/>
        </w:rPr>
        <w:t>, however,</w:t>
      </w:r>
      <w:r w:rsidRPr="008354B2" w:rsidR="00867E82">
        <w:rPr>
          <w:lang w:val="en-GB"/>
        </w:rPr>
        <w:t xml:space="preserve"> contain any transitional provisions extending its scope retroactively.</w:t>
      </w:r>
    </w:p>
    <w:p w:rsidRPr="00062973" w:rsidR="00014566" w:rsidP="00014566" w:rsidRDefault="00014566">
      <w:pPr>
        <w:pStyle w:val="ECHRTitle1"/>
        <w:rPr>
          <w:lang w:val="en-GB"/>
        </w:rPr>
      </w:pPr>
      <w:r w:rsidRPr="00062973">
        <w:rPr>
          <w:lang w:val="en-GB"/>
        </w:rPr>
        <w:t>THE LAW</w:t>
      </w:r>
    </w:p>
    <w:p w:rsidRPr="00062973" w:rsidR="00014566" w:rsidP="00014566" w:rsidRDefault="00014566">
      <w:pPr>
        <w:pStyle w:val="ECHRHeading1"/>
        <w:rPr>
          <w:lang w:val="en-GB"/>
        </w:rPr>
      </w:pPr>
      <w:r w:rsidRPr="00062973">
        <w:rPr>
          <w:lang w:val="en-GB"/>
        </w:rPr>
        <w:t xml:space="preserve">I.  ALLEGED VIOLATION OF ARTICLE </w:t>
      </w:r>
      <w:r w:rsidR="00867E82">
        <w:rPr>
          <w:lang w:val="en-GB"/>
        </w:rPr>
        <w:t>4 OF PROTOCOL NO. 7</w:t>
      </w:r>
      <w:r w:rsidRPr="00062973">
        <w:rPr>
          <w:lang w:val="en-GB"/>
        </w:rPr>
        <w:t xml:space="preserve"> </w:t>
      </w:r>
      <w:r w:rsidR="00867E82">
        <w:rPr>
          <w:lang w:val="en-GB"/>
        </w:rPr>
        <w:t>T</w:t>
      </w:r>
      <w:r w:rsidRPr="00062973">
        <w:rPr>
          <w:lang w:val="en-GB"/>
        </w:rPr>
        <w:t>O THE CONVENTION</w:t>
      </w:r>
    </w:p>
    <w:p w:rsidR="00867E82" w:rsidP="00C621C2" w:rsidRDefault="00867E82">
      <w:pPr>
        <w:pStyle w:val="ECHRPara"/>
        <w:rPr>
          <w:lang w:val="en-GB"/>
        </w:rPr>
      </w:pPr>
      <w:r>
        <w:rPr>
          <w:lang w:val="en-GB"/>
        </w:rPr>
        <w:fldChar w:fldCharType="begin"/>
      </w:r>
      <w:r>
        <w:rPr>
          <w:lang w:val="en-GB"/>
        </w:rPr>
        <w:instrText xml:space="preserve"> SEQ level0 \*arabic </w:instrText>
      </w:r>
      <w:r>
        <w:rPr>
          <w:lang w:val="en-GB"/>
        </w:rPr>
        <w:fldChar w:fldCharType="separate"/>
      </w:r>
      <w:r w:rsidR="00D15CBD">
        <w:rPr>
          <w:noProof/>
          <w:lang w:val="en-GB"/>
        </w:rPr>
        <w:t>29</w:t>
      </w:r>
      <w:r>
        <w:rPr>
          <w:lang w:val="en-GB"/>
        </w:rPr>
        <w:fldChar w:fldCharType="end"/>
      </w:r>
      <w:r>
        <w:rPr>
          <w:lang w:val="en-GB"/>
        </w:rPr>
        <w:t>.  </w:t>
      </w:r>
      <w:r w:rsidRPr="00062973" w:rsidR="00014566">
        <w:rPr>
          <w:lang w:val="en-GB"/>
        </w:rPr>
        <w:t xml:space="preserve">The applicant complained </w:t>
      </w:r>
      <w:r w:rsidRPr="00D3302A">
        <w:rPr>
          <w:lang w:val="en-GB"/>
        </w:rPr>
        <w:t xml:space="preserve">under Article </w:t>
      </w:r>
      <w:r>
        <w:rPr>
          <w:lang w:val="en-GB"/>
        </w:rPr>
        <w:t xml:space="preserve">4 of Protocol No. 7 to </w:t>
      </w:r>
      <w:r w:rsidRPr="00CD32CC">
        <w:rPr>
          <w:lang w:val="en-GB"/>
        </w:rPr>
        <w:t xml:space="preserve">the Convention about </w:t>
      </w:r>
      <w:r>
        <w:rPr>
          <w:lang w:val="en-GB"/>
        </w:rPr>
        <w:t>double jeopardy. Tax surcharges had been imposed on the applicant for the tax years 1999 to 2000 and 2002 to 2004 and these decisions had become final on 13 September 2012. In 2009 he had been convicted of aggravated tax fraud and ordered to pay compensation to the tax authorities. This judgment had become final on 31 May 2012.</w:t>
      </w:r>
    </w:p>
    <w:p w:rsidRPr="00062973" w:rsidR="00867E82" w:rsidP="00867E82" w:rsidRDefault="00867E82">
      <w:pPr>
        <w:pStyle w:val="ECHRPara"/>
        <w:rPr>
          <w:lang w:val="en-GB"/>
        </w:rPr>
      </w:pPr>
      <w:r>
        <w:rPr>
          <w:lang w:val="en-GB"/>
        </w:rPr>
        <w:fldChar w:fldCharType="begin"/>
      </w:r>
      <w:r>
        <w:rPr>
          <w:lang w:val="en-GB"/>
        </w:rPr>
        <w:instrText xml:space="preserve"> SEQ level0 \*arabic </w:instrText>
      </w:r>
      <w:r>
        <w:rPr>
          <w:lang w:val="en-GB"/>
        </w:rPr>
        <w:fldChar w:fldCharType="separate"/>
      </w:r>
      <w:r w:rsidR="00D15CBD">
        <w:rPr>
          <w:noProof/>
          <w:lang w:val="en-GB"/>
        </w:rPr>
        <w:t>30</w:t>
      </w:r>
      <w:r>
        <w:rPr>
          <w:lang w:val="en-GB"/>
        </w:rPr>
        <w:fldChar w:fldCharType="end"/>
      </w:r>
      <w:r>
        <w:rPr>
          <w:lang w:val="en-GB"/>
        </w:rPr>
        <w:t>.  </w:t>
      </w:r>
      <w:r w:rsidRPr="00CD32CC">
        <w:rPr>
          <w:lang w:val="en-GB"/>
        </w:rPr>
        <w:t xml:space="preserve">Article </w:t>
      </w:r>
      <w:r>
        <w:rPr>
          <w:lang w:val="en-GB"/>
        </w:rPr>
        <w:t>4 of Protocol No. 7</w:t>
      </w:r>
      <w:r w:rsidRPr="00CD32CC">
        <w:rPr>
          <w:lang w:val="en-GB"/>
        </w:rPr>
        <w:t xml:space="preserve"> </w:t>
      </w:r>
      <w:r>
        <w:rPr>
          <w:lang w:val="en-GB"/>
        </w:rPr>
        <w:t xml:space="preserve">to </w:t>
      </w:r>
      <w:r w:rsidRPr="00CD32CC">
        <w:rPr>
          <w:lang w:val="en-GB"/>
        </w:rPr>
        <w:t xml:space="preserve">the Convention </w:t>
      </w:r>
      <w:r w:rsidRPr="00062973">
        <w:rPr>
          <w:lang w:val="en-GB"/>
        </w:rPr>
        <w:t>reads as follows:</w:t>
      </w:r>
    </w:p>
    <w:p w:rsidR="00867E82" w:rsidP="00867E82" w:rsidRDefault="00867E82">
      <w:pPr>
        <w:pStyle w:val="ECHRParaQuote"/>
      </w:pPr>
      <w:r>
        <w:t>“1.</w:t>
      </w:r>
      <w:proofErr w:type="gramStart"/>
      <w:r>
        <w:t>  No</w:t>
      </w:r>
      <w:proofErr w:type="gramEnd"/>
      <w:r>
        <w:t xml:space="preserve"> one shall be liable to be tried or punished again in criminal proceedings under the jurisdiction of the same State for an offence for which he has already been finally acquitted or convicted in accordance with the law and penal procedure of that State.</w:t>
      </w:r>
    </w:p>
    <w:p w:rsidR="00867E82" w:rsidP="00867E82" w:rsidRDefault="00867E82">
      <w:pPr>
        <w:pStyle w:val="ECHRParaQuote"/>
      </w:pPr>
      <w:r>
        <w:t>2.  The provisions of the preceding paragraph shall not prevent the reopening of the case in accordance with the law and penal procedure of the State concerned, if there is evidence of new or newly discovered facts, or if there has been a fundamental defect in the previous proceedings, which could affect the outcome of the case.</w:t>
      </w:r>
    </w:p>
    <w:p w:rsidRPr="00062973" w:rsidR="00867E82" w:rsidP="00867E82" w:rsidRDefault="00867E82">
      <w:pPr>
        <w:pStyle w:val="ECHRParaQuote"/>
        <w:rPr>
          <w:lang w:val="en-GB"/>
        </w:rPr>
      </w:pPr>
      <w:r>
        <w:t>3.</w:t>
      </w:r>
      <w:proofErr w:type="gramStart"/>
      <w:r>
        <w:t>  No</w:t>
      </w:r>
      <w:proofErr w:type="gramEnd"/>
      <w:r>
        <w:t xml:space="preserve"> derogation from this Article shall be made under Article 15 of the Convention.”</w:t>
      </w:r>
    </w:p>
    <w:p w:rsidRPr="00062973" w:rsidR="00014566" w:rsidP="00C621C2" w:rsidRDefault="00DD0E01">
      <w:pPr>
        <w:pStyle w:val="ECHRPara"/>
        <w:rPr>
          <w:lang w:val="en-GB"/>
        </w:rPr>
      </w:pPr>
      <w:r>
        <w:rPr>
          <w:lang w:val="en-GB"/>
        </w:rPr>
        <w:fldChar w:fldCharType="begin"/>
      </w:r>
      <w:r>
        <w:rPr>
          <w:lang w:val="en-GB"/>
        </w:rPr>
        <w:instrText xml:space="preserve"> SEQ level0 \*arabic </w:instrText>
      </w:r>
      <w:r>
        <w:rPr>
          <w:lang w:val="en-GB"/>
        </w:rPr>
        <w:fldChar w:fldCharType="separate"/>
      </w:r>
      <w:r w:rsidR="00D15CBD">
        <w:rPr>
          <w:noProof/>
          <w:lang w:val="en-GB"/>
        </w:rPr>
        <w:t>31</w:t>
      </w:r>
      <w:r>
        <w:rPr>
          <w:lang w:val="en-GB"/>
        </w:rPr>
        <w:fldChar w:fldCharType="end"/>
      </w:r>
      <w:r w:rsidRPr="00062973" w:rsidR="00014566">
        <w:rPr>
          <w:lang w:val="en-GB"/>
        </w:rPr>
        <w:t>.  The Government contested that argument.</w:t>
      </w:r>
    </w:p>
    <w:p w:rsidRPr="00062973" w:rsidR="00014566" w:rsidP="00014566" w:rsidRDefault="00014566">
      <w:pPr>
        <w:pStyle w:val="ECHRHeading2"/>
        <w:outlineLvl w:val="0"/>
        <w:rPr>
          <w:lang w:val="en-GB"/>
        </w:rPr>
      </w:pPr>
      <w:r w:rsidRPr="00062973">
        <w:rPr>
          <w:lang w:val="en-GB"/>
        </w:rPr>
        <w:t>A.  Admissibility</w:t>
      </w:r>
    </w:p>
    <w:p w:rsidRPr="00062973" w:rsidR="00014566" w:rsidP="00C621C2" w:rsidRDefault="00867E82">
      <w:pPr>
        <w:pStyle w:val="ECHRPara"/>
        <w:rPr>
          <w:lang w:val="en-GB"/>
        </w:rPr>
      </w:pPr>
      <w:r>
        <w:rPr>
          <w:lang w:val="en-GB"/>
        </w:rPr>
        <w:fldChar w:fldCharType="begin"/>
      </w:r>
      <w:r>
        <w:rPr>
          <w:lang w:val="en-GB"/>
        </w:rPr>
        <w:instrText xml:space="preserve"> SEQ level0 \*arabic </w:instrText>
      </w:r>
      <w:r>
        <w:rPr>
          <w:lang w:val="en-GB"/>
        </w:rPr>
        <w:fldChar w:fldCharType="separate"/>
      </w:r>
      <w:r w:rsidR="00D15CBD">
        <w:rPr>
          <w:noProof/>
          <w:lang w:val="en-GB"/>
        </w:rPr>
        <w:t>32</w:t>
      </w:r>
      <w:r>
        <w:rPr>
          <w:lang w:val="en-GB"/>
        </w:rPr>
        <w:fldChar w:fldCharType="end"/>
      </w:r>
      <w:r>
        <w:rPr>
          <w:lang w:val="en-GB"/>
        </w:rPr>
        <w:t>.  </w:t>
      </w:r>
      <w:r w:rsidRPr="00062973" w:rsidR="00014566">
        <w:rPr>
          <w:lang w:val="en-GB"/>
        </w:rPr>
        <w:t>The Court notes that the application is not manifestly ill-founded within the meaning of Article 35 § 3 (a) of the Convention. It further notes that it is not inadmissible on any other grounds. It must therefore be declared admissible.</w:t>
      </w:r>
    </w:p>
    <w:p w:rsidR="00014566" w:rsidP="00014566" w:rsidRDefault="00014566">
      <w:pPr>
        <w:pStyle w:val="ECHRHeading2"/>
        <w:outlineLvl w:val="0"/>
        <w:rPr>
          <w:lang w:val="en-GB"/>
        </w:rPr>
      </w:pPr>
      <w:r w:rsidRPr="00062973">
        <w:rPr>
          <w:lang w:val="en-GB"/>
        </w:rPr>
        <w:t>B.  Merits</w:t>
      </w:r>
    </w:p>
    <w:p w:rsidRPr="000F24C7" w:rsidR="00867E82" w:rsidP="00867E82" w:rsidRDefault="00867E82">
      <w:pPr>
        <w:pStyle w:val="ECHRHeading3"/>
        <w:rPr>
          <w:lang w:val="en-GB"/>
        </w:rPr>
      </w:pPr>
      <w:r w:rsidRPr="000F24C7">
        <w:rPr>
          <w:lang w:val="en-GB"/>
        </w:rPr>
        <w:t>1.  The parties</w:t>
      </w:r>
      <w:r w:rsidR="00763D01">
        <w:rPr>
          <w:lang w:val="en-GB"/>
        </w:rPr>
        <w:t>’</w:t>
      </w:r>
      <w:r w:rsidRPr="000F24C7">
        <w:rPr>
          <w:lang w:val="en-GB"/>
        </w:rPr>
        <w:t xml:space="preserve"> submissions</w:t>
      </w:r>
    </w:p>
    <w:p w:rsidRPr="000F24C7" w:rsidR="00867E82" w:rsidP="00867E82" w:rsidRDefault="00867E82">
      <w:pPr>
        <w:pStyle w:val="ECHRHeading4"/>
        <w:rPr>
          <w:lang w:val="en-GB"/>
        </w:rPr>
      </w:pPr>
      <w:r w:rsidRPr="000F24C7">
        <w:rPr>
          <w:lang w:val="en-GB"/>
        </w:rPr>
        <w:t>(a)  The applicant</w:t>
      </w:r>
    </w:p>
    <w:p w:rsidR="00867E82" w:rsidP="00867E82" w:rsidRDefault="00867E82">
      <w:pPr>
        <w:pStyle w:val="ECHRPara"/>
        <w:rPr>
          <w:lang w:val="en-GB"/>
        </w:rPr>
      </w:pPr>
      <w:r>
        <w:rPr>
          <w:lang w:val="en-GB"/>
        </w:rPr>
        <w:fldChar w:fldCharType="begin"/>
      </w:r>
      <w:r>
        <w:rPr>
          <w:lang w:val="en-GB"/>
        </w:rPr>
        <w:instrText xml:space="preserve"> SEQ level0 \*arabic </w:instrText>
      </w:r>
      <w:r>
        <w:rPr>
          <w:lang w:val="en-GB"/>
        </w:rPr>
        <w:fldChar w:fldCharType="separate"/>
      </w:r>
      <w:r w:rsidR="00D15CBD">
        <w:rPr>
          <w:noProof/>
          <w:lang w:val="en-GB"/>
        </w:rPr>
        <w:t>33</w:t>
      </w:r>
      <w:r>
        <w:rPr>
          <w:lang w:val="en-GB"/>
        </w:rPr>
        <w:fldChar w:fldCharType="end"/>
      </w:r>
      <w:r>
        <w:rPr>
          <w:lang w:val="en-GB"/>
        </w:rPr>
        <w:t>.  The applicant agreed with the Government that both</w:t>
      </w:r>
      <w:r w:rsidR="008B052C">
        <w:rPr>
          <w:lang w:val="en-GB"/>
        </w:rPr>
        <w:t xml:space="preserve"> sets of</w:t>
      </w:r>
      <w:r>
        <w:rPr>
          <w:lang w:val="en-GB"/>
        </w:rPr>
        <w:t xml:space="preserve"> proceedings had been criminal in nature for the purposes of Article 4 of Protocol No. 7. Also the same circumstances had been examined in both sets of proceedings. In the applicant</w:t>
      </w:r>
      <w:r w:rsidR="00763D01">
        <w:rPr>
          <w:lang w:val="en-GB"/>
        </w:rPr>
        <w:t>’</w:t>
      </w:r>
      <w:r>
        <w:rPr>
          <w:lang w:val="en-GB"/>
        </w:rPr>
        <w:t>s case the parallel proceedings had led to successive judgments. Both the Supreme Administrative Court and the Supreme Court had been aware of the existence of the parallel proceedings.</w:t>
      </w:r>
    </w:p>
    <w:p w:rsidR="00867E82" w:rsidP="00867E82" w:rsidRDefault="00867E82">
      <w:pPr>
        <w:pStyle w:val="ECHRPara"/>
        <w:rPr>
          <w:lang w:val="en-GB"/>
        </w:rPr>
      </w:pPr>
      <w:r>
        <w:rPr>
          <w:lang w:val="en-GB"/>
        </w:rPr>
        <w:fldChar w:fldCharType="begin"/>
      </w:r>
      <w:r>
        <w:rPr>
          <w:lang w:val="en-GB"/>
        </w:rPr>
        <w:instrText xml:space="preserve"> SEQ level0 \*arabic </w:instrText>
      </w:r>
      <w:r>
        <w:rPr>
          <w:lang w:val="en-GB"/>
        </w:rPr>
        <w:fldChar w:fldCharType="separate"/>
      </w:r>
      <w:r w:rsidR="00D15CBD">
        <w:rPr>
          <w:noProof/>
          <w:lang w:val="en-GB"/>
        </w:rPr>
        <w:t>34</w:t>
      </w:r>
      <w:r>
        <w:rPr>
          <w:lang w:val="en-GB"/>
        </w:rPr>
        <w:fldChar w:fldCharType="end"/>
      </w:r>
      <w:r>
        <w:rPr>
          <w:lang w:val="en-GB"/>
        </w:rPr>
        <w:t xml:space="preserve">.  The applicant noted that, as the time-limit for applying for rectification in the taxation proceedings in respect of the tax years 1999 and 2000 had already run out before the criminal charges had been brought, these proceedings had become final and these tax years could no longer be </w:t>
      </w:r>
      <w:r w:rsidR="00AB7D63">
        <w:rPr>
          <w:lang w:val="en-GB"/>
        </w:rPr>
        <w:t xml:space="preserve">the </w:t>
      </w:r>
      <w:r>
        <w:rPr>
          <w:lang w:val="en-GB"/>
        </w:rPr>
        <w:t>subject o</w:t>
      </w:r>
      <w:r w:rsidR="00AB7D63">
        <w:rPr>
          <w:lang w:val="en-GB"/>
        </w:rPr>
        <w:t>f</w:t>
      </w:r>
      <w:r>
        <w:rPr>
          <w:lang w:val="en-GB"/>
        </w:rPr>
        <w:t xml:space="preserve"> criminal proceedings. Therefore the charges had to be dismissed without examining the merits, and the applicant was convicted only in the taxation proceedings. However, in respect of the tax years 2002 to 2004 the applicant had been tried and convicted both in the taxation proceedings and in the criminal proceedings.</w:t>
      </w:r>
    </w:p>
    <w:p w:rsidR="00867E82" w:rsidP="00867E82" w:rsidRDefault="00867E82">
      <w:pPr>
        <w:pStyle w:val="ECHRPara"/>
        <w:rPr>
          <w:lang w:val="en-GB"/>
        </w:rPr>
      </w:pPr>
      <w:r>
        <w:rPr>
          <w:lang w:val="en-GB"/>
        </w:rPr>
        <w:fldChar w:fldCharType="begin"/>
      </w:r>
      <w:r>
        <w:rPr>
          <w:lang w:val="en-GB"/>
        </w:rPr>
        <w:instrText xml:space="preserve"> SEQ level0 \*arabic </w:instrText>
      </w:r>
      <w:r>
        <w:rPr>
          <w:lang w:val="en-GB"/>
        </w:rPr>
        <w:fldChar w:fldCharType="separate"/>
      </w:r>
      <w:r w:rsidR="00D15CBD">
        <w:rPr>
          <w:noProof/>
          <w:lang w:val="en-GB"/>
        </w:rPr>
        <w:t>35</w:t>
      </w:r>
      <w:r>
        <w:rPr>
          <w:lang w:val="en-GB"/>
        </w:rPr>
        <w:fldChar w:fldCharType="end"/>
      </w:r>
      <w:r>
        <w:rPr>
          <w:lang w:val="en-GB"/>
        </w:rPr>
        <w:t xml:space="preserve">.  The applicant further noted that if the finality of a decision was the determining criterion for applying the </w:t>
      </w:r>
      <w:proofErr w:type="spellStart"/>
      <w:r w:rsidRPr="00720954">
        <w:rPr>
          <w:i/>
          <w:lang w:val="en-GB"/>
        </w:rPr>
        <w:t>ne</w:t>
      </w:r>
      <w:proofErr w:type="spellEnd"/>
      <w:r w:rsidRPr="00720954">
        <w:rPr>
          <w:i/>
          <w:lang w:val="en-GB"/>
        </w:rPr>
        <w:t xml:space="preserve"> </w:t>
      </w:r>
      <w:proofErr w:type="spellStart"/>
      <w:r w:rsidRPr="00720954">
        <w:rPr>
          <w:i/>
          <w:lang w:val="en-GB"/>
        </w:rPr>
        <w:t>bis</w:t>
      </w:r>
      <w:proofErr w:type="spellEnd"/>
      <w:r w:rsidRPr="00720954">
        <w:rPr>
          <w:i/>
          <w:lang w:val="en-GB"/>
        </w:rPr>
        <w:t xml:space="preserve"> in idem</w:t>
      </w:r>
      <w:r>
        <w:rPr>
          <w:lang w:val="en-GB"/>
        </w:rPr>
        <w:t xml:space="preserve"> principle, it rendered the use of appeals not only futile but also dangerous</w:t>
      </w:r>
      <w:r w:rsidR="00AB7D63">
        <w:rPr>
          <w:lang w:val="en-GB"/>
        </w:rPr>
        <w:t>,</w:t>
      </w:r>
      <w:r>
        <w:rPr>
          <w:lang w:val="en-GB"/>
        </w:rPr>
        <w:t xml:space="preserve"> </w:t>
      </w:r>
      <w:r w:rsidR="00AB7D63">
        <w:rPr>
          <w:lang w:val="en-GB"/>
        </w:rPr>
        <w:t>bec</w:t>
      </w:r>
      <w:r>
        <w:rPr>
          <w:lang w:val="en-GB"/>
        </w:rPr>
        <w:t>a</w:t>
      </w:r>
      <w:r w:rsidR="00AB7D63">
        <w:rPr>
          <w:lang w:val="en-GB"/>
        </w:rPr>
        <w:t>u</w:t>
      </w:r>
      <w:r>
        <w:rPr>
          <w:lang w:val="en-GB"/>
        </w:rPr>
        <w:t>s</w:t>
      </w:r>
      <w:r w:rsidR="00AB7D63">
        <w:rPr>
          <w:lang w:val="en-GB"/>
        </w:rPr>
        <w:t>e</w:t>
      </w:r>
      <w:r>
        <w:rPr>
          <w:lang w:val="en-GB"/>
        </w:rPr>
        <w:t xml:space="preserve"> the longer a person was able to seek recourse, the longer it took for a decision to become final. It also led to arbitrary justice both in form and substance as the first decision to become final determined the consequences in the matter.</w:t>
      </w:r>
    </w:p>
    <w:p w:rsidR="00867E82" w:rsidP="00867E82" w:rsidRDefault="00867E82">
      <w:pPr>
        <w:pStyle w:val="ECHRHeading4"/>
        <w:rPr>
          <w:lang w:val="en-GB"/>
        </w:rPr>
      </w:pPr>
      <w:r w:rsidRPr="000F24C7">
        <w:rPr>
          <w:lang w:val="en-GB"/>
        </w:rPr>
        <w:t>(b)  The Government</w:t>
      </w:r>
    </w:p>
    <w:p w:rsidR="00867E82" w:rsidP="00867E82" w:rsidRDefault="00867E82">
      <w:pPr>
        <w:pStyle w:val="ECHRPara"/>
        <w:rPr>
          <w:lang w:val="en-GB"/>
        </w:rPr>
      </w:pPr>
      <w:r>
        <w:rPr>
          <w:lang w:val="en-GB"/>
        </w:rPr>
        <w:fldChar w:fldCharType="begin"/>
      </w:r>
      <w:r>
        <w:rPr>
          <w:lang w:val="en-GB"/>
        </w:rPr>
        <w:instrText xml:space="preserve"> SEQ level0 \*arabic </w:instrText>
      </w:r>
      <w:r>
        <w:rPr>
          <w:lang w:val="en-GB"/>
        </w:rPr>
        <w:fldChar w:fldCharType="separate"/>
      </w:r>
      <w:r w:rsidR="00D15CBD">
        <w:rPr>
          <w:noProof/>
          <w:lang w:val="en-GB"/>
        </w:rPr>
        <w:t>36</w:t>
      </w:r>
      <w:r>
        <w:rPr>
          <w:lang w:val="en-GB"/>
        </w:rPr>
        <w:fldChar w:fldCharType="end"/>
      </w:r>
      <w:r>
        <w:rPr>
          <w:lang w:val="en-GB"/>
        </w:rPr>
        <w:t xml:space="preserve">.  The Government found it indisputable that both </w:t>
      </w:r>
      <w:r w:rsidR="00AB7D63">
        <w:rPr>
          <w:lang w:val="en-GB"/>
        </w:rPr>
        <w:t xml:space="preserve">sets of </w:t>
      </w:r>
      <w:r>
        <w:rPr>
          <w:lang w:val="en-GB"/>
        </w:rPr>
        <w:t>proceedings, the criminal proceedings as well the tax surcharge proceedings, had been criminal in nature for the purposes of the Article</w:t>
      </w:r>
      <w:r w:rsidR="00AB7D63">
        <w:rPr>
          <w:lang w:val="en-GB"/>
        </w:rPr>
        <w:t xml:space="preserve"> relied on</w:t>
      </w:r>
      <w:r>
        <w:rPr>
          <w:lang w:val="en-GB"/>
        </w:rPr>
        <w:t>. It was also obvious that the same circumstances had been examined both in the criminal proceedings and the taxation proceedings, although the applicant had not been convicted of a tax offence in all respects.</w:t>
      </w:r>
    </w:p>
    <w:p w:rsidR="00867E82" w:rsidP="00867E82" w:rsidRDefault="00867E82">
      <w:pPr>
        <w:pStyle w:val="ECHRPara"/>
        <w:rPr>
          <w:lang w:val="en-GB"/>
        </w:rPr>
      </w:pPr>
      <w:r>
        <w:rPr>
          <w:lang w:val="en-GB"/>
        </w:rPr>
        <w:fldChar w:fldCharType="begin"/>
      </w:r>
      <w:r>
        <w:rPr>
          <w:lang w:val="en-GB"/>
        </w:rPr>
        <w:instrText xml:space="preserve"> SEQ level0 \*arabic </w:instrText>
      </w:r>
      <w:r>
        <w:rPr>
          <w:lang w:val="en-GB"/>
        </w:rPr>
        <w:fldChar w:fldCharType="separate"/>
      </w:r>
      <w:r w:rsidR="00D15CBD">
        <w:rPr>
          <w:noProof/>
          <w:lang w:val="en-GB"/>
        </w:rPr>
        <w:t>37</w:t>
      </w:r>
      <w:r>
        <w:rPr>
          <w:lang w:val="en-GB"/>
        </w:rPr>
        <w:fldChar w:fldCharType="end"/>
      </w:r>
      <w:r>
        <w:rPr>
          <w:lang w:val="en-GB"/>
        </w:rPr>
        <w:t>.  The Government acknowledged that from the Court</w:t>
      </w:r>
      <w:r w:rsidR="00763D01">
        <w:rPr>
          <w:lang w:val="en-GB"/>
        </w:rPr>
        <w:t>’</w:t>
      </w:r>
      <w:r>
        <w:rPr>
          <w:lang w:val="en-GB"/>
        </w:rPr>
        <w:t xml:space="preserve">s established case-law it was not entirely clear whether pending proceedings </w:t>
      </w:r>
      <w:r w:rsidR="00AB7D63">
        <w:rPr>
          <w:lang w:val="en-GB"/>
        </w:rPr>
        <w:t xml:space="preserve">also </w:t>
      </w:r>
      <w:r>
        <w:rPr>
          <w:lang w:val="en-GB"/>
        </w:rPr>
        <w:t xml:space="preserve">created a preventive effect. Article 4 of Protocol No. 7 to the Convention was not clearly worded when it came to parallel proceedings. In 2013 the Finnish Supreme Court had extended in its case-law the </w:t>
      </w:r>
      <w:proofErr w:type="spellStart"/>
      <w:r w:rsidRPr="00AB720D">
        <w:rPr>
          <w:i/>
          <w:lang w:val="en-GB"/>
        </w:rPr>
        <w:t>ne</w:t>
      </w:r>
      <w:proofErr w:type="spellEnd"/>
      <w:r w:rsidRPr="00AB720D">
        <w:rPr>
          <w:i/>
          <w:lang w:val="en-GB"/>
        </w:rPr>
        <w:t xml:space="preserve"> </w:t>
      </w:r>
      <w:proofErr w:type="spellStart"/>
      <w:r w:rsidRPr="00AB720D">
        <w:rPr>
          <w:i/>
          <w:lang w:val="en-GB"/>
        </w:rPr>
        <w:t>bis</w:t>
      </w:r>
      <w:proofErr w:type="spellEnd"/>
      <w:r w:rsidRPr="00AB720D">
        <w:rPr>
          <w:i/>
          <w:lang w:val="en-GB"/>
        </w:rPr>
        <w:t xml:space="preserve"> in idem</w:t>
      </w:r>
      <w:r>
        <w:rPr>
          <w:lang w:val="en-GB"/>
        </w:rPr>
        <w:t xml:space="preserve"> prohibition also to parallel proceedings. After the judgment in </w:t>
      </w:r>
      <w:proofErr w:type="spellStart"/>
      <w:r w:rsidRPr="00275166">
        <w:rPr>
          <w:i/>
          <w:lang w:val="en-GB"/>
        </w:rPr>
        <w:t>Nykänen</w:t>
      </w:r>
      <w:proofErr w:type="spellEnd"/>
      <w:r>
        <w:rPr>
          <w:lang w:val="en-GB"/>
        </w:rPr>
        <w:t xml:space="preserve"> and </w:t>
      </w:r>
      <w:proofErr w:type="spellStart"/>
      <w:r w:rsidRPr="00275166">
        <w:rPr>
          <w:i/>
          <w:lang w:val="en-GB"/>
        </w:rPr>
        <w:t>Glantz</w:t>
      </w:r>
      <w:proofErr w:type="spellEnd"/>
      <w:r>
        <w:rPr>
          <w:lang w:val="en-GB"/>
        </w:rPr>
        <w:t>, the Court</w:t>
      </w:r>
      <w:r w:rsidR="00AB7D63">
        <w:rPr>
          <w:lang w:val="en-GB"/>
        </w:rPr>
        <w:t xml:space="preserve"> also</w:t>
      </w:r>
      <w:r>
        <w:rPr>
          <w:lang w:val="en-GB"/>
        </w:rPr>
        <w:t xml:space="preserve"> found that parallel sets of proceedings in the same matter were not prohibited as such but that a violation occurred if the first set became final and the second still continued. In the present case, the first set of proceedings had not yet become final within the meaning of the Convention when the second set of proceedings became pending on 17 November 2008. The proceedings had thus taken place simultaneously.</w:t>
      </w:r>
    </w:p>
    <w:p w:rsidR="00867E82" w:rsidP="00867E82" w:rsidRDefault="00867E82">
      <w:pPr>
        <w:pStyle w:val="ECHRPara"/>
        <w:rPr>
          <w:lang w:val="en-GB"/>
        </w:rPr>
      </w:pPr>
      <w:r>
        <w:rPr>
          <w:lang w:val="en-GB"/>
        </w:rPr>
        <w:fldChar w:fldCharType="begin"/>
      </w:r>
      <w:r>
        <w:rPr>
          <w:lang w:val="en-GB"/>
        </w:rPr>
        <w:instrText xml:space="preserve"> SEQ level0 \*arabic </w:instrText>
      </w:r>
      <w:r>
        <w:rPr>
          <w:lang w:val="en-GB"/>
        </w:rPr>
        <w:fldChar w:fldCharType="separate"/>
      </w:r>
      <w:r w:rsidR="00D15CBD">
        <w:rPr>
          <w:noProof/>
          <w:lang w:val="en-GB"/>
        </w:rPr>
        <w:t>38</w:t>
      </w:r>
      <w:r>
        <w:rPr>
          <w:lang w:val="en-GB"/>
        </w:rPr>
        <w:fldChar w:fldCharType="end"/>
      </w:r>
      <w:r>
        <w:rPr>
          <w:lang w:val="en-GB"/>
        </w:rPr>
        <w:t xml:space="preserve">.  Were the Court to </w:t>
      </w:r>
      <w:r w:rsidR="00AB7D63">
        <w:rPr>
          <w:lang w:val="en-GB"/>
        </w:rPr>
        <w:t>take the</w:t>
      </w:r>
      <w:r>
        <w:rPr>
          <w:lang w:val="en-GB"/>
        </w:rPr>
        <w:t xml:space="preserve"> view that the </w:t>
      </w:r>
      <w:proofErr w:type="spellStart"/>
      <w:r w:rsidRPr="00DD0DDA">
        <w:rPr>
          <w:i/>
          <w:lang w:val="en-GB"/>
        </w:rPr>
        <w:t>ne</w:t>
      </w:r>
      <w:proofErr w:type="spellEnd"/>
      <w:r w:rsidRPr="00DD0DDA">
        <w:rPr>
          <w:i/>
          <w:lang w:val="en-GB"/>
        </w:rPr>
        <w:t xml:space="preserve"> </w:t>
      </w:r>
      <w:proofErr w:type="spellStart"/>
      <w:r w:rsidRPr="00DD0DDA">
        <w:rPr>
          <w:i/>
          <w:lang w:val="en-GB"/>
        </w:rPr>
        <w:t>bis</w:t>
      </w:r>
      <w:proofErr w:type="spellEnd"/>
      <w:r w:rsidRPr="00DD0DDA">
        <w:rPr>
          <w:i/>
          <w:lang w:val="en-GB"/>
        </w:rPr>
        <w:t xml:space="preserve"> in idem</w:t>
      </w:r>
      <w:r>
        <w:rPr>
          <w:lang w:val="en-GB"/>
        </w:rPr>
        <w:t xml:space="preserve"> prohibition applied also to parallel proceedings, the Government argued that the applicant no longer had victim status to the extent that the Appeal Court had dismissed the charges against him. </w:t>
      </w:r>
      <w:proofErr w:type="gramStart"/>
      <w:r>
        <w:rPr>
          <w:lang w:val="en-GB"/>
        </w:rPr>
        <w:t xml:space="preserve">That court had dismissed the charges without examining the merits expressly on account of the </w:t>
      </w:r>
      <w:proofErr w:type="spellStart"/>
      <w:r w:rsidRPr="00DD0DDA">
        <w:rPr>
          <w:i/>
          <w:lang w:val="en-GB"/>
        </w:rPr>
        <w:t>ne</w:t>
      </w:r>
      <w:proofErr w:type="spellEnd"/>
      <w:r w:rsidRPr="00DD0DDA">
        <w:rPr>
          <w:i/>
          <w:lang w:val="en-GB"/>
        </w:rPr>
        <w:t xml:space="preserve"> </w:t>
      </w:r>
      <w:proofErr w:type="spellStart"/>
      <w:r w:rsidRPr="00DD0DDA">
        <w:rPr>
          <w:i/>
          <w:lang w:val="en-GB"/>
        </w:rPr>
        <w:t>bis</w:t>
      </w:r>
      <w:proofErr w:type="spellEnd"/>
      <w:r w:rsidRPr="00DD0DDA">
        <w:rPr>
          <w:i/>
          <w:lang w:val="en-GB"/>
        </w:rPr>
        <w:t xml:space="preserve"> in idem</w:t>
      </w:r>
      <w:r>
        <w:rPr>
          <w:lang w:val="en-GB"/>
        </w:rPr>
        <w:t xml:space="preserve"> prohibition.</w:t>
      </w:r>
      <w:proofErr w:type="gramEnd"/>
      <w:r>
        <w:rPr>
          <w:lang w:val="en-GB"/>
        </w:rPr>
        <w:t xml:space="preserve"> Therefore, only the tax years 2002, 2003 and 2004 were at stake in the present case.</w:t>
      </w:r>
    </w:p>
    <w:p w:rsidRPr="000F24C7" w:rsidR="00867E82" w:rsidP="00867E82" w:rsidRDefault="00867E82">
      <w:pPr>
        <w:pStyle w:val="ECHRHeading3"/>
        <w:rPr>
          <w:lang w:val="en-GB"/>
        </w:rPr>
      </w:pPr>
      <w:r w:rsidRPr="000F24C7">
        <w:rPr>
          <w:lang w:val="en-GB"/>
        </w:rPr>
        <w:t>2.  The Court</w:t>
      </w:r>
      <w:r w:rsidR="00763D01">
        <w:rPr>
          <w:lang w:val="en-GB"/>
        </w:rPr>
        <w:t>’</w:t>
      </w:r>
      <w:r w:rsidRPr="000F24C7">
        <w:rPr>
          <w:lang w:val="en-GB"/>
        </w:rPr>
        <w:t>s assessment</w:t>
      </w:r>
    </w:p>
    <w:p w:rsidRPr="00867E82" w:rsidR="00867E82" w:rsidP="00867E82" w:rsidRDefault="00867E82">
      <w:pPr>
        <w:pStyle w:val="ECHRHeading4"/>
        <w:rPr>
          <w:rFonts w:ascii="Times New Roman" w:hAnsi="Times New Roman" w:cs="Times New Roman"/>
          <w:b w:val="0"/>
          <w:sz w:val="24"/>
          <w:szCs w:val="24"/>
          <w:lang w:val="en-GB"/>
        </w:rPr>
      </w:pPr>
      <w:r w:rsidRPr="00867E82">
        <w:rPr>
          <w:lang w:val="en-GB"/>
        </w:rPr>
        <w:t>(a)  Whether the proceedings were criminal in nature</w:t>
      </w:r>
      <w:r w:rsidRPr="00867E82">
        <w:rPr>
          <w:rFonts w:ascii="Times New Roman" w:hAnsi="Times New Roman" w:cs="Times New Roman"/>
          <w:b w:val="0"/>
          <w:sz w:val="24"/>
          <w:szCs w:val="24"/>
          <w:lang w:val="en-GB"/>
        </w:rPr>
        <w:t>?</w:t>
      </w:r>
    </w:p>
    <w:p w:rsidRPr="00867E82" w:rsidR="00867E82" w:rsidP="00867E82" w:rsidRDefault="004E6A33">
      <w:pPr>
        <w:pStyle w:val="ECHRPara"/>
      </w:pPr>
      <w:r>
        <w:rPr>
          <w:lang w:val="en-GB"/>
        </w:rPr>
        <w:fldChar w:fldCharType="begin"/>
      </w:r>
      <w:r>
        <w:rPr>
          <w:lang w:val="en-GB"/>
        </w:rPr>
        <w:instrText xml:space="preserve"> SEQ level0 \*arabic </w:instrText>
      </w:r>
      <w:r>
        <w:rPr>
          <w:lang w:val="en-GB"/>
        </w:rPr>
        <w:fldChar w:fldCharType="separate"/>
      </w:r>
      <w:r w:rsidR="00D15CBD">
        <w:rPr>
          <w:noProof/>
          <w:lang w:val="en-GB"/>
        </w:rPr>
        <w:t>39</w:t>
      </w:r>
      <w:r>
        <w:rPr>
          <w:lang w:val="en-GB"/>
        </w:rPr>
        <w:fldChar w:fldCharType="end"/>
      </w:r>
      <w:r>
        <w:rPr>
          <w:lang w:val="en-GB"/>
        </w:rPr>
        <w:t>.  </w:t>
      </w:r>
      <w:r w:rsidRPr="00867E82" w:rsidR="00867E82">
        <w:rPr>
          <w:lang w:val="en-GB"/>
        </w:rPr>
        <w:t xml:space="preserve">The Court notes first of all that it is clear that the criminal proceedings for </w:t>
      </w:r>
      <w:r w:rsidRPr="00867E82" w:rsidR="00867E82">
        <w:t>aggravated tax fraud were criminal in nature.</w:t>
      </w:r>
    </w:p>
    <w:p w:rsidRPr="00867E82" w:rsidR="00867E82" w:rsidP="00867E82" w:rsidRDefault="00867E82">
      <w:pPr>
        <w:pStyle w:val="ECHRPara"/>
        <w:rPr>
          <w:highlight w:val="yellow"/>
          <w:lang w:val="en-GB"/>
        </w:rPr>
      </w:pPr>
      <w:r w:rsidRPr="00867E82">
        <w:rPr>
          <w:rStyle w:val="JuParaChar"/>
          <w:lang w:val="en-GB"/>
        </w:rPr>
        <w:fldChar w:fldCharType="begin"/>
      </w:r>
      <w:r w:rsidRPr="00867E82">
        <w:rPr>
          <w:rStyle w:val="JuParaChar"/>
          <w:lang w:val="en-GB"/>
        </w:rPr>
        <w:instrText xml:space="preserve"> SEQ level0 \*arabic </w:instrText>
      </w:r>
      <w:r w:rsidRPr="00867E82">
        <w:rPr>
          <w:rStyle w:val="JuParaChar"/>
          <w:lang w:val="en-GB"/>
        </w:rPr>
        <w:fldChar w:fldCharType="separate"/>
      </w:r>
      <w:r w:rsidR="00D15CBD">
        <w:rPr>
          <w:rStyle w:val="JuParaChar"/>
          <w:noProof/>
          <w:lang w:val="en-GB"/>
        </w:rPr>
        <w:t>40</w:t>
      </w:r>
      <w:r w:rsidRPr="00867E82">
        <w:rPr>
          <w:rStyle w:val="JuParaChar"/>
          <w:lang w:val="en-GB"/>
        </w:rPr>
        <w:fldChar w:fldCharType="end"/>
      </w:r>
      <w:r w:rsidRPr="00867E82">
        <w:rPr>
          <w:rStyle w:val="JuParaChar"/>
          <w:lang w:val="en-GB"/>
        </w:rPr>
        <w:t xml:space="preserve">.  As to the criminal nature of tax surcharge proceedings, the Court reiterates that the legal characterisation of the procedure under national law cannot be the sole criterion of relevance for the applicability of the principle of </w:t>
      </w:r>
      <w:r w:rsidRPr="00867E82">
        <w:rPr>
          <w:rStyle w:val="JuParaChar"/>
          <w:i/>
          <w:lang w:val="en-GB"/>
        </w:rPr>
        <w:t xml:space="preserve">ne </w:t>
      </w:r>
      <w:proofErr w:type="spellStart"/>
      <w:r w:rsidRPr="00867E82">
        <w:rPr>
          <w:rStyle w:val="JuParaChar"/>
          <w:i/>
          <w:lang w:val="en-GB"/>
        </w:rPr>
        <w:t>bis</w:t>
      </w:r>
      <w:proofErr w:type="spellEnd"/>
      <w:r w:rsidRPr="00867E82">
        <w:rPr>
          <w:rStyle w:val="JuParaChar"/>
          <w:i/>
          <w:lang w:val="en-GB"/>
        </w:rPr>
        <w:t xml:space="preserve"> in idem</w:t>
      </w:r>
      <w:r w:rsidRPr="00867E82">
        <w:rPr>
          <w:rStyle w:val="JuParaChar"/>
          <w:lang w:val="en-GB"/>
        </w:rPr>
        <w:t xml:space="preserve"> under Article 4 § 1 of Protocol No. 7. Otherwise, the application of this provision would be left to the discretion of the Contracting States to a degree that might lead to results incompatible with the object and purpose of the Convention (see for example </w:t>
      </w:r>
      <w:proofErr w:type="spellStart"/>
      <w:r w:rsidRPr="00867E82">
        <w:rPr>
          <w:rStyle w:val="JuParaChar"/>
          <w:i/>
          <w:lang w:val="en-GB"/>
        </w:rPr>
        <w:t>Storbråten</w:t>
      </w:r>
      <w:proofErr w:type="spellEnd"/>
      <w:r w:rsidRPr="00867E82">
        <w:rPr>
          <w:rStyle w:val="JuParaChar"/>
          <w:i/>
          <w:lang w:val="en-GB"/>
        </w:rPr>
        <w:t xml:space="preserve"> v. Norway</w:t>
      </w:r>
      <w:r w:rsidRPr="00867E82">
        <w:rPr>
          <w:rStyle w:val="JuParaChar"/>
          <w:lang w:val="en-GB"/>
        </w:rPr>
        <w:t xml:space="preserve"> (</w:t>
      </w:r>
      <w:proofErr w:type="spellStart"/>
      <w:r w:rsidRPr="00867E82">
        <w:rPr>
          <w:rStyle w:val="JuParaChar"/>
          <w:lang w:val="en-GB"/>
        </w:rPr>
        <w:t>dec.</w:t>
      </w:r>
      <w:proofErr w:type="spellEnd"/>
      <w:r w:rsidRPr="00867E82">
        <w:rPr>
          <w:rStyle w:val="JuParaChar"/>
          <w:lang w:val="en-GB"/>
        </w:rPr>
        <w:t xml:space="preserve">), no. </w:t>
      </w:r>
      <w:hyperlink w:tgtFrame="_blank" w:history="1" w:anchor="{&quot;appno&quot;:[&quot;12277/04&quot;]}" r:id="rId14">
        <w:r w:rsidRPr="00867E82">
          <w:rPr>
            <w:rStyle w:val="JuParaChar"/>
            <w:lang w:val="en-GB"/>
          </w:rPr>
          <w:t>12277/04</w:t>
        </w:r>
      </w:hyperlink>
      <w:r w:rsidRPr="00867E82">
        <w:rPr>
          <w:rStyle w:val="JuParaChar"/>
          <w:lang w:val="en-GB"/>
        </w:rPr>
        <w:t>, ECHR 2007</w:t>
      </w:r>
      <w:r w:rsidRPr="00867E82">
        <w:rPr>
          <w:rStyle w:val="JuParaChar"/>
          <w:lang w:val="en-GB"/>
        </w:rPr>
        <w:noBreakHyphen/>
        <w:t>... (</w:t>
      </w:r>
      <w:proofErr w:type="gramStart"/>
      <w:r w:rsidRPr="00867E82">
        <w:rPr>
          <w:rStyle w:val="JuParaChar"/>
          <w:lang w:val="en-GB"/>
        </w:rPr>
        <w:t>extracts</w:t>
      </w:r>
      <w:proofErr w:type="gramEnd"/>
      <w:r w:rsidRPr="00867E82">
        <w:rPr>
          <w:rStyle w:val="JuParaChar"/>
          <w:lang w:val="en-GB"/>
        </w:rPr>
        <w:t xml:space="preserve">), with further references). The notion of “penal procedure” in the text of Article 4 of Protocol No. 7 must be interpreted in the light of the general principles concerning the corresponding words “criminal charge” and “penalty” in Articles 6 and 7 of the Convention respectively (see </w:t>
      </w:r>
      <w:proofErr w:type="spellStart"/>
      <w:r w:rsidRPr="00867E82">
        <w:rPr>
          <w:rStyle w:val="JuParaChar"/>
          <w:i/>
          <w:lang w:val="en-GB"/>
        </w:rPr>
        <w:t>Haarvig</w:t>
      </w:r>
      <w:proofErr w:type="spellEnd"/>
      <w:r w:rsidRPr="00867E82">
        <w:rPr>
          <w:rStyle w:val="JuParaChar"/>
          <w:i/>
          <w:lang w:val="en-GB"/>
        </w:rPr>
        <w:t xml:space="preserve"> v. Norway</w:t>
      </w:r>
      <w:r w:rsidRPr="00867E82">
        <w:rPr>
          <w:rStyle w:val="JuParaChar"/>
          <w:lang w:val="en-GB"/>
        </w:rPr>
        <w:t xml:space="preserve"> (</w:t>
      </w:r>
      <w:proofErr w:type="spellStart"/>
      <w:r w:rsidRPr="00867E82">
        <w:rPr>
          <w:rStyle w:val="JuParaChar"/>
          <w:lang w:val="en-GB"/>
        </w:rPr>
        <w:t>dec.</w:t>
      </w:r>
      <w:proofErr w:type="spellEnd"/>
      <w:r w:rsidRPr="00867E82">
        <w:rPr>
          <w:rStyle w:val="JuParaChar"/>
          <w:lang w:val="en-GB"/>
        </w:rPr>
        <w:t xml:space="preserve">), no. </w:t>
      </w:r>
      <w:hyperlink w:tgtFrame="_blank" w:history="1" w:anchor="{&quot;appno&quot;:[&quot;11187/05&quot;]}" r:id="rId15">
        <w:proofErr w:type="gramStart"/>
        <w:r w:rsidRPr="00867E82">
          <w:rPr>
            <w:rStyle w:val="JuParaChar"/>
            <w:lang w:val="en-GB"/>
          </w:rPr>
          <w:t>11187/05</w:t>
        </w:r>
      </w:hyperlink>
      <w:r w:rsidRPr="00867E82">
        <w:rPr>
          <w:rStyle w:val="JuParaChar"/>
          <w:lang w:val="en-GB"/>
        </w:rPr>
        <w:t xml:space="preserve">, 11 December 2007; </w:t>
      </w:r>
      <w:proofErr w:type="spellStart"/>
      <w:r w:rsidRPr="00867E82">
        <w:rPr>
          <w:rStyle w:val="JuParaChar"/>
          <w:i/>
          <w:lang w:val="en-GB"/>
        </w:rPr>
        <w:t>Rosenquist</w:t>
      </w:r>
      <w:proofErr w:type="spellEnd"/>
      <w:r w:rsidRPr="00867E82">
        <w:rPr>
          <w:rStyle w:val="JuParaChar"/>
          <w:i/>
          <w:lang w:val="en-GB"/>
        </w:rPr>
        <w:t xml:space="preserve"> v. Sweden</w:t>
      </w:r>
      <w:r w:rsidRPr="00867E82">
        <w:rPr>
          <w:rStyle w:val="JuParaChar"/>
          <w:lang w:val="en-GB"/>
        </w:rPr>
        <w:t xml:space="preserve"> (</w:t>
      </w:r>
      <w:proofErr w:type="spellStart"/>
      <w:r w:rsidRPr="00867E82">
        <w:rPr>
          <w:rStyle w:val="JuParaChar"/>
          <w:lang w:val="en-GB"/>
        </w:rPr>
        <w:t>dec.</w:t>
      </w:r>
      <w:proofErr w:type="spellEnd"/>
      <w:r w:rsidRPr="00867E82">
        <w:rPr>
          <w:rStyle w:val="JuParaChar"/>
          <w:lang w:val="en-GB"/>
        </w:rPr>
        <w:t>), no.</w:t>
      </w:r>
      <w:proofErr w:type="gramEnd"/>
      <w:r w:rsidRPr="00867E82">
        <w:rPr>
          <w:rStyle w:val="JuParaChar"/>
          <w:lang w:val="en-GB"/>
        </w:rPr>
        <w:t xml:space="preserve"> </w:t>
      </w:r>
      <w:hyperlink w:tgtFrame="_blank" w:history="1" w:anchor="{&quot;appno&quot;:[&quot;60619/00&quot;]}" r:id="rId16">
        <w:proofErr w:type="gramStart"/>
        <w:r w:rsidRPr="00867E82">
          <w:rPr>
            <w:rStyle w:val="JuParaChar"/>
            <w:lang w:val="en-GB"/>
          </w:rPr>
          <w:t>60619/00</w:t>
        </w:r>
      </w:hyperlink>
      <w:r w:rsidRPr="00867E82">
        <w:rPr>
          <w:rStyle w:val="JuParaChar"/>
          <w:lang w:val="en-GB"/>
        </w:rPr>
        <w:t xml:space="preserve">, 14 September 2004; </w:t>
      </w:r>
      <w:proofErr w:type="spellStart"/>
      <w:r w:rsidRPr="00867E82">
        <w:rPr>
          <w:rStyle w:val="JuParaChar"/>
          <w:i/>
          <w:lang w:val="en-GB"/>
        </w:rPr>
        <w:t>Manasson</w:t>
      </w:r>
      <w:proofErr w:type="spellEnd"/>
      <w:r w:rsidRPr="00867E82">
        <w:rPr>
          <w:rStyle w:val="JuParaChar"/>
          <w:i/>
          <w:lang w:val="en-GB"/>
        </w:rPr>
        <w:t xml:space="preserve"> v. Sweden </w:t>
      </w:r>
      <w:r w:rsidRPr="00867E82">
        <w:rPr>
          <w:rStyle w:val="JuParaChar"/>
          <w:lang w:val="en-GB"/>
        </w:rPr>
        <w:t>(</w:t>
      </w:r>
      <w:proofErr w:type="spellStart"/>
      <w:r w:rsidRPr="00867E82">
        <w:rPr>
          <w:rStyle w:val="JuParaChar"/>
          <w:lang w:val="en-GB"/>
        </w:rPr>
        <w:t>dec.</w:t>
      </w:r>
      <w:proofErr w:type="spellEnd"/>
      <w:r w:rsidRPr="00867E82">
        <w:rPr>
          <w:rStyle w:val="JuParaChar"/>
          <w:lang w:val="en-GB"/>
        </w:rPr>
        <w:t>), no.</w:t>
      </w:r>
      <w:proofErr w:type="gramEnd"/>
      <w:r w:rsidRPr="00867E82">
        <w:rPr>
          <w:rStyle w:val="JuParaChar"/>
          <w:lang w:val="en-GB"/>
        </w:rPr>
        <w:t xml:space="preserve"> </w:t>
      </w:r>
      <w:hyperlink w:tgtFrame="_blank" w:history="1" w:anchor="{&quot;appno&quot;:[&quot;41265/98&quot;]}" r:id="rId17">
        <w:proofErr w:type="gramStart"/>
        <w:r w:rsidRPr="00867E82">
          <w:rPr>
            <w:rStyle w:val="JuParaChar"/>
            <w:lang w:val="en-GB"/>
          </w:rPr>
          <w:t>41265/98</w:t>
        </w:r>
      </w:hyperlink>
      <w:r w:rsidRPr="00867E82">
        <w:rPr>
          <w:rStyle w:val="JuParaChar"/>
          <w:lang w:val="en-GB"/>
        </w:rPr>
        <w:t xml:space="preserve">, 8 April 2003; </w:t>
      </w:r>
      <w:proofErr w:type="spellStart"/>
      <w:r w:rsidRPr="00867E82">
        <w:rPr>
          <w:rStyle w:val="JuParaChar"/>
          <w:i/>
          <w:lang w:val="en-GB"/>
        </w:rPr>
        <w:t>Göktan</w:t>
      </w:r>
      <w:proofErr w:type="spellEnd"/>
      <w:r w:rsidRPr="00867E82">
        <w:rPr>
          <w:rStyle w:val="JuParaChar"/>
          <w:i/>
          <w:lang w:val="en-GB"/>
        </w:rPr>
        <w:t xml:space="preserve"> v. France</w:t>
      </w:r>
      <w:r w:rsidRPr="00867E82">
        <w:rPr>
          <w:rStyle w:val="JuParaChar"/>
          <w:lang w:val="en-GB"/>
        </w:rPr>
        <w:t>, no.</w:t>
      </w:r>
      <w:proofErr w:type="gramEnd"/>
      <w:r w:rsidRPr="00867E82">
        <w:rPr>
          <w:rStyle w:val="JuParaChar"/>
          <w:lang w:val="en-GB"/>
        </w:rPr>
        <w:t xml:space="preserve"> </w:t>
      </w:r>
      <w:hyperlink w:tgtFrame="_blank" w:history="1" w:anchor="{&quot;appno&quot;:[&quot;33402/96&quot;]}" r:id="rId18">
        <w:proofErr w:type="gramStart"/>
        <w:r w:rsidRPr="00867E82">
          <w:rPr>
            <w:rStyle w:val="JuParaChar"/>
            <w:lang w:val="en-GB"/>
          </w:rPr>
          <w:t>33402/96</w:t>
        </w:r>
      </w:hyperlink>
      <w:r w:rsidRPr="00867E82">
        <w:rPr>
          <w:rStyle w:val="JuParaChar"/>
          <w:lang w:val="en-GB"/>
        </w:rPr>
        <w:t xml:space="preserve">, § 48, </w:t>
      </w:r>
      <w:r w:rsidRPr="00867E82">
        <w:rPr>
          <w:lang w:val="en-GB"/>
        </w:rPr>
        <w:t xml:space="preserve">ECHR 2002-V; </w:t>
      </w:r>
      <w:proofErr w:type="spellStart"/>
      <w:r w:rsidRPr="00867E82">
        <w:rPr>
          <w:i/>
          <w:lang w:val="en-GB"/>
        </w:rPr>
        <w:t>Malige</w:t>
      </w:r>
      <w:proofErr w:type="spellEnd"/>
      <w:r w:rsidRPr="00867E82">
        <w:rPr>
          <w:i/>
          <w:lang w:val="en-GB"/>
        </w:rPr>
        <w:t xml:space="preserve"> v. France</w:t>
      </w:r>
      <w:r w:rsidRPr="00867E82">
        <w:rPr>
          <w:lang w:val="en-GB"/>
        </w:rPr>
        <w:t xml:space="preserve">, 23 September 1998, § 35, </w:t>
      </w:r>
      <w:r w:rsidRPr="00867E82">
        <w:rPr>
          <w:i/>
          <w:lang w:val="en-GB"/>
        </w:rPr>
        <w:t>Reports of Judgments and Decisions</w:t>
      </w:r>
      <w:r w:rsidRPr="00867E82">
        <w:rPr>
          <w:lang w:val="en-GB"/>
        </w:rPr>
        <w:t xml:space="preserve"> 1998</w:t>
      </w:r>
      <w:r w:rsidRPr="00867E82">
        <w:rPr>
          <w:lang w:val="en-GB"/>
        </w:rPr>
        <w:noBreakHyphen/>
        <w:t xml:space="preserve">VII; and </w:t>
      </w:r>
      <w:r w:rsidRPr="00867E82">
        <w:rPr>
          <w:i/>
          <w:lang w:val="en-GB"/>
        </w:rPr>
        <w:t>Nilsson v. Sweden</w:t>
      </w:r>
      <w:r w:rsidRPr="00867E82">
        <w:rPr>
          <w:lang w:val="en-GB"/>
        </w:rPr>
        <w:t xml:space="preserve"> (</w:t>
      </w:r>
      <w:proofErr w:type="spellStart"/>
      <w:r w:rsidRPr="00867E82">
        <w:rPr>
          <w:lang w:val="en-GB"/>
        </w:rPr>
        <w:t>dec.</w:t>
      </w:r>
      <w:proofErr w:type="spellEnd"/>
      <w:r w:rsidRPr="00867E82">
        <w:rPr>
          <w:lang w:val="en-GB"/>
        </w:rPr>
        <w:t>), no. 73661/01</w:t>
      </w:r>
      <w:r w:rsidRPr="00867E82">
        <w:rPr>
          <w:szCs w:val="24"/>
          <w:lang w:val="en-GB"/>
        </w:rPr>
        <w:t xml:space="preserve">, </w:t>
      </w:r>
      <w:r w:rsidRPr="00867E82">
        <w:rPr>
          <w:lang w:val="en-GB"/>
        </w:rPr>
        <w:t>ECHR 2005</w:t>
      </w:r>
      <w:r w:rsidRPr="00867E82">
        <w:rPr>
          <w:lang w:val="en-GB"/>
        </w:rPr>
        <w:noBreakHyphen/>
        <w:t>XIII).</w:t>
      </w:r>
      <w:proofErr w:type="gramEnd"/>
    </w:p>
    <w:p w:rsidRPr="00867E82" w:rsidR="00867E82" w:rsidP="00867E82" w:rsidRDefault="00867E82">
      <w:pPr>
        <w:pStyle w:val="ECHRPara"/>
        <w:rPr>
          <w:lang w:val="en-GB"/>
        </w:rPr>
      </w:pPr>
      <w:r w:rsidRPr="00867E82">
        <w:rPr>
          <w:lang w:val="en-GB"/>
        </w:rPr>
        <w:fldChar w:fldCharType="begin"/>
      </w:r>
      <w:r w:rsidRPr="00867E82">
        <w:rPr>
          <w:lang w:val="en-GB"/>
        </w:rPr>
        <w:instrText xml:space="preserve"> SEQ level0 \*arabic </w:instrText>
      </w:r>
      <w:r w:rsidRPr="00867E82">
        <w:rPr>
          <w:lang w:val="en-GB"/>
        </w:rPr>
        <w:fldChar w:fldCharType="separate"/>
      </w:r>
      <w:r w:rsidR="00D15CBD">
        <w:rPr>
          <w:noProof/>
          <w:lang w:val="en-GB"/>
        </w:rPr>
        <w:t>41</w:t>
      </w:r>
      <w:r w:rsidRPr="00867E82">
        <w:rPr>
          <w:lang w:val="en-GB"/>
        </w:rPr>
        <w:fldChar w:fldCharType="end"/>
      </w:r>
      <w:r w:rsidRPr="00867E82">
        <w:rPr>
          <w:lang w:val="en-GB"/>
        </w:rPr>
        <w:t>.  The Court</w:t>
      </w:r>
      <w:r w:rsidR="00763D01">
        <w:rPr>
          <w:lang w:val="en-GB"/>
        </w:rPr>
        <w:t>’</w:t>
      </w:r>
      <w:r w:rsidRPr="00867E82">
        <w:rPr>
          <w:lang w:val="en-GB"/>
        </w:rPr>
        <w:t xml:space="preserve">s established case-law sets out three criteria, commonly known as the “Engel criteria” (see </w:t>
      </w:r>
      <w:r w:rsidRPr="00867E82">
        <w:rPr>
          <w:i/>
          <w:lang w:val="en-GB"/>
        </w:rPr>
        <w:t>Engel and Others v. the Netherlands</w:t>
      </w:r>
      <w:r w:rsidRPr="00867E82">
        <w:rPr>
          <w:lang w:val="en-GB"/>
        </w:rPr>
        <w:t xml:space="preserve">, 8 June 1976, Series </w:t>
      </w:r>
      <w:proofErr w:type="gramStart"/>
      <w:r w:rsidRPr="00867E82">
        <w:rPr>
          <w:lang w:val="en-GB"/>
        </w:rPr>
        <w:t>A</w:t>
      </w:r>
      <w:proofErr w:type="gramEnd"/>
      <w:r w:rsidRPr="00867E82">
        <w:rPr>
          <w:lang w:val="en-GB"/>
        </w:rPr>
        <w:t xml:space="preserve"> no. 22), to be considered in determining whether or not there was a “criminal charge”. The first criterion is the legal classification of the offence under national law, the second is the very nature of the offence and the third is the degree of severity of the penalty that the person concerned risks incurring. The second and third criteria are alternative and not necessarily cumulative. This, however, does not rule out a cumulative approach where separate analysis of each criterion does not make it possible to reach a clear conclusion as to the existence of a criminal charge (see </w:t>
      </w:r>
      <w:proofErr w:type="spellStart"/>
      <w:r w:rsidRPr="00867E82">
        <w:rPr>
          <w:i/>
          <w:szCs w:val="24"/>
          <w:lang w:val="en-GB"/>
        </w:rPr>
        <w:t>Jussila</w:t>
      </w:r>
      <w:proofErr w:type="spellEnd"/>
      <w:r w:rsidRPr="00867E82">
        <w:rPr>
          <w:i/>
          <w:szCs w:val="24"/>
          <w:lang w:val="en-GB"/>
        </w:rPr>
        <w:t xml:space="preserve"> v. Finland</w:t>
      </w:r>
      <w:r w:rsidRPr="00867E82">
        <w:rPr>
          <w:szCs w:val="24"/>
          <w:lang w:val="en-GB"/>
        </w:rPr>
        <w:t xml:space="preserve"> [GC], no. 73053/01, §</w:t>
      </w:r>
      <w:r w:rsidRPr="00867E82">
        <w:rPr>
          <w:lang w:val="en-GB"/>
        </w:rPr>
        <w:t>§ 30-31</w:t>
      </w:r>
      <w:r w:rsidRPr="00867E82">
        <w:rPr>
          <w:szCs w:val="24"/>
          <w:lang w:val="en-GB"/>
        </w:rPr>
        <w:t>, ECHR 2006</w:t>
      </w:r>
      <w:r w:rsidRPr="00867E82">
        <w:rPr>
          <w:szCs w:val="24"/>
          <w:lang w:val="en-GB"/>
        </w:rPr>
        <w:noBreakHyphen/>
        <w:t>XIV;</w:t>
      </w:r>
      <w:r w:rsidRPr="00867E82">
        <w:rPr>
          <w:lang w:val="en-GB"/>
        </w:rPr>
        <w:t xml:space="preserve"> and </w:t>
      </w:r>
      <w:proofErr w:type="spellStart"/>
      <w:r w:rsidRPr="00867E82">
        <w:rPr>
          <w:i/>
          <w:lang w:val="en-GB"/>
        </w:rPr>
        <w:t>Ezeh</w:t>
      </w:r>
      <w:proofErr w:type="spellEnd"/>
      <w:r w:rsidRPr="00867E82">
        <w:rPr>
          <w:i/>
          <w:lang w:val="en-GB"/>
        </w:rPr>
        <w:t xml:space="preserve"> and Connors v. the United Kingdom</w:t>
      </w:r>
      <w:r w:rsidRPr="00867E82">
        <w:rPr>
          <w:lang w:val="en-GB"/>
        </w:rPr>
        <w:t xml:space="preserve"> [GC], nos. </w:t>
      </w:r>
      <w:hyperlink w:tgtFrame="_blank" w:history="1" w:anchor="{&quot;appno&quot;:[&quot;39665/98&quot;]}" r:id="rId19">
        <w:proofErr w:type="gramStart"/>
        <w:r w:rsidRPr="00867E82">
          <w:rPr>
            <w:lang w:val="en-GB"/>
          </w:rPr>
          <w:t>39665/98</w:t>
        </w:r>
      </w:hyperlink>
      <w:r w:rsidRPr="00867E82">
        <w:rPr>
          <w:lang w:val="en-GB"/>
        </w:rPr>
        <w:t xml:space="preserve"> and </w:t>
      </w:r>
      <w:hyperlink w:tgtFrame="_blank" w:history="1" w:anchor="{&quot;appno&quot;:[&quot;40086/98&quot;]}" r:id="rId20">
        <w:r w:rsidRPr="00867E82">
          <w:rPr>
            <w:lang w:val="en-GB"/>
          </w:rPr>
          <w:t>40086/98</w:t>
        </w:r>
      </w:hyperlink>
      <w:r w:rsidRPr="00867E82">
        <w:rPr>
          <w:lang w:val="en-GB"/>
        </w:rPr>
        <w:t>, §§ 82-86, ECHR 2003</w:t>
      </w:r>
      <w:r w:rsidRPr="00867E82">
        <w:rPr>
          <w:lang w:val="en-GB"/>
        </w:rPr>
        <w:noBreakHyphen/>
        <w:t>X).</w:t>
      </w:r>
      <w:proofErr w:type="gramEnd"/>
    </w:p>
    <w:p w:rsidRPr="004C0E89" w:rsidR="00867E82" w:rsidP="00867E82" w:rsidRDefault="00867E82">
      <w:pPr>
        <w:pStyle w:val="ECHRPara"/>
        <w:rPr>
          <w:lang w:val="en-GB"/>
        </w:rPr>
      </w:pPr>
      <w:r w:rsidRPr="00867E82">
        <w:rPr>
          <w:lang w:val="en-GB"/>
        </w:rPr>
        <w:fldChar w:fldCharType="begin"/>
      </w:r>
      <w:r w:rsidRPr="00867E82">
        <w:rPr>
          <w:lang w:val="en-GB"/>
        </w:rPr>
        <w:instrText xml:space="preserve"> SEQ level0 \*arabic </w:instrText>
      </w:r>
      <w:r w:rsidRPr="00867E82">
        <w:rPr>
          <w:lang w:val="en-GB"/>
        </w:rPr>
        <w:fldChar w:fldCharType="separate"/>
      </w:r>
      <w:r w:rsidR="00D15CBD">
        <w:rPr>
          <w:noProof/>
          <w:lang w:val="en-GB"/>
        </w:rPr>
        <w:t>42</w:t>
      </w:r>
      <w:r w:rsidRPr="00867E82">
        <w:rPr>
          <w:lang w:val="en-GB"/>
        </w:rPr>
        <w:fldChar w:fldCharType="end"/>
      </w:r>
      <w:r w:rsidRPr="00867E82">
        <w:rPr>
          <w:lang w:val="en-GB"/>
        </w:rPr>
        <w:t xml:space="preserve">.  The Court has taken a stand on the criminal nature of tax surcharges, in the context of Article 6 of the Convention, in the case </w:t>
      </w:r>
      <w:proofErr w:type="spellStart"/>
      <w:r w:rsidRPr="00867E82">
        <w:rPr>
          <w:i/>
          <w:lang w:val="en-GB"/>
        </w:rPr>
        <w:t>Jussila</w:t>
      </w:r>
      <w:proofErr w:type="spellEnd"/>
      <w:r w:rsidRPr="00867E82">
        <w:rPr>
          <w:i/>
          <w:lang w:val="en-GB"/>
        </w:rPr>
        <w:t xml:space="preserve"> v. Finland</w:t>
      </w:r>
      <w:r w:rsidRPr="00867E82">
        <w:rPr>
          <w:lang w:val="en-GB"/>
        </w:rPr>
        <w:t xml:space="preserve"> (cited above). In that case the Court found that, regarding the first criterion, it was apparent that the tax surcharges were not classified as criminal but as part of the fiscal regime. This was, however, not decisive but the second criterion, the nature of the offence, was more important. The Court observed that the tax surcharges were imposed by general legal provisions applying to taxpayers generally. Further, under Finnish law, the tax surcharges were not intended as pecuniary compensation for damage but as a punishment to deter re</w:t>
      </w:r>
      <w:r w:rsidRPr="00867E82">
        <w:rPr>
          <w:lang w:val="en-GB"/>
        </w:rPr>
        <w:noBreakHyphen/>
        <w:t xml:space="preserve">offending. The surcharges were thus imposed by a rule, the purpose of which was deterrent and punitive. The Court considered that this established the criminal nature of the offence. Regarding the third Engel criterion, the minor nature of the penalty did not remove the matter from the scope of Article 6. Hence, Article 6 applied under its criminal head notwithstanding the minor nature of the tax surcharge (see </w:t>
      </w:r>
      <w:proofErr w:type="spellStart"/>
      <w:r w:rsidRPr="00867E82">
        <w:rPr>
          <w:i/>
          <w:szCs w:val="24"/>
          <w:lang w:val="en-GB"/>
        </w:rPr>
        <w:t>Jussila</w:t>
      </w:r>
      <w:proofErr w:type="spellEnd"/>
      <w:r w:rsidRPr="00867E82">
        <w:rPr>
          <w:i/>
          <w:szCs w:val="24"/>
          <w:lang w:val="en-GB"/>
        </w:rPr>
        <w:t xml:space="preserve"> v. Finland</w:t>
      </w:r>
      <w:r w:rsidRPr="00867E82">
        <w:rPr>
          <w:szCs w:val="24"/>
          <w:lang w:val="en-GB"/>
        </w:rPr>
        <w:t xml:space="preserve"> [GC], cited above, §§ 37-38). Consequently, proceedings involving </w:t>
      </w:r>
      <w:r w:rsidRPr="004C0E89">
        <w:rPr>
          <w:szCs w:val="24"/>
          <w:lang w:val="en-GB"/>
        </w:rPr>
        <w:t xml:space="preserve">tax surcharges are </w:t>
      </w:r>
      <w:r w:rsidRPr="004C0E89">
        <w:rPr>
          <w:lang w:val="en-GB"/>
        </w:rPr>
        <w:t>“criminal” also for the purpose of Article 4 of Protocol No. 7.</w:t>
      </w:r>
    </w:p>
    <w:p w:rsidRPr="004C0E89" w:rsidR="00867E82" w:rsidP="00867E82" w:rsidRDefault="00867E82">
      <w:pPr>
        <w:pStyle w:val="ECHRPara"/>
        <w:rPr>
          <w:lang w:val="en-GB"/>
        </w:rPr>
      </w:pPr>
      <w:r w:rsidRPr="004C0E89">
        <w:rPr>
          <w:szCs w:val="24"/>
          <w:lang w:val="en-GB"/>
        </w:rPr>
        <w:fldChar w:fldCharType="begin"/>
      </w:r>
      <w:r w:rsidRPr="004C0E89">
        <w:rPr>
          <w:szCs w:val="24"/>
          <w:lang w:val="en-GB"/>
        </w:rPr>
        <w:instrText xml:space="preserve"> SEQ level0 \*arabic </w:instrText>
      </w:r>
      <w:r w:rsidRPr="004C0E89">
        <w:rPr>
          <w:szCs w:val="24"/>
          <w:lang w:val="en-GB"/>
        </w:rPr>
        <w:fldChar w:fldCharType="separate"/>
      </w:r>
      <w:r w:rsidR="00D15CBD">
        <w:rPr>
          <w:noProof/>
          <w:szCs w:val="24"/>
          <w:lang w:val="en-GB"/>
        </w:rPr>
        <w:t>43</w:t>
      </w:r>
      <w:r w:rsidRPr="004C0E89">
        <w:rPr>
          <w:szCs w:val="24"/>
          <w:lang w:val="en-GB"/>
        </w:rPr>
        <w:fldChar w:fldCharType="end"/>
      </w:r>
      <w:r w:rsidRPr="004C0E89">
        <w:rPr>
          <w:szCs w:val="24"/>
          <w:lang w:val="en-GB"/>
        </w:rPr>
        <w:t xml:space="preserve">.  Therefore, in the present case, the Court considers that it is clear that both sets of proceedings are to be regarded as criminal for the purposes of </w:t>
      </w:r>
      <w:r w:rsidRPr="004C0E89">
        <w:rPr>
          <w:lang w:val="en-GB"/>
        </w:rPr>
        <w:t>Article 4 of Protocol No. 7 to the Convention. The parties also find this to be undisputed.</w:t>
      </w:r>
    </w:p>
    <w:p w:rsidRPr="004C0E89" w:rsidR="00867E82" w:rsidP="00867E82" w:rsidRDefault="00867E82">
      <w:pPr>
        <w:pStyle w:val="ECHRHeading4"/>
        <w:rPr>
          <w:lang w:val="en-GB"/>
        </w:rPr>
      </w:pPr>
      <w:r w:rsidRPr="004C0E89">
        <w:rPr>
          <w:lang w:val="en-GB"/>
        </w:rPr>
        <w:t>(b)  Whether the offences for which the applicant was prosecuted were the same (</w:t>
      </w:r>
      <w:r w:rsidRPr="004C0E89">
        <w:rPr>
          <w:i/>
          <w:lang w:val="en-GB"/>
        </w:rPr>
        <w:t>idem</w:t>
      </w:r>
      <w:r w:rsidRPr="004C0E89">
        <w:rPr>
          <w:lang w:val="en-GB"/>
        </w:rPr>
        <w:t>)?</w:t>
      </w:r>
    </w:p>
    <w:p w:rsidRPr="004C0E89" w:rsidR="00867E82" w:rsidP="00867E82" w:rsidRDefault="00867E82">
      <w:pPr>
        <w:pStyle w:val="ECHRPara"/>
        <w:rPr>
          <w:szCs w:val="24"/>
          <w:lang w:val="en-GB"/>
        </w:rPr>
      </w:pPr>
      <w:r w:rsidRPr="004C0E89">
        <w:rPr>
          <w:rStyle w:val="JuParaChar"/>
          <w:szCs w:val="24"/>
          <w:lang w:val="en-GB"/>
        </w:rPr>
        <w:fldChar w:fldCharType="begin"/>
      </w:r>
      <w:r w:rsidRPr="004C0E89">
        <w:rPr>
          <w:rStyle w:val="JuParaChar"/>
          <w:szCs w:val="24"/>
          <w:lang w:val="en-GB"/>
        </w:rPr>
        <w:instrText xml:space="preserve"> SEQ level0 \*arabic </w:instrText>
      </w:r>
      <w:r w:rsidRPr="004C0E89">
        <w:rPr>
          <w:rStyle w:val="JuParaChar"/>
          <w:szCs w:val="24"/>
          <w:lang w:val="en-GB"/>
        </w:rPr>
        <w:fldChar w:fldCharType="separate"/>
      </w:r>
      <w:r w:rsidR="00D15CBD">
        <w:rPr>
          <w:rStyle w:val="JuParaChar"/>
          <w:noProof/>
          <w:szCs w:val="24"/>
          <w:lang w:val="en-GB"/>
        </w:rPr>
        <w:t>44</w:t>
      </w:r>
      <w:r w:rsidRPr="004C0E89">
        <w:rPr>
          <w:rStyle w:val="JuParaChar"/>
          <w:szCs w:val="24"/>
          <w:lang w:val="en-GB"/>
        </w:rPr>
        <w:fldChar w:fldCharType="end"/>
      </w:r>
      <w:r w:rsidRPr="004C0E89">
        <w:rPr>
          <w:rStyle w:val="JuParaChar"/>
          <w:szCs w:val="24"/>
          <w:lang w:val="en-GB"/>
        </w:rPr>
        <w:t xml:space="preserve">.  The Court acknowledged in the case of </w:t>
      </w:r>
      <w:r w:rsidRPr="004C0E89">
        <w:rPr>
          <w:rStyle w:val="JuParaChar"/>
          <w:i/>
          <w:szCs w:val="24"/>
          <w:lang w:val="en-GB"/>
        </w:rPr>
        <w:t xml:space="preserve">Sergey </w:t>
      </w:r>
      <w:proofErr w:type="spellStart"/>
      <w:r w:rsidRPr="004C0E89">
        <w:rPr>
          <w:rStyle w:val="JuParaChar"/>
          <w:i/>
          <w:szCs w:val="24"/>
          <w:lang w:val="en-GB"/>
        </w:rPr>
        <w:t>Zolotukhin</w:t>
      </w:r>
      <w:proofErr w:type="spellEnd"/>
      <w:r w:rsidRPr="004C0E89">
        <w:rPr>
          <w:rStyle w:val="JuParaChar"/>
          <w:i/>
          <w:szCs w:val="24"/>
          <w:lang w:val="en-GB"/>
        </w:rPr>
        <w:t xml:space="preserve"> v. Russia</w:t>
      </w:r>
      <w:r w:rsidRPr="004C0E89">
        <w:rPr>
          <w:rStyle w:val="JuParaChar"/>
          <w:szCs w:val="24"/>
          <w:lang w:val="en-GB"/>
        </w:rPr>
        <w:t xml:space="preserve"> </w:t>
      </w:r>
      <w:r w:rsidRPr="004C0E89">
        <w:rPr>
          <w:szCs w:val="24"/>
          <w:lang w:val="en-GB"/>
        </w:rPr>
        <w:t xml:space="preserve">(see </w:t>
      </w:r>
      <w:r w:rsidRPr="004C0E89">
        <w:rPr>
          <w:i/>
          <w:szCs w:val="24"/>
          <w:lang w:val="en-GB"/>
        </w:rPr>
        <w:t xml:space="preserve">Sergey </w:t>
      </w:r>
      <w:proofErr w:type="spellStart"/>
      <w:r w:rsidRPr="004C0E89">
        <w:rPr>
          <w:i/>
          <w:szCs w:val="24"/>
          <w:lang w:val="en-GB"/>
        </w:rPr>
        <w:t>Zolotukhin</w:t>
      </w:r>
      <w:proofErr w:type="spellEnd"/>
      <w:r w:rsidRPr="004C0E89">
        <w:rPr>
          <w:i/>
          <w:szCs w:val="24"/>
          <w:lang w:val="en-GB"/>
        </w:rPr>
        <w:t xml:space="preserve"> v. Russia</w:t>
      </w:r>
      <w:r w:rsidRPr="004C0E89">
        <w:rPr>
          <w:szCs w:val="24"/>
          <w:lang w:val="en-GB"/>
        </w:rPr>
        <w:t xml:space="preserve"> [GC], no. 14939/03, §§ 81-84, ECHR 2009) </w:t>
      </w:r>
      <w:r w:rsidRPr="004C0E89">
        <w:rPr>
          <w:lang w:val="en-GB"/>
        </w:rPr>
        <w:t xml:space="preserve">the existence of several approaches to the question of whether the offences for which an applicant was prosecuted were the same. The Court presented an overview of the existing three different approaches to this question. It found that the existence of a variety of approaches engendered legal uncertainty incompatible with the fundamental right not to be prosecuted twice for the same offence. It was against this background that the Court provided in that case a harmonised interpretation of the notion of the “same offence” for the purposes of Article 4 of Protocol No. 7. </w:t>
      </w:r>
      <w:r w:rsidRPr="004C0E89">
        <w:rPr>
          <w:szCs w:val="24"/>
          <w:lang w:val="en-GB"/>
        </w:rPr>
        <w:t xml:space="preserve">In the </w:t>
      </w:r>
      <w:proofErr w:type="spellStart"/>
      <w:r w:rsidRPr="004C0E89">
        <w:rPr>
          <w:rStyle w:val="JuParaChar"/>
          <w:i/>
          <w:szCs w:val="24"/>
          <w:lang w:val="en-GB"/>
        </w:rPr>
        <w:t>Zolotukhin</w:t>
      </w:r>
      <w:proofErr w:type="spellEnd"/>
      <w:r w:rsidRPr="004C0E89">
        <w:rPr>
          <w:szCs w:val="24"/>
          <w:lang w:val="en-GB"/>
        </w:rPr>
        <w:t xml:space="preserve"> case the Court thus found </w:t>
      </w:r>
      <w:r w:rsidRPr="004C0E89">
        <w:rPr>
          <w:rStyle w:val="JuParaChar"/>
          <w:szCs w:val="24"/>
          <w:lang w:val="en-GB"/>
        </w:rPr>
        <w:t>that an approach which emphasised the legal characterisation of the two offences was too restrictive on the rights of the individual. If the C</w:t>
      </w:r>
      <w:r w:rsidRPr="004C0E89">
        <w:rPr>
          <w:szCs w:val="24"/>
          <w:lang w:val="en-GB"/>
        </w:rPr>
        <w:t xml:space="preserve">ourt limited </w:t>
      </w:r>
      <w:proofErr w:type="gramStart"/>
      <w:r w:rsidRPr="004C0E89">
        <w:rPr>
          <w:szCs w:val="24"/>
          <w:lang w:val="en-GB"/>
        </w:rPr>
        <w:t>itself</w:t>
      </w:r>
      <w:proofErr w:type="gramEnd"/>
      <w:r w:rsidRPr="004C0E89">
        <w:rPr>
          <w:szCs w:val="24"/>
          <w:lang w:val="en-GB"/>
        </w:rPr>
        <w:t xml:space="preserve"> to finding that a person was prosecuted for offences having a different legal classification, it risked undermining the guarantee enshrined in Article 4 of Protocol No. 7 rather than rendering it practical and effective as required by the Convention. Accordingly, the Court took the view that Article 4 of Protocol No. 7 had to be understood as prohibiting the prosecution or trial of a second “offence” in so far as it arose from identical facts or facts which were substantially the same. It was therefore important to focus on those facts which constituted a set of concrete factual circumstances involving the same defendant and inextricably linked together in time and space, the existence of which had to be demonstrated in order to secure a conviction or institute criminal proceedings.</w:t>
      </w:r>
    </w:p>
    <w:p w:rsidRPr="004C0E89" w:rsidR="00867E82" w:rsidP="00867E82" w:rsidRDefault="00867E82">
      <w:pPr>
        <w:pStyle w:val="ECHRPara"/>
      </w:pPr>
      <w:r w:rsidRPr="004C0E89">
        <w:rPr>
          <w:snapToGrid w:val="0"/>
          <w:color w:val="000000"/>
        </w:rPr>
        <w:fldChar w:fldCharType="begin"/>
      </w:r>
      <w:r w:rsidRPr="004C0E89">
        <w:rPr>
          <w:snapToGrid w:val="0"/>
          <w:color w:val="000000"/>
        </w:rPr>
        <w:instrText xml:space="preserve"> SEQ level0 \*arabic </w:instrText>
      </w:r>
      <w:r w:rsidRPr="004C0E89">
        <w:rPr>
          <w:snapToGrid w:val="0"/>
          <w:color w:val="000000"/>
        </w:rPr>
        <w:fldChar w:fldCharType="separate"/>
      </w:r>
      <w:r w:rsidR="00D15CBD">
        <w:rPr>
          <w:noProof/>
          <w:snapToGrid w:val="0"/>
          <w:color w:val="000000"/>
        </w:rPr>
        <w:t>45</w:t>
      </w:r>
      <w:r w:rsidRPr="004C0E89">
        <w:rPr>
          <w:snapToGrid w:val="0"/>
          <w:color w:val="000000"/>
        </w:rPr>
        <w:fldChar w:fldCharType="end"/>
      </w:r>
      <w:r w:rsidRPr="004C0E89">
        <w:rPr>
          <w:snapToGrid w:val="0"/>
          <w:color w:val="000000"/>
        </w:rPr>
        <w:t>.  </w:t>
      </w:r>
      <w:r w:rsidRPr="004C0E89" w:rsidR="004C0E89">
        <w:rPr>
          <w:rFonts w:ascii="Times New Roman" w:hAnsi="Times New Roman" w:cs="Times New Roman"/>
          <w:szCs w:val="24"/>
          <w:lang w:val="en-GB"/>
        </w:rPr>
        <w:t xml:space="preserve">In the present case, the Court </w:t>
      </w:r>
      <w:r w:rsidR="004E6A33">
        <w:rPr>
          <w:rFonts w:ascii="Times New Roman" w:hAnsi="Times New Roman" w:cs="Times New Roman"/>
          <w:szCs w:val="24"/>
          <w:lang w:val="en-GB"/>
        </w:rPr>
        <w:t xml:space="preserve">notes that </w:t>
      </w:r>
      <w:r w:rsidRPr="004C0E89" w:rsidR="004C0E89">
        <w:rPr>
          <w:rFonts w:ascii="Times New Roman" w:hAnsi="Times New Roman" w:cs="Times New Roman"/>
          <w:szCs w:val="24"/>
          <w:lang w:val="en-GB"/>
        </w:rPr>
        <w:t>the tax surcharge proc</w:t>
      </w:r>
      <w:r w:rsidRPr="00876D72" w:rsidR="004C0E89">
        <w:rPr>
          <w:rFonts w:ascii="Times New Roman" w:hAnsi="Times New Roman" w:cs="Times New Roman"/>
          <w:szCs w:val="24"/>
          <w:lang w:val="en-GB"/>
        </w:rPr>
        <w:t>eedings and the tax fraud proceedings against the applicant arose from the same facts</w:t>
      </w:r>
      <w:r w:rsidR="004C0E89">
        <w:rPr>
          <w:rFonts w:ascii="Times New Roman" w:hAnsi="Times New Roman" w:cs="Times New Roman"/>
          <w:szCs w:val="24"/>
          <w:lang w:val="en-GB"/>
        </w:rPr>
        <w:t xml:space="preserve">, namely </w:t>
      </w:r>
      <w:r w:rsidRPr="00C81BF0" w:rsidR="004C0E89">
        <w:rPr>
          <w:rFonts w:ascii="Times New Roman" w:hAnsi="Times New Roman" w:cs="Times New Roman"/>
          <w:szCs w:val="24"/>
          <w:lang w:val="en-GB"/>
        </w:rPr>
        <w:t xml:space="preserve">the </w:t>
      </w:r>
      <w:r w:rsidR="004C0E89">
        <w:rPr>
          <w:rFonts w:ascii="Times New Roman" w:hAnsi="Times New Roman" w:cs="Times New Roman"/>
          <w:szCs w:val="24"/>
          <w:lang w:val="en-GB"/>
        </w:rPr>
        <w:t>applicant</w:t>
      </w:r>
      <w:r w:rsidR="00763D01">
        <w:rPr>
          <w:rFonts w:ascii="Times New Roman" w:hAnsi="Times New Roman" w:cs="Times New Roman"/>
          <w:szCs w:val="24"/>
          <w:lang w:val="en-GB"/>
        </w:rPr>
        <w:t>’</w:t>
      </w:r>
      <w:r w:rsidR="004C0E89">
        <w:rPr>
          <w:rFonts w:ascii="Times New Roman" w:hAnsi="Times New Roman" w:cs="Times New Roman"/>
          <w:szCs w:val="24"/>
          <w:lang w:val="en-GB"/>
        </w:rPr>
        <w:t xml:space="preserve">s </w:t>
      </w:r>
      <w:r w:rsidRPr="00C81BF0" w:rsidR="004C0E89">
        <w:rPr>
          <w:lang w:val="en-GB"/>
        </w:rPr>
        <w:t>failure to declare income</w:t>
      </w:r>
      <w:r w:rsidR="004C0E89">
        <w:rPr>
          <w:lang w:val="en-GB"/>
        </w:rPr>
        <w:t xml:space="preserve"> to the tax authorities concerning the tax years 1999 to 2000 and 2002 to 2004</w:t>
      </w:r>
      <w:r w:rsidRPr="00C81BF0" w:rsidR="004C0E89">
        <w:rPr>
          <w:lang w:val="en-GB"/>
        </w:rPr>
        <w:t>.</w:t>
      </w:r>
      <w:r w:rsidR="004C0E89">
        <w:rPr>
          <w:lang w:val="en-GB"/>
        </w:rPr>
        <w:t xml:space="preserve"> </w:t>
      </w:r>
      <w:r w:rsidRPr="004C0E89" w:rsidR="004C0E89">
        <w:rPr>
          <w:lang w:val="en-GB"/>
        </w:rPr>
        <w:t>However</w:t>
      </w:r>
      <w:r w:rsidRPr="004C0E89">
        <w:rPr>
          <w:szCs w:val="24"/>
          <w:lang w:val="en-GB"/>
        </w:rPr>
        <w:t xml:space="preserve">, the Court notes that </w:t>
      </w:r>
      <w:r w:rsidRPr="004C0E89">
        <w:t xml:space="preserve">the </w:t>
      </w:r>
      <w:r w:rsidRPr="004C0E89" w:rsidR="004C0E89">
        <w:t xml:space="preserve">Appeal </w:t>
      </w:r>
      <w:r w:rsidRPr="004C0E89">
        <w:t>Court dismissed the charge of aggravated tax fraud without examining the merits as far as the charge concerned the tax year</w:t>
      </w:r>
      <w:r w:rsidRPr="004C0E89" w:rsidR="004C0E89">
        <w:t>s</w:t>
      </w:r>
      <w:r w:rsidRPr="004C0E89">
        <w:t xml:space="preserve"> </w:t>
      </w:r>
      <w:r w:rsidRPr="004C0E89" w:rsidR="004C0E89">
        <w:t xml:space="preserve">1999 to </w:t>
      </w:r>
      <w:r w:rsidRPr="004C0E89">
        <w:t>200</w:t>
      </w:r>
      <w:r w:rsidRPr="004C0E89" w:rsidR="004C0E89">
        <w:t>0</w:t>
      </w:r>
      <w:r w:rsidRPr="004C0E89">
        <w:t xml:space="preserve">. This judgment was based on the application of the </w:t>
      </w:r>
      <w:proofErr w:type="spellStart"/>
      <w:r w:rsidRPr="004C0E89">
        <w:rPr>
          <w:i/>
        </w:rPr>
        <w:t>ne</w:t>
      </w:r>
      <w:proofErr w:type="spellEnd"/>
      <w:r w:rsidRPr="004C0E89">
        <w:rPr>
          <w:i/>
        </w:rPr>
        <w:t xml:space="preserve"> </w:t>
      </w:r>
      <w:proofErr w:type="spellStart"/>
      <w:r w:rsidRPr="004C0E89">
        <w:rPr>
          <w:i/>
        </w:rPr>
        <w:t>bis</w:t>
      </w:r>
      <w:proofErr w:type="spellEnd"/>
      <w:r w:rsidRPr="004C0E89">
        <w:rPr>
          <w:i/>
        </w:rPr>
        <w:t xml:space="preserve"> in idem</w:t>
      </w:r>
      <w:r w:rsidRPr="004C0E89">
        <w:t xml:space="preserve"> principle and on the </w:t>
      </w:r>
      <w:r w:rsidRPr="004C0E89" w:rsidR="004C0E89">
        <w:t xml:space="preserve">Appeal </w:t>
      </w:r>
      <w:r w:rsidRPr="004C0E89">
        <w:t>Court</w:t>
      </w:r>
      <w:r w:rsidR="00763D01">
        <w:t>’</w:t>
      </w:r>
      <w:r w:rsidRPr="004C0E89">
        <w:t xml:space="preserve">s finding that this issue had already been finally decided in the taxation proceedings. The Court thus considers that the </w:t>
      </w:r>
      <w:r w:rsidRPr="004C0E89" w:rsidR="004C0E89">
        <w:t xml:space="preserve">Appeal </w:t>
      </w:r>
      <w:r w:rsidRPr="004C0E89">
        <w:t xml:space="preserve">Court has remedied the situation in this respect and that the </w:t>
      </w:r>
      <w:proofErr w:type="gramStart"/>
      <w:r w:rsidRPr="004C0E89">
        <w:t>applicant can</w:t>
      </w:r>
      <w:proofErr w:type="gramEnd"/>
      <w:r w:rsidRPr="004C0E89">
        <w:t xml:space="preserve"> no longer claim to be a victim of double jeopardy in relation to the tax year</w:t>
      </w:r>
      <w:r w:rsidRPr="004C0E89" w:rsidR="004C0E89">
        <w:t xml:space="preserve">s 1999 and </w:t>
      </w:r>
      <w:r w:rsidRPr="004C0E89">
        <w:t>200</w:t>
      </w:r>
      <w:r w:rsidRPr="004C0E89" w:rsidR="004C0E89">
        <w:t>0</w:t>
      </w:r>
      <w:r w:rsidRPr="004C0E89">
        <w:t>.</w:t>
      </w:r>
    </w:p>
    <w:p w:rsidRPr="004E6A33" w:rsidR="00867E82" w:rsidP="00867E82" w:rsidRDefault="00867E82">
      <w:pPr>
        <w:pStyle w:val="ECHRPara"/>
        <w:rPr>
          <w:rFonts w:ascii="Times New Roman" w:hAnsi="Times New Roman" w:cs="Times New Roman"/>
          <w:szCs w:val="24"/>
          <w:lang w:val="en-GB"/>
        </w:rPr>
      </w:pPr>
      <w:r w:rsidRPr="004E6A33">
        <w:rPr>
          <w:szCs w:val="24"/>
          <w:lang w:val="en-GB"/>
        </w:rPr>
        <w:fldChar w:fldCharType="begin"/>
      </w:r>
      <w:r w:rsidRPr="004E6A33">
        <w:rPr>
          <w:szCs w:val="24"/>
          <w:lang w:val="en-GB"/>
        </w:rPr>
        <w:instrText xml:space="preserve"> SEQ level0 \*arabic </w:instrText>
      </w:r>
      <w:r w:rsidRPr="004E6A33">
        <w:rPr>
          <w:szCs w:val="24"/>
          <w:lang w:val="en-GB"/>
        </w:rPr>
        <w:fldChar w:fldCharType="separate"/>
      </w:r>
      <w:r w:rsidR="00D15CBD">
        <w:rPr>
          <w:noProof/>
          <w:szCs w:val="24"/>
          <w:lang w:val="en-GB"/>
        </w:rPr>
        <w:t>46</w:t>
      </w:r>
      <w:r w:rsidRPr="004E6A33">
        <w:rPr>
          <w:szCs w:val="24"/>
          <w:lang w:val="en-GB"/>
        </w:rPr>
        <w:fldChar w:fldCharType="end"/>
      </w:r>
      <w:r w:rsidRPr="004E6A33">
        <w:rPr>
          <w:szCs w:val="24"/>
          <w:lang w:val="en-GB"/>
        </w:rPr>
        <w:t>.  A</w:t>
      </w:r>
      <w:r w:rsidRPr="004E6A33">
        <w:rPr>
          <w:rFonts w:ascii="Times New Roman" w:hAnsi="Times New Roman" w:cs="Times New Roman"/>
          <w:szCs w:val="24"/>
          <w:lang w:val="en-GB"/>
        </w:rPr>
        <w:t>s far as the remaining tax years 200</w:t>
      </w:r>
      <w:r w:rsidRPr="004E6A33" w:rsidR="004E6A33">
        <w:rPr>
          <w:rFonts w:ascii="Times New Roman" w:hAnsi="Times New Roman" w:cs="Times New Roman"/>
          <w:szCs w:val="24"/>
          <w:lang w:val="en-GB"/>
        </w:rPr>
        <w:t xml:space="preserve">2 to 2004 </w:t>
      </w:r>
      <w:r w:rsidRPr="004E6A33">
        <w:rPr>
          <w:rFonts w:ascii="Times New Roman" w:hAnsi="Times New Roman" w:cs="Times New Roman"/>
          <w:szCs w:val="24"/>
          <w:lang w:val="en-GB"/>
        </w:rPr>
        <w:t xml:space="preserve">are concerned, the Court agrees with the parties that the tax surcharge proceedings and the tax fraud proceedings against the applicant arose from </w:t>
      </w:r>
      <w:r w:rsidRPr="004E6A33" w:rsidR="004E6A33">
        <w:rPr>
          <w:szCs w:val="24"/>
          <w:lang w:val="en-GB"/>
        </w:rPr>
        <w:t>identical facts or facts which were substantially the same.</w:t>
      </w:r>
    </w:p>
    <w:p w:rsidRPr="004E6A33" w:rsidR="00867E82" w:rsidP="00867E82" w:rsidRDefault="00867E82">
      <w:pPr>
        <w:pStyle w:val="ECHRHeading4"/>
        <w:rPr>
          <w:lang w:val="en-GB"/>
        </w:rPr>
      </w:pPr>
      <w:r w:rsidRPr="004E6A33">
        <w:rPr>
          <w:lang w:val="en-GB"/>
        </w:rPr>
        <w:t>(c)  Whether there was a final decision?</w:t>
      </w:r>
    </w:p>
    <w:p w:rsidRPr="004E6A33" w:rsidR="00867E82" w:rsidP="00867E82" w:rsidRDefault="00867E82">
      <w:pPr>
        <w:pStyle w:val="ECHRPara"/>
        <w:rPr>
          <w:lang w:val="en-GB"/>
        </w:rPr>
      </w:pPr>
      <w:r w:rsidRPr="004E6A33">
        <w:rPr>
          <w:lang w:val="en-GB"/>
        </w:rPr>
        <w:fldChar w:fldCharType="begin"/>
      </w:r>
      <w:r w:rsidRPr="004E6A33">
        <w:rPr>
          <w:lang w:val="en-GB"/>
        </w:rPr>
        <w:instrText xml:space="preserve"> SEQ level0 \*arabic </w:instrText>
      </w:r>
      <w:r w:rsidRPr="004E6A33">
        <w:rPr>
          <w:lang w:val="en-GB"/>
        </w:rPr>
        <w:fldChar w:fldCharType="separate"/>
      </w:r>
      <w:r w:rsidR="00D15CBD">
        <w:rPr>
          <w:noProof/>
          <w:lang w:val="en-GB"/>
        </w:rPr>
        <w:t>47</w:t>
      </w:r>
      <w:r w:rsidRPr="004E6A33">
        <w:rPr>
          <w:lang w:val="en-GB"/>
        </w:rPr>
        <w:fldChar w:fldCharType="end"/>
      </w:r>
      <w:r w:rsidRPr="004E6A33">
        <w:rPr>
          <w:lang w:val="en-GB"/>
        </w:rPr>
        <w:t xml:space="preserve">.  The Court reiterates that the aim of Article 4 of Protocol No. 7 is to prohibit the repetition of criminal proceedings that have been concluded by a “final” decision (see </w:t>
      </w:r>
      <w:r w:rsidRPr="004E6A33">
        <w:rPr>
          <w:i/>
          <w:lang w:val="en-GB"/>
        </w:rPr>
        <w:t>Franz Fischer v. Austria</w:t>
      </w:r>
      <w:r w:rsidR="00F32A62">
        <w:rPr>
          <w:lang w:val="en-GB"/>
        </w:rPr>
        <w:t>, no. 37950/97, § 22, 29 May </w:t>
      </w:r>
      <w:r w:rsidRPr="004E6A33">
        <w:rPr>
          <w:lang w:val="en-GB"/>
        </w:rPr>
        <w:t xml:space="preserve">2001; </w:t>
      </w:r>
      <w:proofErr w:type="spellStart"/>
      <w:r w:rsidRPr="004E6A33">
        <w:rPr>
          <w:i/>
          <w:lang w:val="en-GB"/>
        </w:rPr>
        <w:t>Gradinger</w:t>
      </w:r>
      <w:proofErr w:type="spellEnd"/>
      <w:r w:rsidRPr="004E6A33">
        <w:rPr>
          <w:i/>
          <w:lang w:val="en-GB"/>
        </w:rPr>
        <w:t xml:space="preserve"> v. Austria</w:t>
      </w:r>
      <w:r w:rsidRPr="004E6A33">
        <w:rPr>
          <w:lang w:val="en-GB"/>
        </w:rPr>
        <w:t>, 23 O</w:t>
      </w:r>
      <w:r w:rsidR="00F32A62">
        <w:rPr>
          <w:lang w:val="en-GB"/>
        </w:rPr>
        <w:t>ctober 1995, § 53, Series A no. </w:t>
      </w:r>
      <w:r w:rsidRPr="004E6A33">
        <w:rPr>
          <w:lang w:val="en-GB"/>
        </w:rPr>
        <w:t>328</w:t>
      </w:r>
      <w:r w:rsidRPr="004E6A33">
        <w:rPr>
          <w:lang w:val="en-GB"/>
        </w:rPr>
        <w:noBreakHyphen/>
        <w:t xml:space="preserve">C; and </w:t>
      </w:r>
      <w:r w:rsidRPr="004E6A33">
        <w:rPr>
          <w:i/>
          <w:szCs w:val="24"/>
          <w:lang w:val="en-GB"/>
        </w:rPr>
        <w:t xml:space="preserve">Sergey </w:t>
      </w:r>
      <w:proofErr w:type="spellStart"/>
      <w:r w:rsidRPr="004E6A33">
        <w:rPr>
          <w:i/>
          <w:szCs w:val="24"/>
          <w:lang w:val="en-GB"/>
        </w:rPr>
        <w:t>Zolotukhin</w:t>
      </w:r>
      <w:proofErr w:type="spellEnd"/>
      <w:r w:rsidRPr="004E6A33">
        <w:rPr>
          <w:i/>
          <w:szCs w:val="24"/>
          <w:lang w:val="en-GB"/>
        </w:rPr>
        <w:t xml:space="preserve"> v. Russia</w:t>
      </w:r>
      <w:r w:rsidRPr="004E6A33">
        <w:rPr>
          <w:szCs w:val="24"/>
          <w:lang w:val="en-GB"/>
        </w:rPr>
        <w:t xml:space="preserve"> [GC], cited above, § 107</w:t>
      </w:r>
      <w:r w:rsidRPr="004E6A33">
        <w:rPr>
          <w:lang w:val="en-GB"/>
        </w:rPr>
        <w:t xml:space="preserve">). According to the Explanatory Report to Protocol No. 7, which itself refers back to the European Convention on the International Validity of Criminal Judgments, a “decision is final </w:t>
      </w:r>
      <w:r w:rsidR="00763D01">
        <w:rPr>
          <w:lang w:val="en-GB"/>
        </w:rPr>
        <w:t>‘</w:t>
      </w:r>
      <w:r w:rsidRPr="004E6A33">
        <w:rPr>
          <w:lang w:val="en-GB"/>
        </w:rPr>
        <w:t xml:space="preserve">if, according to the traditional expression, it has acquired the force of </w:t>
      </w:r>
      <w:r w:rsidRPr="004E6A33">
        <w:rPr>
          <w:i/>
          <w:lang w:val="en-GB"/>
        </w:rPr>
        <w:t>res judicata</w:t>
      </w:r>
      <w:r w:rsidRPr="004E6A33">
        <w:rPr>
          <w:lang w:val="en-GB"/>
        </w:rPr>
        <w:t>. This is the case when it is irrevocable, that is to say when no further ordinary remedies are available or when the parties have exhausted such remedies or have permitted the time-limit to expire without availing themselves of them</w:t>
      </w:r>
      <w:r w:rsidR="00763D01">
        <w:rPr>
          <w:lang w:val="en-GB"/>
        </w:rPr>
        <w:t>’</w:t>
      </w:r>
      <w:r w:rsidRPr="004E6A33">
        <w:rPr>
          <w:lang w:val="en-GB"/>
        </w:rPr>
        <w:t>”. This approach is well entrenched in the Court</w:t>
      </w:r>
      <w:r w:rsidR="00763D01">
        <w:rPr>
          <w:lang w:val="en-GB"/>
        </w:rPr>
        <w:t>’</w:t>
      </w:r>
      <w:r w:rsidRPr="004E6A33">
        <w:rPr>
          <w:lang w:val="en-GB"/>
        </w:rPr>
        <w:t xml:space="preserve">s case-law (see, for example, </w:t>
      </w:r>
      <w:proofErr w:type="spellStart"/>
      <w:r w:rsidRPr="004E6A33">
        <w:rPr>
          <w:i/>
          <w:lang w:val="en-GB"/>
        </w:rPr>
        <w:t>Nikitin</w:t>
      </w:r>
      <w:proofErr w:type="spellEnd"/>
      <w:r w:rsidRPr="004E6A33">
        <w:rPr>
          <w:i/>
          <w:lang w:val="en-GB"/>
        </w:rPr>
        <w:t xml:space="preserve"> v. Russia</w:t>
      </w:r>
      <w:r w:rsidRPr="004E6A33">
        <w:rPr>
          <w:lang w:val="en-GB"/>
        </w:rPr>
        <w:t>, no. </w:t>
      </w:r>
      <w:hyperlink w:tgtFrame="_blank" w:history="1" w:anchor="{&quot;appno&quot;:[&quot;50178/99&quot;]}" r:id="rId21">
        <w:proofErr w:type="gramStart"/>
        <w:r w:rsidRPr="004E6A33">
          <w:rPr>
            <w:lang w:val="en-GB"/>
          </w:rPr>
          <w:t>50178/99</w:t>
        </w:r>
      </w:hyperlink>
      <w:r w:rsidRPr="004E6A33">
        <w:rPr>
          <w:lang w:val="en-GB"/>
        </w:rPr>
        <w:t>, § 37, ECHR 2004</w:t>
      </w:r>
      <w:r w:rsidRPr="004E6A33">
        <w:rPr>
          <w:lang w:val="en-GB"/>
        </w:rPr>
        <w:noBreakHyphen/>
        <w:t xml:space="preserve">VIII; and </w:t>
      </w:r>
      <w:proofErr w:type="spellStart"/>
      <w:r w:rsidRPr="004E6A33">
        <w:rPr>
          <w:i/>
          <w:lang w:val="en-GB"/>
        </w:rPr>
        <w:t>Horciag</w:t>
      </w:r>
      <w:proofErr w:type="spellEnd"/>
      <w:r w:rsidRPr="004E6A33">
        <w:rPr>
          <w:i/>
          <w:lang w:val="en-GB"/>
        </w:rPr>
        <w:t xml:space="preserve"> v. Romania</w:t>
      </w:r>
      <w:r w:rsidRPr="004E6A33">
        <w:rPr>
          <w:lang w:val="en-GB"/>
        </w:rPr>
        <w:t xml:space="preserve"> (</w:t>
      </w:r>
      <w:proofErr w:type="spellStart"/>
      <w:r w:rsidRPr="004E6A33">
        <w:rPr>
          <w:lang w:val="en-GB"/>
        </w:rPr>
        <w:t>dec.</w:t>
      </w:r>
      <w:proofErr w:type="spellEnd"/>
      <w:r w:rsidRPr="004E6A33">
        <w:rPr>
          <w:lang w:val="en-GB"/>
        </w:rPr>
        <w:t>), no.</w:t>
      </w:r>
      <w:proofErr w:type="gramEnd"/>
      <w:r w:rsidRPr="004E6A33">
        <w:rPr>
          <w:lang w:val="en-GB"/>
        </w:rPr>
        <w:t> </w:t>
      </w:r>
      <w:hyperlink w:tgtFrame="_blank" w:history="1" w:anchor="{&quot;appno&quot;:[&quot;70982/01&quot;]}" r:id="rId22">
        <w:r w:rsidRPr="004E6A33">
          <w:rPr>
            <w:lang w:val="en-GB"/>
          </w:rPr>
          <w:t>70982/01</w:t>
        </w:r>
      </w:hyperlink>
      <w:r w:rsidRPr="004E6A33">
        <w:rPr>
          <w:lang w:val="en-GB"/>
        </w:rPr>
        <w:t>, 15 March 2005).</w:t>
      </w:r>
    </w:p>
    <w:p w:rsidRPr="004E6A33" w:rsidR="00867E82" w:rsidP="00867E82" w:rsidRDefault="00867E82">
      <w:pPr>
        <w:pStyle w:val="ECHRPara"/>
        <w:rPr>
          <w:lang w:val="en-GB"/>
        </w:rPr>
      </w:pPr>
      <w:r w:rsidRPr="004E6A33">
        <w:rPr>
          <w:lang w:val="en-GB"/>
        </w:rPr>
        <w:fldChar w:fldCharType="begin"/>
      </w:r>
      <w:r w:rsidRPr="004E6A33">
        <w:rPr>
          <w:lang w:val="en-GB"/>
        </w:rPr>
        <w:instrText xml:space="preserve"> SEQ level0 \*arabic </w:instrText>
      </w:r>
      <w:r w:rsidRPr="004E6A33">
        <w:rPr>
          <w:lang w:val="en-GB"/>
        </w:rPr>
        <w:fldChar w:fldCharType="separate"/>
      </w:r>
      <w:r w:rsidR="00D15CBD">
        <w:rPr>
          <w:noProof/>
          <w:lang w:val="en-GB"/>
        </w:rPr>
        <w:t>48</w:t>
      </w:r>
      <w:r w:rsidRPr="004E6A33">
        <w:rPr>
          <w:lang w:val="en-GB"/>
        </w:rPr>
        <w:fldChar w:fldCharType="end"/>
      </w:r>
      <w:r w:rsidRPr="004E6A33">
        <w:rPr>
          <w:lang w:val="en-GB"/>
        </w:rPr>
        <w:t xml:space="preserve">.  Decisions against which an ordinary appeal lies are excluded from the scope of the guarantee contained in Article 4 of Protocol No. 7 as long as the time-limit for lodging such an appeal has not expired. On the other hand, extraordinary remedies such as a request for reopening of the proceedings or an application for extension of the expired time-limit are not taken into account for the purposes of determining whether the proceedings have reached a final conclusion (see </w:t>
      </w:r>
      <w:proofErr w:type="spellStart"/>
      <w:r w:rsidRPr="004E6A33">
        <w:rPr>
          <w:i/>
          <w:lang w:val="en-GB"/>
        </w:rPr>
        <w:t>Nikitin</w:t>
      </w:r>
      <w:proofErr w:type="spellEnd"/>
      <w:r w:rsidRPr="004E6A33">
        <w:rPr>
          <w:i/>
          <w:lang w:val="en-GB"/>
        </w:rPr>
        <w:t xml:space="preserve"> v. Russia</w:t>
      </w:r>
      <w:r w:rsidRPr="004E6A33">
        <w:rPr>
          <w:lang w:val="en-GB"/>
        </w:rPr>
        <w:t>, cited above, § 39). Although these remedies represent a continuation of the first set of proceedings, the “final” nature of the decision does not depend on their being used. It is important to point out that Article 4 of Protocol No. 7 does not preclude the reopening of the proceedings, as stated clearly by the second paragraph of Article 4</w:t>
      </w:r>
      <w:r w:rsidR="002F39A8">
        <w:rPr>
          <w:lang w:val="en-GB"/>
        </w:rPr>
        <w:t xml:space="preserve"> of that provision</w:t>
      </w:r>
      <w:r w:rsidRPr="004E6A33">
        <w:rPr>
          <w:lang w:val="en-GB"/>
        </w:rPr>
        <w:t>.</w:t>
      </w:r>
    </w:p>
    <w:p w:rsidRPr="008354B2" w:rsidR="004E6A33" w:rsidP="004E6A33" w:rsidRDefault="00867E82">
      <w:pPr>
        <w:pStyle w:val="ECHRPara"/>
        <w:rPr>
          <w:lang w:val="en-GB"/>
        </w:rPr>
      </w:pPr>
      <w:r w:rsidRPr="004E6A33">
        <w:rPr>
          <w:lang w:val="en-GB"/>
        </w:rPr>
        <w:fldChar w:fldCharType="begin"/>
      </w:r>
      <w:r w:rsidRPr="004E6A33">
        <w:rPr>
          <w:lang w:val="en-GB"/>
        </w:rPr>
        <w:instrText xml:space="preserve"> SEQ level0 \*arabic </w:instrText>
      </w:r>
      <w:r w:rsidRPr="004E6A33">
        <w:rPr>
          <w:lang w:val="en-GB"/>
        </w:rPr>
        <w:fldChar w:fldCharType="separate"/>
      </w:r>
      <w:r w:rsidR="00D15CBD">
        <w:rPr>
          <w:noProof/>
          <w:lang w:val="en-GB"/>
        </w:rPr>
        <w:t>49</w:t>
      </w:r>
      <w:r w:rsidRPr="004E6A33">
        <w:rPr>
          <w:lang w:val="en-GB"/>
        </w:rPr>
        <w:fldChar w:fldCharType="end"/>
      </w:r>
      <w:r w:rsidRPr="004E6A33">
        <w:rPr>
          <w:lang w:val="en-GB"/>
        </w:rPr>
        <w:t>.  In the present case</w:t>
      </w:r>
      <w:r w:rsidR="007F21BD">
        <w:rPr>
          <w:lang w:val="en-GB"/>
        </w:rPr>
        <w:t>,</w:t>
      </w:r>
      <w:r w:rsidRPr="004E6A33">
        <w:rPr>
          <w:lang w:val="en-GB"/>
        </w:rPr>
        <w:t xml:space="preserve"> </w:t>
      </w:r>
      <w:r w:rsidRPr="004E6A33" w:rsidR="004E6A33">
        <w:rPr>
          <w:lang w:val="en-GB"/>
        </w:rPr>
        <w:t>the tax</w:t>
      </w:r>
      <w:r w:rsidR="004E6A33">
        <w:rPr>
          <w:lang w:val="en-GB"/>
        </w:rPr>
        <w:t xml:space="preserve"> fraud </w:t>
      </w:r>
      <w:r w:rsidRPr="004E6A33" w:rsidR="004E6A33">
        <w:rPr>
          <w:lang w:val="en-GB"/>
        </w:rPr>
        <w:t>proceedings</w:t>
      </w:r>
      <w:r w:rsidRPr="008354B2" w:rsidR="004E6A33">
        <w:rPr>
          <w:lang w:val="en-GB"/>
        </w:rPr>
        <w:t xml:space="preserve"> </w:t>
      </w:r>
      <w:r w:rsidR="007F21BD">
        <w:rPr>
          <w:lang w:val="en-GB"/>
        </w:rPr>
        <w:t xml:space="preserve">concerning the </w:t>
      </w:r>
      <w:r w:rsidRPr="004E6A33" w:rsidR="007F21BD">
        <w:rPr>
          <w:rFonts w:ascii="Times New Roman" w:hAnsi="Times New Roman" w:cs="Times New Roman"/>
          <w:szCs w:val="24"/>
          <w:lang w:val="en-GB"/>
        </w:rPr>
        <w:t xml:space="preserve">tax years 2002 to 2004 </w:t>
      </w:r>
      <w:r w:rsidRPr="008354B2" w:rsidR="004E6A33">
        <w:rPr>
          <w:lang w:val="en-GB"/>
        </w:rPr>
        <w:t xml:space="preserve">became final on </w:t>
      </w:r>
      <w:r w:rsidR="004E6A33">
        <w:t>31</w:t>
      </w:r>
      <w:r w:rsidR="007F21BD">
        <w:t xml:space="preserve"> </w:t>
      </w:r>
      <w:r w:rsidR="004E6A33">
        <w:t xml:space="preserve">May 2012 </w:t>
      </w:r>
      <w:r w:rsidRPr="008354B2" w:rsidR="004E6A33">
        <w:rPr>
          <w:lang w:val="en-GB"/>
        </w:rPr>
        <w:t xml:space="preserve">when the Supreme Court </w:t>
      </w:r>
      <w:r w:rsidR="004E6A33">
        <w:rPr>
          <w:lang w:val="en-GB"/>
        </w:rPr>
        <w:t>delivered its judgment</w:t>
      </w:r>
      <w:r w:rsidR="007F21BD">
        <w:rPr>
          <w:lang w:val="en-GB"/>
        </w:rPr>
        <w:t xml:space="preserve"> in the matter</w:t>
      </w:r>
      <w:r w:rsidR="004E6A33">
        <w:rPr>
          <w:lang w:val="en-GB"/>
        </w:rPr>
        <w:t xml:space="preserve">. </w:t>
      </w:r>
      <w:r w:rsidRPr="008354B2" w:rsidR="004E6A33">
        <w:rPr>
          <w:lang w:val="en-GB"/>
        </w:rPr>
        <w:t xml:space="preserve">No further ordinary remedies were available to the parties. The </w:t>
      </w:r>
      <w:r w:rsidR="007F21BD">
        <w:rPr>
          <w:lang w:val="en-GB"/>
        </w:rPr>
        <w:t>applicant</w:t>
      </w:r>
      <w:r w:rsidR="00763D01">
        <w:rPr>
          <w:lang w:val="en-GB"/>
        </w:rPr>
        <w:t>’</w:t>
      </w:r>
      <w:r w:rsidR="007F21BD">
        <w:rPr>
          <w:lang w:val="en-GB"/>
        </w:rPr>
        <w:t xml:space="preserve">s </w:t>
      </w:r>
      <w:r w:rsidR="004E6A33">
        <w:rPr>
          <w:lang w:val="en-GB"/>
        </w:rPr>
        <w:t xml:space="preserve">criminal conviction for aggravated tax fraud </w:t>
      </w:r>
      <w:r w:rsidRPr="008354B2" w:rsidR="004E6A33">
        <w:rPr>
          <w:lang w:val="en-GB"/>
        </w:rPr>
        <w:t xml:space="preserve">was therefore “final”, within the autonomous meaning given to the term by the Convention, on </w:t>
      </w:r>
      <w:r w:rsidR="004E6A33">
        <w:t>31 May 2012</w:t>
      </w:r>
      <w:r w:rsidRPr="008354B2" w:rsidR="004E6A33">
        <w:rPr>
          <w:lang w:val="en-GB"/>
        </w:rPr>
        <w:t>.</w:t>
      </w:r>
    </w:p>
    <w:p w:rsidRPr="007F21BD" w:rsidR="00867E82" w:rsidP="00867E82" w:rsidRDefault="00867E82">
      <w:pPr>
        <w:pStyle w:val="ECHRHeading4"/>
        <w:rPr>
          <w:lang w:val="en-GB"/>
        </w:rPr>
      </w:pPr>
      <w:r w:rsidRPr="007F21BD">
        <w:rPr>
          <w:lang w:val="en-GB"/>
        </w:rPr>
        <w:t>(d)  Whether there was a duplication of proceedings (</w:t>
      </w:r>
      <w:proofErr w:type="spellStart"/>
      <w:r w:rsidRPr="007F21BD">
        <w:rPr>
          <w:i/>
          <w:lang w:val="en-GB"/>
        </w:rPr>
        <w:t>bis</w:t>
      </w:r>
      <w:proofErr w:type="spellEnd"/>
      <w:r w:rsidRPr="007F21BD">
        <w:rPr>
          <w:lang w:val="en-GB"/>
        </w:rPr>
        <w:t>)?</w:t>
      </w:r>
    </w:p>
    <w:p w:rsidRPr="007F21BD" w:rsidR="00867E82" w:rsidP="00867E82" w:rsidRDefault="00867E82">
      <w:pPr>
        <w:pStyle w:val="ECHRPara"/>
        <w:rPr>
          <w:rFonts w:ascii="Times New Roman" w:hAnsi="Times New Roman" w:cs="Times New Roman"/>
          <w:szCs w:val="24"/>
          <w:lang w:val="en-GB"/>
        </w:rPr>
      </w:pPr>
      <w:r w:rsidRPr="007F21BD">
        <w:rPr>
          <w:rFonts w:ascii="Times New Roman" w:hAnsi="Times New Roman" w:cs="Times New Roman"/>
          <w:szCs w:val="24"/>
          <w:lang w:val="en-GB"/>
        </w:rPr>
        <w:fldChar w:fldCharType="begin"/>
      </w:r>
      <w:r w:rsidRPr="007F21BD">
        <w:rPr>
          <w:rFonts w:ascii="Times New Roman" w:hAnsi="Times New Roman" w:cs="Times New Roman"/>
          <w:szCs w:val="24"/>
          <w:lang w:val="en-GB"/>
        </w:rPr>
        <w:instrText xml:space="preserve"> SEQ level0 \*arabic </w:instrText>
      </w:r>
      <w:r w:rsidRPr="007F21BD">
        <w:rPr>
          <w:rFonts w:ascii="Times New Roman" w:hAnsi="Times New Roman" w:cs="Times New Roman"/>
          <w:szCs w:val="24"/>
          <w:lang w:val="en-GB"/>
        </w:rPr>
        <w:fldChar w:fldCharType="separate"/>
      </w:r>
      <w:r w:rsidR="00D15CBD">
        <w:rPr>
          <w:rFonts w:ascii="Times New Roman" w:hAnsi="Times New Roman" w:cs="Times New Roman"/>
          <w:noProof/>
          <w:szCs w:val="24"/>
          <w:lang w:val="en-GB"/>
        </w:rPr>
        <w:t>50</w:t>
      </w:r>
      <w:r w:rsidRPr="007F21BD">
        <w:rPr>
          <w:rFonts w:ascii="Times New Roman" w:hAnsi="Times New Roman" w:cs="Times New Roman"/>
          <w:szCs w:val="24"/>
          <w:lang w:val="en-GB"/>
        </w:rPr>
        <w:fldChar w:fldCharType="end"/>
      </w:r>
      <w:r w:rsidRPr="007F21BD">
        <w:rPr>
          <w:rFonts w:ascii="Times New Roman" w:hAnsi="Times New Roman" w:cs="Times New Roman"/>
          <w:szCs w:val="24"/>
          <w:lang w:val="en-GB"/>
        </w:rPr>
        <w:t>.  </w:t>
      </w:r>
      <w:r w:rsidRPr="007F21BD">
        <w:rPr>
          <w:lang w:val="en-GB"/>
        </w:rPr>
        <w:t xml:space="preserve">The Court reiterates that Article 4 of Protocol No. 7 prohibits the repetition of criminal proceedings that have been concluded by a “final” decision. Article 4 of Protocol No. 7 is not only confined to the right not to be punished twice but extends also to the right not to be prosecuted or tried twice (see </w:t>
      </w:r>
      <w:r w:rsidRPr="007F21BD">
        <w:rPr>
          <w:i/>
          <w:lang w:val="en-GB"/>
        </w:rPr>
        <w:t>Franz Fischer v. Austria</w:t>
      </w:r>
      <w:r w:rsidRPr="007F21BD">
        <w:rPr>
          <w:lang w:val="en-GB"/>
        </w:rPr>
        <w:t>, cited above, § 29). Were this not the case, it would not have been necessary to add the word “punished” to the word “tried” since this would be mere duplication. Article 4 of Protocol No. 7 applies even where the individual has merely been prosecuted in proceedings that have not resulted in a conviction. The Court reiterates that Article 4 of Protocol No. 7 contains three distinct guarantees and provides that no one shall be (</w:t>
      </w:r>
      <w:proofErr w:type="spellStart"/>
      <w:r w:rsidRPr="007F21BD">
        <w:rPr>
          <w:lang w:val="en-GB"/>
        </w:rPr>
        <w:t>i</w:t>
      </w:r>
      <w:proofErr w:type="spellEnd"/>
      <w:r w:rsidRPr="007F21BD">
        <w:rPr>
          <w:lang w:val="en-GB"/>
        </w:rPr>
        <w:t xml:space="preserve">) liable to be tried, (ii) tried or (iii) punished for the same offence (see </w:t>
      </w:r>
      <w:proofErr w:type="spellStart"/>
      <w:r w:rsidRPr="007F21BD">
        <w:rPr>
          <w:i/>
          <w:lang w:val="en-GB"/>
        </w:rPr>
        <w:t>Nikitin</w:t>
      </w:r>
      <w:proofErr w:type="spellEnd"/>
      <w:r w:rsidRPr="007F21BD">
        <w:rPr>
          <w:i/>
          <w:lang w:val="en-GB"/>
        </w:rPr>
        <w:t xml:space="preserve"> v. Russia</w:t>
      </w:r>
      <w:r w:rsidRPr="007F21BD">
        <w:rPr>
          <w:lang w:val="en-GB"/>
        </w:rPr>
        <w:t>, cited above, § 36).</w:t>
      </w:r>
    </w:p>
    <w:p w:rsidRPr="007F21BD" w:rsidR="00867E82" w:rsidP="00867E82" w:rsidRDefault="00867E82">
      <w:pPr>
        <w:pStyle w:val="ECHRPara"/>
        <w:rPr>
          <w:szCs w:val="24"/>
          <w:lang w:val="en-GB"/>
        </w:rPr>
      </w:pPr>
      <w:r w:rsidRPr="007F21BD">
        <w:rPr>
          <w:lang w:val="en-GB"/>
        </w:rPr>
        <w:fldChar w:fldCharType="begin"/>
      </w:r>
      <w:r w:rsidRPr="007F21BD">
        <w:rPr>
          <w:lang w:val="en-GB"/>
        </w:rPr>
        <w:instrText xml:space="preserve"> SEQ level0 \*arabic </w:instrText>
      </w:r>
      <w:r w:rsidRPr="007F21BD">
        <w:rPr>
          <w:lang w:val="en-GB"/>
        </w:rPr>
        <w:fldChar w:fldCharType="separate"/>
      </w:r>
      <w:r w:rsidR="00D15CBD">
        <w:rPr>
          <w:noProof/>
          <w:lang w:val="en-GB"/>
        </w:rPr>
        <w:t>51</w:t>
      </w:r>
      <w:r w:rsidRPr="007F21BD">
        <w:rPr>
          <w:lang w:val="en-GB"/>
        </w:rPr>
        <w:fldChar w:fldCharType="end"/>
      </w:r>
      <w:r w:rsidRPr="007F21BD">
        <w:rPr>
          <w:lang w:val="en-GB"/>
        </w:rPr>
        <w:t xml:space="preserve">.  The Court notes that Article 4 of Protocol No. 7 clearly prohibits consecutive proceedings if the first set of proceedings has already become final at the moment when the second set of proceedings is initiated (see for example </w:t>
      </w:r>
      <w:r w:rsidRPr="007F21BD">
        <w:rPr>
          <w:i/>
          <w:szCs w:val="24"/>
          <w:lang w:val="en-GB"/>
        </w:rPr>
        <w:t xml:space="preserve">Sergey </w:t>
      </w:r>
      <w:proofErr w:type="spellStart"/>
      <w:r w:rsidRPr="007F21BD">
        <w:rPr>
          <w:i/>
          <w:szCs w:val="24"/>
          <w:lang w:val="en-GB"/>
        </w:rPr>
        <w:t>Zolotukhin</w:t>
      </w:r>
      <w:proofErr w:type="spellEnd"/>
      <w:r w:rsidRPr="007F21BD">
        <w:rPr>
          <w:i/>
          <w:szCs w:val="24"/>
          <w:lang w:val="en-GB"/>
        </w:rPr>
        <w:t xml:space="preserve"> v. Russia</w:t>
      </w:r>
      <w:r w:rsidRPr="007F21BD">
        <w:rPr>
          <w:szCs w:val="24"/>
          <w:lang w:val="en-GB"/>
        </w:rPr>
        <w:t xml:space="preserve"> [GC], cited above).</w:t>
      </w:r>
    </w:p>
    <w:p w:rsidRPr="007F21BD" w:rsidR="00867E82" w:rsidP="00867E82" w:rsidRDefault="00867E82">
      <w:pPr>
        <w:pStyle w:val="ECHRPara"/>
        <w:rPr>
          <w:i/>
          <w:lang w:val="en-GB"/>
        </w:rPr>
      </w:pPr>
      <w:r w:rsidRPr="007F21BD">
        <w:rPr>
          <w:rFonts w:ascii="Times New Roman" w:hAnsi="Times New Roman" w:cs="Times New Roman"/>
          <w:szCs w:val="24"/>
          <w:lang w:val="en-GB"/>
        </w:rPr>
        <w:fldChar w:fldCharType="begin"/>
      </w:r>
      <w:r w:rsidRPr="007F21BD">
        <w:rPr>
          <w:rFonts w:ascii="Times New Roman" w:hAnsi="Times New Roman" w:cs="Times New Roman"/>
          <w:szCs w:val="24"/>
          <w:lang w:val="en-GB"/>
        </w:rPr>
        <w:instrText xml:space="preserve"> SEQ level0 \*arabic </w:instrText>
      </w:r>
      <w:r w:rsidRPr="007F21BD">
        <w:rPr>
          <w:rFonts w:ascii="Times New Roman" w:hAnsi="Times New Roman" w:cs="Times New Roman"/>
          <w:szCs w:val="24"/>
          <w:lang w:val="en-GB"/>
        </w:rPr>
        <w:fldChar w:fldCharType="separate"/>
      </w:r>
      <w:r w:rsidR="00D15CBD">
        <w:rPr>
          <w:rFonts w:ascii="Times New Roman" w:hAnsi="Times New Roman" w:cs="Times New Roman"/>
          <w:noProof/>
          <w:szCs w:val="24"/>
          <w:lang w:val="en-GB"/>
        </w:rPr>
        <w:t>52</w:t>
      </w:r>
      <w:r w:rsidRPr="007F21BD">
        <w:rPr>
          <w:rFonts w:ascii="Times New Roman" w:hAnsi="Times New Roman" w:cs="Times New Roman"/>
          <w:szCs w:val="24"/>
          <w:lang w:val="en-GB"/>
        </w:rPr>
        <w:fldChar w:fldCharType="end"/>
      </w:r>
      <w:r w:rsidRPr="007F21BD">
        <w:rPr>
          <w:rFonts w:ascii="Times New Roman" w:hAnsi="Times New Roman" w:cs="Times New Roman"/>
          <w:szCs w:val="24"/>
          <w:lang w:val="en-GB"/>
        </w:rPr>
        <w:t xml:space="preserve">.  As concerns parallel proceedings, </w:t>
      </w:r>
      <w:r w:rsidRPr="007F21BD">
        <w:rPr>
          <w:lang w:val="en-GB"/>
        </w:rPr>
        <w:t xml:space="preserve">Article 4 of Protocol No. 7 does not prohibit several concurrent sets of proceedings. In such a situation it cannot be said that an applicant is prosecuted several times “for an offence for which he has already been finally acquitted or convicted” (see </w:t>
      </w:r>
      <w:proofErr w:type="spellStart"/>
      <w:r w:rsidRPr="007F21BD">
        <w:rPr>
          <w:i/>
          <w:lang w:val="en-GB"/>
        </w:rPr>
        <w:t>Garaudy</w:t>
      </w:r>
      <w:proofErr w:type="spellEnd"/>
      <w:r w:rsidRPr="007F21BD">
        <w:rPr>
          <w:i/>
          <w:lang w:val="en-GB"/>
        </w:rPr>
        <w:t xml:space="preserve"> v. France</w:t>
      </w:r>
      <w:r w:rsidRPr="007F21BD">
        <w:rPr>
          <w:lang w:val="en-GB"/>
        </w:rPr>
        <w:t xml:space="preserve"> (</w:t>
      </w:r>
      <w:proofErr w:type="spellStart"/>
      <w:r w:rsidRPr="007F21BD">
        <w:rPr>
          <w:lang w:val="en-GB"/>
        </w:rPr>
        <w:t>dec.</w:t>
      </w:r>
      <w:proofErr w:type="spellEnd"/>
      <w:r w:rsidRPr="007F21BD">
        <w:rPr>
          <w:lang w:val="en-GB"/>
        </w:rPr>
        <w:t>),</w:t>
      </w:r>
      <w:r w:rsidRPr="007F21BD">
        <w:rPr>
          <w:i/>
          <w:lang w:val="en-GB"/>
        </w:rPr>
        <w:t xml:space="preserve"> </w:t>
      </w:r>
      <w:r w:rsidRPr="007F21BD">
        <w:rPr>
          <w:lang w:val="en-GB"/>
        </w:rPr>
        <w:t>no. 65831/01</w:t>
      </w:r>
      <w:r w:rsidRPr="007F21BD">
        <w:rPr>
          <w:szCs w:val="24"/>
          <w:lang w:val="en-GB"/>
        </w:rPr>
        <w:t xml:space="preserve">, </w:t>
      </w:r>
      <w:r w:rsidRPr="007F21BD">
        <w:rPr>
          <w:lang w:val="en-GB"/>
        </w:rPr>
        <w:t>ECHR 2003</w:t>
      </w:r>
      <w:r w:rsidRPr="007F21BD">
        <w:rPr>
          <w:lang w:val="en-GB"/>
        </w:rPr>
        <w:noBreakHyphen/>
        <w:t xml:space="preserve">IX (extracts)). There is no problem from the Convention point of view either when, in a situation of two parallel sets of proceedings, the second set of proceedings is discontinued after the first set of proceedings has become final (see </w:t>
      </w:r>
      <w:proofErr w:type="spellStart"/>
      <w:r w:rsidRPr="007F21BD">
        <w:rPr>
          <w:i/>
          <w:lang w:val="en-GB"/>
        </w:rPr>
        <w:t>Zigarella</w:t>
      </w:r>
      <w:proofErr w:type="spellEnd"/>
      <w:r w:rsidRPr="007F21BD">
        <w:rPr>
          <w:i/>
          <w:lang w:val="en-GB"/>
        </w:rPr>
        <w:t xml:space="preserve"> v. Italy</w:t>
      </w:r>
      <w:r w:rsidRPr="007F21BD">
        <w:rPr>
          <w:lang w:val="en-GB"/>
        </w:rPr>
        <w:t xml:space="preserve"> (</w:t>
      </w:r>
      <w:proofErr w:type="spellStart"/>
      <w:r w:rsidRPr="007F21BD">
        <w:rPr>
          <w:lang w:val="en-GB"/>
        </w:rPr>
        <w:t>dec.</w:t>
      </w:r>
      <w:proofErr w:type="spellEnd"/>
      <w:r w:rsidRPr="007F21BD">
        <w:rPr>
          <w:lang w:val="en-GB"/>
        </w:rPr>
        <w:t>), no. 48154/99</w:t>
      </w:r>
      <w:r w:rsidRPr="007F21BD">
        <w:rPr>
          <w:szCs w:val="24"/>
          <w:lang w:val="en-GB"/>
        </w:rPr>
        <w:t xml:space="preserve">, </w:t>
      </w:r>
      <w:r w:rsidRPr="007F21BD">
        <w:rPr>
          <w:lang w:val="en-GB"/>
        </w:rPr>
        <w:t>ECHR 2002</w:t>
      </w:r>
      <w:r w:rsidRPr="007F21BD">
        <w:rPr>
          <w:lang w:val="en-GB"/>
        </w:rPr>
        <w:noBreakHyphen/>
        <w:t xml:space="preserve">IX (extracts)). However, when no such discontinuation occurs, the Court has found a violation (see </w:t>
      </w:r>
      <w:proofErr w:type="spellStart"/>
      <w:r w:rsidRPr="007F21BD">
        <w:rPr>
          <w:i/>
          <w:lang w:val="en-GB"/>
        </w:rPr>
        <w:t>Tomasović</w:t>
      </w:r>
      <w:proofErr w:type="spellEnd"/>
      <w:r w:rsidRPr="007F21BD">
        <w:rPr>
          <w:i/>
          <w:lang w:val="en-GB"/>
        </w:rPr>
        <w:t xml:space="preserve"> v. Croatia</w:t>
      </w:r>
      <w:r w:rsidRPr="007F21BD">
        <w:rPr>
          <w:lang w:val="en-GB"/>
        </w:rPr>
        <w:t xml:space="preserve">, cited above, § 31; </w:t>
      </w:r>
      <w:proofErr w:type="spellStart"/>
      <w:r w:rsidRPr="007F21BD">
        <w:rPr>
          <w:i/>
        </w:rPr>
        <w:t>Muslija</w:t>
      </w:r>
      <w:proofErr w:type="spellEnd"/>
      <w:r w:rsidRPr="007F21BD">
        <w:rPr>
          <w:i/>
        </w:rPr>
        <w:t xml:space="preserve"> v. Bosnia and Herzegovina</w:t>
      </w:r>
      <w:r w:rsidRPr="007F21BD">
        <w:t>, no. 32042/11</w:t>
      </w:r>
      <w:r w:rsidRPr="007F21BD">
        <w:rPr>
          <w:snapToGrid w:val="0"/>
        </w:rPr>
        <w:t>, § 37, 14 January 2014</w:t>
      </w:r>
      <w:r w:rsidR="007F21BD">
        <w:rPr>
          <w:snapToGrid w:val="0"/>
        </w:rPr>
        <w:t xml:space="preserve">; </w:t>
      </w:r>
      <w:proofErr w:type="spellStart"/>
      <w:r w:rsidR="007F21BD">
        <w:rPr>
          <w:i/>
        </w:rPr>
        <w:t>Nykänen</w:t>
      </w:r>
      <w:proofErr w:type="spellEnd"/>
      <w:r w:rsidR="007F21BD">
        <w:rPr>
          <w:i/>
        </w:rPr>
        <w:t xml:space="preserve"> </w:t>
      </w:r>
      <w:r w:rsidRPr="0040750C" w:rsidR="007F21BD">
        <w:rPr>
          <w:i/>
          <w:snapToGrid w:val="0"/>
        </w:rPr>
        <w:t>v. Finland</w:t>
      </w:r>
      <w:r w:rsidRPr="0040750C" w:rsidR="007F21BD">
        <w:rPr>
          <w:snapToGrid w:val="0"/>
        </w:rPr>
        <w:t xml:space="preserve">, </w:t>
      </w:r>
      <w:r w:rsidRPr="0040750C" w:rsidR="007F21BD">
        <w:t>no. 11828/11</w:t>
      </w:r>
      <w:r w:rsidR="007F21BD">
        <w:rPr>
          <w:snapToGrid w:val="0"/>
          <w:color w:val="000000"/>
        </w:rPr>
        <w:t xml:space="preserve">, § 52, 20 May 2014; and </w:t>
      </w:r>
      <w:proofErr w:type="spellStart"/>
      <w:r w:rsidR="007F21BD">
        <w:rPr>
          <w:i/>
        </w:rPr>
        <w:t>Glantz</w:t>
      </w:r>
      <w:proofErr w:type="spellEnd"/>
      <w:r w:rsidR="007F21BD">
        <w:rPr>
          <w:i/>
        </w:rPr>
        <w:t xml:space="preserve"> </w:t>
      </w:r>
      <w:r w:rsidRPr="0040750C" w:rsidR="007F21BD">
        <w:rPr>
          <w:i/>
          <w:snapToGrid w:val="0"/>
        </w:rPr>
        <w:t xml:space="preserve">v. </w:t>
      </w:r>
      <w:r w:rsidR="007F21BD">
        <w:rPr>
          <w:i/>
          <w:snapToGrid w:val="0"/>
        </w:rPr>
        <w:t>Finland</w:t>
      </w:r>
      <w:r w:rsidRPr="0040750C" w:rsidR="007F21BD">
        <w:rPr>
          <w:snapToGrid w:val="0"/>
        </w:rPr>
        <w:t xml:space="preserve">, </w:t>
      </w:r>
      <w:r w:rsidRPr="0040750C" w:rsidR="007F21BD">
        <w:t>no. 37394/11</w:t>
      </w:r>
      <w:r w:rsidR="007F21BD">
        <w:rPr>
          <w:snapToGrid w:val="0"/>
          <w:color w:val="000000"/>
        </w:rPr>
        <w:t>, § 62, 20 May 2014</w:t>
      </w:r>
      <w:r w:rsidRPr="007F21BD">
        <w:rPr>
          <w:snapToGrid w:val="0"/>
          <w:szCs w:val="24"/>
          <w:lang w:val="en-GB"/>
        </w:rPr>
        <w:t>).</w:t>
      </w:r>
    </w:p>
    <w:p w:rsidRPr="007F21BD" w:rsidR="00867E82" w:rsidP="00867E82" w:rsidRDefault="00867E82">
      <w:pPr>
        <w:pStyle w:val="ECHRPara"/>
        <w:rPr>
          <w:lang w:val="en-GB"/>
        </w:rPr>
      </w:pPr>
      <w:r w:rsidRPr="007F21BD">
        <w:rPr>
          <w:lang w:val="en-GB"/>
        </w:rPr>
        <w:fldChar w:fldCharType="begin"/>
      </w:r>
      <w:r w:rsidRPr="007F21BD">
        <w:rPr>
          <w:lang w:val="en-GB"/>
        </w:rPr>
        <w:instrText xml:space="preserve"> SEQ level0 \*arabic </w:instrText>
      </w:r>
      <w:r w:rsidRPr="007F21BD">
        <w:rPr>
          <w:lang w:val="en-GB"/>
        </w:rPr>
        <w:fldChar w:fldCharType="separate"/>
      </w:r>
      <w:r w:rsidR="00D15CBD">
        <w:rPr>
          <w:noProof/>
          <w:lang w:val="en-GB"/>
        </w:rPr>
        <w:t>53</w:t>
      </w:r>
      <w:r w:rsidRPr="007F21BD">
        <w:rPr>
          <w:lang w:val="en-GB"/>
        </w:rPr>
        <w:fldChar w:fldCharType="end"/>
      </w:r>
      <w:r w:rsidRPr="007F21BD">
        <w:rPr>
          <w:lang w:val="en-GB"/>
        </w:rPr>
        <w:t xml:space="preserve">.  However, the Court has also found in its previous case-law (see </w:t>
      </w:r>
      <w:r w:rsidRPr="007F21BD">
        <w:rPr>
          <w:i/>
          <w:lang w:val="en-GB"/>
        </w:rPr>
        <w:t>R.T. v. Switzerland</w:t>
      </w:r>
      <w:r w:rsidRPr="007F21BD">
        <w:rPr>
          <w:lang w:val="en-GB"/>
        </w:rPr>
        <w:t xml:space="preserve"> (</w:t>
      </w:r>
      <w:proofErr w:type="spellStart"/>
      <w:r w:rsidRPr="007F21BD">
        <w:rPr>
          <w:lang w:val="en-GB"/>
        </w:rPr>
        <w:t>dec.</w:t>
      </w:r>
      <w:proofErr w:type="spellEnd"/>
      <w:r w:rsidRPr="007F21BD">
        <w:rPr>
          <w:lang w:val="en-GB"/>
        </w:rPr>
        <w:t xml:space="preserve">), no. 31982/96, 30 May 2000; and </w:t>
      </w:r>
      <w:r w:rsidRPr="007F21BD">
        <w:rPr>
          <w:i/>
          <w:lang w:val="en-GB"/>
        </w:rPr>
        <w:t>Nilsson v. Sweden</w:t>
      </w:r>
      <w:r w:rsidRPr="007F21BD">
        <w:rPr>
          <w:lang w:val="en-GB"/>
        </w:rPr>
        <w:t xml:space="preserve"> (</w:t>
      </w:r>
      <w:proofErr w:type="spellStart"/>
      <w:r w:rsidRPr="007F21BD">
        <w:rPr>
          <w:lang w:val="en-GB"/>
        </w:rPr>
        <w:t>dec.</w:t>
      </w:r>
      <w:proofErr w:type="spellEnd"/>
      <w:r w:rsidRPr="007F21BD">
        <w:rPr>
          <w:lang w:val="en-GB"/>
        </w:rPr>
        <w:t xml:space="preserve">), no. 73661/01, 13 December 2005) that although different sanctions </w:t>
      </w:r>
      <w:r w:rsidRPr="007F21BD">
        <w:rPr>
          <w:rFonts w:ascii="Times New Roman" w:hAnsi="Times New Roman" w:cs="Times New Roman"/>
          <w:szCs w:val="24"/>
          <w:lang w:val="en-GB"/>
        </w:rPr>
        <w:t xml:space="preserve">(suspended prison sentences and withdrawal of driving licences) </w:t>
      </w:r>
      <w:r w:rsidRPr="007F21BD">
        <w:rPr>
          <w:lang w:val="en-GB"/>
        </w:rPr>
        <w:t xml:space="preserve">concerning the same matter </w:t>
      </w:r>
      <w:r w:rsidRPr="007F21BD">
        <w:rPr>
          <w:rFonts w:ascii="Times New Roman" w:hAnsi="Times New Roman" w:cs="Times New Roman"/>
          <w:szCs w:val="24"/>
          <w:lang w:val="en-GB"/>
        </w:rPr>
        <w:t xml:space="preserve">(drunken driving) </w:t>
      </w:r>
      <w:r w:rsidRPr="007F21BD">
        <w:rPr>
          <w:lang w:val="en-GB"/>
        </w:rPr>
        <w:t>have been imposed by different authorities in different proceedings, there has been a sufficiently close connection between them, in substance and in time. In those cases the Court found that the applicants were not tried or punished again for an offence for which they had already been finally convicted in breach of Article 4 § 1 of Protocol No. 7 to the Convention and that there was thus no repetition of the proceedings.</w:t>
      </w:r>
    </w:p>
    <w:p w:rsidRPr="007F21BD" w:rsidR="00867E82" w:rsidP="00867E82" w:rsidRDefault="00763D01">
      <w:pPr>
        <w:pStyle w:val="ECHRPara"/>
        <w:rPr>
          <w:lang w:val="en-GB"/>
        </w:rPr>
      </w:pPr>
      <w:fldSimple w:instr=" SEQ level0 \*arabic ">
        <w:r w:rsidR="00D15CBD">
          <w:rPr>
            <w:noProof/>
          </w:rPr>
          <w:t>54</w:t>
        </w:r>
      </w:fldSimple>
      <w:r w:rsidRPr="007F21BD" w:rsidR="00867E82">
        <w:t xml:space="preserve">.  Turning to the present case and regarding whether there was repetition in breach of Article </w:t>
      </w:r>
      <w:r w:rsidRPr="007F21BD" w:rsidR="00867E82">
        <w:rPr>
          <w:lang w:val="en-GB"/>
        </w:rPr>
        <w:t>4 § 1 of Protocol No. 7 to the Convention,</w:t>
      </w:r>
      <w:r w:rsidRPr="007F21BD" w:rsidR="00867E82">
        <w:t xml:space="preserve"> the Court notes that it is true that both the use of criminal proceedings and the tax surcharges imposed on the applicant form part of the sanctions under Finnish law for the failure to provide information about income in a tax declaration with a result that a too low tax assessment is made. However, </w:t>
      </w:r>
      <w:r w:rsidRPr="007F21BD" w:rsidR="00867E82">
        <w:rPr>
          <w:rFonts w:ascii="Times New Roman" w:hAnsi="Times New Roman" w:cs="Times New Roman"/>
          <w:szCs w:val="24"/>
          <w:lang w:val="en-GB"/>
        </w:rPr>
        <w:t xml:space="preserve">under the Finnish system </w:t>
      </w:r>
      <w:r w:rsidRPr="007F21BD" w:rsidR="00867E82">
        <w:t xml:space="preserve">the criminal and the administrative sanctions </w:t>
      </w:r>
      <w:r w:rsidR="00D15CBD">
        <w:t>a</w:t>
      </w:r>
      <w:r w:rsidRPr="007F21BD" w:rsidR="00867E82">
        <w:t>re</w:t>
      </w:r>
      <w:r w:rsidR="00D15CBD">
        <w:t xml:space="preserve"> </w:t>
      </w:r>
      <w:r w:rsidRPr="007F21BD" w:rsidR="00867E82">
        <w:t xml:space="preserve">imposed by different authorities without the proceedings being in any way connected: both </w:t>
      </w:r>
      <w:r w:rsidRPr="007F21BD" w:rsidR="00867E82">
        <w:rPr>
          <w:lang w:val="en-GB"/>
        </w:rPr>
        <w:t xml:space="preserve">sets of </w:t>
      </w:r>
      <w:r w:rsidRPr="007F21BD" w:rsidR="00867E82">
        <w:t xml:space="preserve">proceedings follow their own separate course and become final independently from each other. Moreover, neither of the outcomes of the proceedings is taken into consideration by the other court or authority in determining the severity of the sanction, nor is there any other interaction between the relevant authorities. More importantly, </w:t>
      </w:r>
      <w:r w:rsidRPr="007F21BD" w:rsidR="00867E82">
        <w:rPr>
          <w:rFonts w:ascii="Times New Roman" w:hAnsi="Times New Roman" w:cs="Times New Roman"/>
          <w:szCs w:val="24"/>
          <w:lang w:val="en-GB"/>
        </w:rPr>
        <w:t>the tax surcharges are imposed under the Finnish system following an examination of an applicant</w:t>
      </w:r>
      <w:r>
        <w:rPr>
          <w:rFonts w:ascii="Times New Roman" w:hAnsi="Times New Roman" w:cs="Times New Roman"/>
          <w:szCs w:val="24"/>
          <w:lang w:val="en-GB"/>
        </w:rPr>
        <w:t>’</w:t>
      </w:r>
      <w:r w:rsidRPr="007F21BD" w:rsidR="00867E82">
        <w:rPr>
          <w:rFonts w:ascii="Times New Roman" w:hAnsi="Times New Roman" w:cs="Times New Roman"/>
          <w:szCs w:val="24"/>
          <w:lang w:val="en-GB"/>
        </w:rPr>
        <w:t>s conduct and his or her liability under the relevant tax legislation which is independent from the assessments made in the criminal proceedings</w:t>
      </w:r>
      <w:r w:rsidR="00D15CBD">
        <w:rPr>
          <w:rFonts w:ascii="Times New Roman" w:hAnsi="Times New Roman" w:cs="Times New Roman"/>
          <w:szCs w:val="24"/>
          <w:lang w:val="en-GB"/>
        </w:rPr>
        <w:t>, although nowadays there is more coordination between the two (see paragraph 28 above)</w:t>
      </w:r>
      <w:r w:rsidRPr="007F21BD" w:rsidR="00867E82">
        <w:rPr>
          <w:rFonts w:ascii="Times New Roman" w:hAnsi="Times New Roman" w:cs="Times New Roman"/>
          <w:szCs w:val="24"/>
          <w:lang w:val="en-GB"/>
        </w:rPr>
        <w:t>. This contrasts with the Court</w:t>
      </w:r>
      <w:r>
        <w:rPr>
          <w:rFonts w:ascii="Times New Roman" w:hAnsi="Times New Roman" w:cs="Times New Roman"/>
          <w:szCs w:val="24"/>
          <w:lang w:val="en-GB"/>
        </w:rPr>
        <w:t>’</w:t>
      </w:r>
      <w:r w:rsidRPr="007F21BD" w:rsidR="00867E82">
        <w:rPr>
          <w:rFonts w:ascii="Times New Roman" w:hAnsi="Times New Roman" w:cs="Times New Roman"/>
          <w:szCs w:val="24"/>
          <w:lang w:val="en-GB"/>
        </w:rPr>
        <w:t xml:space="preserve">s earlier cases </w:t>
      </w:r>
      <w:r w:rsidRPr="007F21BD" w:rsidR="00867E82">
        <w:rPr>
          <w:rFonts w:ascii="Times New Roman" w:hAnsi="Times New Roman" w:cs="Times New Roman"/>
          <w:i/>
          <w:szCs w:val="24"/>
          <w:lang w:val="en-GB"/>
        </w:rPr>
        <w:t>R.T.</w:t>
      </w:r>
      <w:r w:rsidRPr="007F21BD" w:rsidR="00867E82">
        <w:rPr>
          <w:rFonts w:ascii="Times New Roman" w:hAnsi="Times New Roman" w:cs="Times New Roman"/>
          <w:szCs w:val="24"/>
          <w:lang w:val="en-GB"/>
        </w:rPr>
        <w:t xml:space="preserve"> and </w:t>
      </w:r>
      <w:r w:rsidRPr="007F21BD" w:rsidR="00867E82">
        <w:rPr>
          <w:rFonts w:ascii="Times New Roman" w:hAnsi="Times New Roman" w:cs="Times New Roman"/>
          <w:i/>
          <w:szCs w:val="24"/>
          <w:lang w:val="en-GB"/>
        </w:rPr>
        <w:t xml:space="preserve">Nilsson </w:t>
      </w:r>
      <w:r w:rsidRPr="007F21BD" w:rsidR="00867E82">
        <w:rPr>
          <w:rFonts w:ascii="Times New Roman" w:hAnsi="Times New Roman" w:cs="Times New Roman"/>
          <w:szCs w:val="24"/>
          <w:lang w:val="en-GB"/>
        </w:rPr>
        <w:t xml:space="preserve">relating to driving licences, where the decision on withdrawal of the licence was directly based on an expected or final conviction for a traffic offence and thus did not contain a separate examination of the offence or conduct at issue. </w:t>
      </w:r>
      <w:r w:rsidRPr="007F21BD" w:rsidR="00867E82">
        <w:rPr>
          <w:lang w:val="en-GB"/>
        </w:rPr>
        <w:t xml:space="preserve">Therefore, it cannot be said that, </w:t>
      </w:r>
      <w:r w:rsidRPr="007F21BD" w:rsidR="00867E82">
        <w:rPr>
          <w:rFonts w:ascii="Times New Roman" w:hAnsi="Times New Roman" w:cs="Times New Roman"/>
          <w:szCs w:val="24"/>
          <w:lang w:val="en-GB"/>
        </w:rPr>
        <w:t>under the Finnish system</w:t>
      </w:r>
      <w:r w:rsidRPr="007F21BD" w:rsidR="00867E82">
        <w:rPr>
          <w:lang w:val="en-GB"/>
        </w:rPr>
        <w:t>, there is a close connection, in substance and in time, between the criminal and the taxation proceedings.</w:t>
      </w:r>
    </w:p>
    <w:p w:rsidRPr="005D0C5B" w:rsidR="00867E82" w:rsidP="00867E82" w:rsidRDefault="00867E82">
      <w:pPr>
        <w:pStyle w:val="ECHRPara"/>
        <w:rPr>
          <w:lang w:val="en-GB"/>
        </w:rPr>
      </w:pPr>
      <w:r w:rsidRPr="007F21BD">
        <w:rPr>
          <w:lang w:val="en-GB"/>
        </w:rPr>
        <w:fldChar w:fldCharType="begin"/>
      </w:r>
      <w:r w:rsidRPr="007F21BD">
        <w:rPr>
          <w:lang w:val="en-GB"/>
        </w:rPr>
        <w:instrText xml:space="preserve"> SEQ level0 \*arabic </w:instrText>
      </w:r>
      <w:r w:rsidRPr="007F21BD">
        <w:rPr>
          <w:lang w:val="en-GB"/>
        </w:rPr>
        <w:fldChar w:fldCharType="separate"/>
      </w:r>
      <w:r w:rsidR="00D15CBD">
        <w:rPr>
          <w:noProof/>
          <w:lang w:val="en-GB"/>
        </w:rPr>
        <w:t>55</w:t>
      </w:r>
      <w:r w:rsidRPr="007F21BD">
        <w:rPr>
          <w:lang w:val="en-GB"/>
        </w:rPr>
        <w:fldChar w:fldCharType="end"/>
      </w:r>
      <w:r w:rsidRPr="007F21BD">
        <w:rPr>
          <w:lang w:val="en-GB"/>
        </w:rPr>
        <w:t xml:space="preserve">.  Consequently, the present case concerns two parallel and separate sets of proceedings of which the first set of proceedings concerning the tax surcharges started in </w:t>
      </w:r>
      <w:r w:rsidR="00802CC6">
        <w:rPr>
          <w:lang w:val="en-GB"/>
        </w:rPr>
        <w:t xml:space="preserve">2005 and </w:t>
      </w:r>
      <w:r w:rsidRPr="007F21BD">
        <w:rPr>
          <w:lang w:val="en-GB"/>
        </w:rPr>
        <w:t>200</w:t>
      </w:r>
      <w:r w:rsidRPr="007F21BD" w:rsidR="007F21BD">
        <w:rPr>
          <w:lang w:val="en-GB"/>
        </w:rPr>
        <w:t>6</w:t>
      </w:r>
      <w:r w:rsidRPr="007F21BD">
        <w:rPr>
          <w:lang w:val="en-GB"/>
        </w:rPr>
        <w:t xml:space="preserve"> when the tax surcharges were imposed on the </w:t>
      </w:r>
      <w:r w:rsidRPr="005D0C5B">
        <w:rPr>
          <w:lang w:val="en-GB"/>
        </w:rPr>
        <w:t>applicant. He appealed against these decisions</w:t>
      </w:r>
      <w:r w:rsidRPr="005D0C5B" w:rsidR="005D0C5B">
        <w:rPr>
          <w:lang w:val="en-GB"/>
        </w:rPr>
        <w:t>. T</w:t>
      </w:r>
      <w:r w:rsidRPr="005D0C5B">
        <w:rPr>
          <w:lang w:val="en-GB"/>
        </w:rPr>
        <w:t xml:space="preserve">hese proceedings became final on </w:t>
      </w:r>
      <w:r w:rsidRPr="005D0C5B" w:rsidR="005D0C5B">
        <w:t xml:space="preserve">13 September 2012 when the Supreme Administrative Court refused the applicant leave to appeal. </w:t>
      </w:r>
      <w:r w:rsidRPr="005D0C5B">
        <w:rPr>
          <w:lang w:val="en-GB"/>
        </w:rPr>
        <w:t xml:space="preserve">The second set of proceedings concerning the </w:t>
      </w:r>
      <w:r w:rsidRPr="005D0C5B" w:rsidR="005D0C5B">
        <w:rPr>
          <w:lang w:val="en-GB"/>
        </w:rPr>
        <w:t xml:space="preserve">aggravated </w:t>
      </w:r>
      <w:r w:rsidRPr="005D0C5B">
        <w:rPr>
          <w:lang w:val="en-GB"/>
        </w:rPr>
        <w:t xml:space="preserve">tax fraud charges was initiated on </w:t>
      </w:r>
      <w:r w:rsidRPr="005D0C5B" w:rsidR="005D0C5B">
        <w:t xml:space="preserve">15 April 2005 </w:t>
      </w:r>
      <w:r w:rsidRPr="005D0C5B">
        <w:rPr>
          <w:lang w:val="en-GB"/>
        </w:rPr>
        <w:t>and w</w:t>
      </w:r>
      <w:r w:rsidR="0002695A">
        <w:rPr>
          <w:lang w:val="en-GB"/>
        </w:rPr>
        <w:t>as</w:t>
      </w:r>
      <w:r w:rsidRPr="005D0C5B">
        <w:rPr>
          <w:lang w:val="en-GB"/>
        </w:rPr>
        <w:t xml:space="preserve"> concluded on </w:t>
      </w:r>
      <w:r w:rsidRPr="005D0C5B" w:rsidR="005D0C5B">
        <w:t xml:space="preserve">31 May 2012 </w:t>
      </w:r>
      <w:r w:rsidRPr="005D0C5B">
        <w:rPr>
          <w:lang w:val="en-GB"/>
        </w:rPr>
        <w:t xml:space="preserve">when the Supreme Court rendered its final judgment. The two sets of proceedings were thus pending concurrently until </w:t>
      </w:r>
      <w:r w:rsidRPr="005D0C5B" w:rsidR="005D0C5B">
        <w:t xml:space="preserve">31 May 2012 </w:t>
      </w:r>
      <w:r w:rsidRPr="005D0C5B">
        <w:rPr>
          <w:lang w:val="en-GB"/>
        </w:rPr>
        <w:t>when the second set became final.</w:t>
      </w:r>
    </w:p>
    <w:p w:rsidRPr="005D0C5B" w:rsidR="00867E82" w:rsidP="00867E82" w:rsidRDefault="00867E82">
      <w:pPr>
        <w:pStyle w:val="ECHRPara"/>
        <w:rPr>
          <w:lang w:val="en-GB"/>
        </w:rPr>
      </w:pPr>
      <w:r w:rsidRPr="005D0C5B">
        <w:rPr>
          <w:lang w:val="en-GB"/>
        </w:rPr>
        <w:fldChar w:fldCharType="begin"/>
      </w:r>
      <w:r w:rsidRPr="005D0C5B">
        <w:rPr>
          <w:lang w:val="en-GB"/>
        </w:rPr>
        <w:instrText xml:space="preserve"> SEQ level0 \*arabic </w:instrText>
      </w:r>
      <w:r w:rsidRPr="005D0C5B">
        <w:rPr>
          <w:lang w:val="en-GB"/>
        </w:rPr>
        <w:fldChar w:fldCharType="separate"/>
      </w:r>
      <w:r w:rsidR="00D15CBD">
        <w:rPr>
          <w:noProof/>
          <w:lang w:val="en-GB"/>
        </w:rPr>
        <w:t>56</w:t>
      </w:r>
      <w:r w:rsidRPr="005D0C5B">
        <w:rPr>
          <w:lang w:val="en-GB"/>
        </w:rPr>
        <w:fldChar w:fldCharType="end"/>
      </w:r>
      <w:r w:rsidRPr="005D0C5B">
        <w:rPr>
          <w:lang w:val="en-GB"/>
        </w:rPr>
        <w:t xml:space="preserve">.  The Court notes that when the </w:t>
      </w:r>
      <w:r w:rsidR="005D0C5B">
        <w:rPr>
          <w:lang w:val="en-GB"/>
        </w:rPr>
        <w:t xml:space="preserve">tax fraud </w:t>
      </w:r>
      <w:r w:rsidRPr="005D0C5B">
        <w:rPr>
          <w:lang w:val="en-GB"/>
        </w:rPr>
        <w:t xml:space="preserve">proceedings became final on </w:t>
      </w:r>
      <w:r w:rsidRPr="005D0C5B" w:rsidR="005D0C5B">
        <w:t>31 May 2012</w:t>
      </w:r>
      <w:r w:rsidRPr="005D0C5B">
        <w:rPr>
          <w:lang w:val="en-GB"/>
        </w:rPr>
        <w:t xml:space="preserve">, the </w:t>
      </w:r>
      <w:r w:rsidRPr="005D0C5B" w:rsidR="005D0C5B">
        <w:rPr>
          <w:lang w:val="en-GB"/>
        </w:rPr>
        <w:t>applicant</w:t>
      </w:r>
      <w:r w:rsidR="00763D01">
        <w:rPr>
          <w:lang w:val="en-GB"/>
        </w:rPr>
        <w:t>’</w:t>
      </w:r>
      <w:r w:rsidRPr="005D0C5B" w:rsidR="005D0C5B">
        <w:rPr>
          <w:lang w:val="en-GB"/>
        </w:rPr>
        <w:t xml:space="preserve">s appeal </w:t>
      </w:r>
      <w:r w:rsidRPr="005D0C5B">
        <w:rPr>
          <w:lang w:val="en-GB"/>
        </w:rPr>
        <w:t xml:space="preserve">against the tax surcharge decisions was still </w:t>
      </w:r>
      <w:r w:rsidRPr="005D0C5B" w:rsidR="005D0C5B">
        <w:rPr>
          <w:lang w:val="en-GB"/>
        </w:rPr>
        <w:t xml:space="preserve">pending before the Supreme Administrative Court. </w:t>
      </w:r>
      <w:r w:rsidRPr="005D0C5B">
        <w:rPr>
          <w:lang w:val="en-GB"/>
        </w:rPr>
        <w:t>As the proceedings</w:t>
      </w:r>
      <w:r w:rsidRPr="005D0C5B" w:rsidR="005D0C5B">
        <w:rPr>
          <w:lang w:val="en-GB"/>
        </w:rPr>
        <w:t xml:space="preserve"> before the Supreme Administrative Court</w:t>
      </w:r>
      <w:r w:rsidRPr="005D0C5B">
        <w:rPr>
          <w:lang w:val="en-GB"/>
        </w:rPr>
        <w:t xml:space="preserve"> w</w:t>
      </w:r>
      <w:r w:rsidRPr="005D0C5B" w:rsidR="005D0C5B">
        <w:rPr>
          <w:lang w:val="en-GB"/>
        </w:rPr>
        <w:t>ere</w:t>
      </w:r>
      <w:r w:rsidRPr="005D0C5B">
        <w:rPr>
          <w:lang w:val="en-GB"/>
        </w:rPr>
        <w:t xml:space="preserve"> not discontinued after the </w:t>
      </w:r>
      <w:r w:rsidRPr="005D0C5B" w:rsidR="005D0C5B">
        <w:rPr>
          <w:lang w:val="en-GB"/>
        </w:rPr>
        <w:t xml:space="preserve">tax fraud </w:t>
      </w:r>
      <w:r w:rsidRPr="005D0C5B">
        <w:rPr>
          <w:lang w:val="en-GB"/>
        </w:rPr>
        <w:t>proceedings became final but w</w:t>
      </w:r>
      <w:r w:rsidRPr="005D0C5B" w:rsidR="005D0C5B">
        <w:rPr>
          <w:lang w:val="en-GB"/>
        </w:rPr>
        <w:t>ere</w:t>
      </w:r>
      <w:r w:rsidRPr="005D0C5B">
        <w:rPr>
          <w:lang w:val="en-GB"/>
        </w:rPr>
        <w:t xml:space="preserve"> continued until a final decision on </w:t>
      </w:r>
      <w:r w:rsidRPr="005D0C5B" w:rsidR="005D0C5B">
        <w:t>13 September 2012</w:t>
      </w:r>
      <w:r w:rsidRPr="005D0C5B">
        <w:rPr>
          <w:lang w:val="en-GB"/>
        </w:rPr>
        <w:t xml:space="preserve">, the applicant was convicted twice for the same matter </w:t>
      </w:r>
      <w:r w:rsidR="00802CC6">
        <w:rPr>
          <w:lang w:val="en-GB"/>
        </w:rPr>
        <w:t xml:space="preserve">concerning the tax years 2002 to 2004 </w:t>
      </w:r>
      <w:r w:rsidRPr="005D0C5B">
        <w:rPr>
          <w:lang w:val="en-GB"/>
        </w:rPr>
        <w:t>in two sets of proceedings which became final</w:t>
      </w:r>
      <w:r w:rsidRPr="005D0C5B" w:rsidR="005D0C5B">
        <w:rPr>
          <w:lang w:val="en-GB"/>
        </w:rPr>
        <w:t xml:space="preserve"> on </w:t>
      </w:r>
      <w:r w:rsidRPr="005D0C5B" w:rsidR="005D0C5B">
        <w:t xml:space="preserve">31 May 2012 and </w:t>
      </w:r>
      <w:r w:rsidRPr="005D0C5B">
        <w:rPr>
          <w:lang w:val="en-GB"/>
        </w:rPr>
        <w:t xml:space="preserve">on </w:t>
      </w:r>
      <w:r w:rsidRPr="005D0C5B" w:rsidR="005D0C5B">
        <w:t>13 September 2012 respectively</w:t>
      </w:r>
      <w:r w:rsidRPr="005D0C5B">
        <w:rPr>
          <w:lang w:val="en-GB"/>
        </w:rPr>
        <w:t>.</w:t>
      </w:r>
    </w:p>
    <w:p w:rsidRPr="00867E82" w:rsidR="00867E82" w:rsidP="00445CF4" w:rsidRDefault="00D15CBD">
      <w:pPr>
        <w:pStyle w:val="ECHRPara"/>
        <w:rPr>
          <w:lang w:val="en-GB"/>
        </w:rPr>
      </w:pPr>
      <w:r>
        <w:rPr>
          <w:lang w:val="en-GB"/>
        </w:rPr>
        <w:fldChar w:fldCharType="begin"/>
      </w:r>
      <w:r>
        <w:rPr>
          <w:lang w:val="en-GB"/>
        </w:rPr>
        <w:instrText xml:space="preserve"> SEQ level0 \*arabic </w:instrText>
      </w:r>
      <w:r>
        <w:rPr>
          <w:lang w:val="en-GB"/>
        </w:rPr>
        <w:fldChar w:fldCharType="separate"/>
      </w:r>
      <w:r>
        <w:rPr>
          <w:noProof/>
          <w:lang w:val="en-GB"/>
        </w:rPr>
        <w:t>57</w:t>
      </w:r>
      <w:r>
        <w:rPr>
          <w:lang w:val="en-GB"/>
        </w:rPr>
        <w:fldChar w:fldCharType="end"/>
      </w:r>
      <w:r>
        <w:rPr>
          <w:lang w:val="en-GB"/>
        </w:rPr>
        <w:t>.  </w:t>
      </w:r>
      <w:r w:rsidRPr="00445CF4" w:rsidR="00867E82">
        <w:rPr>
          <w:lang w:val="en-GB"/>
        </w:rPr>
        <w:t>In conclusion, the Court finds that there has been a violation of Article 4 of Protocol No. 7 to the Convention since the applicant was convicted twice for the same matter in two separate sets of proceedings.</w:t>
      </w:r>
    </w:p>
    <w:p w:rsidRPr="00062973" w:rsidR="00014566" w:rsidP="00014566" w:rsidRDefault="00867E82">
      <w:pPr>
        <w:pStyle w:val="ECHRHeading1"/>
        <w:rPr>
          <w:lang w:val="en-GB"/>
        </w:rPr>
      </w:pPr>
      <w:r>
        <w:rPr>
          <w:lang w:val="en-GB"/>
        </w:rPr>
        <w:t>II</w:t>
      </w:r>
      <w:r w:rsidRPr="00062973" w:rsidR="00014566">
        <w:rPr>
          <w:lang w:val="en-GB"/>
        </w:rPr>
        <w:t>.</w:t>
      </w:r>
      <w:proofErr w:type="gramStart"/>
      <w:r w:rsidRPr="00062973" w:rsidR="00014566">
        <w:rPr>
          <w:lang w:val="en-GB"/>
        </w:rPr>
        <w:t>  APPLICATION</w:t>
      </w:r>
      <w:proofErr w:type="gramEnd"/>
      <w:r w:rsidRPr="00062973" w:rsidR="00014566">
        <w:rPr>
          <w:lang w:val="en-GB"/>
        </w:rPr>
        <w:t xml:space="preserve"> OF ARTICLE 41 OF THE CONVENTION</w:t>
      </w:r>
    </w:p>
    <w:p w:rsidRPr="00062973" w:rsidR="00014566" w:rsidP="00C621C2" w:rsidRDefault="00DD0E01">
      <w:pPr>
        <w:pStyle w:val="ECHRPara"/>
        <w:rPr>
          <w:lang w:val="en-GB"/>
        </w:rPr>
      </w:pPr>
      <w:r>
        <w:rPr>
          <w:lang w:val="en-GB"/>
        </w:rPr>
        <w:fldChar w:fldCharType="begin"/>
      </w:r>
      <w:r>
        <w:rPr>
          <w:lang w:val="en-GB"/>
        </w:rPr>
        <w:instrText xml:space="preserve"> SEQ level0 \*arabic </w:instrText>
      </w:r>
      <w:r>
        <w:rPr>
          <w:lang w:val="en-GB"/>
        </w:rPr>
        <w:fldChar w:fldCharType="separate"/>
      </w:r>
      <w:r w:rsidR="00D15CBD">
        <w:rPr>
          <w:noProof/>
          <w:lang w:val="en-GB"/>
        </w:rPr>
        <w:t>58</w:t>
      </w:r>
      <w:r>
        <w:rPr>
          <w:lang w:val="en-GB"/>
        </w:rPr>
        <w:fldChar w:fldCharType="end"/>
      </w:r>
      <w:r w:rsidRPr="00062973" w:rsidR="00014566">
        <w:rPr>
          <w:lang w:val="en-GB"/>
        </w:rPr>
        <w:t>.  Article 41 of the Convention provides:</w:t>
      </w:r>
    </w:p>
    <w:p w:rsidRPr="00062973" w:rsidR="00014566" w:rsidP="00014566" w:rsidRDefault="00014566">
      <w:pPr>
        <w:pStyle w:val="ECHRParaQuote"/>
        <w:keepNext/>
        <w:keepLines/>
        <w:rPr>
          <w:lang w:val="en-GB"/>
        </w:rPr>
      </w:pPr>
      <w:r w:rsidRPr="00062973">
        <w:rPr>
          <w:lang w:val="en-GB"/>
        </w:rPr>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Pr="00062973" w:rsidR="00014566" w:rsidP="00014566" w:rsidRDefault="00014566">
      <w:pPr>
        <w:pStyle w:val="ECHRHeading2"/>
        <w:keepLines w:val="0"/>
        <w:outlineLvl w:val="0"/>
        <w:rPr>
          <w:lang w:val="en-GB"/>
        </w:rPr>
      </w:pPr>
      <w:r w:rsidRPr="00062973">
        <w:rPr>
          <w:lang w:val="en-GB"/>
        </w:rPr>
        <w:t>A.  Damage</w:t>
      </w:r>
    </w:p>
    <w:p w:rsidRPr="00BD3C61" w:rsidR="00014566" w:rsidP="00C621C2" w:rsidRDefault="00DD0E01">
      <w:pPr>
        <w:pStyle w:val="ECHRPara"/>
        <w:rPr>
          <w:lang w:val="en-GB"/>
        </w:rPr>
      </w:pPr>
      <w:r w:rsidRPr="00BD3C61">
        <w:rPr>
          <w:lang w:val="en-GB"/>
        </w:rPr>
        <w:fldChar w:fldCharType="begin"/>
      </w:r>
      <w:r w:rsidRPr="00BD3C61">
        <w:rPr>
          <w:lang w:val="en-GB"/>
        </w:rPr>
        <w:instrText xml:space="preserve"> SEQ level0 \*arabic </w:instrText>
      </w:r>
      <w:r w:rsidRPr="00BD3C61">
        <w:rPr>
          <w:lang w:val="en-GB"/>
        </w:rPr>
        <w:fldChar w:fldCharType="separate"/>
      </w:r>
      <w:r w:rsidR="00D15CBD">
        <w:rPr>
          <w:noProof/>
          <w:lang w:val="en-GB"/>
        </w:rPr>
        <w:t>59</w:t>
      </w:r>
      <w:r w:rsidRPr="00BD3C61">
        <w:rPr>
          <w:lang w:val="en-GB"/>
        </w:rPr>
        <w:fldChar w:fldCharType="end"/>
      </w:r>
      <w:r w:rsidRPr="00BD3C61" w:rsidR="00014566">
        <w:rPr>
          <w:lang w:val="en-GB"/>
        </w:rPr>
        <w:t xml:space="preserve">.  The applicant claimed </w:t>
      </w:r>
      <w:r w:rsidR="0002695A">
        <w:rPr>
          <w:lang w:val="en-GB"/>
        </w:rPr>
        <w:t xml:space="preserve">EUR </w:t>
      </w:r>
      <w:r w:rsidRPr="00BD3C61" w:rsidR="00BD3C61">
        <w:rPr>
          <w:lang w:val="en-GB"/>
        </w:rPr>
        <w:t>57,334.32</w:t>
      </w:r>
      <w:r w:rsidRPr="00BD3C61" w:rsidR="00014566">
        <w:rPr>
          <w:lang w:val="en-GB"/>
        </w:rPr>
        <w:t xml:space="preserve"> </w:t>
      </w:r>
      <w:r w:rsidRPr="00BD3C61" w:rsidR="00BD3C61">
        <w:rPr>
          <w:lang w:val="en-GB"/>
        </w:rPr>
        <w:t>plus interest</w:t>
      </w:r>
      <w:r w:rsidR="00BD3C61">
        <w:rPr>
          <w:lang w:val="en-GB"/>
        </w:rPr>
        <w:t>, or alternatively EUR 388,016.80 plus interest,</w:t>
      </w:r>
      <w:r w:rsidRPr="00BD3C61" w:rsidR="00BD3C61">
        <w:rPr>
          <w:lang w:val="en-GB"/>
        </w:rPr>
        <w:t xml:space="preserve"> </w:t>
      </w:r>
      <w:r w:rsidRPr="00BD3C61" w:rsidR="00014566">
        <w:rPr>
          <w:lang w:val="en-GB"/>
        </w:rPr>
        <w:t xml:space="preserve">in respect of pecuniary </w:t>
      </w:r>
      <w:r w:rsidRPr="00BD3C61" w:rsidR="00BD3C61">
        <w:rPr>
          <w:lang w:val="en-GB"/>
        </w:rPr>
        <w:t xml:space="preserve">damage </w:t>
      </w:r>
      <w:r w:rsidRPr="00BD3C61" w:rsidR="00014566">
        <w:rPr>
          <w:lang w:val="en-GB"/>
        </w:rPr>
        <w:t>and</w:t>
      </w:r>
      <w:r w:rsidRPr="00BD3C61" w:rsidR="00BD3C61">
        <w:rPr>
          <w:lang w:val="en-GB"/>
        </w:rPr>
        <w:t xml:space="preserve"> </w:t>
      </w:r>
      <w:r w:rsidR="00BD3C61">
        <w:rPr>
          <w:lang w:val="en-GB"/>
        </w:rPr>
        <w:t>EUR</w:t>
      </w:r>
      <w:r w:rsidR="0002695A">
        <w:rPr>
          <w:lang w:val="en-GB"/>
        </w:rPr>
        <w:t> </w:t>
      </w:r>
      <w:r w:rsidR="00BD3C61">
        <w:rPr>
          <w:lang w:val="en-GB"/>
        </w:rPr>
        <w:t xml:space="preserve">50,000 plus interest in respect of </w:t>
      </w:r>
      <w:r w:rsidRPr="00BD3C61" w:rsidR="00014566">
        <w:rPr>
          <w:lang w:val="en-GB"/>
        </w:rPr>
        <w:t>non-pecuniary damage.</w:t>
      </w:r>
    </w:p>
    <w:p w:rsidRPr="00853B08" w:rsidR="00D3767A" w:rsidP="00D3767A" w:rsidRDefault="00DD0E01">
      <w:pPr>
        <w:pStyle w:val="ECHRPara"/>
        <w:rPr>
          <w:lang w:val="en-GB"/>
        </w:rPr>
      </w:pPr>
      <w:r w:rsidRPr="00D3767A">
        <w:rPr>
          <w:lang w:val="en-GB"/>
        </w:rPr>
        <w:fldChar w:fldCharType="begin"/>
      </w:r>
      <w:r w:rsidRPr="00D3767A">
        <w:rPr>
          <w:lang w:val="en-GB"/>
        </w:rPr>
        <w:instrText xml:space="preserve"> SEQ level0 \*arabic </w:instrText>
      </w:r>
      <w:r w:rsidRPr="00D3767A">
        <w:rPr>
          <w:lang w:val="en-GB"/>
        </w:rPr>
        <w:fldChar w:fldCharType="separate"/>
      </w:r>
      <w:r w:rsidR="00D15CBD">
        <w:rPr>
          <w:noProof/>
          <w:lang w:val="en-GB"/>
        </w:rPr>
        <w:t>60</w:t>
      </w:r>
      <w:r w:rsidRPr="00D3767A">
        <w:rPr>
          <w:lang w:val="en-GB"/>
        </w:rPr>
        <w:fldChar w:fldCharType="end"/>
      </w:r>
      <w:r w:rsidRPr="00D3767A" w:rsidR="00014566">
        <w:rPr>
          <w:lang w:val="en-GB"/>
        </w:rPr>
        <w:t xml:space="preserve">.  The Government </w:t>
      </w:r>
      <w:r w:rsidRPr="00D3767A" w:rsidR="00BD3C61">
        <w:rPr>
          <w:lang w:val="en-GB"/>
        </w:rPr>
        <w:t>considered that the applicant</w:t>
      </w:r>
      <w:r w:rsidR="00763D01">
        <w:rPr>
          <w:lang w:val="en-GB"/>
        </w:rPr>
        <w:t>’</w:t>
      </w:r>
      <w:r w:rsidRPr="00D3767A" w:rsidR="00BD3C61">
        <w:rPr>
          <w:lang w:val="en-GB"/>
        </w:rPr>
        <w:t>s alternative claim for pecuniary damage should be rejected due to lack of a causal link. As concerned his primary claim for pecuniary damage, the Government pointed out that the applicant had the right to apply for annulment of the tax surcharge decisions before the Supreme Administrative Court</w:t>
      </w:r>
      <w:r w:rsidRPr="00D3767A" w:rsidR="00D3767A">
        <w:rPr>
          <w:lang w:val="en-GB"/>
        </w:rPr>
        <w:t>. Therefore these claims for pecuniary damage should</w:t>
      </w:r>
      <w:r w:rsidR="00625DE7">
        <w:rPr>
          <w:lang w:val="en-GB"/>
        </w:rPr>
        <w:t xml:space="preserve"> also</w:t>
      </w:r>
      <w:r w:rsidRPr="00D3767A" w:rsidR="00D3767A">
        <w:rPr>
          <w:lang w:val="en-GB"/>
        </w:rPr>
        <w:t xml:space="preserve"> be rejected. As to the non</w:t>
      </w:r>
      <w:r w:rsidR="0002695A">
        <w:rPr>
          <w:lang w:val="en-GB"/>
        </w:rPr>
        <w:noBreakHyphen/>
      </w:r>
      <w:r w:rsidRPr="00D3767A" w:rsidR="00D3767A">
        <w:rPr>
          <w:lang w:val="en-GB"/>
        </w:rPr>
        <w:t>pecuniary damage, the Government considered the amount claimed</w:t>
      </w:r>
      <w:r w:rsidRPr="00853B08" w:rsidR="00D3767A">
        <w:rPr>
          <w:lang w:val="en-GB"/>
        </w:rPr>
        <w:t xml:space="preserve"> excessive. In their opinion the compensation for non-pecuniary damage should not exceed EUR </w:t>
      </w:r>
      <w:r w:rsidR="00D3767A">
        <w:rPr>
          <w:lang w:val="en-GB"/>
        </w:rPr>
        <w:t>1</w:t>
      </w:r>
      <w:r w:rsidRPr="00853B08" w:rsidR="00D3767A">
        <w:rPr>
          <w:lang w:val="en-GB"/>
        </w:rPr>
        <w:t>,</w:t>
      </w:r>
      <w:r w:rsidR="00D3767A">
        <w:rPr>
          <w:lang w:val="en-GB"/>
        </w:rPr>
        <w:t>5</w:t>
      </w:r>
      <w:r w:rsidRPr="00853B08" w:rsidR="00D3767A">
        <w:rPr>
          <w:lang w:val="en-GB"/>
        </w:rPr>
        <w:t>00.</w:t>
      </w:r>
    </w:p>
    <w:p w:rsidRPr="008354B2" w:rsidR="005B07CC" w:rsidP="005B07CC" w:rsidRDefault="00DD0E01">
      <w:pPr>
        <w:pStyle w:val="ECHRPara"/>
        <w:rPr>
          <w:lang w:val="en-GB"/>
        </w:rPr>
      </w:pPr>
      <w:r w:rsidRPr="005B07CC">
        <w:rPr>
          <w:lang w:val="en-GB"/>
        </w:rPr>
        <w:fldChar w:fldCharType="begin"/>
      </w:r>
      <w:r w:rsidRPr="005B07CC">
        <w:rPr>
          <w:lang w:val="en-GB"/>
        </w:rPr>
        <w:instrText xml:space="preserve"> SEQ level0 \*arabic </w:instrText>
      </w:r>
      <w:r w:rsidRPr="005B07CC">
        <w:rPr>
          <w:lang w:val="en-GB"/>
        </w:rPr>
        <w:fldChar w:fldCharType="separate"/>
      </w:r>
      <w:r w:rsidR="00D15CBD">
        <w:rPr>
          <w:noProof/>
          <w:lang w:val="en-GB"/>
        </w:rPr>
        <w:t>61</w:t>
      </w:r>
      <w:r w:rsidRPr="005B07CC">
        <w:rPr>
          <w:lang w:val="en-GB"/>
        </w:rPr>
        <w:fldChar w:fldCharType="end"/>
      </w:r>
      <w:r w:rsidRPr="005B07CC" w:rsidR="00014566">
        <w:rPr>
          <w:lang w:val="en-GB"/>
        </w:rPr>
        <w:t>.  </w:t>
      </w:r>
      <w:r w:rsidRPr="005B07CC" w:rsidR="005B07CC">
        <w:rPr>
          <w:lang w:val="en-GB"/>
        </w:rPr>
        <w:t xml:space="preserve">The Court </w:t>
      </w:r>
      <w:r w:rsidR="002807A1">
        <w:rPr>
          <w:lang w:val="en-GB"/>
        </w:rPr>
        <w:t xml:space="preserve">acknowledges that the applicant can seek </w:t>
      </w:r>
      <w:r w:rsidRPr="005B07CC" w:rsidR="005B07CC">
        <w:rPr>
          <w:lang w:val="en-GB"/>
        </w:rPr>
        <w:t xml:space="preserve">annulment of the </w:t>
      </w:r>
      <w:r w:rsidR="002807A1">
        <w:rPr>
          <w:lang w:val="en-GB"/>
        </w:rPr>
        <w:t>tax surcharge decisions before t</w:t>
      </w:r>
      <w:r w:rsidRPr="005B07CC" w:rsidR="005B07CC">
        <w:rPr>
          <w:lang w:val="en-GB"/>
        </w:rPr>
        <w:t xml:space="preserve">he Supreme Administrative Court. As the domestic system provides a possibility to obtain </w:t>
      </w:r>
      <w:r w:rsidR="002807A1">
        <w:rPr>
          <w:lang w:val="en-GB"/>
        </w:rPr>
        <w:t xml:space="preserve">redress </w:t>
      </w:r>
      <w:r w:rsidRPr="005B07CC" w:rsidR="005B07CC">
        <w:rPr>
          <w:lang w:val="en-GB"/>
        </w:rPr>
        <w:t>in such situations, the Court rejects the applicant</w:t>
      </w:r>
      <w:r w:rsidR="00763D01">
        <w:rPr>
          <w:lang w:val="en-GB"/>
        </w:rPr>
        <w:t>’</w:t>
      </w:r>
      <w:r w:rsidRPr="005B07CC" w:rsidR="005B07CC">
        <w:rPr>
          <w:lang w:val="en-GB"/>
        </w:rPr>
        <w:t>s claims for pecuniary damage. On the other hand, the Court award</w:t>
      </w:r>
      <w:r w:rsidRPr="008354B2" w:rsidR="005B07CC">
        <w:rPr>
          <w:lang w:val="en-GB"/>
        </w:rPr>
        <w:t>s the applicant EUR 3,000 in respect of non</w:t>
      </w:r>
      <w:r w:rsidR="0002695A">
        <w:rPr>
          <w:lang w:val="en-GB"/>
        </w:rPr>
        <w:noBreakHyphen/>
      </w:r>
      <w:r w:rsidRPr="008354B2" w:rsidR="005B07CC">
        <w:rPr>
          <w:lang w:val="en-GB"/>
        </w:rPr>
        <w:t>pecuniary damage.</w:t>
      </w:r>
    </w:p>
    <w:p w:rsidRPr="00BD3C61" w:rsidR="00014566" w:rsidP="00014566" w:rsidRDefault="00014566">
      <w:pPr>
        <w:pStyle w:val="ECHRHeading2"/>
        <w:outlineLvl w:val="0"/>
        <w:rPr>
          <w:lang w:val="en-GB"/>
        </w:rPr>
      </w:pPr>
      <w:r w:rsidRPr="00BD3C61">
        <w:rPr>
          <w:lang w:val="en-GB"/>
        </w:rPr>
        <w:t>B.  Costs and expenses</w:t>
      </w:r>
    </w:p>
    <w:p w:rsidRPr="00BD3C61" w:rsidR="00014566" w:rsidP="00C621C2" w:rsidRDefault="00DD0E01">
      <w:pPr>
        <w:pStyle w:val="ECHRPara"/>
        <w:rPr>
          <w:lang w:val="en-GB"/>
        </w:rPr>
      </w:pPr>
      <w:r w:rsidRPr="00BD3C61">
        <w:rPr>
          <w:lang w:val="en-GB"/>
        </w:rPr>
        <w:fldChar w:fldCharType="begin"/>
      </w:r>
      <w:r w:rsidRPr="00BD3C61">
        <w:rPr>
          <w:lang w:val="en-GB"/>
        </w:rPr>
        <w:instrText xml:space="preserve"> SEQ level0 \*arabic </w:instrText>
      </w:r>
      <w:r w:rsidRPr="00BD3C61">
        <w:rPr>
          <w:lang w:val="en-GB"/>
        </w:rPr>
        <w:fldChar w:fldCharType="separate"/>
      </w:r>
      <w:r w:rsidR="00D15CBD">
        <w:rPr>
          <w:noProof/>
          <w:lang w:val="en-GB"/>
        </w:rPr>
        <w:t>62</w:t>
      </w:r>
      <w:r w:rsidRPr="00BD3C61">
        <w:rPr>
          <w:lang w:val="en-GB"/>
        </w:rPr>
        <w:fldChar w:fldCharType="end"/>
      </w:r>
      <w:r w:rsidRPr="00BD3C61" w:rsidR="00014566">
        <w:rPr>
          <w:lang w:val="en-GB"/>
        </w:rPr>
        <w:t xml:space="preserve">.  The applicant also claimed EUR </w:t>
      </w:r>
      <w:r w:rsidRPr="00BD3C61" w:rsidR="00BD3C61">
        <w:rPr>
          <w:lang w:val="en-GB"/>
        </w:rPr>
        <w:t>15,135.40</w:t>
      </w:r>
      <w:r w:rsidRPr="00BD3C61" w:rsidR="00014566">
        <w:rPr>
          <w:lang w:val="en-GB"/>
        </w:rPr>
        <w:t xml:space="preserve"> </w:t>
      </w:r>
      <w:r w:rsidRPr="00BD3C61" w:rsidR="00BD3C61">
        <w:rPr>
          <w:lang w:val="en-GB"/>
        </w:rPr>
        <w:t xml:space="preserve">plus interest </w:t>
      </w:r>
      <w:r w:rsidRPr="00BD3C61" w:rsidR="00014566">
        <w:rPr>
          <w:lang w:val="en-GB"/>
        </w:rPr>
        <w:t>for the costs and expenses incurred before the Court.</w:t>
      </w:r>
    </w:p>
    <w:p w:rsidRPr="00D3767A" w:rsidR="00D3767A" w:rsidP="00C621C2" w:rsidRDefault="00DD0E01">
      <w:pPr>
        <w:pStyle w:val="ECHRPara"/>
        <w:rPr>
          <w:lang w:val="en-GB"/>
        </w:rPr>
      </w:pPr>
      <w:r w:rsidRPr="00D3767A">
        <w:rPr>
          <w:lang w:val="en-GB"/>
        </w:rPr>
        <w:fldChar w:fldCharType="begin"/>
      </w:r>
      <w:r w:rsidRPr="00D3767A">
        <w:rPr>
          <w:lang w:val="en-GB"/>
        </w:rPr>
        <w:instrText xml:space="preserve"> SEQ level0 \*arabic </w:instrText>
      </w:r>
      <w:r w:rsidRPr="00D3767A">
        <w:rPr>
          <w:lang w:val="en-GB"/>
        </w:rPr>
        <w:fldChar w:fldCharType="separate"/>
      </w:r>
      <w:r w:rsidR="00D15CBD">
        <w:rPr>
          <w:noProof/>
          <w:lang w:val="en-GB"/>
        </w:rPr>
        <w:t>63</w:t>
      </w:r>
      <w:r w:rsidRPr="00D3767A">
        <w:rPr>
          <w:lang w:val="en-GB"/>
        </w:rPr>
        <w:fldChar w:fldCharType="end"/>
      </w:r>
      <w:r w:rsidRPr="00D3767A" w:rsidR="00D3767A">
        <w:rPr>
          <w:lang w:val="en-GB"/>
        </w:rPr>
        <w:t>.  The Government noted that in his application the applicant had also complained about the tax years 1999 to 2000 which were not relevant here</w:t>
      </w:r>
      <w:r w:rsidR="00D3767A">
        <w:rPr>
          <w:lang w:val="en-GB"/>
        </w:rPr>
        <w:t xml:space="preserve">, and for </w:t>
      </w:r>
      <w:r w:rsidR="002807A1">
        <w:rPr>
          <w:lang w:val="en-GB"/>
        </w:rPr>
        <w:t xml:space="preserve">this </w:t>
      </w:r>
      <w:r w:rsidR="00D3767A">
        <w:rPr>
          <w:lang w:val="en-GB"/>
        </w:rPr>
        <w:t xml:space="preserve">reason a reduction should be made when calculating the costs and expenses to be awarded. </w:t>
      </w:r>
      <w:r w:rsidRPr="00C12247" w:rsidR="00D3767A">
        <w:rPr>
          <w:lang w:val="en-GB"/>
        </w:rPr>
        <w:t xml:space="preserve">The Government considered the amount claimed for costs and expenses excessive as to quantum. In their view, the total amount of compensation </w:t>
      </w:r>
      <w:r w:rsidR="00D3767A">
        <w:rPr>
          <w:lang w:val="en-GB"/>
        </w:rPr>
        <w:t xml:space="preserve">for costs and expenses </w:t>
      </w:r>
      <w:r w:rsidRPr="00C12247" w:rsidR="00D3767A">
        <w:rPr>
          <w:lang w:val="en-GB"/>
        </w:rPr>
        <w:t xml:space="preserve">should not exceed EUR </w:t>
      </w:r>
      <w:r w:rsidR="00D3767A">
        <w:rPr>
          <w:lang w:val="en-GB"/>
        </w:rPr>
        <w:t>5</w:t>
      </w:r>
      <w:r w:rsidRPr="00C12247" w:rsidR="00D3767A">
        <w:rPr>
          <w:lang w:val="en-GB"/>
        </w:rPr>
        <w:t>,</w:t>
      </w:r>
      <w:r w:rsidR="00D3767A">
        <w:rPr>
          <w:lang w:val="en-GB"/>
        </w:rPr>
        <w:t>1</w:t>
      </w:r>
      <w:r w:rsidRPr="00C12247" w:rsidR="00D3767A">
        <w:rPr>
          <w:lang w:val="en-GB"/>
        </w:rPr>
        <w:t>00 (inclusive of value-added tax).</w:t>
      </w:r>
    </w:p>
    <w:p w:rsidRPr="00062973" w:rsidR="00014566" w:rsidP="00C621C2" w:rsidRDefault="00DD0E01">
      <w:pPr>
        <w:pStyle w:val="ECHRPara"/>
        <w:rPr>
          <w:lang w:val="en-GB"/>
        </w:rPr>
      </w:pPr>
      <w:r w:rsidRPr="005B07CC">
        <w:rPr>
          <w:lang w:val="en-GB"/>
        </w:rPr>
        <w:fldChar w:fldCharType="begin"/>
      </w:r>
      <w:r w:rsidRPr="005B07CC">
        <w:rPr>
          <w:lang w:val="en-GB"/>
        </w:rPr>
        <w:instrText xml:space="preserve"> SEQ level0 \*arabic </w:instrText>
      </w:r>
      <w:r w:rsidRPr="005B07CC">
        <w:rPr>
          <w:lang w:val="en-GB"/>
        </w:rPr>
        <w:fldChar w:fldCharType="separate"/>
      </w:r>
      <w:r w:rsidR="00D15CBD">
        <w:rPr>
          <w:noProof/>
          <w:lang w:val="en-GB"/>
        </w:rPr>
        <w:t>64</w:t>
      </w:r>
      <w:r w:rsidRPr="005B07CC">
        <w:rPr>
          <w:lang w:val="en-GB"/>
        </w:rPr>
        <w:fldChar w:fldCharType="end"/>
      </w:r>
      <w:r w:rsidRPr="005B07CC" w:rsidR="00014566">
        <w:rPr>
          <w:lang w:val="en-GB"/>
        </w:rPr>
        <w:t>.  </w:t>
      </w:r>
      <w:r w:rsidRPr="005B07CC">
        <w:rPr>
          <w:lang w:val="en-GB"/>
        </w:rPr>
        <w:t>According to the Court</w:t>
      </w:r>
      <w:r w:rsidR="00763D01">
        <w:rPr>
          <w:lang w:val="en-GB"/>
        </w:rPr>
        <w:t>’</w:t>
      </w:r>
      <w:r w:rsidRPr="005B07CC">
        <w:rPr>
          <w:lang w:val="en-GB"/>
        </w:rPr>
        <w:t>s case-law, an applicant is entitled to the reimbursement of costs and expenses only in so far as it has been shown that these have been actually and necessarily incurred and are reasonable as to quantum. In the present case, regard</w:t>
      </w:r>
      <w:r w:rsidRPr="005B07CC" w:rsidR="00014566">
        <w:rPr>
          <w:lang w:val="en-GB"/>
        </w:rPr>
        <w:t xml:space="preserve"> being had to the documents in its possession and </w:t>
      </w:r>
      <w:r w:rsidRPr="005B07CC">
        <w:rPr>
          <w:lang w:val="en-GB"/>
        </w:rPr>
        <w:t>the above criteria</w:t>
      </w:r>
      <w:r w:rsidRPr="005B07CC" w:rsidR="00014566">
        <w:rPr>
          <w:lang w:val="en-GB"/>
        </w:rPr>
        <w:t xml:space="preserve">, the Court considers it reasonable to award the sum of EUR </w:t>
      </w:r>
      <w:r w:rsidR="002807A1">
        <w:rPr>
          <w:lang w:val="en-GB"/>
        </w:rPr>
        <w:t>7</w:t>
      </w:r>
      <w:r w:rsidRPr="005B07CC" w:rsidR="005B07CC">
        <w:rPr>
          <w:lang w:val="en-GB"/>
        </w:rPr>
        <w:t>,000</w:t>
      </w:r>
      <w:r w:rsidRPr="005B07CC" w:rsidR="00014566">
        <w:rPr>
          <w:lang w:val="en-GB"/>
        </w:rPr>
        <w:t xml:space="preserve"> for the proceedings before the Court.</w:t>
      </w:r>
    </w:p>
    <w:p w:rsidRPr="00062973" w:rsidR="00014566" w:rsidP="00014566" w:rsidRDefault="00014566">
      <w:pPr>
        <w:pStyle w:val="ECHRHeading2"/>
        <w:outlineLvl w:val="0"/>
        <w:rPr>
          <w:lang w:val="en-GB"/>
        </w:rPr>
      </w:pPr>
      <w:r w:rsidRPr="00062973">
        <w:rPr>
          <w:lang w:val="en-GB"/>
        </w:rPr>
        <w:t>C.  Default interest</w:t>
      </w:r>
    </w:p>
    <w:p w:rsidRPr="00062973" w:rsidR="00014566" w:rsidP="00C621C2" w:rsidRDefault="00DD0E01">
      <w:pPr>
        <w:pStyle w:val="ECHRPara"/>
        <w:rPr>
          <w:lang w:val="en-GB"/>
        </w:rPr>
      </w:pPr>
      <w:r>
        <w:rPr>
          <w:lang w:val="en-GB"/>
        </w:rPr>
        <w:fldChar w:fldCharType="begin"/>
      </w:r>
      <w:r>
        <w:rPr>
          <w:lang w:val="en-GB"/>
        </w:rPr>
        <w:instrText xml:space="preserve"> SEQ level0 \*arabic </w:instrText>
      </w:r>
      <w:r>
        <w:rPr>
          <w:lang w:val="en-GB"/>
        </w:rPr>
        <w:fldChar w:fldCharType="separate"/>
      </w:r>
      <w:r w:rsidR="00D15CBD">
        <w:rPr>
          <w:noProof/>
          <w:lang w:val="en-GB"/>
        </w:rPr>
        <w:t>65</w:t>
      </w:r>
      <w:r>
        <w:rPr>
          <w:lang w:val="en-GB"/>
        </w:rPr>
        <w:fldChar w:fldCharType="end"/>
      </w:r>
      <w:r w:rsidRPr="00062973" w:rsidR="00014566">
        <w:rPr>
          <w:lang w:val="en-GB"/>
        </w:rPr>
        <w:t>.  The Court considers it appropriate that the default interest rate should be based on the marginal lending rate of the European Central Bank, to which should be added three percentage points.</w:t>
      </w:r>
    </w:p>
    <w:p w:rsidRPr="00062973" w:rsidR="00014566" w:rsidP="00014566" w:rsidRDefault="00BB5883">
      <w:pPr>
        <w:pStyle w:val="ECHRTitle1"/>
        <w:rPr>
          <w:lang w:val="en-GB"/>
        </w:rPr>
      </w:pPr>
      <w:r>
        <w:rPr>
          <w:lang w:val="en-GB"/>
        </w:rPr>
        <w:t>FOR THESE REASONS, THE COURT</w:t>
      </w:r>
      <w:r w:rsidR="0024346D">
        <w:rPr>
          <w:lang w:val="en-GB"/>
        </w:rPr>
        <w:t xml:space="preserve"> UNANIMOUSLY</w:t>
      </w:r>
    </w:p>
    <w:p w:rsidRPr="00062973" w:rsidR="00014566" w:rsidP="00C621C2" w:rsidRDefault="00DD0E01">
      <w:pPr>
        <w:pStyle w:val="JuList"/>
        <w:rPr>
          <w:lang w:val="en-GB"/>
        </w:rPr>
      </w:pPr>
      <w:r w:rsidRPr="006F24DB">
        <w:rPr>
          <w:lang w:val="en-GB"/>
        </w:rPr>
        <w:t>1.  </w:t>
      </w:r>
      <w:proofErr w:type="gramStart"/>
      <w:r w:rsidRPr="006F24DB">
        <w:rPr>
          <w:i/>
          <w:lang w:val="en-GB"/>
        </w:rPr>
        <w:t>Declares</w:t>
      </w:r>
      <w:proofErr w:type="gramEnd"/>
      <w:r w:rsidRPr="006F24DB">
        <w:rPr>
          <w:lang w:val="en-GB"/>
        </w:rPr>
        <w:t xml:space="preserve"> the complaint concerning </w:t>
      </w:r>
      <w:r w:rsidR="00445CF4">
        <w:rPr>
          <w:lang w:val="en-GB"/>
        </w:rPr>
        <w:t>Article 4 of Protocol No. 7</w:t>
      </w:r>
      <w:r w:rsidRPr="006F24DB" w:rsidR="00445CF4">
        <w:rPr>
          <w:lang w:val="en-GB"/>
        </w:rPr>
        <w:t xml:space="preserve"> </w:t>
      </w:r>
      <w:r w:rsidR="00445CF4">
        <w:rPr>
          <w:lang w:val="en-GB"/>
        </w:rPr>
        <w:t>to</w:t>
      </w:r>
      <w:r w:rsidRPr="00062973" w:rsidR="00445CF4">
        <w:rPr>
          <w:lang w:val="en-GB"/>
        </w:rPr>
        <w:t xml:space="preserve"> the Convention</w:t>
      </w:r>
      <w:r w:rsidRPr="006F24DB">
        <w:rPr>
          <w:lang w:val="en-GB"/>
        </w:rPr>
        <w:t xml:space="preserve"> admissible;</w:t>
      </w:r>
    </w:p>
    <w:p w:rsidRPr="00062973" w:rsidR="00014566" w:rsidP="00DB7196" w:rsidRDefault="00014566">
      <w:pPr>
        <w:pStyle w:val="JuList"/>
        <w:ind w:left="0" w:firstLine="0"/>
        <w:rPr>
          <w:lang w:val="en-GB"/>
        </w:rPr>
      </w:pPr>
    </w:p>
    <w:p w:rsidRPr="00062973" w:rsidR="00014566" w:rsidP="00C621C2" w:rsidRDefault="00445CF4">
      <w:pPr>
        <w:pStyle w:val="JuList"/>
        <w:rPr>
          <w:lang w:val="en-GB"/>
        </w:rPr>
      </w:pPr>
      <w:r>
        <w:rPr>
          <w:lang w:val="en-GB"/>
        </w:rPr>
        <w:t>2</w:t>
      </w:r>
      <w:r w:rsidRPr="00062973" w:rsidR="00014566">
        <w:rPr>
          <w:lang w:val="en-GB"/>
        </w:rPr>
        <w:t>.  </w:t>
      </w:r>
      <w:proofErr w:type="gramStart"/>
      <w:r w:rsidRPr="00062973" w:rsidR="00014566">
        <w:rPr>
          <w:i/>
          <w:lang w:val="en-GB"/>
        </w:rPr>
        <w:t>Holds</w:t>
      </w:r>
      <w:proofErr w:type="gramEnd"/>
      <w:r w:rsidR="00F32A62">
        <w:rPr>
          <w:i/>
          <w:lang w:val="en-GB"/>
        </w:rPr>
        <w:t xml:space="preserve"> </w:t>
      </w:r>
      <w:r w:rsidRPr="00062973" w:rsidR="00014566">
        <w:rPr>
          <w:lang w:val="en-GB"/>
        </w:rPr>
        <w:t xml:space="preserve">that there has been a violation of Article </w:t>
      </w:r>
      <w:r>
        <w:rPr>
          <w:lang w:val="en-GB"/>
        </w:rPr>
        <w:t>4 of Protocol No. 7</w:t>
      </w:r>
      <w:r w:rsidRPr="006F24DB">
        <w:rPr>
          <w:lang w:val="en-GB"/>
        </w:rPr>
        <w:t xml:space="preserve"> </w:t>
      </w:r>
      <w:r>
        <w:rPr>
          <w:lang w:val="en-GB"/>
        </w:rPr>
        <w:t>to</w:t>
      </w:r>
      <w:r w:rsidRPr="00062973">
        <w:rPr>
          <w:lang w:val="en-GB"/>
        </w:rPr>
        <w:t xml:space="preserve"> the Convention</w:t>
      </w:r>
      <w:r w:rsidRPr="00062973" w:rsidR="00014566">
        <w:rPr>
          <w:lang w:val="en-GB"/>
        </w:rPr>
        <w:t>;</w:t>
      </w:r>
    </w:p>
    <w:p w:rsidRPr="00062973" w:rsidR="00014566" w:rsidP="00C621C2" w:rsidRDefault="00014566">
      <w:pPr>
        <w:pStyle w:val="JuList"/>
        <w:rPr>
          <w:lang w:val="en-GB"/>
        </w:rPr>
      </w:pPr>
    </w:p>
    <w:p w:rsidRPr="00062973" w:rsidR="00014566" w:rsidP="00C621C2" w:rsidRDefault="00445CF4">
      <w:pPr>
        <w:pStyle w:val="JuList"/>
        <w:rPr>
          <w:lang w:val="en-GB"/>
        </w:rPr>
      </w:pPr>
      <w:r>
        <w:rPr>
          <w:lang w:val="en-GB"/>
        </w:rPr>
        <w:t>3</w:t>
      </w:r>
      <w:r w:rsidRPr="00062973" w:rsidR="00014566">
        <w:rPr>
          <w:lang w:val="en-GB"/>
        </w:rPr>
        <w:t>.  </w:t>
      </w:r>
      <w:r w:rsidRPr="00062973" w:rsidR="00014566">
        <w:rPr>
          <w:i/>
          <w:lang w:val="en-GB"/>
        </w:rPr>
        <w:t>Holds</w:t>
      </w:r>
    </w:p>
    <w:p w:rsidRPr="00062973" w:rsidR="00014566" w:rsidP="00014566" w:rsidRDefault="00014566">
      <w:pPr>
        <w:pStyle w:val="JuLista"/>
        <w:rPr>
          <w:lang w:val="en-GB"/>
        </w:rPr>
      </w:pPr>
      <w:r w:rsidRPr="00062973">
        <w:rPr>
          <w:lang w:val="en-GB"/>
        </w:rPr>
        <w:t>(a)  that the respondent State is to pay the applicant, within three months</w:t>
      </w:r>
      <w:r w:rsidR="00DD0E01">
        <w:rPr>
          <w:lang w:val="en-GB"/>
        </w:rPr>
        <w:t xml:space="preserve"> </w:t>
      </w:r>
      <w:r w:rsidRPr="00062973" w:rsidR="00DD0E01">
        <w:rPr>
          <w:lang w:val="en-GB"/>
        </w:rPr>
        <w:t>from the date on which the judgment becomes final in accordance with Article 44 § 2 of the Convention,</w:t>
      </w:r>
      <w:r w:rsidRPr="00062973">
        <w:rPr>
          <w:lang w:val="en-GB"/>
        </w:rPr>
        <w:t xml:space="preserve"> the following amounts:</w:t>
      </w:r>
    </w:p>
    <w:p w:rsidRPr="005B07CC" w:rsidR="00014566" w:rsidP="00014566" w:rsidRDefault="00014566">
      <w:pPr>
        <w:pStyle w:val="JuListi"/>
        <w:rPr>
          <w:lang w:val="en-GB"/>
        </w:rPr>
      </w:pPr>
      <w:r w:rsidRPr="005B07CC">
        <w:rPr>
          <w:lang w:val="en-GB"/>
        </w:rPr>
        <w:t>(</w:t>
      </w:r>
      <w:proofErr w:type="spellStart"/>
      <w:r w:rsidRPr="005B07CC">
        <w:rPr>
          <w:lang w:val="en-GB"/>
        </w:rPr>
        <w:t>i</w:t>
      </w:r>
      <w:proofErr w:type="spellEnd"/>
      <w:r w:rsidRPr="005B07CC">
        <w:rPr>
          <w:lang w:val="en-GB"/>
        </w:rPr>
        <w:t xml:space="preserve">)  EUR </w:t>
      </w:r>
      <w:r w:rsidRPr="005B07CC" w:rsidR="005B07CC">
        <w:rPr>
          <w:lang w:val="en-GB"/>
        </w:rPr>
        <w:t>3,000</w:t>
      </w:r>
      <w:r w:rsidRPr="005B07CC">
        <w:rPr>
          <w:lang w:val="en-GB"/>
        </w:rPr>
        <w:t xml:space="preserve"> (</w:t>
      </w:r>
      <w:r w:rsidRPr="005B07CC" w:rsidR="005B07CC">
        <w:rPr>
          <w:lang w:val="en-GB"/>
        </w:rPr>
        <w:t>three thousand</w:t>
      </w:r>
      <w:r w:rsidRPr="005B07CC">
        <w:rPr>
          <w:lang w:val="en-GB"/>
        </w:rPr>
        <w:t xml:space="preserve"> euros), plus any tax that may be chargeable, in respect of non-pecuniary damage;</w:t>
      </w:r>
    </w:p>
    <w:p w:rsidRPr="00062973" w:rsidR="00014566" w:rsidP="00014566" w:rsidRDefault="00014566">
      <w:pPr>
        <w:pStyle w:val="JuListi"/>
        <w:rPr>
          <w:lang w:val="en-GB"/>
        </w:rPr>
      </w:pPr>
      <w:r w:rsidRPr="005B07CC">
        <w:rPr>
          <w:lang w:val="en-GB"/>
        </w:rPr>
        <w:t xml:space="preserve">(ii)  EUR </w:t>
      </w:r>
      <w:r w:rsidR="002807A1">
        <w:rPr>
          <w:lang w:val="en-GB"/>
        </w:rPr>
        <w:t>7</w:t>
      </w:r>
      <w:r w:rsidRPr="005B07CC" w:rsidR="005B07CC">
        <w:rPr>
          <w:lang w:val="en-GB"/>
        </w:rPr>
        <w:t>,000</w:t>
      </w:r>
      <w:r w:rsidRPr="005B07CC">
        <w:rPr>
          <w:lang w:val="en-GB"/>
        </w:rPr>
        <w:t xml:space="preserve"> (</w:t>
      </w:r>
      <w:r w:rsidR="002807A1">
        <w:rPr>
          <w:lang w:val="en-GB"/>
        </w:rPr>
        <w:t>seven</w:t>
      </w:r>
      <w:r w:rsidRPr="005B07CC" w:rsidR="005B07CC">
        <w:rPr>
          <w:lang w:val="en-GB"/>
        </w:rPr>
        <w:t xml:space="preserve"> thousand</w:t>
      </w:r>
      <w:r w:rsidRPr="005B07CC">
        <w:rPr>
          <w:lang w:val="en-GB"/>
        </w:rPr>
        <w:t xml:space="preserve"> euros), plus any tax that may be chargeable to the applicant, in respect of costs and expenses;</w:t>
      </w:r>
    </w:p>
    <w:p w:rsidRPr="00062973" w:rsidR="00014566" w:rsidP="00014566" w:rsidRDefault="00014566">
      <w:pPr>
        <w:pStyle w:val="JuLista"/>
        <w:rPr>
          <w:lang w:val="en-GB"/>
        </w:rPr>
      </w:pPr>
      <w:r w:rsidRPr="00062973">
        <w:rPr>
          <w:lang w:val="en-GB"/>
        </w:rPr>
        <w:t>(b)  that from the expiry of the above-mentioned three months until settlement simple interest shall be payable on the above amounts at a rate equal to the marginal lending rate of the European Central Bank during the default period plus three percentage points;</w:t>
      </w:r>
    </w:p>
    <w:p w:rsidRPr="00062973" w:rsidR="00014566" w:rsidP="00C621C2" w:rsidRDefault="00014566">
      <w:pPr>
        <w:pStyle w:val="JuList"/>
        <w:rPr>
          <w:lang w:val="en-GB"/>
        </w:rPr>
      </w:pPr>
    </w:p>
    <w:p w:rsidRPr="00062973" w:rsidR="00014566" w:rsidP="00C621C2" w:rsidRDefault="00445CF4">
      <w:pPr>
        <w:pStyle w:val="JuList"/>
        <w:rPr>
          <w:lang w:val="en-GB"/>
        </w:rPr>
      </w:pPr>
      <w:r>
        <w:rPr>
          <w:lang w:val="en-GB"/>
        </w:rPr>
        <w:t>4</w:t>
      </w:r>
      <w:r w:rsidRPr="00062973" w:rsidR="00014566">
        <w:rPr>
          <w:lang w:val="en-GB"/>
        </w:rPr>
        <w:t>.  </w:t>
      </w:r>
      <w:r w:rsidRPr="00062973" w:rsidR="00014566">
        <w:rPr>
          <w:i/>
          <w:lang w:val="en-GB"/>
        </w:rPr>
        <w:t>Dismisse</w:t>
      </w:r>
      <w:r w:rsidRPr="00F32A62" w:rsidR="00014566">
        <w:rPr>
          <w:i/>
          <w:lang w:val="en-GB"/>
        </w:rPr>
        <w:t>s</w:t>
      </w:r>
      <w:r w:rsidRPr="00F32A62" w:rsidR="00F32A62">
        <w:rPr>
          <w:lang w:val="en-GB"/>
        </w:rPr>
        <w:t xml:space="preserve"> </w:t>
      </w:r>
      <w:r w:rsidRPr="00062973" w:rsidR="00014566">
        <w:rPr>
          <w:lang w:val="en-GB"/>
        </w:rPr>
        <w:t>the remainder of the applicant</w:t>
      </w:r>
      <w:r w:rsidR="00763D01">
        <w:rPr>
          <w:lang w:val="en-GB"/>
        </w:rPr>
        <w:t>’</w:t>
      </w:r>
      <w:r w:rsidRPr="00062973" w:rsidR="00DD0E01">
        <w:rPr>
          <w:lang w:val="en-GB"/>
        </w:rPr>
        <w:t>s</w:t>
      </w:r>
      <w:r w:rsidRPr="00062973" w:rsidR="00014566">
        <w:rPr>
          <w:lang w:val="en-GB"/>
        </w:rPr>
        <w:t xml:space="preserve"> claim for just satisfaction.</w:t>
      </w:r>
    </w:p>
    <w:p w:rsidRPr="00062973" w:rsidR="00014566" w:rsidP="00014566" w:rsidRDefault="00014566">
      <w:pPr>
        <w:pStyle w:val="JuParaLast"/>
        <w:rPr>
          <w:lang w:val="en-GB"/>
        </w:rPr>
      </w:pPr>
      <w:r w:rsidRPr="00062973">
        <w:rPr>
          <w:lang w:val="en-GB"/>
        </w:rPr>
        <w:t xml:space="preserve">Done in English, and notified in writing on </w:t>
      </w:r>
      <w:r w:rsidR="00F32A62">
        <w:rPr>
          <w:lang w:val="en-GB"/>
        </w:rPr>
        <w:t>27 January 2015</w:t>
      </w:r>
      <w:r w:rsidRPr="00062973">
        <w:rPr>
          <w:lang w:val="en-GB"/>
        </w:rPr>
        <w:t>, pursuant to Rule 77 §§ 2 and 3 of the Rules of Court.</w:t>
      </w:r>
    </w:p>
    <w:p w:rsidRPr="00867E82" w:rsidR="004D15F3" w:rsidP="00445CF4" w:rsidRDefault="00014566">
      <w:pPr>
        <w:pStyle w:val="JuSigned"/>
        <w:rPr>
          <w:lang w:val="pt-PT"/>
        </w:rPr>
      </w:pPr>
      <w:r w:rsidRPr="00062973">
        <w:rPr>
          <w:lang w:val="en-GB"/>
        </w:rPr>
        <w:tab/>
      </w:r>
      <w:proofErr w:type="spellStart"/>
      <w:r w:rsidRPr="00867E82" w:rsidR="00DD0E01">
        <w:rPr>
          <w:lang w:val="pt-PT"/>
        </w:rPr>
        <w:t>Françoise</w:t>
      </w:r>
      <w:proofErr w:type="spellEnd"/>
      <w:r w:rsidRPr="00867E82" w:rsidR="00DD0E01">
        <w:rPr>
          <w:lang w:val="pt-PT"/>
        </w:rPr>
        <w:t xml:space="preserve"> </w:t>
      </w:r>
      <w:proofErr w:type="spellStart"/>
      <w:r w:rsidRPr="00867E82" w:rsidR="00DD0E01">
        <w:rPr>
          <w:lang w:val="pt-PT"/>
        </w:rPr>
        <w:t>Elens</w:t>
      </w:r>
      <w:proofErr w:type="spellEnd"/>
      <w:r w:rsidRPr="00867E82" w:rsidR="00DD0E01">
        <w:rPr>
          <w:lang w:val="pt-PT"/>
        </w:rPr>
        <w:t>-Passos</w:t>
      </w:r>
      <w:r w:rsidRPr="00867E82">
        <w:rPr>
          <w:lang w:val="pt-PT"/>
        </w:rPr>
        <w:tab/>
      </w:r>
      <w:r w:rsidR="0060433F">
        <w:rPr>
          <w:lang w:val="pt-PT"/>
        </w:rPr>
        <w:t xml:space="preserve">Guido </w:t>
      </w:r>
      <w:proofErr w:type="spellStart"/>
      <w:r w:rsidR="0060433F">
        <w:rPr>
          <w:lang w:val="pt-PT"/>
        </w:rPr>
        <w:t>Raimondi</w:t>
      </w:r>
      <w:proofErr w:type="spellEnd"/>
      <w:r w:rsidR="009C2280">
        <w:rPr>
          <w:lang w:val="pt-PT"/>
        </w:rPr>
        <w:br/>
      </w:r>
      <w:r w:rsidRPr="00867E82">
        <w:rPr>
          <w:lang w:val="pt-PT"/>
        </w:rPr>
        <w:tab/>
      </w:r>
      <w:r w:rsidRPr="00867E82" w:rsidR="00DD0E01">
        <w:rPr>
          <w:iCs/>
          <w:lang w:val="pt-PT"/>
        </w:rPr>
        <w:t>Registrar</w:t>
      </w:r>
      <w:r w:rsidRPr="00867E82">
        <w:rPr>
          <w:lang w:val="pt-PT"/>
        </w:rPr>
        <w:tab/>
      </w:r>
      <w:proofErr w:type="spellStart"/>
      <w:r w:rsidRPr="00867E82">
        <w:rPr>
          <w:lang w:val="pt-PT"/>
        </w:rPr>
        <w:t>President</w:t>
      </w:r>
      <w:proofErr w:type="spellEnd"/>
    </w:p>
    <w:sectPr w:rsidRPr="00867E82" w:rsidR="004D15F3" w:rsidSect="00F32A62">
      <w:headerReference w:type="even" r:id="rId23"/>
      <w:headerReference w:type="default" r:id="rId24"/>
      <w:footnotePr>
        <w:numRestart w:val="eachPage"/>
      </w:footnotePr>
      <w:pgSz w:w="11906" w:h="16838" w:code="9"/>
      <w:pgMar w:top="2274" w:right="2274" w:bottom="2274" w:left="2274" w:header="1701"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7E82" w:rsidRDefault="00867E82" w:rsidP="00014566">
      <w:r>
        <w:separator/>
      </w:r>
    </w:p>
  </w:endnote>
  <w:endnote w:type="continuationSeparator" w:id="0">
    <w:p w:rsidR="00867E82" w:rsidRDefault="00867E82" w:rsidP="00014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2A62" w:rsidRDefault="00F32A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2A62" w:rsidRDefault="00F32A6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2A62" w:rsidRPr="00150BFA" w:rsidRDefault="00F32A62" w:rsidP="0020718E">
    <w:pPr>
      <w:jc w:val="center"/>
    </w:pPr>
    <w:r>
      <w:rPr>
        <w:noProof/>
        <w:lang w:eastAsia="ja-JP"/>
      </w:rPr>
      <w:drawing>
        <wp:inline distT="0" distB="0" distL="0" distR="0" wp14:anchorId="5D4FD4A7" wp14:editId="5A9DE3AE">
          <wp:extent cx="771525" cy="619125"/>
          <wp:effectExtent l="0" t="0" r="9525" b="9525"/>
          <wp:docPr id="21" name="Picture 21" descr="R:\1_Graphics&amp;Web\Court_Graphic_Charter\2013\ECHR_Stationery\Documents_and_Letters\Cover_Pages_And_Docs\White_600_dpi\ECHR_CoverpageCS61_ECHR_Coverpage_Footer_COE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1_Graphics&amp;Web\Court_Graphic_Charter\2013\ECHR_Stationery\Documents_and_Letters\Cover_Pages_And_Docs\White_600_dpi\ECHR_CoverpageCS61_ECHR_Coverpage_Footer_COE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19125"/>
                  </a:xfrm>
                  <a:prstGeom prst="rect">
                    <a:avLst/>
                  </a:prstGeom>
                  <a:noFill/>
                  <a:ln>
                    <a:noFill/>
                  </a:ln>
                </pic:spPr>
              </pic:pic>
            </a:graphicData>
          </a:graphic>
        </wp:inline>
      </w:drawing>
    </w:r>
  </w:p>
  <w:p w:rsidR="00F32A62" w:rsidRDefault="00F32A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7E82" w:rsidRDefault="00867E82" w:rsidP="00014566">
      <w:r>
        <w:separator/>
      </w:r>
    </w:p>
  </w:footnote>
  <w:footnote w:type="continuationSeparator" w:id="0">
    <w:p w:rsidR="00867E82" w:rsidRDefault="00867E82" w:rsidP="000145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E82" w:rsidRPr="00FF2306" w:rsidRDefault="00867E82" w:rsidP="00EE1DA9">
    <w:pPr>
      <w:pStyle w:val="ECHRHeader"/>
      <w:rPr>
        <w:lang w:val="en-G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E82" w:rsidRPr="00D60D87" w:rsidRDefault="00867E82" w:rsidP="00F32A62">
    <w:pPr>
      <w:pStyle w:val="ECHRHeader"/>
      <w:jc w:val="center"/>
      <w:rPr>
        <w:lang w:val="en-G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2A62" w:rsidRPr="00A45145" w:rsidRDefault="00F32A62" w:rsidP="00A45145">
    <w:pPr>
      <w:jc w:val="center"/>
    </w:pPr>
    <w:r>
      <w:rPr>
        <w:noProof/>
        <w:lang w:eastAsia="ja-JP"/>
      </w:rPr>
      <w:drawing>
        <wp:inline distT="0" distB="0" distL="0" distR="0" wp14:anchorId="62A5F390" wp14:editId="137DD48D">
          <wp:extent cx="2962275" cy="1219200"/>
          <wp:effectExtent l="0" t="0" r="9525" b="0"/>
          <wp:docPr id="20" name="Picture 20"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2275" cy="1219200"/>
                  </a:xfrm>
                  <a:prstGeom prst="rect">
                    <a:avLst/>
                  </a:prstGeom>
                  <a:noFill/>
                  <a:ln>
                    <a:noFill/>
                  </a:ln>
                </pic:spPr>
              </pic:pic>
            </a:graphicData>
          </a:graphic>
        </wp:inline>
      </w:drawing>
    </w:r>
  </w:p>
  <w:p w:rsidR="00867E82" w:rsidRDefault="00867E8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2A62" w:rsidRPr="00FF2306" w:rsidRDefault="00F32A62" w:rsidP="00EE1DA9">
    <w:pPr>
      <w:pStyle w:val="ECHRHeader"/>
      <w:rPr>
        <w:lang w:val="en-GB"/>
      </w:rPr>
    </w:pP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763D01">
      <w:rPr>
        <w:rStyle w:val="PageNumber"/>
        <w:noProof/>
        <w:szCs w:val="18"/>
        <w:lang w:val="en-GB"/>
      </w:rPr>
      <w:t>14</w:t>
    </w:r>
    <w:r>
      <w:rPr>
        <w:rStyle w:val="PageNumber"/>
        <w:szCs w:val="18"/>
        <w:lang w:val="en-GB"/>
      </w:rPr>
      <w:fldChar w:fldCharType="end"/>
    </w:r>
    <w:r w:rsidRPr="00FF2306">
      <w:rPr>
        <w:lang w:val="en-GB"/>
      </w:rPr>
      <w:tab/>
    </w:r>
    <w:r>
      <w:rPr>
        <w:lang w:val="en-GB"/>
      </w:rPr>
      <w:t>RINAS v. FINLAND</w:t>
    </w:r>
    <w:r w:rsidRPr="00FF2306">
      <w:rPr>
        <w:lang w:val="en-GB"/>
      </w:rPr>
      <w:t xml:space="preserve"> </w:t>
    </w:r>
    <w:r>
      <w:rPr>
        <w:lang w:val="en-GB"/>
      </w:rPr>
      <w:t>JUDGMENT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2A62" w:rsidRPr="00D60D87" w:rsidRDefault="00F32A62" w:rsidP="00D60D87">
    <w:pPr>
      <w:pStyle w:val="ECHRHeader"/>
      <w:rPr>
        <w:lang w:val="en-GB"/>
      </w:rPr>
    </w:pPr>
    <w:r w:rsidRPr="00D60D87">
      <w:rPr>
        <w:lang w:val="en-GB"/>
      </w:rPr>
      <w:tab/>
    </w:r>
    <w:r>
      <w:rPr>
        <w:lang w:val="en-GB"/>
      </w:rPr>
      <w:t>RINAS v. FINLAND</w:t>
    </w:r>
    <w:r w:rsidRPr="00D60D87">
      <w:rPr>
        <w:lang w:val="en-GB"/>
      </w:rPr>
      <w:t xml:space="preserve"> </w:t>
    </w:r>
    <w:r>
      <w:rPr>
        <w:lang w:val="en-GB"/>
      </w:rPr>
      <w:t>JUDGMENT</w:t>
    </w:r>
    <w:r w:rsidRPr="00D60D87">
      <w:rPr>
        <w:lang w:val="en-GB"/>
      </w:rPr>
      <w:tab/>
    </w: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763D01">
      <w:rPr>
        <w:rStyle w:val="PageNumber"/>
        <w:noProof/>
        <w:szCs w:val="18"/>
        <w:lang w:val="en-GB"/>
      </w:rPr>
      <w:t>15</w:t>
    </w:r>
    <w:r>
      <w:rPr>
        <w:rStyle w:val="PageNumber"/>
        <w:szCs w:val="18"/>
        <w:lang w:val="en-G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0180FE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90ECFBC"/>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C5B8BEFC"/>
    <w:lvl w:ilvl="0">
      <w:start w:val="1"/>
      <w:numFmt w:val="decimal"/>
      <w:pStyle w:val="ListNumber3"/>
      <w:lvlText w:val="%1."/>
      <w:lvlJc w:val="left"/>
      <w:pPr>
        <w:tabs>
          <w:tab w:val="num" w:pos="926"/>
        </w:tabs>
        <w:ind w:left="926" w:hanging="360"/>
      </w:pPr>
    </w:lvl>
  </w:abstractNum>
  <w:abstractNum w:abstractNumId="3">
    <w:nsid w:val="FFFFFF7F"/>
    <w:multiLevelType w:val="singleLevel"/>
    <w:tmpl w:val="6F1CF73A"/>
    <w:lvl w:ilvl="0">
      <w:start w:val="1"/>
      <w:numFmt w:val="decimal"/>
      <w:pStyle w:val="ListNumber2"/>
      <w:lvlText w:val="%1."/>
      <w:lvlJc w:val="left"/>
      <w:pPr>
        <w:tabs>
          <w:tab w:val="num" w:pos="643"/>
        </w:tabs>
        <w:ind w:left="643" w:hanging="360"/>
      </w:pPr>
    </w:lvl>
  </w:abstractNum>
  <w:abstractNum w:abstractNumId="4">
    <w:nsid w:val="FFFFFF80"/>
    <w:multiLevelType w:val="singleLevel"/>
    <w:tmpl w:val="2380266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0C2C34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482EC3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666B2C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B2760110"/>
    <w:lvl w:ilvl="0">
      <w:start w:val="1"/>
      <w:numFmt w:val="decimal"/>
      <w:pStyle w:val="ListNumber"/>
      <w:lvlText w:val="%1."/>
      <w:lvlJc w:val="left"/>
      <w:pPr>
        <w:tabs>
          <w:tab w:val="num" w:pos="360"/>
        </w:tabs>
        <w:ind w:left="360" w:hanging="360"/>
      </w:pPr>
    </w:lvl>
  </w:abstractNum>
  <w:abstractNum w:abstractNumId="9">
    <w:nsid w:val="0066004F"/>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163F153D"/>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AF7039A"/>
    <w:multiLevelType w:val="multilevel"/>
    <w:tmpl w:val="9B34AC6C"/>
    <w:lvl w:ilvl="0">
      <w:start w:val="1"/>
      <w:numFmt w:val="decimal"/>
      <w:lvlText w:val="%1."/>
      <w:lvlJc w:val="left"/>
      <w:pPr>
        <w:tabs>
          <w:tab w:val="num" w:pos="964"/>
        </w:tabs>
        <w:ind w:left="964" w:hanging="397"/>
      </w:pPr>
      <w:rPr>
        <w:rFonts w:hint="default"/>
      </w:rPr>
    </w:lvl>
    <w:lvl w:ilvl="1">
      <w:start w:val="1"/>
      <w:numFmt w:val="lowerLetter"/>
      <w:lvlText w:val="%2."/>
      <w:lvlJc w:val="left"/>
      <w:pPr>
        <w:tabs>
          <w:tab w:val="num" w:pos="1361"/>
        </w:tabs>
        <w:ind w:left="1361" w:hanging="397"/>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703"/>
        </w:tabs>
        <w:ind w:left="1703" w:hanging="284"/>
      </w:pPr>
      <w:rPr>
        <w:rFonts w:hint="default"/>
      </w:rPr>
    </w:lvl>
    <w:lvl w:ilvl="4">
      <w:start w:val="1"/>
      <w:numFmt w:val="lowerLetter"/>
      <w:lvlText w:val="(%5)"/>
      <w:lvlJc w:val="left"/>
      <w:pPr>
        <w:tabs>
          <w:tab w:val="num" w:pos="1987"/>
        </w:tabs>
        <w:ind w:left="1987" w:hanging="284"/>
      </w:pPr>
      <w:rPr>
        <w:rFonts w:hint="default"/>
      </w:rPr>
    </w:lvl>
    <w:lvl w:ilvl="5">
      <w:start w:val="1"/>
      <w:numFmt w:val="lowerRoman"/>
      <w:lvlText w:val="(%6)"/>
      <w:lvlJc w:val="left"/>
      <w:pPr>
        <w:tabs>
          <w:tab w:val="num" w:pos="2271"/>
        </w:tabs>
        <w:ind w:left="2271" w:hanging="284"/>
      </w:pPr>
      <w:rPr>
        <w:rFonts w:hint="default"/>
      </w:rPr>
    </w:lvl>
    <w:lvl w:ilvl="6">
      <w:start w:val="1"/>
      <w:numFmt w:val="decimal"/>
      <w:lvlText w:val="%7."/>
      <w:lvlJc w:val="left"/>
      <w:pPr>
        <w:tabs>
          <w:tab w:val="num" w:pos="2555"/>
        </w:tabs>
        <w:ind w:left="2555" w:hanging="284"/>
      </w:pPr>
      <w:rPr>
        <w:rFonts w:hint="default"/>
      </w:rPr>
    </w:lvl>
    <w:lvl w:ilvl="7">
      <w:start w:val="1"/>
      <w:numFmt w:val="lowerLetter"/>
      <w:lvlText w:val="%8."/>
      <w:lvlJc w:val="left"/>
      <w:pPr>
        <w:tabs>
          <w:tab w:val="num" w:pos="2839"/>
        </w:tabs>
        <w:ind w:left="2839" w:hanging="284"/>
      </w:pPr>
      <w:rPr>
        <w:rFonts w:hint="default"/>
      </w:rPr>
    </w:lvl>
    <w:lvl w:ilvl="8">
      <w:start w:val="1"/>
      <w:numFmt w:val="lowerRoman"/>
      <w:lvlText w:val="%9."/>
      <w:lvlJc w:val="left"/>
      <w:pPr>
        <w:tabs>
          <w:tab w:val="num" w:pos="3123"/>
        </w:tabs>
        <w:ind w:left="3123" w:hanging="284"/>
      </w:pPr>
      <w:rPr>
        <w:rFonts w:hint="default"/>
      </w:rPr>
    </w:lvl>
  </w:abstractNum>
  <w:abstractNum w:abstractNumId="12">
    <w:nsid w:val="388D47DE"/>
    <w:multiLevelType w:val="multilevel"/>
    <w:tmpl w:val="8012C870"/>
    <w:lvl w:ilvl="0">
      <w:start w:val="1"/>
      <w:numFmt w:val="decimal"/>
      <w:lvlText w:val="%1."/>
      <w:lvlJc w:val="left"/>
      <w:pPr>
        <w:ind w:left="992" w:hanging="425"/>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492F51A1"/>
    <w:multiLevelType w:val="multilevel"/>
    <w:tmpl w:val="F842BC8C"/>
    <w:lvl w:ilvl="0">
      <w:start w:val="1"/>
      <w:numFmt w:val="bullet"/>
      <w:lvlText w:val=""/>
      <w:lvlJc w:val="left"/>
      <w:pPr>
        <w:tabs>
          <w:tab w:val="num" w:pos="851"/>
        </w:tabs>
        <w:ind w:left="851" w:hanging="284"/>
      </w:pPr>
      <w:rPr>
        <w:rFonts w:ascii="Wingdings" w:hAnsi="Wingdings" w:hint="default"/>
        <w:color w:val="0072BC" w:themeColor="background1"/>
      </w:rPr>
    </w:lvl>
    <w:lvl w:ilvl="1">
      <w:start w:val="1"/>
      <w:numFmt w:val="bullet"/>
      <w:lvlText w:val=""/>
      <w:lvlJc w:val="left"/>
      <w:pPr>
        <w:tabs>
          <w:tab w:val="num" w:pos="1134"/>
        </w:tabs>
        <w:ind w:left="1135" w:hanging="284"/>
      </w:pPr>
      <w:rPr>
        <w:rFonts w:ascii="Wingdings" w:hAnsi="Wingdings" w:hint="default"/>
        <w:color w:val="0072BC" w:themeColor="background1"/>
      </w:rPr>
    </w:lvl>
    <w:lvl w:ilvl="2">
      <w:start w:val="1"/>
      <w:numFmt w:val="bullet"/>
      <w:lvlText w:val=""/>
      <w:lvlJc w:val="left"/>
      <w:pPr>
        <w:tabs>
          <w:tab w:val="num" w:pos="1418"/>
        </w:tabs>
        <w:ind w:left="1419" w:hanging="284"/>
      </w:pPr>
      <w:rPr>
        <w:rFonts w:ascii="Wingdings" w:hAnsi="Wingdings" w:hint="default"/>
        <w:color w:val="7F7F7F" w:themeColor="text1" w:themeTint="80"/>
      </w:rPr>
    </w:lvl>
    <w:lvl w:ilvl="3">
      <w:start w:val="1"/>
      <w:numFmt w:val="bullet"/>
      <w:lvlText w:val=""/>
      <w:lvlJc w:val="left"/>
      <w:pPr>
        <w:tabs>
          <w:tab w:val="num" w:pos="1701"/>
        </w:tabs>
        <w:ind w:left="1703" w:hanging="284"/>
      </w:pPr>
      <w:rPr>
        <w:rFonts w:ascii="Wingdings" w:hAnsi="Wingdings" w:hint="default"/>
        <w:color w:val="7F7F7F" w:themeColor="text1" w:themeTint="80"/>
      </w:rPr>
    </w:lvl>
    <w:lvl w:ilvl="4">
      <w:start w:val="1"/>
      <w:numFmt w:val="bullet"/>
      <w:lvlText w:val=""/>
      <w:lvlJc w:val="left"/>
      <w:pPr>
        <w:tabs>
          <w:tab w:val="num" w:pos="1760"/>
        </w:tabs>
        <w:ind w:left="1987" w:hanging="284"/>
      </w:pPr>
      <w:rPr>
        <w:rFonts w:ascii="Wingdings" w:hAnsi="Wingdings" w:hint="default"/>
        <w:color w:val="0072BC" w:themeColor="background1"/>
      </w:rPr>
    </w:lvl>
    <w:lvl w:ilvl="5">
      <w:start w:val="1"/>
      <w:numFmt w:val="bullet"/>
      <w:lvlText w:val=""/>
      <w:lvlJc w:val="left"/>
      <w:pPr>
        <w:tabs>
          <w:tab w:val="num" w:pos="2044"/>
        </w:tabs>
        <w:ind w:left="2271" w:hanging="284"/>
      </w:pPr>
      <w:rPr>
        <w:rFonts w:ascii="Wingdings" w:hAnsi="Wingdings" w:hint="default"/>
        <w:color w:val="5F5F5F" w:themeColor="accent5"/>
      </w:rPr>
    </w:lvl>
    <w:lvl w:ilvl="6">
      <w:start w:val="1"/>
      <w:numFmt w:val="bullet"/>
      <w:lvlText w:val=""/>
      <w:lvlJc w:val="left"/>
      <w:pPr>
        <w:tabs>
          <w:tab w:val="num" w:pos="2328"/>
        </w:tabs>
        <w:ind w:left="2555" w:hanging="284"/>
      </w:pPr>
      <w:rPr>
        <w:rFonts w:ascii="Symbol" w:hAnsi="Symbol" w:hint="default"/>
      </w:rPr>
    </w:lvl>
    <w:lvl w:ilvl="7">
      <w:start w:val="1"/>
      <w:numFmt w:val="bullet"/>
      <w:lvlText w:val="o"/>
      <w:lvlJc w:val="left"/>
      <w:pPr>
        <w:tabs>
          <w:tab w:val="num" w:pos="2612"/>
        </w:tabs>
        <w:ind w:left="2839" w:hanging="284"/>
      </w:pPr>
      <w:rPr>
        <w:rFonts w:ascii="Courier New" w:hAnsi="Courier New" w:hint="default"/>
      </w:rPr>
    </w:lvl>
    <w:lvl w:ilvl="8">
      <w:start w:val="1"/>
      <w:numFmt w:val="bullet"/>
      <w:lvlText w:val=""/>
      <w:lvlJc w:val="left"/>
      <w:pPr>
        <w:tabs>
          <w:tab w:val="num" w:pos="2896"/>
        </w:tabs>
        <w:ind w:left="3123" w:hanging="284"/>
      </w:pPr>
      <w:rPr>
        <w:rFonts w:ascii="Wingdings" w:hAnsi="Wingdings" w:hint="default"/>
      </w:rPr>
    </w:lvl>
  </w:abstractNum>
  <w:abstractNum w:abstractNumId="14">
    <w:nsid w:val="67FD1241"/>
    <w:multiLevelType w:val="hybridMultilevel"/>
    <w:tmpl w:val="F6D86CC2"/>
    <w:lvl w:ilvl="0" w:tplc="E4205412">
      <w:start w:val="1"/>
      <w:numFmt w:val="bullet"/>
      <w:pStyle w:val="ListBullet"/>
      <w:lvlText w:val=""/>
      <w:lvlJc w:val="left"/>
      <w:pPr>
        <w:tabs>
          <w:tab w:val="num" w:pos="851"/>
        </w:tabs>
        <w:ind w:left="568" w:firstLine="0"/>
      </w:pPr>
      <w:rPr>
        <w:rFonts w:ascii="Wingdings" w:hAnsi="Wingdings" w:hint="default"/>
        <w:color w:val="808080"/>
        <w:sz w:val="16"/>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5">
    <w:nsid w:val="76903243"/>
    <w:multiLevelType w:val="multilevel"/>
    <w:tmpl w:val="E884A926"/>
    <w:lvl w:ilvl="0">
      <w:start w:val="1"/>
      <w:numFmt w:val="decimal"/>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7737461D"/>
    <w:multiLevelType w:val="multilevel"/>
    <w:tmpl w:val="040C0023"/>
    <w:styleLink w:val="ArticleSection"/>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2"/>
  </w:num>
  <w:num w:numId="2">
    <w:abstractNumId w:val="13"/>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11"/>
  </w:num>
  <w:num w:numId="6">
    <w:abstractNumId w:val="13"/>
  </w:num>
  <w:num w:numId="7">
    <w:abstractNumId w:val="11"/>
  </w:num>
  <w:num w:numId="8">
    <w:abstractNumId w:val="14"/>
  </w:num>
  <w:num w:numId="9">
    <w:abstractNumId w:val="10"/>
  </w:num>
  <w:num w:numId="10">
    <w:abstractNumId w:val="9"/>
  </w:num>
  <w:num w:numId="11">
    <w:abstractNumId w:val="16"/>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removePersonalInformation/>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hyphenationZone w:val="425"/>
  <w:evenAndOddHeaders/>
  <w:drawingGridHorizontalSpacing w:val="110"/>
  <w:displayHorizontalDrawingGridEvery w:val="2"/>
  <w:displayVertic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pNatAutre" w:val="1"/>
    <w:docVar w:name="DocVarPREMATURE" w:val="0"/>
    <w:docVar w:name="EMM" w:val="0"/>
    <w:docVar w:name="ETRANSMISSION" w:val=" "/>
    <w:docVar w:name="L4_1Annex" w:val="0"/>
    <w:docVar w:name="L4_1Anonymity" w:val="0"/>
    <w:docVar w:name="L4_1AppNatList" w:val="Russian"/>
    <w:docVar w:name="NBEMMDOC" w:val="0"/>
    <w:docVar w:name="SignForeName" w:val="0"/>
  </w:docVars>
  <w:rsids>
    <w:rsidRoot w:val="00DD0E01"/>
    <w:rsid w:val="000041F8"/>
    <w:rsid w:val="000042A8"/>
    <w:rsid w:val="00004308"/>
    <w:rsid w:val="00005BF0"/>
    <w:rsid w:val="00007154"/>
    <w:rsid w:val="000103AE"/>
    <w:rsid w:val="00011D69"/>
    <w:rsid w:val="00012AD3"/>
    <w:rsid w:val="00014566"/>
    <w:rsid w:val="00015C2D"/>
    <w:rsid w:val="00015F00"/>
    <w:rsid w:val="00022C1D"/>
    <w:rsid w:val="0002695A"/>
    <w:rsid w:val="00034987"/>
    <w:rsid w:val="000602DF"/>
    <w:rsid w:val="00061B05"/>
    <w:rsid w:val="00062973"/>
    <w:rsid w:val="00062D5D"/>
    <w:rsid w:val="000632D5"/>
    <w:rsid w:val="000644EE"/>
    <w:rsid w:val="000925AD"/>
    <w:rsid w:val="000A1D14"/>
    <w:rsid w:val="000A24EB"/>
    <w:rsid w:val="000B6923"/>
    <w:rsid w:val="000C033C"/>
    <w:rsid w:val="000C5F3C"/>
    <w:rsid w:val="000C6DCC"/>
    <w:rsid w:val="000D47AA"/>
    <w:rsid w:val="000D721F"/>
    <w:rsid w:val="000E069B"/>
    <w:rsid w:val="000E0E82"/>
    <w:rsid w:val="000E1DC5"/>
    <w:rsid w:val="000E223F"/>
    <w:rsid w:val="000E7D45"/>
    <w:rsid w:val="000F7851"/>
    <w:rsid w:val="00104E23"/>
    <w:rsid w:val="001060FE"/>
    <w:rsid w:val="00111B0C"/>
    <w:rsid w:val="00120D6C"/>
    <w:rsid w:val="001257EC"/>
    <w:rsid w:val="00132C6A"/>
    <w:rsid w:val="00133D33"/>
    <w:rsid w:val="00134D64"/>
    <w:rsid w:val="00135A30"/>
    <w:rsid w:val="0013612C"/>
    <w:rsid w:val="00137FF6"/>
    <w:rsid w:val="00141650"/>
    <w:rsid w:val="00162A12"/>
    <w:rsid w:val="00166530"/>
    <w:rsid w:val="001832BD"/>
    <w:rsid w:val="001943B5"/>
    <w:rsid w:val="00195134"/>
    <w:rsid w:val="001A145B"/>
    <w:rsid w:val="001A674C"/>
    <w:rsid w:val="001B3B24"/>
    <w:rsid w:val="001C0F98"/>
    <w:rsid w:val="001C2A42"/>
    <w:rsid w:val="001D63ED"/>
    <w:rsid w:val="001D7348"/>
    <w:rsid w:val="001E035B"/>
    <w:rsid w:val="001E0961"/>
    <w:rsid w:val="001E3EAE"/>
    <w:rsid w:val="001E6F32"/>
    <w:rsid w:val="001F2145"/>
    <w:rsid w:val="001F6262"/>
    <w:rsid w:val="001F67B0"/>
    <w:rsid w:val="001F7B3D"/>
    <w:rsid w:val="00205F9F"/>
    <w:rsid w:val="00210338"/>
    <w:rsid w:val="002115FC"/>
    <w:rsid w:val="0021423C"/>
    <w:rsid w:val="00230D00"/>
    <w:rsid w:val="00231DF7"/>
    <w:rsid w:val="00231FD1"/>
    <w:rsid w:val="002339E0"/>
    <w:rsid w:val="00233CF8"/>
    <w:rsid w:val="0023575D"/>
    <w:rsid w:val="00237148"/>
    <w:rsid w:val="0024222D"/>
    <w:rsid w:val="0024346D"/>
    <w:rsid w:val="00244B0E"/>
    <w:rsid w:val="00244F6C"/>
    <w:rsid w:val="002532C5"/>
    <w:rsid w:val="00260C03"/>
    <w:rsid w:val="0026540E"/>
    <w:rsid w:val="00275123"/>
    <w:rsid w:val="002807A1"/>
    <w:rsid w:val="00282240"/>
    <w:rsid w:val="0028572A"/>
    <w:rsid w:val="002948AD"/>
    <w:rsid w:val="00294C92"/>
    <w:rsid w:val="002A01CC"/>
    <w:rsid w:val="002A61B1"/>
    <w:rsid w:val="002A663C"/>
    <w:rsid w:val="002B444B"/>
    <w:rsid w:val="002B5887"/>
    <w:rsid w:val="002C0692"/>
    <w:rsid w:val="002C0E27"/>
    <w:rsid w:val="002C3040"/>
    <w:rsid w:val="002D022D"/>
    <w:rsid w:val="002D24BB"/>
    <w:rsid w:val="002E3D4B"/>
    <w:rsid w:val="002F2AF7"/>
    <w:rsid w:val="002F39A8"/>
    <w:rsid w:val="002F7E1C"/>
    <w:rsid w:val="00301A75"/>
    <w:rsid w:val="00302F70"/>
    <w:rsid w:val="0030336F"/>
    <w:rsid w:val="0030375E"/>
    <w:rsid w:val="00312A30"/>
    <w:rsid w:val="00320F72"/>
    <w:rsid w:val="0032463E"/>
    <w:rsid w:val="00326224"/>
    <w:rsid w:val="00337EE4"/>
    <w:rsid w:val="00340FFD"/>
    <w:rsid w:val="003506B1"/>
    <w:rsid w:val="00353B51"/>
    <w:rsid w:val="00356AC7"/>
    <w:rsid w:val="00357DCE"/>
    <w:rsid w:val="003609FA"/>
    <w:rsid w:val="003710C8"/>
    <w:rsid w:val="003750BE"/>
    <w:rsid w:val="00387B9D"/>
    <w:rsid w:val="0039364F"/>
    <w:rsid w:val="00396686"/>
    <w:rsid w:val="0039778E"/>
    <w:rsid w:val="003B4941"/>
    <w:rsid w:val="003C5714"/>
    <w:rsid w:val="003C6B9F"/>
    <w:rsid w:val="003C6E2A"/>
    <w:rsid w:val="003D0299"/>
    <w:rsid w:val="003E6D80"/>
    <w:rsid w:val="003F05FA"/>
    <w:rsid w:val="003F244A"/>
    <w:rsid w:val="003F30B8"/>
    <w:rsid w:val="003F4C45"/>
    <w:rsid w:val="003F5F7B"/>
    <w:rsid w:val="003F7D64"/>
    <w:rsid w:val="00414300"/>
    <w:rsid w:val="00425C67"/>
    <w:rsid w:val="00427E7A"/>
    <w:rsid w:val="00436307"/>
    <w:rsid w:val="00436C49"/>
    <w:rsid w:val="004415DB"/>
    <w:rsid w:val="00445366"/>
    <w:rsid w:val="00445CF4"/>
    <w:rsid w:val="00447F5B"/>
    <w:rsid w:val="00461DB0"/>
    <w:rsid w:val="00463926"/>
    <w:rsid w:val="004646E0"/>
    <w:rsid w:val="00464C9A"/>
    <w:rsid w:val="00474F3D"/>
    <w:rsid w:val="00477E3A"/>
    <w:rsid w:val="00483E5F"/>
    <w:rsid w:val="00485FF9"/>
    <w:rsid w:val="004907F0"/>
    <w:rsid w:val="0049140B"/>
    <w:rsid w:val="004923A5"/>
    <w:rsid w:val="00496BFB"/>
    <w:rsid w:val="004A15C7"/>
    <w:rsid w:val="004B013B"/>
    <w:rsid w:val="004B112B"/>
    <w:rsid w:val="004B49DE"/>
    <w:rsid w:val="004C01E4"/>
    <w:rsid w:val="004C086C"/>
    <w:rsid w:val="004C0E89"/>
    <w:rsid w:val="004C1F56"/>
    <w:rsid w:val="004C27BC"/>
    <w:rsid w:val="004D15F3"/>
    <w:rsid w:val="004D5311"/>
    <w:rsid w:val="004D5DCC"/>
    <w:rsid w:val="004E6A33"/>
    <w:rsid w:val="004F10AF"/>
    <w:rsid w:val="004F11A4"/>
    <w:rsid w:val="004F2389"/>
    <w:rsid w:val="004F304D"/>
    <w:rsid w:val="004F61BE"/>
    <w:rsid w:val="004F66B1"/>
    <w:rsid w:val="00511C07"/>
    <w:rsid w:val="005173A6"/>
    <w:rsid w:val="00520BAA"/>
    <w:rsid w:val="00525208"/>
    <w:rsid w:val="005257A5"/>
    <w:rsid w:val="005264C0"/>
    <w:rsid w:val="00526A8A"/>
    <w:rsid w:val="00531DF2"/>
    <w:rsid w:val="005442EE"/>
    <w:rsid w:val="00547353"/>
    <w:rsid w:val="005474E7"/>
    <w:rsid w:val="005512A3"/>
    <w:rsid w:val="005578CE"/>
    <w:rsid w:val="00562781"/>
    <w:rsid w:val="00563E83"/>
    <w:rsid w:val="0057271C"/>
    <w:rsid w:val="00572845"/>
    <w:rsid w:val="00592772"/>
    <w:rsid w:val="0059574A"/>
    <w:rsid w:val="005A1B9B"/>
    <w:rsid w:val="005A6751"/>
    <w:rsid w:val="005B07CC"/>
    <w:rsid w:val="005B092E"/>
    <w:rsid w:val="005B152C"/>
    <w:rsid w:val="005B1EE0"/>
    <w:rsid w:val="005B2B24"/>
    <w:rsid w:val="005B4425"/>
    <w:rsid w:val="005B4B94"/>
    <w:rsid w:val="005C3EE8"/>
    <w:rsid w:val="005D0C5B"/>
    <w:rsid w:val="005D34F9"/>
    <w:rsid w:val="005D4190"/>
    <w:rsid w:val="005D67A3"/>
    <w:rsid w:val="005E2988"/>
    <w:rsid w:val="005E2A43"/>
    <w:rsid w:val="005E3085"/>
    <w:rsid w:val="005F51E1"/>
    <w:rsid w:val="0060433F"/>
    <w:rsid w:val="00610FF1"/>
    <w:rsid w:val="00611C80"/>
    <w:rsid w:val="00620692"/>
    <w:rsid w:val="006242CA"/>
    <w:rsid w:val="00625CE4"/>
    <w:rsid w:val="00625DE7"/>
    <w:rsid w:val="00627507"/>
    <w:rsid w:val="00633717"/>
    <w:rsid w:val="006344E1"/>
    <w:rsid w:val="006545C4"/>
    <w:rsid w:val="00661971"/>
    <w:rsid w:val="00661CE8"/>
    <w:rsid w:val="006623D9"/>
    <w:rsid w:val="0066550C"/>
    <w:rsid w:val="006716F2"/>
    <w:rsid w:val="00682BF2"/>
    <w:rsid w:val="006859CE"/>
    <w:rsid w:val="00691270"/>
    <w:rsid w:val="00694BA8"/>
    <w:rsid w:val="006A037C"/>
    <w:rsid w:val="006A36F4"/>
    <w:rsid w:val="006A406F"/>
    <w:rsid w:val="006A5D3A"/>
    <w:rsid w:val="006C23D4"/>
    <w:rsid w:val="006C7BB0"/>
    <w:rsid w:val="006D3237"/>
    <w:rsid w:val="006E2E37"/>
    <w:rsid w:val="006E3CF1"/>
    <w:rsid w:val="006E7E80"/>
    <w:rsid w:val="006F1DF9"/>
    <w:rsid w:val="006F24DB"/>
    <w:rsid w:val="006F48CA"/>
    <w:rsid w:val="006F64DD"/>
    <w:rsid w:val="00713AC0"/>
    <w:rsid w:val="00715127"/>
    <w:rsid w:val="00715E8E"/>
    <w:rsid w:val="00723580"/>
    <w:rsid w:val="00723755"/>
    <w:rsid w:val="0073136C"/>
    <w:rsid w:val="00731F0F"/>
    <w:rsid w:val="00733250"/>
    <w:rsid w:val="00741404"/>
    <w:rsid w:val="007449E5"/>
    <w:rsid w:val="00746C5A"/>
    <w:rsid w:val="00747FF0"/>
    <w:rsid w:val="00763D01"/>
    <w:rsid w:val="00764D4E"/>
    <w:rsid w:val="00765A1F"/>
    <w:rsid w:val="00775B6D"/>
    <w:rsid w:val="00776D68"/>
    <w:rsid w:val="007850EE"/>
    <w:rsid w:val="00785B95"/>
    <w:rsid w:val="00790E96"/>
    <w:rsid w:val="00793366"/>
    <w:rsid w:val="00793F58"/>
    <w:rsid w:val="007A716F"/>
    <w:rsid w:val="007B270A"/>
    <w:rsid w:val="007C0695"/>
    <w:rsid w:val="007C419A"/>
    <w:rsid w:val="007C4CC8"/>
    <w:rsid w:val="007C5426"/>
    <w:rsid w:val="007C5798"/>
    <w:rsid w:val="007D4832"/>
    <w:rsid w:val="007E21B2"/>
    <w:rsid w:val="007E2C4E"/>
    <w:rsid w:val="007F1905"/>
    <w:rsid w:val="007F21BD"/>
    <w:rsid w:val="00801300"/>
    <w:rsid w:val="00802C64"/>
    <w:rsid w:val="00802CC6"/>
    <w:rsid w:val="00805E52"/>
    <w:rsid w:val="008061D0"/>
    <w:rsid w:val="00810B38"/>
    <w:rsid w:val="008204C7"/>
    <w:rsid w:val="00820992"/>
    <w:rsid w:val="00823602"/>
    <w:rsid w:val="008255F5"/>
    <w:rsid w:val="0083014E"/>
    <w:rsid w:val="0083214A"/>
    <w:rsid w:val="00834220"/>
    <w:rsid w:val="00845723"/>
    <w:rsid w:val="00851EF9"/>
    <w:rsid w:val="008577FD"/>
    <w:rsid w:val="00860B03"/>
    <w:rsid w:val="0086497A"/>
    <w:rsid w:val="00867E82"/>
    <w:rsid w:val="008713A1"/>
    <w:rsid w:val="008754AB"/>
    <w:rsid w:val="0088060C"/>
    <w:rsid w:val="00893576"/>
    <w:rsid w:val="00893E73"/>
    <w:rsid w:val="008A43C4"/>
    <w:rsid w:val="008B02DC"/>
    <w:rsid w:val="008B052C"/>
    <w:rsid w:val="008B57CE"/>
    <w:rsid w:val="008B659F"/>
    <w:rsid w:val="008C26DE"/>
    <w:rsid w:val="008D2225"/>
    <w:rsid w:val="008D4752"/>
    <w:rsid w:val="008E271C"/>
    <w:rsid w:val="008E418E"/>
    <w:rsid w:val="008E5BC6"/>
    <w:rsid w:val="008E6A25"/>
    <w:rsid w:val="008F5193"/>
    <w:rsid w:val="009013A7"/>
    <w:rsid w:val="009017FB"/>
    <w:rsid w:val="009017FC"/>
    <w:rsid w:val="00903B43"/>
    <w:rsid w:val="0090506B"/>
    <w:rsid w:val="009050C9"/>
    <w:rsid w:val="009066FC"/>
    <w:rsid w:val="009140A3"/>
    <w:rsid w:val="009144A2"/>
    <w:rsid w:val="0091510C"/>
    <w:rsid w:val="00922718"/>
    <w:rsid w:val="009259AC"/>
    <w:rsid w:val="00926F38"/>
    <w:rsid w:val="00934301"/>
    <w:rsid w:val="00936CD1"/>
    <w:rsid w:val="00941747"/>
    <w:rsid w:val="00941EFB"/>
    <w:rsid w:val="00947AFB"/>
    <w:rsid w:val="00951D7D"/>
    <w:rsid w:val="009630C7"/>
    <w:rsid w:val="00972B55"/>
    <w:rsid w:val="009743B7"/>
    <w:rsid w:val="0098228B"/>
    <w:rsid w:val="009828DA"/>
    <w:rsid w:val="00985BAB"/>
    <w:rsid w:val="00997F03"/>
    <w:rsid w:val="009A46DF"/>
    <w:rsid w:val="009B0979"/>
    <w:rsid w:val="009B1B5F"/>
    <w:rsid w:val="009B2EC2"/>
    <w:rsid w:val="009B6673"/>
    <w:rsid w:val="009C191B"/>
    <w:rsid w:val="009C2280"/>
    <w:rsid w:val="009C2BD6"/>
    <w:rsid w:val="009E1F32"/>
    <w:rsid w:val="009E5829"/>
    <w:rsid w:val="009E776C"/>
    <w:rsid w:val="00A1726E"/>
    <w:rsid w:val="00A204CF"/>
    <w:rsid w:val="00A23D49"/>
    <w:rsid w:val="00A27004"/>
    <w:rsid w:val="00A30C29"/>
    <w:rsid w:val="00A34DD6"/>
    <w:rsid w:val="00A36819"/>
    <w:rsid w:val="00A36989"/>
    <w:rsid w:val="00A43628"/>
    <w:rsid w:val="00A54192"/>
    <w:rsid w:val="00A6035E"/>
    <w:rsid w:val="00A6144C"/>
    <w:rsid w:val="00A66617"/>
    <w:rsid w:val="00A671F8"/>
    <w:rsid w:val="00A673A4"/>
    <w:rsid w:val="00A724AE"/>
    <w:rsid w:val="00A73329"/>
    <w:rsid w:val="00A82359"/>
    <w:rsid w:val="00A865D2"/>
    <w:rsid w:val="00A94C20"/>
    <w:rsid w:val="00AA227F"/>
    <w:rsid w:val="00AA3BC7"/>
    <w:rsid w:val="00AA754A"/>
    <w:rsid w:val="00AB099E"/>
    <w:rsid w:val="00AB4328"/>
    <w:rsid w:val="00AB5FA0"/>
    <w:rsid w:val="00AB7D63"/>
    <w:rsid w:val="00AE0A2E"/>
    <w:rsid w:val="00AE354C"/>
    <w:rsid w:val="00AF4B07"/>
    <w:rsid w:val="00AF6186"/>
    <w:rsid w:val="00AF7A3A"/>
    <w:rsid w:val="00B04616"/>
    <w:rsid w:val="00B160DB"/>
    <w:rsid w:val="00B20836"/>
    <w:rsid w:val="00B235BB"/>
    <w:rsid w:val="00B27A44"/>
    <w:rsid w:val="00B30BBF"/>
    <w:rsid w:val="00B33C03"/>
    <w:rsid w:val="00B44E56"/>
    <w:rsid w:val="00B46543"/>
    <w:rsid w:val="00B47D33"/>
    <w:rsid w:val="00B52BE0"/>
    <w:rsid w:val="00B54133"/>
    <w:rsid w:val="00B701ED"/>
    <w:rsid w:val="00B8086C"/>
    <w:rsid w:val="00B861B4"/>
    <w:rsid w:val="00B86DFE"/>
    <w:rsid w:val="00B90990"/>
    <w:rsid w:val="00B922FF"/>
    <w:rsid w:val="00B9281E"/>
    <w:rsid w:val="00B93925"/>
    <w:rsid w:val="00B95187"/>
    <w:rsid w:val="00BA2D55"/>
    <w:rsid w:val="00BA71B1"/>
    <w:rsid w:val="00BB0637"/>
    <w:rsid w:val="00BB345F"/>
    <w:rsid w:val="00BB5883"/>
    <w:rsid w:val="00BB68EA"/>
    <w:rsid w:val="00BC1C27"/>
    <w:rsid w:val="00BC6BBF"/>
    <w:rsid w:val="00BD1572"/>
    <w:rsid w:val="00BD3C61"/>
    <w:rsid w:val="00BE14E3"/>
    <w:rsid w:val="00BE3774"/>
    <w:rsid w:val="00BE41E5"/>
    <w:rsid w:val="00BF0BBB"/>
    <w:rsid w:val="00BF4109"/>
    <w:rsid w:val="00BF4CC3"/>
    <w:rsid w:val="00C054C7"/>
    <w:rsid w:val="00C057B5"/>
    <w:rsid w:val="00C22687"/>
    <w:rsid w:val="00C32E4D"/>
    <w:rsid w:val="00C333A0"/>
    <w:rsid w:val="00C350F1"/>
    <w:rsid w:val="00C36A81"/>
    <w:rsid w:val="00C41974"/>
    <w:rsid w:val="00C447AD"/>
    <w:rsid w:val="00C53F4A"/>
    <w:rsid w:val="00C54125"/>
    <w:rsid w:val="00C55B54"/>
    <w:rsid w:val="00C6098E"/>
    <w:rsid w:val="00C6152C"/>
    <w:rsid w:val="00C621C2"/>
    <w:rsid w:val="00C74810"/>
    <w:rsid w:val="00C90D68"/>
    <w:rsid w:val="00C939FE"/>
    <w:rsid w:val="00CA4BDA"/>
    <w:rsid w:val="00CB05FD"/>
    <w:rsid w:val="00CB1F66"/>
    <w:rsid w:val="00CB2951"/>
    <w:rsid w:val="00CD282B"/>
    <w:rsid w:val="00CD4C35"/>
    <w:rsid w:val="00CD7369"/>
    <w:rsid w:val="00CE0B0E"/>
    <w:rsid w:val="00CE3831"/>
    <w:rsid w:val="00D00ABB"/>
    <w:rsid w:val="00D02EEC"/>
    <w:rsid w:val="00D03551"/>
    <w:rsid w:val="00D06A63"/>
    <w:rsid w:val="00D07E0E"/>
    <w:rsid w:val="00D11478"/>
    <w:rsid w:val="00D15CBD"/>
    <w:rsid w:val="00D15ED0"/>
    <w:rsid w:val="00D21B3E"/>
    <w:rsid w:val="00D21FED"/>
    <w:rsid w:val="00D24251"/>
    <w:rsid w:val="00D343E2"/>
    <w:rsid w:val="00D361A2"/>
    <w:rsid w:val="00D3767A"/>
    <w:rsid w:val="00D44C2E"/>
    <w:rsid w:val="00D45414"/>
    <w:rsid w:val="00D566BD"/>
    <w:rsid w:val="00D574C9"/>
    <w:rsid w:val="00D57A4D"/>
    <w:rsid w:val="00D60AA7"/>
    <w:rsid w:val="00D60D87"/>
    <w:rsid w:val="00D6435F"/>
    <w:rsid w:val="00D75E28"/>
    <w:rsid w:val="00D772C2"/>
    <w:rsid w:val="00D8008E"/>
    <w:rsid w:val="00D82C45"/>
    <w:rsid w:val="00D908A8"/>
    <w:rsid w:val="00D977B6"/>
    <w:rsid w:val="00DA4A31"/>
    <w:rsid w:val="00DA7B04"/>
    <w:rsid w:val="00DB36C2"/>
    <w:rsid w:val="00DB7196"/>
    <w:rsid w:val="00DC169B"/>
    <w:rsid w:val="00DC2AB9"/>
    <w:rsid w:val="00DC63F0"/>
    <w:rsid w:val="00DD0E01"/>
    <w:rsid w:val="00DD6EE5"/>
    <w:rsid w:val="00DE386C"/>
    <w:rsid w:val="00DE4D35"/>
    <w:rsid w:val="00DE752D"/>
    <w:rsid w:val="00DF0549"/>
    <w:rsid w:val="00DF098B"/>
    <w:rsid w:val="00DF11C4"/>
    <w:rsid w:val="00DF210C"/>
    <w:rsid w:val="00DF4B6A"/>
    <w:rsid w:val="00E02C09"/>
    <w:rsid w:val="00E04D59"/>
    <w:rsid w:val="00E07DA1"/>
    <w:rsid w:val="00E123CB"/>
    <w:rsid w:val="00E20E13"/>
    <w:rsid w:val="00E21DBC"/>
    <w:rsid w:val="00E275D7"/>
    <w:rsid w:val="00E27DBE"/>
    <w:rsid w:val="00E32AB1"/>
    <w:rsid w:val="00E36C71"/>
    <w:rsid w:val="00E40404"/>
    <w:rsid w:val="00E459C6"/>
    <w:rsid w:val="00E47589"/>
    <w:rsid w:val="00E64915"/>
    <w:rsid w:val="00E661D4"/>
    <w:rsid w:val="00E70091"/>
    <w:rsid w:val="00E720F5"/>
    <w:rsid w:val="00E76D47"/>
    <w:rsid w:val="00E849F7"/>
    <w:rsid w:val="00E90302"/>
    <w:rsid w:val="00E9597F"/>
    <w:rsid w:val="00E97396"/>
    <w:rsid w:val="00EA185E"/>
    <w:rsid w:val="00EA576C"/>
    <w:rsid w:val="00EA592A"/>
    <w:rsid w:val="00EB14E4"/>
    <w:rsid w:val="00EB32A5"/>
    <w:rsid w:val="00EB34ED"/>
    <w:rsid w:val="00EB7BE0"/>
    <w:rsid w:val="00EC315E"/>
    <w:rsid w:val="00ED077C"/>
    <w:rsid w:val="00ED1190"/>
    <w:rsid w:val="00ED6544"/>
    <w:rsid w:val="00EE0277"/>
    <w:rsid w:val="00EE1DA9"/>
    <w:rsid w:val="00EE3E00"/>
    <w:rsid w:val="00EE5DD2"/>
    <w:rsid w:val="00EF41F1"/>
    <w:rsid w:val="00EF4F08"/>
    <w:rsid w:val="00F00A79"/>
    <w:rsid w:val="00F00E86"/>
    <w:rsid w:val="00F07C1E"/>
    <w:rsid w:val="00F105DB"/>
    <w:rsid w:val="00F132BC"/>
    <w:rsid w:val="00F13D80"/>
    <w:rsid w:val="00F16AAA"/>
    <w:rsid w:val="00F21161"/>
    <w:rsid w:val="00F218EF"/>
    <w:rsid w:val="00F21BC7"/>
    <w:rsid w:val="00F266A2"/>
    <w:rsid w:val="00F32269"/>
    <w:rsid w:val="00F32A62"/>
    <w:rsid w:val="00F56A6F"/>
    <w:rsid w:val="00F5709C"/>
    <w:rsid w:val="00F64EF1"/>
    <w:rsid w:val="00F8765F"/>
    <w:rsid w:val="00F90767"/>
    <w:rsid w:val="00FA685B"/>
    <w:rsid w:val="00FB0C01"/>
    <w:rsid w:val="00FC18F2"/>
    <w:rsid w:val="00FC39E5"/>
    <w:rsid w:val="00FC3A78"/>
    <w:rsid w:val="00FC5FFE"/>
    <w:rsid w:val="00FD1005"/>
    <w:rsid w:val="00FD3180"/>
    <w:rsid w:val="00FD6C75"/>
    <w:rsid w:val="00FE71B3"/>
    <w:rsid w:val="00FF42C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57" w:unhideWhenUsed="1"/>
    <w:lsdException w:name="footer" w:semiHidden="1" w:uiPriority="57"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5E2A43"/>
    <w:pPr>
      <w:jc w:val="both"/>
    </w:pPr>
    <w:rPr>
      <w:rFonts w:eastAsiaTheme="minorEastAsia"/>
      <w:sz w:val="24"/>
    </w:rPr>
  </w:style>
  <w:style w:type="paragraph" w:styleId="Heading1">
    <w:name w:val="heading 1"/>
    <w:basedOn w:val="Normal"/>
    <w:next w:val="Normal"/>
    <w:link w:val="Heading1Char"/>
    <w:uiPriority w:val="99"/>
    <w:semiHidden/>
    <w:rsid w:val="00941747"/>
    <w:pPr>
      <w:numPr>
        <w:numId w:val="11"/>
      </w:numPr>
      <w:spacing w:before="480"/>
      <w:contextualSpacing/>
      <w:jc w:val="left"/>
      <w:outlineLvl w:val="0"/>
    </w:pPr>
    <w:rPr>
      <w:rFonts w:asciiTheme="majorHAnsi" w:eastAsiaTheme="majorEastAsia" w:hAnsiTheme="majorHAnsi" w:cstheme="majorBidi"/>
      <w:b/>
      <w:bCs/>
      <w:color w:val="333333"/>
      <w:sz w:val="28"/>
      <w:szCs w:val="28"/>
    </w:rPr>
  </w:style>
  <w:style w:type="paragraph" w:styleId="Heading2">
    <w:name w:val="heading 2"/>
    <w:basedOn w:val="Normal"/>
    <w:next w:val="Normal"/>
    <w:link w:val="Heading2Char"/>
    <w:uiPriority w:val="99"/>
    <w:semiHidden/>
    <w:rsid w:val="00941747"/>
    <w:pPr>
      <w:numPr>
        <w:ilvl w:val="1"/>
        <w:numId w:val="11"/>
      </w:numPr>
      <w:spacing w:before="200"/>
      <w:jc w:val="left"/>
      <w:outlineLvl w:val="1"/>
    </w:pPr>
    <w:rPr>
      <w:rFonts w:asciiTheme="majorHAnsi" w:eastAsiaTheme="majorEastAsia" w:hAnsiTheme="majorHAnsi" w:cstheme="majorBidi"/>
      <w:b/>
      <w:bCs/>
      <w:color w:val="4D4D4D"/>
      <w:sz w:val="26"/>
      <w:szCs w:val="26"/>
    </w:rPr>
  </w:style>
  <w:style w:type="paragraph" w:styleId="Heading3">
    <w:name w:val="heading 3"/>
    <w:basedOn w:val="Normal"/>
    <w:next w:val="Normal"/>
    <w:link w:val="Heading3Char"/>
    <w:uiPriority w:val="99"/>
    <w:semiHidden/>
    <w:rsid w:val="00941747"/>
    <w:pPr>
      <w:numPr>
        <w:ilvl w:val="2"/>
        <w:numId w:val="11"/>
      </w:numPr>
      <w:spacing w:before="200" w:line="271" w:lineRule="auto"/>
      <w:jc w:val="left"/>
      <w:outlineLvl w:val="2"/>
    </w:pPr>
    <w:rPr>
      <w:rFonts w:asciiTheme="majorHAnsi" w:eastAsiaTheme="majorEastAsia" w:hAnsiTheme="majorHAnsi" w:cstheme="majorBidi"/>
      <w:b/>
      <w:bCs/>
      <w:color w:val="5F5F5F"/>
    </w:rPr>
  </w:style>
  <w:style w:type="paragraph" w:styleId="Heading4">
    <w:name w:val="heading 4"/>
    <w:basedOn w:val="Normal"/>
    <w:next w:val="Normal"/>
    <w:link w:val="Heading4Char"/>
    <w:uiPriority w:val="99"/>
    <w:semiHidden/>
    <w:rsid w:val="00941747"/>
    <w:pPr>
      <w:numPr>
        <w:ilvl w:val="3"/>
        <w:numId w:val="11"/>
      </w:numPr>
      <w:spacing w:before="200"/>
      <w:jc w:val="left"/>
      <w:outlineLvl w:val="3"/>
    </w:pPr>
    <w:rPr>
      <w:rFonts w:asciiTheme="majorHAnsi" w:eastAsiaTheme="majorEastAsia" w:hAnsiTheme="majorHAnsi" w:cstheme="majorBidi"/>
      <w:b/>
      <w:bCs/>
      <w:i/>
      <w:iCs/>
      <w:color w:val="777777"/>
    </w:rPr>
  </w:style>
  <w:style w:type="paragraph" w:styleId="Heading5">
    <w:name w:val="heading 5"/>
    <w:basedOn w:val="Normal"/>
    <w:next w:val="Normal"/>
    <w:link w:val="Heading5Char"/>
    <w:uiPriority w:val="99"/>
    <w:semiHidden/>
    <w:qFormat/>
    <w:rsid w:val="00014566"/>
    <w:pPr>
      <w:spacing w:before="200"/>
      <w:outlineLvl w:val="4"/>
    </w:pPr>
    <w:rPr>
      <w:rFonts w:asciiTheme="majorHAnsi" w:eastAsiaTheme="majorEastAsia" w:hAnsiTheme="majorHAnsi" w:cstheme="majorBidi"/>
      <w:b/>
      <w:bCs/>
      <w:color w:val="808080"/>
      <w:sz w:val="22"/>
    </w:rPr>
  </w:style>
  <w:style w:type="paragraph" w:styleId="Heading6">
    <w:name w:val="heading 6"/>
    <w:basedOn w:val="Normal"/>
    <w:next w:val="Normal"/>
    <w:link w:val="Heading6Char"/>
    <w:uiPriority w:val="99"/>
    <w:semiHidden/>
    <w:rsid w:val="00941747"/>
    <w:pPr>
      <w:numPr>
        <w:ilvl w:val="5"/>
        <w:numId w:val="11"/>
      </w:numPr>
      <w:spacing w:line="271" w:lineRule="auto"/>
      <w:jc w:val="left"/>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9"/>
    <w:semiHidden/>
    <w:qFormat/>
    <w:rsid w:val="00014566"/>
    <w:pPr>
      <w:outlineLvl w:val="6"/>
    </w:pPr>
    <w:rPr>
      <w:rFonts w:asciiTheme="majorHAnsi" w:eastAsiaTheme="majorEastAsia" w:hAnsiTheme="majorHAnsi" w:cstheme="majorBidi"/>
      <w:i/>
      <w:iCs/>
      <w:sz w:val="22"/>
      <w:lang w:bidi="en-US"/>
    </w:rPr>
  </w:style>
  <w:style w:type="paragraph" w:styleId="Heading8">
    <w:name w:val="heading 8"/>
    <w:basedOn w:val="Normal"/>
    <w:next w:val="Normal"/>
    <w:link w:val="Heading8Char"/>
    <w:uiPriority w:val="99"/>
    <w:semiHidden/>
    <w:qFormat/>
    <w:rsid w:val="00014566"/>
    <w:pPr>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9"/>
    <w:semiHidden/>
    <w:qFormat/>
    <w:rsid w:val="00014566"/>
    <w:pPr>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941747"/>
    <w:rPr>
      <w:rFonts w:ascii="Tahoma" w:hAnsi="Tahoma" w:cs="Tahoma"/>
      <w:sz w:val="16"/>
      <w:szCs w:val="16"/>
    </w:rPr>
  </w:style>
  <w:style w:type="character" w:customStyle="1" w:styleId="BalloonTextChar">
    <w:name w:val="Balloon Text Char"/>
    <w:basedOn w:val="DefaultParagraphFont"/>
    <w:link w:val="BalloonText"/>
    <w:uiPriority w:val="99"/>
    <w:semiHidden/>
    <w:rsid w:val="00A671F8"/>
    <w:rPr>
      <w:rFonts w:ascii="Tahoma" w:eastAsiaTheme="minorEastAsia" w:hAnsi="Tahoma" w:cs="Tahoma"/>
      <w:sz w:val="16"/>
      <w:szCs w:val="16"/>
    </w:rPr>
  </w:style>
  <w:style w:type="character" w:styleId="BookTitle">
    <w:name w:val="Book Title"/>
    <w:uiPriority w:val="99"/>
    <w:semiHidden/>
    <w:qFormat/>
    <w:rsid w:val="00014566"/>
    <w:rPr>
      <w:i/>
      <w:iCs/>
      <w:smallCaps/>
      <w:spacing w:val="5"/>
    </w:rPr>
  </w:style>
  <w:style w:type="paragraph" w:customStyle="1" w:styleId="ECHRHeader">
    <w:name w:val="ECHR_Header"/>
    <w:aliases w:val="Ju_Header"/>
    <w:basedOn w:val="Header"/>
    <w:uiPriority w:val="4"/>
    <w:qFormat/>
    <w:rsid w:val="00014566"/>
    <w:pPr>
      <w:tabs>
        <w:tab w:val="clear" w:pos="4536"/>
        <w:tab w:val="clear" w:pos="9696"/>
        <w:tab w:val="center" w:pos="3686"/>
        <w:tab w:val="right" w:pos="7371"/>
      </w:tabs>
      <w:ind w:left="0" w:right="0"/>
      <w:jc w:val="left"/>
    </w:pPr>
    <w:rPr>
      <w:rFonts w:eastAsiaTheme="minorHAnsi"/>
      <w:sz w:val="18"/>
    </w:rPr>
  </w:style>
  <w:style w:type="paragraph" w:customStyle="1" w:styleId="OpiPara">
    <w:name w:val="Opi_Para"/>
    <w:basedOn w:val="Normal"/>
    <w:uiPriority w:val="46"/>
    <w:qFormat/>
    <w:rsid w:val="00C621C2"/>
    <w:pPr>
      <w:ind w:firstLine="284"/>
    </w:pPr>
  </w:style>
  <w:style w:type="character" w:styleId="Strong">
    <w:name w:val="Strong"/>
    <w:uiPriority w:val="22"/>
    <w:qFormat/>
    <w:rsid w:val="00014566"/>
    <w:rPr>
      <w:b/>
      <w:bCs/>
    </w:rPr>
  </w:style>
  <w:style w:type="paragraph" w:styleId="NoSpacing">
    <w:name w:val="No Spacing"/>
    <w:basedOn w:val="Normal"/>
    <w:link w:val="NoSpacingChar"/>
    <w:semiHidden/>
    <w:qFormat/>
    <w:rsid w:val="00014566"/>
    <w:rPr>
      <w:sz w:val="22"/>
    </w:rPr>
  </w:style>
  <w:style w:type="character" w:customStyle="1" w:styleId="NoSpacingChar">
    <w:name w:val="No Spacing Char"/>
    <w:basedOn w:val="DefaultParagraphFont"/>
    <w:link w:val="NoSpacing"/>
    <w:semiHidden/>
    <w:rsid w:val="00014566"/>
    <w:rPr>
      <w:rFonts w:eastAsiaTheme="minorEastAsia"/>
    </w:rPr>
  </w:style>
  <w:style w:type="paragraph" w:customStyle="1" w:styleId="JuParaSub">
    <w:name w:val="Ju_Para_Sub"/>
    <w:basedOn w:val="Normal"/>
    <w:uiPriority w:val="13"/>
    <w:qFormat/>
    <w:rsid w:val="00C621C2"/>
    <w:pPr>
      <w:ind w:left="284" w:firstLine="284"/>
    </w:pPr>
  </w:style>
  <w:style w:type="paragraph" w:customStyle="1" w:styleId="OpiParaSub">
    <w:name w:val="Opi_Para_Sub"/>
    <w:basedOn w:val="JuParaSub"/>
    <w:uiPriority w:val="47"/>
    <w:qFormat/>
    <w:rsid w:val="00014566"/>
  </w:style>
  <w:style w:type="paragraph" w:customStyle="1" w:styleId="OpiQuot">
    <w:name w:val="Opi_Quot"/>
    <w:basedOn w:val="ECHRParaQuote"/>
    <w:uiPriority w:val="48"/>
    <w:qFormat/>
    <w:rsid w:val="00014566"/>
  </w:style>
  <w:style w:type="paragraph" w:customStyle="1" w:styleId="OpiQuotSub">
    <w:name w:val="Opi_Quot_Sub"/>
    <w:basedOn w:val="JuQuotSub"/>
    <w:uiPriority w:val="49"/>
    <w:qFormat/>
    <w:rsid w:val="00014566"/>
  </w:style>
  <w:style w:type="paragraph" w:customStyle="1" w:styleId="ECHRTitleCentre3">
    <w:name w:val="ECHR_Title_Centre_3"/>
    <w:aliases w:val="Ju_H_Article"/>
    <w:basedOn w:val="Normal"/>
    <w:next w:val="ECHRParaQuote"/>
    <w:uiPriority w:val="27"/>
    <w:qFormat/>
    <w:rsid w:val="00014566"/>
    <w:pPr>
      <w:keepNext/>
      <w:keepLines/>
      <w:spacing w:before="240" w:after="120"/>
      <w:jc w:val="center"/>
      <w:outlineLvl w:val="3"/>
    </w:pPr>
    <w:rPr>
      <w:rFonts w:asciiTheme="majorHAnsi" w:hAnsiTheme="majorHAnsi"/>
      <w:b/>
      <w:sz w:val="20"/>
      <w:lang w:bidi="en-US"/>
    </w:rPr>
  </w:style>
  <w:style w:type="paragraph" w:customStyle="1" w:styleId="ECHRTitleCentre1">
    <w:name w:val="ECHR_Title_Centre_1"/>
    <w:aliases w:val="Opi_H_Head"/>
    <w:basedOn w:val="Normal"/>
    <w:next w:val="OpiPara"/>
    <w:uiPriority w:val="39"/>
    <w:qFormat/>
    <w:rsid w:val="00014566"/>
    <w:pPr>
      <w:keepNext/>
      <w:keepLines/>
      <w:spacing w:after="240"/>
      <w:jc w:val="center"/>
      <w:outlineLvl w:val="0"/>
    </w:pPr>
    <w:rPr>
      <w:rFonts w:asciiTheme="majorHAnsi" w:hAnsiTheme="majorHAnsi"/>
      <w:sz w:val="28"/>
    </w:rPr>
  </w:style>
  <w:style w:type="paragraph" w:customStyle="1" w:styleId="JuQuotSub">
    <w:name w:val="Ju_Quot_Sub"/>
    <w:basedOn w:val="ECHRParaQuote"/>
    <w:uiPriority w:val="15"/>
    <w:qFormat/>
    <w:rsid w:val="00014566"/>
    <w:pPr>
      <w:ind w:left="567"/>
    </w:pPr>
  </w:style>
  <w:style w:type="paragraph" w:customStyle="1" w:styleId="JuInitialled">
    <w:name w:val="Ju_Initialled"/>
    <w:basedOn w:val="Normal"/>
    <w:uiPriority w:val="31"/>
    <w:qFormat/>
    <w:rsid w:val="00014566"/>
    <w:pPr>
      <w:tabs>
        <w:tab w:val="center" w:pos="6407"/>
      </w:tabs>
      <w:spacing w:before="720"/>
      <w:jc w:val="right"/>
    </w:pPr>
  </w:style>
  <w:style w:type="paragraph" w:customStyle="1" w:styleId="OpiHA">
    <w:name w:val="Opi_H_A"/>
    <w:basedOn w:val="ECHRHeading1"/>
    <w:next w:val="OpiPara"/>
    <w:uiPriority w:val="41"/>
    <w:qFormat/>
    <w:rsid w:val="00014566"/>
    <w:pPr>
      <w:outlineLvl w:val="1"/>
    </w:pPr>
    <w:rPr>
      <w:bCs w:val="0"/>
    </w:rPr>
  </w:style>
  <w:style w:type="character" w:customStyle="1" w:styleId="JUNAMES">
    <w:name w:val="JU_NAMES"/>
    <w:uiPriority w:val="17"/>
    <w:qFormat/>
    <w:rsid w:val="00014566"/>
    <w:rPr>
      <w:caps w:val="0"/>
      <w:smallCaps/>
    </w:rPr>
  </w:style>
  <w:style w:type="paragraph" w:customStyle="1" w:styleId="OpiTranslation">
    <w:name w:val="Opi_Translation"/>
    <w:basedOn w:val="Normal"/>
    <w:next w:val="OpiPara"/>
    <w:uiPriority w:val="40"/>
    <w:qFormat/>
    <w:rsid w:val="00014566"/>
    <w:pPr>
      <w:jc w:val="center"/>
      <w:outlineLvl w:val="0"/>
    </w:pPr>
    <w:rPr>
      <w:i/>
    </w:rPr>
  </w:style>
  <w:style w:type="paragraph" w:styleId="Title">
    <w:name w:val="Title"/>
    <w:basedOn w:val="Normal"/>
    <w:next w:val="Normal"/>
    <w:link w:val="TitleChar"/>
    <w:uiPriority w:val="99"/>
    <w:semiHidden/>
    <w:qFormat/>
    <w:rsid w:val="00014566"/>
    <w:pPr>
      <w:pBdr>
        <w:bottom w:val="single" w:sz="4" w:space="1" w:color="auto"/>
      </w:pBdr>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99"/>
    <w:semiHidden/>
    <w:rsid w:val="00014566"/>
    <w:rPr>
      <w:rFonts w:asciiTheme="majorHAnsi" w:eastAsiaTheme="majorEastAsia" w:hAnsiTheme="majorHAnsi" w:cstheme="majorBidi"/>
      <w:spacing w:val="5"/>
      <w:sz w:val="52"/>
      <w:szCs w:val="52"/>
      <w:lang w:bidi="en-US"/>
    </w:rPr>
  </w:style>
  <w:style w:type="paragraph" w:customStyle="1" w:styleId="ECHRHeading3">
    <w:name w:val="ECHR_Heading_3"/>
    <w:aliases w:val="Ju_H_1."/>
    <w:basedOn w:val="Heading3"/>
    <w:next w:val="Normal"/>
    <w:qFormat/>
    <w:rsid w:val="00014566"/>
    <w:pPr>
      <w:keepNext/>
      <w:keepLines/>
      <w:numPr>
        <w:ilvl w:val="0"/>
        <w:numId w:val="0"/>
      </w:numPr>
      <w:tabs>
        <w:tab w:val="left" w:pos="731"/>
      </w:tabs>
      <w:spacing w:before="240" w:after="120" w:line="240" w:lineRule="auto"/>
      <w:ind w:left="732" w:hanging="301"/>
      <w:jc w:val="both"/>
    </w:pPr>
    <w:rPr>
      <w:b w:val="0"/>
      <w:i/>
      <w:color w:val="auto"/>
    </w:rPr>
  </w:style>
  <w:style w:type="paragraph" w:customStyle="1" w:styleId="ECHRHeading4">
    <w:name w:val="ECHR_Heading_4"/>
    <w:aliases w:val="Ju_H_a"/>
    <w:basedOn w:val="Heading4"/>
    <w:next w:val="Normal"/>
    <w:uiPriority w:val="22"/>
    <w:qFormat/>
    <w:rsid w:val="00014566"/>
    <w:pPr>
      <w:keepNext/>
      <w:keepLines/>
      <w:numPr>
        <w:ilvl w:val="0"/>
        <w:numId w:val="0"/>
      </w:numPr>
      <w:tabs>
        <w:tab w:val="left" w:pos="975"/>
      </w:tabs>
      <w:spacing w:before="240" w:after="120"/>
      <w:ind w:left="975" w:hanging="340"/>
      <w:jc w:val="both"/>
    </w:pPr>
    <w:rPr>
      <w:i w:val="0"/>
      <w:color w:val="auto"/>
      <w:sz w:val="20"/>
    </w:rPr>
  </w:style>
  <w:style w:type="paragraph" w:customStyle="1" w:styleId="ECHRHeading5">
    <w:name w:val="ECHR_Heading_5"/>
    <w:aliases w:val="Ju_H_i"/>
    <w:basedOn w:val="Heading5"/>
    <w:next w:val="Normal"/>
    <w:uiPriority w:val="23"/>
    <w:qFormat/>
    <w:rsid w:val="00014566"/>
    <w:pPr>
      <w:keepNext/>
      <w:keepLines/>
      <w:tabs>
        <w:tab w:val="left" w:pos="1191"/>
      </w:tabs>
      <w:spacing w:before="240" w:after="120"/>
      <w:ind w:left="1190" w:hanging="357"/>
    </w:pPr>
    <w:rPr>
      <w:b w:val="0"/>
      <w:i/>
      <w:color w:val="auto"/>
      <w:sz w:val="20"/>
    </w:rPr>
  </w:style>
  <w:style w:type="paragraph" w:customStyle="1" w:styleId="ECHRHeading6">
    <w:name w:val="ECHR_Heading_6"/>
    <w:aliases w:val="Ju_H_alpha"/>
    <w:basedOn w:val="Heading6"/>
    <w:next w:val="Normal"/>
    <w:uiPriority w:val="24"/>
    <w:qFormat/>
    <w:rsid w:val="00014566"/>
    <w:pPr>
      <w:keepNext/>
      <w:keepLines/>
      <w:numPr>
        <w:ilvl w:val="0"/>
        <w:numId w:val="0"/>
      </w:numPr>
      <w:tabs>
        <w:tab w:val="left" w:pos="1372"/>
      </w:tabs>
      <w:spacing w:before="240" w:after="120" w:line="240" w:lineRule="auto"/>
      <w:ind w:left="1373" w:hanging="335"/>
      <w:jc w:val="both"/>
    </w:pPr>
    <w:rPr>
      <w:b w:val="0"/>
      <w:color w:val="auto"/>
      <w:sz w:val="20"/>
    </w:rPr>
  </w:style>
  <w:style w:type="paragraph" w:customStyle="1" w:styleId="ECHRHeading7">
    <w:name w:val="ECHR_Heading_7"/>
    <w:aliases w:val="Ju_H_–"/>
    <w:basedOn w:val="Heading7"/>
    <w:next w:val="Normal"/>
    <w:uiPriority w:val="25"/>
    <w:qFormat/>
    <w:rsid w:val="00014566"/>
    <w:pPr>
      <w:keepNext/>
      <w:keepLines/>
      <w:spacing w:before="240" w:after="120"/>
      <w:ind w:left="1236"/>
    </w:pPr>
    <w:rPr>
      <w:sz w:val="20"/>
    </w:rPr>
  </w:style>
  <w:style w:type="paragraph" w:customStyle="1" w:styleId="OpiH1">
    <w:name w:val="Opi_H_1"/>
    <w:basedOn w:val="ECHRHeading2"/>
    <w:uiPriority w:val="42"/>
    <w:qFormat/>
    <w:rsid w:val="00014566"/>
    <w:pPr>
      <w:ind w:left="635" w:hanging="357"/>
      <w:outlineLvl w:val="2"/>
    </w:pPr>
  </w:style>
  <w:style w:type="paragraph" w:customStyle="1" w:styleId="OpiHa0">
    <w:name w:val="Opi_H_a"/>
    <w:basedOn w:val="ECHRHeading3"/>
    <w:uiPriority w:val="43"/>
    <w:qFormat/>
    <w:rsid w:val="00014566"/>
    <w:pPr>
      <w:ind w:left="833" w:hanging="357"/>
      <w:outlineLvl w:val="3"/>
    </w:pPr>
    <w:rPr>
      <w:b/>
      <w:i w:val="0"/>
      <w:sz w:val="20"/>
    </w:rPr>
  </w:style>
  <w:style w:type="paragraph" w:customStyle="1" w:styleId="OpiHi">
    <w:name w:val="Opi_H_i"/>
    <w:basedOn w:val="ECHRHeading4"/>
    <w:uiPriority w:val="44"/>
    <w:qFormat/>
    <w:rsid w:val="00014566"/>
    <w:pPr>
      <w:ind w:left="1037" w:hanging="357"/>
      <w:outlineLvl w:val="4"/>
    </w:pPr>
    <w:rPr>
      <w:b w:val="0"/>
      <w:i/>
    </w:rPr>
  </w:style>
  <w:style w:type="paragraph" w:styleId="Header">
    <w:name w:val="header"/>
    <w:basedOn w:val="Normal"/>
    <w:link w:val="HeaderChar"/>
    <w:uiPriority w:val="57"/>
    <w:semiHidden/>
    <w:rsid w:val="00941747"/>
    <w:pPr>
      <w:tabs>
        <w:tab w:val="center" w:pos="4536"/>
        <w:tab w:val="right" w:pos="9696"/>
      </w:tabs>
      <w:ind w:left="-680" w:right="-680"/>
    </w:pPr>
  </w:style>
  <w:style w:type="character" w:customStyle="1" w:styleId="HeaderChar">
    <w:name w:val="Header Char"/>
    <w:basedOn w:val="DefaultParagraphFont"/>
    <w:link w:val="Header"/>
    <w:uiPriority w:val="57"/>
    <w:semiHidden/>
    <w:rsid w:val="008D4752"/>
  </w:style>
  <w:style w:type="character" w:customStyle="1" w:styleId="Heading1Char">
    <w:name w:val="Heading 1 Char"/>
    <w:basedOn w:val="DefaultParagraphFont"/>
    <w:link w:val="Heading1"/>
    <w:uiPriority w:val="99"/>
    <w:semiHidden/>
    <w:rsid w:val="00A671F8"/>
    <w:rPr>
      <w:rFonts w:asciiTheme="majorHAnsi" w:eastAsiaTheme="majorEastAsia" w:hAnsiTheme="majorHAnsi" w:cstheme="majorBidi"/>
      <w:b/>
      <w:bCs/>
      <w:color w:val="333333"/>
      <w:sz w:val="28"/>
      <w:szCs w:val="28"/>
    </w:rPr>
  </w:style>
  <w:style w:type="paragraph" w:customStyle="1" w:styleId="ECHRHeading1">
    <w:name w:val="ECHR_Heading_1"/>
    <w:aliases w:val="Ju_H_I_Roman"/>
    <w:basedOn w:val="Heading1"/>
    <w:next w:val="Normal"/>
    <w:uiPriority w:val="19"/>
    <w:qFormat/>
    <w:rsid w:val="00014566"/>
    <w:pPr>
      <w:keepNext/>
      <w:keepLines/>
      <w:numPr>
        <w:numId w:val="0"/>
      </w:numPr>
      <w:tabs>
        <w:tab w:val="left" w:pos="357"/>
      </w:tabs>
      <w:spacing w:before="360" w:after="240"/>
      <w:ind w:left="357" w:hanging="357"/>
      <w:contextualSpacing w:val="0"/>
      <w:jc w:val="both"/>
    </w:pPr>
    <w:rPr>
      <w:b w:val="0"/>
      <w:color w:val="auto"/>
      <w:sz w:val="24"/>
    </w:rPr>
  </w:style>
  <w:style w:type="paragraph" w:customStyle="1" w:styleId="ECHRHeading2">
    <w:name w:val="ECHR_Heading_2"/>
    <w:aliases w:val="Ju_H_A"/>
    <w:basedOn w:val="Heading2"/>
    <w:next w:val="Normal"/>
    <w:link w:val="JuHAChar"/>
    <w:qFormat/>
    <w:rsid w:val="00014566"/>
    <w:pPr>
      <w:keepNext/>
      <w:keepLines/>
      <w:numPr>
        <w:ilvl w:val="0"/>
        <w:numId w:val="0"/>
      </w:numPr>
      <w:tabs>
        <w:tab w:val="left" w:pos="584"/>
      </w:tabs>
      <w:spacing w:before="360" w:after="240"/>
      <w:ind w:left="584" w:hanging="352"/>
      <w:jc w:val="both"/>
    </w:pPr>
    <w:rPr>
      <w:color w:val="auto"/>
      <w:sz w:val="24"/>
    </w:rPr>
  </w:style>
  <w:style w:type="character" w:customStyle="1" w:styleId="Heading2Char">
    <w:name w:val="Heading 2 Char"/>
    <w:basedOn w:val="DefaultParagraphFont"/>
    <w:link w:val="Heading2"/>
    <w:uiPriority w:val="99"/>
    <w:semiHidden/>
    <w:rsid w:val="00A671F8"/>
    <w:rPr>
      <w:rFonts w:asciiTheme="majorHAnsi" w:eastAsiaTheme="majorEastAsia" w:hAnsiTheme="majorHAnsi" w:cstheme="majorBidi"/>
      <w:b/>
      <w:bCs/>
      <w:color w:val="4D4D4D"/>
      <w:sz w:val="26"/>
      <w:szCs w:val="26"/>
    </w:rPr>
  </w:style>
  <w:style w:type="paragraph" w:customStyle="1" w:styleId="DummyStyle">
    <w:name w:val="Dummy_Style"/>
    <w:basedOn w:val="Normal"/>
    <w:semiHidden/>
    <w:qFormat/>
    <w:rsid w:val="00014566"/>
    <w:rPr>
      <w:color w:val="00B050"/>
    </w:rPr>
  </w:style>
  <w:style w:type="paragraph" w:customStyle="1" w:styleId="JuCase">
    <w:name w:val="Ju_Case"/>
    <w:basedOn w:val="Normal"/>
    <w:next w:val="Normal"/>
    <w:uiPriority w:val="10"/>
    <w:rsid w:val="00D60D87"/>
    <w:pPr>
      <w:ind w:firstLine="284"/>
    </w:pPr>
    <w:rPr>
      <w:b/>
    </w:rPr>
  </w:style>
  <w:style w:type="character" w:customStyle="1" w:styleId="Heading3Char">
    <w:name w:val="Heading 3 Char"/>
    <w:basedOn w:val="DefaultParagraphFont"/>
    <w:link w:val="Heading3"/>
    <w:uiPriority w:val="99"/>
    <w:semiHidden/>
    <w:rsid w:val="00A671F8"/>
    <w:rPr>
      <w:rFonts w:asciiTheme="majorHAnsi" w:eastAsiaTheme="majorEastAsia" w:hAnsiTheme="majorHAnsi" w:cstheme="majorBidi"/>
      <w:b/>
      <w:bCs/>
      <w:color w:val="5F5F5F"/>
    </w:rPr>
  </w:style>
  <w:style w:type="character" w:customStyle="1" w:styleId="Heading4Char">
    <w:name w:val="Heading 4 Char"/>
    <w:basedOn w:val="DefaultParagraphFont"/>
    <w:link w:val="Heading4"/>
    <w:uiPriority w:val="99"/>
    <w:semiHidden/>
    <w:rsid w:val="00A671F8"/>
    <w:rPr>
      <w:rFonts w:asciiTheme="majorHAnsi" w:eastAsiaTheme="majorEastAsia" w:hAnsiTheme="majorHAnsi" w:cstheme="majorBidi"/>
      <w:b/>
      <w:bCs/>
      <w:i/>
      <w:iCs/>
      <w:color w:val="777777"/>
    </w:rPr>
  </w:style>
  <w:style w:type="character" w:customStyle="1" w:styleId="Heading5Char">
    <w:name w:val="Heading 5 Char"/>
    <w:basedOn w:val="DefaultParagraphFont"/>
    <w:link w:val="Heading5"/>
    <w:uiPriority w:val="99"/>
    <w:semiHidden/>
    <w:rsid w:val="00014566"/>
    <w:rPr>
      <w:rFonts w:asciiTheme="majorHAnsi" w:eastAsiaTheme="majorEastAsia" w:hAnsiTheme="majorHAnsi" w:cstheme="majorBidi"/>
      <w:b/>
      <w:bCs/>
      <w:color w:val="808080"/>
    </w:rPr>
  </w:style>
  <w:style w:type="character" w:styleId="SubtleEmphasis">
    <w:name w:val="Subtle Emphasis"/>
    <w:uiPriority w:val="99"/>
    <w:semiHidden/>
    <w:qFormat/>
    <w:rsid w:val="00014566"/>
    <w:rPr>
      <w:i/>
      <w:iCs/>
    </w:rPr>
  </w:style>
  <w:style w:type="table" w:customStyle="1" w:styleId="ECHRTable">
    <w:name w:val="ECHR_Table"/>
    <w:basedOn w:val="TableNormal"/>
    <w:rsid w:val="00860B03"/>
    <w:rPr>
      <w:rFonts w:eastAsia="Times New Roman" w:cs="Times New Roman"/>
      <w:sz w:val="20"/>
      <w:szCs w:val="20"/>
      <w:lang w:val="en-GB"/>
    </w:rPr>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tblStylePr w:type="firstCol">
      <w:rPr>
        <w:b/>
      </w:rPr>
    </w:tblStylePr>
    <w:tblStylePr w:type="band2Vert">
      <w:tblPr/>
      <w:tcPr>
        <w:tcBorders>
          <w:top w:val="nil"/>
          <w:left w:val="nil"/>
          <w:bottom w:val="nil"/>
          <w:right w:val="nil"/>
          <w:insideH w:val="nil"/>
          <w:insideV w:val="nil"/>
          <w:tl2br w:val="nil"/>
          <w:tr2bl w:val="nil"/>
        </w:tcBorders>
        <w:shd w:val="clear" w:color="auto" w:fill="DFDFDF" w:themeFill="background2" w:themeFillShade="E6"/>
      </w:tcPr>
    </w:tblStylePr>
    <w:tblStylePr w:type="band2Horz">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style>
  <w:style w:type="table" w:customStyle="1" w:styleId="ECHRTableBoxHeader">
    <w:name w:val="ECHR_Table_Box_Header"/>
    <w:basedOn w:val="TableNormal"/>
    <w:rsid w:val="004C086C"/>
    <w:rPr>
      <w:rFonts w:ascii="Verdana" w:eastAsia="Times New Roman" w:hAnsi="Verdana" w:cs="Times New Roman"/>
      <w:sz w:val="20"/>
      <w:szCs w:val="20"/>
      <w:lang w:val="en-GB"/>
    </w:rPr>
    <w:tblPr>
      <w:tblCellMar>
        <w:top w:w="57" w:type="dxa"/>
        <w:left w:w="57" w:type="dxa"/>
        <w:bottom w:w="57" w:type="dxa"/>
        <w:right w:w="57" w:type="dxa"/>
      </w:tblCellMar>
    </w:tblPr>
    <w:tcPr>
      <w:shd w:val="clear" w:color="auto" w:fill="F8F8F8" w:themeFill="background2"/>
    </w:tcPr>
    <w:tblStylePr w:type="firstCol">
      <w:rPr>
        <w:b/>
        <w:color w:val="5F5F5F" w:themeColor="accent3"/>
      </w:rPr>
    </w:tblStylePr>
  </w:style>
  <w:style w:type="paragraph" w:customStyle="1" w:styleId="ECHRTitle1">
    <w:name w:val="ECHR_Title_1"/>
    <w:aliases w:val="Ju_H_Head"/>
    <w:basedOn w:val="Normal"/>
    <w:next w:val="Normal"/>
    <w:uiPriority w:val="18"/>
    <w:qFormat/>
    <w:rsid w:val="00014566"/>
    <w:pPr>
      <w:keepNext/>
      <w:keepLines/>
      <w:spacing w:before="720" w:after="240"/>
      <w:outlineLvl w:val="0"/>
    </w:pPr>
    <w:rPr>
      <w:rFonts w:asciiTheme="majorHAnsi" w:hAnsiTheme="majorHAnsi"/>
      <w:sz w:val="28"/>
    </w:rPr>
  </w:style>
  <w:style w:type="character" w:styleId="Emphasis">
    <w:name w:val="Emphasis"/>
    <w:uiPriority w:val="99"/>
    <w:semiHidden/>
    <w:qFormat/>
    <w:rsid w:val="00014566"/>
    <w:rPr>
      <w:b/>
      <w:bCs/>
      <w:i/>
      <w:iCs/>
      <w:spacing w:val="10"/>
      <w:bdr w:val="none" w:sz="0" w:space="0" w:color="auto"/>
      <w:shd w:val="clear" w:color="auto" w:fill="auto"/>
    </w:rPr>
  </w:style>
  <w:style w:type="paragraph" w:styleId="Footer">
    <w:name w:val="footer"/>
    <w:basedOn w:val="Normal"/>
    <w:link w:val="FooterChar"/>
    <w:uiPriority w:val="57"/>
    <w:semiHidden/>
    <w:rsid w:val="00941747"/>
    <w:pPr>
      <w:tabs>
        <w:tab w:val="center" w:pos="4536"/>
        <w:tab w:val="right" w:pos="9696"/>
      </w:tabs>
      <w:ind w:left="-680" w:right="-680"/>
    </w:pPr>
  </w:style>
  <w:style w:type="character" w:customStyle="1" w:styleId="FooterChar">
    <w:name w:val="Footer Char"/>
    <w:basedOn w:val="DefaultParagraphFont"/>
    <w:link w:val="Footer"/>
    <w:uiPriority w:val="57"/>
    <w:semiHidden/>
    <w:rsid w:val="008D4752"/>
  </w:style>
  <w:style w:type="character" w:styleId="FootnoteReference">
    <w:name w:val="footnote reference"/>
    <w:basedOn w:val="DefaultParagraphFont"/>
    <w:uiPriority w:val="99"/>
    <w:semiHidden/>
    <w:rsid w:val="00941747"/>
    <w:rPr>
      <w:vertAlign w:val="superscript"/>
    </w:rPr>
  </w:style>
  <w:style w:type="paragraph" w:styleId="FootnoteText">
    <w:name w:val="footnote text"/>
    <w:basedOn w:val="Normal"/>
    <w:link w:val="FootnoteTextChar"/>
    <w:uiPriority w:val="99"/>
    <w:semiHidden/>
    <w:rsid w:val="00941747"/>
    <w:rPr>
      <w:sz w:val="20"/>
      <w:szCs w:val="20"/>
    </w:rPr>
  </w:style>
  <w:style w:type="character" w:customStyle="1" w:styleId="FootnoteTextChar">
    <w:name w:val="Footnote Text Char"/>
    <w:basedOn w:val="DefaultParagraphFont"/>
    <w:link w:val="FootnoteText"/>
    <w:uiPriority w:val="99"/>
    <w:semiHidden/>
    <w:rsid w:val="00A671F8"/>
    <w:rPr>
      <w:rFonts w:eastAsiaTheme="minorEastAsia"/>
      <w:sz w:val="20"/>
      <w:szCs w:val="20"/>
    </w:rPr>
  </w:style>
  <w:style w:type="character" w:customStyle="1" w:styleId="Heading6Char">
    <w:name w:val="Heading 6 Char"/>
    <w:basedOn w:val="DefaultParagraphFont"/>
    <w:link w:val="Heading6"/>
    <w:uiPriority w:val="99"/>
    <w:semiHidden/>
    <w:rsid w:val="00A671F8"/>
    <w:rPr>
      <w:rFonts w:asciiTheme="majorHAnsi" w:eastAsiaTheme="majorEastAsia" w:hAnsiTheme="majorHAnsi" w:cstheme="majorBidi"/>
      <w:b/>
      <w:bCs/>
      <w:i/>
      <w:iCs/>
      <w:color w:val="7F7F7F" w:themeColor="text1" w:themeTint="80"/>
      <w:lang w:bidi="en-US"/>
    </w:rPr>
  </w:style>
  <w:style w:type="character" w:customStyle="1" w:styleId="Heading7Char">
    <w:name w:val="Heading 7 Char"/>
    <w:basedOn w:val="DefaultParagraphFont"/>
    <w:link w:val="Heading7"/>
    <w:uiPriority w:val="99"/>
    <w:semiHidden/>
    <w:rsid w:val="00014566"/>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9"/>
    <w:semiHidden/>
    <w:rsid w:val="00014566"/>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9"/>
    <w:semiHidden/>
    <w:rsid w:val="00014566"/>
    <w:rPr>
      <w:rFonts w:asciiTheme="majorHAnsi" w:eastAsiaTheme="majorEastAsia" w:hAnsiTheme="majorHAnsi" w:cstheme="majorBidi"/>
      <w:i/>
      <w:iCs/>
      <w:spacing w:val="5"/>
      <w:sz w:val="20"/>
      <w:szCs w:val="20"/>
      <w:lang w:bidi="en-US"/>
    </w:rPr>
  </w:style>
  <w:style w:type="character" w:styleId="Hyperlink">
    <w:name w:val="Hyperlink"/>
    <w:basedOn w:val="DefaultParagraphFont"/>
    <w:uiPriority w:val="99"/>
    <w:semiHidden/>
    <w:rsid w:val="00941747"/>
    <w:rPr>
      <w:color w:val="0072BC" w:themeColor="hyperlink"/>
      <w:u w:val="single"/>
    </w:rPr>
  </w:style>
  <w:style w:type="character" w:styleId="IntenseEmphasis">
    <w:name w:val="Intense Emphasis"/>
    <w:uiPriority w:val="99"/>
    <w:semiHidden/>
    <w:qFormat/>
    <w:rsid w:val="00014566"/>
    <w:rPr>
      <w:b/>
      <w:bCs/>
    </w:rPr>
  </w:style>
  <w:style w:type="paragraph" w:styleId="IntenseQuote">
    <w:name w:val="Intense Quote"/>
    <w:basedOn w:val="Normal"/>
    <w:next w:val="Normal"/>
    <w:link w:val="IntenseQuoteChar"/>
    <w:uiPriority w:val="99"/>
    <w:semiHidden/>
    <w:qFormat/>
    <w:rsid w:val="00014566"/>
    <w:pPr>
      <w:pBdr>
        <w:bottom w:val="single" w:sz="4" w:space="1" w:color="auto"/>
      </w:pBdr>
      <w:spacing w:before="200" w:after="280"/>
      <w:ind w:left="1008" w:right="1152"/>
    </w:pPr>
    <w:rPr>
      <w:b/>
      <w:bCs/>
      <w:i/>
      <w:iCs/>
      <w:sz w:val="22"/>
      <w:lang w:bidi="en-US"/>
    </w:rPr>
  </w:style>
  <w:style w:type="character" w:customStyle="1" w:styleId="IntenseQuoteChar">
    <w:name w:val="Intense Quote Char"/>
    <w:basedOn w:val="DefaultParagraphFont"/>
    <w:link w:val="IntenseQuote"/>
    <w:uiPriority w:val="99"/>
    <w:semiHidden/>
    <w:rsid w:val="00014566"/>
    <w:rPr>
      <w:rFonts w:eastAsiaTheme="minorEastAsia"/>
      <w:b/>
      <w:bCs/>
      <w:i/>
      <w:iCs/>
      <w:lang w:bidi="en-US"/>
    </w:rPr>
  </w:style>
  <w:style w:type="character" w:styleId="IntenseReference">
    <w:name w:val="Intense Reference"/>
    <w:uiPriority w:val="99"/>
    <w:semiHidden/>
    <w:qFormat/>
    <w:rsid w:val="00014566"/>
    <w:rPr>
      <w:smallCaps/>
      <w:spacing w:val="5"/>
      <w:u w:val="single"/>
    </w:rPr>
  </w:style>
  <w:style w:type="paragraph" w:styleId="ListParagraph">
    <w:name w:val="List Paragraph"/>
    <w:basedOn w:val="Normal"/>
    <w:uiPriority w:val="99"/>
    <w:semiHidden/>
    <w:qFormat/>
    <w:rsid w:val="00014566"/>
    <w:pPr>
      <w:ind w:left="720"/>
      <w:contextualSpacing/>
    </w:pPr>
  </w:style>
  <w:style w:type="table" w:customStyle="1" w:styleId="LtrTableAddress">
    <w:name w:val="Ltr_Table_Address"/>
    <w:basedOn w:val="TableNormal"/>
    <w:uiPriority w:val="99"/>
    <w:rsid w:val="001E6F32"/>
    <w:tblPr>
      <w:tblInd w:w="5103" w:type="dxa"/>
    </w:tblPr>
  </w:style>
  <w:style w:type="paragraph" w:styleId="Quote">
    <w:name w:val="Quote"/>
    <w:basedOn w:val="Normal"/>
    <w:next w:val="Normal"/>
    <w:link w:val="QuoteChar"/>
    <w:uiPriority w:val="99"/>
    <w:semiHidden/>
    <w:qFormat/>
    <w:rsid w:val="00014566"/>
    <w:pPr>
      <w:spacing w:before="200"/>
      <w:ind w:left="360" w:right="360"/>
    </w:pPr>
    <w:rPr>
      <w:i/>
      <w:iCs/>
      <w:sz w:val="22"/>
      <w:lang w:bidi="en-US"/>
    </w:rPr>
  </w:style>
  <w:style w:type="character" w:customStyle="1" w:styleId="QuoteChar">
    <w:name w:val="Quote Char"/>
    <w:basedOn w:val="DefaultParagraphFont"/>
    <w:link w:val="Quote"/>
    <w:uiPriority w:val="99"/>
    <w:semiHidden/>
    <w:rsid w:val="00014566"/>
    <w:rPr>
      <w:rFonts w:eastAsiaTheme="minorEastAsia"/>
      <w:i/>
      <w:iCs/>
      <w:lang w:bidi="en-US"/>
    </w:rPr>
  </w:style>
  <w:style w:type="character" w:styleId="SubtleReference">
    <w:name w:val="Subtle Reference"/>
    <w:uiPriority w:val="99"/>
    <w:semiHidden/>
    <w:qFormat/>
    <w:rsid w:val="00014566"/>
    <w:rPr>
      <w:smallCaps/>
    </w:rPr>
  </w:style>
  <w:style w:type="table" w:styleId="TableGrid">
    <w:name w:val="Table Grid"/>
    <w:basedOn w:val="TableNormal"/>
    <w:uiPriority w:val="59"/>
    <w:semiHidden/>
    <w:rsid w:val="00941747"/>
    <w:rPr>
      <w:rFonts w:eastAsiaTheme="minorEastAsia"/>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99"/>
    <w:semiHidden/>
    <w:rsid w:val="00EA185E"/>
    <w:pPr>
      <w:spacing w:before="120" w:after="60"/>
      <w:ind w:left="340" w:right="340" w:hanging="340"/>
    </w:pPr>
    <w:rPr>
      <w:color w:val="0D0D0D" w:themeColor="text1" w:themeTint="F2"/>
    </w:rPr>
  </w:style>
  <w:style w:type="paragraph" w:styleId="TOC2">
    <w:name w:val="toc 2"/>
    <w:basedOn w:val="Normal"/>
    <w:next w:val="Normal"/>
    <w:autoRedefine/>
    <w:uiPriority w:val="99"/>
    <w:semiHidden/>
    <w:rsid w:val="00EA185E"/>
    <w:pPr>
      <w:spacing w:after="60"/>
      <w:ind w:left="680" w:right="340" w:hanging="340"/>
    </w:pPr>
  </w:style>
  <w:style w:type="paragraph" w:styleId="TOC3">
    <w:name w:val="toc 3"/>
    <w:basedOn w:val="Normal"/>
    <w:next w:val="Normal"/>
    <w:autoRedefine/>
    <w:uiPriority w:val="99"/>
    <w:semiHidden/>
    <w:rsid w:val="00EA185E"/>
    <w:pPr>
      <w:spacing w:after="60"/>
      <w:ind w:left="1020" w:right="340" w:hanging="340"/>
    </w:pPr>
  </w:style>
  <w:style w:type="paragraph" w:styleId="TOC4">
    <w:name w:val="toc 4"/>
    <w:basedOn w:val="Normal"/>
    <w:next w:val="Normal"/>
    <w:autoRedefine/>
    <w:uiPriority w:val="99"/>
    <w:semiHidden/>
    <w:rsid w:val="00EA185E"/>
    <w:pPr>
      <w:tabs>
        <w:tab w:val="right" w:leader="dot" w:pos="9017"/>
      </w:tabs>
      <w:spacing w:after="60"/>
      <w:ind w:left="1361" w:right="340" w:hanging="340"/>
    </w:pPr>
  </w:style>
  <w:style w:type="paragraph" w:styleId="TOC5">
    <w:name w:val="toc 5"/>
    <w:basedOn w:val="Normal"/>
    <w:next w:val="Normal"/>
    <w:autoRedefine/>
    <w:uiPriority w:val="99"/>
    <w:semiHidden/>
    <w:rsid w:val="00B46543"/>
    <w:pPr>
      <w:spacing w:after="60"/>
      <w:ind w:left="1701" w:right="340" w:hanging="340"/>
    </w:pPr>
  </w:style>
  <w:style w:type="paragraph" w:styleId="TOCHeading">
    <w:name w:val="TOC Heading"/>
    <w:basedOn w:val="Heading1"/>
    <w:next w:val="Normal"/>
    <w:uiPriority w:val="99"/>
    <w:semiHidden/>
    <w:qFormat/>
    <w:rsid w:val="00014566"/>
    <w:pPr>
      <w:numPr>
        <w:numId w:val="0"/>
      </w:numPr>
      <w:jc w:val="both"/>
      <w:outlineLvl w:val="9"/>
    </w:pPr>
    <w:rPr>
      <w:color w:val="474747" w:themeColor="accent3" w:themeShade="BF"/>
    </w:rPr>
  </w:style>
  <w:style w:type="table" w:customStyle="1" w:styleId="UGTable">
    <w:name w:val="UG_Table"/>
    <w:basedOn w:val="TableNormal"/>
    <w:uiPriority w:val="99"/>
    <w:rsid w:val="00801300"/>
    <w:rPr>
      <w:rFonts w:eastAsiaTheme="minorEastAsia"/>
      <w:sz w:val="20"/>
      <w:lang w:val="en-GB" w:eastAsia="en-GB"/>
    </w:rPr>
    <w:tblPr>
      <w:tblInd w:w="-1191" w:type="dxa"/>
      <w:tblCellMar>
        <w:top w:w="57" w:type="dxa"/>
        <w:left w:w="0" w:type="dxa"/>
        <w:right w:w="0" w:type="dxa"/>
      </w:tblCellMar>
    </w:tblPr>
    <w:tblStylePr w:type="swCell">
      <w:tblPr/>
      <w:tcPr>
        <w:tcBorders>
          <w:top w:val="nil"/>
          <w:left w:val="nil"/>
          <w:bottom w:val="nil"/>
          <w:right w:val="nil"/>
          <w:insideH w:val="nil"/>
          <w:insideV w:val="nil"/>
          <w:tl2br w:val="nil"/>
          <w:tr2bl w:val="nil"/>
        </w:tcBorders>
        <w:shd w:val="clear" w:color="auto" w:fill="EAEAEA"/>
      </w:tcPr>
    </w:tblStylePr>
  </w:style>
  <w:style w:type="table" w:customStyle="1" w:styleId="UGTableWhiteBox">
    <w:name w:val="UG_Table_White_Box"/>
    <w:basedOn w:val="TableNormal"/>
    <w:uiPriority w:val="99"/>
    <w:rsid w:val="00801300"/>
    <w:rPr>
      <w:rFonts w:eastAsiaTheme="minorEastAsia"/>
      <w:lang w:val="en-GB" w:eastAsia="en-GB"/>
    </w:rPr>
    <w:tblPr>
      <w:tblBorders>
        <w:top w:val="single" w:sz="4" w:space="0" w:color="B9B9B9" w:themeColor="background2" w:themeShade="BF"/>
        <w:left w:val="single" w:sz="4" w:space="0" w:color="B9B9B9" w:themeColor="background2" w:themeShade="BF"/>
        <w:bottom w:val="single" w:sz="4" w:space="0" w:color="B9B9B9" w:themeColor="background2" w:themeShade="BF"/>
        <w:right w:val="single" w:sz="4" w:space="0" w:color="B9B9B9" w:themeColor="background2" w:themeShade="BF"/>
      </w:tblBorders>
      <w:tblCellMar>
        <w:top w:w="113" w:type="dxa"/>
        <w:left w:w="113" w:type="dxa"/>
        <w:bottom w:w="113" w:type="dxa"/>
        <w:right w:w="113" w:type="dxa"/>
      </w:tblCellMar>
    </w:tblPr>
    <w:tcPr>
      <w:shd w:val="clear" w:color="auto" w:fill="FFFFFF"/>
    </w:tcPr>
  </w:style>
  <w:style w:type="table" w:customStyle="1" w:styleId="PCFTableStyle">
    <w:name w:val="PCF_Table_Style"/>
    <w:basedOn w:val="TableNormal"/>
    <w:uiPriority w:val="99"/>
    <w:rsid w:val="00810B38"/>
    <w:rPr>
      <w:color w:val="000000" w:themeColor="text1"/>
      <w:sz w:val="18"/>
    </w:rPr>
    <w:tblPr>
      <w:tblBorders>
        <w:top w:val="single" w:sz="8" w:space="0" w:color="9F9F9F" w:themeColor="accent3" w:themeTint="99"/>
        <w:left w:val="single" w:sz="8" w:space="0" w:color="9F9F9F" w:themeColor="accent3" w:themeTint="99"/>
        <w:bottom w:val="single" w:sz="8" w:space="0" w:color="9F9F9F" w:themeColor="accent3" w:themeTint="99"/>
        <w:right w:val="single" w:sz="8" w:space="0" w:color="9F9F9F" w:themeColor="accent3" w:themeTint="99"/>
        <w:insideH w:val="single" w:sz="8" w:space="0" w:color="9F9F9F" w:themeColor="accent3" w:themeTint="99"/>
        <w:insideV w:val="single" w:sz="8" w:space="0" w:color="9F9F9F" w:themeColor="accent3" w:themeTint="99"/>
      </w:tblBorders>
    </w:tblPr>
    <w:tblStylePr w:type="firstRow">
      <w:pPr>
        <w:wordWrap/>
        <w:spacing w:beforeLines="0" w:before="120" w:beforeAutospacing="0" w:afterLines="0" w:after="120" w:afterAutospacing="0" w:line="240" w:lineRule="auto"/>
        <w:contextualSpacing/>
        <w:jc w:val="center"/>
      </w:pPr>
      <w:rPr>
        <w:b/>
        <w:i w:val="0"/>
        <w:color w:val="FFFFFF"/>
        <w:sz w:val="20"/>
      </w:rPr>
      <w:tblPr/>
      <w:tcPr>
        <w:tcBorders>
          <w:top w:val="nil"/>
          <w:left w:val="nil"/>
          <w:bottom w:val="nil"/>
          <w:right w:val="nil"/>
          <w:insideH w:val="nil"/>
          <w:insideV w:val="nil"/>
          <w:tl2br w:val="nil"/>
          <w:tr2bl w:val="nil"/>
        </w:tcBorders>
        <w:shd w:val="clear" w:color="auto" w:fill="0072BC" w:themeFill="accent1"/>
        <w:vAlign w:val="center"/>
      </w:tcPr>
    </w:tblStylePr>
    <w:tblStylePr w:type="firstCol">
      <w:pPr>
        <w:jc w:val="left"/>
      </w:pPr>
      <w:tblPr/>
      <w:tcPr>
        <w:vAlign w:val="center"/>
      </w:tcPr>
    </w:tblStylePr>
  </w:style>
  <w:style w:type="table" w:customStyle="1" w:styleId="ECHRTableFax">
    <w:name w:val="ECHR_Table_Fax"/>
    <w:basedOn w:val="TableNormal"/>
    <w:uiPriority w:val="99"/>
    <w:rsid w:val="00893576"/>
    <w:rPr>
      <w:color w:val="000000" w:themeColor="text1"/>
    </w:rPr>
    <w:tblPr>
      <w:tblInd w:w="-680" w:type="dxa"/>
      <w:tblBorders>
        <w:insideH w:val="single" w:sz="4" w:space="0" w:color="C6C6C6" w:themeColor="text2"/>
        <w:insideV w:val="single" w:sz="4" w:space="0" w:color="C6C6C6" w:themeColor="text2"/>
      </w:tblBorders>
      <w:tblCellMar>
        <w:top w:w="142" w:type="dxa"/>
        <w:bottom w:w="142" w:type="dxa"/>
      </w:tblCellMar>
    </w:tblPr>
    <w:trPr>
      <w:cantSplit/>
    </w:trPr>
  </w:style>
  <w:style w:type="table" w:customStyle="1" w:styleId="ECHRTableMemo">
    <w:name w:val="ECHR_Table_Memo"/>
    <w:basedOn w:val="TableNormal"/>
    <w:uiPriority w:val="99"/>
    <w:rsid w:val="00210338"/>
    <w:tblPr>
      <w:jc w:val="center"/>
      <w:tblCellMar>
        <w:top w:w="113" w:type="dxa"/>
        <w:left w:w="0" w:type="dxa"/>
        <w:bottom w:w="113" w:type="dxa"/>
        <w:right w:w="0" w:type="dxa"/>
      </w:tblCellMar>
    </w:tblPr>
    <w:trPr>
      <w:jc w:val="center"/>
    </w:trPr>
    <w:tblStylePr w:type="lastRow">
      <w:tblPr/>
      <w:tcPr>
        <w:tcBorders>
          <w:top w:val="nil"/>
          <w:left w:val="nil"/>
          <w:bottom w:val="single" w:sz="4" w:space="0" w:color="949494" w:themeColor="text2" w:themeShade="BF"/>
          <w:right w:val="nil"/>
          <w:insideH w:val="nil"/>
          <w:insideV w:val="nil"/>
          <w:tl2br w:val="nil"/>
          <w:tr2bl w:val="nil"/>
        </w:tcBorders>
      </w:tcPr>
    </w:tblStylePr>
  </w:style>
  <w:style w:type="table" w:customStyle="1" w:styleId="ECHRDNTable">
    <w:name w:val="ECHR_DN_Table"/>
    <w:aliases w:val="DN_Table"/>
    <w:basedOn w:val="TableNormal"/>
    <w:uiPriority w:val="99"/>
    <w:rsid w:val="0090506B"/>
    <w:tblPr>
      <w:jc w:val="center"/>
      <w:tblBorders>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57" w:type="dxa"/>
        <w:bottom w:w="57" w:type="dxa"/>
      </w:tblCellMar>
    </w:tblPr>
    <w:trPr>
      <w:jc w:val="center"/>
    </w:trPr>
    <w:tcPr>
      <w:vAlign w:val="center"/>
    </w:tcPr>
    <w:tblStylePr w:type="firstRow">
      <w:pPr>
        <w:wordWrap/>
        <w:spacing w:beforeLines="0"/>
        <w:ind w:leftChars="0" w:left="0"/>
      </w:pPr>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nil"/>
          <w:right w:val="single" w:sz="4" w:space="0" w:color="949494" w:themeColor="text2" w:themeShade="BF"/>
          <w:insideH w:val="nil"/>
          <w:insideV w:val="nil"/>
          <w:tl2br w:val="nil"/>
          <w:tr2bl w:val="nil"/>
        </w:tcBorders>
        <w:shd w:val="clear" w:color="auto" w:fill="DFDFDF" w:themeFill="background2" w:themeFillShade="E6"/>
      </w:tcPr>
    </w:tblStylePr>
  </w:style>
  <w:style w:type="paragraph" w:styleId="TOAHeading">
    <w:name w:val="toa heading"/>
    <w:basedOn w:val="Normal"/>
    <w:next w:val="Normal"/>
    <w:uiPriority w:val="99"/>
    <w:semiHidden/>
    <w:rsid w:val="00C333A0"/>
    <w:pPr>
      <w:spacing w:before="120"/>
    </w:pPr>
    <w:rPr>
      <w:rFonts w:asciiTheme="majorHAnsi" w:eastAsiaTheme="majorEastAsia" w:hAnsiTheme="majorHAnsi" w:cstheme="majorBidi"/>
      <w:b/>
      <w:bCs/>
      <w:color w:val="474747" w:themeColor="accent3" w:themeShade="BF"/>
      <w:szCs w:val="24"/>
    </w:rPr>
  </w:style>
  <w:style w:type="paragraph" w:customStyle="1" w:styleId="ECHRParaQuote">
    <w:name w:val="ECHR_Para_Quote"/>
    <w:aliases w:val="Ju_Quot"/>
    <w:basedOn w:val="Normal"/>
    <w:uiPriority w:val="14"/>
    <w:qFormat/>
    <w:rsid w:val="00014566"/>
    <w:pPr>
      <w:spacing w:before="120" w:after="120"/>
      <w:ind w:left="425" w:firstLine="142"/>
    </w:pPr>
    <w:rPr>
      <w:sz w:val="20"/>
    </w:rPr>
  </w:style>
  <w:style w:type="paragraph" w:customStyle="1" w:styleId="ECHRPara">
    <w:name w:val="ECHR_Para"/>
    <w:aliases w:val="Ju_Para,Left,First line:  0 cm,Para"/>
    <w:basedOn w:val="Normal"/>
    <w:link w:val="JuParaChar"/>
    <w:uiPriority w:val="12"/>
    <w:qFormat/>
    <w:rsid w:val="00C621C2"/>
    <w:pPr>
      <w:ind w:firstLine="284"/>
    </w:pPr>
  </w:style>
  <w:style w:type="table" w:customStyle="1" w:styleId="ECHRTableSimpleBox">
    <w:name w:val="ECHR_Table_Simple_Box"/>
    <w:basedOn w:val="TableNormal"/>
    <w:uiPriority w:val="99"/>
    <w:rsid w:val="00AE354C"/>
    <w:tblPr>
      <w:tblBorders>
        <w:top w:val="single" w:sz="4" w:space="0" w:color="9F9F9F" w:themeColor="accent3" w:themeTint="99"/>
        <w:left w:val="single" w:sz="4" w:space="0" w:color="9F9F9F" w:themeColor="accent3" w:themeTint="99"/>
        <w:bottom w:val="single" w:sz="4" w:space="0" w:color="9F9F9F" w:themeColor="accent3" w:themeTint="99"/>
        <w:right w:val="single" w:sz="4" w:space="0" w:color="9F9F9F" w:themeColor="accent3" w:themeTint="99"/>
      </w:tblBorders>
      <w:tblCellMar>
        <w:top w:w="113" w:type="dxa"/>
        <w:bottom w:w="113" w:type="dxa"/>
      </w:tblCellMar>
    </w:tblPr>
  </w:style>
  <w:style w:type="table" w:customStyle="1" w:styleId="ECHRTableNoLines">
    <w:name w:val="ECHR_Table_No_Lines"/>
    <w:basedOn w:val="TableNormal"/>
    <w:uiPriority w:val="99"/>
    <w:rsid w:val="00F218EF"/>
    <w:tblPr>
      <w:tblCellMar>
        <w:top w:w="85" w:type="dxa"/>
        <w:left w:w="142" w:type="dxa"/>
        <w:bottom w:w="28" w:type="dxa"/>
        <w:right w:w="142" w:type="dxa"/>
      </w:tblCellMar>
    </w:tblPr>
    <w:tblStylePr w:type="firstRow">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nil"/>
          <w:tl2br w:val="nil"/>
          <w:tr2bl w:val="nil"/>
        </w:tcBorders>
        <w:shd w:val="clear" w:color="auto" w:fill="DFDFDF" w:themeFill="background2" w:themeFillShade="E6"/>
      </w:tcPr>
    </w:tblStylePr>
    <w:tblStylePr w:type="firstCol">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tcPr>
    </w:tblStylePr>
  </w:style>
  <w:style w:type="table" w:customStyle="1" w:styleId="ECHRTableForInternalUse">
    <w:name w:val="ECHR_Table_For_Internal_Use"/>
    <w:basedOn w:val="TableNormal"/>
    <w:uiPriority w:val="99"/>
    <w:rsid w:val="005474E7"/>
    <w:rPr>
      <w:color w:val="636363" w:themeColor="text2" w:themeShade="80"/>
      <w:sz w:val="18"/>
    </w:rPr>
    <w:tblPr>
      <w:tblStyleColBandSize w:val="1"/>
      <w:jc w:val="right"/>
      <w:tblCellMar>
        <w:top w:w="113" w:type="dxa"/>
        <w:bottom w:w="28" w:type="dxa"/>
      </w:tblCellMar>
    </w:tblPr>
    <w:trPr>
      <w:jc w:val="right"/>
    </w:trPr>
    <w:tblStylePr w:type="firstRow">
      <w:rPr>
        <w:b/>
      </w:rPr>
    </w:tblStylePr>
    <w:tblStylePr w:type="lastCol">
      <w:pPr>
        <w:jc w:val="right"/>
      </w:p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tblStylePr w:type="band1Vert">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style>
  <w:style w:type="table" w:customStyle="1" w:styleId="ECHRListTable">
    <w:name w:val="ECHR_List_Table"/>
    <w:basedOn w:val="TableNormal"/>
    <w:uiPriority w:val="99"/>
    <w:rsid w:val="00520BAA"/>
    <w:tblPr>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b/>
        <w:color w:val="474747" w:themeColor="accent3" w:themeShade="BF"/>
      </w:rPr>
      <w:tblPr/>
      <w:trPr>
        <w:tblHeader/>
      </w:tr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shd w:val="clear" w:color="auto" w:fill="DFDFDF" w:themeFill="background2" w:themeFillShade="E6"/>
      </w:tcPr>
    </w:tblStylePr>
  </w:style>
  <w:style w:type="table" w:customStyle="1" w:styleId="ECHRHeaderTable">
    <w:name w:val="ECHR_Header_Table"/>
    <w:basedOn w:val="TableNormal"/>
    <w:uiPriority w:val="99"/>
    <w:rsid w:val="00661971"/>
    <w:tblPr>
      <w:tblInd w:w="-680" w:type="dxa"/>
      <w:tblBorders>
        <w:bottom w:val="single" w:sz="6" w:space="0" w:color="949494" w:themeColor="text2" w:themeShade="BF"/>
      </w:tblBorders>
      <w:tblCellMar>
        <w:left w:w="0" w:type="dxa"/>
        <w:bottom w:w="28" w:type="dxa"/>
        <w:right w:w="0" w:type="dxa"/>
      </w:tblCellMar>
    </w:tblPr>
    <w:tcPr>
      <w:vAlign w:val="bottom"/>
    </w:tcPr>
    <w:tblStylePr w:type="lastCol">
      <w:pPr>
        <w:wordWrap/>
        <w:jc w:val="both"/>
      </w:pPr>
    </w:tblStylePr>
  </w:style>
  <w:style w:type="table" w:customStyle="1" w:styleId="ECHRTableOddBanded">
    <w:name w:val="ECHR_Table_Odd_Banded"/>
    <w:basedOn w:val="TableNormal"/>
    <w:uiPriority w:val="99"/>
    <w:rsid w:val="00860B03"/>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single" w:sz="4" w:space="0" w:color="949494" w:themeColor="text2" w:themeShade="BF"/>
          <w:tl2br w:val="nil"/>
          <w:tr2bl w:val="nil"/>
        </w:tcBorders>
        <w:shd w:val="clear" w:color="auto" w:fill="DFDFDF" w:themeFill="background2" w:themeFillShade="E6"/>
      </w:tcPr>
    </w:tblStylePr>
    <w:tblStylePr w:type="band1Vert">
      <w:tblPr/>
      <w:tcPr>
        <w:tcBorders>
          <w:top w:val="nil"/>
          <w:left w:val="nil"/>
          <w:bottom w:val="nil"/>
          <w:right w:val="nil"/>
          <w:insideH w:val="nil"/>
          <w:insideV w:val="nil"/>
          <w:tl2br w:val="nil"/>
          <w:tr2bl w:val="nil"/>
        </w:tcBorders>
        <w:shd w:val="clear" w:color="auto" w:fill="DFDFDF" w:themeFill="background2" w:themeFillShade="E6"/>
      </w:tcPr>
    </w:tblStylePr>
    <w:tblStylePr w:type="band1Horz">
      <w:rPr>
        <w:b/>
      </w:rPr>
      <w:tblPr/>
      <w:tcPr>
        <w:shd w:val="clear" w:color="auto" w:fill="DFDFDF" w:themeFill="background2" w:themeFillShade="E6"/>
      </w:tcPr>
    </w:tblStylePr>
  </w:style>
  <w:style w:type="paragraph" w:customStyle="1" w:styleId="ECHRDecisionBody">
    <w:name w:val="ECHR_Decision_Body"/>
    <w:aliases w:val="Ju_Judges"/>
    <w:basedOn w:val="Normal"/>
    <w:uiPriority w:val="11"/>
    <w:qFormat/>
    <w:rsid w:val="00DF0549"/>
    <w:pPr>
      <w:tabs>
        <w:tab w:val="left" w:pos="567"/>
        <w:tab w:val="left" w:pos="1134"/>
      </w:tabs>
      <w:jc w:val="left"/>
    </w:pPr>
  </w:style>
  <w:style w:type="table" w:customStyle="1" w:styleId="ECHRHeaderTableReduced">
    <w:name w:val="ECHR_Header_Table_Reduced"/>
    <w:basedOn w:val="TableNormal"/>
    <w:uiPriority w:val="99"/>
    <w:rsid w:val="00B52BE0"/>
    <w:tblPr>
      <w:tblInd w:w="-680" w:type="dxa"/>
      <w:tblCellMar>
        <w:left w:w="0" w:type="dxa"/>
        <w:right w:w="0" w:type="dxa"/>
      </w:tblCellMar>
    </w:tblPr>
    <w:tcPr>
      <w:vAlign w:val="bottom"/>
    </w:tcPr>
    <w:tblStylePr w:type="firstRow">
      <w:tblPr/>
      <w:tcPr>
        <w:tcBorders>
          <w:top w:val="nil"/>
          <w:left w:val="nil"/>
          <w:bottom w:val="single" w:sz="6" w:space="0" w:color="949494" w:themeColor="text2" w:themeShade="BF"/>
          <w:right w:val="nil"/>
          <w:insideH w:val="nil"/>
          <w:insideV w:val="nil"/>
          <w:tl2br w:val="nil"/>
          <w:tr2bl w:val="nil"/>
        </w:tcBorders>
      </w:tcPr>
    </w:tblStylePr>
    <w:tblStylePr w:type="lastRow">
      <w:pPr>
        <w:jc w:val="right"/>
      </w:pPr>
      <w:tblPr/>
      <w:tcPr>
        <w:tcBorders>
          <w:top w:val="single" w:sz="6" w:space="0" w:color="949494" w:themeColor="text2" w:themeShade="BF"/>
          <w:left w:val="nil"/>
          <w:bottom w:val="nil"/>
          <w:right w:val="nil"/>
          <w:insideH w:val="nil"/>
          <w:insideV w:val="nil"/>
          <w:tl2br w:val="nil"/>
          <w:tr2bl w:val="nil"/>
        </w:tcBorders>
      </w:tcPr>
    </w:tblStylePr>
  </w:style>
  <w:style w:type="paragraph" w:customStyle="1" w:styleId="JuList">
    <w:name w:val="Ju_List"/>
    <w:basedOn w:val="Normal"/>
    <w:uiPriority w:val="28"/>
    <w:qFormat/>
    <w:rsid w:val="00C621C2"/>
    <w:pPr>
      <w:ind w:left="340" w:hanging="340"/>
    </w:pPr>
  </w:style>
  <w:style w:type="paragraph" w:customStyle="1" w:styleId="JuSigned">
    <w:name w:val="Ju_Signed"/>
    <w:basedOn w:val="Normal"/>
    <w:next w:val="JuParaLast"/>
    <w:uiPriority w:val="32"/>
    <w:qFormat/>
    <w:rsid w:val="00C621C2"/>
    <w:pPr>
      <w:tabs>
        <w:tab w:val="center" w:pos="851"/>
        <w:tab w:val="center" w:pos="6407"/>
      </w:tabs>
      <w:spacing w:before="720"/>
      <w:jc w:val="left"/>
    </w:pPr>
  </w:style>
  <w:style w:type="paragraph" w:customStyle="1" w:styleId="JuParaLast">
    <w:name w:val="Ju_Para_Last"/>
    <w:basedOn w:val="Normal"/>
    <w:next w:val="Normal"/>
    <w:uiPriority w:val="30"/>
    <w:qFormat/>
    <w:rsid w:val="00014566"/>
    <w:pPr>
      <w:keepNext/>
      <w:keepLines/>
      <w:spacing w:before="240"/>
      <w:ind w:firstLine="284"/>
    </w:pPr>
  </w:style>
  <w:style w:type="paragraph" w:customStyle="1" w:styleId="JuCourt">
    <w:name w:val="Ju_Court"/>
    <w:basedOn w:val="Normal"/>
    <w:next w:val="Normal"/>
    <w:uiPriority w:val="16"/>
    <w:qFormat/>
    <w:rsid w:val="00014566"/>
    <w:pPr>
      <w:tabs>
        <w:tab w:val="left" w:pos="907"/>
        <w:tab w:val="left" w:pos="1701"/>
        <w:tab w:val="right" w:pos="7371"/>
      </w:tabs>
      <w:spacing w:before="240"/>
      <w:ind w:left="397" w:hanging="397"/>
      <w:jc w:val="left"/>
    </w:pPr>
    <w:rPr>
      <w:lang w:bidi="en-US"/>
    </w:rPr>
  </w:style>
  <w:style w:type="character" w:styleId="PageNumber">
    <w:name w:val="page number"/>
    <w:uiPriority w:val="99"/>
    <w:semiHidden/>
    <w:rsid w:val="00014566"/>
    <w:rPr>
      <w:sz w:val="18"/>
    </w:rPr>
  </w:style>
  <w:style w:type="paragraph" w:customStyle="1" w:styleId="JuLista">
    <w:name w:val="Ju_List_a"/>
    <w:basedOn w:val="Normal"/>
    <w:uiPriority w:val="28"/>
    <w:qFormat/>
    <w:rsid w:val="00C621C2"/>
    <w:pPr>
      <w:ind w:left="346"/>
    </w:pPr>
  </w:style>
  <w:style w:type="paragraph" w:customStyle="1" w:styleId="JuListi">
    <w:name w:val="Ju_List_i"/>
    <w:basedOn w:val="Normal"/>
    <w:next w:val="JuLista"/>
    <w:uiPriority w:val="28"/>
    <w:qFormat/>
    <w:rsid w:val="00014566"/>
    <w:pPr>
      <w:ind w:left="794"/>
    </w:pPr>
  </w:style>
  <w:style w:type="character" w:styleId="CommentReference">
    <w:name w:val="annotation reference"/>
    <w:uiPriority w:val="99"/>
    <w:semiHidden/>
    <w:rsid w:val="00014566"/>
    <w:rPr>
      <w:sz w:val="16"/>
    </w:rPr>
  </w:style>
  <w:style w:type="paragraph" w:styleId="CommentText">
    <w:name w:val="annotation text"/>
    <w:basedOn w:val="Normal"/>
    <w:link w:val="CommentTextChar"/>
    <w:semiHidden/>
    <w:rsid w:val="00014566"/>
    <w:rPr>
      <w:sz w:val="20"/>
    </w:rPr>
  </w:style>
  <w:style w:type="character" w:customStyle="1" w:styleId="CommentTextChar">
    <w:name w:val="Comment Text Char"/>
    <w:basedOn w:val="DefaultParagraphFont"/>
    <w:link w:val="CommentText"/>
    <w:semiHidden/>
    <w:rsid w:val="00014566"/>
    <w:rPr>
      <w:rFonts w:eastAsiaTheme="minorEastAsia"/>
      <w:sz w:val="20"/>
    </w:rPr>
  </w:style>
  <w:style w:type="paragraph" w:styleId="CommentSubject">
    <w:name w:val="annotation subject"/>
    <w:basedOn w:val="CommentText"/>
    <w:next w:val="CommentText"/>
    <w:link w:val="CommentSubjectChar"/>
    <w:uiPriority w:val="99"/>
    <w:semiHidden/>
    <w:rsid w:val="00014566"/>
    <w:rPr>
      <w:b/>
      <w:bCs/>
    </w:rPr>
  </w:style>
  <w:style w:type="character" w:customStyle="1" w:styleId="CommentSubjectChar">
    <w:name w:val="Comment Subject Char"/>
    <w:basedOn w:val="CommentTextChar"/>
    <w:link w:val="CommentSubject"/>
    <w:uiPriority w:val="99"/>
    <w:semiHidden/>
    <w:rsid w:val="00014566"/>
    <w:rPr>
      <w:rFonts w:eastAsiaTheme="minorEastAsia"/>
      <w:b/>
      <w:bCs/>
      <w:sz w:val="20"/>
    </w:rPr>
  </w:style>
  <w:style w:type="character" w:styleId="EndnoteReference">
    <w:name w:val="endnote reference"/>
    <w:uiPriority w:val="99"/>
    <w:semiHidden/>
    <w:rsid w:val="00014566"/>
    <w:rPr>
      <w:vertAlign w:val="superscript"/>
    </w:rPr>
  </w:style>
  <w:style w:type="paragraph" w:styleId="EndnoteText">
    <w:name w:val="endnote text"/>
    <w:basedOn w:val="Normal"/>
    <w:link w:val="EndnoteTextChar"/>
    <w:uiPriority w:val="99"/>
    <w:semiHidden/>
    <w:rsid w:val="00014566"/>
    <w:rPr>
      <w:sz w:val="20"/>
    </w:rPr>
  </w:style>
  <w:style w:type="character" w:customStyle="1" w:styleId="EndnoteTextChar">
    <w:name w:val="Endnote Text Char"/>
    <w:basedOn w:val="DefaultParagraphFont"/>
    <w:link w:val="EndnoteText"/>
    <w:uiPriority w:val="99"/>
    <w:semiHidden/>
    <w:rsid w:val="00014566"/>
    <w:rPr>
      <w:rFonts w:eastAsiaTheme="minorEastAsia"/>
      <w:sz w:val="20"/>
    </w:rPr>
  </w:style>
  <w:style w:type="character" w:styleId="FollowedHyperlink">
    <w:name w:val="FollowedHyperlink"/>
    <w:uiPriority w:val="99"/>
    <w:semiHidden/>
    <w:rsid w:val="00014566"/>
    <w:rPr>
      <w:color w:val="800080"/>
      <w:u w:val="single"/>
    </w:rPr>
  </w:style>
  <w:style w:type="paragraph" w:styleId="DocumentMap">
    <w:name w:val="Document Map"/>
    <w:basedOn w:val="Normal"/>
    <w:link w:val="DocumentMapChar"/>
    <w:uiPriority w:val="99"/>
    <w:semiHidden/>
    <w:rsid w:val="00014566"/>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rsid w:val="00014566"/>
    <w:rPr>
      <w:rFonts w:ascii="Tahoma" w:eastAsiaTheme="minorEastAsia" w:hAnsi="Tahoma" w:cs="Tahoma"/>
      <w:sz w:val="20"/>
      <w:shd w:val="clear" w:color="auto" w:fill="000080"/>
    </w:rPr>
  </w:style>
  <w:style w:type="character" w:customStyle="1" w:styleId="JuNames0">
    <w:name w:val="Ju_Names"/>
    <w:rsid w:val="00014566"/>
    <w:rPr>
      <w:smallCaps/>
    </w:rPr>
  </w:style>
  <w:style w:type="paragraph" w:styleId="ListBullet">
    <w:name w:val="List Bullet"/>
    <w:basedOn w:val="Normal"/>
    <w:uiPriority w:val="99"/>
    <w:semiHidden/>
    <w:rsid w:val="00014566"/>
    <w:pPr>
      <w:numPr>
        <w:numId w:val="8"/>
      </w:numPr>
    </w:pPr>
  </w:style>
  <w:style w:type="character" w:customStyle="1" w:styleId="JuITMark">
    <w:name w:val="Ju_ITMark"/>
    <w:basedOn w:val="DefaultParagraphFont"/>
    <w:uiPriority w:val="38"/>
    <w:qFormat/>
    <w:rsid w:val="00014566"/>
    <w:rPr>
      <w:vanish w:val="0"/>
      <w:color w:val="auto"/>
      <w:sz w:val="14"/>
    </w:rPr>
  </w:style>
  <w:style w:type="paragraph" w:styleId="Subtitle">
    <w:name w:val="Subtitle"/>
    <w:basedOn w:val="Normal"/>
    <w:next w:val="Normal"/>
    <w:link w:val="SubtitleChar"/>
    <w:uiPriority w:val="99"/>
    <w:semiHidden/>
    <w:qFormat/>
    <w:rsid w:val="00014566"/>
    <w:pPr>
      <w:spacing w:after="600"/>
    </w:pPr>
    <w:rPr>
      <w:rFonts w:asciiTheme="majorHAnsi" w:eastAsiaTheme="majorEastAsia" w:hAnsiTheme="majorHAnsi" w:cstheme="majorBidi"/>
      <w:i/>
      <w:iCs/>
      <w:spacing w:val="13"/>
      <w:szCs w:val="24"/>
      <w:lang w:bidi="en-US"/>
    </w:rPr>
  </w:style>
  <w:style w:type="character" w:customStyle="1" w:styleId="SubtitleChar">
    <w:name w:val="Subtitle Char"/>
    <w:basedOn w:val="DefaultParagraphFont"/>
    <w:link w:val="Subtitle"/>
    <w:uiPriority w:val="99"/>
    <w:semiHidden/>
    <w:rsid w:val="00014566"/>
    <w:rPr>
      <w:rFonts w:asciiTheme="majorHAnsi" w:eastAsiaTheme="majorEastAsia" w:hAnsiTheme="majorHAnsi" w:cstheme="majorBidi"/>
      <w:i/>
      <w:iCs/>
      <w:spacing w:val="13"/>
      <w:sz w:val="24"/>
      <w:szCs w:val="24"/>
      <w:lang w:bidi="en-US"/>
    </w:rPr>
  </w:style>
  <w:style w:type="numbering" w:styleId="111111">
    <w:name w:val="Outline List 2"/>
    <w:basedOn w:val="NoList"/>
    <w:uiPriority w:val="99"/>
    <w:semiHidden/>
    <w:rsid w:val="00014566"/>
    <w:pPr>
      <w:numPr>
        <w:numId w:val="9"/>
      </w:numPr>
    </w:pPr>
  </w:style>
  <w:style w:type="numbering" w:styleId="1ai">
    <w:name w:val="Outline List 1"/>
    <w:basedOn w:val="NoList"/>
    <w:uiPriority w:val="99"/>
    <w:semiHidden/>
    <w:rsid w:val="00014566"/>
    <w:pPr>
      <w:numPr>
        <w:numId w:val="10"/>
      </w:numPr>
    </w:pPr>
  </w:style>
  <w:style w:type="numbering" w:styleId="ArticleSection">
    <w:name w:val="Outline List 3"/>
    <w:basedOn w:val="NoList"/>
    <w:uiPriority w:val="99"/>
    <w:semiHidden/>
    <w:rsid w:val="00014566"/>
    <w:pPr>
      <w:numPr>
        <w:numId w:val="11"/>
      </w:numPr>
    </w:pPr>
  </w:style>
  <w:style w:type="paragraph" w:styleId="Bibliography">
    <w:name w:val="Bibliography"/>
    <w:basedOn w:val="Normal"/>
    <w:next w:val="Normal"/>
    <w:uiPriority w:val="99"/>
    <w:semiHidden/>
    <w:unhideWhenUsed/>
    <w:rsid w:val="00014566"/>
  </w:style>
  <w:style w:type="paragraph" w:styleId="BlockText">
    <w:name w:val="Block Text"/>
    <w:basedOn w:val="Normal"/>
    <w:uiPriority w:val="99"/>
    <w:semiHidden/>
    <w:rsid w:val="00014566"/>
    <w:pPr>
      <w:pBdr>
        <w:top w:val="single" w:sz="2" w:space="10" w:color="0072BC" w:themeColor="accent1" w:shadow="1" w:frame="1"/>
        <w:left w:val="single" w:sz="2" w:space="10" w:color="0072BC" w:themeColor="accent1" w:shadow="1" w:frame="1"/>
        <w:bottom w:val="single" w:sz="2" w:space="10" w:color="0072BC" w:themeColor="accent1" w:shadow="1" w:frame="1"/>
        <w:right w:val="single" w:sz="2" w:space="10" w:color="0072BC" w:themeColor="accent1" w:shadow="1" w:frame="1"/>
      </w:pBdr>
      <w:ind w:left="1152" w:right="1152"/>
    </w:pPr>
    <w:rPr>
      <w:i/>
      <w:iCs/>
      <w:color w:val="0072BC" w:themeColor="accent1"/>
    </w:rPr>
  </w:style>
  <w:style w:type="paragraph" w:styleId="BodyText">
    <w:name w:val="Body Text"/>
    <w:basedOn w:val="Normal"/>
    <w:link w:val="BodyTextChar"/>
    <w:uiPriority w:val="99"/>
    <w:semiHidden/>
    <w:rsid w:val="00014566"/>
    <w:pPr>
      <w:spacing w:after="120"/>
    </w:pPr>
  </w:style>
  <w:style w:type="character" w:customStyle="1" w:styleId="BodyTextChar">
    <w:name w:val="Body Text Char"/>
    <w:basedOn w:val="DefaultParagraphFont"/>
    <w:link w:val="BodyText"/>
    <w:uiPriority w:val="99"/>
    <w:semiHidden/>
    <w:rsid w:val="00014566"/>
    <w:rPr>
      <w:rFonts w:eastAsiaTheme="minorEastAsia"/>
      <w:sz w:val="24"/>
    </w:rPr>
  </w:style>
  <w:style w:type="paragraph" w:styleId="BodyText2">
    <w:name w:val="Body Text 2"/>
    <w:basedOn w:val="Normal"/>
    <w:link w:val="BodyText2Char"/>
    <w:uiPriority w:val="99"/>
    <w:semiHidden/>
    <w:rsid w:val="00014566"/>
    <w:pPr>
      <w:spacing w:after="120" w:line="480" w:lineRule="auto"/>
    </w:pPr>
  </w:style>
  <w:style w:type="character" w:customStyle="1" w:styleId="BodyText2Char">
    <w:name w:val="Body Text 2 Char"/>
    <w:basedOn w:val="DefaultParagraphFont"/>
    <w:link w:val="BodyText2"/>
    <w:uiPriority w:val="99"/>
    <w:semiHidden/>
    <w:rsid w:val="00014566"/>
    <w:rPr>
      <w:rFonts w:eastAsiaTheme="minorEastAsia"/>
      <w:sz w:val="24"/>
    </w:rPr>
  </w:style>
  <w:style w:type="paragraph" w:styleId="BodyText3">
    <w:name w:val="Body Text 3"/>
    <w:basedOn w:val="Normal"/>
    <w:link w:val="BodyText3Char"/>
    <w:uiPriority w:val="99"/>
    <w:semiHidden/>
    <w:rsid w:val="00014566"/>
    <w:pPr>
      <w:spacing w:after="120"/>
    </w:pPr>
    <w:rPr>
      <w:sz w:val="16"/>
      <w:szCs w:val="16"/>
    </w:rPr>
  </w:style>
  <w:style w:type="character" w:customStyle="1" w:styleId="BodyText3Char">
    <w:name w:val="Body Text 3 Char"/>
    <w:basedOn w:val="DefaultParagraphFont"/>
    <w:link w:val="BodyText3"/>
    <w:uiPriority w:val="99"/>
    <w:semiHidden/>
    <w:rsid w:val="00014566"/>
    <w:rPr>
      <w:rFonts w:eastAsiaTheme="minorEastAsia"/>
      <w:sz w:val="16"/>
      <w:szCs w:val="16"/>
    </w:rPr>
  </w:style>
  <w:style w:type="paragraph" w:styleId="BodyTextFirstIndent">
    <w:name w:val="Body Text First Indent"/>
    <w:basedOn w:val="BodyText"/>
    <w:link w:val="BodyTextFirstIndentChar"/>
    <w:uiPriority w:val="99"/>
    <w:semiHidden/>
    <w:rsid w:val="00014566"/>
    <w:pPr>
      <w:spacing w:after="0"/>
      <w:ind w:firstLine="360"/>
    </w:pPr>
  </w:style>
  <w:style w:type="character" w:customStyle="1" w:styleId="BodyTextFirstIndentChar">
    <w:name w:val="Body Text First Indent Char"/>
    <w:basedOn w:val="BodyTextChar"/>
    <w:link w:val="BodyTextFirstIndent"/>
    <w:uiPriority w:val="99"/>
    <w:semiHidden/>
    <w:rsid w:val="00014566"/>
    <w:rPr>
      <w:rFonts w:eastAsiaTheme="minorEastAsia"/>
      <w:sz w:val="24"/>
    </w:rPr>
  </w:style>
  <w:style w:type="paragraph" w:styleId="BodyTextIndent">
    <w:name w:val="Body Text Indent"/>
    <w:basedOn w:val="Normal"/>
    <w:link w:val="BodyTextIndentChar"/>
    <w:uiPriority w:val="99"/>
    <w:semiHidden/>
    <w:rsid w:val="00014566"/>
    <w:pPr>
      <w:spacing w:after="120"/>
      <w:ind w:left="283"/>
    </w:pPr>
  </w:style>
  <w:style w:type="character" w:customStyle="1" w:styleId="BodyTextIndentChar">
    <w:name w:val="Body Text Indent Char"/>
    <w:basedOn w:val="DefaultParagraphFont"/>
    <w:link w:val="BodyTextIndent"/>
    <w:uiPriority w:val="99"/>
    <w:semiHidden/>
    <w:rsid w:val="00014566"/>
    <w:rPr>
      <w:rFonts w:eastAsiaTheme="minorEastAsia"/>
      <w:sz w:val="24"/>
    </w:rPr>
  </w:style>
  <w:style w:type="paragraph" w:styleId="BodyTextFirstIndent2">
    <w:name w:val="Body Text First Indent 2"/>
    <w:basedOn w:val="BodyTextIndent"/>
    <w:link w:val="BodyTextFirstIndent2Char"/>
    <w:uiPriority w:val="99"/>
    <w:semiHidden/>
    <w:rsid w:val="00014566"/>
    <w:pPr>
      <w:spacing w:after="0"/>
      <w:ind w:left="360" w:firstLine="360"/>
    </w:pPr>
  </w:style>
  <w:style w:type="character" w:customStyle="1" w:styleId="BodyTextFirstIndent2Char">
    <w:name w:val="Body Text First Indent 2 Char"/>
    <w:basedOn w:val="BodyTextIndentChar"/>
    <w:link w:val="BodyTextFirstIndent2"/>
    <w:uiPriority w:val="99"/>
    <w:semiHidden/>
    <w:rsid w:val="00014566"/>
    <w:rPr>
      <w:rFonts w:eastAsiaTheme="minorEastAsia"/>
      <w:sz w:val="24"/>
    </w:rPr>
  </w:style>
  <w:style w:type="paragraph" w:styleId="BodyTextIndent2">
    <w:name w:val="Body Text Indent 2"/>
    <w:basedOn w:val="Normal"/>
    <w:link w:val="BodyTextIndent2Char"/>
    <w:uiPriority w:val="99"/>
    <w:semiHidden/>
    <w:rsid w:val="00014566"/>
    <w:pPr>
      <w:spacing w:after="120" w:line="480" w:lineRule="auto"/>
      <w:ind w:left="283"/>
    </w:pPr>
  </w:style>
  <w:style w:type="character" w:customStyle="1" w:styleId="BodyTextIndent2Char">
    <w:name w:val="Body Text Indent 2 Char"/>
    <w:basedOn w:val="DefaultParagraphFont"/>
    <w:link w:val="BodyTextIndent2"/>
    <w:uiPriority w:val="99"/>
    <w:semiHidden/>
    <w:rsid w:val="00014566"/>
    <w:rPr>
      <w:rFonts w:eastAsiaTheme="minorEastAsia"/>
      <w:sz w:val="24"/>
    </w:rPr>
  </w:style>
  <w:style w:type="paragraph" w:styleId="BodyTextIndent3">
    <w:name w:val="Body Text Indent 3"/>
    <w:basedOn w:val="Normal"/>
    <w:link w:val="BodyTextIndent3Char"/>
    <w:uiPriority w:val="99"/>
    <w:semiHidden/>
    <w:rsid w:val="00014566"/>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14566"/>
    <w:rPr>
      <w:rFonts w:eastAsiaTheme="minorEastAsia"/>
      <w:sz w:val="16"/>
      <w:szCs w:val="16"/>
    </w:rPr>
  </w:style>
  <w:style w:type="paragraph" w:styleId="Caption">
    <w:name w:val="caption"/>
    <w:basedOn w:val="Normal"/>
    <w:next w:val="Normal"/>
    <w:uiPriority w:val="99"/>
    <w:semiHidden/>
    <w:qFormat/>
    <w:rsid w:val="00014566"/>
    <w:pPr>
      <w:spacing w:after="200"/>
    </w:pPr>
    <w:rPr>
      <w:b/>
      <w:bCs/>
      <w:color w:val="0072BC" w:themeColor="accent1"/>
      <w:sz w:val="18"/>
      <w:szCs w:val="18"/>
    </w:rPr>
  </w:style>
  <w:style w:type="paragraph" w:styleId="Closing">
    <w:name w:val="Closing"/>
    <w:basedOn w:val="Normal"/>
    <w:link w:val="ClosingChar"/>
    <w:uiPriority w:val="99"/>
    <w:semiHidden/>
    <w:rsid w:val="00014566"/>
    <w:pPr>
      <w:ind w:left="4252"/>
    </w:pPr>
  </w:style>
  <w:style w:type="character" w:customStyle="1" w:styleId="ClosingChar">
    <w:name w:val="Closing Char"/>
    <w:basedOn w:val="DefaultParagraphFont"/>
    <w:link w:val="Closing"/>
    <w:uiPriority w:val="99"/>
    <w:semiHidden/>
    <w:rsid w:val="00014566"/>
    <w:rPr>
      <w:rFonts w:eastAsiaTheme="minorEastAsia"/>
      <w:sz w:val="24"/>
    </w:rPr>
  </w:style>
  <w:style w:type="table" w:styleId="ColorfulGrid">
    <w:name w:val="Colorful Grid"/>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0072BC" w:themeColor="background1"/>
      </w:rPr>
      <w:tblPr/>
      <w:tcPr>
        <w:shd w:val="clear" w:color="auto" w:fill="000000" w:themeFill="text1" w:themeFillShade="BF"/>
      </w:tcPr>
    </w:tblStylePr>
    <w:tblStylePr w:type="lastCol">
      <w:rPr>
        <w:color w:val="0072BC"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BEE5FF" w:themeFill="accent1" w:themeFillTint="33"/>
    </w:tcPr>
    <w:tblStylePr w:type="firstRow">
      <w:rPr>
        <w:b/>
        <w:bCs/>
      </w:rPr>
      <w:tblPr/>
      <w:tcPr>
        <w:shd w:val="clear" w:color="auto" w:fill="7ECBFF" w:themeFill="accent1" w:themeFillTint="66"/>
      </w:tcPr>
    </w:tblStylePr>
    <w:tblStylePr w:type="lastRow">
      <w:rPr>
        <w:b/>
        <w:bCs/>
        <w:color w:val="000000" w:themeColor="text1"/>
      </w:rPr>
      <w:tblPr/>
      <w:tcPr>
        <w:shd w:val="clear" w:color="auto" w:fill="7ECBFF" w:themeFill="accent1" w:themeFillTint="66"/>
      </w:tcPr>
    </w:tblStylePr>
    <w:tblStylePr w:type="firstCol">
      <w:rPr>
        <w:color w:val="0072BC" w:themeColor="background1"/>
      </w:rPr>
      <w:tblPr/>
      <w:tcPr>
        <w:shd w:val="clear" w:color="auto" w:fill="00548C" w:themeFill="accent1" w:themeFillShade="BF"/>
      </w:tcPr>
    </w:tblStylePr>
    <w:tblStylePr w:type="lastCol">
      <w:rPr>
        <w:color w:val="0072BC" w:themeColor="background1"/>
      </w:rPr>
      <w:tblPr/>
      <w:tcPr>
        <w:shd w:val="clear" w:color="auto" w:fill="00548C" w:themeFill="accent1" w:themeFillShade="BF"/>
      </w:tc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ColorfulGrid-Accent2">
    <w:name w:val="Colorful Grid Accent 2"/>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FFBFBF" w:themeFill="accent2" w:themeFillTint="33"/>
    </w:tcPr>
    <w:tblStylePr w:type="firstRow">
      <w:rPr>
        <w:b/>
        <w:bCs/>
      </w:rPr>
      <w:tblPr/>
      <w:tcPr>
        <w:shd w:val="clear" w:color="auto" w:fill="FF7F7F" w:themeFill="accent2" w:themeFillTint="66"/>
      </w:tcPr>
    </w:tblStylePr>
    <w:tblStylePr w:type="lastRow">
      <w:rPr>
        <w:b/>
        <w:bCs/>
        <w:color w:val="000000" w:themeColor="text1"/>
      </w:rPr>
      <w:tblPr/>
      <w:tcPr>
        <w:shd w:val="clear" w:color="auto" w:fill="FF7F7F" w:themeFill="accent2" w:themeFillTint="66"/>
      </w:tcPr>
    </w:tblStylePr>
    <w:tblStylePr w:type="firstCol">
      <w:rPr>
        <w:color w:val="0072BC" w:themeColor="background1"/>
      </w:rPr>
      <w:tblPr/>
      <w:tcPr>
        <w:shd w:val="clear" w:color="auto" w:fill="8F0000" w:themeFill="accent2" w:themeFillShade="BF"/>
      </w:tcPr>
    </w:tblStylePr>
    <w:tblStylePr w:type="lastCol">
      <w:rPr>
        <w:color w:val="0072BC" w:themeColor="background1"/>
      </w:rPr>
      <w:tblPr/>
      <w:tcPr>
        <w:shd w:val="clear" w:color="auto" w:fill="8F0000" w:themeFill="accent2" w:themeFillShade="BF"/>
      </w:tc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ColorfulGrid-Accent3">
    <w:name w:val="Colorful Grid Accent 3"/>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3" w:themeFillTint="33"/>
    </w:tcPr>
    <w:tblStylePr w:type="firstRow">
      <w:rPr>
        <w:b/>
        <w:bCs/>
      </w:rPr>
      <w:tblPr/>
      <w:tcPr>
        <w:shd w:val="clear" w:color="auto" w:fill="BFBFBF" w:themeFill="accent3" w:themeFillTint="66"/>
      </w:tcPr>
    </w:tblStylePr>
    <w:tblStylePr w:type="lastRow">
      <w:rPr>
        <w:b/>
        <w:bCs/>
        <w:color w:val="000000" w:themeColor="text1"/>
      </w:rPr>
      <w:tblPr/>
      <w:tcPr>
        <w:shd w:val="clear" w:color="auto" w:fill="BFBFBF" w:themeFill="accent3" w:themeFillTint="66"/>
      </w:tcPr>
    </w:tblStylePr>
    <w:tblStylePr w:type="firstCol">
      <w:rPr>
        <w:color w:val="0072BC" w:themeColor="background1"/>
      </w:rPr>
      <w:tblPr/>
      <w:tcPr>
        <w:shd w:val="clear" w:color="auto" w:fill="474747" w:themeFill="accent3" w:themeFillShade="BF"/>
      </w:tcPr>
    </w:tblStylePr>
    <w:tblStylePr w:type="lastCol">
      <w:rPr>
        <w:color w:val="0072BC" w:themeColor="background1"/>
      </w:rPr>
      <w:tblPr/>
      <w:tcPr>
        <w:shd w:val="clear" w:color="auto" w:fill="474747" w:themeFill="accent3" w:themeFillShade="BF"/>
      </w:tc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ColorfulGrid-Accent4">
    <w:name w:val="Colorful Grid Accent 4"/>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EAEAEA" w:themeFill="accent4" w:themeFillTint="33"/>
    </w:tcPr>
    <w:tblStylePr w:type="firstRow">
      <w:rPr>
        <w:b/>
        <w:bCs/>
      </w:rPr>
      <w:tblPr/>
      <w:tcPr>
        <w:shd w:val="clear" w:color="auto" w:fill="D5D5D5" w:themeFill="accent4" w:themeFillTint="66"/>
      </w:tcPr>
    </w:tblStylePr>
    <w:tblStylePr w:type="lastRow">
      <w:rPr>
        <w:b/>
        <w:bCs/>
        <w:color w:val="000000" w:themeColor="text1"/>
      </w:rPr>
      <w:tblPr/>
      <w:tcPr>
        <w:shd w:val="clear" w:color="auto" w:fill="D5D5D5" w:themeFill="accent4" w:themeFillTint="66"/>
      </w:tcPr>
    </w:tblStylePr>
    <w:tblStylePr w:type="firstCol">
      <w:rPr>
        <w:color w:val="0072BC" w:themeColor="background1"/>
      </w:rPr>
      <w:tblPr/>
      <w:tcPr>
        <w:shd w:val="clear" w:color="auto" w:fill="707070" w:themeFill="accent4" w:themeFillShade="BF"/>
      </w:tcPr>
    </w:tblStylePr>
    <w:tblStylePr w:type="lastCol">
      <w:rPr>
        <w:color w:val="0072BC" w:themeColor="background1"/>
      </w:rPr>
      <w:tblPr/>
      <w:tcPr>
        <w:shd w:val="clear" w:color="auto" w:fill="707070" w:themeFill="accent4" w:themeFillShade="BF"/>
      </w:tc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ColorfulGrid-Accent5">
    <w:name w:val="Colorful Grid Accent 5"/>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0072BC" w:themeColor="background1"/>
      </w:rPr>
      <w:tblPr/>
      <w:tcPr>
        <w:shd w:val="clear" w:color="auto" w:fill="474747" w:themeFill="accent5" w:themeFillShade="BF"/>
      </w:tcPr>
    </w:tblStylePr>
    <w:tblStylePr w:type="lastCol">
      <w:rPr>
        <w:color w:val="0072BC"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0072BC" w:themeColor="background1"/>
      </w:rPr>
      <w:tblPr/>
      <w:tcPr>
        <w:shd w:val="clear" w:color="auto" w:fill="393939" w:themeFill="accent6" w:themeFillShade="BF"/>
      </w:tcPr>
    </w:tblStylePr>
    <w:tblStylePr w:type="lastCol">
      <w:rPr>
        <w:color w:val="0072BC"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99"/>
    <w:semiHidden/>
    <w:rsid w:val="00014566"/>
    <w:rPr>
      <w:color w:val="000000" w:themeColor="text1"/>
      <w:lang w:val="fr-FR" w:eastAsia="fr-FR"/>
    </w:rPr>
    <w:tblPr>
      <w:tblStyleRowBandSize w:val="1"/>
      <w:tblStyleColBandSize w:val="1"/>
    </w:tblPr>
    <w:tcPr>
      <w:shd w:val="clear" w:color="auto" w:fill="E6E6E6" w:themeFill="tex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semiHidden/>
    <w:rsid w:val="00014566"/>
    <w:rPr>
      <w:color w:val="000000" w:themeColor="text1"/>
      <w:lang w:val="fr-FR" w:eastAsia="fr-FR"/>
    </w:rPr>
    <w:tblPr>
      <w:tblStyleRowBandSize w:val="1"/>
      <w:tblStyleColBandSize w:val="1"/>
    </w:tblPr>
    <w:tcPr>
      <w:shd w:val="clear" w:color="auto" w:fill="DFF2FF" w:themeFill="accen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FFF" w:themeFill="accent1" w:themeFillTint="3F"/>
      </w:tcPr>
    </w:tblStylePr>
    <w:tblStylePr w:type="band1Horz">
      <w:tblPr/>
      <w:tcPr>
        <w:shd w:val="clear" w:color="auto" w:fill="BEE5FF" w:themeFill="accent1" w:themeFillTint="33"/>
      </w:tcPr>
    </w:tblStylePr>
  </w:style>
  <w:style w:type="table" w:styleId="ColorfulList-Accent2">
    <w:name w:val="Colorful List Accent 2"/>
    <w:basedOn w:val="TableNormal"/>
    <w:uiPriority w:val="99"/>
    <w:semiHidden/>
    <w:rsid w:val="00014566"/>
    <w:rPr>
      <w:color w:val="000000" w:themeColor="text1"/>
      <w:lang w:val="fr-FR" w:eastAsia="fr-FR"/>
    </w:rPr>
    <w:tblPr>
      <w:tblStyleRowBandSize w:val="1"/>
      <w:tblStyleColBandSize w:val="1"/>
    </w:tblPr>
    <w:tcPr>
      <w:shd w:val="clear" w:color="auto" w:fill="FFDFDF" w:themeFill="accent2"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0B0" w:themeFill="accent2" w:themeFillTint="3F"/>
      </w:tcPr>
    </w:tblStylePr>
    <w:tblStylePr w:type="band1Horz">
      <w:tblPr/>
      <w:tcPr>
        <w:shd w:val="clear" w:color="auto" w:fill="FFBFBF" w:themeFill="accent2" w:themeFillTint="33"/>
      </w:tcPr>
    </w:tblStylePr>
  </w:style>
  <w:style w:type="table" w:styleId="ColorfulList-Accent3">
    <w:name w:val="Colorful List Accent 3"/>
    <w:basedOn w:val="TableNormal"/>
    <w:uiPriority w:val="99"/>
    <w:semiHidden/>
    <w:rsid w:val="00014566"/>
    <w:rPr>
      <w:color w:val="000000" w:themeColor="text1"/>
      <w:lang w:val="fr-FR" w:eastAsia="fr-FR"/>
    </w:rPr>
    <w:tblPr>
      <w:tblStyleRowBandSize w:val="1"/>
      <w:tblStyleColBandSize w:val="1"/>
    </w:tblPr>
    <w:tcPr>
      <w:shd w:val="clear" w:color="auto" w:fill="EFEFEF" w:themeFill="accent3" w:themeFillTint="19"/>
    </w:tcPr>
    <w:tblStylePr w:type="firstRow">
      <w:rPr>
        <w:b/>
        <w:bCs/>
        <w:color w:val="0072BC" w:themeColor="background1"/>
      </w:rPr>
      <w:tblPr/>
      <w:tcPr>
        <w:tcBorders>
          <w:bottom w:val="single" w:sz="12" w:space="0" w:color="0072BC" w:themeColor="background1"/>
        </w:tcBorders>
        <w:shd w:val="clear" w:color="auto" w:fill="787878" w:themeFill="accent4" w:themeFillShade="CC"/>
      </w:tcPr>
    </w:tblStylePr>
    <w:tblStylePr w:type="lastRow">
      <w:rPr>
        <w:b/>
        <w:bCs/>
        <w:color w:val="787878" w:themeColor="accent4"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3" w:themeFillTint="3F"/>
      </w:tcPr>
    </w:tblStylePr>
    <w:tblStylePr w:type="band1Horz">
      <w:tblPr/>
      <w:tcPr>
        <w:shd w:val="clear" w:color="auto" w:fill="DFDFDF" w:themeFill="accent3" w:themeFillTint="33"/>
      </w:tcPr>
    </w:tblStylePr>
  </w:style>
  <w:style w:type="table" w:styleId="ColorfulList-Accent4">
    <w:name w:val="Colorful List Accent 4"/>
    <w:basedOn w:val="TableNormal"/>
    <w:uiPriority w:val="99"/>
    <w:semiHidden/>
    <w:rsid w:val="00014566"/>
    <w:rPr>
      <w:color w:val="000000" w:themeColor="text1"/>
      <w:lang w:val="fr-FR" w:eastAsia="fr-FR"/>
    </w:rPr>
    <w:tblPr>
      <w:tblStyleRowBandSize w:val="1"/>
      <w:tblStyleColBandSize w:val="1"/>
    </w:tblPr>
    <w:tcPr>
      <w:shd w:val="clear" w:color="auto" w:fill="F4F4F4" w:themeFill="accent4" w:themeFillTint="19"/>
    </w:tcPr>
    <w:tblStylePr w:type="firstRow">
      <w:rPr>
        <w:b/>
        <w:bCs/>
        <w:color w:val="0072BC" w:themeColor="background1"/>
      </w:rPr>
      <w:tblPr/>
      <w:tcPr>
        <w:tcBorders>
          <w:bottom w:val="single" w:sz="12" w:space="0" w:color="0072BC" w:themeColor="background1"/>
        </w:tcBorders>
        <w:shd w:val="clear" w:color="auto" w:fill="4C4C4C" w:themeFill="accent3" w:themeFillShade="CC"/>
      </w:tcPr>
    </w:tblStylePr>
    <w:tblStylePr w:type="lastRow">
      <w:rPr>
        <w:b/>
        <w:bCs/>
        <w:color w:val="4C4C4C" w:themeColor="accent3"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4" w:themeFillTint="3F"/>
      </w:tcPr>
    </w:tblStylePr>
    <w:tblStylePr w:type="band1Horz">
      <w:tblPr/>
      <w:tcPr>
        <w:shd w:val="clear" w:color="auto" w:fill="EAEAEA" w:themeFill="accent4" w:themeFillTint="33"/>
      </w:tcPr>
    </w:tblStylePr>
  </w:style>
  <w:style w:type="table" w:styleId="ColorfulList-Accent5">
    <w:name w:val="Colorful List Accent 5"/>
    <w:basedOn w:val="TableNormal"/>
    <w:uiPriority w:val="99"/>
    <w:semiHidden/>
    <w:rsid w:val="00014566"/>
    <w:rPr>
      <w:color w:val="000000" w:themeColor="text1"/>
      <w:lang w:val="fr-FR" w:eastAsia="fr-FR"/>
    </w:rPr>
    <w:tblPr>
      <w:tblStyleRowBandSize w:val="1"/>
      <w:tblStyleColBandSize w:val="1"/>
    </w:tblPr>
    <w:tcPr>
      <w:shd w:val="clear" w:color="auto" w:fill="EFEFEF" w:themeFill="accent5" w:themeFillTint="19"/>
    </w:tcPr>
    <w:tblStylePr w:type="firstRow">
      <w:rPr>
        <w:b/>
        <w:bCs/>
        <w:color w:val="0072BC" w:themeColor="background1"/>
      </w:rPr>
      <w:tblPr/>
      <w:tcPr>
        <w:tcBorders>
          <w:bottom w:val="single" w:sz="12" w:space="0" w:color="0072BC"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99"/>
    <w:semiHidden/>
    <w:rsid w:val="00014566"/>
    <w:rPr>
      <w:color w:val="000000" w:themeColor="text1"/>
      <w:lang w:val="fr-FR" w:eastAsia="fr-FR"/>
    </w:rPr>
    <w:tblPr>
      <w:tblStyleRowBandSize w:val="1"/>
      <w:tblStyleColBandSize w:val="1"/>
    </w:tblPr>
    <w:tcPr>
      <w:shd w:val="clear" w:color="auto" w:fill="EDEDED" w:themeFill="accent6" w:themeFillTint="19"/>
    </w:tcPr>
    <w:tblStylePr w:type="firstRow">
      <w:rPr>
        <w:b/>
        <w:bCs/>
        <w:color w:val="0072BC" w:themeColor="background1"/>
      </w:rPr>
      <w:tblPr/>
      <w:tcPr>
        <w:tcBorders>
          <w:bottom w:val="single" w:sz="12" w:space="0" w:color="0072BC"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0000" w:themeColor="text1"/>
        <w:bottom w:val="single" w:sz="4" w:space="0" w:color="000000" w:themeColor="text1"/>
        <w:right w:val="single" w:sz="4" w:space="0" w:color="000000" w:themeColor="text1"/>
        <w:insideH w:val="single" w:sz="4" w:space="0" w:color="0072BC" w:themeColor="background1"/>
        <w:insideV w:val="single" w:sz="4" w:space="0" w:color="0072BC" w:themeColor="background1"/>
      </w:tblBorders>
    </w:tblPr>
    <w:tcPr>
      <w:shd w:val="clear" w:color="auto" w:fill="E6E6E6" w:themeFill="tex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0000" w:themeFill="text1" w:themeFillShade="99"/>
      </w:tcPr>
    </w:tblStylePr>
    <w:tblStylePr w:type="firstCol">
      <w:rPr>
        <w:color w:val="0072BC"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0072BC"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72BC" w:themeColor="accent1"/>
        <w:bottom w:val="single" w:sz="4" w:space="0" w:color="0072BC" w:themeColor="accent1"/>
        <w:right w:val="single" w:sz="4" w:space="0" w:color="0072BC" w:themeColor="accent1"/>
        <w:insideH w:val="single" w:sz="4" w:space="0" w:color="0072BC" w:themeColor="background1"/>
        <w:insideV w:val="single" w:sz="4" w:space="0" w:color="0072BC" w:themeColor="background1"/>
      </w:tblBorders>
    </w:tblPr>
    <w:tcPr>
      <w:shd w:val="clear" w:color="auto" w:fill="DFF2FF" w:themeFill="accen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4470" w:themeFill="accent1" w:themeFillShade="99"/>
      </w:tcPr>
    </w:tblStylePr>
    <w:tblStylePr w:type="firstCol">
      <w:rPr>
        <w:color w:val="0072BC" w:themeColor="background1"/>
      </w:rPr>
      <w:tblPr/>
      <w:tcPr>
        <w:tcBorders>
          <w:top w:val="nil"/>
          <w:left w:val="nil"/>
          <w:bottom w:val="nil"/>
          <w:right w:val="nil"/>
          <w:insideH w:val="single" w:sz="4" w:space="0" w:color="004470" w:themeColor="accent1" w:themeShade="99"/>
          <w:insideV w:val="nil"/>
        </w:tcBorders>
        <w:shd w:val="clear" w:color="auto" w:fill="004470" w:themeFill="accent1" w:themeFillShade="99"/>
      </w:tcPr>
    </w:tblStylePr>
    <w:tblStylePr w:type="lastCol">
      <w:rPr>
        <w:color w:val="0072BC" w:themeColor="background1"/>
      </w:rPr>
      <w:tblPr/>
      <w:tcPr>
        <w:tcBorders>
          <w:top w:val="nil"/>
          <w:left w:val="nil"/>
          <w:bottom w:val="nil"/>
          <w:right w:val="nil"/>
          <w:insideH w:val="nil"/>
          <w:insideV w:val="nil"/>
        </w:tcBorders>
        <w:shd w:val="clear" w:color="auto" w:fill="004470" w:themeFill="accent1" w:themeFillShade="99"/>
      </w:tcPr>
    </w:tblStylePr>
    <w:tblStylePr w:type="band1Vert">
      <w:tblPr/>
      <w:tcPr>
        <w:shd w:val="clear" w:color="auto" w:fill="7ECBFF" w:themeFill="accent1" w:themeFillTint="66"/>
      </w:tcPr>
    </w:tblStylePr>
    <w:tblStylePr w:type="band1Horz">
      <w:tblPr/>
      <w:tcPr>
        <w:shd w:val="clear" w:color="auto" w:fill="5EBF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C00000" w:themeColor="accent2"/>
        <w:bottom w:val="single" w:sz="4" w:space="0" w:color="C00000" w:themeColor="accent2"/>
        <w:right w:val="single" w:sz="4" w:space="0" w:color="C00000" w:themeColor="accent2"/>
        <w:insideH w:val="single" w:sz="4" w:space="0" w:color="0072BC" w:themeColor="background1"/>
        <w:insideV w:val="single" w:sz="4" w:space="0" w:color="0072BC" w:themeColor="background1"/>
      </w:tblBorders>
    </w:tblPr>
    <w:tcPr>
      <w:shd w:val="clear" w:color="auto" w:fill="FFDFDF" w:themeFill="accent2"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730000" w:themeFill="accent2" w:themeFillShade="99"/>
      </w:tcPr>
    </w:tblStylePr>
    <w:tblStylePr w:type="firstCol">
      <w:rPr>
        <w:color w:val="0072BC" w:themeColor="background1"/>
      </w:rPr>
      <w:tblPr/>
      <w:tcPr>
        <w:tcBorders>
          <w:top w:val="nil"/>
          <w:left w:val="nil"/>
          <w:bottom w:val="nil"/>
          <w:right w:val="nil"/>
          <w:insideH w:val="single" w:sz="4" w:space="0" w:color="730000" w:themeColor="accent2" w:themeShade="99"/>
          <w:insideV w:val="nil"/>
        </w:tcBorders>
        <w:shd w:val="clear" w:color="auto" w:fill="730000" w:themeFill="accent2" w:themeFillShade="99"/>
      </w:tcPr>
    </w:tblStylePr>
    <w:tblStylePr w:type="lastCol">
      <w:rPr>
        <w:color w:val="0072BC" w:themeColor="background1"/>
      </w:rPr>
      <w:tblPr/>
      <w:tcPr>
        <w:tcBorders>
          <w:top w:val="nil"/>
          <w:left w:val="nil"/>
          <w:bottom w:val="nil"/>
          <w:right w:val="nil"/>
          <w:insideH w:val="nil"/>
          <w:insideV w:val="nil"/>
        </w:tcBorders>
        <w:shd w:val="clear" w:color="auto" w:fill="730000" w:themeFill="accent2" w:themeFillShade="99"/>
      </w:tcPr>
    </w:tblStylePr>
    <w:tblStylePr w:type="band1Vert">
      <w:tblPr/>
      <w:tcPr>
        <w:shd w:val="clear" w:color="auto" w:fill="FF7F7F" w:themeFill="accent2" w:themeFillTint="66"/>
      </w:tcPr>
    </w:tblStylePr>
    <w:tblStylePr w:type="band1Horz">
      <w:tblPr/>
      <w:tcPr>
        <w:shd w:val="clear" w:color="auto" w:fill="FF606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semiHidden/>
    <w:rsid w:val="00014566"/>
    <w:rPr>
      <w:color w:val="000000" w:themeColor="text1"/>
      <w:lang w:val="fr-FR" w:eastAsia="fr-FR"/>
    </w:rPr>
    <w:tblPr>
      <w:tblStyleRowBandSize w:val="1"/>
      <w:tblStyleColBandSize w:val="1"/>
      <w:tblBorders>
        <w:top w:val="single" w:sz="24" w:space="0" w:color="969696" w:themeColor="accent4"/>
        <w:left w:val="single" w:sz="4" w:space="0" w:color="5F5F5F" w:themeColor="accent3"/>
        <w:bottom w:val="single" w:sz="4" w:space="0" w:color="5F5F5F" w:themeColor="accent3"/>
        <w:right w:val="single" w:sz="4" w:space="0" w:color="5F5F5F" w:themeColor="accent3"/>
        <w:insideH w:val="single" w:sz="4" w:space="0" w:color="0072BC" w:themeColor="background1"/>
        <w:insideV w:val="single" w:sz="4" w:space="0" w:color="0072BC" w:themeColor="background1"/>
      </w:tblBorders>
    </w:tblPr>
    <w:tcPr>
      <w:shd w:val="clear" w:color="auto" w:fill="EFEFEF" w:themeFill="accent3" w:themeFillTint="19"/>
    </w:tcPr>
    <w:tblStylePr w:type="firstRow">
      <w:rPr>
        <w:b/>
        <w:bCs/>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3" w:themeFillShade="99"/>
      </w:tcPr>
    </w:tblStylePr>
    <w:tblStylePr w:type="firstCol">
      <w:rPr>
        <w:color w:val="0072BC" w:themeColor="background1"/>
      </w:rPr>
      <w:tblPr/>
      <w:tcPr>
        <w:tcBorders>
          <w:top w:val="nil"/>
          <w:left w:val="nil"/>
          <w:bottom w:val="nil"/>
          <w:right w:val="nil"/>
          <w:insideH w:val="single" w:sz="4" w:space="0" w:color="393939" w:themeColor="accent3" w:themeShade="99"/>
          <w:insideV w:val="nil"/>
        </w:tcBorders>
        <w:shd w:val="clear" w:color="auto" w:fill="393939" w:themeFill="accent3"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3" w:themeFillShade="99"/>
      </w:tcPr>
    </w:tblStylePr>
    <w:tblStylePr w:type="band1Vert">
      <w:tblPr/>
      <w:tcPr>
        <w:shd w:val="clear" w:color="auto" w:fill="BFBFBF" w:themeFill="accent3" w:themeFillTint="66"/>
      </w:tcPr>
    </w:tblStylePr>
    <w:tblStylePr w:type="band1Horz">
      <w:tblPr/>
      <w:tcPr>
        <w:shd w:val="clear" w:color="auto" w:fill="AFAFAF" w:themeFill="accent3" w:themeFillTint="7F"/>
      </w:tcPr>
    </w:tblStylePr>
  </w:style>
  <w:style w:type="table" w:styleId="ColorfulShading-Accent4">
    <w:name w:val="Colorful Shading Accent 4"/>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3"/>
        <w:left w:val="single" w:sz="4" w:space="0" w:color="969696" w:themeColor="accent4"/>
        <w:bottom w:val="single" w:sz="4" w:space="0" w:color="969696" w:themeColor="accent4"/>
        <w:right w:val="single" w:sz="4" w:space="0" w:color="969696" w:themeColor="accent4"/>
        <w:insideH w:val="single" w:sz="4" w:space="0" w:color="0072BC" w:themeColor="background1"/>
        <w:insideV w:val="single" w:sz="4" w:space="0" w:color="0072BC" w:themeColor="background1"/>
      </w:tblBorders>
    </w:tblPr>
    <w:tcPr>
      <w:shd w:val="clear" w:color="auto" w:fill="F4F4F4" w:themeFill="accent4" w:themeFillTint="19"/>
    </w:tcPr>
    <w:tblStylePr w:type="firstRow">
      <w:rPr>
        <w:b/>
        <w:bCs/>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5A5A5A" w:themeFill="accent4" w:themeFillShade="99"/>
      </w:tcPr>
    </w:tblStylePr>
    <w:tblStylePr w:type="firstCol">
      <w:rPr>
        <w:color w:val="0072BC" w:themeColor="background1"/>
      </w:rPr>
      <w:tblPr/>
      <w:tcPr>
        <w:tcBorders>
          <w:top w:val="nil"/>
          <w:left w:val="nil"/>
          <w:bottom w:val="nil"/>
          <w:right w:val="nil"/>
          <w:insideH w:val="single" w:sz="4" w:space="0" w:color="5A5A5A" w:themeColor="accent4" w:themeShade="99"/>
          <w:insideV w:val="nil"/>
        </w:tcBorders>
        <w:shd w:val="clear" w:color="auto" w:fill="5A5A5A" w:themeFill="accent4" w:themeFillShade="99"/>
      </w:tcPr>
    </w:tblStylePr>
    <w:tblStylePr w:type="lastCol">
      <w:rPr>
        <w:color w:val="0072BC" w:themeColor="background1"/>
      </w:rPr>
      <w:tblPr/>
      <w:tcPr>
        <w:tcBorders>
          <w:top w:val="nil"/>
          <w:left w:val="nil"/>
          <w:bottom w:val="nil"/>
          <w:right w:val="nil"/>
          <w:insideH w:val="nil"/>
          <w:insideV w:val="nil"/>
        </w:tcBorders>
        <w:shd w:val="clear" w:color="auto" w:fill="5A5A5A" w:themeFill="accent4" w:themeFillShade="99"/>
      </w:tcPr>
    </w:tblStylePr>
    <w:tblStylePr w:type="band1Vert">
      <w:tblPr/>
      <w:tcPr>
        <w:shd w:val="clear" w:color="auto" w:fill="D5D5D5" w:themeFill="accent4" w:themeFillTint="66"/>
      </w:tcPr>
    </w:tblStylePr>
    <w:tblStylePr w:type="band1Horz">
      <w:tblPr/>
      <w:tcPr>
        <w:shd w:val="clear" w:color="auto" w:fill="CACAC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semiHidden/>
    <w:rsid w:val="00014566"/>
    <w:rPr>
      <w:color w:val="000000" w:themeColor="text1"/>
      <w:lang w:val="fr-FR" w:eastAsia="fr-FR"/>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0072BC" w:themeColor="background1"/>
        <w:insideV w:val="single" w:sz="4" w:space="0" w:color="0072BC"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5" w:themeFillShade="99"/>
      </w:tcPr>
    </w:tblStylePr>
    <w:tblStylePr w:type="firstCol">
      <w:rPr>
        <w:color w:val="0072BC"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0072BC" w:themeColor="background1"/>
        <w:insideV w:val="single" w:sz="4" w:space="0" w:color="0072BC"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2E2E2E" w:themeFill="accent6" w:themeFillShade="99"/>
      </w:tcPr>
    </w:tblStylePr>
    <w:tblStylePr w:type="firstCol">
      <w:rPr>
        <w:color w:val="0072BC"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0072BC"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99"/>
    <w:semiHidden/>
    <w:rsid w:val="00014566"/>
    <w:rPr>
      <w:color w:val="0072BC" w:themeColor="background1"/>
      <w:lang w:val="fr-FR" w:eastAsia="fr-FR"/>
    </w:rPr>
    <w:tblPr>
      <w:tblStyleRowBandSize w:val="1"/>
      <w:tblStyleColBandSize w:val="1"/>
    </w:tblPr>
    <w:tcPr>
      <w:shd w:val="clear" w:color="auto" w:fill="000000" w:themeFill="tex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0072BC" w:themeColor="background1"/>
          <w:insideH w:val="nil"/>
          <w:insideV w:val="nil"/>
        </w:tcBorders>
        <w:shd w:val="clear" w:color="auto" w:fill="000000" w:themeFill="text1" w:themeFillShade="BF"/>
      </w:tcPr>
    </w:tblStylePr>
    <w:tblStylePr w:type="lastCol">
      <w:tblPr/>
      <w:tcPr>
        <w:tcBorders>
          <w:top w:val="nil"/>
          <w:left w:val="single" w:sz="18" w:space="0" w:color="0072BC"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rsid w:val="00014566"/>
    <w:rPr>
      <w:color w:val="0072BC" w:themeColor="background1"/>
      <w:lang w:val="fr-FR" w:eastAsia="fr-FR"/>
    </w:rPr>
    <w:tblPr>
      <w:tblStyleRowBandSize w:val="1"/>
      <w:tblStyleColBandSize w:val="1"/>
    </w:tblPr>
    <w:tcPr>
      <w:shd w:val="clear" w:color="auto" w:fill="0072BC" w:themeFill="accen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385D" w:themeFill="accent1" w:themeFillShade="7F"/>
      </w:tcPr>
    </w:tblStylePr>
    <w:tblStylePr w:type="firstCol">
      <w:tblPr/>
      <w:tcPr>
        <w:tcBorders>
          <w:top w:val="nil"/>
          <w:left w:val="nil"/>
          <w:bottom w:val="nil"/>
          <w:right w:val="single" w:sz="18" w:space="0" w:color="0072BC" w:themeColor="background1"/>
          <w:insideH w:val="nil"/>
          <w:insideV w:val="nil"/>
        </w:tcBorders>
        <w:shd w:val="clear" w:color="auto" w:fill="00548C" w:themeFill="accent1" w:themeFillShade="BF"/>
      </w:tcPr>
    </w:tblStylePr>
    <w:tblStylePr w:type="lastCol">
      <w:tblPr/>
      <w:tcPr>
        <w:tcBorders>
          <w:top w:val="nil"/>
          <w:left w:val="single" w:sz="18" w:space="0" w:color="0072BC" w:themeColor="background1"/>
          <w:bottom w:val="nil"/>
          <w:right w:val="nil"/>
          <w:insideH w:val="nil"/>
          <w:insideV w:val="nil"/>
        </w:tcBorders>
        <w:shd w:val="clear" w:color="auto" w:fill="00548C" w:themeFill="accent1" w:themeFillShade="BF"/>
      </w:tcPr>
    </w:tblStylePr>
    <w:tblStylePr w:type="band1Vert">
      <w:tblPr/>
      <w:tcPr>
        <w:tcBorders>
          <w:top w:val="nil"/>
          <w:left w:val="nil"/>
          <w:bottom w:val="nil"/>
          <w:right w:val="nil"/>
          <w:insideH w:val="nil"/>
          <w:insideV w:val="nil"/>
        </w:tcBorders>
        <w:shd w:val="clear" w:color="auto" w:fill="00548C" w:themeFill="accent1" w:themeFillShade="BF"/>
      </w:tcPr>
    </w:tblStylePr>
    <w:tblStylePr w:type="band1Horz">
      <w:tblPr/>
      <w:tcPr>
        <w:tcBorders>
          <w:top w:val="nil"/>
          <w:left w:val="nil"/>
          <w:bottom w:val="nil"/>
          <w:right w:val="nil"/>
          <w:insideH w:val="nil"/>
          <w:insideV w:val="nil"/>
        </w:tcBorders>
        <w:shd w:val="clear" w:color="auto" w:fill="00548C" w:themeFill="accent1" w:themeFillShade="BF"/>
      </w:tcPr>
    </w:tblStylePr>
  </w:style>
  <w:style w:type="table" w:styleId="DarkList-Accent2">
    <w:name w:val="Dark List Accent 2"/>
    <w:basedOn w:val="TableNormal"/>
    <w:uiPriority w:val="99"/>
    <w:semiHidden/>
    <w:rsid w:val="00014566"/>
    <w:rPr>
      <w:color w:val="0072BC" w:themeColor="background1"/>
      <w:lang w:val="fr-FR" w:eastAsia="fr-FR"/>
    </w:rPr>
    <w:tblPr>
      <w:tblStyleRowBandSize w:val="1"/>
      <w:tblStyleColBandSize w:val="1"/>
    </w:tblPr>
    <w:tcPr>
      <w:shd w:val="clear" w:color="auto" w:fill="C00000" w:themeFill="accent2"/>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5F0000" w:themeFill="accent2" w:themeFillShade="7F"/>
      </w:tcPr>
    </w:tblStylePr>
    <w:tblStylePr w:type="firstCol">
      <w:tblPr/>
      <w:tcPr>
        <w:tcBorders>
          <w:top w:val="nil"/>
          <w:left w:val="nil"/>
          <w:bottom w:val="nil"/>
          <w:right w:val="single" w:sz="18" w:space="0" w:color="0072BC" w:themeColor="background1"/>
          <w:insideH w:val="nil"/>
          <w:insideV w:val="nil"/>
        </w:tcBorders>
        <w:shd w:val="clear" w:color="auto" w:fill="8F0000" w:themeFill="accent2" w:themeFillShade="BF"/>
      </w:tcPr>
    </w:tblStylePr>
    <w:tblStylePr w:type="lastCol">
      <w:tblPr/>
      <w:tcPr>
        <w:tcBorders>
          <w:top w:val="nil"/>
          <w:left w:val="single" w:sz="18" w:space="0" w:color="0072BC" w:themeColor="background1"/>
          <w:bottom w:val="nil"/>
          <w:right w:val="nil"/>
          <w:insideH w:val="nil"/>
          <w:insideV w:val="nil"/>
        </w:tcBorders>
        <w:shd w:val="clear" w:color="auto" w:fill="8F0000" w:themeFill="accent2" w:themeFillShade="BF"/>
      </w:tcPr>
    </w:tblStylePr>
    <w:tblStylePr w:type="band1Vert">
      <w:tblPr/>
      <w:tcPr>
        <w:tcBorders>
          <w:top w:val="nil"/>
          <w:left w:val="nil"/>
          <w:bottom w:val="nil"/>
          <w:right w:val="nil"/>
          <w:insideH w:val="nil"/>
          <w:insideV w:val="nil"/>
        </w:tcBorders>
        <w:shd w:val="clear" w:color="auto" w:fill="8F0000" w:themeFill="accent2" w:themeFillShade="BF"/>
      </w:tcPr>
    </w:tblStylePr>
    <w:tblStylePr w:type="band1Horz">
      <w:tblPr/>
      <w:tcPr>
        <w:tcBorders>
          <w:top w:val="nil"/>
          <w:left w:val="nil"/>
          <w:bottom w:val="nil"/>
          <w:right w:val="nil"/>
          <w:insideH w:val="nil"/>
          <w:insideV w:val="nil"/>
        </w:tcBorders>
        <w:shd w:val="clear" w:color="auto" w:fill="8F0000" w:themeFill="accent2" w:themeFillShade="BF"/>
      </w:tcPr>
    </w:tblStylePr>
  </w:style>
  <w:style w:type="table" w:styleId="DarkList-Accent3">
    <w:name w:val="Dark List Accent 3"/>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3"/>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3"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3"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3" w:themeFillShade="BF"/>
      </w:tcPr>
    </w:tblStylePr>
    <w:tblStylePr w:type="band1Vert">
      <w:tblPr/>
      <w:tcPr>
        <w:tcBorders>
          <w:top w:val="nil"/>
          <w:left w:val="nil"/>
          <w:bottom w:val="nil"/>
          <w:right w:val="nil"/>
          <w:insideH w:val="nil"/>
          <w:insideV w:val="nil"/>
        </w:tcBorders>
        <w:shd w:val="clear" w:color="auto" w:fill="474747" w:themeFill="accent3" w:themeFillShade="BF"/>
      </w:tcPr>
    </w:tblStylePr>
    <w:tblStylePr w:type="band1Horz">
      <w:tblPr/>
      <w:tcPr>
        <w:tcBorders>
          <w:top w:val="nil"/>
          <w:left w:val="nil"/>
          <w:bottom w:val="nil"/>
          <w:right w:val="nil"/>
          <w:insideH w:val="nil"/>
          <w:insideV w:val="nil"/>
        </w:tcBorders>
        <w:shd w:val="clear" w:color="auto" w:fill="474747" w:themeFill="accent3" w:themeFillShade="BF"/>
      </w:tcPr>
    </w:tblStylePr>
  </w:style>
  <w:style w:type="table" w:styleId="DarkList-Accent4">
    <w:name w:val="Dark List Accent 4"/>
    <w:basedOn w:val="TableNormal"/>
    <w:uiPriority w:val="99"/>
    <w:semiHidden/>
    <w:rsid w:val="00014566"/>
    <w:rPr>
      <w:color w:val="0072BC" w:themeColor="background1"/>
      <w:lang w:val="fr-FR" w:eastAsia="fr-FR"/>
    </w:rPr>
    <w:tblPr>
      <w:tblStyleRowBandSize w:val="1"/>
      <w:tblStyleColBandSize w:val="1"/>
    </w:tblPr>
    <w:tcPr>
      <w:shd w:val="clear" w:color="auto" w:fill="969696" w:themeFill="accent4"/>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4A4A4A" w:themeFill="accent4" w:themeFillShade="7F"/>
      </w:tcPr>
    </w:tblStylePr>
    <w:tblStylePr w:type="firstCol">
      <w:tblPr/>
      <w:tcPr>
        <w:tcBorders>
          <w:top w:val="nil"/>
          <w:left w:val="nil"/>
          <w:bottom w:val="nil"/>
          <w:right w:val="single" w:sz="18" w:space="0" w:color="0072BC" w:themeColor="background1"/>
          <w:insideH w:val="nil"/>
          <w:insideV w:val="nil"/>
        </w:tcBorders>
        <w:shd w:val="clear" w:color="auto" w:fill="707070" w:themeFill="accent4" w:themeFillShade="BF"/>
      </w:tcPr>
    </w:tblStylePr>
    <w:tblStylePr w:type="lastCol">
      <w:tblPr/>
      <w:tcPr>
        <w:tcBorders>
          <w:top w:val="nil"/>
          <w:left w:val="single" w:sz="18" w:space="0" w:color="0072BC" w:themeColor="background1"/>
          <w:bottom w:val="nil"/>
          <w:right w:val="nil"/>
          <w:insideH w:val="nil"/>
          <w:insideV w:val="nil"/>
        </w:tcBorders>
        <w:shd w:val="clear" w:color="auto" w:fill="707070" w:themeFill="accent4" w:themeFillShade="BF"/>
      </w:tcPr>
    </w:tblStylePr>
    <w:tblStylePr w:type="band1Vert">
      <w:tblPr/>
      <w:tcPr>
        <w:tcBorders>
          <w:top w:val="nil"/>
          <w:left w:val="nil"/>
          <w:bottom w:val="nil"/>
          <w:right w:val="nil"/>
          <w:insideH w:val="nil"/>
          <w:insideV w:val="nil"/>
        </w:tcBorders>
        <w:shd w:val="clear" w:color="auto" w:fill="707070" w:themeFill="accent4" w:themeFillShade="BF"/>
      </w:tcPr>
    </w:tblStylePr>
    <w:tblStylePr w:type="band1Horz">
      <w:tblPr/>
      <w:tcPr>
        <w:tcBorders>
          <w:top w:val="nil"/>
          <w:left w:val="nil"/>
          <w:bottom w:val="nil"/>
          <w:right w:val="nil"/>
          <w:insideH w:val="nil"/>
          <w:insideV w:val="nil"/>
        </w:tcBorders>
        <w:shd w:val="clear" w:color="auto" w:fill="707070" w:themeFill="accent4" w:themeFillShade="BF"/>
      </w:tcPr>
    </w:tblStylePr>
  </w:style>
  <w:style w:type="table" w:styleId="DarkList-Accent5">
    <w:name w:val="Dark List Accent 5"/>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5"/>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5"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99"/>
    <w:semiHidden/>
    <w:rsid w:val="00014566"/>
    <w:rPr>
      <w:color w:val="0072BC" w:themeColor="background1"/>
      <w:lang w:val="fr-FR" w:eastAsia="fr-FR"/>
    </w:rPr>
    <w:tblPr>
      <w:tblStyleRowBandSize w:val="1"/>
      <w:tblStyleColBandSize w:val="1"/>
    </w:tblPr>
    <w:tcPr>
      <w:shd w:val="clear" w:color="auto" w:fill="4D4D4D" w:themeFill="accent6"/>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0072BC" w:themeColor="background1"/>
          <w:insideH w:val="nil"/>
          <w:insideV w:val="nil"/>
        </w:tcBorders>
        <w:shd w:val="clear" w:color="auto" w:fill="393939" w:themeFill="accent6" w:themeFillShade="BF"/>
      </w:tcPr>
    </w:tblStylePr>
    <w:tblStylePr w:type="lastCol">
      <w:tblPr/>
      <w:tcPr>
        <w:tcBorders>
          <w:top w:val="nil"/>
          <w:left w:val="single" w:sz="18" w:space="0" w:color="0072BC"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9"/>
    <w:semiHidden/>
    <w:rsid w:val="00014566"/>
  </w:style>
  <w:style w:type="character" w:customStyle="1" w:styleId="DateChar">
    <w:name w:val="Date Char"/>
    <w:basedOn w:val="DefaultParagraphFont"/>
    <w:link w:val="Date"/>
    <w:uiPriority w:val="99"/>
    <w:semiHidden/>
    <w:rsid w:val="00014566"/>
    <w:rPr>
      <w:rFonts w:eastAsiaTheme="minorEastAsia"/>
      <w:sz w:val="24"/>
    </w:rPr>
  </w:style>
  <w:style w:type="paragraph" w:styleId="E-mailSignature">
    <w:name w:val="E-mail Signature"/>
    <w:basedOn w:val="Normal"/>
    <w:link w:val="E-mailSignatureChar"/>
    <w:uiPriority w:val="99"/>
    <w:semiHidden/>
    <w:rsid w:val="00014566"/>
  </w:style>
  <w:style w:type="character" w:customStyle="1" w:styleId="E-mailSignatureChar">
    <w:name w:val="E-mail Signature Char"/>
    <w:basedOn w:val="DefaultParagraphFont"/>
    <w:link w:val="E-mailSignature"/>
    <w:uiPriority w:val="99"/>
    <w:semiHidden/>
    <w:rsid w:val="00014566"/>
    <w:rPr>
      <w:rFonts w:eastAsiaTheme="minorEastAsia"/>
      <w:sz w:val="24"/>
    </w:rPr>
  </w:style>
  <w:style w:type="paragraph" w:styleId="EnvelopeAddress">
    <w:name w:val="envelope address"/>
    <w:basedOn w:val="Normal"/>
    <w:uiPriority w:val="99"/>
    <w:semiHidden/>
    <w:rsid w:val="00014566"/>
    <w:pPr>
      <w:framePr w:w="7938" w:h="1985" w:hRule="exact" w:hSpace="141" w:wrap="auto" w:hAnchor="page" w:xAlign="center" w:yAlign="bottom"/>
      <w:ind w:left="2835"/>
    </w:pPr>
    <w:rPr>
      <w:rFonts w:asciiTheme="majorHAnsi" w:eastAsiaTheme="majorEastAsia" w:hAnsiTheme="majorHAnsi" w:cstheme="majorBidi"/>
      <w:szCs w:val="24"/>
    </w:rPr>
  </w:style>
  <w:style w:type="paragraph" w:styleId="EnvelopeReturn">
    <w:name w:val="envelope return"/>
    <w:basedOn w:val="Normal"/>
    <w:uiPriority w:val="99"/>
    <w:semiHidden/>
    <w:rsid w:val="00014566"/>
    <w:rPr>
      <w:rFonts w:asciiTheme="majorHAnsi" w:eastAsiaTheme="majorEastAsia" w:hAnsiTheme="majorHAnsi" w:cstheme="majorBidi"/>
      <w:sz w:val="20"/>
      <w:szCs w:val="20"/>
    </w:rPr>
  </w:style>
  <w:style w:type="character" w:styleId="HTMLAcronym">
    <w:name w:val="HTML Acronym"/>
    <w:basedOn w:val="DefaultParagraphFont"/>
    <w:uiPriority w:val="99"/>
    <w:semiHidden/>
    <w:rsid w:val="00014566"/>
  </w:style>
  <w:style w:type="paragraph" w:styleId="HTMLAddress">
    <w:name w:val="HTML Address"/>
    <w:basedOn w:val="Normal"/>
    <w:link w:val="HTMLAddressChar"/>
    <w:uiPriority w:val="99"/>
    <w:semiHidden/>
    <w:rsid w:val="00014566"/>
    <w:rPr>
      <w:i/>
      <w:iCs/>
    </w:rPr>
  </w:style>
  <w:style w:type="character" w:customStyle="1" w:styleId="HTMLAddressChar">
    <w:name w:val="HTML Address Char"/>
    <w:basedOn w:val="DefaultParagraphFont"/>
    <w:link w:val="HTMLAddress"/>
    <w:uiPriority w:val="99"/>
    <w:semiHidden/>
    <w:rsid w:val="00014566"/>
    <w:rPr>
      <w:rFonts w:eastAsiaTheme="minorEastAsia"/>
      <w:i/>
      <w:iCs/>
      <w:sz w:val="24"/>
    </w:rPr>
  </w:style>
  <w:style w:type="character" w:styleId="HTMLCite">
    <w:name w:val="HTML Cite"/>
    <w:basedOn w:val="DefaultParagraphFont"/>
    <w:uiPriority w:val="99"/>
    <w:semiHidden/>
    <w:rsid w:val="00014566"/>
    <w:rPr>
      <w:i/>
      <w:iCs/>
    </w:rPr>
  </w:style>
  <w:style w:type="character" w:styleId="HTMLCode">
    <w:name w:val="HTML Code"/>
    <w:basedOn w:val="DefaultParagraphFont"/>
    <w:uiPriority w:val="99"/>
    <w:semiHidden/>
    <w:rsid w:val="00014566"/>
    <w:rPr>
      <w:rFonts w:ascii="Consolas" w:hAnsi="Consolas" w:cs="Consolas"/>
      <w:sz w:val="20"/>
      <w:szCs w:val="20"/>
    </w:rPr>
  </w:style>
  <w:style w:type="character" w:styleId="HTMLDefinition">
    <w:name w:val="HTML Definition"/>
    <w:basedOn w:val="DefaultParagraphFont"/>
    <w:uiPriority w:val="99"/>
    <w:semiHidden/>
    <w:rsid w:val="00014566"/>
    <w:rPr>
      <w:i/>
      <w:iCs/>
    </w:rPr>
  </w:style>
  <w:style w:type="character" w:styleId="HTMLKeyboard">
    <w:name w:val="HTML Keyboard"/>
    <w:basedOn w:val="DefaultParagraphFont"/>
    <w:uiPriority w:val="99"/>
    <w:semiHidden/>
    <w:rsid w:val="00014566"/>
    <w:rPr>
      <w:rFonts w:ascii="Consolas" w:hAnsi="Consolas" w:cs="Consolas"/>
      <w:sz w:val="20"/>
      <w:szCs w:val="20"/>
    </w:rPr>
  </w:style>
  <w:style w:type="paragraph" w:styleId="HTMLPreformatted">
    <w:name w:val="HTML Preformatted"/>
    <w:basedOn w:val="Normal"/>
    <w:link w:val="HTMLPreformattedChar"/>
    <w:uiPriority w:val="99"/>
    <w:semiHidden/>
    <w:rsid w:val="00014566"/>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14566"/>
    <w:rPr>
      <w:rFonts w:ascii="Consolas" w:eastAsiaTheme="minorEastAsia" w:hAnsi="Consolas" w:cs="Consolas"/>
      <w:sz w:val="20"/>
      <w:szCs w:val="20"/>
    </w:rPr>
  </w:style>
  <w:style w:type="character" w:styleId="HTMLSample">
    <w:name w:val="HTML Sample"/>
    <w:basedOn w:val="DefaultParagraphFont"/>
    <w:uiPriority w:val="99"/>
    <w:semiHidden/>
    <w:rsid w:val="00014566"/>
    <w:rPr>
      <w:rFonts w:ascii="Consolas" w:hAnsi="Consolas" w:cs="Consolas"/>
      <w:sz w:val="24"/>
      <w:szCs w:val="24"/>
    </w:rPr>
  </w:style>
  <w:style w:type="character" w:styleId="HTMLTypewriter">
    <w:name w:val="HTML Typewriter"/>
    <w:basedOn w:val="DefaultParagraphFont"/>
    <w:uiPriority w:val="99"/>
    <w:semiHidden/>
    <w:rsid w:val="00014566"/>
    <w:rPr>
      <w:rFonts w:ascii="Consolas" w:hAnsi="Consolas" w:cs="Consolas"/>
      <w:sz w:val="20"/>
      <w:szCs w:val="20"/>
    </w:rPr>
  </w:style>
  <w:style w:type="character" w:styleId="HTMLVariable">
    <w:name w:val="HTML Variable"/>
    <w:basedOn w:val="DefaultParagraphFont"/>
    <w:uiPriority w:val="99"/>
    <w:semiHidden/>
    <w:rsid w:val="00014566"/>
    <w:rPr>
      <w:i/>
      <w:iCs/>
    </w:rPr>
  </w:style>
  <w:style w:type="paragraph" w:styleId="Index1">
    <w:name w:val="index 1"/>
    <w:basedOn w:val="Normal"/>
    <w:next w:val="Normal"/>
    <w:autoRedefine/>
    <w:uiPriority w:val="99"/>
    <w:semiHidden/>
    <w:rsid w:val="00014566"/>
    <w:pPr>
      <w:ind w:left="240" w:hanging="240"/>
    </w:pPr>
  </w:style>
  <w:style w:type="paragraph" w:styleId="Index2">
    <w:name w:val="index 2"/>
    <w:basedOn w:val="Normal"/>
    <w:next w:val="Normal"/>
    <w:autoRedefine/>
    <w:uiPriority w:val="99"/>
    <w:semiHidden/>
    <w:rsid w:val="00014566"/>
    <w:pPr>
      <w:ind w:left="480" w:hanging="240"/>
    </w:pPr>
  </w:style>
  <w:style w:type="paragraph" w:styleId="Index3">
    <w:name w:val="index 3"/>
    <w:basedOn w:val="Normal"/>
    <w:next w:val="Normal"/>
    <w:autoRedefine/>
    <w:uiPriority w:val="99"/>
    <w:semiHidden/>
    <w:rsid w:val="00014566"/>
    <w:pPr>
      <w:ind w:left="720" w:hanging="240"/>
    </w:pPr>
  </w:style>
  <w:style w:type="paragraph" w:styleId="Index4">
    <w:name w:val="index 4"/>
    <w:basedOn w:val="Normal"/>
    <w:next w:val="Normal"/>
    <w:autoRedefine/>
    <w:uiPriority w:val="99"/>
    <w:semiHidden/>
    <w:rsid w:val="00014566"/>
    <w:pPr>
      <w:ind w:left="960" w:hanging="240"/>
    </w:pPr>
  </w:style>
  <w:style w:type="paragraph" w:styleId="Index5">
    <w:name w:val="index 5"/>
    <w:basedOn w:val="Normal"/>
    <w:next w:val="Normal"/>
    <w:autoRedefine/>
    <w:uiPriority w:val="99"/>
    <w:semiHidden/>
    <w:rsid w:val="00014566"/>
    <w:pPr>
      <w:ind w:left="1200" w:hanging="240"/>
    </w:pPr>
  </w:style>
  <w:style w:type="paragraph" w:styleId="Index6">
    <w:name w:val="index 6"/>
    <w:basedOn w:val="Normal"/>
    <w:next w:val="Normal"/>
    <w:autoRedefine/>
    <w:uiPriority w:val="99"/>
    <w:semiHidden/>
    <w:rsid w:val="00014566"/>
    <w:pPr>
      <w:ind w:left="1440" w:hanging="240"/>
    </w:pPr>
  </w:style>
  <w:style w:type="paragraph" w:styleId="Index7">
    <w:name w:val="index 7"/>
    <w:basedOn w:val="Normal"/>
    <w:next w:val="Normal"/>
    <w:autoRedefine/>
    <w:uiPriority w:val="99"/>
    <w:semiHidden/>
    <w:rsid w:val="00014566"/>
    <w:pPr>
      <w:ind w:left="1680" w:hanging="240"/>
    </w:pPr>
  </w:style>
  <w:style w:type="paragraph" w:styleId="Index8">
    <w:name w:val="index 8"/>
    <w:basedOn w:val="Normal"/>
    <w:next w:val="Normal"/>
    <w:autoRedefine/>
    <w:uiPriority w:val="99"/>
    <w:semiHidden/>
    <w:rsid w:val="00014566"/>
    <w:pPr>
      <w:ind w:left="1920" w:hanging="240"/>
    </w:pPr>
  </w:style>
  <w:style w:type="paragraph" w:styleId="Index9">
    <w:name w:val="index 9"/>
    <w:basedOn w:val="Normal"/>
    <w:next w:val="Normal"/>
    <w:autoRedefine/>
    <w:uiPriority w:val="99"/>
    <w:semiHidden/>
    <w:rsid w:val="00014566"/>
    <w:pPr>
      <w:ind w:left="2160" w:hanging="240"/>
    </w:pPr>
  </w:style>
  <w:style w:type="paragraph" w:styleId="IndexHeading">
    <w:name w:val="index heading"/>
    <w:basedOn w:val="Normal"/>
    <w:next w:val="Index1"/>
    <w:uiPriority w:val="99"/>
    <w:semiHidden/>
    <w:rsid w:val="00014566"/>
    <w:rPr>
      <w:rFonts w:asciiTheme="majorHAnsi" w:eastAsiaTheme="majorEastAsia" w:hAnsiTheme="majorHAnsi" w:cstheme="majorBidi"/>
      <w:b/>
      <w:bCs/>
    </w:rPr>
  </w:style>
  <w:style w:type="table" w:styleId="LightGrid">
    <w:name w:val="Light Grid"/>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18" w:space="0" w:color="0072BC" w:themeColor="accent1"/>
          <w:right w:val="single" w:sz="8" w:space="0" w:color="0072BC" w:themeColor="accent1"/>
          <w:insideH w:val="nil"/>
          <w:insideV w:val="single" w:sz="8" w:space="0" w:color="0072B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insideH w:val="nil"/>
          <w:insideV w:val="single" w:sz="8" w:space="0" w:color="0072B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shd w:val="clear" w:color="auto" w:fill="AFDFFF" w:themeFill="accent1" w:themeFillTint="3F"/>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shd w:val="clear" w:color="auto" w:fill="AFDFFF" w:themeFill="accent1" w:themeFillTint="3F"/>
      </w:tcPr>
    </w:tblStylePr>
    <w:tblStylePr w:type="band2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tcPr>
    </w:tblStylePr>
  </w:style>
  <w:style w:type="table" w:styleId="LightGrid-Accent2">
    <w:name w:val="Light Grid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18" w:space="0" w:color="C00000" w:themeColor="accent2"/>
          <w:right w:val="single" w:sz="8" w:space="0" w:color="C00000" w:themeColor="accent2"/>
          <w:insideH w:val="nil"/>
          <w:insideV w:val="single" w:sz="8" w:space="0" w:color="C0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insideH w:val="nil"/>
          <w:insideV w:val="single" w:sz="8" w:space="0" w:color="C0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shd w:val="clear" w:color="auto" w:fill="FFB0B0" w:themeFill="accent2" w:themeFillTint="3F"/>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shd w:val="clear" w:color="auto" w:fill="FFB0B0" w:themeFill="accent2" w:themeFillTint="3F"/>
      </w:tcPr>
    </w:tblStylePr>
    <w:tblStylePr w:type="band2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tcPr>
    </w:tblStylePr>
  </w:style>
  <w:style w:type="table" w:styleId="LightGrid-Accent3">
    <w:name w:val="Light Grid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18" w:space="0" w:color="5F5F5F" w:themeColor="accent3"/>
          <w:right w:val="single" w:sz="8" w:space="0" w:color="5F5F5F" w:themeColor="accent3"/>
          <w:insideH w:val="nil"/>
          <w:insideV w:val="single" w:sz="8" w:space="0" w:color="5F5F5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insideH w:val="nil"/>
          <w:insideV w:val="single" w:sz="8" w:space="0" w:color="5F5F5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shd w:val="clear" w:color="auto" w:fill="D7D7D7" w:themeFill="accent3" w:themeFillTint="3F"/>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shd w:val="clear" w:color="auto" w:fill="D7D7D7" w:themeFill="accent3" w:themeFillTint="3F"/>
      </w:tcPr>
    </w:tblStylePr>
    <w:tblStylePr w:type="band2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tcPr>
    </w:tblStylePr>
  </w:style>
  <w:style w:type="table" w:styleId="LightGrid-Accent4">
    <w:name w:val="Light Grid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18" w:space="0" w:color="969696" w:themeColor="accent4"/>
          <w:right w:val="single" w:sz="8" w:space="0" w:color="969696" w:themeColor="accent4"/>
          <w:insideH w:val="nil"/>
          <w:insideV w:val="single" w:sz="8" w:space="0" w:color="9696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insideH w:val="nil"/>
          <w:insideV w:val="single" w:sz="8" w:space="0" w:color="9696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shd w:val="clear" w:color="auto" w:fill="E5E5E5" w:themeFill="accent4" w:themeFillTint="3F"/>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shd w:val="clear" w:color="auto" w:fill="E5E5E5" w:themeFill="accent4" w:themeFillTint="3F"/>
      </w:tcPr>
    </w:tblStylePr>
    <w:tblStylePr w:type="band2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tcPr>
    </w:tblStylePr>
  </w:style>
  <w:style w:type="table" w:styleId="LightGrid-Accent5">
    <w:name w:val="Light Grid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0072BC"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pPr>
        <w:spacing w:before="0" w:after="0" w:line="240" w:lineRule="auto"/>
      </w:pPr>
      <w:rPr>
        <w:b/>
        <w:bCs/>
        <w:color w:val="0072BC" w:themeColor="background1"/>
      </w:rPr>
      <w:tblPr/>
      <w:tcPr>
        <w:shd w:val="clear" w:color="auto" w:fill="0072BC" w:themeFill="accent1"/>
      </w:tcPr>
    </w:tblStylePr>
    <w:tblStylePr w:type="lastRow">
      <w:pPr>
        <w:spacing w:before="0" w:after="0" w:line="240" w:lineRule="auto"/>
      </w:pPr>
      <w:rPr>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tcBorders>
      </w:tcPr>
    </w:tblStylePr>
    <w:tblStylePr w:type="firstCol">
      <w:rPr>
        <w:b/>
        <w:bCs/>
      </w:rPr>
    </w:tblStylePr>
    <w:tblStylePr w:type="lastCol">
      <w:rPr>
        <w:b/>
        <w:bCs/>
      </w:r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style>
  <w:style w:type="table" w:styleId="LightList-Accent2">
    <w:name w:val="Light List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pPr>
        <w:spacing w:before="0" w:after="0" w:line="240" w:lineRule="auto"/>
      </w:pPr>
      <w:rPr>
        <w:b/>
        <w:bCs/>
        <w:color w:val="0072BC" w:themeColor="background1"/>
      </w:rPr>
      <w:tblPr/>
      <w:tcPr>
        <w:shd w:val="clear" w:color="auto" w:fill="C00000" w:themeFill="accent2"/>
      </w:tcPr>
    </w:tblStylePr>
    <w:tblStylePr w:type="lastRow">
      <w:pPr>
        <w:spacing w:before="0" w:after="0" w:line="240" w:lineRule="auto"/>
      </w:pPr>
      <w:rPr>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tcBorders>
      </w:tcPr>
    </w:tblStylePr>
    <w:tblStylePr w:type="firstCol">
      <w:rPr>
        <w:b/>
        <w:bCs/>
      </w:rPr>
    </w:tblStylePr>
    <w:tblStylePr w:type="lastCol">
      <w:rPr>
        <w:b/>
        <w:bCs/>
      </w:r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style>
  <w:style w:type="table" w:styleId="LightList-Accent3">
    <w:name w:val="Light List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pPr>
        <w:spacing w:before="0" w:after="0" w:line="240" w:lineRule="auto"/>
      </w:pPr>
      <w:rPr>
        <w:b/>
        <w:bCs/>
        <w:color w:val="0072BC" w:themeColor="background1"/>
      </w:rPr>
      <w:tblPr/>
      <w:tcPr>
        <w:shd w:val="clear" w:color="auto" w:fill="5F5F5F" w:themeFill="accent3"/>
      </w:tcPr>
    </w:tblStylePr>
    <w:tblStylePr w:type="lastRow">
      <w:pPr>
        <w:spacing w:before="0" w:after="0" w:line="240" w:lineRule="auto"/>
      </w:pPr>
      <w:rPr>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tcBorders>
      </w:tcPr>
    </w:tblStylePr>
    <w:tblStylePr w:type="firstCol">
      <w:rPr>
        <w:b/>
        <w:bCs/>
      </w:rPr>
    </w:tblStylePr>
    <w:tblStylePr w:type="lastCol">
      <w:rPr>
        <w:b/>
        <w:bCs/>
      </w:r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style>
  <w:style w:type="table" w:styleId="LightList-Accent4">
    <w:name w:val="Light List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pPr>
        <w:spacing w:before="0" w:after="0" w:line="240" w:lineRule="auto"/>
      </w:pPr>
      <w:rPr>
        <w:b/>
        <w:bCs/>
        <w:color w:val="0072BC" w:themeColor="background1"/>
      </w:rPr>
      <w:tblPr/>
      <w:tcPr>
        <w:shd w:val="clear" w:color="auto" w:fill="969696" w:themeFill="accent4"/>
      </w:tcPr>
    </w:tblStylePr>
    <w:tblStylePr w:type="lastRow">
      <w:pPr>
        <w:spacing w:before="0" w:after="0" w:line="240" w:lineRule="auto"/>
      </w:pPr>
      <w:rPr>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tcBorders>
      </w:tcPr>
    </w:tblStylePr>
    <w:tblStylePr w:type="firstCol">
      <w:rPr>
        <w:b/>
        <w:bCs/>
      </w:rPr>
    </w:tblStylePr>
    <w:tblStylePr w:type="lastCol">
      <w:rPr>
        <w:b/>
        <w:bCs/>
      </w:r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style>
  <w:style w:type="table" w:styleId="LightList-Accent5">
    <w:name w:val="Light List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0072BC"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0072BC"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99"/>
    <w:semiHidden/>
    <w:rsid w:val="00014566"/>
    <w:rPr>
      <w:color w:val="000000" w:themeColor="text1" w:themeShade="BF"/>
      <w:lang w:val="fr-FR" w:eastAsia="fr-F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rsid w:val="00014566"/>
    <w:rPr>
      <w:color w:val="00548C" w:themeColor="accent1" w:themeShade="BF"/>
      <w:lang w:val="fr-FR" w:eastAsia="fr-FR"/>
    </w:rPr>
    <w:tblPr>
      <w:tblStyleRowBandSize w:val="1"/>
      <w:tblStyleColBandSize w:val="1"/>
      <w:tblBorders>
        <w:top w:val="single" w:sz="8" w:space="0" w:color="0072BC" w:themeColor="accent1"/>
        <w:bottom w:val="single" w:sz="8" w:space="0" w:color="0072BC" w:themeColor="accent1"/>
      </w:tblBorders>
    </w:tblPr>
    <w:tblStylePr w:type="fir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la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left w:val="nil"/>
          <w:right w:val="nil"/>
          <w:insideH w:val="nil"/>
          <w:insideV w:val="nil"/>
        </w:tcBorders>
        <w:shd w:val="clear" w:color="auto" w:fill="AFDFFF" w:themeFill="accent1" w:themeFillTint="3F"/>
      </w:tcPr>
    </w:tblStylePr>
  </w:style>
  <w:style w:type="table" w:styleId="LightShading-Accent2">
    <w:name w:val="Light Shading Accent 2"/>
    <w:basedOn w:val="TableNormal"/>
    <w:uiPriority w:val="99"/>
    <w:semiHidden/>
    <w:rsid w:val="00014566"/>
    <w:rPr>
      <w:color w:val="8F0000" w:themeColor="accent2" w:themeShade="BF"/>
      <w:lang w:val="fr-FR" w:eastAsia="fr-FR"/>
    </w:rPr>
    <w:tblPr>
      <w:tblStyleRowBandSize w:val="1"/>
      <w:tblStyleColBandSize w:val="1"/>
      <w:tblBorders>
        <w:top w:val="single" w:sz="8" w:space="0" w:color="C00000" w:themeColor="accent2"/>
        <w:bottom w:val="single" w:sz="8" w:space="0" w:color="C00000" w:themeColor="accent2"/>
      </w:tblBorders>
    </w:tblPr>
    <w:tblStylePr w:type="fir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la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left w:val="nil"/>
          <w:right w:val="nil"/>
          <w:insideH w:val="nil"/>
          <w:insideV w:val="nil"/>
        </w:tcBorders>
        <w:shd w:val="clear" w:color="auto" w:fill="FFB0B0" w:themeFill="accent2" w:themeFillTint="3F"/>
      </w:tcPr>
    </w:tblStylePr>
  </w:style>
  <w:style w:type="table" w:styleId="LightShading-Accent3">
    <w:name w:val="Light Shading Accent 3"/>
    <w:basedOn w:val="TableNormal"/>
    <w:uiPriority w:val="99"/>
    <w:semiHidden/>
    <w:rsid w:val="00014566"/>
    <w:rPr>
      <w:color w:val="474747" w:themeColor="accent3" w:themeShade="BF"/>
      <w:lang w:val="fr-FR" w:eastAsia="fr-FR"/>
    </w:rPr>
    <w:tblPr>
      <w:tblStyleRowBandSize w:val="1"/>
      <w:tblStyleColBandSize w:val="1"/>
      <w:tblBorders>
        <w:top w:val="single" w:sz="8" w:space="0" w:color="5F5F5F" w:themeColor="accent3"/>
        <w:bottom w:val="single" w:sz="8" w:space="0" w:color="5F5F5F" w:themeColor="accent3"/>
      </w:tblBorders>
    </w:tblPr>
    <w:tblStylePr w:type="fir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la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left w:val="nil"/>
          <w:right w:val="nil"/>
          <w:insideH w:val="nil"/>
          <w:insideV w:val="nil"/>
        </w:tcBorders>
        <w:shd w:val="clear" w:color="auto" w:fill="D7D7D7" w:themeFill="accent3" w:themeFillTint="3F"/>
      </w:tcPr>
    </w:tblStylePr>
  </w:style>
  <w:style w:type="table" w:styleId="LightShading-Accent4">
    <w:name w:val="Light Shading Accent 4"/>
    <w:basedOn w:val="TableNormal"/>
    <w:uiPriority w:val="99"/>
    <w:semiHidden/>
    <w:rsid w:val="00014566"/>
    <w:rPr>
      <w:color w:val="707070" w:themeColor="accent4" w:themeShade="BF"/>
      <w:lang w:val="fr-FR" w:eastAsia="fr-FR"/>
    </w:rPr>
    <w:tblPr>
      <w:tblStyleRowBandSize w:val="1"/>
      <w:tblStyleColBandSize w:val="1"/>
      <w:tblBorders>
        <w:top w:val="single" w:sz="8" w:space="0" w:color="969696" w:themeColor="accent4"/>
        <w:bottom w:val="single" w:sz="8" w:space="0" w:color="969696" w:themeColor="accent4"/>
      </w:tblBorders>
    </w:tblPr>
    <w:tblStylePr w:type="fir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la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left w:val="nil"/>
          <w:right w:val="nil"/>
          <w:insideH w:val="nil"/>
          <w:insideV w:val="nil"/>
        </w:tcBorders>
        <w:shd w:val="clear" w:color="auto" w:fill="E5E5E5" w:themeFill="accent4" w:themeFillTint="3F"/>
      </w:tcPr>
    </w:tblStylePr>
  </w:style>
  <w:style w:type="table" w:styleId="LightShading-Accent5">
    <w:name w:val="Light Shading Accent 5"/>
    <w:basedOn w:val="TableNormal"/>
    <w:uiPriority w:val="99"/>
    <w:semiHidden/>
    <w:rsid w:val="00014566"/>
    <w:rPr>
      <w:color w:val="474747" w:themeColor="accent5" w:themeShade="BF"/>
      <w:lang w:val="fr-FR" w:eastAsia="fr-FR"/>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99"/>
    <w:semiHidden/>
    <w:rsid w:val="00014566"/>
    <w:rPr>
      <w:color w:val="393939" w:themeColor="accent6" w:themeShade="BF"/>
      <w:lang w:val="fr-FR" w:eastAsia="fr-FR"/>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rsid w:val="00014566"/>
  </w:style>
  <w:style w:type="paragraph" w:styleId="List">
    <w:name w:val="List"/>
    <w:basedOn w:val="Normal"/>
    <w:uiPriority w:val="99"/>
    <w:semiHidden/>
    <w:rsid w:val="00014566"/>
    <w:pPr>
      <w:ind w:left="283" w:hanging="283"/>
      <w:contextualSpacing/>
    </w:pPr>
  </w:style>
  <w:style w:type="paragraph" w:styleId="List2">
    <w:name w:val="List 2"/>
    <w:basedOn w:val="Normal"/>
    <w:uiPriority w:val="99"/>
    <w:semiHidden/>
    <w:rsid w:val="00014566"/>
    <w:pPr>
      <w:ind w:left="566" w:hanging="283"/>
      <w:contextualSpacing/>
    </w:pPr>
  </w:style>
  <w:style w:type="paragraph" w:styleId="List3">
    <w:name w:val="List 3"/>
    <w:basedOn w:val="Normal"/>
    <w:uiPriority w:val="99"/>
    <w:semiHidden/>
    <w:rsid w:val="00014566"/>
    <w:pPr>
      <w:ind w:left="849" w:hanging="283"/>
      <w:contextualSpacing/>
    </w:pPr>
  </w:style>
  <w:style w:type="paragraph" w:styleId="List4">
    <w:name w:val="List 4"/>
    <w:basedOn w:val="Normal"/>
    <w:uiPriority w:val="99"/>
    <w:semiHidden/>
    <w:rsid w:val="00014566"/>
    <w:pPr>
      <w:ind w:left="1132" w:hanging="283"/>
      <w:contextualSpacing/>
    </w:pPr>
  </w:style>
  <w:style w:type="paragraph" w:styleId="List5">
    <w:name w:val="List 5"/>
    <w:basedOn w:val="Normal"/>
    <w:uiPriority w:val="99"/>
    <w:semiHidden/>
    <w:rsid w:val="00014566"/>
    <w:pPr>
      <w:ind w:left="1415" w:hanging="283"/>
      <w:contextualSpacing/>
    </w:pPr>
  </w:style>
  <w:style w:type="paragraph" w:styleId="ListBullet2">
    <w:name w:val="List Bullet 2"/>
    <w:basedOn w:val="Normal"/>
    <w:uiPriority w:val="99"/>
    <w:semiHidden/>
    <w:rsid w:val="00014566"/>
    <w:pPr>
      <w:numPr>
        <w:numId w:val="12"/>
      </w:numPr>
      <w:contextualSpacing/>
    </w:pPr>
  </w:style>
  <w:style w:type="paragraph" w:styleId="ListBullet3">
    <w:name w:val="List Bullet 3"/>
    <w:basedOn w:val="Normal"/>
    <w:uiPriority w:val="99"/>
    <w:semiHidden/>
    <w:rsid w:val="00014566"/>
    <w:pPr>
      <w:numPr>
        <w:numId w:val="13"/>
      </w:numPr>
      <w:contextualSpacing/>
    </w:pPr>
  </w:style>
  <w:style w:type="paragraph" w:styleId="ListBullet4">
    <w:name w:val="List Bullet 4"/>
    <w:basedOn w:val="Normal"/>
    <w:uiPriority w:val="99"/>
    <w:semiHidden/>
    <w:rsid w:val="00014566"/>
    <w:pPr>
      <w:numPr>
        <w:numId w:val="14"/>
      </w:numPr>
      <w:contextualSpacing/>
    </w:pPr>
  </w:style>
  <w:style w:type="paragraph" w:styleId="ListBullet5">
    <w:name w:val="List Bullet 5"/>
    <w:basedOn w:val="Normal"/>
    <w:uiPriority w:val="99"/>
    <w:semiHidden/>
    <w:rsid w:val="00014566"/>
    <w:pPr>
      <w:numPr>
        <w:numId w:val="15"/>
      </w:numPr>
      <w:contextualSpacing/>
    </w:pPr>
  </w:style>
  <w:style w:type="paragraph" w:styleId="ListContinue">
    <w:name w:val="List Continue"/>
    <w:basedOn w:val="Normal"/>
    <w:uiPriority w:val="99"/>
    <w:semiHidden/>
    <w:rsid w:val="00014566"/>
    <w:pPr>
      <w:spacing w:after="120"/>
      <w:ind w:left="283"/>
      <w:contextualSpacing/>
    </w:pPr>
  </w:style>
  <w:style w:type="paragraph" w:styleId="ListContinue2">
    <w:name w:val="List Continue 2"/>
    <w:basedOn w:val="Normal"/>
    <w:uiPriority w:val="99"/>
    <w:semiHidden/>
    <w:rsid w:val="00014566"/>
    <w:pPr>
      <w:spacing w:after="120"/>
      <w:ind w:left="566"/>
      <w:contextualSpacing/>
    </w:pPr>
  </w:style>
  <w:style w:type="paragraph" w:styleId="ListContinue3">
    <w:name w:val="List Continue 3"/>
    <w:basedOn w:val="Normal"/>
    <w:uiPriority w:val="99"/>
    <w:semiHidden/>
    <w:rsid w:val="00014566"/>
    <w:pPr>
      <w:spacing w:after="120"/>
      <w:ind w:left="849"/>
      <w:contextualSpacing/>
    </w:pPr>
  </w:style>
  <w:style w:type="paragraph" w:styleId="ListContinue4">
    <w:name w:val="List Continue 4"/>
    <w:basedOn w:val="Normal"/>
    <w:uiPriority w:val="99"/>
    <w:semiHidden/>
    <w:rsid w:val="00014566"/>
    <w:pPr>
      <w:spacing w:after="120"/>
      <w:ind w:left="1132"/>
      <w:contextualSpacing/>
    </w:pPr>
  </w:style>
  <w:style w:type="paragraph" w:styleId="ListContinue5">
    <w:name w:val="List Continue 5"/>
    <w:basedOn w:val="Normal"/>
    <w:uiPriority w:val="99"/>
    <w:semiHidden/>
    <w:rsid w:val="00014566"/>
    <w:pPr>
      <w:spacing w:after="120"/>
      <w:ind w:left="1415"/>
      <w:contextualSpacing/>
    </w:pPr>
  </w:style>
  <w:style w:type="paragraph" w:styleId="ListNumber">
    <w:name w:val="List Number"/>
    <w:basedOn w:val="Normal"/>
    <w:uiPriority w:val="99"/>
    <w:semiHidden/>
    <w:rsid w:val="00014566"/>
    <w:pPr>
      <w:numPr>
        <w:numId w:val="16"/>
      </w:numPr>
      <w:contextualSpacing/>
    </w:pPr>
  </w:style>
  <w:style w:type="paragraph" w:styleId="ListNumber2">
    <w:name w:val="List Number 2"/>
    <w:basedOn w:val="Normal"/>
    <w:uiPriority w:val="99"/>
    <w:semiHidden/>
    <w:rsid w:val="00014566"/>
    <w:pPr>
      <w:numPr>
        <w:numId w:val="17"/>
      </w:numPr>
      <w:contextualSpacing/>
    </w:pPr>
  </w:style>
  <w:style w:type="paragraph" w:styleId="ListNumber3">
    <w:name w:val="List Number 3"/>
    <w:basedOn w:val="Normal"/>
    <w:uiPriority w:val="99"/>
    <w:semiHidden/>
    <w:rsid w:val="00014566"/>
    <w:pPr>
      <w:numPr>
        <w:numId w:val="18"/>
      </w:numPr>
      <w:contextualSpacing/>
    </w:pPr>
  </w:style>
  <w:style w:type="paragraph" w:styleId="ListNumber4">
    <w:name w:val="List Number 4"/>
    <w:basedOn w:val="Normal"/>
    <w:uiPriority w:val="99"/>
    <w:semiHidden/>
    <w:rsid w:val="00014566"/>
    <w:pPr>
      <w:numPr>
        <w:numId w:val="19"/>
      </w:numPr>
      <w:contextualSpacing/>
    </w:pPr>
  </w:style>
  <w:style w:type="paragraph" w:styleId="ListNumber5">
    <w:name w:val="List Number 5"/>
    <w:basedOn w:val="Normal"/>
    <w:uiPriority w:val="99"/>
    <w:semiHidden/>
    <w:rsid w:val="00014566"/>
    <w:pPr>
      <w:numPr>
        <w:numId w:val="20"/>
      </w:numPr>
      <w:contextualSpacing/>
    </w:pPr>
  </w:style>
  <w:style w:type="paragraph" w:styleId="MacroText">
    <w:name w:val="macro"/>
    <w:link w:val="MacroTextChar"/>
    <w:uiPriority w:val="99"/>
    <w:semiHidden/>
    <w:rsid w:val="00014566"/>
    <w:pPr>
      <w:tabs>
        <w:tab w:val="left" w:pos="480"/>
        <w:tab w:val="left" w:pos="960"/>
        <w:tab w:val="left" w:pos="1440"/>
        <w:tab w:val="left" w:pos="1920"/>
        <w:tab w:val="left" w:pos="2400"/>
        <w:tab w:val="left" w:pos="2880"/>
        <w:tab w:val="left" w:pos="3360"/>
        <w:tab w:val="left" w:pos="3840"/>
        <w:tab w:val="left" w:pos="4320"/>
      </w:tabs>
      <w:suppressAutoHyphens/>
    </w:pPr>
    <w:rPr>
      <w:rFonts w:ascii="Consolas" w:hAnsi="Consolas" w:cs="Consolas"/>
      <w:sz w:val="20"/>
      <w:szCs w:val="20"/>
      <w:lang w:val="en-GB" w:eastAsia="fr-FR"/>
    </w:rPr>
  </w:style>
  <w:style w:type="character" w:customStyle="1" w:styleId="MacroTextChar">
    <w:name w:val="Macro Text Char"/>
    <w:basedOn w:val="DefaultParagraphFont"/>
    <w:link w:val="MacroText"/>
    <w:uiPriority w:val="99"/>
    <w:semiHidden/>
    <w:rsid w:val="00014566"/>
    <w:rPr>
      <w:rFonts w:ascii="Consolas" w:hAnsi="Consolas" w:cs="Consolas"/>
      <w:sz w:val="20"/>
      <w:szCs w:val="20"/>
      <w:lang w:val="en-GB" w:eastAsia="fr-FR"/>
    </w:rPr>
  </w:style>
  <w:style w:type="table" w:styleId="MediumGrid1">
    <w:name w:val="Medium Grid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insideV w:val="single" w:sz="8" w:space="0" w:color="0D9FFF" w:themeColor="accent1" w:themeTint="BF"/>
      </w:tblBorders>
    </w:tblPr>
    <w:tcPr>
      <w:shd w:val="clear" w:color="auto" w:fill="AFDFFF" w:themeFill="accent1" w:themeFillTint="3F"/>
    </w:tcPr>
    <w:tblStylePr w:type="firstRow">
      <w:rPr>
        <w:b/>
        <w:bCs/>
      </w:rPr>
    </w:tblStylePr>
    <w:tblStylePr w:type="lastRow">
      <w:rPr>
        <w:b/>
        <w:bCs/>
      </w:rPr>
      <w:tblPr/>
      <w:tcPr>
        <w:tcBorders>
          <w:top w:val="single" w:sz="18" w:space="0" w:color="0D9FFF" w:themeColor="accent1" w:themeTint="BF"/>
        </w:tcBorders>
      </w:tcPr>
    </w:tblStylePr>
    <w:tblStylePr w:type="firstCol">
      <w:rPr>
        <w:b/>
        <w:bCs/>
      </w:rPr>
    </w:tblStylePr>
    <w:tblStylePr w:type="lastCol">
      <w:rPr>
        <w:b/>
        <w:bCs/>
      </w:r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MediumGrid1-Accent2">
    <w:name w:val="Medium Grid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insideV w:val="single" w:sz="8" w:space="0" w:color="FF1010" w:themeColor="accent2" w:themeTint="BF"/>
      </w:tblBorders>
    </w:tblPr>
    <w:tcPr>
      <w:shd w:val="clear" w:color="auto" w:fill="FFB0B0" w:themeFill="accent2" w:themeFillTint="3F"/>
    </w:tcPr>
    <w:tblStylePr w:type="firstRow">
      <w:rPr>
        <w:b/>
        <w:bCs/>
      </w:rPr>
    </w:tblStylePr>
    <w:tblStylePr w:type="lastRow">
      <w:rPr>
        <w:b/>
        <w:bCs/>
      </w:rPr>
      <w:tblPr/>
      <w:tcPr>
        <w:tcBorders>
          <w:top w:val="single" w:sz="18" w:space="0" w:color="FF1010" w:themeColor="accent2" w:themeTint="BF"/>
        </w:tcBorders>
      </w:tcPr>
    </w:tblStylePr>
    <w:tblStylePr w:type="firstCol">
      <w:rPr>
        <w:b/>
        <w:bCs/>
      </w:rPr>
    </w:tblStylePr>
    <w:tblStylePr w:type="lastCol">
      <w:rPr>
        <w:b/>
        <w:bCs/>
      </w:r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MediumGrid1-Accent3">
    <w:name w:val="Medium Grid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insideV w:val="single" w:sz="8" w:space="0" w:color="878787" w:themeColor="accent3" w:themeTint="BF"/>
      </w:tblBorders>
    </w:tblPr>
    <w:tcPr>
      <w:shd w:val="clear" w:color="auto" w:fill="D7D7D7" w:themeFill="accent3" w:themeFillTint="3F"/>
    </w:tcPr>
    <w:tblStylePr w:type="firstRow">
      <w:rPr>
        <w:b/>
        <w:bCs/>
      </w:rPr>
    </w:tblStylePr>
    <w:tblStylePr w:type="lastRow">
      <w:rPr>
        <w:b/>
        <w:bCs/>
      </w:rPr>
      <w:tblPr/>
      <w:tcPr>
        <w:tcBorders>
          <w:top w:val="single" w:sz="18" w:space="0" w:color="878787" w:themeColor="accent3" w:themeTint="BF"/>
        </w:tcBorders>
      </w:tcPr>
    </w:tblStylePr>
    <w:tblStylePr w:type="firstCol">
      <w:rPr>
        <w:b/>
        <w:bCs/>
      </w:rPr>
    </w:tblStylePr>
    <w:tblStylePr w:type="lastCol">
      <w:rPr>
        <w:b/>
        <w:bCs/>
      </w:r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MediumGrid1-Accent4">
    <w:name w:val="Medium Grid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insideV w:val="single" w:sz="8" w:space="0" w:color="B0B0B0" w:themeColor="accent4" w:themeTint="BF"/>
      </w:tblBorders>
    </w:tblPr>
    <w:tcPr>
      <w:shd w:val="clear" w:color="auto" w:fill="E5E5E5" w:themeFill="accent4" w:themeFillTint="3F"/>
    </w:tcPr>
    <w:tblStylePr w:type="firstRow">
      <w:rPr>
        <w:b/>
        <w:bCs/>
      </w:rPr>
    </w:tblStylePr>
    <w:tblStylePr w:type="lastRow">
      <w:rPr>
        <w:b/>
        <w:bCs/>
      </w:rPr>
      <w:tblPr/>
      <w:tcPr>
        <w:tcBorders>
          <w:top w:val="single" w:sz="18" w:space="0" w:color="B0B0B0" w:themeColor="accent4" w:themeTint="BF"/>
        </w:tcBorders>
      </w:tcPr>
    </w:tblStylePr>
    <w:tblStylePr w:type="firstCol">
      <w:rPr>
        <w:b/>
        <w:bCs/>
      </w:rPr>
    </w:tblStylePr>
    <w:tblStylePr w:type="lastCol">
      <w:rPr>
        <w:b/>
        <w:bCs/>
      </w:r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MediumGrid1-Accent5">
    <w:name w:val="Medium Grid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0072BC" w:themeFill="background1"/>
      </w:tcPr>
    </w:tblStylePr>
  </w:style>
  <w:style w:type="table" w:styleId="MediumGrid2-Accent1">
    <w:name w:val="Medium Grid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cPr>
      <w:shd w:val="clear" w:color="auto" w:fill="AFDFFF" w:themeFill="accent1" w:themeFillTint="3F"/>
    </w:tcPr>
    <w:tblStylePr w:type="firstRow">
      <w:rPr>
        <w:b/>
        <w:bCs/>
        <w:color w:val="000000" w:themeColor="text1"/>
      </w:rPr>
      <w:tblPr/>
      <w:tcPr>
        <w:shd w:val="clear" w:color="auto" w:fill="DFF2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E5FF" w:themeFill="accent1" w:themeFillTint="33"/>
      </w:tcPr>
    </w:tblStylePr>
    <w:tblStylePr w:type="band1Vert">
      <w:tblPr/>
      <w:tcPr>
        <w:shd w:val="clear" w:color="auto" w:fill="5EBFFF" w:themeFill="accent1" w:themeFillTint="7F"/>
      </w:tcPr>
    </w:tblStylePr>
    <w:tblStylePr w:type="band1Horz">
      <w:tblPr/>
      <w:tcPr>
        <w:tcBorders>
          <w:insideH w:val="single" w:sz="6" w:space="0" w:color="0072BC" w:themeColor="accent1"/>
          <w:insideV w:val="single" w:sz="6" w:space="0" w:color="0072BC" w:themeColor="accent1"/>
        </w:tcBorders>
        <w:shd w:val="clear" w:color="auto" w:fill="5EBFFF" w:themeFill="accent1" w:themeFillTint="7F"/>
      </w:tcPr>
    </w:tblStylePr>
    <w:tblStylePr w:type="nwCell">
      <w:tblPr/>
      <w:tcPr>
        <w:shd w:val="clear" w:color="auto" w:fill="0072BC" w:themeFill="background1"/>
      </w:tcPr>
    </w:tblStylePr>
  </w:style>
  <w:style w:type="table" w:styleId="MediumGrid2-Accent2">
    <w:name w:val="Medium Grid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cPr>
      <w:shd w:val="clear" w:color="auto" w:fill="FFB0B0" w:themeFill="accent2" w:themeFillTint="3F"/>
    </w:tcPr>
    <w:tblStylePr w:type="firstRow">
      <w:rPr>
        <w:b/>
        <w:bCs/>
        <w:color w:val="000000" w:themeColor="text1"/>
      </w:rPr>
      <w:tblPr/>
      <w:tcPr>
        <w:shd w:val="clear" w:color="auto" w:fill="FFDFD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FBF" w:themeFill="accent2" w:themeFillTint="33"/>
      </w:tcPr>
    </w:tblStylePr>
    <w:tblStylePr w:type="band1Vert">
      <w:tblPr/>
      <w:tcPr>
        <w:shd w:val="clear" w:color="auto" w:fill="FF6060" w:themeFill="accent2" w:themeFillTint="7F"/>
      </w:tcPr>
    </w:tblStylePr>
    <w:tblStylePr w:type="band1Horz">
      <w:tblPr/>
      <w:tcPr>
        <w:tcBorders>
          <w:insideH w:val="single" w:sz="6" w:space="0" w:color="C00000" w:themeColor="accent2"/>
          <w:insideV w:val="single" w:sz="6" w:space="0" w:color="C00000" w:themeColor="accent2"/>
        </w:tcBorders>
        <w:shd w:val="clear" w:color="auto" w:fill="FF6060" w:themeFill="accent2" w:themeFillTint="7F"/>
      </w:tcPr>
    </w:tblStylePr>
    <w:tblStylePr w:type="nwCell">
      <w:tblPr/>
      <w:tcPr>
        <w:shd w:val="clear" w:color="auto" w:fill="0072BC" w:themeFill="background1"/>
      </w:tcPr>
    </w:tblStylePr>
  </w:style>
  <w:style w:type="table" w:styleId="MediumGrid2-Accent3">
    <w:name w:val="Medium Grid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cPr>
      <w:shd w:val="clear" w:color="auto" w:fill="D7D7D7" w:themeFill="accent3" w:themeFillTint="3F"/>
    </w:tcPr>
    <w:tblStylePr w:type="firstRow">
      <w:rPr>
        <w:b/>
        <w:bCs/>
        <w:color w:val="000000" w:themeColor="text1"/>
      </w:rPr>
      <w:tblPr/>
      <w:tcPr>
        <w:shd w:val="clear" w:color="auto" w:fill="EF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3" w:themeFillTint="33"/>
      </w:tcPr>
    </w:tblStylePr>
    <w:tblStylePr w:type="band1Vert">
      <w:tblPr/>
      <w:tcPr>
        <w:shd w:val="clear" w:color="auto" w:fill="AFAFAF" w:themeFill="accent3" w:themeFillTint="7F"/>
      </w:tcPr>
    </w:tblStylePr>
    <w:tblStylePr w:type="band1Horz">
      <w:tblPr/>
      <w:tcPr>
        <w:tcBorders>
          <w:insideH w:val="single" w:sz="6" w:space="0" w:color="5F5F5F" w:themeColor="accent3"/>
          <w:insideV w:val="single" w:sz="6" w:space="0" w:color="5F5F5F" w:themeColor="accent3"/>
        </w:tcBorders>
        <w:shd w:val="clear" w:color="auto" w:fill="AFAFAF" w:themeFill="accent3" w:themeFillTint="7F"/>
      </w:tcPr>
    </w:tblStylePr>
    <w:tblStylePr w:type="nwCell">
      <w:tblPr/>
      <w:tcPr>
        <w:shd w:val="clear" w:color="auto" w:fill="0072BC" w:themeFill="background1"/>
      </w:tcPr>
    </w:tblStylePr>
  </w:style>
  <w:style w:type="table" w:styleId="MediumGrid2-Accent4">
    <w:name w:val="Medium Grid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cPr>
      <w:shd w:val="clear" w:color="auto" w:fill="E5E5E5" w:themeFill="accent4" w:themeFillTint="3F"/>
    </w:tcPr>
    <w:tblStylePr w:type="firstRow">
      <w:rPr>
        <w:b/>
        <w:bCs/>
        <w:color w:val="000000" w:themeColor="text1"/>
      </w:rPr>
      <w:tblPr/>
      <w:tcPr>
        <w:shd w:val="clear" w:color="auto" w:fill="F4F4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4" w:themeFillTint="33"/>
      </w:tcPr>
    </w:tblStylePr>
    <w:tblStylePr w:type="band1Vert">
      <w:tblPr/>
      <w:tcPr>
        <w:shd w:val="clear" w:color="auto" w:fill="CACACA" w:themeFill="accent4" w:themeFillTint="7F"/>
      </w:tcPr>
    </w:tblStylePr>
    <w:tblStylePr w:type="band1Horz">
      <w:tblPr/>
      <w:tcPr>
        <w:tcBorders>
          <w:insideH w:val="single" w:sz="6" w:space="0" w:color="969696" w:themeColor="accent4"/>
          <w:insideV w:val="single" w:sz="6" w:space="0" w:color="969696" w:themeColor="accent4"/>
        </w:tcBorders>
        <w:shd w:val="clear" w:color="auto" w:fill="CACACA" w:themeFill="accent4" w:themeFillTint="7F"/>
      </w:tcPr>
    </w:tblStylePr>
    <w:tblStylePr w:type="nwCell">
      <w:tblPr/>
      <w:tcPr>
        <w:shd w:val="clear" w:color="auto" w:fill="0072BC" w:themeFill="background1"/>
      </w:tcPr>
    </w:tblStylePr>
  </w:style>
  <w:style w:type="table" w:styleId="MediumGrid2-Accent5">
    <w:name w:val="Medium Grid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0072BC" w:themeFill="background1"/>
      </w:tcPr>
    </w:tblStylePr>
  </w:style>
  <w:style w:type="table" w:styleId="MediumGrid2-Accent6">
    <w:name w:val="Medium Grid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0072BC" w:themeFill="background1"/>
      </w:tcPr>
    </w:tblStylePr>
  </w:style>
  <w:style w:type="table" w:styleId="MediumGrid3">
    <w:name w:val="Medium Grid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C0C0C0" w:themeFill="tex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0000" w:themeFill="tex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0000" w:themeFill="tex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808080" w:themeFill="tex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808080" w:themeFill="text1" w:themeFillTint="7F"/>
      </w:tcPr>
    </w:tblStylePr>
  </w:style>
  <w:style w:type="table" w:styleId="MediumGrid3-Accent1">
    <w:name w:val="Medium Grid 3 Accent 1"/>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AFDFFF" w:themeFill="accen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72BC" w:themeFill="accen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72BC" w:themeFill="accen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5EBFFF" w:themeFill="accen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5EBFFF" w:themeFill="accent1" w:themeFillTint="7F"/>
      </w:tcPr>
    </w:tblStylePr>
  </w:style>
  <w:style w:type="table" w:styleId="MediumGrid3-Accent2">
    <w:name w:val="Medium Grid 3 Accent 2"/>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FFB0B0" w:themeFill="accent2"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C00000" w:themeFill="accent2"/>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C00000" w:themeFill="accent2"/>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FF6060" w:themeFill="accent2"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FF6060" w:themeFill="accent2" w:themeFillTint="7F"/>
      </w:tcPr>
    </w:tblStylePr>
  </w:style>
  <w:style w:type="table" w:styleId="MediumGrid3-Accent3">
    <w:name w:val="Medium Grid 3 Accent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3"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3"/>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3"/>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3"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3" w:themeFillTint="7F"/>
      </w:tcPr>
    </w:tblStylePr>
  </w:style>
  <w:style w:type="table" w:styleId="MediumGrid3-Accent4">
    <w:name w:val="Medium Grid 3 Accent 4"/>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E5E5E5" w:themeFill="accent4"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969696" w:themeFill="accent4"/>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969696" w:themeFill="accent4"/>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CACACA" w:themeFill="accent4"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CACACA" w:themeFill="accent4" w:themeFillTint="7F"/>
      </w:tcPr>
    </w:tblStylePr>
  </w:style>
  <w:style w:type="table" w:styleId="MediumGrid3-Accent5">
    <w:name w:val="Medium Grid 3 Accent 5"/>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5"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5"/>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5"/>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5"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5" w:themeFillTint="7F"/>
      </w:tcPr>
    </w:tblStylePr>
  </w:style>
  <w:style w:type="table" w:styleId="MediumGrid3-Accent6">
    <w:name w:val="Medium Grid 3 Accent 6"/>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3D3D3" w:themeFill="accent6"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4D4D4D" w:themeFill="accent6"/>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4D4D4D" w:themeFill="accent6"/>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6A6A6" w:themeFill="accent6"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6A6A6" w:themeFill="accent6" w:themeFillTint="7F"/>
      </w:tcPr>
    </w:tblStylePr>
  </w:style>
  <w:style w:type="table" w:styleId="MediumList1">
    <w:name w:val="Medium List 1"/>
    <w:basedOn w:val="TableNormal"/>
    <w:uiPriority w:val="99"/>
    <w:semiHidden/>
    <w:rsid w:val="00014566"/>
    <w:rPr>
      <w:color w:val="000000" w:themeColor="text1"/>
      <w:lang w:val="fr-FR" w:eastAsia="fr-FR"/>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C6C6C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rsid w:val="00014566"/>
    <w:rPr>
      <w:color w:val="000000" w:themeColor="text1"/>
      <w:lang w:val="fr-FR" w:eastAsia="fr-FR"/>
    </w:rPr>
    <w:tblPr>
      <w:tblStyleRowBandSize w:val="1"/>
      <w:tblStyleColBandSize w:val="1"/>
      <w:tblBorders>
        <w:top w:val="single" w:sz="8" w:space="0" w:color="0072BC" w:themeColor="accent1"/>
        <w:bottom w:val="single" w:sz="8" w:space="0" w:color="0072BC" w:themeColor="accent1"/>
      </w:tblBorders>
    </w:tblPr>
    <w:tblStylePr w:type="firstRow">
      <w:rPr>
        <w:rFonts w:asciiTheme="majorHAnsi" w:eastAsiaTheme="majorEastAsia" w:hAnsiTheme="majorHAnsi" w:cstheme="majorBidi"/>
      </w:rPr>
      <w:tblPr/>
      <w:tcPr>
        <w:tcBorders>
          <w:top w:val="nil"/>
          <w:bottom w:val="single" w:sz="8" w:space="0" w:color="0072BC" w:themeColor="accent1"/>
        </w:tcBorders>
      </w:tcPr>
    </w:tblStylePr>
    <w:tblStylePr w:type="lastRow">
      <w:rPr>
        <w:b/>
        <w:bCs/>
        <w:color w:val="C6C6C6" w:themeColor="text2"/>
      </w:rPr>
      <w:tblPr/>
      <w:tcPr>
        <w:tcBorders>
          <w:top w:val="single" w:sz="8" w:space="0" w:color="0072BC" w:themeColor="accent1"/>
          <w:bottom w:val="single" w:sz="8" w:space="0" w:color="0072BC" w:themeColor="accent1"/>
        </w:tcBorders>
      </w:tcPr>
    </w:tblStylePr>
    <w:tblStylePr w:type="firstCol">
      <w:rPr>
        <w:b/>
        <w:bCs/>
      </w:rPr>
    </w:tblStylePr>
    <w:tblStylePr w:type="lastCol">
      <w:rPr>
        <w:b/>
        <w:bCs/>
      </w:rPr>
      <w:tblPr/>
      <w:tcPr>
        <w:tcBorders>
          <w:top w:val="single" w:sz="8" w:space="0" w:color="0072BC" w:themeColor="accent1"/>
          <w:bottom w:val="single" w:sz="8" w:space="0" w:color="0072BC" w:themeColor="accent1"/>
        </w:tcBorders>
      </w:tcPr>
    </w:tblStylePr>
    <w:tblStylePr w:type="band1Vert">
      <w:tblPr/>
      <w:tcPr>
        <w:shd w:val="clear" w:color="auto" w:fill="AFDFFF" w:themeFill="accent1" w:themeFillTint="3F"/>
      </w:tcPr>
    </w:tblStylePr>
    <w:tblStylePr w:type="band1Horz">
      <w:tblPr/>
      <w:tcPr>
        <w:shd w:val="clear" w:color="auto" w:fill="AFDFFF" w:themeFill="accent1" w:themeFillTint="3F"/>
      </w:tcPr>
    </w:tblStylePr>
  </w:style>
  <w:style w:type="table" w:styleId="MediumList1-Accent2">
    <w:name w:val="Medium List 1 Accent 2"/>
    <w:basedOn w:val="TableNormal"/>
    <w:uiPriority w:val="99"/>
    <w:semiHidden/>
    <w:rsid w:val="00014566"/>
    <w:rPr>
      <w:color w:val="000000" w:themeColor="text1"/>
      <w:lang w:val="fr-FR" w:eastAsia="fr-FR"/>
    </w:rPr>
    <w:tblPr>
      <w:tblStyleRowBandSize w:val="1"/>
      <w:tblStyleColBandSize w:val="1"/>
      <w:tblBorders>
        <w:top w:val="single" w:sz="8" w:space="0" w:color="C00000" w:themeColor="accent2"/>
        <w:bottom w:val="single" w:sz="8" w:space="0" w:color="C00000" w:themeColor="accent2"/>
      </w:tblBorders>
    </w:tblPr>
    <w:tblStylePr w:type="firstRow">
      <w:rPr>
        <w:rFonts w:asciiTheme="majorHAnsi" w:eastAsiaTheme="majorEastAsia" w:hAnsiTheme="majorHAnsi" w:cstheme="majorBidi"/>
      </w:rPr>
      <w:tblPr/>
      <w:tcPr>
        <w:tcBorders>
          <w:top w:val="nil"/>
          <w:bottom w:val="single" w:sz="8" w:space="0" w:color="C00000" w:themeColor="accent2"/>
        </w:tcBorders>
      </w:tcPr>
    </w:tblStylePr>
    <w:tblStylePr w:type="lastRow">
      <w:rPr>
        <w:b/>
        <w:bCs/>
        <w:color w:val="C6C6C6" w:themeColor="text2"/>
      </w:rPr>
      <w:tblPr/>
      <w:tcPr>
        <w:tcBorders>
          <w:top w:val="single" w:sz="8" w:space="0" w:color="C00000" w:themeColor="accent2"/>
          <w:bottom w:val="single" w:sz="8" w:space="0" w:color="C00000" w:themeColor="accent2"/>
        </w:tcBorders>
      </w:tcPr>
    </w:tblStylePr>
    <w:tblStylePr w:type="firstCol">
      <w:rPr>
        <w:b/>
        <w:bCs/>
      </w:rPr>
    </w:tblStylePr>
    <w:tblStylePr w:type="lastCol">
      <w:rPr>
        <w:b/>
        <w:bCs/>
      </w:rPr>
      <w:tblPr/>
      <w:tcPr>
        <w:tcBorders>
          <w:top w:val="single" w:sz="8" w:space="0" w:color="C00000" w:themeColor="accent2"/>
          <w:bottom w:val="single" w:sz="8" w:space="0" w:color="C00000" w:themeColor="accent2"/>
        </w:tcBorders>
      </w:tcPr>
    </w:tblStylePr>
    <w:tblStylePr w:type="band1Vert">
      <w:tblPr/>
      <w:tcPr>
        <w:shd w:val="clear" w:color="auto" w:fill="FFB0B0" w:themeFill="accent2" w:themeFillTint="3F"/>
      </w:tcPr>
    </w:tblStylePr>
    <w:tblStylePr w:type="band1Horz">
      <w:tblPr/>
      <w:tcPr>
        <w:shd w:val="clear" w:color="auto" w:fill="FFB0B0" w:themeFill="accent2" w:themeFillTint="3F"/>
      </w:tcPr>
    </w:tblStylePr>
  </w:style>
  <w:style w:type="table" w:styleId="MediumList1-Accent3">
    <w:name w:val="Medium List 1 Accent 3"/>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3"/>
        <w:bottom w:val="single" w:sz="8" w:space="0" w:color="5F5F5F" w:themeColor="accent3"/>
      </w:tblBorders>
    </w:tblPr>
    <w:tblStylePr w:type="firstRow">
      <w:rPr>
        <w:rFonts w:asciiTheme="majorHAnsi" w:eastAsiaTheme="majorEastAsia" w:hAnsiTheme="majorHAnsi" w:cstheme="majorBidi"/>
      </w:rPr>
      <w:tblPr/>
      <w:tcPr>
        <w:tcBorders>
          <w:top w:val="nil"/>
          <w:bottom w:val="single" w:sz="8" w:space="0" w:color="5F5F5F" w:themeColor="accent3"/>
        </w:tcBorders>
      </w:tcPr>
    </w:tblStylePr>
    <w:tblStylePr w:type="lastRow">
      <w:rPr>
        <w:b/>
        <w:bCs/>
        <w:color w:val="C6C6C6" w:themeColor="text2"/>
      </w:rPr>
      <w:tblPr/>
      <w:tcPr>
        <w:tcBorders>
          <w:top w:val="single" w:sz="8" w:space="0" w:color="5F5F5F" w:themeColor="accent3"/>
          <w:bottom w:val="single" w:sz="8" w:space="0" w:color="5F5F5F" w:themeColor="accent3"/>
        </w:tcBorders>
      </w:tcPr>
    </w:tblStylePr>
    <w:tblStylePr w:type="firstCol">
      <w:rPr>
        <w:b/>
        <w:bCs/>
      </w:rPr>
    </w:tblStylePr>
    <w:tblStylePr w:type="lastCol">
      <w:rPr>
        <w:b/>
        <w:bCs/>
      </w:rPr>
      <w:tblPr/>
      <w:tcPr>
        <w:tcBorders>
          <w:top w:val="single" w:sz="8" w:space="0" w:color="5F5F5F" w:themeColor="accent3"/>
          <w:bottom w:val="single" w:sz="8" w:space="0" w:color="5F5F5F" w:themeColor="accent3"/>
        </w:tcBorders>
      </w:tcPr>
    </w:tblStylePr>
    <w:tblStylePr w:type="band1Vert">
      <w:tblPr/>
      <w:tcPr>
        <w:shd w:val="clear" w:color="auto" w:fill="D7D7D7" w:themeFill="accent3" w:themeFillTint="3F"/>
      </w:tcPr>
    </w:tblStylePr>
    <w:tblStylePr w:type="band1Horz">
      <w:tblPr/>
      <w:tcPr>
        <w:shd w:val="clear" w:color="auto" w:fill="D7D7D7" w:themeFill="accent3" w:themeFillTint="3F"/>
      </w:tcPr>
    </w:tblStylePr>
  </w:style>
  <w:style w:type="table" w:styleId="MediumList1-Accent4">
    <w:name w:val="Medium List 1 Accent 4"/>
    <w:basedOn w:val="TableNormal"/>
    <w:uiPriority w:val="99"/>
    <w:semiHidden/>
    <w:rsid w:val="00014566"/>
    <w:rPr>
      <w:color w:val="000000" w:themeColor="text1"/>
      <w:lang w:val="fr-FR" w:eastAsia="fr-FR"/>
    </w:rPr>
    <w:tblPr>
      <w:tblStyleRowBandSize w:val="1"/>
      <w:tblStyleColBandSize w:val="1"/>
      <w:tblBorders>
        <w:top w:val="single" w:sz="8" w:space="0" w:color="969696" w:themeColor="accent4"/>
        <w:bottom w:val="single" w:sz="8" w:space="0" w:color="969696" w:themeColor="accent4"/>
      </w:tblBorders>
    </w:tblPr>
    <w:tblStylePr w:type="firstRow">
      <w:rPr>
        <w:rFonts w:asciiTheme="majorHAnsi" w:eastAsiaTheme="majorEastAsia" w:hAnsiTheme="majorHAnsi" w:cstheme="majorBidi"/>
      </w:rPr>
      <w:tblPr/>
      <w:tcPr>
        <w:tcBorders>
          <w:top w:val="nil"/>
          <w:bottom w:val="single" w:sz="8" w:space="0" w:color="969696" w:themeColor="accent4"/>
        </w:tcBorders>
      </w:tcPr>
    </w:tblStylePr>
    <w:tblStylePr w:type="lastRow">
      <w:rPr>
        <w:b/>
        <w:bCs/>
        <w:color w:val="C6C6C6" w:themeColor="text2"/>
      </w:rPr>
      <w:tblPr/>
      <w:tcPr>
        <w:tcBorders>
          <w:top w:val="single" w:sz="8" w:space="0" w:color="969696" w:themeColor="accent4"/>
          <w:bottom w:val="single" w:sz="8" w:space="0" w:color="969696" w:themeColor="accent4"/>
        </w:tcBorders>
      </w:tcPr>
    </w:tblStylePr>
    <w:tblStylePr w:type="firstCol">
      <w:rPr>
        <w:b/>
        <w:bCs/>
      </w:rPr>
    </w:tblStylePr>
    <w:tblStylePr w:type="lastCol">
      <w:rPr>
        <w:b/>
        <w:bCs/>
      </w:rPr>
      <w:tblPr/>
      <w:tcPr>
        <w:tcBorders>
          <w:top w:val="single" w:sz="8" w:space="0" w:color="969696" w:themeColor="accent4"/>
          <w:bottom w:val="single" w:sz="8" w:space="0" w:color="969696" w:themeColor="accent4"/>
        </w:tcBorders>
      </w:tcPr>
    </w:tblStylePr>
    <w:tblStylePr w:type="band1Vert">
      <w:tblPr/>
      <w:tcPr>
        <w:shd w:val="clear" w:color="auto" w:fill="E5E5E5" w:themeFill="accent4" w:themeFillTint="3F"/>
      </w:tcPr>
    </w:tblStylePr>
    <w:tblStylePr w:type="band1Horz">
      <w:tblPr/>
      <w:tcPr>
        <w:shd w:val="clear" w:color="auto" w:fill="E5E5E5" w:themeFill="accent4" w:themeFillTint="3F"/>
      </w:tcPr>
    </w:tblStylePr>
  </w:style>
  <w:style w:type="table" w:styleId="MediumList1-Accent5">
    <w:name w:val="Medium List 1 Accent 5"/>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C6C6C6"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99"/>
    <w:semiHidden/>
    <w:rsid w:val="00014566"/>
    <w:rPr>
      <w:color w:val="000000" w:themeColor="text1"/>
      <w:lang w:val="fr-FR" w:eastAsia="fr-FR"/>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C6C6C6"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0072BC" w:themeFill="background1"/>
      </w:tcPr>
    </w:tblStylePr>
    <w:tblStylePr w:type="lastRow">
      <w:tblPr/>
      <w:tcPr>
        <w:tcBorders>
          <w:top w:val="single" w:sz="8" w:space="0" w:color="000000" w:themeColor="tex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0000" w:themeColor="text1"/>
          <w:insideH w:val="nil"/>
          <w:insideV w:val="nil"/>
        </w:tcBorders>
        <w:shd w:val="clear" w:color="auto" w:fill="0072BC" w:themeFill="background1"/>
      </w:tcPr>
    </w:tblStylePr>
    <w:tblStylePr w:type="lastCol">
      <w:tblPr/>
      <w:tcPr>
        <w:tcBorders>
          <w:top w:val="nil"/>
          <w:left w:val="single" w:sz="8" w:space="0" w:color="000000" w:themeColor="tex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1">
    <w:name w:val="Medium List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rPr>
        <w:sz w:val="24"/>
        <w:szCs w:val="24"/>
      </w:rPr>
      <w:tblPr/>
      <w:tcPr>
        <w:tcBorders>
          <w:top w:val="nil"/>
          <w:left w:val="nil"/>
          <w:bottom w:val="single" w:sz="24" w:space="0" w:color="0072BC" w:themeColor="accent1"/>
          <w:right w:val="nil"/>
          <w:insideH w:val="nil"/>
          <w:insideV w:val="nil"/>
        </w:tcBorders>
        <w:shd w:val="clear" w:color="auto" w:fill="0072BC" w:themeFill="background1"/>
      </w:tcPr>
    </w:tblStylePr>
    <w:tblStylePr w:type="lastRow">
      <w:tblPr/>
      <w:tcPr>
        <w:tcBorders>
          <w:top w:val="single" w:sz="8" w:space="0" w:color="0072BC" w:themeColor="accen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72BC" w:themeColor="accent1"/>
          <w:insideH w:val="nil"/>
          <w:insideV w:val="nil"/>
        </w:tcBorders>
        <w:shd w:val="clear" w:color="auto" w:fill="0072BC" w:themeFill="background1"/>
      </w:tcPr>
    </w:tblStylePr>
    <w:tblStylePr w:type="lastCol">
      <w:tblPr/>
      <w:tcPr>
        <w:tcBorders>
          <w:top w:val="nil"/>
          <w:left w:val="single" w:sz="8" w:space="0" w:color="0072BC" w:themeColor="accen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top w:val="nil"/>
          <w:bottom w:val="nil"/>
          <w:insideH w:val="nil"/>
          <w:insideV w:val="nil"/>
        </w:tcBorders>
        <w:shd w:val="clear" w:color="auto" w:fill="AFDFFF" w:themeFill="accen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2">
    <w:name w:val="Medium List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rPr>
        <w:sz w:val="24"/>
        <w:szCs w:val="24"/>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tblPr/>
      <w:tcPr>
        <w:tcBorders>
          <w:top w:val="single" w:sz="8" w:space="0" w:color="C00000" w:themeColor="accent2"/>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C00000" w:themeColor="accent2"/>
          <w:insideH w:val="nil"/>
          <w:insideV w:val="nil"/>
        </w:tcBorders>
        <w:shd w:val="clear" w:color="auto" w:fill="0072BC" w:themeFill="background1"/>
      </w:tcPr>
    </w:tblStylePr>
    <w:tblStylePr w:type="lastCol">
      <w:tblPr/>
      <w:tcPr>
        <w:tcBorders>
          <w:top w:val="nil"/>
          <w:left w:val="single" w:sz="8" w:space="0" w:color="C00000" w:themeColor="accent2"/>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top w:val="nil"/>
          <w:bottom w:val="nil"/>
          <w:insideH w:val="nil"/>
          <w:insideV w:val="nil"/>
        </w:tcBorders>
        <w:shd w:val="clear" w:color="auto" w:fill="FFB0B0" w:themeFill="accent2"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3">
    <w:name w:val="Medium List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rPr>
        <w:sz w:val="24"/>
        <w:szCs w:val="24"/>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tblPr/>
      <w:tcPr>
        <w:tcBorders>
          <w:top w:val="single" w:sz="8" w:space="0" w:color="5F5F5F" w:themeColor="accent3"/>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3"/>
          <w:insideH w:val="nil"/>
          <w:insideV w:val="nil"/>
        </w:tcBorders>
        <w:shd w:val="clear" w:color="auto" w:fill="0072BC" w:themeFill="background1"/>
      </w:tcPr>
    </w:tblStylePr>
    <w:tblStylePr w:type="lastCol">
      <w:tblPr/>
      <w:tcPr>
        <w:tcBorders>
          <w:top w:val="nil"/>
          <w:left w:val="single" w:sz="8" w:space="0" w:color="5F5F5F" w:themeColor="accent3"/>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top w:val="nil"/>
          <w:bottom w:val="nil"/>
          <w:insideH w:val="nil"/>
          <w:insideV w:val="nil"/>
        </w:tcBorders>
        <w:shd w:val="clear" w:color="auto" w:fill="D7D7D7" w:themeFill="accent3"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4">
    <w:name w:val="Medium List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rPr>
        <w:sz w:val="24"/>
        <w:szCs w:val="24"/>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tblPr/>
      <w:tcPr>
        <w:tcBorders>
          <w:top w:val="single" w:sz="8" w:space="0" w:color="969696" w:themeColor="accent4"/>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969696" w:themeColor="accent4"/>
          <w:insideH w:val="nil"/>
          <w:insideV w:val="nil"/>
        </w:tcBorders>
        <w:shd w:val="clear" w:color="auto" w:fill="0072BC" w:themeFill="background1"/>
      </w:tcPr>
    </w:tblStylePr>
    <w:tblStylePr w:type="lastCol">
      <w:tblPr/>
      <w:tcPr>
        <w:tcBorders>
          <w:top w:val="nil"/>
          <w:left w:val="single" w:sz="8" w:space="0" w:color="969696" w:themeColor="accent4"/>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top w:val="nil"/>
          <w:bottom w:val="nil"/>
          <w:insideH w:val="nil"/>
          <w:insideV w:val="nil"/>
        </w:tcBorders>
        <w:shd w:val="clear" w:color="auto" w:fill="E5E5E5" w:themeFill="accent4"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5">
    <w:name w:val="Medium List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tblPr/>
      <w:tcPr>
        <w:tcBorders>
          <w:top w:val="single" w:sz="8" w:space="0" w:color="5F5F5F" w:themeColor="accent5"/>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5"/>
          <w:insideH w:val="nil"/>
          <w:insideV w:val="nil"/>
        </w:tcBorders>
        <w:shd w:val="clear" w:color="auto" w:fill="0072BC" w:themeFill="background1"/>
      </w:tcPr>
    </w:tblStylePr>
    <w:tblStylePr w:type="lastCol">
      <w:tblPr/>
      <w:tcPr>
        <w:tcBorders>
          <w:top w:val="nil"/>
          <w:left w:val="single" w:sz="8" w:space="0" w:color="5F5F5F" w:themeColor="accent5"/>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6">
    <w:name w:val="Medium List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tblPr/>
      <w:tcPr>
        <w:tcBorders>
          <w:top w:val="single" w:sz="8" w:space="0" w:color="4D4D4D" w:themeColor="accent6"/>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4D4D4D" w:themeColor="accent6"/>
          <w:insideH w:val="nil"/>
          <w:insideV w:val="nil"/>
        </w:tcBorders>
        <w:shd w:val="clear" w:color="auto" w:fill="0072BC" w:themeFill="background1"/>
      </w:tcPr>
    </w:tblStylePr>
    <w:tblStylePr w:type="lastCol">
      <w:tblPr/>
      <w:tcPr>
        <w:tcBorders>
          <w:top w:val="nil"/>
          <w:left w:val="single" w:sz="8" w:space="0" w:color="4D4D4D" w:themeColor="accent6"/>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Shading1">
    <w:name w:val="Medium Shading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0072BC"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tblBorders>
    </w:tblPr>
    <w:tblStylePr w:type="firstRow">
      <w:pPr>
        <w:spacing w:before="0" w:after="0" w:line="240" w:lineRule="auto"/>
      </w:pPr>
      <w:rPr>
        <w:b/>
        <w:bCs/>
        <w:color w:val="0072BC" w:themeColor="background1"/>
      </w:rPr>
      <w:tblPr/>
      <w:tcPr>
        <w:tc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shd w:val="clear" w:color="auto" w:fill="0072BC" w:themeFill="accent1"/>
      </w:tcPr>
    </w:tblStylePr>
    <w:tblStylePr w:type="lastRow">
      <w:pPr>
        <w:spacing w:before="0" w:after="0" w:line="240" w:lineRule="auto"/>
      </w:pPr>
      <w:rPr>
        <w:b/>
        <w:bCs/>
      </w:rPr>
      <w:tblPr/>
      <w:tcPr>
        <w:tcBorders>
          <w:top w:val="double" w:sz="6"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DFFF" w:themeFill="accent1" w:themeFillTint="3F"/>
      </w:tcPr>
    </w:tblStylePr>
    <w:tblStylePr w:type="band1Horz">
      <w:tblPr/>
      <w:tcPr>
        <w:tcBorders>
          <w:insideH w:val="nil"/>
          <w:insideV w:val="nil"/>
        </w:tcBorders>
        <w:shd w:val="clear" w:color="auto" w:fill="AFDF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tblBorders>
    </w:tblPr>
    <w:tblStylePr w:type="firstRow">
      <w:pPr>
        <w:spacing w:before="0" w:after="0" w:line="240" w:lineRule="auto"/>
      </w:pPr>
      <w:rPr>
        <w:b/>
        <w:bCs/>
        <w:color w:val="0072BC" w:themeColor="background1"/>
      </w:rPr>
      <w:tblPr/>
      <w:tcPr>
        <w:tc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shd w:val="clear" w:color="auto" w:fill="C00000" w:themeFill="accent2"/>
      </w:tcPr>
    </w:tblStylePr>
    <w:tblStylePr w:type="lastRow">
      <w:pPr>
        <w:spacing w:before="0" w:after="0" w:line="240" w:lineRule="auto"/>
      </w:pPr>
      <w:rPr>
        <w:b/>
        <w:bCs/>
      </w:rPr>
      <w:tblPr/>
      <w:tcPr>
        <w:tcBorders>
          <w:top w:val="double" w:sz="6"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2" w:themeFillTint="3F"/>
      </w:tcPr>
    </w:tblStylePr>
    <w:tblStylePr w:type="band1Horz">
      <w:tblPr/>
      <w:tcPr>
        <w:tcBorders>
          <w:insideH w:val="nil"/>
          <w:insideV w:val="nil"/>
        </w:tcBorders>
        <w:shd w:val="clear" w:color="auto" w:fill="FFB0B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tblBorders>
    </w:tblPr>
    <w:tblStylePr w:type="firstRow">
      <w:pPr>
        <w:spacing w:before="0" w:after="0" w:line="240" w:lineRule="auto"/>
      </w:pPr>
      <w:rPr>
        <w:b/>
        <w:bCs/>
        <w:color w:val="0072BC" w:themeColor="background1"/>
      </w:rPr>
      <w:tblPr/>
      <w:tcPr>
        <w:tc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shd w:val="clear" w:color="auto" w:fill="5F5F5F" w:themeFill="accent3"/>
      </w:tcPr>
    </w:tblStylePr>
    <w:tblStylePr w:type="lastRow">
      <w:pPr>
        <w:spacing w:before="0" w:after="0" w:line="240" w:lineRule="auto"/>
      </w:pPr>
      <w:rPr>
        <w:b/>
        <w:bCs/>
      </w:rPr>
      <w:tblPr/>
      <w:tcPr>
        <w:tcBorders>
          <w:top w:val="double" w:sz="6"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3" w:themeFillTint="3F"/>
      </w:tcPr>
    </w:tblStylePr>
    <w:tblStylePr w:type="band1Horz">
      <w:tblPr/>
      <w:tcPr>
        <w:tcBorders>
          <w:insideH w:val="nil"/>
          <w:insideV w:val="nil"/>
        </w:tcBorders>
        <w:shd w:val="clear" w:color="auto" w:fill="D7D7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tblBorders>
    </w:tblPr>
    <w:tblStylePr w:type="firstRow">
      <w:pPr>
        <w:spacing w:before="0" w:after="0" w:line="240" w:lineRule="auto"/>
      </w:pPr>
      <w:rPr>
        <w:b/>
        <w:bCs/>
        <w:color w:val="0072BC" w:themeColor="background1"/>
      </w:rPr>
      <w:tblPr/>
      <w:tcPr>
        <w:tc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shd w:val="clear" w:color="auto" w:fill="969696" w:themeFill="accent4"/>
      </w:tcPr>
    </w:tblStylePr>
    <w:tblStylePr w:type="lastRow">
      <w:pPr>
        <w:spacing w:before="0" w:after="0" w:line="240" w:lineRule="auto"/>
      </w:pPr>
      <w:rPr>
        <w:b/>
        <w:bCs/>
      </w:rPr>
      <w:tblPr/>
      <w:tcPr>
        <w:tcBorders>
          <w:top w:val="double" w:sz="6"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4" w:themeFillTint="3F"/>
      </w:tcPr>
    </w:tblStylePr>
    <w:tblStylePr w:type="band1Horz">
      <w:tblPr/>
      <w:tcPr>
        <w:tcBorders>
          <w:insideH w:val="nil"/>
          <w:insideV w:val="nil"/>
        </w:tcBorders>
        <w:shd w:val="clear" w:color="auto" w:fill="E5E5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0072BC"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0072BC"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0072BC"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72B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72BC" w:themeFill="accent1"/>
      </w:tcPr>
    </w:tblStylePr>
    <w:tblStylePr w:type="lastCol">
      <w:rPr>
        <w:b/>
        <w:bCs/>
        <w:color w:val="0072BC" w:themeColor="background1"/>
      </w:rPr>
      <w:tblPr/>
      <w:tcPr>
        <w:tcBorders>
          <w:left w:val="nil"/>
          <w:right w:val="nil"/>
          <w:insideH w:val="nil"/>
          <w:insideV w:val="nil"/>
        </w:tcBorders>
        <w:shd w:val="clear" w:color="auto" w:fill="0072BC" w:themeFill="accen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C0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C00000" w:themeFill="accent2"/>
      </w:tcPr>
    </w:tblStylePr>
    <w:tblStylePr w:type="lastCol">
      <w:rPr>
        <w:b/>
        <w:bCs/>
        <w:color w:val="0072BC" w:themeColor="background1"/>
      </w:rPr>
      <w:tblPr/>
      <w:tcPr>
        <w:tcBorders>
          <w:left w:val="nil"/>
          <w:right w:val="nil"/>
          <w:insideH w:val="nil"/>
          <w:insideV w:val="nil"/>
        </w:tcBorders>
        <w:shd w:val="clear" w:color="auto" w:fill="C00000" w:themeFill="accent2"/>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3"/>
      </w:tcPr>
    </w:tblStylePr>
    <w:tblStylePr w:type="lastCol">
      <w:rPr>
        <w:b/>
        <w:bCs/>
        <w:color w:val="0072BC" w:themeColor="background1"/>
      </w:rPr>
      <w:tblPr/>
      <w:tcPr>
        <w:tcBorders>
          <w:left w:val="nil"/>
          <w:right w:val="nil"/>
          <w:insideH w:val="nil"/>
          <w:insideV w:val="nil"/>
        </w:tcBorders>
        <w:shd w:val="clear" w:color="auto" w:fill="5F5F5F" w:themeFill="accent3"/>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9696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969696" w:themeFill="accent4"/>
      </w:tcPr>
    </w:tblStylePr>
    <w:tblStylePr w:type="lastCol">
      <w:rPr>
        <w:b/>
        <w:bCs/>
        <w:color w:val="0072BC" w:themeColor="background1"/>
      </w:rPr>
      <w:tblPr/>
      <w:tcPr>
        <w:tcBorders>
          <w:left w:val="nil"/>
          <w:right w:val="nil"/>
          <w:insideH w:val="nil"/>
          <w:insideV w:val="nil"/>
        </w:tcBorders>
        <w:shd w:val="clear" w:color="auto" w:fill="969696" w:themeFill="accent4"/>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0072BC"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0072BC"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01456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01456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014566"/>
    <w:rPr>
      <w:rFonts w:ascii="Times New Roman" w:hAnsi="Times New Roman" w:cs="Times New Roman"/>
      <w:szCs w:val="24"/>
    </w:rPr>
  </w:style>
  <w:style w:type="paragraph" w:styleId="NormalIndent">
    <w:name w:val="Normal Indent"/>
    <w:basedOn w:val="Normal"/>
    <w:uiPriority w:val="99"/>
    <w:semiHidden/>
    <w:rsid w:val="00014566"/>
    <w:pPr>
      <w:ind w:left="720"/>
    </w:pPr>
  </w:style>
  <w:style w:type="paragraph" w:styleId="NoteHeading">
    <w:name w:val="Note Heading"/>
    <w:basedOn w:val="Normal"/>
    <w:next w:val="Normal"/>
    <w:link w:val="NoteHeadingChar"/>
    <w:uiPriority w:val="99"/>
    <w:semiHidden/>
    <w:rsid w:val="00014566"/>
  </w:style>
  <w:style w:type="character" w:customStyle="1" w:styleId="NoteHeadingChar">
    <w:name w:val="Note Heading Char"/>
    <w:basedOn w:val="DefaultParagraphFont"/>
    <w:link w:val="NoteHeading"/>
    <w:uiPriority w:val="99"/>
    <w:semiHidden/>
    <w:rsid w:val="00014566"/>
    <w:rPr>
      <w:rFonts w:eastAsiaTheme="minorEastAsia"/>
      <w:sz w:val="24"/>
    </w:rPr>
  </w:style>
  <w:style w:type="character" w:styleId="PlaceholderText">
    <w:name w:val="Placeholder Text"/>
    <w:basedOn w:val="DefaultParagraphFont"/>
    <w:uiPriority w:val="99"/>
    <w:semiHidden/>
    <w:rsid w:val="00014566"/>
    <w:rPr>
      <w:color w:val="808080"/>
    </w:rPr>
  </w:style>
  <w:style w:type="paragraph" w:styleId="PlainText">
    <w:name w:val="Plain Text"/>
    <w:basedOn w:val="Normal"/>
    <w:link w:val="PlainTextChar"/>
    <w:uiPriority w:val="99"/>
    <w:semiHidden/>
    <w:rsid w:val="00014566"/>
    <w:rPr>
      <w:rFonts w:ascii="Consolas" w:hAnsi="Consolas" w:cs="Consolas"/>
      <w:sz w:val="21"/>
      <w:szCs w:val="21"/>
    </w:rPr>
  </w:style>
  <w:style w:type="character" w:customStyle="1" w:styleId="PlainTextChar">
    <w:name w:val="Plain Text Char"/>
    <w:basedOn w:val="DefaultParagraphFont"/>
    <w:link w:val="PlainText"/>
    <w:uiPriority w:val="99"/>
    <w:semiHidden/>
    <w:rsid w:val="00014566"/>
    <w:rPr>
      <w:rFonts w:ascii="Consolas" w:eastAsiaTheme="minorEastAsia" w:hAnsi="Consolas" w:cs="Consolas"/>
      <w:sz w:val="21"/>
      <w:szCs w:val="21"/>
    </w:rPr>
  </w:style>
  <w:style w:type="paragraph" w:styleId="Salutation">
    <w:name w:val="Salutation"/>
    <w:basedOn w:val="Normal"/>
    <w:next w:val="Normal"/>
    <w:link w:val="SalutationChar"/>
    <w:uiPriority w:val="99"/>
    <w:semiHidden/>
    <w:rsid w:val="00014566"/>
  </w:style>
  <w:style w:type="character" w:customStyle="1" w:styleId="SalutationChar">
    <w:name w:val="Salutation Char"/>
    <w:basedOn w:val="DefaultParagraphFont"/>
    <w:link w:val="Salutation"/>
    <w:uiPriority w:val="99"/>
    <w:semiHidden/>
    <w:rsid w:val="00014566"/>
    <w:rPr>
      <w:rFonts w:eastAsiaTheme="minorEastAsia"/>
      <w:sz w:val="24"/>
    </w:rPr>
  </w:style>
  <w:style w:type="paragraph" w:styleId="Signature">
    <w:name w:val="Signature"/>
    <w:basedOn w:val="Normal"/>
    <w:link w:val="SignatureChar"/>
    <w:uiPriority w:val="99"/>
    <w:semiHidden/>
    <w:rsid w:val="00014566"/>
    <w:pPr>
      <w:ind w:left="4252"/>
    </w:pPr>
  </w:style>
  <w:style w:type="character" w:customStyle="1" w:styleId="SignatureChar">
    <w:name w:val="Signature Char"/>
    <w:basedOn w:val="DefaultParagraphFont"/>
    <w:link w:val="Signature"/>
    <w:uiPriority w:val="99"/>
    <w:semiHidden/>
    <w:rsid w:val="00014566"/>
    <w:rPr>
      <w:rFonts w:eastAsiaTheme="minorEastAsia"/>
      <w:sz w:val="24"/>
    </w:rPr>
  </w:style>
  <w:style w:type="table" w:styleId="Table3Deffects1">
    <w:name w:val="Table 3D effects 1"/>
    <w:basedOn w:val="TableNormal"/>
    <w:uiPriority w:val="99"/>
    <w:semiHidden/>
    <w:rsid w:val="00014566"/>
    <w:pPr>
      <w:suppressAutoHyphens/>
    </w:pPr>
    <w:rPr>
      <w:lang w:val="fr-FR" w:eastAsia="fr-FR"/>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014566"/>
    <w:pPr>
      <w:suppressAutoHyphens/>
    </w:pPr>
    <w:rPr>
      <w:lang w:val="fr-FR" w:eastAsia="fr-FR"/>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014566"/>
    <w:pPr>
      <w:suppressAutoHyphens/>
    </w:pPr>
    <w:rPr>
      <w:lang w:val="fr-FR" w:eastAsia="fr-FR"/>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014566"/>
    <w:pPr>
      <w:suppressAutoHyphens/>
    </w:pPr>
    <w:rPr>
      <w:color w:val="000080"/>
      <w:lang w:val="fr-FR" w:eastAsia="fr-FR"/>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014566"/>
    <w:pPr>
      <w:suppressAutoHyphens/>
    </w:pPr>
    <w:rPr>
      <w:lang w:val="fr-FR" w:eastAsia="fr-FR"/>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014566"/>
    <w:pPr>
      <w:suppressAutoHyphens/>
    </w:pPr>
    <w:rPr>
      <w:color w:val="FFFFFF"/>
      <w:lang w:val="fr-FR" w:eastAsia="fr-FR"/>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014566"/>
    <w:pPr>
      <w:suppressAutoHyphens/>
    </w:pPr>
    <w:rPr>
      <w:lang w:val="fr-FR" w:eastAsia="fr-FR"/>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014566"/>
    <w:pPr>
      <w:suppressAutoHyphens/>
    </w:pPr>
    <w:rPr>
      <w:lang w:val="fr-FR" w:eastAsia="fr-FR"/>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014566"/>
    <w:pPr>
      <w:suppressAutoHyphens/>
    </w:pPr>
    <w:rPr>
      <w:b/>
      <w:bCs/>
      <w:lang w:val="fr-FR" w:eastAsia="fr-FR"/>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014566"/>
    <w:pPr>
      <w:suppressAutoHyphens/>
    </w:pPr>
    <w:rPr>
      <w:b/>
      <w:bCs/>
      <w:lang w:val="fr-FR" w:eastAsia="fr-FR"/>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014566"/>
    <w:pPr>
      <w:suppressAutoHyphens/>
    </w:pPr>
    <w:rPr>
      <w:b/>
      <w:bCs/>
      <w:lang w:val="fr-FR" w:eastAsia="fr-FR"/>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014566"/>
    <w:pPr>
      <w:suppressAutoHyphens/>
    </w:pPr>
    <w:rPr>
      <w:lang w:val="fr-FR" w:eastAsia="fr-FR"/>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014566"/>
    <w:pPr>
      <w:suppressAutoHyphens/>
    </w:pPr>
    <w:rPr>
      <w:lang w:val="fr-FR" w:eastAsia="fr-FR"/>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rsid w:val="00014566"/>
    <w:pPr>
      <w:suppressAutoHyphens/>
    </w:pPr>
    <w:rPr>
      <w:lang w:val="fr-FR" w:eastAsia="fr-FR"/>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014566"/>
    <w:pPr>
      <w:suppressAutoHyphens/>
    </w:pPr>
    <w:rPr>
      <w:lang w:val="fr-FR" w:eastAsia="fr-FR"/>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014566"/>
    <w:pPr>
      <w:suppressAutoHyphens/>
    </w:pPr>
    <w:rPr>
      <w:lang w:val="fr-FR" w:eastAsia="fr-F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014566"/>
    <w:pPr>
      <w:suppressAutoHyphens/>
    </w:pPr>
    <w:rPr>
      <w:lang w:val="fr-FR" w:eastAsia="fr-FR"/>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014566"/>
    <w:pPr>
      <w:suppressAutoHyphens/>
    </w:pPr>
    <w:rPr>
      <w:lang w:val="fr-FR" w:eastAsia="fr-FR"/>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014566"/>
    <w:pPr>
      <w:suppressAutoHyphens/>
    </w:pPr>
    <w:rPr>
      <w:b/>
      <w:bCs/>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014566"/>
    <w:pPr>
      <w:suppressAutoHyphens/>
    </w:pPr>
    <w:rPr>
      <w:lang w:val="fr-FR" w:eastAsia="fr-FR"/>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014566"/>
    <w:pPr>
      <w:suppressAutoHyphens/>
    </w:pPr>
    <w:rPr>
      <w:lang w:val="fr-FR" w:eastAsia="fr-FR"/>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014566"/>
    <w:pPr>
      <w:suppressAutoHyphens/>
    </w:pPr>
    <w:rPr>
      <w:lang w:val="fr-FR" w:eastAsia="fr-FR"/>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014566"/>
    <w:pPr>
      <w:suppressAutoHyphens/>
    </w:pPr>
    <w:rPr>
      <w:lang w:val="fr-FR" w:eastAsia="fr-FR"/>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014566"/>
    <w:pPr>
      <w:suppressAutoHyphens/>
    </w:pPr>
    <w:rPr>
      <w:lang w:val="fr-FR" w:eastAsia="fr-FR"/>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014566"/>
    <w:pPr>
      <w:ind w:left="240" w:hanging="240"/>
    </w:pPr>
  </w:style>
  <w:style w:type="paragraph" w:styleId="TableofFigures">
    <w:name w:val="table of figures"/>
    <w:basedOn w:val="Normal"/>
    <w:next w:val="Normal"/>
    <w:uiPriority w:val="99"/>
    <w:semiHidden/>
    <w:rsid w:val="00014566"/>
  </w:style>
  <w:style w:type="table" w:styleId="TableProfessional">
    <w:name w:val="Table Professional"/>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014566"/>
    <w:pPr>
      <w:suppressAutoHyphens/>
    </w:pPr>
    <w:rPr>
      <w:lang w:val="fr-FR" w:eastAsia="fr-FR"/>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014566"/>
    <w:pPr>
      <w:suppressAutoHyphens/>
    </w:pPr>
    <w:rPr>
      <w:lang w:val="fr-FR" w:eastAsia="fr-FR"/>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014566"/>
    <w:pPr>
      <w:suppressAutoHyphens/>
    </w:pPr>
    <w:rPr>
      <w:lang w:val="fr-FR" w:eastAsia="fr-FR"/>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014566"/>
    <w:pPr>
      <w:suppressAutoHyphens/>
    </w:pPr>
    <w:rPr>
      <w:lang w:val="fr-FR" w:eastAsia="fr-FR"/>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014566"/>
    <w:pPr>
      <w:suppressAutoHyphens/>
    </w:pPr>
    <w:rPr>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014566"/>
    <w:pPr>
      <w:suppressAutoHyphens/>
    </w:pPr>
    <w:rPr>
      <w:lang w:val="fr-FR" w:eastAsia="fr-FR"/>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014566"/>
    <w:pPr>
      <w:suppressAutoHyphens/>
    </w:pPr>
    <w:rPr>
      <w:lang w:val="fr-FR" w:eastAsia="fr-FR"/>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014566"/>
    <w:pPr>
      <w:suppressAutoHyphens/>
    </w:pPr>
    <w:rPr>
      <w:lang w:val="fr-FR" w:eastAsia="fr-FR"/>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6">
    <w:name w:val="toc 6"/>
    <w:basedOn w:val="Normal"/>
    <w:next w:val="Normal"/>
    <w:autoRedefine/>
    <w:uiPriority w:val="99"/>
    <w:semiHidden/>
    <w:rsid w:val="00014566"/>
    <w:pPr>
      <w:spacing w:after="100"/>
      <w:ind w:left="1200"/>
    </w:pPr>
  </w:style>
  <w:style w:type="paragraph" w:styleId="TOC7">
    <w:name w:val="toc 7"/>
    <w:basedOn w:val="Normal"/>
    <w:next w:val="Normal"/>
    <w:autoRedefine/>
    <w:uiPriority w:val="99"/>
    <w:semiHidden/>
    <w:rsid w:val="00014566"/>
    <w:pPr>
      <w:spacing w:after="100"/>
      <w:ind w:left="1440"/>
    </w:pPr>
  </w:style>
  <w:style w:type="paragraph" w:styleId="TOC8">
    <w:name w:val="toc 8"/>
    <w:basedOn w:val="Normal"/>
    <w:next w:val="Normal"/>
    <w:autoRedefine/>
    <w:uiPriority w:val="99"/>
    <w:semiHidden/>
    <w:rsid w:val="00014566"/>
    <w:pPr>
      <w:spacing w:after="100"/>
      <w:ind w:left="1680"/>
    </w:pPr>
  </w:style>
  <w:style w:type="paragraph" w:styleId="TOC9">
    <w:name w:val="toc 9"/>
    <w:basedOn w:val="Normal"/>
    <w:next w:val="Normal"/>
    <w:autoRedefine/>
    <w:uiPriority w:val="99"/>
    <w:semiHidden/>
    <w:rsid w:val="00014566"/>
    <w:pPr>
      <w:spacing w:after="100"/>
      <w:ind w:left="1920"/>
    </w:pPr>
  </w:style>
  <w:style w:type="character" w:customStyle="1" w:styleId="JuParaChar">
    <w:name w:val="Ju_Para Char"/>
    <w:link w:val="ECHRPara"/>
    <w:rsid w:val="00610FF1"/>
    <w:rPr>
      <w:rFonts w:eastAsiaTheme="minorEastAsia"/>
      <w:sz w:val="24"/>
    </w:rPr>
  </w:style>
  <w:style w:type="character" w:customStyle="1" w:styleId="ju-005fpara--char">
    <w:name w:val="ju-005fpara--char"/>
    <w:basedOn w:val="DefaultParagraphFont"/>
    <w:rsid w:val="00867E82"/>
  </w:style>
  <w:style w:type="character" w:customStyle="1" w:styleId="ju-005fpara-002cleft-002cfirst-0020line-003a-0020-00200-0020cm--char">
    <w:name w:val="ju-005fpara-002cleft-002cfirst-0020line-003a-0020-00200-0020cm--char"/>
    <w:basedOn w:val="DefaultParagraphFont"/>
    <w:rsid w:val="00867E82"/>
  </w:style>
  <w:style w:type="character" w:customStyle="1" w:styleId="ju--005fpara----char--char">
    <w:name w:val="ju--005fpara----char--char"/>
    <w:basedOn w:val="DefaultParagraphFont"/>
    <w:rsid w:val="00867E82"/>
  </w:style>
  <w:style w:type="character" w:customStyle="1" w:styleId="JuHAChar">
    <w:name w:val="Ju_H_A Char"/>
    <w:basedOn w:val="DefaultParagraphFont"/>
    <w:link w:val="ECHRHeading2"/>
    <w:rsid w:val="00867E82"/>
    <w:rPr>
      <w:rFonts w:asciiTheme="majorHAnsi" w:eastAsiaTheme="majorEastAsia" w:hAnsiTheme="majorHAnsi" w:cstheme="majorBidi"/>
      <w:b/>
      <w:bCs/>
      <w:sz w:val="24"/>
      <w:szCs w:val="26"/>
    </w:rPr>
  </w:style>
  <w:style w:type="character" w:customStyle="1" w:styleId="JuParaCar">
    <w:name w:val="Ju_Para Car"/>
    <w:uiPriority w:val="12"/>
    <w:rsid w:val="007F21BD"/>
    <w:rPr>
      <w:rFonts w:eastAsiaTheme="minorEastAsia"/>
      <w:sz w:val="24"/>
    </w:rPr>
  </w:style>
  <w:style w:type="paragraph" w:customStyle="1" w:styleId="jupara">
    <w:name w:val="jupara"/>
    <w:basedOn w:val="Normal"/>
    <w:rsid w:val="00763D01"/>
    <w:pPr>
      <w:ind w:firstLine="284"/>
    </w:pPr>
    <w:rPr>
      <w:rFonts w:ascii="Times New Roman" w:eastAsia="Times New Roman" w:hAnsi="Times New Roman" w:cs="Times New Roman"/>
      <w:szCs w:val="24"/>
      <w:lang w:val="en-GB" w:eastAsia="en-GB"/>
    </w:rPr>
  </w:style>
  <w:style w:type="paragraph" w:customStyle="1" w:styleId="jucase0">
    <w:name w:val="jucase"/>
    <w:basedOn w:val="Normal"/>
    <w:rsid w:val="00763D01"/>
    <w:pPr>
      <w:ind w:firstLine="284"/>
    </w:pPr>
    <w:rPr>
      <w:rFonts w:ascii="Times New Roman" w:eastAsia="Times New Roman" w:hAnsi="Times New Roman" w:cs="Times New Roman"/>
      <w:b/>
      <w:bCs/>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543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hudoc.echr.coe.int/sites/eng/Pages/search.aspx"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hudoc.echr.coe.int/sites/eng/Pages/search.aspx"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hudoc.echr.coe.int/sites/eng/Pages/search.aspx"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hudoc.echr.coe.int/sites/eng/Pages/search.aspx" TargetMode="External"/><Relationship Id="rId20" Type="http://schemas.openxmlformats.org/officeDocument/2006/relationships/hyperlink" Target="http://hudoc.echr.coe.int/sites/eng/Pages/search.aspx" TargetMode="External"/><Relationship Id="rId29"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http://hudoc.echr.coe.int/sites/eng/Pages/search.aspx" TargetMode="External"/><Relationship Id="rId23" Type="http://schemas.openxmlformats.org/officeDocument/2006/relationships/header" Target="header4.xml"/><Relationship Id="rId28" Type="http://schemas.openxmlformats.org/officeDocument/2006/relationships/customXml" Target="../customXml/item3.xml"/><Relationship Id="rId10" Type="http://schemas.openxmlformats.org/officeDocument/2006/relationships/footer" Target="footer1.xml"/><Relationship Id="rId19" Type="http://schemas.openxmlformats.org/officeDocument/2006/relationships/hyperlink" Target="http://hudoc.echr.coe.int/sites/eng/Pages/search.asp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hudoc.echr.coe.int/sites/eng/Pages/search.aspx" TargetMode="External"/><Relationship Id="rId22" Type="http://schemas.openxmlformats.org/officeDocument/2006/relationships/hyperlink" Target="http://hudoc.echr.coe.int/sites/eng/Pages/search.aspx" TargetMode="External"/><Relationship Id="rId27" Type="http://schemas.openxmlformats.org/officeDocument/2006/relationships/customXml" Target="../customXml/item2.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HR_Theme_Judgments_Decisions_Reports">
  <a:themeElements>
    <a:clrScheme name="ECHR_grey">
      <a:dk1>
        <a:sysClr val="windowText" lastClr="000000"/>
      </a:dk1>
      <a:lt1>
        <a:srgbClr val="0072BC"/>
      </a:lt1>
      <a:dk2>
        <a:srgbClr val="C6C6C6"/>
      </a:dk2>
      <a:lt2>
        <a:srgbClr val="F8F8F8"/>
      </a:lt2>
      <a:accent1>
        <a:srgbClr val="0072BC"/>
      </a:accent1>
      <a:accent2>
        <a:srgbClr val="C00000"/>
      </a:accent2>
      <a:accent3>
        <a:srgbClr val="5F5F5F"/>
      </a:accent3>
      <a:accent4>
        <a:srgbClr val="969696"/>
      </a:accent4>
      <a:accent5>
        <a:srgbClr val="5F5F5F"/>
      </a:accent5>
      <a:accent6>
        <a:srgbClr val="4D4D4D"/>
      </a:accent6>
      <a:hlink>
        <a:srgbClr val="0072BC"/>
      </a:hlink>
      <a:folHlink>
        <a:srgbClr val="7030A0"/>
      </a:folHlink>
    </a:clrScheme>
    <a:fontScheme name="ECHR_Judgments_Reports_Decision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96B521-5F87-4CE3-A9BC-5A19B37C9C7A}"/>
</file>

<file path=customXml/itemProps2.xml><?xml version="1.0" encoding="utf-8"?>
<ds:datastoreItem xmlns:ds="http://schemas.openxmlformats.org/officeDocument/2006/customXml" ds:itemID="{87B1AF24-7E6E-4D99-9B77-CF24A2C3DD2B}"/>
</file>

<file path=customXml/itemProps3.xml><?xml version="1.0" encoding="utf-8"?>
<ds:datastoreItem xmlns:ds="http://schemas.openxmlformats.org/officeDocument/2006/customXml" ds:itemID="{AE9DC2D8-FA1E-46E9-9A7E-B0EA2B93B2CD}"/>
</file>

<file path=customXml/itemProps4.xml><?xml version="1.0" encoding="utf-8"?>
<ds:datastoreItem xmlns:ds="http://schemas.openxmlformats.org/officeDocument/2006/customXml" ds:itemID="{5FFAFA93-9F1F-4B40-A5A6-D6AB30D8227A}"/>
</file>

<file path=docProps/app.xml><?xml version="1.0" encoding="utf-8"?>
<Properties xmlns="http://schemas.openxmlformats.org/officeDocument/2006/extended-properties" xmlns:vt="http://schemas.openxmlformats.org/officeDocument/2006/docPropsVTypes">
  <Template>Normal.dotm</Template>
  <TotalTime>0</TotalTime>
  <Pages>1</Pages>
  <Words>5803</Words>
  <Characters>33082</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38808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DJ</dc:subject>
  <dc:creator/>
  <cp:lastModifiedBy/>
  <cp:revision>1</cp:revision>
  <dcterms:created xsi:type="dcterms:W3CDTF">2015-07-21T09:21:00Z</dcterms:created>
  <dcterms:modified xsi:type="dcterms:W3CDTF">2015-07-21T09:21:00Z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