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D77D9" w:rsidR="00014566" w:rsidP="00DF0549" w:rsidRDefault="00014566">
      <w:pPr>
        <w:pStyle w:val="ECHRDecisionBody"/>
        <w:rPr>
          <w:lang w:val="en-GB"/>
        </w:rPr>
      </w:pPr>
    </w:p>
    <w:p w:rsidRPr="001D77D9" w:rsidR="001C7F9D" w:rsidP="00DF0549" w:rsidRDefault="001C7F9D">
      <w:pPr>
        <w:pStyle w:val="ECHRDecisionBody"/>
        <w:rPr>
          <w:lang w:val="en-GB"/>
        </w:rPr>
      </w:pPr>
    </w:p>
    <w:p w:rsidRPr="001D77D9" w:rsidR="001C7F9D" w:rsidP="00DF0549" w:rsidRDefault="001C7F9D">
      <w:pPr>
        <w:pStyle w:val="ECHRDecisionBody"/>
        <w:rPr>
          <w:lang w:val="en-GB"/>
        </w:rPr>
      </w:pPr>
    </w:p>
    <w:p w:rsidRPr="001D77D9" w:rsidR="00014566" w:rsidP="00014566" w:rsidRDefault="001C7F9D">
      <w:pPr>
        <w:jc w:val="center"/>
        <w:rPr>
          <w:lang w:val="en-GB"/>
        </w:rPr>
      </w:pPr>
      <w:r w:rsidRPr="001D77D9">
        <w:rPr>
          <w:lang w:val="en-GB"/>
        </w:rPr>
        <w:t>SECOND SECTION</w:t>
      </w:r>
    </w:p>
    <w:p w:rsidRPr="001D77D9" w:rsidR="00014566" w:rsidP="00014566" w:rsidRDefault="00014566">
      <w:pPr>
        <w:jc w:val="center"/>
        <w:rPr>
          <w:lang w:val="en-GB"/>
        </w:rPr>
      </w:pPr>
    </w:p>
    <w:p w:rsidRPr="001D77D9" w:rsidR="001C7F9D" w:rsidP="00014566" w:rsidRDefault="001C7F9D">
      <w:pPr>
        <w:jc w:val="center"/>
        <w:rPr>
          <w:lang w:val="en-GB"/>
        </w:rPr>
      </w:pPr>
      <w:bookmarkStart w:name="_GoBack" w:id="0"/>
      <w:bookmarkEnd w:id="0"/>
    </w:p>
    <w:p w:rsidRPr="001D77D9" w:rsidR="001C7F9D" w:rsidP="00014566" w:rsidRDefault="001C7F9D">
      <w:pPr>
        <w:jc w:val="center"/>
        <w:rPr>
          <w:lang w:val="en-GB"/>
        </w:rPr>
      </w:pPr>
    </w:p>
    <w:p w:rsidRPr="001D77D9" w:rsidR="001C7F9D" w:rsidP="00014566" w:rsidRDefault="001C7F9D">
      <w:pPr>
        <w:jc w:val="center"/>
        <w:rPr>
          <w:lang w:val="en-GB"/>
        </w:rPr>
      </w:pPr>
    </w:p>
    <w:p w:rsidRPr="001D77D9" w:rsidR="00014566" w:rsidP="00014566" w:rsidRDefault="00014566">
      <w:pPr>
        <w:jc w:val="center"/>
        <w:rPr>
          <w:b/>
          <w:lang w:val="en-GB"/>
        </w:rPr>
      </w:pPr>
      <w:bookmarkStart w:name="To" w:id="1"/>
      <w:r w:rsidRPr="001D77D9">
        <w:rPr>
          <w:b/>
          <w:lang w:val="en-GB"/>
        </w:rPr>
        <w:t xml:space="preserve">CASE OF </w:t>
      </w:r>
      <w:bookmarkEnd w:id="1"/>
      <w:r w:rsidRPr="001D77D9" w:rsidR="00B54DEC">
        <w:rPr>
          <w:b/>
          <w:lang w:val="en-GB"/>
        </w:rPr>
        <w:t>YURTSEVER AND OTHERS v. TURKEY</w:t>
      </w:r>
    </w:p>
    <w:p w:rsidRPr="001D77D9" w:rsidR="00014566" w:rsidP="00014566" w:rsidRDefault="00014566">
      <w:pPr>
        <w:jc w:val="center"/>
        <w:rPr>
          <w:lang w:val="en-GB"/>
        </w:rPr>
      </w:pPr>
    </w:p>
    <w:p w:rsidRPr="001D77D9" w:rsidR="00014566" w:rsidP="00014566" w:rsidRDefault="00014566">
      <w:pPr>
        <w:jc w:val="center"/>
        <w:rPr>
          <w:i/>
          <w:lang w:val="en-GB"/>
        </w:rPr>
      </w:pPr>
      <w:r w:rsidRPr="001D77D9">
        <w:rPr>
          <w:i/>
          <w:lang w:val="en-GB"/>
        </w:rPr>
        <w:t>(</w:t>
      </w:r>
      <w:r w:rsidRPr="001D77D9" w:rsidR="001C7F9D">
        <w:rPr>
          <w:i/>
          <w:lang w:val="en-GB"/>
        </w:rPr>
        <w:t>Application</w:t>
      </w:r>
      <w:r w:rsidRPr="001D77D9" w:rsidR="00B54DEC">
        <w:rPr>
          <w:i/>
          <w:lang w:val="en-GB"/>
        </w:rPr>
        <w:t>s</w:t>
      </w:r>
      <w:r w:rsidRPr="001D77D9" w:rsidR="001C7F9D">
        <w:rPr>
          <w:i/>
          <w:lang w:val="en-GB"/>
        </w:rPr>
        <w:t xml:space="preserve"> no</w:t>
      </w:r>
      <w:r w:rsidRPr="001D77D9" w:rsidR="00B54DEC">
        <w:rPr>
          <w:i/>
          <w:lang w:val="en-GB"/>
        </w:rPr>
        <w:t>s</w:t>
      </w:r>
      <w:r w:rsidRPr="001D77D9" w:rsidR="001C7F9D">
        <w:rPr>
          <w:i/>
          <w:lang w:val="en-GB"/>
        </w:rPr>
        <w:t>. 14946/08</w:t>
      </w:r>
      <w:r w:rsidRPr="001D77D9" w:rsidR="003C219B">
        <w:rPr>
          <w:i/>
          <w:lang w:val="en-GB"/>
        </w:rPr>
        <w:t>, 21030/08, 24309/08, 24505/08, 26964/08, 26966/08, 27088/08, 27090//08, 27092/08, 38752/08, 38778/08 and 38807/08</w:t>
      </w:r>
      <w:r w:rsidRPr="001D77D9">
        <w:rPr>
          <w:i/>
          <w:lang w:val="en-GB"/>
        </w:rPr>
        <w:t>)</w:t>
      </w:r>
    </w:p>
    <w:p w:rsidRPr="001D77D9" w:rsidR="00014566" w:rsidP="00014566" w:rsidRDefault="00014566">
      <w:pPr>
        <w:jc w:val="center"/>
        <w:rPr>
          <w:lang w:val="en-GB"/>
        </w:rPr>
      </w:pPr>
    </w:p>
    <w:p w:rsidRPr="001D77D9" w:rsidR="00014566" w:rsidP="00014566" w:rsidRDefault="00014566">
      <w:pPr>
        <w:jc w:val="center"/>
        <w:rPr>
          <w:lang w:val="en-GB"/>
        </w:rPr>
      </w:pPr>
    </w:p>
    <w:p w:rsidRPr="001D77D9" w:rsidR="00014566" w:rsidP="00014566" w:rsidRDefault="00014566">
      <w:pPr>
        <w:jc w:val="center"/>
        <w:rPr>
          <w:lang w:val="en-GB"/>
        </w:rPr>
      </w:pPr>
    </w:p>
    <w:p w:rsidRPr="001D77D9" w:rsidR="00014566" w:rsidP="00014566" w:rsidRDefault="00014566">
      <w:pPr>
        <w:jc w:val="center"/>
        <w:rPr>
          <w:lang w:val="en-GB"/>
        </w:rPr>
      </w:pPr>
    </w:p>
    <w:p w:rsidRPr="001D77D9" w:rsidR="00014566" w:rsidP="00014566" w:rsidRDefault="00014566">
      <w:pPr>
        <w:jc w:val="center"/>
        <w:rPr>
          <w:lang w:val="en-GB"/>
        </w:rPr>
      </w:pPr>
    </w:p>
    <w:p w:rsidRPr="001D77D9" w:rsidR="00014566" w:rsidP="00014566" w:rsidRDefault="00014566">
      <w:pPr>
        <w:jc w:val="center"/>
        <w:rPr>
          <w:lang w:val="en-GB"/>
        </w:rPr>
      </w:pPr>
    </w:p>
    <w:p w:rsidRPr="001D77D9" w:rsidR="00014566" w:rsidP="001C7F9D" w:rsidRDefault="001C7F9D">
      <w:pPr>
        <w:jc w:val="center"/>
        <w:rPr>
          <w:szCs w:val="24"/>
          <w:lang w:val="en-GB"/>
        </w:rPr>
      </w:pPr>
      <w:r w:rsidRPr="001D77D9">
        <w:rPr>
          <w:szCs w:val="24"/>
          <w:lang w:val="en-GB"/>
        </w:rPr>
        <w:t>JUDGMENT</w:t>
      </w:r>
    </w:p>
    <w:p w:rsidRPr="001D77D9" w:rsidR="00014566" w:rsidP="00014566" w:rsidRDefault="001C7F9D">
      <w:pPr>
        <w:jc w:val="center"/>
        <w:rPr>
          <w:szCs w:val="24"/>
          <w:lang w:val="en-GB"/>
        </w:rPr>
      </w:pPr>
      <w:r w:rsidRPr="001D77D9">
        <w:rPr>
          <w:szCs w:val="24"/>
          <w:lang w:val="en-GB"/>
        </w:rPr>
        <w:t>(Extracts)</w:t>
      </w:r>
    </w:p>
    <w:p w:rsidRPr="001D77D9" w:rsidR="00014566" w:rsidP="00014566" w:rsidRDefault="00014566">
      <w:pPr>
        <w:rPr>
          <w:szCs w:val="24"/>
          <w:lang w:val="en-GB"/>
        </w:rPr>
      </w:pPr>
    </w:p>
    <w:p w:rsidRPr="001D77D9" w:rsidR="001C7F9D" w:rsidP="001C7F9D" w:rsidRDefault="001C7F9D">
      <w:pPr>
        <w:pStyle w:val="JuCase"/>
        <w:ind w:firstLine="0"/>
        <w:jc w:val="center"/>
        <w:rPr>
          <w:b w:val="0"/>
          <w:lang w:val="en-GB"/>
        </w:rPr>
      </w:pPr>
    </w:p>
    <w:p w:rsidRPr="001D77D9" w:rsidR="001C7F9D" w:rsidP="001C7F9D" w:rsidRDefault="001C7F9D">
      <w:pPr>
        <w:pStyle w:val="JuCase"/>
        <w:ind w:firstLine="0"/>
        <w:jc w:val="center"/>
        <w:rPr>
          <w:b w:val="0"/>
          <w:lang w:val="en-GB"/>
        </w:rPr>
      </w:pPr>
    </w:p>
    <w:p w:rsidRPr="001D77D9" w:rsidR="001C7F9D" w:rsidP="001C7F9D" w:rsidRDefault="001C7F9D">
      <w:pPr>
        <w:pStyle w:val="JuCase"/>
        <w:ind w:firstLine="0"/>
        <w:jc w:val="center"/>
        <w:rPr>
          <w:b w:val="0"/>
          <w:lang w:val="en-GB"/>
        </w:rPr>
      </w:pPr>
      <w:r w:rsidRPr="001D77D9">
        <w:rPr>
          <w:b w:val="0"/>
          <w:lang w:val="en-GB"/>
        </w:rPr>
        <w:t>STRASBOURG</w:t>
      </w:r>
    </w:p>
    <w:p w:rsidRPr="001D77D9" w:rsidR="001C7F9D" w:rsidP="001C7F9D" w:rsidRDefault="001C7F9D">
      <w:pPr>
        <w:pStyle w:val="JuCase"/>
        <w:ind w:firstLine="0"/>
        <w:jc w:val="center"/>
        <w:rPr>
          <w:b w:val="0"/>
          <w:lang w:val="en-GB"/>
        </w:rPr>
      </w:pPr>
    </w:p>
    <w:p w:rsidRPr="001D77D9" w:rsidR="001C7F9D" w:rsidP="001C7F9D" w:rsidRDefault="001C7F9D">
      <w:pPr>
        <w:pStyle w:val="JuCase"/>
        <w:ind w:firstLine="0"/>
        <w:jc w:val="center"/>
        <w:rPr>
          <w:b w:val="0"/>
          <w:lang w:val="en-GB"/>
        </w:rPr>
      </w:pPr>
      <w:r w:rsidRPr="001D77D9">
        <w:rPr>
          <w:b w:val="0"/>
          <w:lang w:val="en-GB"/>
        </w:rPr>
        <w:t>20 January 2015</w:t>
      </w:r>
    </w:p>
    <w:p w:rsidRPr="001D77D9" w:rsidR="001C7F9D" w:rsidP="001C7F9D" w:rsidRDefault="001C7F9D">
      <w:pPr>
        <w:pStyle w:val="JuCase"/>
        <w:ind w:firstLine="0"/>
        <w:jc w:val="center"/>
        <w:rPr>
          <w:b w:val="0"/>
          <w:lang w:val="en-GB"/>
        </w:rPr>
      </w:pPr>
    </w:p>
    <w:p w:rsidR="00934B09" w:rsidP="00934B09" w:rsidRDefault="00934B09">
      <w:pPr>
        <w:pStyle w:val="jucase0"/>
        <w:ind w:firstLine="0"/>
        <w:jc w:val="center"/>
        <w:rPr>
          <w:color w:val="FF0000"/>
          <w:sz w:val="28"/>
          <w:szCs w:val="28"/>
          <w:u w:val="single"/>
        </w:rPr>
      </w:pPr>
      <w:r>
        <w:rPr>
          <w:color w:val="FF0000"/>
          <w:sz w:val="28"/>
          <w:szCs w:val="28"/>
          <w:u w:val="single"/>
        </w:rPr>
        <w:t>FINAL</w:t>
      </w:r>
    </w:p>
    <w:p w:rsidR="00934B09" w:rsidP="00934B09" w:rsidRDefault="00934B09">
      <w:pPr>
        <w:pStyle w:val="jupara"/>
        <w:tabs>
          <w:tab w:val="left" w:pos="4650"/>
        </w:tabs>
        <w:ind w:firstLine="0"/>
        <w:jc w:val="left"/>
        <w:rPr>
          <w:color w:val="FF0000"/>
          <w:sz w:val="28"/>
          <w:szCs w:val="28"/>
        </w:rPr>
      </w:pPr>
      <w:r>
        <w:rPr>
          <w:color w:val="FF0000"/>
          <w:sz w:val="28"/>
          <w:szCs w:val="28"/>
        </w:rPr>
        <w:tab/>
      </w:r>
    </w:p>
    <w:p w:rsidR="00934B09" w:rsidP="00934B09" w:rsidRDefault="00934B09">
      <w:pPr>
        <w:pStyle w:val="jupara"/>
        <w:ind w:firstLine="0"/>
        <w:jc w:val="center"/>
        <w:rPr>
          <w:color w:val="FF0000"/>
          <w:sz w:val="28"/>
          <w:szCs w:val="28"/>
        </w:rPr>
      </w:pPr>
      <w:r>
        <w:rPr>
          <w:color w:val="FF0000"/>
          <w:sz w:val="28"/>
          <w:szCs w:val="28"/>
        </w:rPr>
        <w:t>20/04/2015</w:t>
      </w:r>
    </w:p>
    <w:p w:rsidR="00934B09" w:rsidP="00934B09" w:rsidRDefault="00934B09">
      <w:pPr>
        <w:pStyle w:val="jupara"/>
        <w:ind w:firstLine="0"/>
        <w:jc w:val="center"/>
      </w:pPr>
    </w:p>
    <w:p w:rsidRPr="001D77D9" w:rsidR="001C7F9D" w:rsidP="00934B09" w:rsidRDefault="00934B09">
      <w:pPr>
        <w:jc w:val="center"/>
        <w:rPr>
          <w:b/>
          <w:lang w:val="en-GB"/>
        </w:rPr>
        <w:sectPr w:rsidRPr="001D77D9" w:rsidR="001C7F9D" w:rsidSect="001C7F9D">
          <w:headerReference w:type="default" r:id="rId8"/>
          <w:headerReference w:type="first" r:id="rId9"/>
          <w:footerReference w:type="first" r:id="rId10"/>
          <w:footnotePr>
            <w:numRestart w:val="eachPage"/>
          </w:footnotePr>
          <w:pgSz w:w="11906" w:h="16838" w:code="9"/>
          <w:pgMar w:top="2274" w:right="2274" w:bottom="2274" w:left="2274" w:header="1701" w:footer="720" w:gutter="0"/>
          <w:pgNumType w:start="1"/>
          <w:cols w:space="720"/>
          <w:titlePg/>
          <w:docGrid w:linePitch="326"/>
        </w:sectPr>
      </w:pPr>
      <w:r>
        <w:rPr>
          <w:i/>
          <w:iCs/>
          <w:sz w:val="22"/>
        </w:rPr>
        <w:t xml:space="preserve">This judgment has become final under Article 44 § 2 of the Convention. It may be </w:t>
      </w:r>
      <w:proofErr w:type="gramStart"/>
      <w:r>
        <w:rPr>
          <w:i/>
          <w:iCs/>
          <w:sz w:val="22"/>
        </w:rPr>
        <w:t>subject</w:t>
      </w:r>
      <w:proofErr w:type="gramEnd"/>
      <w:r>
        <w:rPr>
          <w:i/>
          <w:iCs/>
          <w:sz w:val="22"/>
        </w:rPr>
        <w:t xml:space="preserve"> to editorial revision</w:t>
      </w:r>
      <w:r w:rsidRPr="001D77D9" w:rsidR="00E63542">
        <w:rPr>
          <w:i/>
          <w:sz w:val="22"/>
          <w:lang w:val="en-GB"/>
        </w:rPr>
        <w:t>.</w:t>
      </w:r>
    </w:p>
    <w:p w:rsidRPr="001D77D9" w:rsidR="00014566" w:rsidP="00D60D87" w:rsidRDefault="00014566">
      <w:pPr>
        <w:pStyle w:val="JuCase"/>
        <w:rPr>
          <w:bCs/>
          <w:lang w:val="en-GB"/>
        </w:rPr>
      </w:pPr>
      <w:r w:rsidRPr="001D77D9">
        <w:rPr>
          <w:lang w:val="en-GB"/>
        </w:rPr>
        <w:t xml:space="preserve">In the case of </w:t>
      </w:r>
      <w:proofErr w:type="spellStart"/>
      <w:r w:rsidRPr="001D77D9" w:rsidR="001C7F9D">
        <w:rPr>
          <w:lang w:val="en-GB"/>
        </w:rPr>
        <w:t>Yurtsever</w:t>
      </w:r>
      <w:proofErr w:type="spellEnd"/>
      <w:r w:rsidRPr="001D77D9" w:rsidR="001C7F9D">
        <w:rPr>
          <w:lang w:val="en-GB"/>
        </w:rPr>
        <w:t xml:space="preserve"> </w:t>
      </w:r>
      <w:r w:rsidRPr="001D77D9" w:rsidR="00E11D6F">
        <w:rPr>
          <w:lang w:val="en-GB"/>
        </w:rPr>
        <w:t xml:space="preserve">and Others </w:t>
      </w:r>
      <w:r w:rsidRPr="001D77D9" w:rsidR="001C7F9D">
        <w:rPr>
          <w:lang w:val="en-GB"/>
        </w:rPr>
        <w:t>v. Turkey</w:t>
      </w:r>
      <w:r w:rsidRPr="001D77D9">
        <w:rPr>
          <w:lang w:val="en-GB"/>
        </w:rPr>
        <w:t>,</w:t>
      </w:r>
    </w:p>
    <w:p w:rsidRPr="001D77D9" w:rsidR="00014566" w:rsidP="005E2A43" w:rsidRDefault="00014566">
      <w:pPr>
        <w:pStyle w:val="ECHRPara"/>
        <w:rPr>
          <w:lang w:val="en-GB"/>
        </w:rPr>
      </w:pPr>
      <w:r w:rsidRPr="001D77D9">
        <w:rPr>
          <w:lang w:val="en-GB"/>
        </w:rPr>
        <w:t>The European Court of Human Rights (</w:t>
      </w:r>
      <w:r w:rsidRPr="001D77D9" w:rsidR="001C7F9D">
        <w:rPr>
          <w:lang w:val="en-GB"/>
        </w:rPr>
        <w:t>Second Section</w:t>
      </w:r>
      <w:r w:rsidRPr="001D77D9">
        <w:rPr>
          <w:lang w:val="en-GB"/>
        </w:rPr>
        <w:t xml:space="preserve">), sitting as a </w:t>
      </w:r>
      <w:r w:rsidRPr="001D77D9" w:rsidR="001C7F9D">
        <w:rPr>
          <w:lang w:val="en-GB"/>
        </w:rPr>
        <w:t>Chamber</w:t>
      </w:r>
      <w:r w:rsidRPr="001D77D9">
        <w:rPr>
          <w:lang w:val="en-GB"/>
        </w:rPr>
        <w:t xml:space="preserve"> composed of:</w:t>
      </w:r>
    </w:p>
    <w:p w:rsidRPr="001D77D9" w:rsidR="00014566" w:rsidP="00DF0549" w:rsidRDefault="00DC2CE2">
      <w:pPr>
        <w:pStyle w:val="ECHRDecisionBody"/>
        <w:rPr>
          <w:lang w:val="en-GB"/>
        </w:rPr>
      </w:pPr>
      <w:r w:rsidRPr="001D77D9">
        <w:rPr>
          <w:lang w:val="en-GB"/>
        </w:rPr>
        <w:tab/>
        <w:t>Guido Raimondi,</w:t>
      </w:r>
      <w:r w:rsidRPr="001D77D9">
        <w:rPr>
          <w:i/>
          <w:lang w:val="en-GB"/>
        </w:rPr>
        <w:t xml:space="preserve"> President,</w:t>
      </w:r>
      <w:r w:rsidRPr="001D77D9">
        <w:rPr>
          <w:i/>
          <w:lang w:val="en-GB"/>
        </w:rPr>
        <w:br/>
      </w:r>
      <w:r w:rsidRPr="001D77D9">
        <w:rPr>
          <w:lang w:val="en-GB"/>
        </w:rPr>
        <w:tab/>
      </w:r>
      <w:proofErr w:type="spellStart"/>
      <w:r w:rsidRPr="001D77D9">
        <w:rPr>
          <w:lang w:val="en-GB"/>
        </w:rPr>
        <w:t>Işıl</w:t>
      </w:r>
      <w:proofErr w:type="spellEnd"/>
      <w:r w:rsidRPr="001D77D9">
        <w:rPr>
          <w:lang w:val="en-GB"/>
        </w:rPr>
        <w:t xml:space="preserve"> </w:t>
      </w:r>
      <w:proofErr w:type="spellStart"/>
      <w:r w:rsidRPr="001D77D9">
        <w:rPr>
          <w:lang w:val="en-GB"/>
        </w:rPr>
        <w:t>Karakaş</w:t>
      </w:r>
      <w:proofErr w:type="spellEnd"/>
      <w:r w:rsidRPr="001D77D9">
        <w:rPr>
          <w:lang w:val="en-GB"/>
        </w:rPr>
        <w:t>,</w:t>
      </w:r>
      <w:r w:rsidRPr="001D77D9">
        <w:rPr>
          <w:i/>
          <w:lang w:val="en-GB"/>
        </w:rPr>
        <w:br/>
      </w:r>
      <w:r w:rsidRPr="001D77D9">
        <w:rPr>
          <w:lang w:val="en-GB"/>
        </w:rPr>
        <w:tab/>
      </w:r>
      <w:proofErr w:type="spellStart"/>
      <w:r w:rsidRPr="001D77D9">
        <w:rPr>
          <w:lang w:val="en-GB"/>
        </w:rPr>
        <w:t>András</w:t>
      </w:r>
      <w:proofErr w:type="spellEnd"/>
      <w:r w:rsidRPr="001D77D9">
        <w:rPr>
          <w:lang w:val="en-GB"/>
        </w:rPr>
        <w:t xml:space="preserve"> </w:t>
      </w:r>
      <w:proofErr w:type="spellStart"/>
      <w:r w:rsidRPr="001D77D9">
        <w:rPr>
          <w:lang w:val="en-GB"/>
        </w:rPr>
        <w:t>Sajó</w:t>
      </w:r>
      <w:proofErr w:type="spellEnd"/>
      <w:r w:rsidRPr="001D77D9">
        <w:rPr>
          <w:lang w:val="en-GB"/>
        </w:rPr>
        <w:t>,</w:t>
      </w:r>
      <w:r w:rsidRPr="001D77D9">
        <w:rPr>
          <w:i/>
          <w:lang w:val="en-GB"/>
        </w:rPr>
        <w:br/>
      </w:r>
      <w:r w:rsidRPr="001D77D9">
        <w:rPr>
          <w:lang w:val="en-GB"/>
        </w:rPr>
        <w:tab/>
      </w:r>
      <w:proofErr w:type="spellStart"/>
      <w:r w:rsidRPr="001D77D9">
        <w:rPr>
          <w:lang w:val="en-GB"/>
        </w:rPr>
        <w:t>Nebojša</w:t>
      </w:r>
      <w:proofErr w:type="spellEnd"/>
      <w:r w:rsidRPr="001D77D9">
        <w:rPr>
          <w:lang w:val="en-GB"/>
        </w:rPr>
        <w:t xml:space="preserve"> </w:t>
      </w:r>
      <w:proofErr w:type="spellStart"/>
      <w:r w:rsidRPr="001D77D9">
        <w:rPr>
          <w:lang w:val="en-GB"/>
        </w:rPr>
        <w:t>Vučinić</w:t>
      </w:r>
      <w:proofErr w:type="spellEnd"/>
      <w:r w:rsidRPr="001D77D9">
        <w:rPr>
          <w:lang w:val="en-GB"/>
        </w:rPr>
        <w:t>,</w:t>
      </w:r>
      <w:r w:rsidRPr="001D77D9">
        <w:rPr>
          <w:i/>
          <w:lang w:val="en-GB"/>
        </w:rPr>
        <w:br/>
      </w:r>
      <w:r w:rsidRPr="001D77D9">
        <w:rPr>
          <w:lang w:val="en-GB"/>
        </w:rPr>
        <w:tab/>
      </w:r>
      <w:proofErr w:type="spellStart"/>
      <w:r w:rsidRPr="001D77D9">
        <w:rPr>
          <w:lang w:val="en-GB"/>
        </w:rPr>
        <w:t>Egidijus</w:t>
      </w:r>
      <w:proofErr w:type="spellEnd"/>
      <w:r w:rsidRPr="001D77D9">
        <w:rPr>
          <w:lang w:val="en-GB"/>
        </w:rPr>
        <w:t xml:space="preserve"> </w:t>
      </w:r>
      <w:proofErr w:type="spellStart"/>
      <w:r w:rsidRPr="001D77D9">
        <w:rPr>
          <w:lang w:val="en-GB"/>
        </w:rPr>
        <w:t>Kūris</w:t>
      </w:r>
      <w:proofErr w:type="spellEnd"/>
      <w:r w:rsidRPr="001D77D9">
        <w:rPr>
          <w:lang w:val="en-GB"/>
        </w:rPr>
        <w:t>,</w:t>
      </w:r>
      <w:r w:rsidRPr="001D77D9">
        <w:rPr>
          <w:i/>
          <w:lang w:val="en-GB"/>
        </w:rPr>
        <w:br/>
      </w:r>
      <w:r w:rsidRPr="001D77D9">
        <w:rPr>
          <w:lang w:val="en-GB"/>
        </w:rPr>
        <w:tab/>
        <w:t xml:space="preserve">Robert </w:t>
      </w:r>
      <w:proofErr w:type="spellStart"/>
      <w:r w:rsidRPr="001D77D9">
        <w:rPr>
          <w:lang w:val="en-GB"/>
        </w:rPr>
        <w:t>Spano</w:t>
      </w:r>
      <w:proofErr w:type="spellEnd"/>
      <w:r w:rsidRPr="001D77D9">
        <w:rPr>
          <w:lang w:val="en-GB"/>
        </w:rPr>
        <w:t>,</w:t>
      </w:r>
      <w:r w:rsidRPr="001D77D9">
        <w:rPr>
          <w:i/>
          <w:lang w:val="en-GB"/>
        </w:rPr>
        <w:br/>
      </w:r>
      <w:r w:rsidRPr="001D77D9">
        <w:rPr>
          <w:lang w:val="en-GB"/>
        </w:rPr>
        <w:tab/>
        <w:t xml:space="preserve">Jon </w:t>
      </w:r>
      <w:proofErr w:type="spellStart"/>
      <w:r w:rsidRPr="001D77D9">
        <w:rPr>
          <w:lang w:val="en-GB"/>
        </w:rPr>
        <w:t>Fridrik</w:t>
      </w:r>
      <w:proofErr w:type="spellEnd"/>
      <w:r w:rsidRPr="001D77D9">
        <w:rPr>
          <w:lang w:val="en-GB"/>
        </w:rPr>
        <w:t xml:space="preserve"> </w:t>
      </w:r>
      <w:proofErr w:type="spellStart"/>
      <w:r w:rsidRPr="001D77D9">
        <w:rPr>
          <w:lang w:val="en-GB"/>
        </w:rPr>
        <w:t>Kjølbro</w:t>
      </w:r>
      <w:proofErr w:type="spellEnd"/>
      <w:r w:rsidRPr="001D77D9">
        <w:rPr>
          <w:lang w:val="en-GB"/>
        </w:rPr>
        <w:t>,</w:t>
      </w:r>
      <w:r w:rsidRPr="001D77D9">
        <w:rPr>
          <w:i/>
          <w:lang w:val="en-GB"/>
        </w:rPr>
        <w:t xml:space="preserve"> judges,</w:t>
      </w:r>
      <w:r w:rsidRPr="001D77D9">
        <w:rPr>
          <w:i/>
          <w:lang w:val="en-GB"/>
        </w:rPr>
        <w:br/>
      </w:r>
      <w:r w:rsidRPr="001D77D9" w:rsidR="008D1904">
        <w:rPr>
          <w:lang w:val="en-GB"/>
        </w:rPr>
        <w:t>a</w:t>
      </w:r>
      <w:r w:rsidRPr="001D77D9" w:rsidR="00014566">
        <w:rPr>
          <w:lang w:val="en-GB"/>
        </w:rPr>
        <w:t xml:space="preserve">nd </w:t>
      </w:r>
      <w:r w:rsidRPr="001D77D9" w:rsidR="001C7F9D">
        <w:rPr>
          <w:lang w:val="en-GB"/>
        </w:rPr>
        <w:t>Stanley Naismith</w:t>
      </w:r>
      <w:r w:rsidRPr="001D77D9" w:rsidR="00014566">
        <w:rPr>
          <w:lang w:val="en-GB"/>
        </w:rPr>
        <w:t xml:space="preserve">, </w:t>
      </w:r>
      <w:r w:rsidRPr="001D77D9" w:rsidR="001C7F9D">
        <w:rPr>
          <w:lang w:val="en-GB"/>
        </w:rPr>
        <w:t>Section Registrar</w:t>
      </w:r>
      <w:r w:rsidRPr="001D77D9" w:rsidR="00014566">
        <w:rPr>
          <w:lang w:val="en-GB"/>
        </w:rPr>
        <w:t>,</w:t>
      </w:r>
    </w:p>
    <w:p w:rsidRPr="001D77D9" w:rsidR="00014566" w:rsidP="00C621C2" w:rsidRDefault="00014566">
      <w:pPr>
        <w:pStyle w:val="ECHRPara"/>
        <w:rPr>
          <w:lang w:val="en-GB"/>
        </w:rPr>
      </w:pPr>
      <w:r w:rsidRPr="001D77D9">
        <w:rPr>
          <w:lang w:val="en-GB"/>
        </w:rPr>
        <w:t xml:space="preserve">Having deliberated in private on </w:t>
      </w:r>
      <w:r w:rsidRPr="001D77D9" w:rsidR="005F7D33">
        <w:rPr>
          <w:lang w:val="en-GB"/>
        </w:rPr>
        <w:t>13 November 2014</w:t>
      </w:r>
      <w:r w:rsidRPr="001D77D9">
        <w:rPr>
          <w:lang w:val="en-GB"/>
        </w:rPr>
        <w:t>,</w:t>
      </w:r>
    </w:p>
    <w:p w:rsidRPr="001D77D9" w:rsidR="00014566" w:rsidP="00C621C2" w:rsidRDefault="00014566">
      <w:pPr>
        <w:pStyle w:val="ECHRPara"/>
        <w:rPr>
          <w:lang w:val="en-GB"/>
        </w:rPr>
      </w:pPr>
      <w:r w:rsidRPr="001D77D9">
        <w:rPr>
          <w:lang w:val="en-GB"/>
        </w:rPr>
        <w:t>Delivers the following judgment, which was adopted on that date:</w:t>
      </w:r>
    </w:p>
    <w:p w:rsidRPr="001D77D9" w:rsidR="00014566" w:rsidP="00014566" w:rsidRDefault="00014566">
      <w:pPr>
        <w:pStyle w:val="ECHRTitle1"/>
        <w:rPr>
          <w:lang w:val="en-GB"/>
        </w:rPr>
      </w:pPr>
      <w:r w:rsidRPr="001D77D9">
        <w:rPr>
          <w:lang w:val="en-GB"/>
        </w:rPr>
        <w:t>PROCEDURE</w:t>
      </w:r>
    </w:p>
    <w:p w:rsidRPr="001D77D9" w:rsidR="00014566" w:rsidP="00C621C2" w:rsidRDefault="001C7F9D">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w:t>
      </w:r>
      <w:r w:rsidRPr="001D77D9">
        <w:rPr>
          <w:lang w:val="en-GB"/>
        </w:rPr>
        <w:fldChar w:fldCharType="end"/>
      </w:r>
      <w:r w:rsidRPr="001D77D9" w:rsidR="00014566">
        <w:rPr>
          <w:lang w:val="en-GB"/>
        </w:rPr>
        <w:t xml:space="preserve">.  The case originated in </w:t>
      </w:r>
      <w:r w:rsidRPr="001D77D9" w:rsidR="005F7D33">
        <w:rPr>
          <w:lang w:val="en-GB"/>
        </w:rPr>
        <w:t>twelve</w:t>
      </w:r>
      <w:r w:rsidRPr="001D77D9">
        <w:rPr>
          <w:lang w:val="en-GB"/>
        </w:rPr>
        <w:t xml:space="preserve"> application</w:t>
      </w:r>
      <w:r w:rsidRPr="001D77D9" w:rsidR="005F7D33">
        <w:rPr>
          <w:lang w:val="en-GB"/>
        </w:rPr>
        <w:t>s</w:t>
      </w:r>
      <w:r w:rsidRPr="001D77D9">
        <w:rPr>
          <w:lang w:val="en-GB"/>
        </w:rPr>
        <w:t xml:space="preserve"> (no</w:t>
      </w:r>
      <w:r w:rsidRPr="001D77D9" w:rsidR="005F7D33">
        <w:rPr>
          <w:lang w:val="en-GB"/>
        </w:rPr>
        <w:t>s</w:t>
      </w:r>
      <w:r w:rsidRPr="001D77D9">
        <w:rPr>
          <w:lang w:val="en-GB"/>
        </w:rPr>
        <w:t>. 14946/08</w:t>
      </w:r>
      <w:r w:rsidRPr="001D77D9" w:rsidR="005F7D33">
        <w:rPr>
          <w:lang w:val="en-GB"/>
        </w:rPr>
        <w:t>, 21030/08, 24309/08, 24505/08, 26964/08, 26966/08, 27088/08, 27090/08, 27092/08, 38752/08, 38778/08 and 38807/08</w:t>
      </w:r>
      <w:r w:rsidRPr="001D77D9">
        <w:rPr>
          <w:lang w:val="en-GB"/>
        </w:rPr>
        <w:t>)</w:t>
      </w:r>
      <w:r w:rsidRPr="001D77D9" w:rsidR="00014566">
        <w:rPr>
          <w:lang w:val="en-GB"/>
        </w:rPr>
        <w:t xml:space="preserve"> against </w:t>
      </w:r>
      <w:r w:rsidRPr="001D77D9">
        <w:rPr>
          <w:lang w:val="en-GB"/>
        </w:rPr>
        <w:t>the Republic of Turkey</w:t>
      </w:r>
      <w:r w:rsidRPr="001D77D9" w:rsidR="00014566">
        <w:rPr>
          <w:lang w:val="en-GB"/>
        </w:rPr>
        <w:t xml:space="preserve"> lodged with the </w:t>
      </w:r>
      <w:r w:rsidRPr="001D77D9">
        <w:rPr>
          <w:lang w:val="en-GB"/>
        </w:rPr>
        <w:t>Court under Article 34</w:t>
      </w:r>
      <w:r w:rsidRPr="001D77D9" w:rsidR="00014566">
        <w:rPr>
          <w:lang w:val="en-GB"/>
        </w:rPr>
        <w:t xml:space="preserve"> of the Convention for the Protection of Human Rights and Fundamental Freedoms (“the Convention”) by </w:t>
      </w:r>
      <w:r w:rsidRPr="001D77D9" w:rsidR="00144935">
        <w:rPr>
          <w:lang w:val="en-GB"/>
        </w:rPr>
        <w:t>t</w:t>
      </w:r>
      <w:r w:rsidRPr="001D77D9" w:rsidR="00011486">
        <w:rPr>
          <w:lang w:val="en-GB"/>
        </w:rPr>
        <w:t>hirteen</w:t>
      </w:r>
      <w:r w:rsidRPr="001D77D9">
        <w:rPr>
          <w:lang w:val="en-GB"/>
        </w:rPr>
        <w:t xml:space="preserve"> Turkish national</w:t>
      </w:r>
      <w:r w:rsidRPr="001D77D9" w:rsidR="00144935">
        <w:rPr>
          <w:lang w:val="en-GB"/>
        </w:rPr>
        <w:t>s</w:t>
      </w:r>
      <w:r w:rsidRPr="001D77D9">
        <w:rPr>
          <w:lang w:val="en-GB"/>
        </w:rPr>
        <w:t xml:space="preserve">, Mr Mesut </w:t>
      </w:r>
      <w:proofErr w:type="spellStart"/>
      <w:r w:rsidRPr="001D77D9">
        <w:rPr>
          <w:lang w:val="en-GB"/>
        </w:rPr>
        <w:t>Yurtsever</w:t>
      </w:r>
      <w:proofErr w:type="spellEnd"/>
      <w:r w:rsidRPr="001D77D9">
        <w:rPr>
          <w:lang w:val="en-GB"/>
        </w:rPr>
        <w:t>,</w:t>
      </w:r>
      <w:r w:rsidRPr="001D77D9" w:rsidR="00011486">
        <w:rPr>
          <w:lang w:val="en-GB"/>
        </w:rPr>
        <w:t xml:space="preserve"> Mr </w:t>
      </w:r>
      <w:proofErr w:type="spellStart"/>
      <w:r w:rsidRPr="001D77D9" w:rsidR="00011486">
        <w:rPr>
          <w:lang w:val="en-GB"/>
        </w:rPr>
        <w:t>Canar</w:t>
      </w:r>
      <w:proofErr w:type="spellEnd"/>
      <w:r w:rsidRPr="001D77D9" w:rsidR="00011486">
        <w:rPr>
          <w:lang w:val="en-GB"/>
        </w:rPr>
        <w:t xml:space="preserve"> </w:t>
      </w:r>
      <w:proofErr w:type="spellStart"/>
      <w:r w:rsidRPr="001D77D9" w:rsidR="00011486">
        <w:rPr>
          <w:lang w:val="en-GB"/>
        </w:rPr>
        <w:t>Yurtsever</w:t>
      </w:r>
      <w:proofErr w:type="spellEnd"/>
      <w:r w:rsidRPr="001D77D9" w:rsidR="00011486">
        <w:rPr>
          <w:lang w:val="en-GB"/>
        </w:rPr>
        <w:t xml:space="preserve">, Mr Aydın </w:t>
      </w:r>
      <w:proofErr w:type="spellStart"/>
      <w:r w:rsidRPr="001D77D9" w:rsidR="00011486">
        <w:rPr>
          <w:lang w:val="en-GB"/>
        </w:rPr>
        <w:t>Şaka</w:t>
      </w:r>
      <w:proofErr w:type="spellEnd"/>
      <w:r w:rsidRPr="001D77D9" w:rsidR="00011486">
        <w:rPr>
          <w:lang w:val="en-GB"/>
        </w:rPr>
        <w:t xml:space="preserve">, Mr </w:t>
      </w:r>
      <w:proofErr w:type="spellStart"/>
      <w:r w:rsidRPr="001D77D9" w:rsidR="00011486">
        <w:rPr>
          <w:lang w:val="en-GB"/>
        </w:rPr>
        <w:t>Ergin</w:t>
      </w:r>
      <w:proofErr w:type="spellEnd"/>
      <w:r w:rsidRPr="001D77D9" w:rsidR="00011486">
        <w:rPr>
          <w:lang w:val="en-GB"/>
        </w:rPr>
        <w:t xml:space="preserve"> </w:t>
      </w:r>
      <w:proofErr w:type="spellStart"/>
      <w:r w:rsidRPr="001D77D9" w:rsidR="00011486">
        <w:rPr>
          <w:lang w:val="en-GB"/>
        </w:rPr>
        <w:t>Atabey</w:t>
      </w:r>
      <w:proofErr w:type="spellEnd"/>
      <w:r w:rsidRPr="001D77D9" w:rsidR="00011486">
        <w:rPr>
          <w:lang w:val="en-GB"/>
        </w:rPr>
        <w:t xml:space="preserve">, Mr </w:t>
      </w:r>
      <w:proofErr w:type="spellStart"/>
      <w:r w:rsidRPr="001D77D9" w:rsidR="00011486">
        <w:rPr>
          <w:lang w:val="en-GB"/>
        </w:rPr>
        <w:t>Habip</w:t>
      </w:r>
      <w:proofErr w:type="spellEnd"/>
      <w:r w:rsidRPr="001D77D9" w:rsidR="00011486">
        <w:rPr>
          <w:lang w:val="en-GB"/>
        </w:rPr>
        <w:t xml:space="preserve"> </w:t>
      </w:r>
      <w:proofErr w:type="spellStart"/>
      <w:r w:rsidRPr="001D77D9" w:rsidR="00011486">
        <w:rPr>
          <w:lang w:val="en-GB"/>
        </w:rPr>
        <w:t>Çiftçi</w:t>
      </w:r>
      <w:proofErr w:type="spellEnd"/>
      <w:r w:rsidRPr="001D77D9" w:rsidR="00011486">
        <w:rPr>
          <w:lang w:val="en-GB"/>
        </w:rPr>
        <w:t xml:space="preserve">, Mr </w:t>
      </w:r>
      <w:proofErr w:type="spellStart"/>
      <w:r w:rsidRPr="001D77D9" w:rsidR="00011486">
        <w:rPr>
          <w:lang w:val="en-GB"/>
        </w:rPr>
        <w:t>Mahmut</w:t>
      </w:r>
      <w:proofErr w:type="spellEnd"/>
      <w:r w:rsidRPr="001D77D9" w:rsidR="00011486">
        <w:rPr>
          <w:lang w:val="en-GB"/>
        </w:rPr>
        <w:t xml:space="preserve"> </w:t>
      </w:r>
      <w:proofErr w:type="spellStart"/>
      <w:r w:rsidRPr="001D77D9" w:rsidR="00011486">
        <w:rPr>
          <w:lang w:val="en-GB"/>
        </w:rPr>
        <w:t>Cengiz</w:t>
      </w:r>
      <w:proofErr w:type="spellEnd"/>
      <w:r w:rsidRPr="001D77D9" w:rsidR="00011486">
        <w:rPr>
          <w:lang w:val="en-GB"/>
        </w:rPr>
        <w:t xml:space="preserve">, Mr Mehmet </w:t>
      </w:r>
      <w:proofErr w:type="spellStart"/>
      <w:r w:rsidRPr="001D77D9" w:rsidR="00011486">
        <w:rPr>
          <w:lang w:val="en-GB"/>
        </w:rPr>
        <w:t>Ergezen</w:t>
      </w:r>
      <w:proofErr w:type="spellEnd"/>
      <w:r w:rsidRPr="001D77D9" w:rsidR="00011486">
        <w:rPr>
          <w:lang w:val="en-GB"/>
        </w:rPr>
        <w:t xml:space="preserve">, Mr İsmail </w:t>
      </w:r>
      <w:proofErr w:type="spellStart"/>
      <w:r w:rsidRPr="001D77D9" w:rsidR="00011486">
        <w:rPr>
          <w:lang w:val="en-GB"/>
        </w:rPr>
        <w:t>Cengiz</w:t>
      </w:r>
      <w:proofErr w:type="spellEnd"/>
      <w:r w:rsidRPr="001D77D9" w:rsidR="00011486">
        <w:rPr>
          <w:lang w:val="en-GB"/>
        </w:rPr>
        <w:t xml:space="preserve"> </w:t>
      </w:r>
      <w:proofErr w:type="spellStart"/>
      <w:r w:rsidRPr="001D77D9" w:rsidR="00011486">
        <w:rPr>
          <w:lang w:val="en-GB"/>
        </w:rPr>
        <w:t>Oğurtan</w:t>
      </w:r>
      <w:proofErr w:type="spellEnd"/>
      <w:r w:rsidRPr="001D77D9" w:rsidR="00011486">
        <w:rPr>
          <w:lang w:val="en-GB"/>
        </w:rPr>
        <w:t xml:space="preserve">, Mr </w:t>
      </w:r>
      <w:proofErr w:type="spellStart"/>
      <w:r w:rsidRPr="001D77D9" w:rsidR="00011486">
        <w:rPr>
          <w:lang w:val="en-GB"/>
        </w:rPr>
        <w:t>Fevzi</w:t>
      </w:r>
      <w:proofErr w:type="spellEnd"/>
      <w:r w:rsidRPr="001D77D9" w:rsidR="00011486">
        <w:rPr>
          <w:lang w:val="en-GB"/>
        </w:rPr>
        <w:t xml:space="preserve"> Abo, Mr Abdullah </w:t>
      </w:r>
      <w:proofErr w:type="spellStart"/>
      <w:r w:rsidRPr="001D77D9" w:rsidR="00011486">
        <w:rPr>
          <w:lang w:val="en-GB"/>
        </w:rPr>
        <w:t>Günay</w:t>
      </w:r>
      <w:proofErr w:type="spellEnd"/>
      <w:r w:rsidRPr="001D77D9" w:rsidR="00011486">
        <w:rPr>
          <w:lang w:val="en-GB"/>
        </w:rPr>
        <w:t xml:space="preserve">, Mr Mehmet Ali Kaya, Mr </w:t>
      </w:r>
      <w:proofErr w:type="spellStart"/>
      <w:r w:rsidRPr="001D77D9" w:rsidR="00011486">
        <w:rPr>
          <w:lang w:val="en-GB"/>
        </w:rPr>
        <w:t>Adem</w:t>
      </w:r>
      <w:proofErr w:type="spellEnd"/>
      <w:r w:rsidRPr="001D77D9" w:rsidR="00011486">
        <w:rPr>
          <w:lang w:val="en-GB"/>
        </w:rPr>
        <w:t xml:space="preserve"> </w:t>
      </w:r>
      <w:proofErr w:type="spellStart"/>
      <w:r w:rsidRPr="001D77D9" w:rsidR="00011486">
        <w:rPr>
          <w:lang w:val="en-GB"/>
        </w:rPr>
        <w:t>Yüksekdağ</w:t>
      </w:r>
      <w:proofErr w:type="spellEnd"/>
      <w:r w:rsidRPr="001D77D9" w:rsidR="00011486">
        <w:rPr>
          <w:lang w:val="en-GB"/>
        </w:rPr>
        <w:t xml:space="preserve"> and Mr </w:t>
      </w:r>
      <w:proofErr w:type="spellStart"/>
      <w:r w:rsidRPr="001D77D9" w:rsidR="00011486">
        <w:rPr>
          <w:rFonts w:asciiTheme="majorHAnsi" w:hAnsiTheme="majorHAnsi" w:eastAsiaTheme="majorEastAsia" w:cstheme="majorBidi"/>
          <w:bCs/>
          <w:szCs w:val="26"/>
          <w:lang w:val="en-GB" w:eastAsia="fr-FR"/>
        </w:rPr>
        <w:t>Nezir</w:t>
      </w:r>
      <w:proofErr w:type="spellEnd"/>
      <w:r w:rsidRPr="001D77D9" w:rsidR="00011486">
        <w:rPr>
          <w:rFonts w:asciiTheme="majorHAnsi" w:hAnsiTheme="majorHAnsi" w:eastAsiaTheme="majorEastAsia" w:cstheme="majorBidi"/>
          <w:bCs/>
          <w:szCs w:val="26"/>
          <w:lang w:val="en-GB" w:eastAsia="fr-FR"/>
        </w:rPr>
        <w:t xml:space="preserve"> </w:t>
      </w:r>
      <w:proofErr w:type="spellStart"/>
      <w:r w:rsidRPr="001D77D9" w:rsidR="00011486">
        <w:rPr>
          <w:rFonts w:asciiTheme="majorHAnsi" w:hAnsiTheme="majorHAnsi" w:eastAsiaTheme="majorEastAsia" w:cstheme="majorBidi"/>
          <w:bCs/>
          <w:szCs w:val="26"/>
          <w:lang w:val="en-GB" w:eastAsia="fr-FR"/>
        </w:rPr>
        <w:t>Ad</w:t>
      </w:r>
      <w:r w:rsidRPr="001D77D9" w:rsidR="00011486">
        <w:rPr>
          <w:rFonts w:asciiTheme="majorHAnsi" w:hAnsiTheme="majorHAnsi" w:eastAsiaTheme="majorEastAsia" w:cstheme="majorHAnsi"/>
          <w:bCs/>
          <w:szCs w:val="26"/>
          <w:lang w:val="en-GB" w:eastAsia="fr-FR"/>
        </w:rPr>
        <w:t>ı</w:t>
      </w:r>
      <w:r w:rsidRPr="001D77D9" w:rsidR="00011486">
        <w:rPr>
          <w:rFonts w:asciiTheme="majorHAnsi" w:hAnsiTheme="majorHAnsi" w:eastAsiaTheme="majorEastAsia" w:cstheme="majorBidi"/>
          <w:bCs/>
          <w:szCs w:val="26"/>
          <w:lang w:val="en-GB" w:eastAsia="fr-FR"/>
        </w:rPr>
        <w:t>yaman</w:t>
      </w:r>
      <w:proofErr w:type="spellEnd"/>
      <w:r w:rsidRPr="001D77D9" w:rsidR="005B592F">
        <w:rPr>
          <w:rFonts w:asciiTheme="majorHAnsi" w:hAnsiTheme="majorHAnsi" w:eastAsiaTheme="majorEastAsia" w:cstheme="majorBidi"/>
          <w:bCs/>
          <w:szCs w:val="26"/>
          <w:lang w:val="en-GB" w:eastAsia="fr-FR"/>
        </w:rPr>
        <w:t xml:space="preserve"> (“the applicants”)</w:t>
      </w:r>
      <w:r w:rsidRPr="001D77D9" w:rsidR="00011486">
        <w:rPr>
          <w:rFonts w:asciiTheme="majorHAnsi" w:hAnsiTheme="majorHAnsi" w:eastAsiaTheme="majorEastAsia" w:cstheme="majorBidi"/>
          <w:bCs/>
          <w:szCs w:val="26"/>
          <w:lang w:val="en-GB" w:eastAsia="fr-FR"/>
        </w:rPr>
        <w:t>,</w:t>
      </w:r>
      <w:r w:rsidRPr="001D77D9">
        <w:rPr>
          <w:lang w:val="en-GB"/>
        </w:rPr>
        <w:t xml:space="preserve"> on </w:t>
      </w:r>
      <w:r w:rsidRPr="001D77D9" w:rsidR="00011486">
        <w:rPr>
          <w:lang w:val="en-GB"/>
        </w:rPr>
        <w:t>6 May</w:t>
      </w:r>
      <w:r w:rsidRPr="001D77D9">
        <w:rPr>
          <w:lang w:val="en-GB"/>
        </w:rPr>
        <w:t xml:space="preserve"> 2008</w:t>
      </w:r>
      <w:r w:rsidRPr="001D77D9" w:rsidR="005F7D33">
        <w:rPr>
          <w:lang w:val="en-GB"/>
        </w:rPr>
        <w:t>.</w:t>
      </w:r>
    </w:p>
    <w:p w:rsidRPr="001D77D9" w:rsidR="001C7F9D" w:rsidP="00C621C2" w:rsidRDefault="001C7F9D">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2</w:t>
      </w:r>
      <w:r w:rsidRPr="001D77D9">
        <w:rPr>
          <w:lang w:val="en-GB"/>
        </w:rPr>
        <w:fldChar w:fldCharType="end"/>
      </w:r>
      <w:r w:rsidRPr="001D77D9" w:rsidR="00014566">
        <w:rPr>
          <w:lang w:val="en-GB"/>
        </w:rPr>
        <w:t>.  </w:t>
      </w:r>
      <w:r w:rsidRPr="001D77D9">
        <w:rPr>
          <w:lang w:val="en-GB"/>
        </w:rPr>
        <w:t>The applicants</w:t>
      </w:r>
      <w:r w:rsidRPr="001D77D9" w:rsidR="007527D2">
        <w:rPr>
          <w:lang w:val="en-GB"/>
        </w:rPr>
        <w:t xml:space="preserve"> were</w:t>
      </w:r>
      <w:r w:rsidRPr="001D77D9">
        <w:rPr>
          <w:lang w:val="en-GB"/>
        </w:rPr>
        <w:t xml:space="preserve"> represented by Mr M. Erbil, a lawyer practising in Istanbul. </w:t>
      </w:r>
      <w:r w:rsidRPr="001D77D9" w:rsidR="00014566">
        <w:rPr>
          <w:lang w:val="en-GB"/>
        </w:rPr>
        <w:t xml:space="preserve">The </w:t>
      </w:r>
      <w:r w:rsidRPr="001D77D9">
        <w:rPr>
          <w:lang w:val="en-GB"/>
        </w:rPr>
        <w:t>Turkish</w:t>
      </w:r>
      <w:r w:rsidRPr="001D77D9" w:rsidR="00014566">
        <w:rPr>
          <w:lang w:val="en-GB"/>
        </w:rPr>
        <w:t xml:space="preserve"> Government (“the Government”) </w:t>
      </w:r>
      <w:r w:rsidRPr="001D77D9" w:rsidR="005B592F">
        <w:rPr>
          <w:lang w:val="en-GB"/>
        </w:rPr>
        <w:t>were represented by their Agent</w:t>
      </w:r>
      <w:r w:rsidRPr="001D77D9" w:rsidR="00014566">
        <w:rPr>
          <w:lang w:val="en-GB"/>
        </w:rPr>
        <w:t>.</w:t>
      </w:r>
    </w:p>
    <w:p w:rsidRPr="001D77D9" w:rsidR="00014566" w:rsidP="00C621C2" w:rsidRDefault="001C7F9D">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3</w:t>
      </w:r>
      <w:r w:rsidRPr="001D77D9">
        <w:rPr>
          <w:lang w:val="en-GB"/>
        </w:rPr>
        <w:fldChar w:fldCharType="end"/>
      </w:r>
      <w:r w:rsidRPr="001D77D9">
        <w:rPr>
          <w:lang w:val="en-GB"/>
        </w:rPr>
        <w:t>.  The applicant</w:t>
      </w:r>
      <w:r w:rsidRPr="001D77D9" w:rsidR="005B592F">
        <w:rPr>
          <w:lang w:val="en-GB"/>
        </w:rPr>
        <w:t>s</w:t>
      </w:r>
      <w:r w:rsidRPr="001D77D9">
        <w:rPr>
          <w:lang w:val="en-GB"/>
        </w:rPr>
        <w:t xml:space="preserve"> </w:t>
      </w:r>
      <w:r w:rsidRPr="001D77D9" w:rsidR="00E11D6F">
        <w:rPr>
          <w:lang w:val="en-GB"/>
        </w:rPr>
        <w:t>complained</w:t>
      </w:r>
      <w:r w:rsidRPr="001D77D9" w:rsidR="0004368C">
        <w:rPr>
          <w:lang w:val="en-GB"/>
        </w:rPr>
        <w:t xml:space="preserve">, in particular, of a breach of their right to freedom of expression and information (Article 10 of the Convention), </w:t>
      </w:r>
      <w:r w:rsidRPr="001D77D9" w:rsidR="00E11D6F">
        <w:rPr>
          <w:lang w:val="en-GB"/>
        </w:rPr>
        <w:t>alleging</w:t>
      </w:r>
      <w:r w:rsidRPr="001D77D9" w:rsidR="0004368C">
        <w:rPr>
          <w:lang w:val="en-GB"/>
        </w:rPr>
        <w:t xml:space="preserve"> that they had not </w:t>
      </w:r>
      <w:r w:rsidRPr="001D77D9" w:rsidR="00E11D6F">
        <w:rPr>
          <w:lang w:val="en-GB"/>
        </w:rPr>
        <w:t>benefited</w:t>
      </w:r>
      <w:r w:rsidRPr="001D77D9" w:rsidR="0004368C">
        <w:rPr>
          <w:lang w:val="en-GB"/>
        </w:rPr>
        <w:t xml:space="preserve"> from a fair </w:t>
      </w:r>
      <w:r w:rsidRPr="001D77D9" w:rsidR="00E11D6F">
        <w:rPr>
          <w:lang w:val="en-GB"/>
        </w:rPr>
        <w:t>trial</w:t>
      </w:r>
      <w:r w:rsidRPr="001D77D9" w:rsidR="0004368C">
        <w:rPr>
          <w:lang w:val="en-GB"/>
        </w:rPr>
        <w:t xml:space="preserve"> (Article 6 of the Convention). The</w:t>
      </w:r>
      <w:r w:rsidRPr="001D77D9" w:rsidR="00000506">
        <w:rPr>
          <w:lang w:val="en-GB"/>
        </w:rPr>
        <w:t>y</w:t>
      </w:r>
      <w:r w:rsidRPr="001D77D9" w:rsidR="0004368C">
        <w:rPr>
          <w:lang w:val="en-GB"/>
        </w:rPr>
        <w:t xml:space="preserve"> further </w:t>
      </w:r>
      <w:r w:rsidRPr="001D77D9" w:rsidR="00E11D6F">
        <w:rPr>
          <w:lang w:val="en-GB"/>
        </w:rPr>
        <w:t>complained</w:t>
      </w:r>
      <w:r w:rsidRPr="001D77D9" w:rsidR="0004368C">
        <w:rPr>
          <w:lang w:val="en-GB"/>
        </w:rPr>
        <w:t xml:space="preserve"> of a violation of Articles 8, 13, 14, 17 and 18 of the Convention</w:t>
      </w:r>
      <w:r w:rsidRPr="001D77D9">
        <w:rPr>
          <w:lang w:val="en-GB"/>
        </w:rPr>
        <w:t>.</w:t>
      </w:r>
    </w:p>
    <w:p w:rsidRPr="001D77D9" w:rsidR="00014566" w:rsidP="00C621C2" w:rsidRDefault="001C7F9D">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4</w:t>
      </w:r>
      <w:r w:rsidRPr="001D77D9">
        <w:rPr>
          <w:lang w:val="en-GB"/>
        </w:rPr>
        <w:fldChar w:fldCharType="end"/>
      </w:r>
      <w:r w:rsidRPr="001D77D9" w:rsidR="00014566">
        <w:rPr>
          <w:lang w:val="en-GB"/>
        </w:rPr>
        <w:t>.  </w:t>
      </w:r>
      <w:r w:rsidRPr="001D77D9">
        <w:rPr>
          <w:lang w:val="en-GB"/>
        </w:rPr>
        <w:t xml:space="preserve">On </w:t>
      </w:r>
      <w:r w:rsidRPr="001D77D9" w:rsidR="00E220F5">
        <w:rPr>
          <w:lang w:val="en-GB"/>
        </w:rPr>
        <w:t>3 June</w:t>
      </w:r>
      <w:r w:rsidRPr="001D77D9">
        <w:rPr>
          <w:szCs w:val="24"/>
          <w:lang w:val="en-GB"/>
        </w:rPr>
        <w:t xml:space="preserve"> 2009</w:t>
      </w:r>
      <w:r w:rsidRPr="001D77D9" w:rsidR="00014566">
        <w:rPr>
          <w:lang w:val="en-GB"/>
        </w:rPr>
        <w:t xml:space="preserve"> the </w:t>
      </w:r>
      <w:r w:rsidRPr="001D77D9">
        <w:rPr>
          <w:lang w:val="en-GB"/>
        </w:rPr>
        <w:t>application</w:t>
      </w:r>
      <w:r w:rsidRPr="001D77D9" w:rsidR="00E220F5">
        <w:rPr>
          <w:lang w:val="en-GB"/>
        </w:rPr>
        <w:t>s</w:t>
      </w:r>
      <w:r w:rsidRPr="001D77D9">
        <w:rPr>
          <w:lang w:val="en-GB"/>
        </w:rPr>
        <w:t xml:space="preserve"> w</w:t>
      </w:r>
      <w:r w:rsidRPr="001D77D9" w:rsidR="00E220F5">
        <w:rPr>
          <w:lang w:val="en-GB"/>
        </w:rPr>
        <w:t>ere</w:t>
      </w:r>
      <w:r w:rsidRPr="001D77D9">
        <w:rPr>
          <w:lang w:val="en-GB"/>
        </w:rPr>
        <w:t xml:space="preserve"> communicated to the Government</w:t>
      </w:r>
      <w:r w:rsidRPr="001D77D9" w:rsidR="00014566">
        <w:rPr>
          <w:lang w:val="en-GB"/>
        </w:rPr>
        <w:t>.</w:t>
      </w:r>
    </w:p>
    <w:p w:rsidRPr="001D77D9" w:rsidR="00014566" w:rsidP="00294C92" w:rsidRDefault="00014566">
      <w:pPr>
        <w:pStyle w:val="ECHRTitle1"/>
        <w:rPr>
          <w:lang w:val="en-GB"/>
        </w:rPr>
      </w:pPr>
      <w:r w:rsidRPr="001D77D9">
        <w:rPr>
          <w:lang w:val="en-GB"/>
        </w:rPr>
        <w:t>THE FACTS</w:t>
      </w:r>
    </w:p>
    <w:p w:rsidRPr="001D77D9" w:rsidR="00014566" w:rsidP="00014566" w:rsidRDefault="00014566">
      <w:pPr>
        <w:pStyle w:val="ECHRHeading1"/>
        <w:rPr>
          <w:lang w:val="en-GB"/>
        </w:rPr>
      </w:pPr>
      <w:r w:rsidRPr="001D77D9">
        <w:rPr>
          <w:lang w:val="en-GB"/>
        </w:rPr>
        <w:t>I.  THE CIRCUMSTANCES OF THE CASE</w:t>
      </w:r>
    </w:p>
    <w:p w:rsidRPr="001D77D9" w:rsidR="00497419" w:rsidP="00497419" w:rsidRDefault="00497419">
      <w:pPr>
        <w:pStyle w:val="ECHRPara"/>
        <w:rPr>
          <w:b/>
          <w:lang w:val="en-GB"/>
        </w:rPr>
      </w:pPr>
      <w:r w:rsidRPr="001D77D9">
        <w:rPr>
          <w:b/>
          <w:lang w:val="en-GB"/>
        </w:rPr>
        <w:t>A.</w:t>
      </w:r>
      <w:r w:rsidR="00934B09">
        <w:rPr>
          <w:b/>
          <w:lang w:val="en-GB"/>
        </w:rPr>
        <w:t>  </w:t>
      </w:r>
      <w:r w:rsidRPr="001D77D9">
        <w:rPr>
          <w:b/>
          <w:lang w:val="en-GB"/>
        </w:rPr>
        <w:t xml:space="preserve">Mr Mesut </w:t>
      </w:r>
      <w:proofErr w:type="spellStart"/>
      <w:r w:rsidRPr="001D77D9">
        <w:rPr>
          <w:b/>
          <w:lang w:val="en-GB"/>
        </w:rPr>
        <w:t>Yurtsever</w:t>
      </w:r>
      <w:proofErr w:type="spellEnd"/>
      <w:r w:rsidRPr="001D77D9">
        <w:rPr>
          <w:b/>
          <w:lang w:val="en-GB"/>
        </w:rPr>
        <w:t xml:space="preserve"> (application no. 14946/08)</w:t>
      </w:r>
    </w:p>
    <w:p w:rsidRPr="001D77D9" w:rsidR="00497419" w:rsidP="00497419" w:rsidRDefault="00497419">
      <w:pPr>
        <w:pStyle w:val="ECHRPara"/>
        <w:rPr>
          <w:b/>
          <w:lang w:val="en-GB"/>
        </w:rPr>
      </w:pPr>
    </w:p>
    <w:p w:rsidRPr="001D77D9" w:rsidR="00014566" w:rsidP="00C621C2" w:rsidRDefault="001C7F9D">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5</w:t>
      </w:r>
      <w:r w:rsidRPr="001D77D9">
        <w:rPr>
          <w:lang w:val="en-GB"/>
        </w:rPr>
        <w:fldChar w:fldCharType="end"/>
      </w:r>
      <w:r w:rsidRPr="001D77D9" w:rsidR="00014566">
        <w:rPr>
          <w:lang w:val="en-GB"/>
        </w:rPr>
        <w:t xml:space="preserve">.  The </w:t>
      </w:r>
      <w:r w:rsidRPr="001D77D9">
        <w:rPr>
          <w:lang w:val="en-GB"/>
        </w:rPr>
        <w:t>applicant was born in 1974</w:t>
      </w:r>
      <w:r w:rsidRPr="001D77D9" w:rsidR="00497419">
        <w:rPr>
          <w:lang w:val="en-GB"/>
        </w:rPr>
        <w:t xml:space="preserve">. When his application </w:t>
      </w:r>
      <w:r w:rsidRPr="001D77D9" w:rsidR="00DD063D">
        <w:rPr>
          <w:lang w:val="en-GB"/>
        </w:rPr>
        <w:t xml:space="preserve">was lodged </w:t>
      </w:r>
      <w:r w:rsidRPr="001D77D9" w:rsidR="00497419">
        <w:rPr>
          <w:lang w:val="en-GB"/>
        </w:rPr>
        <w:t xml:space="preserve">he was </w:t>
      </w:r>
      <w:r w:rsidRPr="001D77D9" w:rsidR="001553DE">
        <w:rPr>
          <w:lang w:val="en-GB"/>
        </w:rPr>
        <w:t xml:space="preserve">being </w:t>
      </w:r>
      <w:r w:rsidRPr="001D77D9" w:rsidR="00DD063D">
        <w:rPr>
          <w:lang w:val="en-GB"/>
        </w:rPr>
        <w:t>held</w:t>
      </w:r>
      <w:r w:rsidRPr="001D77D9" w:rsidR="00497419">
        <w:rPr>
          <w:lang w:val="en-GB"/>
        </w:rPr>
        <w:t xml:space="preserve"> in the</w:t>
      </w:r>
      <w:r w:rsidRPr="001D77D9" w:rsidR="00014566">
        <w:rPr>
          <w:lang w:val="en-GB"/>
        </w:rPr>
        <w:t xml:space="preserve"> </w:t>
      </w:r>
      <w:r w:rsidRPr="001D77D9" w:rsidR="00497419">
        <w:rPr>
          <w:lang w:val="en-GB"/>
        </w:rPr>
        <w:t>F-type prison</w:t>
      </w:r>
      <w:r w:rsidRPr="001D77D9" w:rsidR="00FC257F">
        <w:rPr>
          <w:lang w:val="en-GB"/>
        </w:rPr>
        <w:t xml:space="preserve"> in </w:t>
      </w:r>
      <w:proofErr w:type="spellStart"/>
      <w:r w:rsidRPr="001D77D9" w:rsidR="00FC257F">
        <w:rPr>
          <w:lang w:val="en-GB"/>
        </w:rPr>
        <w:t>Bolu</w:t>
      </w:r>
      <w:proofErr w:type="spellEnd"/>
      <w:r w:rsidRPr="001D77D9" w:rsidR="00014566">
        <w:rPr>
          <w:lang w:val="en-GB"/>
        </w:rPr>
        <w:t>.</w:t>
      </w:r>
    </w:p>
    <w:p w:rsidRPr="001D77D9" w:rsidR="00E11D6F" w:rsidP="00E11D6F" w:rsidRDefault="001C7F9D">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6</w:t>
      </w:r>
      <w:r w:rsidRPr="001D77D9">
        <w:rPr>
          <w:lang w:val="en-GB"/>
        </w:rPr>
        <w:fldChar w:fldCharType="end"/>
      </w:r>
      <w:r w:rsidRPr="001D77D9" w:rsidR="00014566">
        <w:rPr>
          <w:lang w:val="en-GB"/>
        </w:rPr>
        <w:t>.  </w:t>
      </w:r>
      <w:r w:rsidRPr="001D77D9" w:rsidR="00E11D6F">
        <w:rPr>
          <w:lang w:val="en-GB"/>
        </w:rPr>
        <w:t xml:space="preserve">On 25 June 2007, </w:t>
      </w:r>
      <w:r w:rsidRPr="001D77D9" w:rsidR="00DF2200">
        <w:rPr>
          <w:lang w:val="en-GB"/>
        </w:rPr>
        <w:t>while</w:t>
      </w:r>
      <w:r w:rsidRPr="001D77D9" w:rsidR="00333090">
        <w:rPr>
          <w:lang w:val="en-GB"/>
        </w:rPr>
        <w:t xml:space="preserve"> the applic</w:t>
      </w:r>
      <w:r w:rsidRPr="001D77D9" w:rsidR="00E11D6F">
        <w:rPr>
          <w:lang w:val="en-GB"/>
        </w:rPr>
        <w:t xml:space="preserve">ant </w:t>
      </w:r>
      <w:r w:rsidRPr="001D77D9" w:rsidR="00333090">
        <w:rPr>
          <w:lang w:val="en-GB"/>
        </w:rPr>
        <w:t xml:space="preserve">was being held in anther </w:t>
      </w:r>
      <w:r w:rsidRPr="001D77D9" w:rsidR="00E11D6F">
        <w:rPr>
          <w:lang w:val="en-GB"/>
        </w:rPr>
        <w:t xml:space="preserve">prison – </w:t>
      </w:r>
      <w:r w:rsidRPr="001D77D9" w:rsidR="00333090">
        <w:rPr>
          <w:lang w:val="en-GB"/>
        </w:rPr>
        <w:t>the</w:t>
      </w:r>
      <w:r w:rsidRPr="001D77D9" w:rsidR="00E11D6F">
        <w:rPr>
          <w:lang w:val="en-GB"/>
        </w:rPr>
        <w:t xml:space="preserve"> </w:t>
      </w:r>
      <w:r w:rsidRPr="001D77D9" w:rsidR="00333090">
        <w:rPr>
          <w:lang w:val="en-GB"/>
        </w:rPr>
        <w:t>F-type prison</w:t>
      </w:r>
      <w:r w:rsidRPr="001D77D9" w:rsidR="00FC257F">
        <w:rPr>
          <w:lang w:val="en-GB"/>
        </w:rPr>
        <w:t xml:space="preserve"> in</w:t>
      </w:r>
      <w:r w:rsidRPr="001D77D9" w:rsidR="00333090">
        <w:rPr>
          <w:lang w:val="en-GB"/>
        </w:rPr>
        <w:t xml:space="preserve"> </w:t>
      </w:r>
      <w:proofErr w:type="spellStart"/>
      <w:r w:rsidRPr="001D77D9" w:rsidR="00FC257F">
        <w:rPr>
          <w:lang w:val="en-GB"/>
        </w:rPr>
        <w:t>Tekirda</w:t>
      </w:r>
      <w:r w:rsidRPr="001D77D9" w:rsidR="00FC257F">
        <w:rPr>
          <w:rFonts w:cstheme="minorHAnsi"/>
          <w:lang w:val="en-GB"/>
        </w:rPr>
        <w:t>ğ</w:t>
      </w:r>
      <w:proofErr w:type="spellEnd"/>
      <w:r w:rsidRPr="001D77D9" w:rsidR="00FC257F">
        <w:rPr>
          <w:lang w:val="en-GB"/>
        </w:rPr>
        <w:t xml:space="preserve"> </w:t>
      </w:r>
      <w:r w:rsidRPr="001D77D9" w:rsidR="00E11D6F">
        <w:rPr>
          <w:lang w:val="en-GB"/>
        </w:rPr>
        <w:t>–</w:t>
      </w:r>
      <w:r w:rsidRPr="001D77D9" w:rsidR="00333090">
        <w:rPr>
          <w:lang w:val="en-GB"/>
        </w:rPr>
        <w:t xml:space="preserve"> that prison</w:t>
      </w:r>
      <w:r w:rsidR="00934B09">
        <w:rPr>
          <w:lang w:val="en-GB"/>
        </w:rPr>
        <w:t>’</w:t>
      </w:r>
      <w:r w:rsidRPr="001D77D9" w:rsidR="00333090">
        <w:rPr>
          <w:lang w:val="en-GB"/>
        </w:rPr>
        <w:t xml:space="preserve">s </w:t>
      </w:r>
      <w:r w:rsidRPr="001D77D9" w:rsidR="00AE07F6">
        <w:rPr>
          <w:lang w:val="en-GB"/>
        </w:rPr>
        <w:t>education board</w:t>
      </w:r>
      <w:r w:rsidRPr="001D77D9" w:rsidR="004C7126">
        <w:rPr>
          <w:lang w:val="en-GB"/>
        </w:rPr>
        <w:t xml:space="preserve"> </w:t>
      </w:r>
      <w:r w:rsidRPr="001D77D9" w:rsidR="00DF2200">
        <w:rPr>
          <w:lang w:val="en-GB"/>
        </w:rPr>
        <w:t>decided</w:t>
      </w:r>
      <w:r w:rsidRPr="001D77D9" w:rsidR="00333090">
        <w:rPr>
          <w:lang w:val="en-GB"/>
        </w:rPr>
        <w:t xml:space="preserve"> not to deliver the </w:t>
      </w:r>
      <w:r w:rsidRPr="001D77D9" w:rsidR="00E11D6F">
        <w:rPr>
          <w:lang w:val="en-GB"/>
        </w:rPr>
        <w:t xml:space="preserve">18, 19, 20, 21, 22, 23 </w:t>
      </w:r>
      <w:r w:rsidRPr="001D77D9" w:rsidR="00333090">
        <w:rPr>
          <w:lang w:val="en-GB"/>
        </w:rPr>
        <w:t>and</w:t>
      </w:r>
      <w:r w:rsidRPr="001D77D9" w:rsidR="00E11D6F">
        <w:rPr>
          <w:lang w:val="en-GB"/>
        </w:rPr>
        <w:t xml:space="preserve"> 24 </w:t>
      </w:r>
      <w:r w:rsidRPr="001D77D9" w:rsidR="00DF2200">
        <w:rPr>
          <w:lang w:val="en-GB"/>
        </w:rPr>
        <w:t>June</w:t>
      </w:r>
      <w:r w:rsidRPr="001D77D9" w:rsidR="00E11D6F">
        <w:rPr>
          <w:lang w:val="en-GB"/>
        </w:rPr>
        <w:t xml:space="preserve"> 2007 </w:t>
      </w:r>
      <w:r w:rsidRPr="001D77D9" w:rsidR="004E05A7">
        <w:rPr>
          <w:lang w:val="en-GB"/>
        </w:rPr>
        <w:t>edition</w:t>
      </w:r>
      <w:r w:rsidRPr="001D77D9" w:rsidR="00333090">
        <w:rPr>
          <w:lang w:val="en-GB"/>
        </w:rPr>
        <w:t xml:space="preserve">s of the </w:t>
      </w:r>
      <w:proofErr w:type="spellStart"/>
      <w:r w:rsidRPr="001D77D9" w:rsidR="00333090">
        <w:rPr>
          <w:i/>
          <w:lang w:val="en-GB"/>
        </w:rPr>
        <w:t>Azadiya</w:t>
      </w:r>
      <w:proofErr w:type="spellEnd"/>
      <w:r w:rsidRPr="001D77D9" w:rsidR="00333090">
        <w:rPr>
          <w:i/>
          <w:lang w:val="en-GB"/>
        </w:rPr>
        <w:t xml:space="preserve"> </w:t>
      </w:r>
      <w:proofErr w:type="spellStart"/>
      <w:r w:rsidRPr="001D77D9" w:rsidR="00333090">
        <w:rPr>
          <w:i/>
          <w:lang w:val="en-GB"/>
        </w:rPr>
        <w:t>Welat</w:t>
      </w:r>
      <w:proofErr w:type="spellEnd"/>
      <w:r w:rsidRPr="001D77D9" w:rsidDel="00692BAE" w:rsidR="00333090">
        <w:rPr>
          <w:lang w:val="en-GB"/>
        </w:rPr>
        <w:t xml:space="preserve"> </w:t>
      </w:r>
      <w:r w:rsidRPr="001D77D9" w:rsidR="00333090">
        <w:rPr>
          <w:lang w:val="en-GB"/>
        </w:rPr>
        <w:t>daily newspaper to the applicant or t</w:t>
      </w:r>
      <w:r w:rsidRPr="001D77D9" w:rsidR="001553DE">
        <w:rPr>
          <w:lang w:val="en-GB"/>
        </w:rPr>
        <w:t>o</w:t>
      </w:r>
      <w:r w:rsidRPr="001D77D9" w:rsidR="00333090">
        <w:rPr>
          <w:lang w:val="en-GB"/>
        </w:rPr>
        <w:t xml:space="preserve"> other prisoners</w:t>
      </w:r>
      <w:r w:rsidRPr="001D77D9" w:rsidR="00E11D6F">
        <w:rPr>
          <w:lang w:val="en-GB"/>
        </w:rPr>
        <w:t xml:space="preserve">. </w:t>
      </w:r>
      <w:r w:rsidRPr="001D77D9" w:rsidR="00F4058E">
        <w:rPr>
          <w:lang w:val="en-GB"/>
        </w:rPr>
        <w:t>They based their decision on section</w:t>
      </w:r>
      <w:r w:rsidRPr="001D77D9" w:rsidR="00E11D6F">
        <w:rPr>
          <w:lang w:val="en-GB"/>
        </w:rPr>
        <w:t xml:space="preserve"> 62 § 3 </w:t>
      </w:r>
      <w:r w:rsidRPr="001D77D9" w:rsidR="00F4058E">
        <w:rPr>
          <w:lang w:val="en-GB"/>
        </w:rPr>
        <w:t>of Law</w:t>
      </w:r>
      <w:r w:rsidRPr="001D77D9" w:rsidR="00E11D6F">
        <w:rPr>
          <w:lang w:val="en-GB"/>
        </w:rPr>
        <w:t xml:space="preserve"> </w:t>
      </w:r>
      <w:r w:rsidRPr="001D77D9" w:rsidR="00DF2200">
        <w:rPr>
          <w:lang w:val="en-GB"/>
        </w:rPr>
        <w:t>No</w:t>
      </w:r>
      <w:r w:rsidRPr="001D77D9" w:rsidR="00F4058E">
        <w:rPr>
          <w:lang w:val="en-GB"/>
        </w:rPr>
        <w:t>.</w:t>
      </w:r>
      <w:r w:rsidRPr="001D77D9" w:rsidR="00E11D6F">
        <w:rPr>
          <w:lang w:val="en-GB"/>
        </w:rPr>
        <w:t xml:space="preserve"> 5275 </w:t>
      </w:r>
      <w:r w:rsidRPr="001D77D9" w:rsidR="00F4058E">
        <w:rPr>
          <w:lang w:val="en-GB"/>
        </w:rPr>
        <w:t xml:space="preserve">on </w:t>
      </w:r>
      <w:r w:rsidRPr="001D77D9" w:rsidR="004C7126">
        <w:rPr>
          <w:lang w:val="en-GB"/>
        </w:rPr>
        <w:t>the Execution</w:t>
      </w:r>
      <w:r w:rsidRPr="001D77D9" w:rsidR="00F4058E">
        <w:rPr>
          <w:lang w:val="en-GB"/>
        </w:rPr>
        <w:t xml:space="preserve"> of </w:t>
      </w:r>
      <w:r w:rsidRPr="001D77D9" w:rsidR="004C7126">
        <w:rPr>
          <w:lang w:val="en-GB"/>
        </w:rPr>
        <w:t>S</w:t>
      </w:r>
      <w:r w:rsidRPr="001D77D9" w:rsidR="00F4058E">
        <w:rPr>
          <w:lang w:val="en-GB"/>
        </w:rPr>
        <w:t xml:space="preserve">entences and </w:t>
      </w:r>
      <w:r w:rsidRPr="001D77D9" w:rsidR="00DF2200">
        <w:rPr>
          <w:lang w:val="en-GB"/>
        </w:rPr>
        <w:t>Preventive</w:t>
      </w:r>
      <w:r w:rsidRPr="001D77D9" w:rsidR="00E11D6F">
        <w:rPr>
          <w:lang w:val="en-GB"/>
        </w:rPr>
        <w:t xml:space="preserve"> </w:t>
      </w:r>
      <w:r w:rsidRPr="001D77D9" w:rsidR="00DF2200">
        <w:rPr>
          <w:lang w:val="en-GB"/>
        </w:rPr>
        <w:t>Measures</w:t>
      </w:r>
      <w:r w:rsidRPr="001D77D9" w:rsidR="00F4058E">
        <w:rPr>
          <w:lang w:val="en-GB"/>
        </w:rPr>
        <w:t xml:space="preserve"> </w:t>
      </w:r>
      <w:r w:rsidRPr="001D77D9" w:rsidR="00E11D6F">
        <w:rPr>
          <w:lang w:val="en-GB"/>
        </w:rPr>
        <w:t>(</w:t>
      </w:r>
      <w:r w:rsidRPr="001D77D9" w:rsidR="00DF2200">
        <w:rPr>
          <w:lang w:val="en-GB"/>
        </w:rPr>
        <w:t>“</w:t>
      </w:r>
      <w:r w:rsidRPr="001D77D9" w:rsidR="004C7126">
        <w:rPr>
          <w:lang w:val="en-GB"/>
        </w:rPr>
        <w:t>L</w:t>
      </w:r>
      <w:r w:rsidRPr="001D77D9" w:rsidR="00E11D6F">
        <w:rPr>
          <w:lang w:val="en-GB"/>
        </w:rPr>
        <w:t>a</w:t>
      </w:r>
      <w:r w:rsidRPr="001D77D9" w:rsidR="004C7126">
        <w:rPr>
          <w:lang w:val="en-GB"/>
        </w:rPr>
        <w:t>w No. 5275</w:t>
      </w:r>
      <w:r w:rsidRPr="001D77D9" w:rsidR="00DF2200">
        <w:rPr>
          <w:lang w:val="en-GB"/>
        </w:rPr>
        <w:t>”</w:t>
      </w:r>
      <w:r w:rsidRPr="001D77D9" w:rsidR="00E11D6F">
        <w:rPr>
          <w:lang w:val="en-GB"/>
        </w:rPr>
        <w:t xml:space="preserve">), </w:t>
      </w:r>
      <w:r w:rsidRPr="001D77D9" w:rsidR="004C7126">
        <w:rPr>
          <w:lang w:val="en-GB"/>
        </w:rPr>
        <w:t xml:space="preserve">which provides that no </w:t>
      </w:r>
      <w:r w:rsidRPr="001D77D9" w:rsidR="00E11D6F">
        <w:rPr>
          <w:lang w:val="en-GB"/>
        </w:rPr>
        <w:t xml:space="preserve">publication </w:t>
      </w:r>
      <w:r w:rsidRPr="001D77D9" w:rsidR="00DF2200">
        <w:rPr>
          <w:lang w:val="en-GB"/>
        </w:rPr>
        <w:t>containing</w:t>
      </w:r>
      <w:r w:rsidRPr="001D77D9" w:rsidR="004C7126">
        <w:rPr>
          <w:lang w:val="en-GB"/>
        </w:rPr>
        <w:t xml:space="preserve"> information</w:t>
      </w:r>
      <w:r w:rsidRPr="001D77D9" w:rsidR="00E11D6F">
        <w:rPr>
          <w:lang w:val="en-GB"/>
        </w:rPr>
        <w:t xml:space="preserve">, </w:t>
      </w:r>
      <w:r w:rsidRPr="001D77D9" w:rsidR="004C7126">
        <w:rPr>
          <w:lang w:val="en-GB"/>
        </w:rPr>
        <w:t>articles</w:t>
      </w:r>
      <w:r w:rsidRPr="001D77D9" w:rsidR="00E11D6F">
        <w:rPr>
          <w:lang w:val="en-GB"/>
        </w:rPr>
        <w:t xml:space="preserve">, </w:t>
      </w:r>
      <w:r w:rsidRPr="001D77D9" w:rsidR="00DF2200">
        <w:rPr>
          <w:lang w:val="en-GB"/>
        </w:rPr>
        <w:t>photographs</w:t>
      </w:r>
      <w:r w:rsidRPr="001D77D9" w:rsidR="00E11D6F">
        <w:rPr>
          <w:lang w:val="en-GB"/>
        </w:rPr>
        <w:t xml:space="preserve"> </w:t>
      </w:r>
      <w:r w:rsidRPr="001D77D9" w:rsidR="004C7126">
        <w:rPr>
          <w:lang w:val="en-GB"/>
        </w:rPr>
        <w:t>and</w:t>
      </w:r>
      <w:r w:rsidRPr="001D77D9" w:rsidR="00E11D6F">
        <w:rPr>
          <w:lang w:val="en-GB"/>
        </w:rPr>
        <w:t xml:space="preserve"> comment</w:t>
      </w:r>
      <w:r w:rsidRPr="001D77D9" w:rsidR="004C7126">
        <w:rPr>
          <w:lang w:val="en-GB"/>
        </w:rPr>
        <w:t>s which are</w:t>
      </w:r>
      <w:r w:rsidRPr="001D77D9" w:rsidR="00E11D6F">
        <w:rPr>
          <w:lang w:val="en-GB"/>
        </w:rPr>
        <w:t xml:space="preserve"> </w:t>
      </w:r>
      <w:r w:rsidRPr="001D77D9" w:rsidR="00DF2200">
        <w:rPr>
          <w:lang w:val="en-GB"/>
        </w:rPr>
        <w:t>obscene</w:t>
      </w:r>
      <w:r w:rsidRPr="001D77D9" w:rsidR="004C7126">
        <w:rPr>
          <w:lang w:val="en-GB"/>
        </w:rPr>
        <w:t xml:space="preserve"> or liable to jeopardise prison</w:t>
      </w:r>
      <w:r w:rsidRPr="001D77D9" w:rsidR="00E11D6F">
        <w:rPr>
          <w:lang w:val="en-GB"/>
        </w:rPr>
        <w:t xml:space="preserve"> </w:t>
      </w:r>
      <w:r w:rsidRPr="001D77D9" w:rsidR="00DF2200">
        <w:rPr>
          <w:lang w:val="en-GB"/>
        </w:rPr>
        <w:t>security</w:t>
      </w:r>
      <w:r w:rsidRPr="001D77D9" w:rsidR="00E11D6F">
        <w:rPr>
          <w:lang w:val="en-GB"/>
        </w:rPr>
        <w:t xml:space="preserve"> </w:t>
      </w:r>
      <w:r w:rsidRPr="001D77D9" w:rsidR="004C7126">
        <w:rPr>
          <w:lang w:val="en-GB"/>
        </w:rPr>
        <w:t xml:space="preserve">should be delivered to </w:t>
      </w:r>
      <w:r w:rsidRPr="001D77D9" w:rsidR="00E11D6F">
        <w:rPr>
          <w:lang w:val="en-GB"/>
        </w:rPr>
        <w:t>con</w:t>
      </w:r>
      <w:r w:rsidRPr="001D77D9" w:rsidR="004C7126">
        <w:rPr>
          <w:lang w:val="en-GB"/>
        </w:rPr>
        <w:t>victed prisoners</w:t>
      </w:r>
      <w:r w:rsidRPr="001D77D9" w:rsidR="00E11D6F">
        <w:rPr>
          <w:lang w:val="en-GB"/>
        </w:rPr>
        <w:t xml:space="preserve">. </w:t>
      </w:r>
      <w:r w:rsidRPr="001D77D9" w:rsidR="004C7126">
        <w:rPr>
          <w:lang w:val="en-GB"/>
        </w:rPr>
        <w:t>The</w:t>
      </w:r>
      <w:r w:rsidRPr="001D77D9" w:rsidR="00AC4948">
        <w:rPr>
          <w:lang w:val="en-GB"/>
        </w:rPr>
        <w:t xml:space="preserve"> b</w:t>
      </w:r>
      <w:r w:rsidRPr="001D77D9" w:rsidR="00E23874">
        <w:rPr>
          <w:lang w:val="en-GB"/>
        </w:rPr>
        <w:t>oard</w:t>
      </w:r>
      <w:r w:rsidRPr="001D77D9" w:rsidR="00E11D6F">
        <w:rPr>
          <w:lang w:val="en-GB"/>
        </w:rPr>
        <w:t xml:space="preserve"> </w:t>
      </w:r>
      <w:r w:rsidRPr="001D77D9" w:rsidR="00DF2200">
        <w:rPr>
          <w:lang w:val="en-GB"/>
        </w:rPr>
        <w:t>argued</w:t>
      </w:r>
      <w:r w:rsidRPr="001D77D9" w:rsidR="00E23874">
        <w:rPr>
          <w:lang w:val="en-GB"/>
        </w:rPr>
        <w:t xml:space="preserve"> that the non-delivered </w:t>
      </w:r>
      <w:r w:rsidRPr="001D77D9" w:rsidR="00E11D6F">
        <w:rPr>
          <w:lang w:val="en-GB"/>
        </w:rPr>
        <w:t xml:space="preserve">publications </w:t>
      </w:r>
      <w:r w:rsidRPr="001D77D9" w:rsidR="00E23874">
        <w:rPr>
          <w:lang w:val="en-GB"/>
        </w:rPr>
        <w:t>were in the</w:t>
      </w:r>
      <w:r w:rsidRPr="001D77D9" w:rsidR="00E11D6F">
        <w:rPr>
          <w:lang w:val="en-GB"/>
        </w:rPr>
        <w:t xml:space="preserve"> </w:t>
      </w:r>
      <w:r w:rsidRPr="001D77D9" w:rsidR="00DF2200">
        <w:rPr>
          <w:lang w:val="en-GB"/>
        </w:rPr>
        <w:t>Kurdish</w:t>
      </w:r>
      <w:r w:rsidRPr="001D77D9" w:rsidR="00E23874">
        <w:rPr>
          <w:lang w:val="en-GB"/>
        </w:rPr>
        <w:t xml:space="preserve"> language</w:t>
      </w:r>
      <w:r w:rsidRPr="001D77D9" w:rsidR="00E11D6F">
        <w:rPr>
          <w:lang w:val="en-GB"/>
        </w:rPr>
        <w:t>,</w:t>
      </w:r>
      <w:r w:rsidRPr="001D77D9" w:rsidR="00E23874">
        <w:rPr>
          <w:lang w:val="en-GB"/>
        </w:rPr>
        <w:t xml:space="preserve"> that the prison had no staff </w:t>
      </w:r>
      <w:r w:rsidRPr="001D77D9" w:rsidR="00DF2200">
        <w:rPr>
          <w:lang w:val="en-GB"/>
        </w:rPr>
        <w:t>able</w:t>
      </w:r>
      <w:r w:rsidRPr="001D77D9" w:rsidR="00E23874">
        <w:rPr>
          <w:lang w:val="en-GB"/>
        </w:rPr>
        <w:t xml:space="preserve"> to </w:t>
      </w:r>
      <w:r w:rsidRPr="001D77D9" w:rsidR="00DF2200">
        <w:rPr>
          <w:lang w:val="en-GB"/>
        </w:rPr>
        <w:t>understand</w:t>
      </w:r>
      <w:r w:rsidRPr="001D77D9" w:rsidR="00E11D6F">
        <w:rPr>
          <w:lang w:val="en-GB"/>
        </w:rPr>
        <w:t xml:space="preserve"> </w:t>
      </w:r>
      <w:r w:rsidRPr="001D77D9" w:rsidR="00DF2200">
        <w:rPr>
          <w:lang w:val="en-GB"/>
        </w:rPr>
        <w:t>Kurdish</w:t>
      </w:r>
      <w:r w:rsidRPr="001D77D9" w:rsidR="00E11D6F">
        <w:rPr>
          <w:lang w:val="en-GB"/>
        </w:rPr>
        <w:t xml:space="preserve">, </w:t>
      </w:r>
      <w:r w:rsidRPr="001D77D9" w:rsidR="00E23874">
        <w:rPr>
          <w:lang w:val="en-GB"/>
        </w:rPr>
        <w:t>that</w:t>
      </w:r>
      <w:r w:rsidRPr="001D77D9" w:rsidR="001553DE">
        <w:rPr>
          <w:lang w:val="en-GB"/>
        </w:rPr>
        <w:t>,</w:t>
      </w:r>
      <w:r w:rsidRPr="001D77D9" w:rsidR="00E23874">
        <w:rPr>
          <w:lang w:val="en-GB"/>
        </w:rPr>
        <w:t xml:space="preserve"> </w:t>
      </w:r>
      <w:r w:rsidRPr="001D77D9" w:rsidR="00DF2200">
        <w:rPr>
          <w:lang w:val="en-GB"/>
        </w:rPr>
        <w:t>furthermore</w:t>
      </w:r>
      <w:r w:rsidRPr="001D77D9" w:rsidR="001553DE">
        <w:rPr>
          <w:lang w:val="en-GB"/>
        </w:rPr>
        <w:t>,</w:t>
      </w:r>
      <w:r w:rsidRPr="001D77D9" w:rsidR="00E23874">
        <w:rPr>
          <w:lang w:val="en-GB"/>
        </w:rPr>
        <w:t xml:space="preserve"> there were several </w:t>
      </w:r>
      <w:r w:rsidRPr="001D77D9" w:rsidR="00DF2200">
        <w:rPr>
          <w:lang w:val="en-GB"/>
        </w:rPr>
        <w:t>dialects</w:t>
      </w:r>
      <w:r w:rsidRPr="001D77D9" w:rsidR="00E23874">
        <w:rPr>
          <w:lang w:val="en-GB"/>
        </w:rPr>
        <w:t xml:space="preserve"> of that</w:t>
      </w:r>
      <w:r w:rsidRPr="001D77D9" w:rsidR="00E11D6F">
        <w:rPr>
          <w:lang w:val="en-GB"/>
        </w:rPr>
        <w:t xml:space="preserve"> </w:t>
      </w:r>
      <w:r w:rsidRPr="001D77D9" w:rsidR="00DF2200">
        <w:rPr>
          <w:lang w:val="en-GB"/>
        </w:rPr>
        <w:t>language</w:t>
      </w:r>
      <w:r w:rsidRPr="001D77D9" w:rsidR="00E23874">
        <w:rPr>
          <w:lang w:val="en-GB"/>
        </w:rPr>
        <w:t xml:space="preserve"> and that it had therefore been im</w:t>
      </w:r>
      <w:r w:rsidRPr="001D77D9" w:rsidR="00E11D6F">
        <w:rPr>
          <w:lang w:val="en-GB"/>
        </w:rPr>
        <w:t xml:space="preserve">possible </w:t>
      </w:r>
      <w:r w:rsidRPr="001D77D9" w:rsidR="00E23874">
        <w:rPr>
          <w:lang w:val="en-GB"/>
        </w:rPr>
        <w:t>to have the</w:t>
      </w:r>
      <w:r w:rsidRPr="001D77D9" w:rsidR="00E11D6F">
        <w:rPr>
          <w:lang w:val="en-GB"/>
        </w:rPr>
        <w:t xml:space="preserve"> publications</w:t>
      </w:r>
      <w:r w:rsidRPr="001D77D9" w:rsidR="00E23874">
        <w:rPr>
          <w:lang w:val="en-GB"/>
        </w:rPr>
        <w:t xml:space="preserve"> in question </w:t>
      </w:r>
      <w:r w:rsidRPr="001D77D9" w:rsidR="00B50F24">
        <w:rPr>
          <w:lang w:val="en-GB"/>
        </w:rPr>
        <w:t>translat</w:t>
      </w:r>
      <w:r w:rsidRPr="001D77D9" w:rsidR="00E23874">
        <w:rPr>
          <w:lang w:val="en-GB"/>
        </w:rPr>
        <w:t>ed</w:t>
      </w:r>
      <w:r w:rsidRPr="001D77D9" w:rsidR="00E11D6F">
        <w:rPr>
          <w:lang w:val="en-GB"/>
        </w:rPr>
        <w:t xml:space="preserve">. </w:t>
      </w:r>
      <w:r w:rsidRPr="001D77D9" w:rsidR="00515740">
        <w:rPr>
          <w:lang w:val="en-GB"/>
        </w:rPr>
        <w:t>They</w:t>
      </w:r>
      <w:r w:rsidRPr="001D77D9" w:rsidR="00E11D6F">
        <w:rPr>
          <w:lang w:val="en-GB"/>
        </w:rPr>
        <w:t xml:space="preserve"> </w:t>
      </w:r>
      <w:r w:rsidRPr="001D77D9" w:rsidR="00DF2200">
        <w:rPr>
          <w:lang w:val="en-GB"/>
        </w:rPr>
        <w:t>consequently</w:t>
      </w:r>
      <w:r w:rsidRPr="001D77D9" w:rsidR="00515740">
        <w:rPr>
          <w:lang w:val="en-GB"/>
        </w:rPr>
        <w:t xml:space="preserve"> considered it </w:t>
      </w:r>
      <w:r w:rsidRPr="001D77D9" w:rsidR="00DF2200">
        <w:rPr>
          <w:lang w:val="en-GB"/>
        </w:rPr>
        <w:t>impossible</w:t>
      </w:r>
      <w:r w:rsidRPr="001D77D9" w:rsidR="00515740">
        <w:rPr>
          <w:lang w:val="en-GB"/>
        </w:rPr>
        <w:t xml:space="preserve"> to ascertain whether th</w:t>
      </w:r>
      <w:r w:rsidRPr="001D77D9" w:rsidR="00B5746C">
        <w:rPr>
          <w:lang w:val="en-GB"/>
        </w:rPr>
        <w:t>os</w:t>
      </w:r>
      <w:r w:rsidRPr="001D77D9" w:rsidR="00515740">
        <w:rPr>
          <w:lang w:val="en-GB"/>
        </w:rPr>
        <w:t xml:space="preserve">e </w:t>
      </w:r>
      <w:r w:rsidRPr="001D77D9" w:rsidR="00E11D6F">
        <w:rPr>
          <w:lang w:val="en-GB"/>
        </w:rPr>
        <w:t xml:space="preserve">publications </w:t>
      </w:r>
      <w:r w:rsidRPr="001D77D9" w:rsidR="00515740">
        <w:rPr>
          <w:lang w:val="en-GB"/>
        </w:rPr>
        <w:t xml:space="preserve">fulfilled the </w:t>
      </w:r>
      <w:r w:rsidRPr="001D77D9" w:rsidR="00E11D6F">
        <w:rPr>
          <w:lang w:val="en-GB"/>
        </w:rPr>
        <w:t xml:space="preserve">conditions </w:t>
      </w:r>
      <w:r w:rsidRPr="001D77D9" w:rsidR="00515740">
        <w:rPr>
          <w:lang w:val="en-GB"/>
        </w:rPr>
        <w:t xml:space="preserve">laid down in the section of the </w:t>
      </w:r>
      <w:r w:rsidRPr="001D77D9" w:rsidR="002F7EE4">
        <w:rPr>
          <w:lang w:val="en-GB"/>
        </w:rPr>
        <w:t xml:space="preserve">relevant </w:t>
      </w:r>
      <w:r w:rsidRPr="001D77D9" w:rsidR="00E11D6F">
        <w:rPr>
          <w:lang w:val="en-GB"/>
        </w:rPr>
        <w:t>l</w:t>
      </w:r>
      <w:r w:rsidRPr="001D77D9" w:rsidR="00515740">
        <w:rPr>
          <w:lang w:val="en-GB"/>
        </w:rPr>
        <w:t>aw</w:t>
      </w:r>
      <w:r w:rsidRPr="001D77D9" w:rsidR="00E11D6F">
        <w:rPr>
          <w:lang w:val="en-GB"/>
        </w:rPr>
        <w:t>.</w:t>
      </w:r>
    </w:p>
    <w:p w:rsidRPr="001D77D9" w:rsidR="00E11D6F" w:rsidP="00E11D6F" w:rsidRDefault="00E11D6F">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7</w:t>
      </w:r>
      <w:r w:rsidRPr="001D77D9">
        <w:rPr>
          <w:lang w:val="en-GB"/>
        </w:rPr>
        <w:fldChar w:fldCharType="end"/>
      </w:r>
      <w:r w:rsidRPr="001D77D9">
        <w:rPr>
          <w:lang w:val="en-GB"/>
        </w:rPr>
        <w:t>.  </w:t>
      </w:r>
      <w:r w:rsidRPr="001D77D9" w:rsidR="00515740">
        <w:rPr>
          <w:lang w:val="en-GB"/>
        </w:rPr>
        <w:t>On</w:t>
      </w:r>
      <w:r w:rsidRPr="001D77D9">
        <w:rPr>
          <w:lang w:val="en-GB"/>
        </w:rPr>
        <w:t xml:space="preserve"> 28 </w:t>
      </w:r>
      <w:r w:rsidRPr="001D77D9" w:rsidR="00DF2200">
        <w:rPr>
          <w:lang w:val="en-GB"/>
        </w:rPr>
        <w:t>June</w:t>
      </w:r>
      <w:r w:rsidRPr="001D77D9">
        <w:rPr>
          <w:lang w:val="en-GB"/>
        </w:rPr>
        <w:t xml:space="preserve"> 2007</w:t>
      </w:r>
      <w:r w:rsidRPr="001D77D9" w:rsidR="00515740">
        <w:rPr>
          <w:lang w:val="en-GB"/>
        </w:rPr>
        <w:t xml:space="preserve"> </w:t>
      </w:r>
      <w:r w:rsidRPr="001D77D9" w:rsidR="00DF2200">
        <w:rPr>
          <w:lang w:val="en-GB"/>
        </w:rPr>
        <w:t>the</w:t>
      </w:r>
      <w:r w:rsidRPr="001D77D9">
        <w:rPr>
          <w:lang w:val="en-GB"/>
        </w:rPr>
        <w:t xml:space="preserve"> </w:t>
      </w:r>
      <w:r w:rsidRPr="001D77D9" w:rsidR="00515740">
        <w:rPr>
          <w:lang w:val="en-GB"/>
        </w:rPr>
        <w:t>applic</w:t>
      </w:r>
      <w:r w:rsidRPr="001D77D9">
        <w:rPr>
          <w:lang w:val="en-GB"/>
        </w:rPr>
        <w:t xml:space="preserve">ant </w:t>
      </w:r>
      <w:r w:rsidRPr="001D77D9" w:rsidR="00DE05F3">
        <w:rPr>
          <w:lang w:val="en-GB"/>
        </w:rPr>
        <w:t>appealed</w:t>
      </w:r>
      <w:r w:rsidRPr="001D77D9" w:rsidR="0079681A">
        <w:rPr>
          <w:lang w:val="en-GB"/>
        </w:rPr>
        <w:t xml:space="preserve"> against</w:t>
      </w:r>
      <w:r w:rsidRPr="001D77D9" w:rsidR="00515740">
        <w:rPr>
          <w:lang w:val="en-GB"/>
        </w:rPr>
        <w:t xml:space="preserve"> that</w:t>
      </w:r>
      <w:r w:rsidRPr="001D77D9">
        <w:rPr>
          <w:lang w:val="en-GB"/>
        </w:rPr>
        <w:t xml:space="preserve"> </w:t>
      </w:r>
      <w:r w:rsidRPr="001D77D9" w:rsidR="00DF2200">
        <w:rPr>
          <w:lang w:val="en-GB"/>
        </w:rPr>
        <w:t>decision</w:t>
      </w:r>
      <w:r w:rsidRPr="001D77D9">
        <w:rPr>
          <w:lang w:val="en-GB"/>
        </w:rPr>
        <w:t>.</w:t>
      </w:r>
    </w:p>
    <w:p w:rsidRPr="001D77D9" w:rsidR="00E11D6F" w:rsidP="00E11D6F" w:rsidRDefault="00E11D6F">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8</w:t>
      </w:r>
      <w:r w:rsidRPr="001D77D9">
        <w:rPr>
          <w:lang w:val="en-GB"/>
        </w:rPr>
        <w:fldChar w:fldCharType="end"/>
      </w:r>
      <w:r w:rsidRPr="001D77D9">
        <w:rPr>
          <w:lang w:val="en-GB"/>
        </w:rPr>
        <w:t>.  </w:t>
      </w:r>
      <w:r w:rsidRPr="001D77D9" w:rsidR="00515740">
        <w:rPr>
          <w:lang w:val="en-GB"/>
        </w:rPr>
        <w:t>On</w:t>
      </w:r>
      <w:r w:rsidRPr="001D77D9">
        <w:rPr>
          <w:lang w:val="en-GB"/>
        </w:rPr>
        <w:t xml:space="preserve"> 22 </w:t>
      </w:r>
      <w:r w:rsidRPr="001D77D9" w:rsidR="00DF2200">
        <w:rPr>
          <w:lang w:val="en-GB"/>
        </w:rPr>
        <w:t>October</w:t>
      </w:r>
      <w:r w:rsidRPr="001D77D9">
        <w:rPr>
          <w:lang w:val="en-GB"/>
        </w:rPr>
        <w:t xml:space="preserve"> 2007, </w:t>
      </w:r>
      <w:r w:rsidRPr="001D77D9" w:rsidR="00852FB5">
        <w:rPr>
          <w:lang w:val="en-GB"/>
        </w:rPr>
        <w:t xml:space="preserve">ruling </w:t>
      </w:r>
      <w:r w:rsidRPr="001D77D9" w:rsidR="00515740">
        <w:rPr>
          <w:lang w:val="en-GB"/>
        </w:rPr>
        <w:t>on the basis of the case file</w:t>
      </w:r>
      <w:r w:rsidRPr="001D77D9">
        <w:rPr>
          <w:lang w:val="en-GB"/>
        </w:rPr>
        <w:t xml:space="preserve">, </w:t>
      </w:r>
      <w:r w:rsidRPr="001D77D9" w:rsidR="00DF2200">
        <w:rPr>
          <w:lang w:val="en-GB"/>
        </w:rPr>
        <w:t>the</w:t>
      </w:r>
      <w:r w:rsidRPr="001D77D9">
        <w:rPr>
          <w:lang w:val="en-GB"/>
        </w:rPr>
        <w:t xml:space="preserve"> </w:t>
      </w:r>
      <w:proofErr w:type="spellStart"/>
      <w:r w:rsidRPr="001D77D9" w:rsidR="00515740">
        <w:rPr>
          <w:lang w:val="en-GB"/>
        </w:rPr>
        <w:t>Tekirdağ</w:t>
      </w:r>
      <w:proofErr w:type="spellEnd"/>
      <w:r w:rsidRPr="001D77D9" w:rsidR="00515740">
        <w:rPr>
          <w:lang w:val="en-GB"/>
        </w:rPr>
        <w:t xml:space="preserve"> post-sentencing </w:t>
      </w:r>
      <w:r w:rsidRPr="001D77D9" w:rsidR="00DF2200">
        <w:rPr>
          <w:lang w:val="en-GB"/>
        </w:rPr>
        <w:t>judge</w:t>
      </w:r>
      <w:r w:rsidRPr="001D77D9">
        <w:rPr>
          <w:lang w:val="en-GB"/>
        </w:rPr>
        <w:t xml:space="preserve"> </w:t>
      </w:r>
      <w:r w:rsidRPr="001D77D9" w:rsidR="00515740">
        <w:rPr>
          <w:lang w:val="en-GB"/>
        </w:rPr>
        <w:t xml:space="preserve">dismissed that </w:t>
      </w:r>
      <w:r w:rsidRPr="001D77D9" w:rsidR="0079681A">
        <w:rPr>
          <w:lang w:val="en-GB"/>
        </w:rPr>
        <w:t>appeal</w:t>
      </w:r>
      <w:r w:rsidRPr="001D77D9" w:rsidR="00515740">
        <w:rPr>
          <w:lang w:val="en-GB"/>
        </w:rPr>
        <w:t xml:space="preserve">. </w:t>
      </w:r>
      <w:r w:rsidRPr="001D77D9" w:rsidR="00DE05F3">
        <w:rPr>
          <w:lang w:val="en-GB"/>
        </w:rPr>
        <w:t>He adjudicated in the light of the State Prosecutor</w:t>
      </w:r>
      <w:r w:rsidR="00934B09">
        <w:rPr>
          <w:lang w:val="en-GB"/>
        </w:rPr>
        <w:t>’</w:t>
      </w:r>
      <w:r w:rsidRPr="001D77D9" w:rsidR="00DE05F3">
        <w:rPr>
          <w:lang w:val="en-GB"/>
        </w:rPr>
        <w:t xml:space="preserve">s opinion that in order to assess the conformity with section 62 § 3 of </w:t>
      </w:r>
      <w:r w:rsidRPr="001D77D9" w:rsidR="001553DE">
        <w:rPr>
          <w:lang w:val="en-GB"/>
        </w:rPr>
        <w:t>L</w:t>
      </w:r>
      <w:r w:rsidRPr="001D77D9" w:rsidR="00DE05F3">
        <w:rPr>
          <w:lang w:val="en-GB"/>
        </w:rPr>
        <w:t xml:space="preserve">aw </w:t>
      </w:r>
      <w:r w:rsidRPr="001D77D9" w:rsidR="001553DE">
        <w:rPr>
          <w:lang w:val="en-GB"/>
        </w:rPr>
        <w:t xml:space="preserve">No. 5275 </w:t>
      </w:r>
      <w:r w:rsidRPr="001D77D9" w:rsidR="00DE05F3">
        <w:rPr>
          <w:lang w:val="en-GB"/>
        </w:rPr>
        <w:t xml:space="preserve">of publications in a language other than the official language, a translation of those publications </w:t>
      </w:r>
      <w:r w:rsidRPr="001D77D9" w:rsidR="00CB6387">
        <w:rPr>
          <w:lang w:val="en-GB"/>
        </w:rPr>
        <w:t>was</w:t>
      </w:r>
      <w:r w:rsidRPr="001D77D9" w:rsidR="00DE05F3">
        <w:rPr>
          <w:lang w:val="en-GB"/>
        </w:rPr>
        <w:t xml:space="preserve"> required, that there was no legal provision requiring the prison to finance the translation costs, that such expenses had not been covered by the appellant and that </w:t>
      </w:r>
      <w:r w:rsidRPr="001D77D9" w:rsidR="001553DE">
        <w:rPr>
          <w:lang w:val="en-GB"/>
        </w:rPr>
        <w:t xml:space="preserve">consequently, </w:t>
      </w:r>
      <w:r w:rsidRPr="001D77D9" w:rsidR="00DE05F3">
        <w:rPr>
          <w:lang w:val="en-GB"/>
        </w:rPr>
        <w:t xml:space="preserve">the appeal </w:t>
      </w:r>
      <w:r w:rsidRPr="001D77D9" w:rsidR="001553DE">
        <w:rPr>
          <w:lang w:val="en-GB"/>
        </w:rPr>
        <w:t xml:space="preserve">had </w:t>
      </w:r>
      <w:r w:rsidRPr="001D77D9" w:rsidR="00DE05F3">
        <w:rPr>
          <w:lang w:val="en-GB"/>
        </w:rPr>
        <w:t>to be dismissed.</w:t>
      </w:r>
    </w:p>
    <w:p w:rsidRPr="001D77D9" w:rsidR="00E11D6F" w:rsidP="00E11D6F" w:rsidRDefault="00E11D6F">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9</w:t>
      </w:r>
      <w:r w:rsidRPr="001D77D9">
        <w:rPr>
          <w:lang w:val="en-GB"/>
        </w:rPr>
        <w:fldChar w:fldCharType="end"/>
      </w:r>
      <w:r w:rsidRPr="001D77D9">
        <w:rPr>
          <w:lang w:val="en-GB"/>
        </w:rPr>
        <w:t>.  </w:t>
      </w:r>
      <w:r w:rsidRPr="001D77D9" w:rsidR="00A20C42">
        <w:rPr>
          <w:lang w:val="en-GB"/>
        </w:rPr>
        <w:t xml:space="preserve">On 30 October 2007 the applicant applied to have that decision set aside, submitting that the prison administration had suspended the delivery to the prison of the </w:t>
      </w:r>
      <w:proofErr w:type="spellStart"/>
      <w:r w:rsidRPr="001D77D9" w:rsidR="00A20C42">
        <w:rPr>
          <w:i/>
          <w:lang w:val="en-GB"/>
        </w:rPr>
        <w:t>Azadiya</w:t>
      </w:r>
      <w:proofErr w:type="spellEnd"/>
      <w:r w:rsidRPr="001D77D9" w:rsidR="00A20C42">
        <w:rPr>
          <w:i/>
          <w:lang w:val="en-GB"/>
        </w:rPr>
        <w:t xml:space="preserve"> </w:t>
      </w:r>
      <w:proofErr w:type="spellStart"/>
      <w:r w:rsidRPr="001D77D9" w:rsidR="00A20C42">
        <w:rPr>
          <w:i/>
          <w:lang w:val="en-GB"/>
        </w:rPr>
        <w:t>Welat</w:t>
      </w:r>
      <w:proofErr w:type="spellEnd"/>
      <w:r w:rsidRPr="001D77D9" w:rsidR="00A20C42">
        <w:rPr>
          <w:lang w:val="en-GB"/>
        </w:rPr>
        <w:t xml:space="preserve"> newspaper, which </w:t>
      </w:r>
      <w:r w:rsidRPr="001D77D9" w:rsidR="001553DE">
        <w:rPr>
          <w:lang w:val="en-GB"/>
        </w:rPr>
        <w:t>in his</w:t>
      </w:r>
      <w:r w:rsidRPr="001D77D9" w:rsidR="00A20C42">
        <w:rPr>
          <w:lang w:val="en-GB"/>
        </w:rPr>
        <w:t xml:space="preserve"> submi</w:t>
      </w:r>
      <w:r w:rsidRPr="001D77D9" w:rsidR="001553DE">
        <w:rPr>
          <w:lang w:val="en-GB"/>
        </w:rPr>
        <w:t>ssion</w:t>
      </w:r>
      <w:r w:rsidRPr="001D77D9" w:rsidR="00A20C42">
        <w:rPr>
          <w:lang w:val="en-GB"/>
        </w:rPr>
        <w:t xml:space="preserve"> was widely distributed outside the prison, on the ground that it had no staff who understood Kurdish. </w:t>
      </w:r>
      <w:r w:rsidRPr="001D77D9" w:rsidR="00CE64E3">
        <w:rPr>
          <w:lang w:val="en-GB"/>
        </w:rPr>
        <w:t>He requested the setting aside of the post-</w:t>
      </w:r>
      <w:r w:rsidRPr="001D77D9" w:rsidR="00A20C42">
        <w:rPr>
          <w:lang w:val="en-GB"/>
        </w:rPr>
        <w:t>sentencing</w:t>
      </w:r>
      <w:r w:rsidRPr="001D77D9">
        <w:rPr>
          <w:lang w:val="en-GB"/>
        </w:rPr>
        <w:t xml:space="preserve"> </w:t>
      </w:r>
      <w:r w:rsidRPr="001D77D9" w:rsidR="00A20C42">
        <w:rPr>
          <w:lang w:val="en-GB"/>
        </w:rPr>
        <w:t>judge</w:t>
      </w:r>
      <w:r w:rsidR="00934B09">
        <w:rPr>
          <w:lang w:val="en-GB"/>
        </w:rPr>
        <w:t>’</w:t>
      </w:r>
      <w:r w:rsidRPr="001D77D9" w:rsidR="00A20C42">
        <w:rPr>
          <w:lang w:val="en-GB"/>
        </w:rPr>
        <w:t>s</w:t>
      </w:r>
      <w:r w:rsidRPr="001D77D9" w:rsidR="00CE64E3">
        <w:rPr>
          <w:lang w:val="en-GB"/>
        </w:rPr>
        <w:t xml:space="preserve"> decision </w:t>
      </w:r>
      <w:r w:rsidRPr="001D77D9" w:rsidR="00A20C42">
        <w:rPr>
          <w:lang w:val="en-GB"/>
        </w:rPr>
        <w:t>declaring</w:t>
      </w:r>
      <w:r w:rsidRPr="001D77D9" w:rsidR="00CE64E3">
        <w:rPr>
          <w:lang w:val="en-GB"/>
        </w:rPr>
        <w:t xml:space="preserve"> the </w:t>
      </w:r>
      <w:r w:rsidRPr="001D77D9" w:rsidR="00A20C42">
        <w:rPr>
          <w:lang w:val="en-GB"/>
        </w:rPr>
        <w:t>measure</w:t>
      </w:r>
      <w:r w:rsidRPr="001D77D9">
        <w:rPr>
          <w:lang w:val="en-GB"/>
        </w:rPr>
        <w:t xml:space="preserve"> </w:t>
      </w:r>
      <w:r w:rsidRPr="001D77D9" w:rsidR="00CE64E3">
        <w:rPr>
          <w:lang w:val="en-GB"/>
        </w:rPr>
        <w:t>consistent with the</w:t>
      </w:r>
      <w:r w:rsidRPr="001D77D9">
        <w:rPr>
          <w:lang w:val="en-GB"/>
        </w:rPr>
        <w:t xml:space="preserve"> l</w:t>
      </w:r>
      <w:r w:rsidRPr="001D77D9" w:rsidR="00CE64E3">
        <w:rPr>
          <w:lang w:val="en-GB"/>
        </w:rPr>
        <w:t xml:space="preserve">aw, </w:t>
      </w:r>
      <w:r w:rsidRPr="001D77D9" w:rsidR="00A20C42">
        <w:rPr>
          <w:lang w:val="en-GB"/>
        </w:rPr>
        <w:t>because</w:t>
      </w:r>
      <w:r w:rsidRPr="001D77D9" w:rsidR="00CE64E3">
        <w:rPr>
          <w:lang w:val="en-GB"/>
        </w:rPr>
        <w:t xml:space="preserve"> </w:t>
      </w:r>
      <w:r w:rsidRPr="001D77D9" w:rsidR="001B7161">
        <w:rPr>
          <w:lang w:val="en-GB"/>
        </w:rPr>
        <w:t xml:space="preserve">in </w:t>
      </w:r>
      <w:r w:rsidRPr="001D77D9" w:rsidR="00CE64E3">
        <w:rPr>
          <w:lang w:val="en-GB"/>
        </w:rPr>
        <w:t>h</w:t>
      </w:r>
      <w:r w:rsidRPr="001D77D9" w:rsidR="001B7161">
        <w:rPr>
          <w:lang w:val="en-GB"/>
        </w:rPr>
        <w:t>is</w:t>
      </w:r>
      <w:r w:rsidRPr="001D77D9" w:rsidR="00CE64E3">
        <w:rPr>
          <w:lang w:val="en-GB"/>
        </w:rPr>
        <w:t xml:space="preserve"> view that</w:t>
      </w:r>
      <w:r w:rsidRPr="001D77D9">
        <w:rPr>
          <w:lang w:val="en-GB"/>
        </w:rPr>
        <w:t xml:space="preserve"> </w:t>
      </w:r>
      <w:r w:rsidRPr="001D77D9" w:rsidR="00A20C42">
        <w:rPr>
          <w:lang w:val="en-GB"/>
        </w:rPr>
        <w:t>measure</w:t>
      </w:r>
      <w:r w:rsidRPr="001D77D9" w:rsidR="00CE64E3">
        <w:rPr>
          <w:lang w:val="en-GB"/>
        </w:rPr>
        <w:t xml:space="preserve"> would prevent the newspaper from being distributed inside the </w:t>
      </w:r>
      <w:r w:rsidRPr="001D77D9">
        <w:rPr>
          <w:lang w:val="en-GB"/>
        </w:rPr>
        <w:t>prison</w:t>
      </w:r>
      <w:r w:rsidRPr="001D77D9" w:rsidR="00CE64E3">
        <w:rPr>
          <w:lang w:val="en-GB"/>
        </w:rPr>
        <w:t xml:space="preserve">, </w:t>
      </w:r>
      <w:r w:rsidRPr="001D77D9" w:rsidR="001B7161">
        <w:rPr>
          <w:lang w:val="en-GB"/>
        </w:rPr>
        <w:t>as</w:t>
      </w:r>
      <w:r w:rsidRPr="001D77D9" w:rsidR="00CE64E3">
        <w:rPr>
          <w:lang w:val="en-GB"/>
        </w:rPr>
        <w:t xml:space="preserve"> had previously been normal practice</w:t>
      </w:r>
      <w:r w:rsidRPr="001D77D9">
        <w:rPr>
          <w:lang w:val="en-GB"/>
        </w:rPr>
        <w:t>.</w:t>
      </w:r>
    </w:p>
    <w:p w:rsidRPr="001D77D9" w:rsidR="00E11D6F" w:rsidP="00E11D6F" w:rsidRDefault="00E11D6F">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10</w:t>
      </w:r>
      <w:r w:rsidRPr="001D77D9">
        <w:rPr>
          <w:lang w:val="en-GB"/>
        </w:rPr>
        <w:fldChar w:fldCharType="end"/>
      </w:r>
      <w:r w:rsidRPr="001D77D9">
        <w:rPr>
          <w:lang w:val="en-GB"/>
        </w:rPr>
        <w:t>.  </w:t>
      </w:r>
      <w:r w:rsidRPr="001D77D9" w:rsidR="00F942C9">
        <w:rPr>
          <w:lang w:val="en-GB"/>
        </w:rPr>
        <w:t>On</w:t>
      </w:r>
      <w:r w:rsidRPr="001D77D9">
        <w:rPr>
          <w:lang w:val="en-GB"/>
        </w:rPr>
        <w:t xml:space="preserve"> 8 </w:t>
      </w:r>
      <w:r w:rsidRPr="001D77D9" w:rsidR="00A20C42">
        <w:rPr>
          <w:lang w:val="en-GB"/>
        </w:rPr>
        <w:t>November</w:t>
      </w:r>
      <w:r w:rsidRPr="001D77D9">
        <w:rPr>
          <w:lang w:val="en-GB"/>
        </w:rPr>
        <w:t xml:space="preserve"> 2007</w:t>
      </w:r>
      <w:r w:rsidRPr="001D77D9" w:rsidR="00F942C9">
        <w:rPr>
          <w:lang w:val="en-GB"/>
        </w:rPr>
        <w:t xml:space="preserve"> the </w:t>
      </w:r>
      <w:proofErr w:type="spellStart"/>
      <w:r w:rsidRPr="001D77D9" w:rsidR="00F942C9">
        <w:rPr>
          <w:lang w:val="en-GB"/>
        </w:rPr>
        <w:t>Tekirdağ</w:t>
      </w:r>
      <w:proofErr w:type="spellEnd"/>
      <w:r w:rsidRPr="001D77D9" w:rsidR="00F942C9">
        <w:rPr>
          <w:lang w:val="en-GB"/>
        </w:rPr>
        <w:t xml:space="preserve"> </w:t>
      </w:r>
      <w:r w:rsidRPr="001D77D9" w:rsidR="00A20C42">
        <w:rPr>
          <w:lang w:val="en-GB"/>
        </w:rPr>
        <w:t>Assize</w:t>
      </w:r>
      <w:r w:rsidRPr="001D77D9" w:rsidR="00F942C9">
        <w:rPr>
          <w:lang w:val="en-GB"/>
        </w:rPr>
        <w:t xml:space="preserve"> </w:t>
      </w:r>
      <w:r w:rsidRPr="001D77D9" w:rsidR="00A20C42">
        <w:rPr>
          <w:lang w:val="en-GB"/>
        </w:rPr>
        <w:t>Court</w:t>
      </w:r>
      <w:r w:rsidRPr="001D77D9">
        <w:rPr>
          <w:lang w:val="en-GB"/>
        </w:rPr>
        <w:t xml:space="preserve">, </w:t>
      </w:r>
      <w:r w:rsidRPr="001D77D9" w:rsidR="00852FB5">
        <w:rPr>
          <w:lang w:val="en-GB"/>
        </w:rPr>
        <w:t>ruling on the basis of the case file</w:t>
      </w:r>
      <w:r w:rsidRPr="001D77D9" w:rsidR="00F942C9">
        <w:rPr>
          <w:lang w:val="en-GB"/>
        </w:rPr>
        <w:t xml:space="preserve"> </w:t>
      </w:r>
      <w:r w:rsidRPr="001D77D9" w:rsidR="004C75B1">
        <w:rPr>
          <w:lang w:val="en-GB"/>
        </w:rPr>
        <w:t xml:space="preserve">and </w:t>
      </w:r>
      <w:r w:rsidRPr="001D77D9" w:rsidR="00F942C9">
        <w:rPr>
          <w:lang w:val="en-GB"/>
        </w:rPr>
        <w:t xml:space="preserve">having taken cognisance of the State </w:t>
      </w:r>
      <w:r w:rsidRPr="001D77D9" w:rsidR="00A20C42">
        <w:rPr>
          <w:lang w:val="en-GB"/>
        </w:rPr>
        <w:t>Prosecutor</w:t>
      </w:r>
      <w:r w:rsidR="00934B09">
        <w:rPr>
          <w:lang w:val="en-GB"/>
        </w:rPr>
        <w:t>’</w:t>
      </w:r>
      <w:r w:rsidRPr="001D77D9" w:rsidR="00A20C42">
        <w:rPr>
          <w:lang w:val="en-GB"/>
        </w:rPr>
        <w:t>s</w:t>
      </w:r>
      <w:r w:rsidRPr="001D77D9" w:rsidR="00F942C9">
        <w:rPr>
          <w:lang w:val="en-GB"/>
        </w:rPr>
        <w:t xml:space="preserve"> opinion</w:t>
      </w:r>
      <w:r w:rsidRPr="001D77D9">
        <w:rPr>
          <w:lang w:val="en-GB"/>
        </w:rPr>
        <w:t xml:space="preserve">, </w:t>
      </w:r>
      <w:r w:rsidRPr="001D77D9" w:rsidR="00F942C9">
        <w:rPr>
          <w:lang w:val="en-GB" w:eastAsia="fr-FR"/>
        </w:rPr>
        <w:t>concluded that the impugned</w:t>
      </w:r>
      <w:r w:rsidRPr="001D77D9">
        <w:rPr>
          <w:lang w:val="en-GB" w:eastAsia="fr-FR"/>
        </w:rPr>
        <w:t xml:space="preserve"> </w:t>
      </w:r>
      <w:r w:rsidRPr="001D77D9" w:rsidR="00A20C42">
        <w:rPr>
          <w:lang w:val="en-GB" w:eastAsia="fr-FR"/>
        </w:rPr>
        <w:t>decision</w:t>
      </w:r>
      <w:r w:rsidRPr="001D77D9">
        <w:rPr>
          <w:lang w:val="en-GB" w:eastAsia="fr-FR"/>
        </w:rPr>
        <w:t xml:space="preserve"> </w:t>
      </w:r>
      <w:r w:rsidRPr="001D77D9" w:rsidR="00F942C9">
        <w:rPr>
          <w:lang w:val="en-GB" w:eastAsia="fr-FR"/>
        </w:rPr>
        <w:t xml:space="preserve">was not incompatible in </w:t>
      </w:r>
      <w:r w:rsidRPr="001D77D9" w:rsidR="00A20C42">
        <w:rPr>
          <w:lang w:val="en-GB" w:eastAsia="fr-FR"/>
        </w:rPr>
        <w:t>procedural</w:t>
      </w:r>
      <w:r w:rsidRPr="001D77D9" w:rsidR="00F942C9">
        <w:rPr>
          <w:lang w:val="en-GB" w:eastAsia="fr-FR"/>
        </w:rPr>
        <w:t xml:space="preserve"> or legal terms, and </w:t>
      </w:r>
      <w:r w:rsidRPr="001D77D9" w:rsidR="00FD6286">
        <w:rPr>
          <w:lang w:val="en-GB" w:eastAsia="fr-FR"/>
        </w:rPr>
        <w:t>dismissed the application</w:t>
      </w:r>
      <w:r w:rsidRPr="001D77D9">
        <w:rPr>
          <w:lang w:val="en-GB"/>
        </w:rPr>
        <w:t>.</w:t>
      </w:r>
    </w:p>
    <w:p w:rsidRPr="001D77D9" w:rsidR="00A20C42" w:rsidP="00A20C42" w:rsidRDefault="00A20C42">
      <w:pPr>
        <w:pStyle w:val="ECHRHeading2"/>
        <w:rPr>
          <w:lang w:val="en-GB"/>
        </w:rPr>
      </w:pPr>
      <w:r w:rsidRPr="001D77D9">
        <w:rPr>
          <w:lang w:val="en-GB"/>
        </w:rPr>
        <w:t xml:space="preserve">B.  Mr </w:t>
      </w:r>
      <w:proofErr w:type="spellStart"/>
      <w:r w:rsidRPr="001D77D9">
        <w:rPr>
          <w:lang w:val="en-GB"/>
        </w:rPr>
        <w:t>Canar</w:t>
      </w:r>
      <w:proofErr w:type="spellEnd"/>
      <w:r w:rsidRPr="001D77D9">
        <w:rPr>
          <w:lang w:val="en-GB"/>
        </w:rPr>
        <w:t xml:space="preserve"> </w:t>
      </w:r>
      <w:proofErr w:type="spellStart"/>
      <w:r w:rsidRPr="001D77D9">
        <w:rPr>
          <w:lang w:val="en-GB"/>
        </w:rPr>
        <w:t>Yurtsever</w:t>
      </w:r>
      <w:proofErr w:type="spellEnd"/>
      <w:r w:rsidRPr="001D77D9">
        <w:rPr>
          <w:lang w:val="en-GB"/>
        </w:rPr>
        <w:t xml:space="preserve">, Mr Aydın </w:t>
      </w:r>
      <w:proofErr w:type="spellStart"/>
      <w:r w:rsidRPr="001D77D9">
        <w:rPr>
          <w:lang w:val="en-GB"/>
        </w:rPr>
        <w:t>Şaka</w:t>
      </w:r>
      <w:proofErr w:type="spellEnd"/>
      <w:r w:rsidRPr="001D77D9">
        <w:rPr>
          <w:lang w:val="en-GB"/>
        </w:rPr>
        <w:t xml:space="preserve">, Mr </w:t>
      </w:r>
      <w:proofErr w:type="spellStart"/>
      <w:r w:rsidRPr="001D77D9">
        <w:rPr>
          <w:lang w:val="en-GB"/>
        </w:rPr>
        <w:t>Ergin</w:t>
      </w:r>
      <w:proofErr w:type="spellEnd"/>
      <w:r w:rsidRPr="001D77D9">
        <w:rPr>
          <w:lang w:val="en-GB"/>
        </w:rPr>
        <w:t xml:space="preserve"> </w:t>
      </w:r>
      <w:proofErr w:type="spellStart"/>
      <w:r w:rsidRPr="001D77D9">
        <w:rPr>
          <w:lang w:val="en-GB"/>
        </w:rPr>
        <w:t>Atabey</w:t>
      </w:r>
      <w:proofErr w:type="spellEnd"/>
      <w:r w:rsidRPr="001D77D9">
        <w:rPr>
          <w:lang w:val="en-GB"/>
        </w:rPr>
        <w:t xml:space="preserve"> and Mr</w:t>
      </w:r>
      <w:r w:rsidR="00934B09">
        <w:rPr>
          <w:lang w:val="en-GB"/>
        </w:rPr>
        <w:t> </w:t>
      </w:r>
      <w:proofErr w:type="spellStart"/>
      <w:r w:rsidRPr="001D77D9">
        <w:rPr>
          <w:lang w:val="en-GB"/>
        </w:rPr>
        <w:t>Habip</w:t>
      </w:r>
      <w:proofErr w:type="spellEnd"/>
      <w:r w:rsidRPr="001D77D9">
        <w:rPr>
          <w:lang w:val="en-GB"/>
        </w:rPr>
        <w:t xml:space="preserve"> </w:t>
      </w:r>
      <w:proofErr w:type="spellStart"/>
      <w:r w:rsidRPr="001D77D9">
        <w:rPr>
          <w:lang w:val="en-GB"/>
        </w:rPr>
        <w:t>Çiftçi</w:t>
      </w:r>
      <w:proofErr w:type="spellEnd"/>
      <w:r w:rsidRPr="001D77D9">
        <w:rPr>
          <w:lang w:val="en-GB"/>
        </w:rPr>
        <w:t xml:space="preserve"> (application no. 21030/08)</w:t>
      </w:r>
    </w:p>
    <w:p w:rsidRPr="001D77D9" w:rsidR="00A20C42" w:rsidP="00A20C42" w:rsidRDefault="00A20C42">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11</w:t>
      </w:r>
      <w:r w:rsidRPr="001D77D9">
        <w:rPr>
          <w:lang w:val="en-GB"/>
        </w:rPr>
        <w:fldChar w:fldCharType="end"/>
      </w:r>
      <w:r w:rsidRPr="001D77D9">
        <w:rPr>
          <w:lang w:val="en-GB"/>
        </w:rPr>
        <w:t xml:space="preserve">.  The applicants were born in 1982, 1980, 1973 and 1973 respectively. When their </w:t>
      </w:r>
      <w:r w:rsidRPr="001D77D9" w:rsidR="00DD063D">
        <w:rPr>
          <w:lang w:val="en-GB"/>
        </w:rPr>
        <w:t xml:space="preserve">application was lodged </w:t>
      </w:r>
      <w:r w:rsidRPr="001D77D9">
        <w:rPr>
          <w:lang w:val="en-GB"/>
        </w:rPr>
        <w:t>they were held in the F-type prison</w:t>
      </w:r>
      <w:r w:rsidRPr="001D77D9" w:rsidR="00FC257F">
        <w:rPr>
          <w:lang w:val="en-GB"/>
        </w:rPr>
        <w:t xml:space="preserve"> in </w:t>
      </w:r>
      <w:proofErr w:type="spellStart"/>
      <w:r w:rsidRPr="001D77D9" w:rsidR="00FC257F">
        <w:rPr>
          <w:lang w:val="en-GB"/>
        </w:rPr>
        <w:t>Tekirdağ</w:t>
      </w:r>
      <w:proofErr w:type="spellEnd"/>
      <w:r w:rsidRPr="001D77D9">
        <w:rPr>
          <w:lang w:val="en-GB"/>
        </w:rPr>
        <w:t>.</w:t>
      </w:r>
    </w:p>
    <w:p w:rsidRPr="001D77D9" w:rsidR="00A20C42" w:rsidP="00A20C42" w:rsidRDefault="00A20C42">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12</w:t>
      </w:r>
      <w:r w:rsidRPr="001D77D9">
        <w:rPr>
          <w:lang w:val="en-GB"/>
        </w:rPr>
        <w:fldChar w:fldCharType="end"/>
      </w:r>
      <w:r w:rsidRPr="001D77D9">
        <w:rPr>
          <w:lang w:val="en-GB"/>
        </w:rPr>
        <w:t xml:space="preserve">.  On 28 May 2007 the </w:t>
      </w:r>
      <w:proofErr w:type="spellStart"/>
      <w:r w:rsidRPr="001D77D9">
        <w:rPr>
          <w:lang w:val="en-GB"/>
        </w:rPr>
        <w:t>Tekirdağ</w:t>
      </w:r>
      <w:proofErr w:type="spellEnd"/>
      <w:r w:rsidRPr="001D77D9">
        <w:rPr>
          <w:lang w:val="en-GB"/>
        </w:rPr>
        <w:t xml:space="preserve"> prison </w:t>
      </w:r>
      <w:r w:rsidRPr="001D77D9" w:rsidR="00AE07F6">
        <w:rPr>
          <w:lang w:val="en-GB"/>
        </w:rPr>
        <w:t>education board</w:t>
      </w:r>
      <w:r w:rsidRPr="001D77D9">
        <w:rPr>
          <w:lang w:val="en-GB"/>
        </w:rPr>
        <w:t xml:space="preserve">, drawing on section 62 </w:t>
      </w:r>
      <w:r w:rsidRPr="001D77D9" w:rsidR="00C37BDA">
        <w:rPr>
          <w:lang w:val="en-GB"/>
        </w:rPr>
        <w:t xml:space="preserve">of </w:t>
      </w:r>
      <w:r w:rsidRPr="001D77D9">
        <w:rPr>
          <w:lang w:val="en-GB"/>
        </w:rPr>
        <w:t xml:space="preserve">Law No. 5275, </w:t>
      </w:r>
      <w:r w:rsidRPr="001D77D9" w:rsidR="00146EAA">
        <w:rPr>
          <w:lang w:val="en-GB"/>
        </w:rPr>
        <w:t>decided</w:t>
      </w:r>
      <w:r w:rsidRPr="001D77D9" w:rsidR="007966D9">
        <w:rPr>
          <w:lang w:val="en-GB"/>
        </w:rPr>
        <w:t xml:space="preserve"> not to </w:t>
      </w:r>
      <w:r w:rsidRPr="001D77D9" w:rsidR="001B7161">
        <w:rPr>
          <w:lang w:val="en-GB"/>
        </w:rPr>
        <w:t xml:space="preserve">deliver to </w:t>
      </w:r>
      <w:r w:rsidRPr="001D77D9" w:rsidR="007966D9">
        <w:rPr>
          <w:lang w:val="en-GB"/>
        </w:rPr>
        <w:t>the applic</w:t>
      </w:r>
      <w:r w:rsidRPr="001D77D9">
        <w:rPr>
          <w:lang w:val="en-GB"/>
        </w:rPr>
        <w:t xml:space="preserve">ants </w:t>
      </w:r>
      <w:r w:rsidRPr="001D77D9" w:rsidR="007966D9">
        <w:rPr>
          <w:lang w:val="en-GB"/>
        </w:rPr>
        <w:t>the 22, 23</w:t>
      </w:r>
      <w:r w:rsidRPr="001D77D9" w:rsidR="00ED5EEE">
        <w:rPr>
          <w:lang w:val="en-GB"/>
        </w:rPr>
        <w:t>,</w:t>
      </w:r>
      <w:r w:rsidRPr="001D77D9" w:rsidR="007966D9">
        <w:rPr>
          <w:lang w:val="en-GB"/>
        </w:rPr>
        <w:t xml:space="preserve"> 24</w:t>
      </w:r>
      <w:r w:rsidRPr="001D77D9" w:rsidR="00ED5EEE">
        <w:rPr>
          <w:lang w:val="en-GB"/>
        </w:rPr>
        <w:t>, 25, 26, 27</w:t>
      </w:r>
      <w:r w:rsidRPr="001D77D9" w:rsidR="007966D9">
        <w:rPr>
          <w:lang w:val="en-GB"/>
        </w:rPr>
        <w:t xml:space="preserve"> </w:t>
      </w:r>
      <w:r w:rsidRPr="001D77D9" w:rsidR="00ED5EEE">
        <w:rPr>
          <w:lang w:val="en-GB"/>
        </w:rPr>
        <w:t xml:space="preserve">and 28 </w:t>
      </w:r>
      <w:r w:rsidRPr="001D77D9" w:rsidR="007966D9">
        <w:rPr>
          <w:lang w:val="en-GB"/>
        </w:rPr>
        <w:t xml:space="preserve">June 2007 </w:t>
      </w:r>
      <w:r w:rsidRPr="001D77D9" w:rsidR="004E05A7">
        <w:rPr>
          <w:lang w:val="en-GB"/>
        </w:rPr>
        <w:t>edition</w:t>
      </w:r>
      <w:r w:rsidRPr="001D77D9" w:rsidR="007966D9">
        <w:rPr>
          <w:lang w:val="en-GB"/>
        </w:rPr>
        <w:t xml:space="preserve">s of the </w:t>
      </w:r>
      <w:proofErr w:type="spellStart"/>
      <w:r w:rsidRPr="001D77D9" w:rsidR="007966D9">
        <w:rPr>
          <w:i/>
          <w:lang w:val="en-GB"/>
        </w:rPr>
        <w:t>Azadiya</w:t>
      </w:r>
      <w:proofErr w:type="spellEnd"/>
      <w:r w:rsidRPr="001D77D9" w:rsidR="007966D9">
        <w:rPr>
          <w:i/>
          <w:lang w:val="en-GB"/>
        </w:rPr>
        <w:t xml:space="preserve"> </w:t>
      </w:r>
      <w:proofErr w:type="spellStart"/>
      <w:r w:rsidRPr="001D77D9" w:rsidR="007966D9">
        <w:rPr>
          <w:i/>
          <w:lang w:val="en-GB"/>
        </w:rPr>
        <w:t>Welat</w:t>
      </w:r>
      <w:proofErr w:type="spellEnd"/>
      <w:r w:rsidRPr="001D77D9" w:rsidDel="00692BAE" w:rsidR="007966D9">
        <w:rPr>
          <w:lang w:val="en-GB"/>
        </w:rPr>
        <w:t xml:space="preserve"> </w:t>
      </w:r>
      <w:r w:rsidRPr="001D77D9" w:rsidR="007966D9">
        <w:rPr>
          <w:lang w:val="en-GB"/>
        </w:rPr>
        <w:t>daily newspaper on the ground</w:t>
      </w:r>
      <w:r w:rsidRPr="001D77D9" w:rsidR="0025351F">
        <w:rPr>
          <w:lang w:val="en-GB"/>
        </w:rPr>
        <w:t>s</w:t>
      </w:r>
      <w:r w:rsidRPr="001D77D9" w:rsidR="007966D9">
        <w:rPr>
          <w:lang w:val="en-GB"/>
        </w:rPr>
        <w:t xml:space="preserve"> that they were in the Kurdish language and that the prison had no staff </w:t>
      </w:r>
      <w:r w:rsidRPr="001D77D9" w:rsidR="000078D3">
        <w:rPr>
          <w:lang w:val="en-GB"/>
        </w:rPr>
        <w:t>cap</w:t>
      </w:r>
      <w:r w:rsidRPr="001D77D9" w:rsidR="007966D9">
        <w:rPr>
          <w:lang w:val="en-GB"/>
        </w:rPr>
        <w:t>able</w:t>
      </w:r>
      <w:r w:rsidRPr="001D77D9" w:rsidR="00146EAA">
        <w:rPr>
          <w:lang w:val="en-GB"/>
        </w:rPr>
        <w:t xml:space="preserve"> </w:t>
      </w:r>
      <w:r w:rsidRPr="001D77D9" w:rsidR="007966D9">
        <w:rPr>
          <w:lang w:val="en-GB"/>
        </w:rPr>
        <w:t>o</w:t>
      </w:r>
      <w:r w:rsidRPr="001D77D9" w:rsidR="000078D3">
        <w:rPr>
          <w:lang w:val="en-GB"/>
        </w:rPr>
        <w:t>f</w:t>
      </w:r>
      <w:r w:rsidRPr="001D77D9" w:rsidR="007966D9">
        <w:rPr>
          <w:lang w:val="en-GB"/>
        </w:rPr>
        <w:t xml:space="preserve"> </w:t>
      </w:r>
      <w:r w:rsidRPr="001D77D9" w:rsidR="000078D3">
        <w:rPr>
          <w:lang w:val="en-GB"/>
        </w:rPr>
        <w:t>translating</w:t>
      </w:r>
      <w:r w:rsidRPr="001D77D9" w:rsidR="007966D9">
        <w:rPr>
          <w:lang w:val="en-GB"/>
        </w:rPr>
        <w:t xml:space="preserve"> that language</w:t>
      </w:r>
      <w:r w:rsidRPr="001D77D9">
        <w:rPr>
          <w:lang w:val="en-GB"/>
        </w:rPr>
        <w:t>.</w:t>
      </w:r>
    </w:p>
    <w:p w:rsidRPr="001D77D9" w:rsidR="00A20C42" w:rsidP="00A20C42" w:rsidRDefault="00A20C42">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13</w:t>
      </w:r>
      <w:r w:rsidRPr="001D77D9">
        <w:rPr>
          <w:lang w:val="en-GB"/>
        </w:rPr>
        <w:fldChar w:fldCharType="end"/>
      </w:r>
      <w:r w:rsidRPr="001D77D9">
        <w:rPr>
          <w:lang w:val="en-GB"/>
        </w:rPr>
        <w:t>. </w:t>
      </w:r>
      <w:r w:rsidRPr="001D77D9" w:rsidR="00007B3B">
        <w:rPr>
          <w:lang w:val="en-GB"/>
        </w:rPr>
        <w:t xml:space="preserve"> On</w:t>
      </w:r>
      <w:r w:rsidRPr="001D77D9">
        <w:rPr>
          <w:lang w:val="en-GB"/>
        </w:rPr>
        <w:t xml:space="preserve"> 4 </w:t>
      </w:r>
      <w:r w:rsidRPr="001D77D9" w:rsidR="00146EAA">
        <w:rPr>
          <w:lang w:val="en-GB"/>
        </w:rPr>
        <w:t>June</w:t>
      </w:r>
      <w:r w:rsidRPr="001D77D9">
        <w:rPr>
          <w:lang w:val="en-GB"/>
        </w:rPr>
        <w:t xml:space="preserve"> 2007</w:t>
      </w:r>
      <w:r w:rsidRPr="001D77D9" w:rsidR="00007B3B">
        <w:rPr>
          <w:lang w:val="en-GB"/>
        </w:rPr>
        <w:t xml:space="preserve"> the applic</w:t>
      </w:r>
      <w:r w:rsidRPr="001D77D9">
        <w:rPr>
          <w:lang w:val="en-GB"/>
        </w:rPr>
        <w:t xml:space="preserve">ants </w:t>
      </w:r>
      <w:r w:rsidRPr="001D77D9" w:rsidR="00007B3B">
        <w:rPr>
          <w:lang w:val="en-GB"/>
        </w:rPr>
        <w:t xml:space="preserve">appealed against that </w:t>
      </w:r>
      <w:r w:rsidRPr="001D77D9" w:rsidR="00146EAA">
        <w:rPr>
          <w:lang w:val="en-GB"/>
        </w:rPr>
        <w:t>decision</w:t>
      </w:r>
      <w:r w:rsidRPr="001D77D9">
        <w:rPr>
          <w:lang w:val="en-GB"/>
        </w:rPr>
        <w:t>.</w:t>
      </w:r>
    </w:p>
    <w:p w:rsidRPr="001D77D9" w:rsidR="00A20C42" w:rsidP="00A20C42" w:rsidRDefault="00A20C42">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14</w:t>
      </w:r>
      <w:r w:rsidRPr="001D77D9">
        <w:rPr>
          <w:lang w:val="en-GB"/>
        </w:rPr>
        <w:fldChar w:fldCharType="end"/>
      </w:r>
      <w:r w:rsidRPr="001D77D9">
        <w:rPr>
          <w:lang w:val="en-GB"/>
        </w:rPr>
        <w:t>.  </w:t>
      </w:r>
      <w:r w:rsidRPr="001D77D9" w:rsidR="00810B17">
        <w:rPr>
          <w:lang w:val="en-GB"/>
        </w:rPr>
        <w:t>On</w:t>
      </w:r>
      <w:r w:rsidRPr="001D77D9">
        <w:rPr>
          <w:lang w:val="en-GB"/>
        </w:rPr>
        <w:t xml:space="preserve"> 10 </w:t>
      </w:r>
      <w:r w:rsidRPr="001D77D9" w:rsidR="00146EAA">
        <w:rPr>
          <w:lang w:val="en-GB"/>
        </w:rPr>
        <w:t>August</w:t>
      </w:r>
      <w:r w:rsidRPr="001D77D9">
        <w:rPr>
          <w:lang w:val="en-GB"/>
        </w:rPr>
        <w:t xml:space="preserve"> 2007, </w:t>
      </w:r>
      <w:r w:rsidRPr="001D77D9" w:rsidR="00852FB5">
        <w:rPr>
          <w:lang w:val="en-GB"/>
        </w:rPr>
        <w:t xml:space="preserve">ruling </w:t>
      </w:r>
      <w:r w:rsidRPr="001D77D9" w:rsidR="00810B17">
        <w:rPr>
          <w:lang w:val="en-GB"/>
        </w:rPr>
        <w:t xml:space="preserve">on the basis of the State </w:t>
      </w:r>
      <w:r w:rsidRPr="001D77D9" w:rsidR="00146EAA">
        <w:rPr>
          <w:lang w:val="en-GB"/>
        </w:rPr>
        <w:t>Prosecutor</w:t>
      </w:r>
      <w:r w:rsidR="00934B09">
        <w:rPr>
          <w:lang w:val="en-GB"/>
        </w:rPr>
        <w:t>’</w:t>
      </w:r>
      <w:r w:rsidRPr="001D77D9" w:rsidR="00146EAA">
        <w:rPr>
          <w:lang w:val="en-GB"/>
        </w:rPr>
        <w:t>s</w:t>
      </w:r>
      <w:r w:rsidRPr="001D77D9" w:rsidR="00810B17">
        <w:rPr>
          <w:lang w:val="en-GB"/>
        </w:rPr>
        <w:t xml:space="preserve"> opinion that the </w:t>
      </w:r>
      <w:r w:rsidRPr="001D77D9" w:rsidR="00AE07F6">
        <w:rPr>
          <w:lang w:val="en-GB"/>
        </w:rPr>
        <w:t>education board</w:t>
      </w:r>
      <w:r w:rsidR="00934B09">
        <w:rPr>
          <w:lang w:val="en-GB"/>
        </w:rPr>
        <w:t>’</w:t>
      </w:r>
      <w:r w:rsidRPr="001D77D9" w:rsidR="00810B17">
        <w:rPr>
          <w:lang w:val="en-GB"/>
        </w:rPr>
        <w:t xml:space="preserve">s </w:t>
      </w:r>
      <w:r w:rsidRPr="001D77D9" w:rsidR="00146EAA">
        <w:rPr>
          <w:lang w:val="en-GB"/>
        </w:rPr>
        <w:t>decision</w:t>
      </w:r>
      <w:r w:rsidRPr="001D77D9" w:rsidR="00810B17">
        <w:rPr>
          <w:lang w:val="en-GB"/>
        </w:rPr>
        <w:t xml:space="preserve"> had been </w:t>
      </w:r>
      <w:r w:rsidRPr="001D77D9" w:rsidR="00146EAA">
        <w:rPr>
          <w:lang w:val="en-GB"/>
        </w:rPr>
        <w:t>justified</w:t>
      </w:r>
      <w:r w:rsidRPr="001D77D9">
        <w:rPr>
          <w:lang w:val="en-GB"/>
        </w:rPr>
        <w:t xml:space="preserve">, </w:t>
      </w:r>
      <w:r w:rsidRPr="001D77D9" w:rsidR="00146EAA">
        <w:rPr>
          <w:lang w:val="en-GB"/>
        </w:rPr>
        <w:t>the</w:t>
      </w:r>
      <w:r w:rsidRPr="001D77D9">
        <w:rPr>
          <w:lang w:val="en-GB"/>
        </w:rPr>
        <w:t xml:space="preserve"> </w:t>
      </w:r>
      <w:proofErr w:type="spellStart"/>
      <w:r w:rsidRPr="001D77D9">
        <w:rPr>
          <w:lang w:val="en-GB"/>
        </w:rPr>
        <w:t>Tekirdağ</w:t>
      </w:r>
      <w:proofErr w:type="spellEnd"/>
      <w:r w:rsidRPr="001D77D9">
        <w:rPr>
          <w:lang w:val="en-GB"/>
        </w:rPr>
        <w:t xml:space="preserve"> </w:t>
      </w:r>
      <w:r w:rsidRPr="001D77D9" w:rsidR="00810B17">
        <w:rPr>
          <w:lang w:val="en-GB"/>
        </w:rPr>
        <w:t xml:space="preserve">post-sentencing </w:t>
      </w:r>
      <w:r w:rsidRPr="001D77D9" w:rsidR="00146EAA">
        <w:rPr>
          <w:lang w:val="en-GB"/>
        </w:rPr>
        <w:t>judge</w:t>
      </w:r>
      <w:r w:rsidRPr="001D77D9" w:rsidR="00810B17">
        <w:rPr>
          <w:lang w:val="en-GB"/>
        </w:rPr>
        <w:t xml:space="preserve"> dismissed that appeal</w:t>
      </w:r>
      <w:r w:rsidRPr="001D77D9">
        <w:rPr>
          <w:lang w:val="en-GB"/>
        </w:rPr>
        <w:t>.</w:t>
      </w:r>
    </w:p>
    <w:p w:rsidRPr="001D77D9" w:rsidR="00A20C42" w:rsidP="00A20C42" w:rsidRDefault="00A20C42">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15</w:t>
      </w:r>
      <w:r w:rsidRPr="001D77D9">
        <w:rPr>
          <w:lang w:val="en-GB"/>
        </w:rPr>
        <w:fldChar w:fldCharType="end"/>
      </w:r>
      <w:r w:rsidRPr="001D77D9">
        <w:rPr>
          <w:lang w:val="en-GB"/>
        </w:rPr>
        <w:t>.  </w:t>
      </w:r>
      <w:r w:rsidRPr="001D77D9" w:rsidR="00810B17">
        <w:rPr>
          <w:lang w:val="en-GB"/>
        </w:rPr>
        <w:t>On</w:t>
      </w:r>
      <w:r w:rsidRPr="001D77D9">
        <w:rPr>
          <w:lang w:val="en-GB"/>
        </w:rPr>
        <w:t xml:space="preserve"> 21 </w:t>
      </w:r>
      <w:r w:rsidRPr="001D77D9" w:rsidR="00146EAA">
        <w:rPr>
          <w:lang w:val="en-GB"/>
        </w:rPr>
        <w:t>August</w:t>
      </w:r>
      <w:r w:rsidRPr="001D77D9">
        <w:rPr>
          <w:lang w:val="en-GB"/>
        </w:rPr>
        <w:t xml:space="preserve"> 2007</w:t>
      </w:r>
      <w:r w:rsidRPr="001D77D9" w:rsidR="00810B17">
        <w:rPr>
          <w:lang w:val="en-GB"/>
        </w:rPr>
        <w:t xml:space="preserve"> Mr</w:t>
      </w:r>
      <w:r w:rsidRPr="001D77D9">
        <w:rPr>
          <w:lang w:val="en-GB"/>
        </w:rPr>
        <w:t xml:space="preserve"> </w:t>
      </w:r>
      <w:proofErr w:type="spellStart"/>
      <w:r w:rsidRPr="001D77D9">
        <w:rPr>
          <w:lang w:val="en-GB"/>
        </w:rPr>
        <w:t>Atabey</w:t>
      </w:r>
      <w:proofErr w:type="spellEnd"/>
      <w:r w:rsidRPr="001D77D9">
        <w:rPr>
          <w:lang w:val="en-GB"/>
        </w:rPr>
        <w:t xml:space="preserve"> </w:t>
      </w:r>
      <w:r w:rsidRPr="001D77D9" w:rsidR="00810B17">
        <w:rPr>
          <w:lang w:val="en-GB"/>
        </w:rPr>
        <w:t>and Mr</w:t>
      </w:r>
      <w:r w:rsidRPr="001D77D9">
        <w:rPr>
          <w:lang w:val="en-GB"/>
        </w:rPr>
        <w:t xml:space="preserve"> </w:t>
      </w:r>
      <w:proofErr w:type="spellStart"/>
      <w:r w:rsidRPr="001D77D9">
        <w:rPr>
          <w:lang w:val="en-GB"/>
        </w:rPr>
        <w:t>Çiftçi</w:t>
      </w:r>
      <w:proofErr w:type="spellEnd"/>
      <w:r w:rsidRPr="001D77D9">
        <w:rPr>
          <w:lang w:val="en-GB"/>
        </w:rPr>
        <w:t xml:space="preserve"> </w:t>
      </w:r>
      <w:r w:rsidRPr="001D77D9" w:rsidR="00810B17">
        <w:rPr>
          <w:lang w:val="en-GB"/>
        </w:rPr>
        <w:t>and</w:t>
      </w:r>
      <w:r w:rsidRPr="001D77D9">
        <w:rPr>
          <w:lang w:val="en-GB"/>
        </w:rPr>
        <w:t xml:space="preserve"> </w:t>
      </w:r>
      <w:r w:rsidRPr="001D77D9" w:rsidR="00810B17">
        <w:rPr>
          <w:lang w:val="en-GB"/>
        </w:rPr>
        <w:t>on</w:t>
      </w:r>
      <w:r w:rsidRPr="001D77D9">
        <w:rPr>
          <w:lang w:val="en-GB"/>
        </w:rPr>
        <w:t xml:space="preserve"> 23 </w:t>
      </w:r>
      <w:r w:rsidRPr="001D77D9" w:rsidR="00146EAA">
        <w:rPr>
          <w:lang w:val="en-GB"/>
        </w:rPr>
        <w:t>August</w:t>
      </w:r>
      <w:r w:rsidRPr="001D77D9">
        <w:rPr>
          <w:lang w:val="en-GB"/>
        </w:rPr>
        <w:t xml:space="preserve"> 2007 M</w:t>
      </w:r>
      <w:r w:rsidRPr="001D77D9" w:rsidR="00810B17">
        <w:rPr>
          <w:lang w:val="en-GB"/>
        </w:rPr>
        <w:t>r</w:t>
      </w:r>
      <w:r w:rsidRPr="001D77D9">
        <w:rPr>
          <w:lang w:val="en-GB"/>
        </w:rPr>
        <w:t> </w:t>
      </w:r>
      <w:proofErr w:type="spellStart"/>
      <w:r w:rsidRPr="001D77D9">
        <w:rPr>
          <w:lang w:val="en-GB"/>
        </w:rPr>
        <w:t>Yurtsever</w:t>
      </w:r>
      <w:proofErr w:type="spellEnd"/>
      <w:r w:rsidRPr="001D77D9">
        <w:rPr>
          <w:lang w:val="en-GB"/>
        </w:rPr>
        <w:t xml:space="preserve"> </w:t>
      </w:r>
      <w:r w:rsidRPr="001D77D9" w:rsidR="00810B17">
        <w:rPr>
          <w:lang w:val="en-GB"/>
        </w:rPr>
        <w:t xml:space="preserve">and Mr </w:t>
      </w:r>
      <w:proofErr w:type="spellStart"/>
      <w:r w:rsidRPr="001D77D9">
        <w:rPr>
          <w:lang w:val="en-GB"/>
        </w:rPr>
        <w:t>Şaka</w:t>
      </w:r>
      <w:proofErr w:type="spellEnd"/>
      <w:r w:rsidRPr="001D77D9" w:rsidR="00810B17">
        <w:rPr>
          <w:lang w:val="en-GB"/>
        </w:rPr>
        <w:t>,</w:t>
      </w:r>
      <w:r w:rsidRPr="001D77D9">
        <w:rPr>
          <w:lang w:val="en-GB"/>
        </w:rPr>
        <w:t xml:space="preserve"> </w:t>
      </w:r>
      <w:r w:rsidRPr="001D77D9" w:rsidR="00810B17">
        <w:rPr>
          <w:lang w:val="en-GB"/>
        </w:rPr>
        <w:t>applied to have that</w:t>
      </w:r>
      <w:r w:rsidRPr="001D77D9">
        <w:rPr>
          <w:lang w:val="en-GB"/>
        </w:rPr>
        <w:t xml:space="preserve"> </w:t>
      </w:r>
      <w:r w:rsidRPr="001D77D9" w:rsidR="00810B17">
        <w:rPr>
          <w:lang w:val="en-GB"/>
        </w:rPr>
        <w:t>decision set aside</w:t>
      </w:r>
      <w:r w:rsidRPr="001D77D9">
        <w:rPr>
          <w:lang w:val="en-GB"/>
        </w:rPr>
        <w:t>.</w:t>
      </w:r>
    </w:p>
    <w:p w:rsidRPr="001D77D9" w:rsidR="00A20C42" w:rsidP="00A20C42" w:rsidRDefault="00A20C42">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16</w:t>
      </w:r>
      <w:r w:rsidRPr="001D77D9">
        <w:rPr>
          <w:lang w:val="en-GB"/>
        </w:rPr>
        <w:fldChar w:fldCharType="end"/>
      </w:r>
      <w:r w:rsidRPr="001D77D9">
        <w:rPr>
          <w:lang w:val="en-GB"/>
        </w:rPr>
        <w:t>.  </w:t>
      </w:r>
      <w:r w:rsidRPr="001D77D9" w:rsidR="00810B17">
        <w:rPr>
          <w:lang w:val="en-GB"/>
        </w:rPr>
        <w:t>On</w:t>
      </w:r>
      <w:r w:rsidRPr="001D77D9">
        <w:rPr>
          <w:lang w:val="en-GB"/>
        </w:rPr>
        <w:t xml:space="preserve"> 7 </w:t>
      </w:r>
      <w:r w:rsidRPr="001D77D9" w:rsidR="00146EAA">
        <w:rPr>
          <w:lang w:val="en-GB"/>
        </w:rPr>
        <w:t>September</w:t>
      </w:r>
      <w:r w:rsidRPr="001D77D9">
        <w:rPr>
          <w:lang w:val="en-GB"/>
        </w:rPr>
        <w:t xml:space="preserve"> 2007 </w:t>
      </w:r>
      <w:r w:rsidRPr="001D77D9" w:rsidR="00810B17">
        <w:rPr>
          <w:lang w:val="en-GB"/>
        </w:rPr>
        <w:t xml:space="preserve">the </w:t>
      </w:r>
      <w:proofErr w:type="spellStart"/>
      <w:r w:rsidRPr="001D77D9" w:rsidR="00810B17">
        <w:rPr>
          <w:lang w:val="en-GB"/>
        </w:rPr>
        <w:t>Tekirdağ</w:t>
      </w:r>
      <w:proofErr w:type="spellEnd"/>
      <w:r w:rsidRPr="001D77D9" w:rsidR="00810B17">
        <w:rPr>
          <w:lang w:val="en-GB"/>
        </w:rPr>
        <w:t xml:space="preserve"> Assize Court, </w:t>
      </w:r>
      <w:r w:rsidRPr="001D77D9" w:rsidR="00852FB5">
        <w:rPr>
          <w:lang w:val="en-GB"/>
        </w:rPr>
        <w:t>ruling on the basis of the case file</w:t>
      </w:r>
      <w:r w:rsidRPr="001D77D9" w:rsidR="00810B17">
        <w:rPr>
          <w:lang w:val="en-GB"/>
        </w:rPr>
        <w:t xml:space="preserve"> and having taken cognisance of the State Prosecutor</w:t>
      </w:r>
      <w:r w:rsidR="00934B09">
        <w:rPr>
          <w:lang w:val="en-GB"/>
        </w:rPr>
        <w:t>’</w:t>
      </w:r>
      <w:r w:rsidRPr="001D77D9" w:rsidR="00810B17">
        <w:rPr>
          <w:lang w:val="en-GB"/>
        </w:rPr>
        <w:t xml:space="preserve">s opinion, </w:t>
      </w:r>
      <w:r w:rsidRPr="001D77D9" w:rsidR="00810B17">
        <w:rPr>
          <w:lang w:val="en-GB" w:eastAsia="fr-FR"/>
        </w:rPr>
        <w:t xml:space="preserve">dismissed that application on the grounds that the impugned decision </w:t>
      </w:r>
      <w:r w:rsidRPr="001D77D9" w:rsidR="004B3185">
        <w:rPr>
          <w:lang w:val="en-GB" w:eastAsia="fr-FR"/>
        </w:rPr>
        <w:t>had been unobjectiona</w:t>
      </w:r>
      <w:r w:rsidRPr="001D77D9" w:rsidR="00810B17">
        <w:rPr>
          <w:lang w:val="en-GB" w:eastAsia="fr-FR"/>
        </w:rPr>
        <w:t xml:space="preserve">ble in procedural </w:t>
      </w:r>
      <w:r w:rsidRPr="001D77D9" w:rsidR="004B3185">
        <w:rPr>
          <w:lang w:val="en-GB" w:eastAsia="fr-FR"/>
        </w:rPr>
        <w:t xml:space="preserve">and </w:t>
      </w:r>
      <w:r w:rsidRPr="001D77D9" w:rsidR="00810B17">
        <w:rPr>
          <w:lang w:val="en-GB" w:eastAsia="fr-FR"/>
        </w:rPr>
        <w:t>legal terms</w:t>
      </w:r>
      <w:r w:rsidRPr="001D77D9">
        <w:rPr>
          <w:lang w:val="en-GB"/>
        </w:rPr>
        <w:t>.</w:t>
      </w:r>
    </w:p>
    <w:p w:rsidRPr="001D77D9" w:rsidR="00810B17" w:rsidP="00810B17" w:rsidRDefault="00810B17">
      <w:pPr>
        <w:pStyle w:val="ECHRHeading2"/>
        <w:rPr>
          <w:lang w:val="en-GB"/>
        </w:rPr>
      </w:pPr>
      <w:r w:rsidRPr="001D77D9">
        <w:rPr>
          <w:lang w:val="en-GB"/>
        </w:rPr>
        <w:t>C.  M</w:t>
      </w:r>
      <w:r w:rsidRPr="001D77D9" w:rsidR="00313BE3">
        <w:rPr>
          <w:lang w:val="en-GB"/>
        </w:rPr>
        <w:t>r</w:t>
      </w:r>
      <w:r w:rsidRPr="001D77D9">
        <w:rPr>
          <w:lang w:val="en-GB"/>
        </w:rPr>
        <w:t xml:space="preserve"> </w:t>
      </w:r>
      <w:proofErr w:type="spellStart"/>
      <w:r w:rsidRPr="001D77D9">
        <w:rPr>
          <w:lang w:val="en-GB"/>
        </w:rPr>
        <w:t>Mahmut</w:t>
      </w:r>
      <w:proofErr w:type="spellEnd"/>
      <w:r w:rsidRPr="001D77D9">
        <w:rPr>
          <w:lang w:val="en-GB"/>
        </w:rPr>
        <w:t xml:space="preserve"> </w:t>
      </w:r>
      <w:proofErr w:type="spellStart"/>
      <w:r w:rsidRPr="001D77D9">
        <w:rPr>
          <w:lang w:val="en-GB"/>
        </w:rPr>
        <w:t>Cengiz</w:t>
      </w:r>
      <w:proofErr w:type="spellEnd"/>
      <w:r w:rsidRPr="001D77D9">
        <w:rPr>
          <w:lang w:val="en-GB"/>
        </w:rPr>
        <w:t xml:space="preserve"> </w:t>
      </w:r>
      <w:r w:rsidRPr="001D77D9" w:rsidR="00313BE3">
        <w:rPr>
          <w:lang w:val="en-GB"/>
        </w:rPr>
        <w:t>and Mr</w:t>
      </w:r>
      <w:r w:rsidRPr="001D77D9">
        <w:rPr>
          <w:lang w:val="en-GB"/>
        </w:rPr>
        <w:t xml:space="preserve"> Mehmet </w:t>
      </w:r>
      <w:proofErr w:type="spellStart"/>
      <w:r w:rsidRPr="001D77D9">
        <w:rPr>
          <w:lang w:val="en-GB"/>
        </w:rPr>
        <w:t>Ergezen</w:t>
      </w:r>
      <w:proofErr w:type="spellEnd"/>
      <w:r w:rsidRPr="001D77D9">
        <w:rPr>
          <w:lang w:val="en-GB"/>
        </w:rPr>
        <w:t xml:space="preserve"> (</w:t>
      </w:r>
      <w:r w:rsidRPr="001D77D9" w:rsidR="00313BE3">
        <w:rPr>
          <w:lang w:val="en-GB"/>
        </w:rPr>
        <w:t>application</w:t>
      </w:r>
      <w:r w:rsidRPr="001D77D9">
        <w:rPr>
          <w:lang w:val="en-GB"/>
        </w:rPr>
        <w:t xml:space="preserve"> n</w:t>
      </w:r>
      <w:r w:rsidRPr="001D77D9" w:rsidR="00313BE3">
        <w:rPr>
          <w:lang w:val="en-GB"/>
        </w:rPr>
        <w:t>o.</w:t>
      </w:r>
      <w:r w:rsidR="00934B09">
        <w:rPr>
          <w:lang w:val="en-GB"/>
        </w:rPr>
        <w:t> </w:t>
      </w:r>
      <w:r w:rsidRPr="001D77D9">
        <w:rPr>
          <w:lang w:val="en-GB"/>
        </w:rPr>
        <w:t>24309/08)</w:t>
      </w:r>
    </w:p>
    <w:p w:rsidRPr="001D77D9" w:rsidR="00810B17" w:rsidP="00810B17" w:rsidRDefault="00810B17">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17</w:t>
      </w:r>
      <w:r w:rsidRPr="001D77D9">
        <w:rPr>
          <w:lang w:val="en-GB"/>
        </w:rPr>
        <w:fldChar w:fldCharType="end"/>
      </w:r>
      <w:r w:rsidRPr="001D77D9">
        <w:rPr>
          <w:lang w:val="en-GB"/>
        </w:rPr>
        <w:t>.  </w:t>
      </w:r>
      <w:r w:rsidRPr="001D77D9" w:rsidR="00313BE3">
        <w:rPr>
          <w:lang w:val="en-GB"/>
        </w:rPr>
        <w:t>The applic</w:t>
      </w:r>
      <w:r w:rsidRPr="001D77D9">
        <w:rPr>
          <w:lang w:val="en-GB"/>
        </w:rPr>
        <w:t xml:space="preserve">ants </w:t>
      </w:r>
      <w:r w:rsidRPr="001D77D9" w:rsidR="00313BE3">
        <w:rPr>
          <w:lang w:val="en-GB"/>
        </w:rPr>
        <w:t>were born</w:t>
      </w:r>
      <w:r w:rsidRPr="001D77D9">
        <w:rPr>
          <w:lang w:val="en-GB"/>
        </w:rPr>
        <w:t xml:space="preserve"> </w:t>
      </w:r>
      <w:r w:rsidRPr="001D77D9" w:rsidR="00146EAA">
        <w:rPr>
          <w:lang w:val="en-GB"/>
        </w:rPr>
        <w:t>in</w:t>
      </w:r>
      <w:r w:rsidRPr="001D77D9">
        <w:rPr>
          <w:lang w:val="en-GB"/>
        </w:rPr>
        <w:t xml:space="preserve"> 1983. </w:t>
      </w:r>
      <w:r w:rsidRPr="001D77D9" w:rsidR="00313BE3">
        <w:rPr>
          <w:lang w:val="en-GB"/>
        </w:rPr>
        <w:t xml:space="preserve">When their application </w:t>
      </w:r>
      <w:r w:rsidRPr="001D77D9" w:rsidR="00DD063D">
        <w:rPr>
          <w:lang w:val="en-GB"/>
        </w:rPr>
        <w:t xml:space="preserve">was lodged </w:t>
      </w:r>
      <w:r w:rsidRPr="001D77D9" w:rsidR="00313BE3">
        <w:rPr>
          <w:lang w:val="en-GB"/>
        </w:rPr>
        <w:t>they were held in the F-type prison</w:t>
      </w:r>
      <w:r w:rsidRPr="001D77D9" w:rsidR="00FC257F">
        <w:rPr>
          <w:lang w:val="en-GB"/>
        </w:rPr>
        <w:t xml:space="preserve"> in </w:t>
      </w:r>
      <w:proofErr w:type="spellStart"/>
      <w:r w:rsidRPr="001D77D9" w:rsidR="00FC257F">
        <w:rPr>
          <w:lang w:val="en-GB"/>
        </w:rPr>
        <w:t>Tekirdağ</w:t>
      </w:r>
      <w:proofErr w:type="spellEnd"/>
      <w:r w:rsidRPr="001D77D9">
        <w:rPr>
          <w:lang w:val="en-GB"/>
        </w:rPr>
        <w:t>.</w:t>
      </w:r>
    </w:p>
    <w:p w:rsidRPr="001D77D9" w:rsidR="00810B17" w:rsidP="00810B17" w:rsidRDefault="00810B17">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18</w:t>
      </w:r>
      <w:r w:rsidRPr="001D77D9">
        <w:rPr>
          <w:lang w:val="en-GB"/>
        </w:rPr>
        <w:fldChar w:fldCharType="end"/>
      </w:r>
      <w:r w:rsidRPr="001D77D9">
        <w:rPr>
          <w:lang w:val="en-GB"/>
        </w:rPr>
        <w:t>.  </w:t>
      </w:r>
      <w:r w:rsidRPr="001D77D9" w:rsidR="00C37BDA">
        <w:rPr>
          <w:lang w:val="en-GB"/>
        </w:rPr>
        <w:t xml:space="preserve">On </w:t>
      </w:r>
      <w:r w:rsidRPr="001D77D9">
        <w:rPr>
          <w:lang w:val="en-GB"/>
        </w:rPr>
        <w:t xml:space="preserve">9 </w:t>
      </w:r>
      <w:r w:rsidRPr="001D77D9" w:rsidR="00B826EC">
        <w:rPr>
          <w:lang w:val="en-GB"/>
        </w:rPr>
        <w:t>July</w:t>
      </w:r>
      <w:r w:rsidRPr="001D77D9">
        <w:rPr>
          <w:lang w:val="en-GB"/>
        </w:rPr>
        <w:t xml:space="preserve"> 2007 </w:t>
      </w:r>
      <w:r w:rsidRPr="001D77D9" w:rsidR="00C6163B">
        <w:rPr>
          <w:lang w:val="en-GB"/>
        </w:rPr>
        <w:t>the prison</w:t>
      </w:r>
      <w:r w:rsidRPr="001D77D9" w:rsidR="00C37BDA">
        <w:rPr>
          <w:lang w:val="en-GB"/>
        </w:rPr>
        <w:t xml:space="preserve"> </w:t>
      </w:r>
      <w:r w:rsidRPr="001D77D9" w:rsidR="00AE07F6">
        <w:rPr>
          <w:lang w:val="en-GB"/>
        </w:rPr>
        <w:t>education board</w:t>
      </w:r>
      <w:r w:rsidRPr="001D77D9" w:rsidR="00C37BDA">
        <w:rPr>
          <w:lang w:val="en-GB"/>
        </w:rPr>
        <w:t xml:space="preserve"> decided not to deliver the </w:t>
      </w:r>
      <w:r w:rsidRPr="001D77D9" w:rsidR="007E65C8">
        <w:rPr>
          <w:lang w:val="en-GB"/>
        </w:rPr>
        <w:t>2, 3, 4, 5, 6, 7</w:t>
      </w:r>
      <w:r w:rsidRPr="001D77D9" w:rsidR="00C37BDA">
        <w:rPr>
          <w:lang w:val="en-GB"/>
        </w:rPr>
        <w:t xml:space="preserve"> and </w:t>
      </w:r>
      <w:r w:rsidRPr="001D77D9" w:rsidR="007E65C8">
        <w:rPr>
          <w:lang w:val="en-GB"/>
        </w:rPr>
        <w:t>8</w:t>
      </w:r>
      <w:r w:rsidRPr="001D77D9" w:rsidR="00C37BDA">
        <w:rPr>
          <w:lang w:val="en-GB"/>
        </w:rPr>
        <w:t xml:space="preserve"> Ju</w:t>
      </w:r>
      <w:r w:rsidRPr="001D77D9" w:rsidR="007E65C8">
        <w:rPr>
          <w:lang w:val="en-GB"/>
        </w:rPr>
        <w:t>ly</w:t>
      </w:r>
      <w:r w:rsidRPr="001D77D9" w:rsidR="00C37BDA">
        <w:rPr>
          <w:lang w:val="en-GB"/>
        </w:rPr>
        <w:t xml:space="preserve"> 2007 </w:t>
      </w:r>
      <w:r w:rsidRPr="001D77D9" w:rsidR="004E05A7">
        <w:rPr>
          <w:lang w:val="en-GB"/>
        </w:rPr>
        <w:t>edition</w:t>
      </w:r>
      <w:r w:rsidRPr="001D77D9" w:rsidR="00C37BDA">
        <w:rPr>
          <w:lang w:val="en-GB"/>
        </w:rPr>
        <w:t xml:space="preserve">s of the </w:t>
      </w:r>
      <w:proofErr w:type="spellStart"/>
      <w:r w:rsidRPr="001D77D9" w:rsidR="00C37BDA">
        <w:rPr>
          <w:i/>
          <w:lang w:val="en-GB"/>
        </w:rPr>
        <w:t>Azadiya</w:t>
      </w:r>
      <w:proofErr w:type="spellEnd"/>
      <w:r w:rsidRPr="001D77D9" w:rsidR="00C37BDA">
        <w:rPr>
          <w:i/>
          <w:lang w:val="en-GB"/>
        </w:rPr>
        <w:t xml:space="preserve"> </w:t>
      </w:r>
      <w:proofErr w:type="spellStart"/>
      <w:r w:rsidRPr="001D77D9" w:rsidR="00C37BDA">
        <w:rPr>
          <w:i/>
          <w:lang w:val="en-GB"/>
        </w:rPr>
        <w:t>Welat</w:t>
      </w:r>
      <w:proofErr w:type="spellEnd"/>
      <w:r w:rsidRPr="001D77D9" w:rsidDel="00692BAE" w:rsidR="00C37BDA">
        <w:rPr>
          <w:lang w:val="en-GB"/>
        </w:rPr>
        <w:t xml:space="preserve"> </w:t>
      </w:r>
      <w:r w:rsidRPr="001D77D9" w:rsidR="00C37BDA">
        <w:rPr>
          <w:lang w:val="en-GB"/>
        </w:rPr>
        <w:t xml:space="preserve">daily newspaper to the applicants. They based their </w:t>
      </w:r>
      <w:r w:rsidRPr="001D77D9" w:rsidR="00B826EC">
        <w:rPr>
          <w:lang w:val="en-GB"/>
        </w:rPr>
        <w:t>decision</w:t>
      </w:r>
      <w:r w:rsidRPr="001D77D9">
        <w:rPr>
          <w:lang w:val="en-GB"/>
        </w:rPr>
        <w:t xml:space="preserve"> </w:t>
      </w:r>
      <w:r w:rsidRPr="001D77D9" w:rsidR="00C37BDA">
        <w:rPr>
          <w:lang w:val="en-GB"/>
        </w:rPr>
        <w:t>on section</w:t>
      </w:r>
      <w:r w:rsidRPr="001D77D9">
        <w:rPr>
          <w:lang w:val="en-GB"/>
        </w:rPr>
        <w:t xml:space="preserve"> 62 § 3 </w:t>
      </w:r>
      <w:r w:rsidRPr="001D77D9" w:rsidR="00EF5175">
        <w:rPr>
          <w:lang w:val="en-GB"/>
        </w:rPr>
        <w:t>o</w:t>
      </w:r>
      <w:r w:rsidRPr="001D77D9" w:rsidR="00C37BDA">
        <w:rPr>
          <w:lang w:val="en-GB"/>
        </w:rPr>
        <w:t>f Law No.</w:t>
      </w:r>
      <w:r w:rsidRPr="001D77D9">
        <w:rPr>
          <w:lang w:val="en-GB"/>
        </w:rPr>
        <w:t xml:space="preserve"> 5275. </w:t>
      </w:r>
      <w:r w:rsidRPr="001D77D9" w:rsidR="00EF5175">
        <w:rPr>
          <w:lang w:val="en-GB"/>
        </w:rPr>
        <w:t>The Board emphasised that the</w:t>
      </w:r>
      <w:r w:rsidRPr="001D77D9">
        <w:rPr>
          <w:lang w:val="en-GB"/>
        </w:rPr>
        <w:t xml:space="preserve"> publications </w:t>
      </w:r>
      <w:r w:rsidRPr="001D77D9" w:rsidR="00EF5175">
        <w:rPr>
          <w:lang w:val="en-GB"/>
        </w:rPr>
        <w:t>were in</w:t>
      </w:r>
      <w:r w:rsidRPr="001D77D9">
        <w:rPr>
          <w:lang w:val="en-GB"/>
        </w:rPr>
        <w:t xml:space="preserve"> </w:t>
      </w:r>
      <w:r w:rsidRPr="001D77D9" w:rsidR="00B826EC">
        <w:rPr>
          <w:lang w:val="en-GB"/>
        </w:rPr>
        <w:t>Kurdish</w:t>
      </w:r>
      <w:r w:rsidRPr="001D77D9" w:rsidR="00B5746C">
        <w:rPr>
          <w:lang w:val="en-GB"/>
        </w:rPr>
        <w:t xml:space="preserve"> and</w:t>
      </w:r>
      <w:r w:rsidRPr="001D77D9">
        <w:rPr>
          <w:lang w:val="en-GB"/>
        </w:rPr>
        <w:t xml:space="preserve"> </w:t>
      </w:r>
      <w:r w:rsidRPr="001D77D9" w:rsidR="00B5746C">
        <w:rPr>
          <w:lang w:val="en-GB"/>
        </w:rPr>
        <w:t xml:space="preserve">that the prison had no staff </w:t>
      </w:r>
      <w:r w:rsidRPr="001D77D9" w:rsidR="00C6163B">
        <w:rPr>
          <w:lang w:val="en-GB"/>
        </w:rPr>
        <w:t>who understood</w:t>
      </w:r>
      <w:r w:rsidRPr="001D77D9" w:rsidR="00B5746C">
        <w:rPr>
          <w:lang w:val="en-GB"/>
        </w:rPr>
        <w:t xml:space="preserve"> Kurdish, so that, in the Board</w:t>
      </w:r>
      <w:r w:rsidR="00934B09">
        <w:rPr>
          <w:lang w:val="en-GB"/>
        </w:rPr>
        <w:t>’</w:t>
      </w:r>
      <w:r w:rsidRPr="001D77D9" w:rsidR="00B5746C">
        <w:rPr>
          <w:lang w:val="en-GB"/>
        </w:rPr>
        <w:t>s view, it was im</w:t>
      </w:r>
      <w:r w:rsidRPr="001D77D9">
        <w:rPr>
          <w:lang w:val="en-GB"/>
        </w:rPr>
        <w:t xml:space="preserve">possible </w:t>
      </w:r>
      <w:r w:rsidRPr="001D77D9" w:rsidR="00B5746C">
        <w:rPr>
          <w:lang w:val="en-GB"/>
        </w:rPr>
        <w:t xml:space="preserve">to have </w:t>
      </w:r>
      <w:r w:rsidRPr="001D77D9" w:rsidR="00B25736">
        <w:rPr>
          <w:lang w:val="en-GB"/>
        </w:rPr>
        <w:t>books</w:t>
      </w:r>
      <w:r w:rsidRPr="001D77D9" w:rsidR="00B5746C">
        <w:rPr>
          <w:lang w:val="en-GB"/>
        </w:rPr>
        <w:t>, newspapers and magazines in that</w:t>
      </w:r>
      <w:r w:rsidRPr="001D77D9">
        <w:rPr>
          <w:lang w:val="en-GB"/>
        </w:rPr>
        <w:t xml:space="preserve"> </w:t>
      </w:r>
      <w:r w:rsidRPr="001D77D9" w:rsidR="00B25736">
        <w:rPr>
          <w:lang w:val="en-GB"/>
        </w:rPr>
        <w:t>language</w:t>
      </w:r>
      <w:r w:rsidRPr="001D77D9" w:rsidR="00B5746C">
        <w:rPr>
          <w:lang w:val="en-GB"/>
        </w:rPr>
        <w:t xml:space="preserve"> translated </w:t>
      </w:r>
      <w:r w:rsidRPr="001D77D9" w:rsidR="00B25736">
        <w:rPr>
          <w:lang w:val="en-GB"/>
        </w:rPr>
        <w:t>and</w:t>
      </w:r>
      <w:r w:rsidRPr="001D77D9" w:rsidR="00B5746C">
        <w:rPr>
          <w:lang w:val="en-GB"/>
        </w:rPr>
        <w:t>, consequently,</w:t>
      </w:r>
      <w:r w:rsidRPr="001D77D9">
        <w:rPr>
          <w:lang w:val="en-GB"/>
        </w:rPr>
        <w:t xml:space="preserve"> </w:t>
      </w:r>
      <w:r w:rsidRPr="001D77D9" w:rsidR="00B5746C">
        <w:rPr>
          <w:lang w:val="en-GB"/>
        </w:rPr>
        <w:t xml:space="preserve">to ascertain whether </w:t>
      </w:r>
      <w:r w:rsidRPr="001D77D9" w:rsidR="00B25736">
        <w:rPr>
          <w:lang w:val="en-GB"/>
        </w:rPr>
        <w:t>such</w:t>
      </w:r>
      <w:r w:rsidRPr="001D77D9" w:rsidR="00B5746C">
        <w:rPr>
          <w:lang w:val="en-GB"/>
        </w:rPr>
        <w:t xml:space="preserve"> publications fulfilled the conditions </w:t>
      </w:r>
      <w:proofErr w:type="gramStart"/>
      <w:r w:rsidRPr="001D77D9" w:rsidR="00B5746C">
        <w:rPr>
          <w:lang w:val="en-GB"/>
        </w:rPr>
        <w:t>laid</w:t>
      </w:r>
      <w:proofErr w:type="gramEnd"/>
      <w:r w:rsidRPr="001D77D9" w:rsidR="00B5746C">
        <w:rPr>
          <w:lang w:val="en-GB"/>
        </w:rPr>
        <w:t xml:space="preserve"> down in the section of the </w:t>
      </w:r>
      <w:r w:rsidRPr="001D77D9" w:rsidR="002F7EE4">
        <w:rPr>
          <w:lang w:val="en-GB"/>
        </w:rPr>
        <w:t xml:space="preserve">relevant </w:t>
      </w:r>
      <w:r w:rsidRPr="001D77D9" w:rsidR="00B5746C">
        <w:rPr>
          <w:lang w:val="en-GB"/>
        </w:rPr>
        <w:t>law</w:t>
      </w:r>
      <w:r w:rsidRPr="001D77D9">
        <w:rPr>
          <w:lang w:val="en-GB"/>
        </w:rPr>
        <w:t>.</w:t>
      </w:r>
    </w:p>
    <w:p w:rsidRPr="001D77D9" w:rsidR="00810B17" w:rsidP="00810B17" w:rsidRDefault="00810B17">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19</w:t>
      </w:r>
      <w:r w:rsidRPr="001D77D9">
        <w:rPr>
          <w:lang w:val="en-GB"/>
        </w:rPr>
        <w:fldChar w:fldCharType="end"/>
      </w:r>
      <w:r w:rsidRPr="001D77D9">
        <w:rPr>
          <w:lang w:val="en-GB"/>
        </w:rPr>
        <w:t>.  </w:t>
      </w:r>
      <w:r w:rsidRPr="001D77D9" w:rsidR="00B5746C">
        <w:rPr>
          <w:lang w:val="en-GB"/>
        </w:rPr>
        <w:t>On</w:t>
      </w:r>
      <w:r w:rsidRPr="001D77D9">
        <w:rPr>
          <w:lang w:val="en-GB"/>
        </w:rPr>
        <w:t xml:space="preserve"> 10 </w:t>
      </w:r>
      <w:r w:rsidRPr="001D77D9" w:rsidR="00B25736">
        <w:rPr>
          <w:lang w:val="en-GB"/>
        </w:rPr>
        <w:t>July</w:t>
      </w:r>
      <w:r w:rsidRPr="001D77D9">
        <w:rPr>
          <w:lang w:val="en-GB"/>
        </w:rPr>
        <w:t xml:space="preserve"> 2007</w:t>
      </w:r>
      <w:r w:rsidRPr="001D77D9" w:rsidR="00B5746C">
        <w:rPr>
          <w:lang w:val="en-GB"/>
        </w:rPr>
        <w:t xml:space="preserve"> the applic</w:t>
      </w:r>
      <w:r w:rsidRPr="001D77D9">
        <w:rPr>
          <w:lang w:val="en-GB"/>
        </w:rPr>
        <w:t xml:space="preserve">ants </w:t>
      </w:r>
      <w:r w:rsidRPr="001D77D9" w:rsidR="00B25736">
        <w:rPr>
          <w:lang w:val="en-GB"/>
        </w:rPr>
        <w:t>appealed</w:t>
      </w:r>
      <w:r w:rsidRPr="001D77D9" w:rsidR="00B5746C">
        <w:rPr>
          <w:lang w:val="en-GB"/>
        </w:rPr>
        <w:t xml:space="preserve"> against that </w:t>
      </w:r>
      <w:r w:rsidRPr="001D77D9" w:rsidR="00B25736">
        <w:rPr>
          <w:lang w:val="en-GB"/>
        </w:rPr>
        <w:t>decision</w:t>
      </w:r>
      <w:r w:rsidRPr="001D77D9">
        <w:rPr>
          <w:lang w:val="en-GB"/>
        </w:rPr>
        <w:t xml:space="preserve">. </w:t>
      </w:r>
      <w:r w:rsidRPr="001D77D9" w:rsidR="00B25736">
        <w:rPr>
          <w:lang w:val="en-GB"/>
        </w:rPr>
        <w:t xml:space="preserve">In a letter sent the same day to the </w:t>
      </w:r>
      <w:proofErr w:type="spellStart"/>
      <w:r w:rsidRPr="001D77D9" w:rsidR="00B25736">
        <w:rPr>
          <w:lang w:val="en-GB"/>
        </w:rPr>
        <w:t>Tekirdağ</w:t>
      </w:r>
      <w:proofErr w:type="spellEnd"/>
      <w:r w:rsidRPr="001D77D9" w:rsidR="00B25736">
        <w:rPr>
          <w:lang w:val="en-GB"/>
        </w:rPr>
        <w:t xml:space="preserve"> post-sentencing judge, Mr </w:t>
      </w:r>
      <w:proofErr w:type="spellStart"/>
      <w:r w:rsidRPr="001D77D9" w:rsidR="00B25736">
        <w:rPr>
          <w:lang w:val="en-GB"/>
        </w:rPr>
        <w:t>Cengiz</w:t>
      </w:r>
      <w:proofErr w:type="spellEnd"/>
      <w:r w:rsidRPr="001D77D9" w:rsidR="00B25736">
        <w:rPr>
          <w:lang w:val="en-GB"/>
        </w:rPr>
        <w:t xml:space="preserve"> submitted, </w:t>
      </w:r>
      <w:r w:rsidRPr="001D77D9" w:rsidR="00B25736">
        <w:rPr>
          <w:i/>
          <w:lang w:val="en-GB"/>
        </w:rPr>
        <w:t>inter alia</w:t>
      </w:r>
      <w:r w:rsidRPr="001D77D9" w:rsidR="00B25736">
        <w:rPr>
          <w:lang w:val="en-GB"/>
        </w:rPr>
        <w:t xml:space="preserve">, that no seizure order had been made in respect of the </w:t>
      </w:r>
      <w:r w:rsidRPr="001D77D9" w:rsidR="004E05A7">
        <w:rPr>
          <w:lang w:val="en-GB"/>
        </w:rPr>
        <w:t>edition</w:t>
      </w:r>
      <w:r w:rsidRPr="001D77D9" w:rsidR="00B25736">
        <w:rPr>
          <w:lang w:val="en-GB"/>
        </w:rPr>
        <w:t>s of the daily newspaper in question and that it had been absurd to request the translation of the newspaper since it had been on sale nationwide and was subject to s</w:t>
      </w:r>
      <w:r w:rsidRPr="001D77D9" w:rsidR="001F6F1C">
        <w:rPr>
          <w:lang w:val="en-GB"/>
        </w:rPr>
        <w:t>tat</w:t>
      </w:r>
      <w:r w:rsidRPr="001D77D9" w:rsidR="00B25736">
        <w:rPr>
          <w:lang w:val="en-GB"/>
        </w:rPr>
        <w:t>u</w:t>
      </w:r>
      <w:r w:rsidRPr="001D77D9" w:rsidR="001F6F1C">
        <w:rPr>
          <w:lang w:val="en-GB"/>
        </w:rPr>
        <w:t xml:space="preserve">tory </w:t>
      </w:r>
      <w:r w:rsidRPr="001D77D9" w:rsidR="00B25736">
        <w:rPr>
          <w:lang w:val="en-GB"/>
        </w:rPr>
        <w:t>r</w:t>
      </w:r>
      <w:r w:rsidRPr="001D77D9" w:rsidR="001F6F1C">
        <w:rPr>
          <w:lang w:val="en-GB"/>
        </w:rPr>
        <w:t>e</w:t>
      </w:r>
      <w:r w:rsidRPr="001D77D9" w:rsidR="00B25736">
        <w:rPr>
          <w:lang w:val="en-GB"/>
        </w:rPr>
        <w:t>vi</w:t>
      </w:r>
      <w:r w:rsidRPr="001D77D9" w:rsidR="001F6F1C">
        <w:rPr>
          <w:lang w:val="en-GB"/>
        </w:rPr>
        <w:t>ew</w:t>
      </w:r>
      <w:r w:rsidRPr="001D77D9" w:rsidR="00B25736">
        <w:rPr>
          <w:lang w:val="en-GB"/>
        </w:rPr>
        <w:t>. Moreover</w:t>
      </w:r>
      <w:r w:rsidRPr="001D77D9">
        <w:rPr>
          <w:lang w:val="en-GB"/>
        </w:rPr>
        <w:t xml:space="preserve">, </w:t>
      </w:r>
      <w:r w:rsidRPr="001D77D9" w:rsidR="003B7DE4">
        <w:rPr>
          <w:lang w:val="en-GB"/>
        </w:rPr>
        <w:t xml:space="preserve">he </w:t>
      </w:r>
      <w:r w:rsidRPr="001D77D9" w:rsidR="00B25736">
        <w:rPr>
          <w:lang w:val="en-GB"/>
        </w:rPr>
        <w:t>contended</w:t>
      </w:r>
      <w:r w:rsidRPr="001D77D9" w:rsidR="003B7DE4">
        <w:rPr>
          <w:lang w:val="en-GB"/>
        </w:rPr>
        <w:t xml:space="preserve"> that the</w:t>
      </w:r>
      <w:r w:rsidRPr="001D77D9">
        <w:rPr>
          <w:lang w:val="en-GB"/>
        </w:rPr>
        <w:t xml:space="preserve"> </w:t>
      </w:r>
      <w:r w:rsidRPr="001D77D9" w:rsidR="00B25736">
        <w:rPr>
          <w:lang w:val="en-GB"/>
        </w:rPr>
        <w:t>decision</w:t>
      </w:r>
      <w:r w:rsidRPr="001D77D9">
        <w:rPr>
          <w:lang w:val="en-GB"/>
        </w:rPr>
        <w:t xml:space="preserve"> </w:t>
      </w:r>
      <w:r w:rsidRPr="001D77D9" w:rsidR="003B7DE4">
        <w:rPr>
          <w:lang w:val="en-GB"/>
        </w:rPr>
        <w:t>appealed against was</w:t>
      </w:r>
      <w:r w:rsidRPr="001D77D9">
        <w:rPr>
          <w:lang w:val="en-GB"/>
        </w:rPr>
        <w:t xml:space="preserve"> </w:t>
      </w:r>
      <w:r w:rsidRPr="001D77D9" w:rsidR="003B7DE4">
        <w:rPr>
          <w:lang w:val="en-GB"/>
        </w:rPr>
        <w:t>unlawful</w:t>
      </w:r>
      <w:r w:rsidRPr="001D77D9">
        <w:rPr>
          <w:lang w:val="en-GB"/>
        </w:rPr>
        <w:t>.</w:t>
      </w:r>
    </w:p>
    <w:p w:rsidRPr="001D77D9" w:rsidR="00810B17" w:rsidP="00810B17" w:rsidRDefault="00810B17">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20</w:t>
      </w:r>
      <w:r w:rsidRPr="001D77D9">
        <w:rPr>
          <w:lang w:val="en-GB"/>
        </w:rPr>
        <w:fldChar w:fldCharType="end"/>
      </w:r>
      <w:r w:rsidRPr="001D77D9">
        <w:rPr>
          <w:lang w:val="en-GB"/>
        </w:rPr>
        <w:t>.</w:t>
      </w:r>
      <w:r w:rsidR="00934B09">
        <w:rPr>
          <w:lang w:val="en-GB"/>
        </w:rPr>
        <w:t xml:space="preserve"> </w:t>
      </w:r>
      <w:r w:rsidRPr="001D77D9" w:rsidR="003B7DE4">
        <w:rPr>
          <w:lang w:val="en-GB"/>
        </w:rPr>
        <w:t xml:space="preserve">Mr </w:t>
      </w:r>
      <w:proofErr w:type="spellStart"/>
      <w:r w:rsidRPr="001D77D9" w:rsidR="003B7DE4">
        <w:rPr>
          <w:lang w:val="en-GB"/>
        </w:rPr>
        <w:t>Ergezen</w:t>
      </w:r>
      <w:proofErr w:type="spellEnd"/>
      <w:r w:rsidRPr="001D77D9" w:rsidR="003B7DE4">
        <w:rPr>
          <w:lang w:val="en-GB"/>
        </w:rPr>
        <w:t xml:space="preserve"> sent </w:t>
      </w:r>
      <w:r w:rsidRPr="001D77D9" w:rsidR="0085569C">
        <w:rPr>
          <w:lang w:val="en-GB"/>
        </w:rPr>
        <w:t xml:space="preserve">a letter </w:t>
      </w:r>
      <w:r w:rsidRPr="001D77D9" w:rsidR="003B7DE4">
        <w:rPr>
          <w:lang w:val="en-GB"/>
        </w:rPr>
        <w:t>on</w:t>
      </w:r>
      <w:r w:rsidRPr="001D77D9">
        <w:rPr>
          <w:lang w:val="en-GB"/>
        </w:rPr>
        <w:t xml:space="preserve"> 18 </w:t>
      </w:r>
      <w:r w:rsidRPr="001D77D9" w:rsidR="00B25736">
        <w:rPr>
          <w:lang w:val="en-GB"/>
        </w:rPr>
        <w:t>July</w:t>
      </w:r>
      <w:r w:rsidRPr="001D77D9">
        <w:rPr>
          <w:lang w:val="en-GB"/>
        </w:rPr>
        <w:t xml:space="preserve"> 2007 </w:t>
      </w:r>
      <w:r w:rsidRPr="001D77D9" w:rsidR="003B7DE4">
        <w:rPr>
          <w:lang w:val="en-GB"/>
        </w:rPr>
        <w:t xml:space="preserve">to the </w:t>
      </w:r>
      <w:proofErr w:type="spellStart"/>
      <w:r w:rsidRPr="001D77D9" w:rsidR="003B7DE4">
        <w:rPr>
          <w:lang w:val="en-GB"/>
        </w:rPr>
        <w:t>Tekirdağ</w:t>
      </w:r>
      <w:proofErr w:type="spellEnd"/>
      <w:r w:rsidRPr="001D77D9" w:rsidR="003B7DE4">
        <w:rPr>
          <w:lang w:val="en-GB"/>
        </w:rPr>
        <w:t xml:space="preserve"> post</w:t>
      </w:r>
      <w:r w:rsidR="00934B09">
        <w:rPr>
          <w:lang w:val="en-GB"/>
        </w:rPr>
        <w:noBreakHyphen/>
      </w:r>
      <w:r w:rsidRPr="001D77D9" w:rsidR="003B7DE4">
        <w:rPr>
          <w:lang w:val="en-GB"/>
        </w:rPr>
        <w:t>sentencing</w:t>
      </w:r>
      <w:r w:rsidRPr="001D77D9" w:rsidR="00B155FA">
        <w:rPr>
          <w:lang w:val="en-GB"/>
        </w:rPr>
        <w:t xml:space="preserve"> judge</w:t>
      </w:r>
      <w:r w:rsidRPr="001D77D9" w:rsidR="0085569C">
        <w:rPr>
          <w:lang w:val="en-GB"/>
        </w:rPr>
        <w:t xml:space="preserve"> alleging</w:t>
      </w:r>
      <w:r w:rsidRPr="001D77D9" w:rsidR="003B7DE4">
        <w:rPr>
          <w:lang w:val="en-GB"/>
        </w:rPr>
        <w:t xml:space="preserve"> that the ban on delivery of </w:t>
      </w:r>
      <w:r w:rsidRPr="001D77D9">
        <w:rPr>
          <w:lang w:val="en-GB"/>
        </w:rPr>
        <w:t xml:space="preserve">publications </w:t>
      </w:r>
      <w:r w:rsidRPr="001D77D9" w:rsidR="00B25736">
        <w:rPr>
          <w:lang w:val="en-GB"/>
        </w:rPr>
        <w:t>in</w:t>
      </w:r>
      <w:r w:rsidRPr="001D77D9">
        <w:rPr>
          <w:lang w:val="en-GB"/>
        </w:rPr>
        <w:t xml:space="preserve"> </w:t>
      </w:r>
      <w:r w:rsidRPr="001D77D9" w:rsidR="00B25736">
        <w:rPr>
          <w:lang w:val="en-GB"/>
        </w:rPr>
        <w:t>Kurdish</w:t>
      </w:r>
      <w:r w:rsidRPr="001D77D9" w:rsidR="003B7DE4">
        <w:rPr>
          <w:lang w:val="en-GB"/>
        </w:rPr>
        <w:t xml:space="preserve"> to the</w:t>
      </w:r>
      <w:r w:rsidRPr="001D77D9">
        <w:rPr>
          <w:lang w:val="en-GB"/>
        </w:rPr>
        <w:t xml:space="preserve"> prison </w:t>
      </w:r>
      <w:r w:rsidRPr="001D77D9" w:rsidR="003B7DE4">
        <w:rPr>
          <w:lang w:val="en-GB"/>
        </w:rPr>
        <w:t xml:space="preserve">had been lifted </w:t>
      </w:r>
      <w:r w:rsidRPr="001D77D9" w:rsidR="00C6163B">
        <w:rPr>
          <w:lang w:val="en-GB"/>
        </w:rPr>
        <w:t xml:space="preserve">five months previously </w:t>
      </w:r>
      <w:r w:rsidRPr="001D77D9" w:rsidR="003B7DE4">
        <w:rPr>
          <w:lang w:val="en-GB"/>
        </w:rPr>
        <w:t>and that the prison authorities</w:t>
      </w:r>
      <w:r w:rsidR="00934B09">
        <w:rPr>
          <w:lang w:val="en-GB"/>
        </w:rPr>
        <w:t>’</w:t>
      </w:r>
      <w:r w:rsidRPr="001D77D9">
        <w:rPr>
          <w:lang w:val="en-GB"/>
        </w:rPr>
        <w:t xml:space="preserve"> argument </w:t>
      </w:r>
      <w:r w:rsidRPr="001D77D9" w:rsidR="003B7DE4">
        <w:rPr>
          <w:lang w:val="en-GB"/>
        </w:rPr>
        <w:t xml:space="preserve">to the </w:t>
      </w:r>
      <w:r w:rsidRPr="001D77D9" w:rsidR="00B25736">
        <w:rPr>
          <w:lang w:val="en-GB"/>
        </w:rPr>
        <w:t>effect</w:t>
      </w:r>
      <w:r w:rsidRPr="001D77D9" w:rsidR="003B7DE4">
        <w:rPr>
          <w:lang w:val="en-GB"/>
        </w:rPr>
        <w:t xml:space="preserve"> that there had been no staff who understood </w:t>
      </w:r>
      <w:r w:rsidRPr="001D77D9" w:rsidR="00B25736">
        <w:rPr>
          <w:lang w:val="en-GB"/>
        </w:rPr>
        <w:t>Kurdish</w:t>
      </w:r>
      <w:r w:rsidRPr="001D77D9" w:rsidR="003B7DE4">
        <w:rPr>
          <w:lang w:val="en-GB"/>
        </w:rPr>
        <w:t xml:space="preserve"> was implaus</w:t>
      </w:r>
      <w:r w:rsidRPr="001D77D9">
        <w:rPr>
          <w:lang w:val="en-GB"/>
        </w:rPr>
        <w:t xml:space="preserve">ible. </w:t>
      </w:r>
      <w:r w:rsidRPr="001D77D9" w:rsidR="00B25736">
        <w:rPr>
          <w:lang w:val="en-GB"/>
        </w:rPr>
        <w:t>He also stated that the inmates of other F-</w:t>
      </w:r>
      <w:r w:rsidRPr="001D77D9">
        <w:rPr>
          <w:lang w:val="en-GB"/>
        </w:rPr>
        <w:t xml:space="preserve">type </w:t>
      </w:r>
      <w:r w:rsidRPr="001D77D9" w:rsidR="00B25736">
        <w:rPr>
          <w:lang w:val="en-GB"/>
        </w:rPr>
        <w:t>prisons had been</w:t>
      </w:r>
      <w:r w:rsidRPr="001D77D9">
        <w:rPr>
          <w:lang w:val="en-GB"/>
        </w:rPr>
        <w:t xml:space="preserve"> </w:t>
      </w:r>
      <w:r w:rsidRPr="001D77D9" w:rsidR="00B25736">
        <w:rPr>
          <w:lang w:val="en-GB"/>
        </w:rPr>
        <w:t>authorised to</w:t>
      </w:r>
      <w:r w:rsidRPr="001D77D9">
        <w:rPr>
          <w:lang w:val="en-GB"/>
        </w:rPr>
        <w:t xml:space="preserve"> </w:t>
      </w:r>
      <w:r w:rsidRPr="001D77D9" w:rsidR="00B25736">
        <w:rPr>
          <w:lang w:val="en-GB"/>
        </w:rPr>
        <w:t>receive such</w:t>
      </w:r>
      <w:r w:rsidRPr="001D77D9">
        <w:rPr>
          <w:lang w:val="en-GB"/>
        </w:rPr>
        <w:t xml:space="preserve"> publications,</w:t>
      </w:r>
      <w:r w:rsidRPr="001D77D9" w:rsidR="00B25736">
        <w:rPr>
          <w:lang w:val="en-GB"/>
        </w:rPr>
        <w:t xml:space="preserve"> s</w:t>
      </w:r>
      <w:r w:rsidRPr="001D77D9" w:rsidR="004B2FBB">
        <w:rPr>
          <w:lang w:val="en-GB"/>
        </w:rPr>
        <w:t>o</w:t>
      </w:r>
      <w:r w:rsidRPr="001D77D9" w:rsidR="00B25736">
        <w:rPr>
          <w:lang w:val="en-GB"/>
        </w:rPr>
        <w:t xml:space="preserve"> that the prison </w:t>
      </w:r>
      <w:r w:rsidRPr="001D77D9" w:rsidR="00DB63B8">
        <w:rPr>
          <w:lang w:val="en-GB"/>
        </w:rPr>
        <w:t>authorities</w:t>
      </w:r>
      <w:r w:rsidR="00934B09">
        <w:rPr>
          <w:lang w:val="en-GB"/>
        </w:rPr>
        <w:t>’</w:t>
      </w:r>
      <w:r w:rsidRPr="001D77D9">
        <w:rPr>
          <w:lang w:val="en-GB"/>
        </w:rPr>
        <w:t xml:space="preserve"> </w:t>
      </w:r>
      <w:r w:rsidRPr="001D77D9" w:rsidR="00B25736">
        <w:rPr>
          <w:lang w:val="en-GB"/>
        </w:rPr>
        <w:t>practice had to be deemed arbitrary</w:t>
      </w:r>
      <w:r w:rsidRPr="001D77D9">
        <w:rPr>
          <w:lang w:val="en-GB"/>
        </w:rPr>
        <w:t>.</w:t>
      </w:r>
    </w:p>
    <w:p w:rsidRPr="001D77D9" w:rsidR="00810B17" w:rsidP="00810B17" w:rsidRDefault="00810B17">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21</w:t>
      </w:r>
      <w:r w:rsidRPr="001D77D9">
        <w:rPr>
          <w:lang w:val="en-GB"/>
        </w:rPr>
        <w:fldChar w:fldCharType="end"/>
      </w:r>
      <w:r w:rsidRPr="001D77D9">
        <w:rPr>
          <w:lang w:val="en-GB"/>
        </w:rPr>
        <w:t>.  </w:t>
      </w:r>
      <w:r w:rsidRPr="001D77D9" w:rsidR="00B87A83">
        <w:rPr>
          <w:lang w:val="en-GB"/>
        </w:rPr>
        <w:t>On</w:t>
      </w:r>
      <w:r w:rsidRPr="001D77D9">
        <w:rPr>
          <w:lang w:val="en-GB"/>
        </w:rPr>
        <w:t xml:space="preserve"> 23 </w:t>
      </w:r>
      <w:r w:rsidRPr="001D77D9" w:rsidR="00B34936">
        <w:rPr>
          <w:lang w:val="en-GB"/>
        </w:rPr>
        <w:t>October 2007</w:t>
      </w:r>
      <w:r w:rsidRPr="001D77D9" w:rsidR="00B25736">
        <w:rPr>
          <w:lang w:val="en-GB"/>
        </w:rPr>
        <w:t xml:space="preserve"> the </w:t>
      </w:r>
      <w:proofErr w:type="spellStart"/>
      <w:r w:rsidRPr="001D77D9" w:rsidR="00B155FA">
        <w:rPr>
          <w:lang w:val="en-GB"/>
        </w:rPr>
        <w:t>Tekirdağ</w:t>
      </w:r>
      <w:proofErr w:type="spellEnd"/>
      <w:r w:rsidRPr="001D77D9" w:rsidR="00B155FA">
        <w:rPr>
          <w:lang w:val="en-GB"/>
        </w:rPr>
        <w:t xml:space="preserve"> </w:t>
      </w:r>
      <w:r w:rsidRPr="001D77D9" w:rsidR="00B25736">
        <w:rPr>
          <w:lang w:val="en-GB"/>
        </w:rPr>
        <w:t>post-sentencing</w:t>
      </w:r>
      <w:r w:rsidRPr="001D77D9">
        <w:rPr>
          <w:lang w:val="en-GB"/>
        </w:rPr>
        <w:t xml:space="preserve"> </w:t>
      </w:r>
      <w:r w:rsidRPr="001D77D9" w:rsidR="00B25736">
        <w:rPr>
          <w:lang w:val="en-GB"/>
        </w:rPr>
        <w:t>judge dismissed the appeal</w:t>
      </w:r>
      <w:r w:rsidRPr="001D77D9" w:rsidR="00B34936">
        <w:rPr>
          <w:lang w:val="en-GB"/>
        </w:rPr>
        <w:t xml:space="preserve"> on the basis of the case file</w:t>
      </w:r>
      <w:r w:rsidRPr="001D77D9">
        <w:rPr>
          <w:lang w:val="en-GB"/>
        </w:rPr>
        <w:t xml:space="preserve">. </w:t>
      </w:r>
      <w:r w:rsidRPr="001D77D9" w:rsidR="00B87A83">
        <w:rPr>
          <w:lang w:val="en-GB"/>
        </w:rPr>
        <w:t>He adjudicated in the light of the State Prosecutor</w:t>
      </w:r>
      <w:r w:rsidR="00934B09">
        <w:rPr>
          <w:lang w:val="en-GB"/>
        </w:rPr>
        <w:t>’</w:t>
      </w:r>
      <w:r w:rsidRPr="001D77D9" w:rsidR="00B87A83">
        <w:rPr>
          <w:lang w:val="en-GB"/>
        </w:rPr>
        <w:t xml:space="preserve">s opinion that in order to assess the conformity with section 62 § 3 of the </w:t>
      </w:r>
      <w:r w:rsidRPr="001D77D9" w:rsidR="002F7EE4">
        <w:rPr>
          <w:lang w:val="en-GB"/>
        </w:rPr>
        <w:t xml:space="preserve">relevant </w:t>
      </w:r>
      <w:r w:rsidRPr="001D77D9" w:rsidR="00B87A83">
        <w:rPr>
          <w:lang w:val="en-GB"/>
        </w:rPr>
        <w:t>law of publications in a language other than the offi</w:t>
      </w:r>
      <w:r w:rsidRPr="001D77D9" w:rsidR="00A23D5D">
        <w:rPr>
          <w:lang w:val="en-GB"/>
        </w:rPr>
        <w:t>cial language</w:t>
      </w:r>
      <w:r w:rsidRPr="001D77D9" w:rsidR="00B87A83">
        <w:rPr>
          <w:lang w:val="en-GB"/>
        </w:rPr>
        <w:t xml:space="preserve"> a translation of those publications </w:t>
      </w:r>
      <w:r w:rsidRPr="001D77D9" w:rsidR="00CB6387">
        <w:rPr>
          <w:lang w:val="en-GB"/>
        </w:rPr>
        <w:t>was</w:t>
      </w:r>
      <w:r w:rsidRPr="001D77D9" w:rsidR="00B87A83">
        <w:rPr>
          <w:lang w:val="en-GB"/>
        </w:rPr>
        <w:t xml:space="preserve"> required, that there was no legal provision requiring the prison to finance the translation costs, that such expenses had not been covered by the appellant and that </w:t>
      </w:r>
      <w:r w:rsidRPr="001D77D9" w:rsidR="00A23D5D">
        <w:rPr>
          <w:lang w:val="en-GB"/>
        </w:rPr>
        <w:t xml:space="preserve">consequently, </w:t>
      </w:r>
      <w:r w:rsidRPr="001D77D9" w:rsidR="00B87A83">
        <w:rPr>
          <w:lang w:val="en-GB"/>
        </w:rPr>
        <w:t xml:space="preserve">the appeal </w:t>
      </w:r>
      <w:r w:rsidRPr="001D77D9" w:rsidR="00A23D5D">
        <w:rPr>
          <w:lang w:val="en-GB"/>
        </w:rPr>
        <w:t xml:space="preserve">had </w:t>
      </w:r>
      <w:r w:rsidRPr="001D77D9" w:rsidR="00B87A83">
        <w:rPr>
          <w:lang w:val="en-GB"/>
        </w:rPr>
        <w:t>to be dismissed</w:t>
      </w:r>
      <w:r w:rsidRPr="001D77D9">
        <w:rPr>
          <w:lang w:val="en-GB"/>
        </w:rPr>
        <w:t>.</w:t>
      </w:r>
    </w:p>
    <w:p w:rsidRPr="001D77D9" w:rsidR="00102292" w:rsidP="00810B17" w:rsidRDefault="00810B17">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22</w:t>
      </w:r>
      <w:r w:rsidRPr="001D77D9">
        <w:rPr>
          <w:lang w:val="en-GB"/>
        </w:rPr>
        <w:fldChar w:fldCharType="end"/>
      </w:r>
      <w:r w:rsidRPr="001D77D9">
        <w:rPr>
          <w:lang w:val="en-GB"/>
        </w:rPr>
        <w:t>.  </w:t>
      </w:r>
      <w:r w:rsidRPr="001D77D9" w:rsidR="00102292">
        <w:rPr>
          <w:lang w:val="en-GB"/>
        </w:rPr>
        <w:t>On</w:t>
      </w:r>
      <w:r w:rsidRPr="001D77D9">
        <w:rPr>
          <w:lang w:val="en-GB"/>
        </w:rPr>
        <w:t xml:space="preserve"> 1 </w:t>
      </w:r>
      <w:r w:rsidRPr="001D77D9" w:rsidR="00B155FA">
        <w:rPr>
          <w:lang w:val="en-GB"/>
        </w:rPr>
        <w:t>November</w:t>
      </w:r>
      <w:r w:rsidRPr="001D77D9">
        <w:rPr>
          <w:lang w:val="en-GB"/>
        </w:rPr>
        <w:t xml:space="preserve"> 2007</w:t>
      </w:r>
      <w:r w:rsidRPr="001D77D9" w:rsidR="00102292">
        <w:rPr>
          <w:lang w:val="en-GB"/>
        </w:rPr>
        <w:t xml:space="preserve"> the applic</w:t>
      </w:r>
      <w:r w:rsidRPr="001D77D9">
        <w:rPr>
          <w:lang w:val="en-GB"/>
        </w:rPr>
        <w:t xml:space="preserve">ants </w:t>
      </w:r>
      <w:r w:rsidRPr="001D77D9" w:rsidR="00102292">
        <w:rPr>
          <w:lang w:val="en-GB"/>
        </w:rPr>
        <w:t>appealed against that</w:t>
      </w:r>
      <w:r w:rsidRPr="001D77D9">
        <w:rPr>
          <w:lang w:val="en-GB"/>
        </w:rPr>
        <w:t xml:space="preserve"> </w:t>
      </w:r>
      <w:r w:rsidRPr="001D77D9" w:rsidR="00B155FA">
        <w:rPr>
          <w:lang w:val="en-GB"/>
        </w:rPr>
        <w:t>decision</w:t>
      </w:r>
      <w:r w:rsidRPr="001D77D9">
        <w:rPr>
          <w:lang w:val="en-GB"/>
        </w:rPr>
        <w:t>. M</w:t>
      </w:r>
      <w:r w:rsidRPr="001D77D9" w:rsidR="00102292">
        <w:rPr>
          <w:lang w:val="en-GB"/>
        </w:rPr>
        <w:t>r</w:t>
      </w:r>
      <w:r w:rsidRPr="001D77D9">
        <w:rPr>
          <w:lang w:val="en-GB"/>
        </w:rPr>
        <w:t xml:space="preserve"> </w:t>
      </w:r>
      <w:proofErr w:type="spellStart"/>
      <w:r w:rsidRPr="001D77D9">
        <w:rPr>
          <w:lang w:val="en-GB"/>
        </w:rPr>
        <w:t>Ergezen</w:t>
      </w:r>
      <w:proofErr w:type="spellEnd"/>
      <w:r w:rsidRPr="001D77D9">
        <w:rPr>
          <w:lang w:val="en-GB"/>
        </w:rPr>
        <w:t xml:space="preserve"> </w:t>
      </w:r>
      <w:r w:rsidRPr="001D77D9" w:rsidR="00102292">
        <w:rPr>
          <w:lang w:val="en-GB"/>
        </w:rPr>
        <w:t xml:space="preserve">requested the </w:t>
      </w:r>
      <w:r w:rsidRPr="001D77D9" w:rsidR="00B155FA">
        <w:rPr>
          <w:lang w:val="en-GB"/>
        </w:rPr>
        <w:t>lifting</w:t>
      </w:r>
      <w:r w:rsidRPr="001D77D9" w:rsidR="00102292">
        <w:rPr>
          <w:lang w:val="en-GB"/>
        </w:rPr>
        <w:t xml:space="preserve"> of the prohibi</w:t>
      </w:r>
      <w:r w:rsidRPr="001D77D9">
        <w:rPr>
          <w:lang w:val="en-GB"/>
        </w:rPr>
        <w:t xml:space="preserve">tion </w:t>
      </w:r>
      <w:r w:rsidRPr="001D77D9" w:rsidR="00102292">
        <w:rPr>
          <w:lang w:val="en-GB"/>
        </w:rPr>
        <w:t>in issue</w:t>
      </w:r>
      <w:r w:rsidRPr="001D77D9">
        <w:rPr>
          <w:lang w:val="en-GB"/>
        </w:rPr>
        <w:t>. M</w:t>
      </w:r>
      <w:r w:rsidRPr="001D77D9" w:rsidR="00102292">
        <w:rPr>
          <w:lang w:val="en-GB"/>
        </w:rPr>
        <w:t>r</w:t>
      </w:r>
      <w:r w:rsidRPr="001D77D9">
        <w:rPr>
          <w:lang w:val="en-GB"/>
        </w:rPr>
        <w:t> </w:t>
      </w:r>
      <w:proofErr w:type="spellStart"/>
      <w:r w:rsidRPr="001D77D9">
        <w:rPr>
          <w:lang w:val="en-GB"/>
        </w:rPr>
        <w:t>Cengiz</w:t>
      </w:r>
      <w:proofErr w:type="spellEnd"/>
      <w:r w:rsidRPr="001D77D9">
        <w:rPr>
          <w:lang w:val="en-GB"/>
        </w:rPr>
        <w:t xml:space="preserve"> </w:t>
      </w:r>
      <w:r w:rsidRPr="001D77D9" w:rsidR="00102292">
        <w:rPr>
          <w:lang w:val="en-GB"/>
        </w:rPr>
        <w:t>submitted that the newspaper i</w:t>
      </w:r>
      <w:r w:rsidRPr="001D77D9">
        <w:rPr>
          <w:lang w:val="en-GB"/>
        </w:rPr>
        <w:t xml:space="preserve">n question </w:t>
      </w:r>
      <w:r w:rsidRPr="001D77D9" w:rsidR="00102292">
        <w:rPr>
          <w:lang w:val="en-GB"/>
        </w:rPr>
        <w:t xml:space="preserve">had </w:t>
      </w:r>
      <w:r w:rsidRPr="001D77D9" w:rsidR="00B155FA">
        <w:rPr>
          <w:lang w:val="en-GB"/>
        </w:rPr>
        <w:t>been</w:t>
      </w:r>
      <w:r w:rsidRPr="001D77D9">
        <w:rPr>
          <w:lang w:val="en-GB"/>
        </w:rPr>
        <w:t xml:space="preserve"> distribu</w:t>
      </w:r>
      <w:r w:rsidRPr="001D77D9" w:rsidR="00102292">
        <w:rPr>
          <w:lang w:val="en-GB"/>
        </w:rPr>
        <w:t xml:space="preserve">ted under the supervision of the </w:t>
      </w:r>
      <w:r w:rsidRPr="001D77D9" w:rsidR="00B155FA">
        <w:rPr>
          <w:lang w:val="en-GB"/>
        </w:rPr>
        <w:t>Prosecutor</w:t>
      </w:r>
      <w:r w:rsidRPr="001D77D9">
        <w:rPr>
          <w:lang w:val="en-GB"/>
        </w:rPr>
        <w:t xml:space="preserve"> </w:t>
      </w:r>
      <w:r w:rsidRPr="001D77D9" w:rsidR="00102292">
        <w:rPr>
          <w:lang w:val="en-GB"/>
        </w:rPr>
        <w:t>responsible for the</w:t>
      </w:r>
      <w:r w:rsidRPr="001D77D9">
        <w:rPr>
          <w:lang w:val="en-GB"/>
        </w:rPr>
        <w:t xml:space="preserve"> </w:t>
      </w:r>
      <w:r w:rsidRPr="001D77D9" w:rsidR="00B155FA">
        <w:rPr>
          <w:lang w:val="en-GB"/>
        </w:rPr>
        <w:t>press</w:t>
      </w:r>
      <w:r w:rsidRPr="001D77D9" w:rsidR="00102292">
        <w:rPr>
          <w:lang w:val="en-GB"/>
        </w:rPr>
        <w:t xml:space="preserve"> and that the lack of any judicial </w:t>
      </w:r>
      <w:r w:rsidRPr="001D77D9" w:rsidR="00B155FA">
        <w:rPr>
          <w:lang w:val="en-GB"/>
        </w:rPr>
        <w:t>proceedings</w:t>
      </w:r>
      <w:r w:rsidRPr="001D77D9">
        <w:rPr>
          <w:lang w:val="en-GB"/>
        </w:rPr>
        <w:t xml:space="preserve"> </w:t>
      </w:r>
      <w:r w:rsidRPr="001D77D9" w:rsidR="00102292">
        <w:rPr>
          <w:lang w:val="en-GB"/>
        </w:rPr>
        <w:t xml:space="preserve">or seizure </w:t>
      </w:r>
      <w:r w:rsidRPr="001D77D9" w:rsidR="00B155FA">
        <w:rPr>
          <w:lang w:val="en-GB"/>
        </w:rPr>
        <w:t>order</w:t>
      </w:r>
      <w:r w:rsidRPr="001D77D9" w:rsidR="00102292">
        <w:rPr>
          <w:lang w:val="en-GB"/>
        </w:rPr>
        <w:t xml:space="preserve"> in respect of the newspaper </w:t>
      </w:r>
      <w:r w:rsidRPr="001D77D9" w:rsidR="00B155FA">
        <w:rPr>
          <w:lang w:val="en-GB"/>
        </w:rPr>
        <w:t>demonstrated</w:t>
      </w:r>
      <w:r w:rsidRPr="001D77D9" w:rsidR="00102292">
        <w:rPr>
          <w:lang w:val="en-GB"/>
        </w:rPr>
        <w:t xml:space="preserve"> that </w:t>
      </w:r>
      <w:r w:rsidRPr="001D77D9">
        <w:rPr>
          <w:lang w:val="en-GB"/>
        </w:rPr>
        <w:t xml:space="preserve">it </w:t>
      </w:r>
      <w:r w:rsidRPr="001D77D9" w:rsidR="00D349D3">
        <w:rPr>
          <w:lang w:val="en-GB"/>
        </w:rPr>
        <w:t>was unobjectionable</w:t>
      </w:r>
      <w:r w:rsidRPr="001D77D9">
        <w:rPr>
          <w:lang w:val="en-GB"/>
        </w:rPr>
        <w:t xml:space="preserve">. </w:t>
      </w:r>
      <w:r w:rsidRPr="001D77D9" w:rsidR="00102292">
        <w:rPr>
          <w:lang w:val="en-GB"/>
        </w:rPr>
        <w:t xml:space="preserve">He therefore considered that </w:t>
      </w:r>
      <w:r w:rsidRPr="001D77D9" w:rsidR="00B155FA">
        <w:rPr>
          <w:lang w:val="en-GB"/>
        </w:rPr>
        <w:t>access</w:t>
      </w:r>
      <w:r w:rsidRPr="001D77D9" w:rsidR="00102292">
        <w:rPr>
          <w:lang w:val="en-GB"/>
        </w:rPr>
        <w:t xml:space="preserve"> should be </w:t>
      </w:r>
      <w:r w:rsidRPr="001D77D9" w:rsidR="00B155FA">
        <w:rPr>
          <w:lang w:val="en-GB"/>
        </w:rPr>
        <w:t>permitted</w:t>
      </w:r>
      <w:r w:rsidRPr="001D77D9" w:rsidR="00102292">
        <w:rPr>
          <w:lang w:val="en-GB"/>
        </w:rPr>
        <w:t xml:space="preserve"> to the publication.</w:t>
      </w:r>
    </w:p>
    <w:p w:rsidRPr="001D77D9" w:rsidR="00810B17" w:rsidP="00810B17" w:rsidRDefault="00810B17">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23</w:t>
      </w:r>
      <w:r w:rsidRPr="001D77D9">
        <w:rPr>
          <w:lang w:val="en-GB"/>
        </w:rPr>
        <w:fldChar w:fldCharType="end"/>
      </w:r>
      <w:r w:rsidRPr="001D77D9">
        <w:rPr>
          <w:lang w:val="en-GB"/>
        </w:rPr>
        <w:t>.  </w:t>
      </w:r>
      <w:r w:rsidRPr="001D77D9" w:rsidR="004B3185">
        <w:rPr>
          <w:lang w:val="en-GB"/>
        </w:rPr>
        <w:t>On</w:t>
      </w:r>
      <w:r w:rsidRPr="001D77D9">
        <w:rPr>
          <w:lang w:val="en-GB"/>
        </w:rPr>
        <w:t xml:space="preserve"> 8 </w:t>
      </w:r>
      <w:r w:rsidRPr="001D77D9" w:rsidR="00B155FA">
        <w:rPr>
          <w:lang w:val="en-GB"/>
        </w:rPr>
        <w:t>November</w:t>
      </w:r>
      <w:r w:rsidRPr="001D77D9">
        <w:rPr>
          <w:lang w:val="en-GB"/>
        </w:rPr>
        <w:t xml:space="preserve"> 2007, </w:t>
      </w:r>
      <w:r w:rsidRPr="001D77D9" w:rsidR="00852FB5">
        <w:rPr>
          <w:lang w:val="en-GB"/>
        </w:rPr>
        <w:t xml:space="preserve">ruling </w:t>
      </w:r>
      <w:r w:rsidRPr="001D77D9" w:rsidR="004B3185">
        <w:rPr>
          <w:lang w:val="en-GB"/>
        </w:rPr>
        <w:t>on the basis of the ca</w:t>
      </w:r>
      <w:r w:rsidRPr="001D77D9" w:rsidR="00DB63B8">
        <w:rPr>
          <w:lang w:val="en-GB"/>
        </w:rPr>
        <w:t>se fi</w:t>
      </w:r>
      <w:r w:rsidRPr="001D77D9" w:rsidR="004B3185">
        <w:rPr>
          <w:lang w:val="en-GB"/>
        </w:rPr>
        <w:t>le and having taken cognisance of the State Prosecutor</w:t>
      </w:r>
      <w:r w:rsidR="00934B09">
        <w:rPr>
          <w:lang w:val="en-GB"/>
        </w:rPr>
        <w:t>’</w:t>
      </w:r>
      <w:r w:rsidRPr="001D77D9" w:rsidR="004B3185">
        <w:rPr>
          <w:lang w:val="en-GB"/>
        </w:rPr>
        <w:t>s opinion</w:t>
      </w:r>
      <w:r w:rsidRPr="001D77D9" w:rsidR="00D349D3">
        <w:rPr>
          <w:lang w:val="en-GB"/>
        </w:rPr>
        <w:t>, the</w:t>
      </w:r>
      <w:r w:rsidRPr="001D77D9" w:rsidR="004B3185">
        <w:rPr>
          <w:lang w:val="en-GB"/>
        </w:rPr>
        <w:t xml:space="preserve"> Assize Court, </w:t>
      </w:r>
      <w:r w:rsidRPr="001D77D9" w:rsidR="00D349D3">
        <w:rPr>
          <w:lang w:val="en-GB"/>
        </w:rPr>
        <w:t xml:space="preserve">drawing </w:t>
      </w:r>
      <w:r w:rsidRPr="001D77D9" w:rsidR="004B3185">
        <w:rPr>
          <w:lang w:val="en-GB"/>
        </w:rPr>
        <w:t>on the case file and having taken cognisance of the State Prosecutor</w:t>
      </w:r>
      <w:r w:rsidR="00934B09">
        <w:rPr>
          <w:lang w:val="en-GB"/>
        </w:rPr>
        <w:t>’</w:t>
      </w:r>
      <w:r w:rsidRPr="001D77D9" w:rsidR="004B3185">
        <w:rPr>
          <w:lang w:val="en-GB"/>
        </w:rPr>
        <w:t xml:space="preserve">s opinion, </w:t>
      </w:r>
      <w:r w:rsidRPr="001D77D9" w:rsidR="004B3185">
        <w:rPr>
          <w:lang w:val="en-GB" w:eastAsia="fr-FR"/>
        </w:rPr>
        <w:t>dismissed that application on the grounds that the impugned decision had been unobjectionable in procedural and legal terms</w:t>
      </w:r>
      <w:r w:rsidRPr="001D77D9">
        <w:rPr>
          <w:lang w:val="en-GB"/>
        </w:rPr>
        <w:t>.</w:t>
      </w:r>
    </w:p>
    <w:p w:rsidRPr="001D77D9" w:rsidR="00283F86" w:rsidP="00283F86" w:rsidRDefault="00283F86">
      <w:pPr>
        <w:pStyle w:val="ECHRHeading2"/>
        <w:rPr>
          <w:lang w:val="en-GB"/>
        </w:rPr>
      </w:pPr>
      <w:r w:rsidRPr="001D77D9">
        <w:rPr>
          <w:lang w:val="en-GB"/>
        </w:rPr>
        <w:t>D.  M</w:t>
      </w:r>
      <w:r w:rsidRPr="001D77D9" w:rsidR="00B155FA">
        <w:rPr>
          <w:lang w:val="en-GB"/>
        </w:rPr>
        <w:t>r</w:t>
      </w:r>
      <w:r w:rsidRPr="001D77D9">
        <w:rPr>
          <w:lang w:val="en-GB"/>
        </w:rPr>
        <w:t xml:space="preserve"> İsmail </w:t>
      </w:r>
      <w:proofErr w:type="spellStart"/>
      <w:r w:rsidRPr="001D77D9">
        <w:rPr>
          <w:lang w:val="en-GB"/>
        </w:rPr>
        <w:t>Cengiz</w:t>
      </w:r>
      <w:proofErr w:type="spellEnd"/>
      <w:r w:rsidRPr="001D77D9">
        <w:rPr>
          <w:lang w:val="en-GB"/>
        </w:rPr>
        <w:t xml:space="preserve"> </w:t>
      </w:r>
      <w:proofErr w:type="spellStart"/>
      <w:r w:rsidRPr="001D77D9">
        <w:rPr>
          <w:lang w:val="en-GB"/>
        </w:rPr>
        <w:t>Oğurtan</w:t>
      </w:r>
      <w:proofErr w:type="spellEnd"/>
      <w:r w:rsidRPr="001D77D9">
        <w:rPr>
          <w:lang w:val="en-GB"/>
        </w:rPr>
        <w:t xml:space="preserve"> </w:t>
      </w:r>
      <w:r w:rsidRPr="001D77D9" w:rsidR="00B155FA">
        <w:rPr>
          <w:lang w:val="en-GB"/>
        </w:rPr>
        <w:t>and Mr</w:t>
      </w:r>
      <w:r w:rsidRPr="001D77D9">
        <w:rPr>
          <w:lang w:val="en-GB"/>
        </w:rPr>
        <w:t xml:space="preserve"> </w:t>
      </w:r>
      <w:proofErr w:type="spellStart"/>
      <w:r w:rsidRPr="001D77D9">
        <w:rPr>
          <w:lang w:val="en-GB"/>
        </w:rPr>
        <w:t>Fevzi</w:t>
      </w:r>
      <w:proofErr w:type="spellEnd"/>
      <w:r w:rsidRPr="001D77D9">
        <w:rPr>
          <w:lang w:val="en-GB"/>
        </w:rPr>
        <w:t xml:space="preserve"> Abo (</w:t>
      </w:r>
      <w:r w:rsidRPr="001D77D9" w:rsidR="00B155FA">
        <w:rPr>
          <w:lang w:val="en-GB"/>
        </w:rPr>
        <w:t>application</w:t>
      </w:r>
      <w:r w:rsidRPr="001D77D9">
        <w:rPr>
          <w:lang w:val="en-GB"/>
        </w:rPr>
        <w:t xml:space="preserve"> n</w:t>
      </w:r>
      <w:r w:rsidRPr="001D77D9" w:rsidR="00B155FA">
        <w:rPr>
          <w:lang w:val="en-GB"/>
        </w:rPr>
        <w:t>o.</w:t>
      </w:r>
      <w:r w:rsidR="00934B09">
        <w:rPr>
          <w:lang w:val="en-GB"/>
        </w:rPr>
        <w:t> </w:t>
      </w:r>
      <w:r w:rsidRPr="001D77D9">
        <w:rPr>
          <w:lang w:val="en-GB"/>
        </w:rPr>
        <w:t>24505/08)</w:t>
      </w:r>
    </w:p>
    <w:p w:rsidRPr="001D77D9" w:rsidR="00283F86" w:rsidP="00283F86" w:rsidRDefault="00283F86">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24</w:t>
      </w:r>
      <w:r w:rsidRPr="001D77D9">
        <w:rPr>
          <w:lang w:val="en-GB"/>
        </w:rPr>
        <w:fldChar w:fldCharType="end"/>
      </w:r>
      <w:r w:rsidRPr="001D77D9">
        <w:rPr>
          <w:lang w:val="en-GB"/>
        </w:rPr>
        <w:t>.  </w:t>
      </w:r>
      <w:r w:rsidRPr="001D77D9" w:rsidR="00B155FA">
        <w:rPr>
          <w:lang w:val="en-GB"/>
        </w:rPr>
        <w:t>The applic</w:t>
      </w:r>
      <w:r w:rsidRPr="001D77D9">
        <w:rPr>
          <w:lang w:val="en-GB"/>
        </w:rPr>
        <w:t xml:space="preserve">ants </w:t>
      </w:r>
      <w:r w:rsidRPr="001D77D9" w:rsidR="00B155FA">
        <w:rPr>
          <w:lang w:val="en-GB"/>
        </w:rPr>
        <w:t>were born in</w:t>
      </w:r>
      <w:r w:rsidRPr="001D77D9">
        <w:rPr>
          <w:lang w:val="en-GB"/>
        </w:rPr>
        <w:t xml:space="preserve"> 1974 </w:t>
      </w:r>
      <w:r w:rsidRPr="001D77D9" w:rsidR="00B155FA">
        <w:rPr>
          <w:lang w:val="en-GB"/>
        </w:rPr>
        <w:t>and</w:t>
      </w:r>
      <w:r w:rsidRPr="001D77D9">
        <w:rPr>
          <w:lang w:val="en-GB"/>
        </w:rPr>
        <w:t xml:space="preserve"> 1985</w:t>
      </w:r>
      <w:r w:rsidRPr="001D77D9" w:rsidR="00B155FA">
        <w:rPr>
          <w:lang w:val="en-GB"/>
        </w:rPr>
        <w:t xml:space="preserve"> respectively</w:t>
      </w:r>
      <w:r w:rsidRPr="001D77D9">
        <w:rPr>
          <w:lang w:val="en-GB"/>
        </w:rPr>
        <w:t xml:space="preserve">. </w:t>
      </w:r>
      <w:r w:rsidRPr="001D77D9" w:rsidR="00DD063D">
        <w:rPr>
          <w:lang w:val="en-GB"/>
        </w:rPr>
        <w:t>When</w:t>
      </w:r>
      <w:r w:rsidRPr="001D77D9" w:rsidR="00F46050">
        <w:rPr>
          <w:lang w:val="en-GB"/>
        </w:rPr>
        <w:t xml:space="preserve"> their application was </w:t>
      </w:r>
      <w:r w:rsidRPr="001D77D9" w:rsidR="002F7EE4">
        <w:rPr>
          <w:lang w:val="en-GB"/>
        </w:rPr>
        <w:t>lodged</w:t>
      </w:r>
      <w:r w:rsidRPr="001D77D9" w:rsidR="00F46050">
        <w:rPr>
          <w:lang w:val="en-GB"/>
        </w:rPr>
        <w:t xml:space="preserve"> they were </w:t>
      </w:r>
      <w:r w:rsidRPr="001D77D9" w:rsidR="00BD1A1A">
        <w:rPr>
          <w:lang w:val="en-GB"/>
        </w:rPr>
        <w:t xml:space="preserve">being </w:t>
      </w:r>
      <w:r w:rsidRPr="001D77D9" w:rsidR="00F46050">
        <w:rPr>
          <w:lang w:val="en-GB"/>
        </w:rPr>
        <w:t xml:space="preserve">held in </w:t>
      </w:r>
      <w:r w:rsidRPr="001D77D9" w:rsidR="00FC257F">
        <w:rPr>
          <w:lang w:val="en-GB"/>
        </w:rPr>
        <w:t xml:space="preserve">the </w:t>
      </w:r>
      <w:r w:rsidRPr="001D77D9" w:rsidR="00BD1A1A">
        <w:rPr>
          <w:lang w:val="en-GB"/>
        </w:rPr>
        <w:t>F-</w:t>
      </w:r>
      <w:r w:rsidRPr="001D77D9" w:rsidR="00F46050">
        <w:rPr>
          <w:lang w:val="en-GB"/>
        </w:rPr>
        <w:t>type prison</w:t>
      </w:r>
      <w:r w:rsidRPr="001D77D9" w:rsidR="00FC257F">
        <w:rPr>
          <w:lang w:val="en-GB"/>
        </w:rPr>
        <w:t xml:space="preserve"> in </w:t>
      </w:r>
      <w:proofErr w:type="spellStart"/>
      <w:r w:rsidRPr="001D77D9" w:rsidR="00FC257F">
        <w:rPr>
          <w:lang w:val="en-GB"/>
        </w:rPr>
        <w:t>Tekirdağ</w:t>
      </w:r>
      <w:proofErr w:type="spellEnd"/>
      <w:r w:rsidRPr="001D77D9">
        <w:rPr>
          <w:lang w:val="en-GB"/>
        </w:rPr>
        <w:t>.</w:t>
      </w:r>
    </w:p>
    <w:p w:rsidRPr="001D77D9" w:rsidR="00283F86" w:rsidP="00283F86" w:rsidRDefault="00283F86">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25</w:t>
      </w:r>
      <w:r w:rsidRPr="001D77D9">
        <w:rPr>
          <w:lang w:val="en-GB"/>
        </w:rPr>
        <w:fldChar w:fldCharType="end"/>
      </w:r>
      <w:r w:rsidRPr="001D77D9">
        <w:rPr>
          <w:lang w:val="en-GB"/>
        </w:rPr>
        <w:t>.  </w:t>
      </w:r>
      <w:r w:rsidRPr="001D77D9" w:rsidR="00602DFC">
        <w:rPr>
          <w:lang w:val="en-GB"/>
        </w:rPr>
        <w:t>On</w:t>
      </w:r>
      <w:r w:rsidRPr="001D77D9">
        <w:rPr>
          <w:lang w:val="en-GB"/>
        </w:rPr>
        <w:t xml:space="preserve"> 25 </w:t>
      </w:r>
      <w:r w:rsidRPr="001D77D9" w:rsidR="002F7EE4">
        <w:rPr>
          <w:lang w:val="en-GB"/>
        </w:rPr>
        <w:t>June</w:t>
      </w:r>
      <w:r w:rsidRPr="001D77D9" w:rsidR="00B50F24">
        <w:rPr>
          <w:lang w:val="en-GB"/>
        </w:rPr>
        <w:t xml:space="preserve"> 2007</w:t>
      </w:r>
      <w:r w:rsidRPr="001D77D9">
        <w:rPr>
          <w:lang w:val="en-GB"/>
        </w:rPr>
        <w:t xml:space="preserve"> </w:t>
      </w:r>
      <w:r w:rsidRPr="001D77D9" w:rsidR="00D5436C">
        <w:rPr>
          <w:lang w:val="en-GB"/>
        </w:rPr>
        <w:t>the prison</w:t>
      </w:r>
      <w:r w:rsidRPr="001D77D9" w:rsidR="00602DFC">
        <w:rPr>
          <w:lang w:val="en-GB"/>
        </w:rPr>
        <w:t xml:space="preserve"> </w:t>
      </w:r>
      <w:r w:rsidRPr="001D77D9" w:rsidR="00AE07F6">
        <w:rPr>
          <w:lang w:val="en-GB"/>
        </w:rPr>
        <w:t>education board</w:t>
      </w:r>
      <w:r w:rsidRPr="001D77D9" w:rsidR="00B50F24">
        <w:rPr>
          <w:lang w:val="en-GB"/>
        </w:rPr>
        <w:t xml:space="preserve">, drawing on section 62 § 3 of Law No. 5275, </w:t>
      </w:r>
      <w:r w:rsidRPr="001D77D9" w:rsidR="00602DFC">
        <w:rPr>
          <w:lang w:val="en-GB"/>
        </w:rPr>
        <w:t xml:space="preserve">decided not to deliver the 18, 19, 20, 21, 22, 23 and 24 June 2007 </w:t>
      </w:r>
      <w:r w:rsidRPr="001D77D9" w:rsidR="004E05A7">
        <w:rPr>
          <w:lang w:val="en-GB"/>
        </w:rPr>
        <w:t>edition</w:t>
      </w:r>
      <w:r w:rsidRPr="001D77D9" w:rsidR="00602DFC">
        <w:rPr>
          <w:lang w:val="en-GB"/>
        </w:rPr>
        <w:t xml:space="preserve">s of the </w:t>
      </w:r>
      <w:proofErr w:type="spellStart"/>
      <w:r w:rsidRPr="001D77D9" w:rsidR="00602DFC">
        <w:rPr>
          <w:i/>
          <w:lang w:val="en-GB"/>
        </w:rPr>
        <w:t>Azadiya</w:t>
      </w:r>
      <w:proofErr w:type="spellEnd"/>
      <w:r w:rsidRPr="001D77D9" w:rsidR="00602DFC">
        <w:rPr>
          <w:i/>
          <w:lang w:val="en-GB"/>
        </w:rPr>
        <w:t xml:space="preserve"> </w:t>
      </w:r>
      <w:proofErr w:type="spellStart"/>
      <w:r w:rsidRPr="001D77D9" w:rsidR="00602DFC">
        <w:rPr>
          <w:i/>
          <w:lang w:val="en-GB"/>
        </w:rPr>
        <w:t>Welat</w:t>
      </w:r>
      <w:proofErr w:type="spellEnd"/>
      <w:r w:rsidRPr="001D77D9" w:rsidDel="00692BAE" w:rsidR="00602DFC">
        <w:rPr>
          <w:lang w:val="en-GB"/>
        </w:rPr>
        <w:t xml:space="preserve"> </w:t>
      </w:r>
      <w:r w:rsidRPr="001D77D9" w:rsidR="00602DFC">
        <w:rPr>
          <w:lang w:val="en-GB"/>
        </w:rPr>
        <w:t>daily newspaper to the applican</w:t>
      </w:r>
      <w:r w:rsidRPr="001D77D9" w:rsidR="00B50F24">
        <w:rPr>
          <w:lang w:val="en-GB"/>
        </w:rPr>
        <w:t>t</w:t>
      </w:r>
      <w:r w:rsidRPr="001D77D9" w:rsidR="00602DFC">
        <w:rPr>
          <w:lang w:val="en-GB"/>
        </w:rPr>
        <w:t xml:space="preserve">s. The Board </w:t>
      </w:r>
      <w:r w:rsidRPr="001D77D9" w:rsidR="00B50F24">
        <w:rPr>
          <w:lang w:val="en-GB"/>
        </w:rPr>
        <w:t>explain</w:t>
      </w:r>
      <w:r w:rsidRPr="001D77D9" w:rsidR="00602DFC">
        <w:rPr>
          <w:lang w:val="en-GB"/>
        </w:rPr>
        <w:t xml:space="preserve">ed that the publications were in the Kurdish language, that the prison had no staff </w:t>
      </w:r>
      <w:r w:rsidRPr="001D77D9" w:rsidR="0018697F">
        <w:rPr>
          <w:lang w:val="en-GB"/>
        </w:rPr>
        <w:t>who understood</w:t>
      </w:r>
      <w:r w:rsidRPr="001D77D9" w:rsidR="00602DFC">
        <w:rPr>
          <w:lang w:val="en-GB"/>
        </w:rPr>
        <w:t xml:space="preserve"> Kurdish, that</w:t>
      </w:r>
      <w:r w:rsidRPr="001D77D9" w:rsidR="0018697F">
        <w:rPr>
          <w:lang w:val="en-GB"/>
        </w:rPr>
        <w:t>,</w:t>
      </w:r>
      <w:r w:rsidRPr="001D77D9" w:rsidR="00602DFC">
        <w:rPr>
          <w:lang w:val="en-GB"/>
        </w:rPr>
        <w:t xml:space="preserve"> furthermore</w:t>
      </w:r>
      <w:r w:rsidRPr="001D77D9" w:rsidR="0018697F">
        <w:rPr>
          <w:lang w:val="en-GB"/>
        </w:rPr>
        <w:t>,</w:t>
      </w:r>
      <w:r w:rsidRPr="001D77D9" w:rsidR="00602DFC">
        <w:rPr>
          <w:lang w:val="en-GB"/>
        </w:rPr>
        <w:t xml:space="preserve"> there were several dialects of that language</w:t>
      </w:r>
      <w:r w:rsidRPr="001D77D9" w:rsidR="00B50F24">
        <w:rPr>
          <w:lang w:val="en-GB"/>
        </w:rPr>
        <w:t>,</w:t>
      </w:r>
      <w:r w:rsidRPr="001D77D9" w:rsidR="00602DFC">
        <w:rPr>
          <w:lang w:val="en-GB"/>
        </w:rPr>
        <w:t xml:space="preserve"> that it had therefore been impossible to have the publications in question </w:t>
      </w:r>
      <w:r w:rsidRPr="001D77D9" w:rsidR="00B50F24">
        <w:rPr>
          <w:lang w:val="en-GB"/>
        </w:rPr>
        <w:t>translat</w:t>
      </w:r>
      <w:r w:rsidRPr="001D77D9" w:rsidR="00602DFC">
        <w:rPr>
          <w:lang w:val="en-GB"/>
        </w:rPr>
        <w:t>ed</w:t>
      </w:r>
      <w:r w:rsidRPr="001D77D9" w:rsidR="006E3110">
        <w:rPr>
          <w:lang w:val="en-GB"/>
        </w:rPr>
        <w:t>, and</w:t>
      </w:r>
      <w:r w:rsidRPr="001D77D9" w:rsidR="00602DFC">
        <w:rPr>
          <w:lang w:val="en-GB"/>
        </w:rPr>
        <w:t xml:space="preserve"> </w:t>
      </w:r>
      <w:r w:rsidRPr="001D77D9" w:rsidR="006E3110">
        <w:rPr>
          <w:lang w:val="en-GB"/>
        </w:rPr>
        <w:t xml:space="preserve">that </w:t>
      </w:r>
      <w:r w:rsidRPr="001D77D9" w:rsidR="00602DFC">
        <w:rPr>
          <w:lang w:val="en-GB"/>
        </w:rPr>
        <w:t>consequently</w:t>
      </w:r>
      <w:r w:rsidRPr="001D77D9" w:rsidR="006E3110">
        <w:rPr>
          <w:lang w:val="en-GB"/>
        </w:rPr>
        <w:t xml:space="preserve"> there was no way of</w:t>
      </w:r>
      <w:r w:rsidRPr="001D77D9" w:rsidR="00602DFC">
        <w:rPr>
          <w:lang w:val="en-GB"/>
        </w:rPr>
        <w:t xml:space="preserve"> ascertain</w:t>
      </w:r>
      <w:r w:rsidRPr="001D77D9" w:rsidR="006E3110">
        <w:rPr>
          <w:lang w:val="en-GB"/>
        </w:rPr>
        <w:t>ing</w:t>
      </w:r>
      <w:r w:rsidRPr="001D77D9" w:rsidR="00602DFC">
        <w:rPr>
          <w:lang w:val="en-GB"/>
        </w:rPr>
        <w:t xml:space="preserve"> whether those publications fulfilled the conditions laid down in the </w:t>
      </w:r>
      <w:r w:rsidRPr="001D77D9" w:rsidR="00A60274">
        <w:rPr>
          <w:lang w:val="en-GB"/>
        </w:rPr>
        <w:t xml:space="preserve">relevant </w:t>
      </w:r>
      <w:r w:rsidRPr="001D77D9" w:rsidR="00602DFC">
        <w:rPr>
          <w:lang w:val="en-GB"/>
        </w:rPr>
        <w:t xml:space="preserve">section of </w:t>
      </w:r>
      <w:r w:rsidRPr="001D77D9" w:rsidR="0018697F">
        <w:rPr>
          <w:lang w:val="en-GB"/>
        </w:rPr>
        <w:t>L</w:t>
      </w:r>
      <w:r w:rsidRPr="001D77D9" w:rsidR="00602DFC">
        <w:rPr>
          <w:lang w:val="en-GB"/>
        </w:rPr>
        <w:t>aw</w:t>
      </w:r>
      <w:r w:rsidRPr="001D77D9" w:rsidR="0018697F">
        <w:rPr>
          <w:lang w:val="en-GB"/>
        </w:rPr>
        <w:t xml:space="preserve"> No. 5275</w:t>
      </w:r>
      <w:r w:rsidRPr="001D77D9">
        <w:rPr>
          <w:lang w:val="en-GB"/>
        </w:rPr>
        <w:t>.</w:t>
      </w:r>
    </w:p>
    <w:p w:rsidRPr="001D77D9" w:rsidR="00283F86" w:rsidP="00283F86" w:rsidRDefault="00283F86">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26</w:t>
      </w:r>
      <w:r w:rsidRPr="001D77D9">
        <w:rPr>
          <w:lang w:val="en-GB"/>
        </w:rPr>
        <w:fldChar w:fldCharType="end"/>
      </w:r>
      <w:r w:rsidRPr="001D77D9">
        <w:rPr>
          <w:lang w:val="en-GB"/>
        </w:rPr>
        <w:t>.  </w:t>
      </w:r>
      <w:r w:rsidRPr="001D77D9" w:rsidR="002F7EE4">
        <w:rPr>
          <w:lang w:val="en-GB"/>
        </w:rPr>
        <w:t>On</w:t>
      </w:r>
      <w:r w:rsidRPr="001D77D9">
        <w:rPr>
          <w:lang w:val="en-GB"/>
        </w:rPr>
        <w:t xml:space="preserve"> 28 </w:t>
      </w:r>
      <w:r w:rsidRPr="001D77D9" w:rsidR="002F7EE4">
        <w:rPr>
          <w:lang w:val="en-GB"/>
        </w:rPr>
        <w:t>June</w:t>
      </w:r>
      <w:r w:rsidRPr="001D77D9">
        <w:rPr>
          <w:lang w:val="en-GB"/>
        </w:rPr>
        <w:t xml:space="preserve"> 2007</w:t>
      </w:r>
      <w:r w:rsidRPr="001D77D9" w:rsidR="006E3110">
        <w:rPr>
          <w:lang w:val="en-GB"/>
        </w:rPr>
        <w:t xml:space="preserve"> the applic</w:t>
      </w:r>
      <w:r w:rsidRPr="001D77D9">
        <w:rPr>
          <w:lang w:val="en-GB"/>
        </w:rPr>
        <w:t xml:space="preserve">ants </w:t>
      </w:r>
      <w:r w:rsidRPr="001D77D9" w:rsidR="006E3110">
        <w:rPr>
          <w:lang w:val="en-GB"/>
        </w:rPr>
        <w:t xml:space="preserve">appealed against that </w:t>
      </w:r>
      <w:r w:rsidRPr="001D77D9" w:rsidR="002F7EE4">
        <w:rPr>
          <w:lang w:val="en-GB"/>
        </w:rPr>
        <w:t>decision</w:t>
      </w:r>
      <w:r w:rsidRPr="001D77D9">
        <w:rPr>
          <w:lang w:val="en-GB"/>
        </w:rPr>
        <w:t xml:space="preserve">. </w:t>
      </w:r>
      <w:r w:rsidRPr="001D77D9" w:rsidR="00BD1A1A">
        <w:rPr>
          <w:lang w:val="en-GB"/>
        </w:rPr>
        <w:t>Mr</w:t>
      </w:r>
      <w:r w:rsidR="00934B09">
        <w:rPr>
          <w:lang w:val="en-GB"/>
        </w:rPr>
        <w:t> </w:t>
      </w:r>
      <w:r w:rsidRPr="001D77D9" w:rsidR="00BD1A1A">
        <w:rPr>
          <w:lang w:val="en-GB"/>
        </w:rPr>
        <w:t xml:space="preserve">Abo sent </w:t>
      </w:r>
      <w:r w:rsidRPr="001D77D9" w:rsidR="006E3110">
        <w:rPr>
          <w:lang w:val="en-GB"/>
        </w:rPr>
        <w:t xml:space="preserve">a </w:t>
      </w:r>
      <w:r w:rsidRPr="001D77D9" w:rsidR="002F7EE4">
        <w:rPr>
          <w:lang w:val="en-GB"/>
        </w:rPr>
        <w:t>letter</w:t>
      </w:r>
      <w:r w:rsidRPr="001D77D9" w:rsidR="00BD1A1A">
        <w:rPr>
          <w:lang w:val="en-GB"/>
        </w:rPr>
        <w:t xml:space="preserve"> on</w:t>
      </w:r>
      <w:r w:rsidRPr="001D77D9" w:rsidR="006E3110">
        <w:rPr>
          <w:lang w:val="en-GB"/>
        </w:rPr>
        <w:t xml:space="preserve"> the same day to the </w:t>
      </w:r>
      <w:proofErr w:type="spellStart"/>
      <w:r w:rsidRPr="001D77D9">
        <w:rPr>
          <w:lang w:val="en-GB"/>
        </w:rPr>
        <w:t>Tekirdağ</w:t>
      </w:r>
      <w:proofErr w:type="spellEnd"/>
      <w:r w:rsidRPr="001D77D9" w:rsidR="006E3110">
        <w:rPr>
          <w:lang w:val="en-GB"/>
        </w:rPr>
        <w:t xml:space="preserve"> post-sentencing </w:t>
      </w:r>
      <w:r w:rsidRPr="001D77D9" w:rsidR="002F7EE4">
        <w:rPr>
          <w:lang w:val="en-GB"/>
        </w:rPr>
        <w:t>judge</w:t>
      </w:r>
      <w:r w:rsidRPr="001D77D9">
        <w:rPr>
          <w:lang w:val="en-GB"/>
        </w:rPr>
        <w:t xml:space="preserve"> </w:t>
      </w:r>
      <w:r w:rsidRPr="001D77D9" w:rsidR="00BD1A1A">
        <w:rPr>
          <w:lang w:val="en-GB"/>
        </w:rPr>
        <w:t xml:space="preserve">complaining </w:t>
      </w:r>
      <w:r w:rsidRPr="001D77D9" w:rsidR="006E3110">
        <w:rPr>
          <w:lang w:val="en-GB"/>
        </w:rPr>
        <w:t>that he had been denied</w:t>
      </w:r>
      <w:r w:rsidRPr="001D77D9">
        <w:rPr>
          <w:lang w:val="en-GB"/>
        </w:rPr>
        <w:t xml:space="preserve"> </w:t>
      </w:r>
      <w:r w:rsidRPr="001D77D9" w:rsidR="002F7EE4">
        <w:rPr>
          <w:lang w:val="en-GB"/>
        </w:rPr>
        <w:t>access</w:t>
      </w:r>
      <w:r w:rsidRPr="001D77D9">
        <w:rPr>
          <w:lang w:val="en-GB"/>
        </w:rPr>
        <w:t xml:space="preserve"> </w:t>
      </w:r>
      <w:r w:rsidRPr="001D77D9" w:rsidR="002F7EE4">
        <w:rPr>
          <w:lang w:val="en-GB"/>
        </w:rPr>
        <w:t xml:space="preserve">to the </w:t>
      </w:r>
      <w:r w:rsidRPr="001D77D9" w:rsidR="004E05A7">
        <w:rPr>
          <w:lang w:val="en-GB"/>
        </w:rPr>
        <w:t>edition</w:t>
      </w:r>
      <w:r w:rsidRPr="001D77D9" w:rsidR="002F7EE4">
        <w:rPr>
          <w:lang w:val="en-GB"/>
        </w:rPr>
        <w:t>s</w:t>
      </w:r>
      <w:r w:rsidRPr="001D77D9">
        <w:rPr>
          <w:lang w:val="en-GB"/>
        </w:rPr>
        <w:t xml:space="preserve"> </w:t>
      </w:r>
      <w:r w:rsidRPr="001D77D9" w:rsidR="002F7EE4">
        <w:rPr>
          <w:lang w:val="en-GB"/>
        </w:rPr>
        <w:t>in</w:t>
      </w:r>
      <w:r w:rsidRPr="001D77D9">
        <w:rPr>
          <w:lang w:val="en-GB"/>
        </w:rPr>
        <w:t xml:space="preserve"> question, a</w:t>
      </w:r>
      <w:r w:rsidRPr="001D77D9" w:rsidR="002F7EE4">
        <w:rPr>
          <w:lang w:val="en-GB"/>
        </w:rPr>
        <w:t>dding that the prison authorities</w:t>
      </w:r>
      <w:r w:rsidR="00934B09">
        <w:rPr>
          <w:lang w:val="en-GB"/>
        </w:rPr>
        <w:t>’</w:t>
      </w:r>
      <w:r w:rsidRPr="001D77D9" w:rsidR="002F7EE4">
        <w:rPr>
          <w:lang w:val="en-GB"/>
        </w:rPr>
        <w:t xml:space="preserve"> </w:t>
      </w:r>
      <w:r w:rsidRPr="001D77D9" w:rsidR="00FF121E">
        <w:rPr>
          <w:lang w:val="en-GB"/>
        </w:rPr>
        <w:t xml:space="preserve">decision </w:t>
      </w:r>
      <w:r w:rsidRPr="001D77D9" w:rsidR="002F7EE4">
        <w:rPr>
          <w:lang w:val="en-GB"/>
        </w:rPr>
        <w:t xml:space="preserve">had been </w:t>
      </w:r>
      <w:r w:rsidRPr="001D77D9" w:rsidR="00FF121E">
        <w:rPr>
          <w:lang w:val="en-GB"/>
        </w:rPr>
        <w:t>geared to</w:t>
      </w:r>
      <w:r w:rsidRPr="001D77D9" w:rsidR="002F7EE4">
        <w:rPr>
          <w:lang w:val="en-GB"/>
        </w:rPr>
        <w:t xml:space="preserve"> banning the daily newspaper and was unlawful</w:t>
      </w:r>
      <w:r w:rsidRPr="001D77D9">
        <w:rPr>
          <w:lang w:val="en-GB"/>
        </w:rPr>
        <w:t>.</w:t>
      </w:r>
    </w:p>
    <w:p w:rsidRPr="001D77D9" w:rsidR="00283F86" w:rsidP="00283F86" w:rsidRDefault="00283F86">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27</w:t>
      </w:r>
      <w:r w:rsidRPr="001D77D9">
        <w:rPr>
          <w:lang w:val="en-GB"/>
        </w:rPr>
        <w:fldChar w:fldCharType="end"/>
      </w:r>
      <w:r w:rsidRPr="001D77D9">
        <w:rPr>
          <w:lang w:val="en-GB"/>
        </w:rPr>
        <w:t>.  </w:t>
      </w:r>
      <w:r w:rsidRPr="001D77D9" w:rsidR="002F7EE4">
        <w:rPr>
          <w:lang w:val="en-GB"/>
        </w:rPr>
        <w:t>In a</w:t>
      </w:r>
      <w:r w:rsidRPr="001D77D9">
        <w:rPr>
          <w:lang w:val="en-GB"/>
        </w:rPr>
        <w:t xml:space="preserve"> </w:t>
      </w:r>
      <w:r w:rsidRPr="001D77D9" w:rsidR="002F7EE4">
        <w:rPr>
          <w:lang w:val="en-GB"/>
        </w:rPr>
        <w:t>letter</w:t>
      </w:r>
      <w:r w:rsidRPr="001D77D9">
        <w:rPr>
          <w:lang w:val="en-GB"/>
        </w:rPr>
        <w:t xml:space="preserve"> </w:t>
      </w:r>
      <w:r w:rsidRPr="001D77D9" w:rsidR="002F7EE4">
        <w:rPr>
          <w:lang w:val="en-GB"/>
        </w:rPr>
        <w:t>of</w:t>
      </w:r>
      <w:r w:rsidRPr="001D77D9">
        <w:rPr>
          <w:lang w:val="en-GB"/>
        </w:rPr>
        <w:t xml:space="preserve"> 4 </w:t>
      </w:r>
      <w:r w:rsidRPr="001D77D9" w:rsidR="002F7EE4">
        <w:rPr>
          <w:lang w:val="en-GB"/>
        </w:rPr>
        <w:t>July</w:t>
      </w:r>
      <w:r w:rsidRPr="001D77D9">
        <w:rPr>
          <w:lang w:val="en-GB"/>
        </w:rPr>
        <w:t xml:space="preserve"> 2007 M</w:t>
      </w:r>
      <w:r w:rsidRPr="001D77D9" w:rsidR="002F7EE4">
        <w:rPr>
          <w:lang w:val="en-GB"/>
        </w:rPr>
        <w:t>r</w:t>
      </w:r>
      <w:r w:rsidRPr="001D77D9">
        <w:rPr>
          <w:lang w:val="en-GB"/>
        </w:rPr>
        <w:t xml:space="preserve"> </w:t>
      </w:r>
      <w:proofErr w:type="spellStart"/>
      <w:r w:rsidRPr="001D77D9">
        <w:rPr>
          <w:lang w:val="en-GB"/>
        </w:rPr>
        <w:t>Oğurtan</w:t>
      </w:r>
      <w:proofErr w:type="spellEnd"/>
      <w:r w:rsidRPr="001D77D9">
        <w:rPr>
          <w:lang w:val="en-GB"/>
        </w:rPr>
        <w:t xml:space="preserve"> </w:t>
      </w:r>
      <w:r w:rsidRPr="001D77D9" w:rsidR="002F7EE4">
        <w:rPr>
          <w:lang w:val="en-GB"/>
        </w:rPr>
        <w:t xml:space="preserve">informed the </w:t>
      </w:r>
      <w:proofErr w:type="spellStart"/>
      <w:r w:rsidRPr="001D77D9" w:rsidR="002F7EE4">
        <w:rPr>
          <w:lang w:val="en-GB"/>
        </w:rPr>
        <w:t>Tekirdağ</w:t>
      </w:r>
      <w:proofErr w:type="spellEnd"/>
      <w:r w:rsidRPr="001D77D9" w:rsidR="002F7EE4">
        <w:rPr>
          <w:lang w:val="en-GB"/>
        </w:rPr>
        <w:t xml:space="preserve"> post</w:t>
      </w:r>
      <w:r w:rsidR="00934B09">
        <w:rPr>
          <w:lang w:val="en-GB"/>
        </w:rPr>
        <w:noBreakHyphen/>
      </w:r>
      <w:r w:rsidRPr="001D77D9" w:rsidR="002F7EE4">
        <w:rPr>
          <w:lang w:val="en-GB"/>
        </w:rPr>
        <w:t>sentencing</w:t>
      </w:r>
      <w:r w:rsidRPr="001D77D9">
        <w:rPr>
          <w:lang w:val="en-GB"/>
        </w:rPr>
        <w:t xml:space="preserve"> </w:t>
      </w:r>
      <w:r w:rsidRPr="001D77D9" w:rsidR="002F7EE4">
        <w:rPr>
          <w:lang w:val="en-GB"/>
        </w:rPr>
        <w:t>judge</w:t>
      </w:r>
      <w:r w:rsidRPr="001D77D9">
        <w:rPr>
          <w:lang w:val="en-GB"/>
        </w:rPr>
        <w:t xml:space="preserve"> </w:t>
      </w:r>
      <w:r w:rsidRPr="001D77D9" w:rsidR="0055599E">
        <w:rPr>
          <w:lang w:val="en-GB"/>
        </w:rPr>
        <w:t>he</w:t>
      </w:r>
      <w:r w:rsidRPr="001D77D9" w:rsidR="0024340B">
        <w:rPr>
          <w:lang w:val="en-GB"/>
        </w:rPr>
        <w:t xml:space="preserve"> had </w:t>
      </w:r>
      <w:r w:rsidRPr="001D77D9" w:rsidR="00FF121E">
        <w:rPr>
          <w:lang w:val="en-GB"/>
        </w:rPr>
        <w:t xml:space="preserve">been unjustifiably deprived of </w:t>
      </w:r>
      <w:r w:rsidRPr="001D77D9" w:rsidR="0024340B">
        <w:rPr>
          <w:lang w:val="en-GB"/>
        </w:rPr>
        <w:t>the</w:t>
      </w:r>
      <w:r w:rsidRPr="001D77D9">
        <w:rPr>
          <w:lang w:val="en-GB"/>
        </w:rPr>
        <w:t xml:space="preserve"> </w:t>
      </w:r>
      <w:proofErr w:type="spellStart"/>
      <w:r w:rsidRPr="001D77D9">
        <w:rPr>
          <w:i/>
          <w:lang w:val="en-GB"/>
        </w:rPr>
        <w:t>Azadiya</w:t>
      </w:r>
      <w:proofErr w:type="spellEnd"/>
      <w:r w:rsidRPr="001D77D9">
        <w:rPr>
          <w:i/>
          <w:lang w:val="en-GB"/>
        </w:rPr>
        <w:t xml:space="preserve"> </w:t>
      </w:r>
      <w:proofErr w:type="spellStart"/>
      <w:r w:rsidRPr="001D77D9">
        <w:rPr>
          <w:i/>
          <w:lang w:val="en-GB"/>
        </w:rPr>
        <w:t>Welat</w:t>
      </w:r>
      <w:proofErr w:type="spellEnd"/>
      <w:r w:rsidRPr="001D77D9">
        <w:rPr>
          <w:lang w:val="en-GB"/>
        </w:rPr>
        <w:t xml:space="preserve"> </w:t>
      </w:r>
      <w:r w:rsidRPr="001D77D9" w:rsidR="0024340B">
        <w:rPr>
          <w:lang w:val="en-GB"/>
        </w:rPr>
        <w:t>newspaper since</w:t>
      </w:r>
      <w:r w:rsidRPr="001D77D9">
        <w:rPr>
          <w:lang w:val="en-GB"/>
        </w:rPr>
        <w:t xml:space="preserve"> 18 </w:t>
      </w:r>
      <w:r w:rsidRPr="001D77D9" w:rsidR="0055599E">
        <w:rPr>
          <w:lang w:val="en-GB"/>
        </w:rPr>
        <w:t>June</w:t>
      </w:r>
      <w:r w:rsidRPr="001D77D9">
        <w:rPr>
          <w:lang w:val="en-GB"/>
        </w:rPr>
        <w:t xml:space="preserve"> 2007</w:t>
      </w:r>
      <w:r w:rsidRPr="001D77D9" w:rsidR="0024340B">
        <w:rPr>
          <w:lang w:val="en-GB"/>
        </w:rPr>
        <w:t>.</w:t>
      </w:r>
      <w:r w:rsidRPr="001D77D9">
        <w:rPr>
          <w:lang w:val="en-GB"/>
        </w:rPr>
        <w:t xml:space="preserve"> </w:t>
      </w:r>
      <w:r w:rsidRPr="001D77D9" w:rsidR="005D598D">
        <w:rPr>
          <w:lang w:val="en-GB"/>
        </w:rPr>
        <w:t>He requested that the newspaper be</w:t>
      </w:r>
      <w:r w:rsidRPr="001D77D9">
        <w:rPr>
          <w:lang w:val="en-GB"/>
        </w:rPr>
        <w:t xml:space="preserve"> </w:t>
      </w:r>
      <w:r w:rsidRPr="001D77D9" w:rsidR="005D598D">
        <w:rPr>
          <w:lang w:val="en-GB"/>
        </w:rPr>
        <w:t xml:space="preserve">delivered to him </w:t>
      </w:r>
      <w:r w:rsidRPr="001D77D9" w:rsidR="00BD1A1A">
        <w:rPr>
          <w:lang w:val="en-GB"/>
        </w:rPr>
        <w:t xml:space="preserve">in the standard manner </w:t>
      </w:r>
      <w:r w:rsidRPr="001D77D9" w:rsidR="005D598D">
        <w:rPr>
          <w:lang w:val="en-GB"/>
        </w:rPr>
        <w:t>in future</w:t>
      </w:r>
      <w:r w:rsidRPr="001D77D9">
        <w:rPr>
          <w:lang w:val="en-GB"/>
        </w:rPr>
        <w:t>.</w:t>
      </w:r>
    </w:p>
    <w:p w:rsidRPr="001D77D9" w:rsidR="00283F86" w:rsidP="00283F86" w:rsidRDefault="00283F86">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28</w:t>
      </w:r>
      <w:r w:rsidRPr="001D77D9">
        <w:rPr>
          <w:lang w:val="en-GB"/>
        </w:rPr>
        <w:fldChar w:fldCharType="end"/>
      </w:r>
      <w:r w:rsidRPr="001D77D9">
        <w:rPr>
          <w:lang w:val="en-GB"/>
        </w:rPr>
        <w:t>.  </w:t>
      </w:r>
      <w:r w:rsidRPr="001D77D9" w:rsidR="005D598D">
        <w:rPr>
          <w:lang w:val="en-GB"/>
        </w:rPr>
        <w:t>On</w:t>
      </w:r>
      <w:r w:rsidRPr="001D77D9">
        <w:rPr>
          <w:lang w:val="en-GB"/>
        </w:rPr>
        <w:t xml:space="preserve"> 22 </w:t>
      </w:r>
      <w:r w:rsidRPr="001D77D9" w:rsidR="0055599E">
        <w:rPr>
          <w:lang w:val="en-GB"/>
        </w:rPr>
        <w:t>October</w:t>
      </w:r>
      <w:r w:rsidRPr="001D77D9">
        <w:rPr>
          <w:lang w:val="en-GB"/>
        </w:rPr>
        <w:t xml:space="preserve"> 2007, </w:t>
      </w:r>
      <w:r w:rsidRPr="001D77D9" w:rsidR="00FF121E">
        <w:rPr>
          <w:lang w:val="en-GB"/>
        </w:rPr>
        <w:t xml:space="preserve">ruling </w:t>
      </w:r>
      <w:r w:rsidRPr="001D77D9" w:rsidR="005D598D">
        <w:rPr>
          <w:lang w:val="en-GB"/>
        </w:rPr>
        <w:t xml:space="preserve">on the </w:t>
      </w:r>
      <w:r w:rsidRPr="001D77D9" w:rsidR="0055599E">
        <w:rPr>
          <w:lang w:val="en-GB"/>
        </w:rPr>
        <w:t>basis</w:t>
      </w:r>
      <w:r w:rsidRPr="001D77D9" w:rsidR="005D598D">
        <w:rPr>
          <w:lang w:val="en-GB"/>
        </w:rPr>
        <w:t xml:space="preserve"> of the ca</w:t>
      </w:r>
      <w:r w:rsidRPr="001D77D9" w:rsidR="00DB63B8">
        <w:rPr>
          <w:lang w:val="en-GB"/>
        </w:rPr>
        <w:t>se fi</w:t>
      </w:r>
      <w:r w:rsidRPr="001D77D9" w:rsidR="005D598D">
        <w:rPr>
          <w:lang w:val="en-GB"/>
        </w:rPr>
        <w:t>le,</w:t>
      </w:r>
      <w:r w:rsidRPr="001D77D9">
        <w:rPr>
          <w:lang w:val="en-GB"/>
        </w:rPr>
        <w:t xml:space="preserve"> </w:t>
      </w:r>
      <w:r w:rsidRPr="001D77D9" w:rsidR="00182EA5">
        <w:rPr>
          <w:lang w:val="en-GB"/>
        </w:rPr>
        <w:t xml:space="preserve">the </w:t>
      </w:r>
      <w:proofErr w:type="spellStart"/>
      <w:r w:rsidRPr="001D77D9" w:rsidR="005D598D">
        <w:rPr>
          <w:lang w:val="en-GB"/>
        </w:rPr>
        <w:t>Tekirdağ</w:t>
      </w:r>
      <w:proofErr w:type="spellEnd"/>
      <w:r w:rsidRPr="001D77D9" w:rsidR="005D598D">
        <w:rPr>
          <w:lang w:val="en-GB"/>
        </w:rPr>
        <w:t xml:space="preserve"> post-sentencing</w:t>
      </w:r>
      <w:r w:rsidRPr="001D77D9">
        <w:rPr>
          <w:lang w:val="en-GB"/>
        </w:rPr>
        <w:t xml:space="preserve"> </w:t>
      </w:r>
      <w:r w:rsidRPr="001D77D9" w:rsidR="0055599E">
        <w:rPr>
          <w:lang w:val="en-GB"/>
        </w:rPr>
        <w:t>judge</w:t>
      </w:r>
      <w:r w:rsidRPr="001D77D9">
        <w:rPr>
          <w:lang w:val="en-GB"/>
        </w:rPr>
        <w:t xml:space="preserve"> </w:t>
      </w:r>
      <w:r w:rsidRPr="001D77D9" w:rsidR="005D598D">
        <w:rPr>
          <w:lang w:val="en-GB"/>
        </w:rPr>
        <w:t xml:space="preserve">dismissed </w:t>
      </w:r>
      <w:r w:rsidRPr="001D77D9" w:rsidR="00835C22">
        <w:rPr>
          <w:lang w:val="en-GB"/>
        </w:rPr>
        <w:t xml:space="preserve">Mr </w:t>
      </w:r>
      <w:proofErr w:type="spellStart"/>
      <w:r w:rsidRPr="001D77D9" w:rsidR="00835C22">
        <w:rPr>
          <w:lang w:val="en-GB"/>
        </w:rPr>
        <w:t>Oğurtan</w:t>
      </w:r>
      <w:r w:rsidR="00934B09">
        <w:rPr>
          <w:lang w:val="en-GB"/>
        </w:rPr>
        <w:t>’</w:t>
      </w:r>
      <w:r w:rsidRPr="001D77D9" w:rsidR="00835C22">
        <w:rPr>
          <w:lang w:val="en-GB"/>
        </w:rPr>
        <w:t>s</w:t>
      </w:r>
      <w:proofErr w:type="spellEnd"/>
      <w:r w:rsidRPr="001D77D9" w:rsidR="005D598D">
        <w:rPr>
          <w:lang w:val="en-GB"/>
        </w:rPr>
        <w:t xml:space="preserve"> appeal</w:t>
      </w:r>
      <w:r w:rsidRPr="001D77D9" w:rsidR="00FF121E">
        <w:rPr>
          <w:lang w:val="en-GB"/>
        </w:rPr>
        <w:t xml:space="preserve"> on the ground</w:t>
      </w:r>
      <w:r w:rsidRPr="001D77D9" w:rsidR="005D598D">
        <w:rPr>
          <w:lang w:val="en-GB"/>
        </w:rPr>
        <w:t xml:space="preserve"> that the </w:t>
      </w:r>
      <w:r w:rsidRPr="001D77D9" w:rsidR="00837C3B">
        <w:rPr>
          <w:lang w:val="en-GB"/>
        </w:rPr>
        <w:t xml:space="preserve">impugned </w:t>
      </w:r>
      <w:r w:rsidRPr="001D77D9" w:rsidR="0055599E">
        <w:rPr>
          <w:lang w:val="en-GB"/>
        </w:rPr>
        <w:t>decision</w:t>
      </w:r>
      <w:r w:rsidRPr="001D77D9" w:rsidR="005D598D">
        <w:rPr>
          <w:lang w:val="en-GB" w:eastAsia="fr-FR"/>
        </w:rPr>
        <w:t xml:space="preserve"> had been unobjectionable in procedural and legal terms</w:t>
      </w:r>
      <w:r w:rsidRPr="001D77D9">
        <w:rPr>
          <w:lang w:val="en-GB"/>
        </w:rPr>
        <w:t xml:space="preserve">. </w:t>
      </w:r>
      <w:r w:rsidRPr="001D77D9" w:rsidR="007D1827">
        <w:rPr>
          <w:lang w:val="en-GB"/>
        </w:rPr>
        <w:t>He adjudicated in the light of the State Prosecutor</w:t>
      </w:r>
      <w:r w:rsidR="00934B09">
        <w:rPr>
          <w:lang w:val="en-GB"/>
        </w:rPr>
        <w:t>’</w:t>
      </w:r>
      <w:r w:rsidRPr="001D77D9" w:rsidR="007D1827">
        <w:rPr>
          <w:lang w:val="en-GB"/>
        </w:rPr>
        <w:t xml:space="preserve">s opinion to the effect that in order to assess the conformity with section 62 § 3 of the relevant law of publications in a language other than the official language, a translation of those publications </w:t>
      </w:r>
      <w:r w:rsidRPr="001D77D9" w:rsidR="00CB6387">
        <w:rPr>
          <w:lang w:val="en-GB"/>
        </w:rPr>
        <w:t>was</w:t>
      </w:r>
      <w:r w:rsidRPr="001D77D9" w:rsidR="007D1827">
        <w:rPr>
          <w:lang w:val="en-GB"/>
        </w:rPr>
        <w:t xml:space="preserve"> required, that there was no legal provision requiring the prison to finance the translation costs, that such expenses had not been covered by the appellant and that the</w:t>
      </w:r>
      <w:r w:rsidRPr="001D77D9">
        <w:rPr>
          <w:lang w:val="en-GB"/>
        </w:rPr>
        <w:t xml:space="preserve"> </w:t>
      </w:r>
      <w:r w:rsidRPr="001D77D9" w:rsidR="0055599E">
        <w:rPr>
          <w:lang w:val="en-GB"/>
        </w:rPr>
        <w:t>measure</w:t>
      </w:r>
      <w:r w:rsidRPr="001D77D9">
        <w:rPr>
          <w:lang w:val="en-GB"/>
        </w:rPr>
        <w:t xml:space="preserve"> </w:t>
      </w:r>
      <w:r w:rsidRPr="001D77D9" w:rsidR="007D1827">
        <w:rPr>
          <w:lang w:val="en-GB"/>
        </w:rPr>
        <w:t xml:space="preserve">adopted by the prison authorities had </w:t>
      </w:r>
      <w:r w:rsidRPr="001D77D9" w:rsidR="00070ADB">
        <w:rPr>
          <w:lang w:val="en-GB"/>
        </w:rPr>
        <w:t xml:space="preserve">consequently </w:t>
      </w:r>
      <w:r w:rsidRPr="001D77D9" w:rsidR="007D1827">
        <w:rPr>
          <w:lang w:val="en-GB"/>
        </w:rPr>
        <w:t xml:space="preserve">been </w:t>
      </w:r>
      <w:r w:rsidRPr="001D77D9" w:rsidR="0055599E">
        <w:rPr>
          <w:lang w:val="en-GB"/>
        </w:rPr>
        <w:t>justified</w:t>
      </w:r>
      <w:r w:rsidRPr="001D77D9">
        <w:rPr>
          <w:lang w:val="en-GB"/>
        </w:rPr>
        <w:t>.</w:t>
      </w:r>
    </w:p>
    <w:p w:rsidRPr="001D77D9" w:rsidR="00283F86" w:rsidP="00283F86" w:rsidRDefault="00283F86">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29</w:t>
      </w:r>
      <w:r w:rsidRPr="001D77D9">
        <w:rPr>
          <w:lang w:val="en-GB"/>
        </w:rPr>
        <w:fldChar w:fldCharType="end"/>
      </w:r>
      <w:r w:rsidRPr="001D77D9">
        <w:rPr>
          <w:lang w:val="en-GB"/>
        </w:rPr>
        <w:t>.  </w:t>
      </w:r>
      <w:r w:rsidRPr="001D77D9" w:rsidR="0055599E">
        <w:rPr>
          <w:lang w:val="en-GB"/>
        </w:rPr>
        <w:t>On</w:t>
      </w:r>
      <w:r w:rsidRPr="001D77D9">
        <w:rPr>
          <w:lang w:val="en-GB"/>
        </w:rPr>
        <w:t xml:space="preserve"> 26 </w:t>
      </w:r>
      <w:r w:rsidRPr="001D77D9" w:rsidR="0055599E">
        <w:rPr>
          <w:lang w:val="en-GB"/>
        </w:rPr>
        <w:t>October</w:t>
      </w:r>
      <w:r w:rsidRPr="001D77D9">
        <w:rPr>
          <w:lang w:val="en-GB"/>
        </w:rPr>
        <w:t xml:space="preserve"> 2007 M</w:t>
      </w:r>
      <w:r w:rsidRPr="001D77D9" w:rsidR="0055599E">
        <w:rPr>
          <w:lang w:val="en-GB"/>
        </w:rPr>
        <w:t>r</w:t>
      </w:r>
      <w:r w:rsidRPr="001D77D9">
        <w:rPr>
          <w:lang w:val="en-GB"/>
        </w:rPr>
        <w:t xml:space="preserve"> </w:t>
      </w:r>
      <w:proofErr w:type="spellStart"/>
      <w:r w:rsidRPr="001D77D9">
        <w:rPr>
          <w:lang w:val="en-GB"/>
        </w:rPr>
        <w:t>Oğurtan</w:t>
      </w:r>
      <w:proofErr w:type="spellEnd"/>
      <w:r w:rsidRPr="001D77D9">
        <w:rPr>
          <w:lang w:val="en-GB"/>
        </w:rPr>
        <w:t xml:space="preserve"> </w:t>
      </w:r>
      <w:r w:rsidRPr="001D77D9" w:rsidR="0055599E">
        <w:rPr>
          <w:lang w:val="en-GB"/>
        </w:rPr>
        <w:t xml:space="preserve">wrote to the </w:t>
      </w:r>
      <w:proofErr w:type="spellStart"/>
      <w:r w:rsidRPr="001D77D9" w:rsidR="0055599E">
        <w:rPr>
          <w:lang w:val="en-GB"/>
        </w:rPr>
        <w:t>Tekirdağ</w:t>
      </w:r>
      <w:proofErr w:type="spellEnd"/>
      <w:r w:rsidRPr="001D77D9" w:rsidR="0055599E">
        <w:rPr>
          <w:lang w:val="en-GB"/>
        </w:rPr>
        <w:t xml:space="preserve"> Assize Court</w:t>
      </w:r>
      <w:r w:rsidRPr="001D77D9">
        <w:rPr>
          <w:lang w:val="en-GB"/>
        </w:rPr>
        <w:t xml:space="preserve"> </w:t>
      </w:r>
      <w:r w:rsidRPr="001D77D9" w:rsidR="0055599E">
        <w:rPr>
          <w:lang w:val="en-GB"/>
        </w:rPr>
        <w:t>to complain that he was no longer</w:t>
      </w:r>
      <w:r w:rsidRPr="001D77D9">
        <w:rPr>
          <w:lang w:val="en-GB"/>
        </w:rPr>
        <w:t xml:space="preserve"> </w:t>
      </w:r>
      <w:r w:rsidRPr="001D77D9" w:rsidR="00EC3498">
        <w:rPr>
          <w:lang w:val="en-GB"/>
        </w:rPr>
        <w:t xml:space="preserve">in </w:t>
      </w:r>
      <w:r w:rsidRPr="001D77D9" w:rsidR="0055599E">
        <w:rPr>
          <w:lang w:val="en-GB"/>
        </w:rPr>
        <w:t>recei</w:t>
      </w:r>
      <w:r w:rsidRPr="001D77D9" w:rsidR="00EC3498">
        <w:rPr>
          <w:lang w:val="en-GB"/>
        </w:rPr>
        <w:t xml:space="preserve">pt </w:t>
      </w:r>
      <w:r w:rsidRPr="001D77D9" w:rsidR="0055599E">
        <w:rPr>
          <w:lang w:val="en-GB"/>
        </w:rPr>
        <w:t>of the</w:t>
      </w:r>
      <w:r w:rsidRPr="001D77D9">
        <w:rPr>
          <w:lang w:val="en-GB"/>
        </w:rPr>
        <w:t xml:space="preserve"> </w:t>
      </w:r>
      <w:proofErr w:type="spellStart"/>
      <w:r w:rsidRPr="001D77D9">
        <w:rPr>
          <w:i/>
          <w:lang w:val="en-GB"/>
        </w:rPr>
        <w:t>Azadiya</w:t>
      </w:r>
      <w:proofErr w:type="spellEnd"/>
      <w:r w:rsidRPr="001D77D9">
        <w:rPr>
          <w:i/>
          <w:lang w:val="en-GB"/>
        </w:rPr>
        <w:t xml:space="preserve"> </w:t>
      </w:r>
      <w:proofErr w:type="spellStart"/>
      <w:r w:rsidRPr="001D77D9">
        <w:rPr>
          <w:i/>
          <w:lang w:val="en-GB"/>
        </w:rPr>
        <w:t>Welat</w:t>
      </w:r>
      <w:proofErr w:type="spellEnd"/>
      <w:r w:rsidRPr="001D77D9">
        <w:rPr>
          <w:lang w:val="en-GB"/>
        </w:rPr>
        <w:t xml:space="preserve"> </w:t>
      </w:r>
      <w:r w:rsidRPr="001D77D9" w:rsidR="0055599E">
        <w:rPr>
          <w:lang w:val="en-GB"/>
        </w:rPr>
        <w:t xml:space="preserve">newspaper </w:t>
      </w:r>
      <w:r w:rsidRPr="001D77D9" w:rsidR="00323071">
        <w:rPr>
          <w:lang w:val="en-GB"/>
        </w:rPr>
        <w:t xml:space="preserve">and that his appeal to the post-sentencing </w:t>
      </w:r>
      <w:r w:rsidRPr="001D77D9" w:rsidR="0055599E">
        <w:rPr>
          <w:lang w:val="en-GB"/>
        </w:rPr>
        <w:t>judge</w:t>
      </w:r>
      <w:r w:rsidRPr="001D77D9">
        <w:rPr>
          <w:lang w:val="en-GB"/>
        </w:rPr>
        <w:t xml:space="preserve"> </w:t>
      </w:r>
      <w:r w:rsidRPr="001D77D9" w:rsidR="00323071">
        <w:rPr>
          <w:lang w:val="en-GB"/>
        </w:rPr>
        <w:t xml:space="preserve">on that matter had been </w:t>
      </w:r>
      <w:r w:rsidRPr="001D77D9" w:rsidR="009B5FB8">
        <w:rPr>
          <w:lang w:val="en-GB"/>
        </w:rPr>
        <w:t>unsuccessful</w:t>
      </w:r>
      <w:r w:rsidRPr="001D77D9" w:rsidR="00323071">
        <w:rPr>
          <w:lang w:val="en-GB"/>
        </w:rPr>
        <w:t xml:space="preserve">. He requested that the </w:t>
      </w:r>
      <w:r w:rsidRPr="001D77D9" w:rsidR="009B5FB8">
        <w:rPr>
          <w:lang w:val="en-GB"/>
        </w:rPr>
        <w:t>practice</w:t>
      </w:r>
      <w:r w:rsidRPr="001D77D9" w:rsidR="00323071">
        <w:rPr>
          <w:lang w:val="en-GB"/>
        </w:rPr>
        <w:t xml:space="preserve"> in question</w:t>
      </w:r>
      <w:r w:rsidRPr="001D77D9">
        <w:rPr>
          <w:lang w:val="en-GB"/>
        </w:rPr>
        <w:t xml:space="preserve">, </w:t>
      </w:r>
      <w:r w:rsidRPr="001D77D9" w:rsidR="00323071">
        <w:rPr>
          <w:lang w:val="en-GB"/>
        </w:rPr>
        <w:t xml:space="preserve">which he described as </w:t>
      </w:r>
      <w:r w:rsidRPr="001D77D9" w:rsidR="009B5FB8">
        <w:rPr>
          <w:lang w:val="en-GB"/>
        </w:rPr>
        <w:t>undemocratic</w:t>
      </w:r>
      <w:r w:rsidRPr="001D77D9" w:rsidR="00323071">
        <w:rPr>
          <w:lang w:val="en-GB"/>
        </w:rPr>
        <w:t xml:space="preserve">, be </w:t>
      </w:r>
      <w:r w:rsidRPr="001D77D9" w:rsidR="009B5FB8">
        <w:rPr>
          <w:lang w:val="en-GB"/>
        </w:rPr>
        <w:t>discontinued</w:t>
      </w:r>
      <w:r w:rsidRPr="001D77D9" w:rsidR="00323071">
        <w:rPr>
          <w:lang w:val="en-GB"/>
        </w:rPr>
        <w:t xml:space="preserve"> and that the newspaper in question be delivered to him in </w:t>
      </w:r>
      <w:r w:rsidRPr="001D77D9" w:rsidR="00EC3498">
        <w:rPr>
          <w:lang w:val="en-GB"/>
        </w:rPr>
        <w:t>the standard</w:t>
      </w:r>
      <w:r w:rsidRPr="001D77D9" w:rsidR="00323071">
        <w:rPr>
          <w:lang w:val="en-GB"/>
        </w:rPr>
        <w:t xml:space="preserve"> </w:t>
      </w:r>
      <w:r w:rsidRPr="001D77D9" w:rsidR="009B5FB8">
        <w:rPr>
          <w:lang w:val="en-GB"/>
        </w:rPr>
        <w:t>manner</w:t>
      </w:r>
      <w:r w:rsidRPr="001D77D9">
        <w:rPr>
          <w:lang w:val="en-GB"/>
        </w:rPr>
        <w:t>.</w:t>
      </w:r>
    </w:p>
    <w:p w:rsidRPr="001D77D9" w:rsidR="00283F86" w:rsidP="00283F86" w:rsidRDefault="00283F86">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30</w:t>
      </w:r>
      <w:r w:rsidRPr="001D77D9">
        <w:rPr>
          <w:lang w:val="en-GB"/>
        </w:rPr>
        <w:fldChar w:fldCharType="end"/>
      </w:r>
      <w:r w:rsidRPr="001D77D9">
        <w:rPr>
          <w:lang w:val="en-GB"/>
        </w:rPr>
        <w:t>.  </w:t>
      </w:r>
      <w:r w:rsidRPr="001D77D9" w:rsidR="00323071">
        <w:rPr>
          <w:lang w:val="en-GB"/>
        </w:rPr>
        <w:t>On</w:t>
      </w:r>
      <w:r w:rsidRPr="001D77D9">
        <w:rPr>
          <w:lang w:val="en-GB"/>
        </w:rPr>
        <w:t xml:space="preserve"> 1 </w:t>
      </w:r>
      <w:r w:rsidRPr="001D77D9" w:rsidR="009B5FB8">
        <w:rPr>
          <w:lang w:val="en-GB"/>
        </w:rPr>
        <w:t>November</w:t>
      </w:r>
      <w:r w:rsidRPr="001D77D9">
        <w:rPr>
          <w:lang w:val="en-GB"/>
        </w:rPr>
        <w:t xml:space="preserve"> 2007 M</w:t>
      </w:r>
      <w:r w:rsidRPr="001D77D9" w:rsidR="00323071">
        <w:rPr>
          <w:lang w:val="en-GB"/>
        </w:rPr>
        <w:t>r</w:t>
      </w:r>
      <w:r w:rsidRPr="001D77D9">
        <w:rPr>
          <w:lang w:val="en-GB"/>
        </w:rPr>
        <w:t xml:space="preserve"> Abo </w:t>
      </w:r>
      <w:r w:rsidRPr="001D77D9" w:rsidR="00323071">
        <w:rPr>
          <w:lang w:val="en-GB"/>
        </w:rPr>
        <w:t xml:space="preserve">wrote to the </w:t>
      </w:r>
      <w:proofErr w:type="spellStart"/>
      <w:r w:rsidRPr="001D77D9" w:rsidR="00323071">
        <w:rPr>
          <w:lang w:val="en-GB"/>
        </w:rPr>
        <w:t>Tekirdağ</w:t>
      </w:r>
      <w:proofErr w:type="spellEnd"/>
      <w:r w:rsidRPr="001D77D9" w:rsidR="00323071">
        <w:rPr>
          <w:lang w:val="en-GB"/>
        </w:rPr>
        <w:t xml:space="preserve"> Assize Court</w:t>
      </w:r>
      <w:r w:rsidRPr="001D77D9">
        <w:rPr>
          <w:lang w:val="en-GB"/>
        </w:rPr>
        <w:t xml:space="preserve">. </w:t>
      </w:r>
      <w:r w:rsidRPr="001D77D9" w:rsidR="00323071">
        <w:rPr>
          <w:lang w:val="en-GB"/>
        </w:rPr>
        <w:t xml:space="preserve">He submitted that </w:t>
      </w:r>
      <w:proofErr w:type="spellStart"/>
      <w:r w:rsidRPr="001D77D9">
        <w:rPr>
          <w:i/>
          <w:lang w:val="en-GB"/>
        </w:rPr>
        <w:t>Azadiya</w:t>
      </w:r>
      <w:proofErr w:type="spellEnd"/>
      <w:r w:rsidRPr="001D77D9">
        <w:rPr>
          <w:i/>
          <w:lang w:val="en-GB"/>
        </w:rPr>
        <w:t xml:space="preserve"> </w:t>
      </w:r>
      <w:proofErr w:type="spellStart"/>
      <w:r w:rsidRPr="001D77D9">
        <w:rPr>
          <w:i/>
          <w:lang w:val="en-GB"/>
        </w:rPr>
        <w:t>Welat</w:t>
      </w:r>
      <w:proofErr w:type="spellEnd"/>
      <w:r w:rsidRPr="001D77D9">
        <w:rPr>
          <w:lang w:val="en-GB"/>
        </w:rPr>
        <w:t xml:space="preserve"> </w:t>
      </w:r>
      <w:r w:rsidRPr="001D77D9" w:rsidR="00323071">
        <w:rPr>
          <w:lang w:val="en-GB"/>
        </w:rPr>
        <w:t xml:space="preserve">was a newspaper which was </w:t>
      </w:r>
      <w:r w:rsidRPr="001D77D9" w:rsidR="004C781A">
        <w:rPr>
          <w:lang w:val="en-GB"/>
        </w:rPr>
        <w:t xml:space="preserve">subject to the same </w:t>
      </w:r>
      <w:r w:rsidRPr="001D77D9" w:rsidR="001F6F1C">
        <w:rPr>
          <w:lang w:val="en-GB"/>
        </w:rPr>
        <w:t>kind of review</w:t>
      </w:r>
      <w:r w:rsidRPr="001D77D9" w:rsidR="004C781A">
        <w:rPr>
          <w:lang w:val="en-GB"/>
        </w:rPr>
        <w:t xml:space="preserve"> as </w:t>
      </w:r>
      <w:r w:rsidRPr="001D77D9" w:rsidR="009B5FB8">
        <w:rPr>
          <w:lang w:val="en-GB"/>
        </w:rPr>
        <w:t>all</w:t>
      </w:r>
      <w:r w:rsidRPr="001D77D9" w:rsidR="00323071">
        <w:rPr>
          <w:lang w:val="en-GB"/>
        </w:rPr>
        <w:t xml:space="preserve"> </w:t>
      </w:r>
      <w:r w:rsidRPr="001D77D9" w:rsidR="00EC3498">
        <w:rPr>
          <w:lang w:val="en-GB"/>
        </w:rPr>
        <w:t xml:space="preserve">other </w:t>
      </w:r>
      <w:r w:rsidRPr="001D77D9" w:rsidR="00323071">
        <w:rPr>
          <w:lang w:val="en-GB"/>
        </w:rPr>
        <w:t xml:space="preserve">organs of the </w:t>
      </w:r>
      <w:r w:rsidRPr="001D77D9" w:rsidR="009B5FB8">
        <w:rPr>
          <w:lang w:val="en-GB"/>
        </w:rPr>
        <w:t>press</w:t>
      </w:r>
      <w:r w:rsidRPr="001D77D9">
        <w:rPr>
          <w:lang w:val="en-GB"/>
        </w:rPr>
        <w:t xml:space="preserve">. </w:t>
      </w:r>
      <w:r w:rsidRPr="001D77D9" w:rsidR="004C781A">
        <w:rPr>
          <w:lang w:val="en-GB"/>
        </w:rPr>
        <w:t xml:space="preserve">The lack of any judicial </w:t>
      </w:r>
      <w:r w:rsidRPr="001D77D9" w:rsidR="009B5FB8">
        <w:rPr>
          <w:lang w:val="en-GB"/>
        </w:rPr>
        <w:t>proceedings</w:t>
      </w:r>
      <w:r w:rsidRPr="001D77D9">
        <w:rPr>
          <w:lang w:val="en-GB"/>
        </w:rPr>
        <w:t xml:space="preserve"> </w:t>
      </w:r>
      <w:r w:rsidRPr="001D77D9" w:rsidR="004C781A">
        <w:rPr>
          <w:lang w:val="en-GB"/>
        </w:rPr>
        <w:t>or</w:t>
      </w:r>
      <w:r w:rsidRPr="001D77D9">
        <w:rPr>
          <w:lang w:val="en-GB"/>
        </w:rPr>
        <w:t xml:space="preserve"> </w:t>
      </w:r>
      <w:r w:rsidRPr="001D77D9" w:rsidR="00EC3498">
        <w:rPr>
          <w:lang w:val="en-GB"/>
        </w:rPr>
        <w:t xml:space="preserve">of a </w:t>
      </w:r>
      <w:r w:rsidRPr="001D77D9" w:rsidR="004C781A">
        <w:rPr>
          <w:lang w:val="en-GB"/>
        </w:rPr>
        <w:t xml:space="preserve">ban </w:t>
      </w:r>
      <w:r w:rsidRPr="001D77D9" w:rsidR="00EC3498">
        <w:rPr>
          <w:lang w:val="en-GB"/>
        </w:rPr>
        <w:t>against</w:t>
      </w:r>
      <w:r w:rsidRPr="001D77D9" w:rsidR="004C781A">
        <w:rPr>
          <w:lang w:val="en-GB"/>
        </w:rPr>
        <w:t xml:space="preserve"> that daily newspaper was </w:t>
      </w:r>
      <w:r w:rsidRPr="001D77D9" w:rsidR="009B5FB8">
        <w:rPr>
          <w:lang w:val="en-GB"/>
        </w:rPr>
        <w:t>sufficient</w:t>
      </w:r>
      <w:r w:rsidRPr="001D77D9" w:rsidR="004C781A">
        <w:rPr>
          <w:lang w:val="en-GB"/>
        </w:rPr>
        <w:t xml:space="preserve"> on its </w:t>
      </w:r>
      <w:r w:rsidRPr="001D77D9" w:rsidR="009B5FB8">
        <w:rPr>
          <w:lang w:val="en-GB"/>
        </w:rPr>
        <w:t>own</w:t>
      </w:r>
      <w:r w:rsidRPr="001D77D9" w:rsidR="004C781A">
        <w:rPr>
          <w:lang w:val="en-GB"/>
        </w:rPr>
        <w:t xml:space="preserve"> to </w:t>
      </w:r>
      <w:r w:rsidRPr="001D77D9" w:rsidR="00EC3498">
        <w:rPr>
          <w:lang w:val="en-GB"/>
        </w:rPr>
        <w:t>demonstrate</w:t>
      </w:r>
      <w:r w:rsidRPr="001D77D9" w:rsidR="004C781A">
        <w:rPr>
          <w:lang w:val="en-GB"/>
        </w:rPr>
        <w:t xml:space="preserve"> that it raised no</w:t>
      </w:r>
      <w:r w:rsidRPr="001D77D9">
        <w:rPr>
          <w:lang w:val="en-GB"/>
        </w:rPr>
        <w:t xml:space="preserve"> </w:t>
      </w:r>
      <w:r w:rsidRPr="001D77D9" w:rsidR="009B5FB8">
        <w:rPr>
          <w:lang w:val="en-GB"/>
        </w:rPr>
        <w:t>problems</w:t>
      </w:r>
      <w:r w:rsidRPr="001D77D9">
        <w:rPr>
          <w:lang w:val="en-GB"/>
        </w:rPr>
        <w:t xml:space="preserve"> </w:t>
      </w:r>
      <w:r w:rsidRPr="001D77D9" w:rsidR="004C781A">
        <w:rPr>
          <w:lang w:val="en-GB"/>
        </w:rPr>
        <w:t xml:space="preserve">and that he should therefore have </w:t>
      </w:r>
      <w:r w:rsidRPr="001D77D9" w:rsidR="009B5FB8">
        <w:rPr>
          <w:lang w:val="en-GB"/>
        </w:rPr>
        <w:t>access</w:t>
      </w:r>
      <w:r w:rsidRPr="001D77D9" w:rsidR="004C781A">
        <w:rPr>
          <w:lang w:val="en-GB"/>
        </w:rPr>
        <w:t xml:space="preserve"> to it</w:t>
      </w:r>
      <w:r w:rsidRPr="001D77D9">
        <w:rPr>
          <w:lang w:val="en-GB"/>
        </w:rPr>
        <w:t xml:space="preserve">. </w:t>
      </w:r>
      <w:r w:rsidRPr="001D77D9" w:rsidR="003032B9">
        <w:rPr>
          <w:lang w:val="en-GB"/>
        </w:rPr>
        <w:t>He</w:t>
      </w:r>
      <w:r w:rsidRPr="001D77D9">
        <w:rPr>
          <w:lang w:val="en-GB"/>
        </w:rPr>
        <w:t xml:space="preserve"> </w:t>
      </w:r>
      <w:r w:rsidRPr="001D77D9" w:rsidR="003032B9">
        <w:rPr>
          <w:lang w:val="en-GB"/>
        </w:rPr>
        <w:t>consequently requested the setting aside of the post</w:t>
      </w:r>
      <w:r w:rsidR="00934B09">
        <w:rPr>
          <w:lang w:val="en-GB"/>
        </w:rPr>
        <w:noBreakHyphen/>
      </w:r>
      <w:r w:rsidRPr="001D77D9" w:rsidR="003032B9">
        <w:rPr>
          <w:lang w:val="en-GB"/>
        </w:rPr>
        <w:t>sentencing</w:t>
      </w:r>
      <w:r w:rsidRPr="001D77D9">
        <w:rPr>
          <w:lang w:val="en-GB"/>
        </w:rPr>
        <w:t xml:space="preserve"> </w:t>
      </w:r>
      <w:r w:rsidRPr="001D77D9" w:rsidR="00160F39">
        <w:rPr>
          <w:lang w:val="en-GB"/>
        </w:rPr>
        <w:t>judge</w:t>
      </w:r>
      <w:r w:rsidR="00934B09">
        <w:rPr>
          <w:lang w:val="en-GB"/>
        </w:rPr>
        <w:t>’</w:t>
      </w:r>
      <w:r w:rsidRPr="001D77D9" w:rsidR="00160F39">
        <w:rPr>
          <w:lang w:val="en-GB"/>
        </w:rPr>
        <w:t>s</w:t>
      </w:r>
      <w:r w:rsidRPr="001D77D9">
        <w:rPr>
          <w:lang w:val="en-GB"/>
        </w:rPr>
        <w:t xml:space="preserve"> </w:t>
      </w:r>
      <w:r w:rsidRPr="001D77D9" w:rsidR="00160F39">
        <w:rPr>
          <w:lang w:val="en-GB"/>
        </w:rPr>
        <w:t>decision</w:t>
      </w:r>
      <w:r w:rsidRPr="001D77D9" w:rsidR="003032B9">
        <w:rPr>
          <w:lang w:val="en-GB"/>
        </w:rPr>
        <w:t xml:space="preserve"> and its </w:t>
      </w:r>
      <w:r w:rsidRPr="001D77D9" w:rsidR="00160F39">
        <w:rPr>
          <w:lang w:val="en-GB"/>
        </w:rPr>
        <w:t>replacement</w:t>
      </w:r>
      <w:r w:rsidRPr="001D77D9" w:rsidR="003032B9">
        <w:rPr>
          <w:lang w:val="en-GB"/>
        </w:rPr>
        <w:t xml:space="preserve"> by a</w:t>
      </w:r>
      <w:r w:rsidRPr="001D77D9">
        <w:rPr>
          <w:lang w:val="en-GB"/>
        </w:rPr>
        <w:t xml:space="preserve"> </w:t>
      </w:r>
      <w:r w:rsidRPr="001D77D9" w:rsidR="00160F39">
        <w:rPr>
          <w:lang w:val="en-GB"/>
        </w:rPr>
        <w:t>decision</w:t>
      </w:r>
      <w:r w:rsidRPr="001D77D9">
        <w:rPr>
          <w:lang w:val="en-GB"/>
        </w:rPr>
        <w:t xml:space="preserve"> </w:t>
      </w:r>
      <w:r w:rsidRPr="001D77D9" w:rsidR="003032B9">
        <w:rPr>
          <w:lang w:val="en-GB"/>
        </w:rPr>
        <w:t xml:space="preserve">to </w:t>
      </w:r>
      <w:r w:rsidRPr="001D77D9" w:rsidR="00160F39">
        <w:rPr>
          <w:lang w:val="en-GB"/>
        </w:rPr>
        <w:t>resume</w:t>
      </w:r>
      <w:r w:rsidRPr="001D77D9" w:rsidR="003032B9">
        <w:rPr>
          <w:lang w:val="en-GB"/>
        </w:rPr>
        <w:t xml:space="preserve"> deliveries of the newspaper to him</w:t>
      </w:r>
      <w:r w:rsidRPr="001D77D9">
        <w:rPr>
          <w:lang w:val="en-GB"/>
        </w:rPr>
        <w:t>.</w:t>
      </w:r>
    </w:p>
    <w:p w:rsidRPr="001D77D9" w:rsidR="00283F86" w:rsidP="00283F86" w:rsidRDefault="00283F86">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31</w:t>
      </w:r>
      <w:r w:rsidRPr="001D77D9">
        <w:rPr>
          <w:lang w:val="en-GB"/>
        </w:rPr>
        <w:fldChar w:fldCharType="end"/>
      </w:r>
      <w:r w:rsidRPr="001D77D9">
        <w:rPr>
          <w:lang w:val="en-GB"/>
        </w:rPr>
        <w:t>.  </w:t>
      </w:r>
      <w:r w:rsidRPr="001D77D9" w:rsidR="003032B9">
        <w:rPr>
          <w:lang w:val="en-GB"/>
        </w:rPr>
        <w:t>On</w:t>
      </w:r>
      <w:r w:rsidRPr="001D77D9">
        <w:rPr>
          <w:lang w:val="en-GB"/>
        </w:rPr>
        <w:t xml:space="preserve"> 8 </w:t>
      </w:r>
      <w:r w:rsidRPr="001D77D9" w:rsidR="00160F39">
        <w:rPr>
          <w:lang w:val="en-GB"/>
        </w:rPr>
        <w:t>November</w:t>
      </w:r>
      <w:r w:rsidRPr="001D77D9">
        <w:rPr>
          <w:lang w:val="en-GB"/>
        </w:rPr>
        <w:t xml:space="preserve"> 2007</w:t>
      </w:r>
      <w:r w:rsidRPr="001D77D9" w:rsidR="003032B9">
        <w:rPr>
          <w:lang w:val="en-GB"/>
        </w:rPr>
        <w:t xml:space="preserve"> the </w:t>
      </w:r>
      <w:proofErr w:type="spellStart"/>
      <w:r w:rsidRPr="001D77D9" w:rsidR="003032B9">
        <w:rPr>
          <w:lang w:val="en-GB"/>
        </w:rPr>
        <w:t>Tekirdağ</w:t>
      </w:r>
      <w:proofErr w:type="spellEnd"/>
      <w:r w:rsidRPr="001D77D9" w:rsidR="003032B9">
        <w:rPr>
          <w:lang w:val="en-GB"/>
        </w:rPr>
        <w:t xml:space="preserve"> </w:t>
      </w:r>
      <w:r w:rsidRPr="001D77D9" w:rsidR="00160F39">
        <w:rPr>
          <w:lang w:val="en-GB"/>
        </w:rPr>
        <w:t>Assize</w:t>
      </w:r>
      <w:r w:rsidRPr="001D77D9" w:rsidR="003032B9">
        <w:rPr>
          <w:lang w:val="en-GB"/>
        </w:rPr>
        <w:t xml:space="preserve"> </w:t>
      </w:r>
      <w:r w:rsidRPr="001D77D9" w:rsidR="00160F39">
        <w:rPr>
          <w:lang w:val="en-GB"/>
        </w:rPr>
        <w:t>Court</w:t>
      </w:r>
      <w:r w:rsidRPr="001D77D9">
        <w:rPr>
          <w:lang w:val="en-GB"/>
        </w:rPr>
        <w:t xml:space="preserve">, </w:t>
      </w:r>
      <w:r w:rsidRPr="001D77D9" w:rsidR="00852FB5">
        <w:rPr>
          <w:lang w:val="en-GB"/>
        </w:rPr>
        <w:t xml:space="preserve">ruling </w:t>
      </w:r>
      <w:r w:rsidRPr="001D77D9" w:rsidR="003B257A">
        <w:rPr>
          <w:lang w:val="en-GB"/>
        </w:rPr>
        <w:t>on the basis of the case file and having taken cognisance of the State Prosecutor</w:t>
      </w:r>
      <w:r w:rsidR="00934B09">
        <w:rPr>
          <w:lang w:val="en-GB"/>
        </w:rPr>
        <w:t>’</w:t>
      </w:r>
      <w:r w:rsidRPr="001D77D9" w:rsidR="003B257A">
        <w:rPr>
          <w:lang w:val="en-GB"/>
        </w:rPr>
        <w:t xml:space="preserve">s opinion, </w:t>
      </w:r>
      <w:r w:rsidRPr="001D77D9" w:rsidR="00561334">
        <w:rPr>
          <w:lang w:val="en-GB"/>
        </w:rPr>
        <w:t xml:space="preserve">found </w:t>
      </w:r>
      <w:r w:rsidRPr="001D77D9" w:rsidR="003B257A">
        <w:rPr>
          <w:lang w:val="en-GB" w:eastAsia="fr-FR"/>
        </w:rPr>
        <w:t>that the impugned decision had been unobjectionable in procedural and legal terms</w:t>
      </w:r>
      <w:r w:rsidRPr="001D77D9" w:rsidR="003B257A">
        <w:rPr>
          <w:lang w:val="en-GB"/>
        </w:rPr>
        <w:t xml:space="preserve"> and dismissed the request</w:t>
      </w:r>
      <w:r w:rsidRPr="001D77D9">
        <w:rPr>
          <w:lang w:val="en-GB"/>
        </w:rPr>
        <w:t>.</w:t>
      </w:r>
    </w:p>
    <w:p w:rsidRPr="001D77D9" w:rsidR="009204CC" w:rsidP="009204CC" w:rsidRDefault="009204CC">
      <w:pPr>
        <w:pStyle w:val="ECHRHeading2"/>
        <w:rPr>
          <w:lang w:val="en-GB"/>
        </w:rPr>
      </w:pPr>
      <w:r w:rsidRPr="001D77D9">
        <w:rPr>
          <w:lang w:val="en-GB"/>
        </w:rPr>
        <w:t>E.  M</w:t>
      </w:r>
      <w:r w:rsidRPr="001D77D9" w:rsidR="003B257A">
        <w:rPr>
          <w:lang w:val="en-GB"/>
        </w:rPr>
        <w:t>r</w:t>
      </w:r>
      <w:r w:rsidRPr="001D77D9">
        <w:rPr>
          <w:lang w:val="en-GB"/>
        </w:rPr>
        <w:t xml:space="preserve"> Abdullah </w:t>
      </w:r>
      <w:proofErr w:type="spellStart"/>
      <w:r w:rsidRPr="001D77D9">
        <w:rPr>
          <w:lang w:val="en-GB"/>
        </w:rPr>
        <w:t>Günay</w:t>
      </w:r>
      <w:proofErr w:type="spellEnd"/>
      <w:r w:rsidRPr="001D77D9">
        <w:rPr>
          <w:lang w:val="en-GB"/>
        </w:rPr>
        <w:t xml:space="preserve"> </w:t>
      </w:r>
      <w:r w:rsidRPr="001D77D9" w:rsidR="003B257A">
        <w:rPr>
          <w:lang w:val="en-GB"/>
        </w:rPr>
        <w:t>and Mr</w:t>
      </w:r>
      <w:r w:rsidRPr="001D77D9">
        <w:rPr>
          <w:lang w:val="en-GB"/>
        </w:rPr>
        <w:t xml:space="preserve"> Mehmet Ali Kaya (</w:t>
      </w:r>
      <w:r w:rsidRPr="001D77D9" w:rsidR="003B257A">
        <w:rPr>
          <w:lang w:val="en-GB"/>
        </w:rPr>
        <w:t>application</w:t>
      </w:r>
      <w:r w:rsidRPr="001D77D9">
        <w:rPr>
          <w:lang w:val="en-GB"/>
        </w:rPr>
        <w:t xml:space="preserve"> n</w:t>
      </w:r>
      <w:r w:rsidRPr="001D77D9" w:rsidR="003B257A">
        <w:rPr>
          <w:lang w:val="en-GB"/>
        </w:rPr>
        <w:t>o.</w:t>
      </w:r>
      <w:r w:rsidR="00934B09">
        <w:rPr>
          <w:lang w:val="en-GB"/>
        </w:rPr>
        <w:t> </w:t>
      </w:r>
      <w:r w:rsidRPr="001D77D9">
        <w:rPr>
          <w:lang w:val="en-GB"/>
        </w:rPr>
        <w:t>26964/08)</w:t>
      </w:r>
    </w:p>
    <w:p w:rsidRPr="001D77D9" w:rsidR="009204CC" w:rsidP="009204CC" w:rsidRDefault="009204CC">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32</w:t>
      </w:r>
      <w:r w:rsidRPr="001D77D9">
        <w:rPr>
          <w:lang w:val="en-GB"/>
        </w:rPr>
        <w:fldChar w:fldCharType="end"/>
      </w:r>
      <w:r w:rsidRPr="001D77D9">
        <w:rPr>
          <w:lang w:val="en-GB"/>
        </w:rPr>
        <w:t>.  </w:t>
      </w:r>
      <w:r w:rsidRPr="001D77D9" w:rsidR="003B257A">
        <w:rPr>
          <w:lang w:val="en-GB"/>
        </w:rPr>
        <w:t>The applic</w:t>
      </w:r>
      <w:r w:rsidRPr="001D77D9">
        <w:rPr>
          <w:lang w:val="en-GB"/>
        </w:rPr>
        <w:t xml:space="preserve">ants </w:t>
      </w:r>
      <w:r w:rsidRPr="001D77D9" w:rsidR="003B257A">
        <w:rPr>
          <w:lang w:val="en-GB"/>
        </w:rPr>
        <w:t>were born</w:t>
      </w:r>
      <w:r w:rsidRPr="001D77D9">
        <w:rPr>
          <w:lang w:val="en-GB"/>
        </w:rPr>
        <w:t xml:space="preserve"> </w:t>
      </w:r>
      <w:r w:rsidRPr="001D77D9" w:rsidR="00160F39">
        <w:rPr>
          <w:lang w:val="en-GB"/>
        </w:rPr>
        <w:t>in</w:t>
      </w:r>
      <w:r w:rsidRPr="001D77D9">
        <w:rPr>
          <w:lang w:val="en-GB"/>
        </w:rPr>
        <w:t xml:space="preserve"> 1979 </w:t>
      </w:r>
      <w:r w:rsidRPr="001D77D9" w:rsidR="003B257A">
        <w:rPr>
          <w:lang w:val="en-GB"/>
        </w:rPr>
        <w:t>and</w:t>
      </w:r>
      <w:r w:rsidRPr="001D77D9">
        <w:rPr>
          <w:lang w:val="en-GB"/>
        </w:rPr>
        <w:t xml:space="preserve"> 1976</w:t>
      </w:r>
      <w:r w:rsidRPr="001D77D9" w:rsidR="003B257A">
        <w:rPr>
          <w:lang w:val="en-GB"/>
        </w:rPr>
        <w:t xml:space="preserve"> </w:t>
      </w:r>
      <w:r w:rsidRPr="001D77D9" w:rsidR="00160F39">
        <w:rPr>
          <w:lang w:val="en-GB"/>
        </w:rPr>
        <w:t>respectively</w:t>
      </w:r>
      <w:r w:rsidRPr="001D77D9">
        <w:rPr>
          <w:lang w:val="en-GB"/>
        </w:rPr>
        <w:t xml:space="preserve">. </w:t>
      </w:r>
      <w:r w:rsidRPr="001D77D9" w:rsidR="003B257A">
        <w:rPr>
          <w:lang w:val="en-GB"/>
        </w:rPr>
        <w:t xml:space="preserve">When their application was lodged they were </w:t>
      </w:r>
      <w:r w:rsidRPr="001D77D9" w:rsidR="00FA3B7C">
        <w:rPr>
          <w:lang w:val="en-GB"/>
        </w:rPr>
        <w:t xml:space="preserve">being </w:t>
      </w:r>
      <w:r w:rsidRPr="001D77D9" w:rsidR="003B257A">
        <w:rPr>
          <w:lang w:val="en-GB"/>
        </w:rPr>
        <w:t xml:space="preserve">held in the </w:t>
      </w:r>
      <w:r w:rsidRPr="001D77D9">
        <w:rPr>
          <w:lang w:val="en-GB"/>
        </w:rPr>
        <w:t>prison F</w:t>
      </w:r>
      <w:r w:rsidRPr="001D77D9" w:rsidR="003B257A">
        <w:rPr>
          <w:lang w:val="en-GB"/>
        </w:rPr>
        <w:t>-type</w:t>
      </w:r>
      <w:r w:rsidRPr="001D77D9">
        <w:rPr>
          <w:lang w:val="en-GB"/>
        </w:rPr>
        <w:t xml:space="preserve"> </w:t>
      </w:r>
      <w:r w:rsidRPr="001D77D9" w:rsidR="003B257A">
        <w:rPr>
          <w:lang w:val="en-GB"/>
        </w:rPr>
        <w:t>in</w:t>
      </w:r>
      <w:r w:rsidRPr="001D77D9">
        <w:rPr>
          <w:lang w:val="en-GB"/>
        </w:rPr>
        <w:t xml:space="preserve"> </w:t>
      </w:r>
      <w:proofErr w:type="spellStart"/>
      <w:r w:rsidRPr="001D77D9">
        <w:rPr>
          <w:lang w:val="en-GB"/>
        </w:rPr>
        <w:t>Tekirdağ</w:t>
      </w:r>
      <w:proofErr w:type="spellEnd"/>
      <w:r w:rsidRPr="001D77D9">
        <w:rPr>
          <w:lang w:val="en-GB"/>
        </w:rPr>
        <w:t>.</w:t>
      </w:r>
    </w:p>
    <w:p w:rsidRPr="001D77D9" w:rsidR="009204CC" w:rsidP="009204CC" w:rsidRDefault="009204CC">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33</w:t>
      </w:r>
      <w:r w:rsidRPr="001D77D9">
        <w:rPr>
          <w:lang w:val="en-GB"/>
        </w:rPr>
        <w:fldChar w:fldCharType="end"/>
      </w:r>
      <w:r w:rsidRPr="001D77D9">
        <w:rPr>
          <w:lang w:val="en-GB"/>
        </w:rPr>
        <w:t>.  </w:t>
      </w:r>
      <w:r w:rsidRPr="001D77D9" w:rsidR="003B257A">
        <w:rPr>
          <w:lang w:val="en-GB"/>
        </w:rPr>
        <w:t>On</w:t>
      </w:r>
      <w:r w:rsidRPr="001D77D9">
        <w:rPr>
          <w:lang w:val="en-GB"/>
        </w:rPr>
        <w:t xml:space="preserve"> 28 </w:t>
      </w:r>
      <w:r w:rsidRPr="001D77D9" w:rsidR="00160F39">
        <w:rPr>
          <w:lang w:val="en-GB"/>
        </w:rPr>
        <w:t>June</w:t>
      </w:r>
      <w:r w:rsidRPr="001D77D9">
        <w:rPr>
          <w:lang w:val="en-GB"/>
        </w:rPr>
        <w:t xml:space="preserve"> </w:t>
      </w:r>
      <w:r w:rsidRPr="001D77D9" w:rsidR="003B257A">
        <w:rPr>
          <w:lang w:val="en-GB"/>
        </w:rPr>
        <w:t xml:space="preserve">2007 the </w:t>
      </w:r>
      <w:proofErr w:type="spellStart"/>
      <w:r w:rsidRPr="001D77D9" w:rsidR="003B257A">
        <w:rPr>
          <w:lang w:val="en-GB"/>
        </w:rPr>
        <w:t>Tekirdağ</w:t>
      </w:r>
      <w:proofErr w:type="spellEnd"/>
      <w:r w:rsidRPr="001D77D9" w:rsidR="003B257A">
        <w:rPr>
          <w:lang w:val="en-GB"/>
        </w:rPr>
        <w:t xml:space="preserve"> prison </w:t>
      </w:r>
      <w:r w:rsidRPr="001D77D9" w:rsidR="00AE07F6">
        <w:rPr>
          <w:lang w:val="en-GB"/>
        </w:rPr>
        <w:t>education board</w:t>
      </w:r>
      <w:r w:rsidRPr="001D77D9" w:rsidR="003B257A">
        <w:rPr>
          <w:lang w:val="en-GB"/>
        </w:rPr>
        <w:t xml:space="preserve"> decided not to </w:t>
      </w:r>
      <w:r w:rsidRPr="001D77D9" w:rsidR="00A812E6">
        <w:rPr>
          <w:lang w:val="en-GB"/>
        </w:rPr>
        <w:t>deliver to</w:t>
      </w:r>
      <w:r w:rsidRPr="001D77D9" w:rsidR="003B257A">
        <w:rPr>
          <w:lang w:val="en-GB"/>
        </w:rPr>
        <w:t xml:space="preserve"> the applicants the 19, 20, 21, 22, 23 24 and 25 June 2007 </w:t>
      </w:r>
      <w:r w:rsidRPr="001D77D9" w:rsidR="004E05A7">
        <w:rPr>
          <w:lang w:val="en-GB"/>
        </w:rPr>
        <w:t>edition</w:t>
      </w:r>
      <w:r w:rsidRPr="001D77D9" w:rsidR="003B257A">
        <w:rPr>
          <w:lang w:val="en-GB"/>
        </w:rPr>
        <w:t xml:space="preserve">s of the </w:t>
      </w:r>
      <w:proofErr w:type="spellStart"/>
      <w:r w:rsidRPr="001D77D9" w:rsidR="003B257A">
        <w:rPr>
          <w:i/>
          <w:lang w:val="en-GB"/>
        </w:rPr>
        <w:t>Azadiya</w:t>
      </w:r>
      <w:proofErr w:type="spellEnd"/>
      <w:r w:rsidRPr="001D77D9" w:rsidR="003B257A">
        <w:rPr>
          <w:i/>
          <w:lang w:val="en-GB"/>
        </w:rPr>
        <w:t xml:space="preserve"> </w:t>
      </w:r>
      <w:proofErr w:type="spellStart"/>
      <w:r w:rsidRPr="001D77D9" w:rsidR="003B257A">
        <w:rPr>
          <w:i/>
          <w:lang w:val="en-GB"/>
        </w:rPr>
        <w:t>Welat</w:t>
      </w:r>
      <w:proofErr w:type="spellEnd"/>
      <w:r w:rsidRPr="001D77D9" w:rsidDel="00692BAE" w:rsidR="003B257A">
        <w:rPr>
          <w:lang w:val="en-GB"/>
        </w:rPr>
        <w:t xml:space="preserve"> </w:t>
      </w:r>
      <w:r w:rsidRPr="001D77D9" w:rsidR="003B257A">
        <w:rPr>
          <w:lang w:val="en-GB"/>
        </w:rPr>
        <w:t>daily newspaper on the ground</w:t>
      </w:r>
      <w:r w:rsidRPr="001D77D9" w:rsidR="0025351F">
        <w:rPr>
          <w:lang w:val="en-GB"/>
        </w:rPr>
        <w:t>s</w:t>
      </w:r>
      <w:r w:rsidRPr="001D77D9" w:rsidR="003B257A">
        <w:rPr>
          <w:lang w:val="en-GB"/>
        </w:rPr>
        <w:t xml:space="preserve"> that they were in the Kurdish language and that the prison had no staff capable of translating that language</w:t>
      </w:r>
      <w:r w:rsidRPr="001D77D9">
        <w:rPr>
          <w:lang w:val="en-GB"/>
        </w:rPr>
        <w:t>.</w:t>
      </w:r>
    </w:p>
    <w:p w:rsidRPr="001D77D9" w:rsidR="009204CC" w:rsidP="009204CC" w:rsidRDefault="009204CC">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34</w:t>
      </w:r>
      <w:r w:rsidRPr="001D77D9">
        <w:rPr>
          <w:lang w:val="en-GB"/>
        </w:rPr>
        <w:fldChar w:fldCharType="end"/>
      </w:r>
      <w:r w:rsidRPr="001D77D9">
        <w:rPr>
          <w:lang w:val="en-GB"/>
        </w:rPr>
        <w:t>.  </w:t>
      </w:r>
      <w:r w:rsidRPr="001D77D9" w:rsidR="002257F0">
        <w:rPr>
          <w:lang w:val="en-GB"/>
        </w:rPr>
        <w:t>On</w:t>
      </w:r>
      <w:r w:rsidRPr="001D77D9">
        <w:rPr>
          <w:lang w:val="en-GB"/>
        </w:rPr>
        <w:t xml:space="preserve"> 5 </w:t>
      </w:r>
      <w:r w:rsidRPr="001D77D9" w:rsidR="00A868A8">
        <w:rPr>
          <w:lang w:val="en-GB"/>
        </w:rPr>
        <w:t>July</w:t>
      </w:r>
      <w:r w:rsidRPr="001D77D9">
        <w:rPr>
          <w:lang w:val="en-GB"/>
        </w:rPr>
        <w:t xml:space="preserve"> 2007 M</w:t>
      </w:r>
      <w:r w:rsidRPr="001D77D9" w:rsidR="002257F0">
        <w:rPr>
          <w:lang w:val="en-GB"/>
        </w:rPr>
        <w:t>r</w:t>
      </w:r>
      <w:r w:rsidRPr="001D77D9">
        <w:rPr>
          <w:lang w:val="en-GB"/>
        </w:rPr>
        <w:t xml:space="preserve"> Kaya </w:t>
      </w:r>
      <w:r w:rsidRPr="001D77D9" w:rsidR="00A868A8">
        <w:rPr>
          <w:lang w:val="en-GB"/>
        </w:rPr>
        <w:t>wrote</w:t>
      </w:r>
      <w:r w:rsidRPr="001D77D9" w:rsidR="002257F0">
        <w:rPr>
          <w:lang w:val="en-GB"/>
        </w:rPr>
        <w:t xml:space="preserve"> to the </w:t>
      </w:r>
      <w:proofErr w:type="spellStart"/>
      <w:r w:rsidRPr="001D77D9" w:rsidR="002257F0">
        <w:rPr>
          <w:lang w:val="en-GB"/>
        </w:rPr>
        <w:t>Tekirdağ</w:t>
      </w:r>
      <w:proofErr w:type="spellEnd"/>
      <w:r w:rsidRPr="001D77D9" w:rsidR="002257F0">
        <w:rPr>
          <w:lang w:val="en-GB"/>
        </w:rPr>
        <w:t xml:space="preserve"> post-sentencing </w:t>
      </w:r>
      <w:r w:rsidRPr="001D77D9" w:rsidR="00A868A8">
        <w:rPr>
          <w:lang w:val="en-GB"/>
        </w:rPr>
        <w:t>judge</w:t>
      </w:r>
      <w:r w:rsidRPr="001D77D9">
        <w:rPr>
          <w:lang w:val="en-GB"/>
        </w:rPr>
        <w:t xml:space="preserve"> </w:t>
      </w:r>
      <w:r w:rsidRPr="001D77D9" w:rsidR="002257F0">
        <w:rPr>
          <w:lang w:val="en-GB"/>
        </w:rPr>
        <w:t>to challenge that</w:t>
      </w:r>
      <w:r w:rsidRPr="001D77D9">
        <w:rPr>
          <w:lang w:val="en-GB"/>
        </w:rPr>
        <w:t xml:space="preserve"> </w:t>
      </w:r>
      <w:r w:rsidRPr="001D77D9" w:rsidR="00160F39">
        <w:rPr>
          <w:lang w:val="en-GB"/>
        </w:rPr>
        <w:t>decision</w:t>
      </w:r>
      <w:r w:rsidRPr="001D77D9">
        <w:rPr>
          <w:lang w:val="en-GB"/>
        </w:rPr>
        <w:t xml:space="preserve"> </w:t>
      </w:r>
      <w:r w:rsidRPr="001D77D9" w:rsidR="002257F0">
        <w:rPr>
          <w:lang w:val="en-GB"/>
        </w:rPr>
        <w:t xml:space="preserve">and </w:t>
      </w:r>
      <w:r w:rsidRPr="001D77D9" w:rsidR="00FA3B7C">
        <w:rPr>
          <w:lang w:val="en-GB"/>
        </w:rPr>
        <w:t xml:space="preserve">to </w:t>
      </w:r>
      <w:r w:rsidRPr="001D77D9" w:rsidR="002257F0">
        <w:rPr>
          <w:lang w:val="en-GB"/>
        </w:rPr>
        <w:t xml:space="preserve">request the delivery of the newspaper </w:t>
      </w:r>
      <w:r w:rsidRPr="001D77D9" w:rsidR="00A868A8">
        <w:rPr>
          <w:lang w:val="en-GB"/>
        </w:rPr>
        <w:t>in</w:t>
      </w:r>
      <w:r w:rsidRPr="001D77D9">
        <w:rPr>
          <w:lang w:val="en-GB"/>
        </w:rPr>
        <w:t xml:space="preserve"> question.</w:t>
      </w:r>
    </w:p>
    <w:p w:rsidRPr="001D77D9" w:rsidR="009204CC" w:rsidP="009204CC" w:rsidRDefault="009204CC">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35</w:t>
      </w:r>
      <w:r w:rsidRPr="001D77D9">
        <w:rPr>
          <w:lang w:val="en-GB"/>
        </w:rPr>
        <w:fldChar w:fldCharType="end"/>
      </w:r>
      <w:r w:rsidRPr="001D77D9">
        <w:rPr>
          <w:lang w:val="en-GB"/>
        </w:rPr>
        <w:t>.  </w:t>
      </w:r>
      <w:r w:rsidRPr="001D77D9" w:rsidR="002257F0">
        <w:rPr>
          <w:lang w:val="en-GB"/>
        </w:rPr>
        <w:t>On</w:t>
      </w:r>
      <w:r w:rsidRPr="001D77D9">
        <w:rPr>
          <w:lang w:val="en-GB"/>
        </w:rPr>
        <w:t xml:space="preserve"> 9 </w:t>
      </w:r>
      <w:r w:rsidRPr="001D77D9" w:rsidR="00A868A8">
        <w:rPr>
          <w:lang w:val="en-GB"/>
        </w:rPr>
        <w:t>July</w:t>
      </w:r>
      <w:r w:rsidRPr="001D77D9">
        <w:rPr>
          <w:lang w:val="en-GB"/>
        </w:rPr>
        <w:t xml:space="preserve"> 2007</w:t>
      </w:r>
      <w:r w:rsidRPr="001D77D9" w:rsidR="002257F0">
        <w:rPr>
          <w:lang w:val="en-GB"/>
        </w:rPr>
        <w:t xml:space="preserve"> the applic</w:t>
      </w:r>
      <w:r w:rsidRPr="001D77D9">
        <w:rPr>
          <w:lang w:val="en-GB"/>
        </w:rPr>
        <w:t xml:space="preserve">ants </w:t>
      </w:r>
      <w:r w:rsidRPr="001D77D9" w:rsidR="002257F0">
        <w:rPr>
          <w:lang w:val="en-GB"/>
        </w:rPr>
        <w:t>lodged an appeal against th</w:t>
      </w:r>
      <w:r w:rsidRPr="001D77D9" w:rsidR="00FA3B7C">
        <w:rPr>
          <w:lang w:val="en-GB"/>
        </w:rPr>
        <w:t>e impugned</w:t>
      </w:r>
      <w:r w:rsidRPr="001D77D9" w:rsidR="002257F0">
        <w:rPr>
          <w:lang w:val="en-GB"/>
        </w:rPr>
        <w:t xml:space="preserve"> </w:t>
      </w:r>
      <w:r w:rsidRPr="001D77D9" w:rsidR="00160F39">
        <w:rPr>
          <w:lang w:val="en-GB"/>
        </w:rPr>
        <w:t>decision</w:t>
      </w:r>
      <w:r w:rsidRPr="001D77D9">
        <w:rPr>
          <w:lang w:val="en-GB"/>
        </w:rPr>
        <w:t>.</w:t>
      </w:r>
    </w:p>
    <w:p w:rsidRPr="001D77D9" w:rsidR="009204CC" w:rsidP="009204CC" w:rsidRDefault="009204CC">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36</w:t>
      </w:r>
      <w:r w:rsidRPr="001D77D9">
        <w:rPr>
          <w:lang w:val="en-GB"/>
        </w:rPr>
        <w:fldChar w:fldCharType="end"/>
      </w:r>
      <w:r w:rsidRPr="001D77D9">
        <w:rPr>
          <w:lang w:val="en-GB"/>
        </w:rPr>
        <w:t>.  </w:t>
      </w:r>
      <w:r w:rsidRPr="001D77D9" w:rsidR="002257F0">
        <w:rPr>
          <w:lang w:val="en-GB"/>
        </w:rPr>
        <w:t>On</w:t>
      </w:r>
      <w:r w:rsidRPr="001D77D9">
        <w:rPr>
          <w:lang w:val="en-GB"/>
        </w:rPr>
        <w:t xml:space="preserve"> 22 </w:t>
      </w:r>
      <w:r w:rsidRPr="001D77D9" w:rsidR="00A868A8">
        <w:rPr>
          <w:lang w:val="en-GB"/>
        </w:rPr>
        <w:t>October</w:t>
      </w:r>
      <w:r w:rsidRPr="001D77D9">
        <w:rPr>
          <w:lang w:val="en-GB"/>
        </w:rPr>
        <w:t xml:space="preserve"> 2007, </w:t>
      </w:r>
      <w:r w:rsidRPr="001D77D9" w:rsidR="00FE1E21">
        <w:rPr>
          <w:lang w:val="en-GB"/>
        </w:rPr>
        <w:t xml:space="preserve">ruling </w:t>
      </w:r>
      <w:r w:rsidRPr="001D77D9" w:rsidR="00182EA5">
        <w:rPr>
          <w:lang w:val="en-GB"/>
        </w:rPr>
        <w:t>on the basis of the ca</w:t>
      </w:r>
      <w:r w:rsidRPr="001D77D9" w:rsidR="00DB63B8">
        <w:rPr>
          <w:lang w:val="en-GB"/>
        </w:rPr>
        <w:t>se fi</w:t>
      </w:r>
      <w:r w:rsidRPr="001D77D9" w:rsidR="00182EA5">
        <w:rPr>
          <w:lang w:val="en-GB"/>
        </w:rPr>
        <w:t xml:space="preserve">le, the </w:t>
      </w:r>
      <w:proofErr w:type="spellStart"/>
      <w:r w:rsidRPr="001D77D9" w:rsidR="00182EA5">
        <w:rPr>
          <w:lang w:val="en-GB"/>
        </w:rPr>
        <w:t>Tekirdağ</w:t>
      </w:r>
      <w:proofErr w:type="spellEnd"/>
      <w:r w:rsidRPr="001D77D9" w:rsidR="00182EA5">
        <w:rPr>
          <w:lang w:val="en-GB"/>
        </w:rPr>
        <w:t xml:space="preserve"> post-sentencing judge dismissed </w:t>
      </w:r>
      <w:r w:rsidRPr="001D77D9" w:rsidR="00837C3B">
        <w:rPr>
          <w:lang w:val="en-GB"/>
        </w:rPr>
        <w:t>that</w:t>
      </w:r>
      <w:r w:rsidRPr="001D77D9" w:rsidR="00182EA5">
        <w:rPr>
          <w:lang w:val="en-GB"/>
        </w:rPr>
        <w:t xml:space="preserve"> appeal</w:t>
      </w:r>
      <w:r w:rsidRPr="001D77D9" w:rsidR="00FE1E21">
        <w:rPr>
          <w:lang w:val="en-GB"/>
        </w:rPr>
        <w:t xml:space="preserve"> on the grounds</w:t>
      </w:r>
      <w:r w:rsidRPr="001D77D9" w:rsidR="00182EA5">
        <w:rPr>
          <w:lang w:val="en-GB"/>
        </w:rPr>
        <w:t xml:space="preserve"> that the </w:t>
      </w:r>
      <w:r w:rsidRPr="001D77D9" w:rsidR="00837C3B">
        <w:rPr>
          <w:lang w:val="en-GB"/>
        </w:rPr>
        <w:t xml:space="preserve">impugned </w:t>
      </w:r>
      <w:r w:rsidRPr="001D77D9" w:rsidR="00182EA5">
        <w:rPr>
          <w:lang w:val="en-GB"/>
        </w:rPr>
        <w:t>decision</w:t>
      </w:r>
      <w:r w:rsidRPr="001D77D9" w:rsidR="00182EA5">
        <w:rPr>
          <w:lang w:val="en-GB" w:eastAsia="fr-FR"/>
        </w:rPr>
        <w:t xml:space="preserve"> had been unobjectionable in procedural and legal terms</w:t>
      </w:r>
      <w:r w:rsidRPr="001D77D9" w:rsidR="00182EA5">
        <w:rPr>
          <w:lang w:val="en-GB"/>
        </w:rPr>
        <w:t>. He adjudicated in the light of the State Prosecutor</w:t>
      </w:r>
      <w:r w:rsidR="00934B09">
        <w:rPr>
          <w:lang w:val="en-GB"/>
        </w:rPr>
        <w:t>’</w:t>
      </w:r>
      <w:r w:rsidRPr="001D77D9" w:rsidR="00182EA5">
        <w:rPr>
          <w:lang w:val="en-GB"/>
        </w:rPr>
        <w:t xml:space="preserve">s opinion that in order to assess the conformity with section 62 § 3 of the relevant law of publications in a language other than the official language, a translation of those publications </w:t>
      </w:r>
      <w:r w:rsidRPr="001D77D9" w:rsidR="00CB6387">
        <w:rPr>
          <w:lang w:val="en-GB"/>
        </w:rPr>
        <w:t>was</w:t>
      </w:r>
      <w:r w:rsidRPr="001D77D9" w:rsidR="00182EA5">
        <w:rPr>
          <w:lang w:val="en-GB"/>
        </w:rPr>
        <w:t xml:space="preserve"> required, that there was no legal provision requiring the prison to finance the translation costs, that such expenses had not been covered by the appellant</w:t>
      </w:r>
      <w:r w:rsidRPr="001D77D9" w:rsidR="00B1574B">
        <w:rPr>
          <w:lang w:val="en-GB"/>
        </w:rPr>
        <w:t>s</w:t>
      </w:r>
      <w:r w:rsidRPr="001D77D9" w:rsidR="00182EA5">
        <w:rPr>
          <w:lang w:val="en-GB"/>
        </w:rPr>
        <w:t xml:space="preserve"> and that the measure adopted by the prison authorities had consequently been justified</w:t>
      </w:r>
      <w:r w:rsidRPr="001D77D9">
        <w:rPr>
          <w:lang w:val="en-GB"/>
        </w:rPr>
        <w:t>.</w:t>
      </w:r>
    </w:p>
    <w:p w:rsidRPr="001D77D9" w:rsidR="00E63A32" w:rsidP="009204CC" w:rsidRDefault="009204CC">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37</w:t>
      </w:r>
      <w:r w:rsidRPr="001D77D9">
        <w:rPr>
          <w:lang w:val="en-GB"/>
        </w:rPr>
        <w:fldChar w:fldCharType="end"/>
      </w:r>
      <w:r w:rsidRPr="001D77D9">
        <w:rPr>
          <w:lang w:val="en-GB"/>
        </w:rPr>
        <w:t>.  </w:t>
      </w:r>
      <w:r w:rsidRPr="001D77D9" w:rsidR="00E63A32">
        <w:rPr>
          <w:lang w:val="en-GB"/>
        </w:rPr>
        <w:t>On</w:t>
      </w:r>
      <w:r w:rsidRPr="001D77D9">
        <w:rPr>
          <w:lang w:val="en-GB"/>
        </w:rPr>
        <w:t xml:space="preserve"> 26 </w:t>
      </w:r>
      <w:r w:rsidRPr="001D77D9" w:rsidR="00A868A8">
        <w:rPr>
          <w:lang w:val="en-GB"/>
        </w:rPr>
        <w:t>October</w:t>
      </w:r>
      <w:r w:rsidRPr="001D77D9">
        <w:rPr>
          <w:lang w:val="en-GB"/>
        </w:rPr>
        <w:t xml:space="preserve"> </w:t>
      </w:r>
      <w:r w:rsidRPr="001D77D9" w:rsidR="00E63A32">
        <w:rPr>
          <w:lang w:val="en-GB"/>
        </w:rPr>
        <w:t>and</w:t>
      </w:r>
      <w:r w:rsidRPr="001D77D9">
        <w:rPr>
          <w:lang w:val="en-GB"/>
        </w:rPr>
        <w:t xml:space="preserve"> 30 </w:t>
      </w:r>
      <w:r w:rsidRPr="001D77D9" w:rsidR="00A868A8">
        <w:rPr>
          <w:lang w:val="en-GB"/>
        </w:rPr>
        <w:t>October</w:t>
      </w:r>
      <w:r w:rsidRPr="001D77D9">
        <w:rPr>
          <w:lang w:val="en-GB"/>
        </w:rPr>
        <w:t xml:space="preserve"> 2007 respective</w:t>
      </w:r>
      <w:r w:rsidRPr="001D77D9" w:rsidR="00E63A32">
        <w:rPr>
          <w:lang w:val="en-GB"/>
        </w:rPr>
        <w:t>ly</w:t>
      </w:r>
      <w:r w:rsidRPr="001D77D9">
        <w:rPr>
          <w:lang w:val="en-GB"/>
        </w:rPr>
        <w:t xml:space="preserve"> M</w:t>
      </w:r>
      <w:r w:rsidRPr="001D77D9" w:rsidR="00E63A32">
        <w:rPr>
          <w:lang w:val="en-GB"/>
        </w:rPr>
        <w:t>r</w:t>
      </w:r>
      <w:r w:rsidRPr="001D77D9">
        <w:rPr>
          <w:lang w:val="en-GB"/>
        </w:rPr>
        <w:t xml:space="preserve"> Abdullah </w:t>
      </w:r>
      <w:proofErr w:type="spellStart"/>
      <w:r w:rsidRPr="001D77D9">
        <w:rPr>
          <w:lang w:val="en-GB"/>
        </w:rPr>
        <w:t>Günay</w:t>
      </w:r>
      <w:proofErr w:type="spellEnd"/>
      <w:r w:rsidRPr="001D77D9">
        <w:rPr>
          <w:lang w:val="en-GB"/>
        </w:rPr>
        <w:t xml:space="preserve"> </w:t>
      </w:r>
      <w:r w:rsidRPr="001D77D9" w:rsidR="00E63A32">
        <w:rPr>
          <w:lang w:val="en-GB"/>
        </w:rPr>
        <w:t>and</w:t>
      </w:r>
      <w:r w:rsidRPr="001D77D9">
        <w:rPr>
          <w:lang w:val="en-GB"/>
        </w:rPr>
        <w:t xml:space="preserve"> M</w:t>
      </w:r>
      <w:r w:rsidRPr="001D77D9" w:rsidR="00E63A32">
        <w:rPr>
          <w:lang w:val="en-GB"/>
        </w:rPr>
        <w:t>r</w:t>
      </w:r>
      <w:r w:rsidRPr="001D77D9">
        <w:rPr>
          <w:lang w:val="en-GB"/>
        </w:rPr>
        <w:t xml:space="preserve"> Mehmet Ali Kaya </w:t>
      </w:r>
      <w:r w:rsidRPr="001D77D9" w:rsidR="00E63A32">
        <w:rPr>
          <w:lang w:val="en-GB"/>
        </w:rPr>
        <w:t xml:space="preserve">appealed </w:t>
      </w:r>
      <w:r w:rsidRPr="001D77D9" w:rsidR="00A868A8">
        <w:rPr>
          <w:lang w:val="en-GB"/>
        </w:rPr>
        <w:t>against</w:t>
      </w:r>
      <w:r w:rsidRPr="001D77D9" w:rsidR="00E63A32">
        <w:rPr>
          <w:lang w:val="en-GB"/>
        </w:rPr>
        <w:t xml:space="preserve"> that</w:t>
      </w:r>
      <w:r w:rsidRPr="001D77D9">
        <w:rPr>
          <w:lang w:val="en-GB"/>
        </w:rPr>
        <w:t xml:space="preserve"> </w:t>
      </w:r>
      <w:r w:rsidRPr="001D77D9" w:rsidR="00A868A8">
        <w:rPr>
          <w:lang w:val="en-GB"/>
        </w:rPr>
        <w:t>decision</w:t>
      </w:r>
      <w:r w:rsidRPr="001D77D9">
        <w:rPr>
          <w:lang w:val="en-GB"/>
        </w:rPr>
        <w:t xml:space="preserve">. </w:t>
      </w:r>
      <w:r w:rsidRPr="001D77D9" w:rsidR="00E63A32">
        <w:rPr>
          <w:lang w:val="en-GB"/>
        </w:rPr>
        <w:t xml:space="preserve">In a </w:t>
      </w:r>
      <w:r w:rsidRPr="001D77D9" w:rsidR="00A868A8">
        <w:rPr>
          <w:lang w:val="en-GB"/>
        </w:rPr>
        <w:t>letter</w:t>
      </w:r>
      <w:r w:rsidRPr="001D77D9">
        <w:rPr>
          <w:lang w:val="en-GB"/>
        </w:rPr>
        <w:t xml:space="preserve"> </w:t>
      </w:r>
      <w:r w:rsidRPr="001D77D9" w:rsidR="00E63A32">
        <w:rPr>
          <w:lang w:val="en-GB"/>
        </w:rPr>
        <w:t xml:space="preserve">to the </w:t>
      </w:r>
      <w:r w:rsidRPr="001D77D9" w:rsidR="00A868A8">
        <w:rPr>
          <w:lang w:val="en-GB"/>
        </w:rPr>
        <w:t>Assize</w:t>
      </w:r>
      <w:r w:rsidRPr="001D77D9" w:rsidR="00E63A32">
        <w:rPr>
          <w:lang w:val="en-GB"/>
        </w:rPr>
        <w:t xml:space="preserve"> </w:t>
      </w:r>
      <w:r w:rsidRPr="001D77D9" w:rsidR="00A868A8">
        <w:rPr>
          <w:lang w:val="en-GB"/>
        </w:rPr>
        <w:t>Court</w:t>
      </w:r>
      <w:r w:rsidRPr="001D77D9">
        <w:rPr>
          <w:lang w:val="en-GB"/>
        </w:rPr>
        <w:t xml:space="preserve"> </w:t>
      </w:r>
      <w:r w:rsidRPr="001D77D9" w:rsidR="00E63A32">
        <w:rPr>
          <w:lang w:val="en-GB"/>
        </w:rPr>
        <w:t>in</w:t>
      </w:r>
      <w:r w:rsidRPr="001D77D9">
        <w:rPr>
          <w:lang w:val="en-GB"/>
        </w:rPr>
        <w:t xml:space="preserve"> </w:t>
      </w:r>
      <w:proofErr w:type="spellStart"/>
      <w:r w:rsidRPr="001D77D9">
        <w:rPr>
          <w:lang w:val="en-GB"/>
        </w:rPr>
        <w:t>Tekirdağ</w:t>
      </w:r>
      <w:proofErr w:type="spellEnd"/>
      <w:r w:rsidRPr="001D77D9">
        <w:rPr>
          <w:lang w:val="en-GB"/>
        </w:rPr>
        <w:t>, M</w:t>
      </w:r>
      <w:r w:rsidRPr="001D77D9" w:rsidR="00E63A32">
        <w:rPr>
          <w:lang w:val="en-GB"/>
        </w:rPr>
        <w:t>r</w:t>
      </w:r>
      <w:r w:rsidRPr="001D77D9">
        <w:rPr>
          <w:lang w:val="en-GB"/>
        </w:rPr>
        <w:t xml:space="preserve"> Kaya </w:t>
      </w:r>
      <w:r w:rsidRPr="001D77D9" w:rsidR="00E63A32">
        <w:rPr>
          <w:lang w:val="en-GB"/>
        </w:rPr>
        <w:t xml:space="preserve">pointed </w:t>
      </w:r>
      <w:r w:rsidRPr="001D77D9" w:rsidR="00A868A8">
        <w:rPr>
          <w:lang w:val="en-GB"/>
        </w:rPr>
        <w:t>out</w:t>
      </w:r>
      <w:r w:rsidRPr="001D77D9" w:rsidR="00E63A32">
        <w:rPr>
          <w:lang w:val="en-GB"/>
        </w:rPr>
        <w:t xml:space="preserve"> that the </w:t>
      </w:r>
      <w:r w:rsidRPr="001D77D9">
        <w:rPr>
          <w:lang w:val="en-GB"/>
        </w:rPr>
        <w:t>refus</w:t>
      </w:r>
      <w:r w:rsidRPr="001D77D9" w:rsidR="00E63A32">
        <w:rPr>
          <w:lang w:val="en-GB"/>
        </w:rPr>
        <w:t xml:space="preserve">al to </w:t>
      </w:r>
      <w:r w:rsidRPr="001D77D9" w:rsidR="009D1AF9">
        <w:rPr>
          <w:lang w:val="en-GB"/>
        </w:rPr>
        <w:t>deliver</w:t>
      </w:r>
      <w:r w:rsidRPr="001D77D9" w:rsidR="00E63A32">
        <w:rPr>
          <w:lang w:val="en-GB"/>
        </w:rPr>
        <w:t xml:space="preserve"> the</w:t>
      </w:r>
      <w:r w:rsidRPr="001D77D9">
        <w:rPr>
          <w:lang w:val="en-GB"/>
        </w:rPr>
        <w:t xml:space="preserve"> </w:t>
      </w:r>
      <w:proofErr w:type="spellStart"/>
      <w:r w:rsidRPr="001D77D9">
        <w:rPr>
          <w:i/>
          <w:lang w:val="en-GB"/>
        </w:rPr>
        <w:t>Azadiya</w:t>
      </w:r>
      <w:proofErr w:type="spellEnd"/>
      <w:r w:rsidRPr="001D77D9">
        <w:rPr>
          <w:i/>
          <w:lang w:val="en-GB"/>
        </w:rPr>
        <w:t xml:space="preserve"> </w:t>
      </w:r>
      <w:proofErr w:type="spellStart"/>
      <w:r w:rsidRPr="001D77D9">
        <w:rPr>
          <w:i/>
          <w:lang w:val="en-GB"/>
        </w:rPr>
        <w:t>Welat</w:t>
      </w:r>
      <w:proofErr w:type="spellEnd"/>
      <w:r w:rsidRPr="001D77D9">
        <w:rPr>
          <w:lang w:val="en-GB"/>
        </w:rPr>
        <w:t xml:space="preserve"> </w:t>
      </w:r>
      <w:r w:rsidRPr="001D77D9" w:rsidR="00E63A32">
        <w:rPr>
          <w:lang w:val="en-GB"/>
        </w:rPr>
        <w:t xml:space="preserve">newspaper </w:t>
      </w:r>
      <w:r w:rsidRPr="001D77D9" w:rsidR="009D1AF9">
        <w:rPr>
          <w:lang w:val="en-GB"/>
        </w:rPr>
        <w:t xml:space="preserve">to him </w:t>
      </w:r>
      <w:r w:rsidRPr="001D77D9" w:rsidR="00E63A32">
        <w:rPr>
          <w:lang w:val="en-GB"/>
        </w:rPr>
        <w:t xml:space="preserve">was </w:t>
      </w:r>
      <w:r w:rsidRPr="001D77D9" w:rsidR="00A868A8">
        <w:rPr>
          <w:lang w:val="en-GB"/>
        </w:rPr>
        <w:t>arbitrary</w:t>
      </w:r>
      <w:r w:rsidRPr="001D77D9" w:rsidR="00E63A32">
        <w:rPr>
          <w:lang w:val="en-GB"/>
        </w:rPr>
        <w:t xml:space="preserve"> and requested delivery of the latter, which he said was</w:t>
      </w:r>
      <w:r w:rsidRPr="001D77D9">
        <w:rPr>
          <w:lang w:val="en-GB"/>
        </w:rPr>
        <w:t xml:space="preserve"> publi</w:t>
      </w:r>
      <w:r w:rsidRPr="001D77D9" w:rsidR="00E63A32">
        <w:rPr>
          <w:lang w:val="en-GB"/>
        </w:rPr>
        <w:t xml:space="preserve">shed in accordance with </w:t>
      </w:r>
      <w:r w:rsidRPr="001D77D9" w:rsidR="00A868A8">
        <w:rPr>
          <w:lang w:val="en-GB"/>
        </w:rPr>
        <w:t>the</w:t>
      </w:r>
      <w:r w:rsidRPr="001D77D9" w:rsidR="00E63A32">
        <w:rPr>
          <w:lang w:val="en-GB"/>
        </w:rPr>
        <w:t xml:space="preserve"> relevant legislation.</w:t>
      </w:r>
    </w:p>
    <w:p w:rsidRPr="001D77D9" w:rsidR="009204CC" w:rsidP="009204CC" w:rsidRDefault="009204CC">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38</w:t>
      </w:r>
      <w:r w:rsidRPr="001D77D9">
        <w:rPr>
          <w:lang w:val="en-GB"/>
        </w:rPr>
        <w:fldChar w:fldCharType="end"/>
      </w:r>
      <w:r w:rsidRPr="001D77D9">
        <w:rPr>
          <w:lang w:val="en-GB"/>
        </w:rPr>
        <w:t>.  </w:t>
      </w:r>
      <w:r w:rsidRPr="001D77D9" w:rsidR="00A868A8">
        <w:rPr>
          <w:lang w:val="en-GB"/>
        </w:rPr>
        <w:t>On</w:t>
      </w:r>
      <w:r w:rsidRPr="001D77D9">
        <w:rPr>
          <w:lang w:val="en-GB"/>
        </w:rPr>
        <w:t xml:space="preserve"> 8 </w:t>
      </w:r>
      <w:r w:rsidRPr="001D77D9" w:rsidR="00A868A8">
        <w:rPr>
          <w:lang w:val="en-GB"/>
        </w:rPr>
        <w:t>November</w:t>
      </w:r>
      <w:r w:rsidRPr="001D77D9">
        <w:rPr>
          <w:lang w:val="en-GB"/>
        </w:rPr>
        <w:t xml:space="preserve"> 2007</w:t>
      </w:r>
      <w:r w:rsidRPr="001D77D9" w:rsidR="00A868A8">
        <w:rPr>
          <w:lang w:val="en-GB"/>
        </w:rPr>
        <w:t xml:space="preserve"> the </w:t>
      </w:r>
      <w:proofErr w:type="spellStart"/>
      <w:r w:rsidRPr="001D77D9" w:rsidR="00A868A8">
        <w:rPr>
          <w:lang w:val="en-GB"/>
        </w:rPr>
        <w:t>Tekirdağ</w:t>
      </w:r>
      <w:proofErr w:type="spellEnd"/>
      <w:r w:rsidRPr="001D77D9" w:rsidR="00A868A8">
        <w:rPr>
          <w:lang w:val="en-GB"/>
        </w:rPr>
        <w:t xml:space="preserve"> </w:t>
      </w:r>
      <w:r w:rsidRPr="001D77D9" w:rsidR="00533D9D">
        <w:rPr>
          <w:lang w:val="en-GB"/>
        </w:rPr>
        <w:t>Assize</w:t>
      </w:r>
      <w:r w:rsidRPr="001D77D9" w:rsidR="00A868A8">
        <w:rPr>
          <w:lang w:val="en-GB"/>
        </w:rPr>
        <w:t xml:space="preserve"> Court</w:t>
      </w:r>
      <w:r w:rsidRPr="001D77D9">
        <w:rPr>
          <w:lang w:val="en-GB"/>
        </w:rPr>
        <w:t xml:space="preserve">, </w:t>
      </w:r>
      <w:r w:rsidRPr="001D77D9" w:rsidR="007F0779">
        <w:rPr>
          <w:lang w:val="en-GB"/>
        </w:rPr>
        <w:t xml:space="preserve">ruling </w:t>
      </w:r>
      <w:r w:rsidRPr="001D77D9" w:rsidR="00A868A8">
        <w:rPr>
          <w:lang w:val="en-GB"/>
        </w:rPr>
        <w:t>on the basis of the case file and having taken cognisance of the State Prosecutor</w:t>
      </w:r>
      <w:r w:rsidR="00934B09">
        <w:rPr>
          <w:lang w:val="en-GB"/>
        </w:rPr>
        <w:t>’</w:t>
      </w:r>
      <w:r w:rsidRPr="001D77D9" w:rsidR="00A868A8">
        <w:rPr>
          <w:lang w:val="en-GB"/>
        </w:rPr>
        <w:t xml:space="preserve">s opinion, </w:t>
      </w:r>
      <w:r w:rsidRPr="001D77D9" w:rsidR="00561334">
        <w:rPr>
          <w:lang w:val="en-GB" w:eastAsia="fr-FR"/>
        </w:rPr>
        <w:t>found that</w:t>
      </w:r>
      <w:r w:rsidRPr="001D77D9" w:rsidR="00A868A8">
        <w:rPr>
          <w:lang w:val="en-GB" w:eastAsia="fr-FR"/>
        </w:rPr>
        <w:t xml:space="preserve"> the impugned decision had been unobjectionable in procedural and legal terms</w:t>
      </w:r>
      <w:r w:rsidRPr="001D77D9" w:rsidR="00A868A8">
        <w:rPr>
          <w:lang w:val="en-GB"/>
        </w:rPr>
        <w:t xml:space="preserve"> and dismissed the appeal</w:t>
      </w:r>
      <w:r w:rsidRPr="001D77D9">
        <w:rPr>
          <w:lang w:val="en-GB" w:eastAsia="fr-FR"/>
        </w:rPr>
        <w:t>.</w:t>
      </w:r>
    </w:p>
    <w:p w:rsidRPr="001D77D9" w:rsidR="002257F0" w:rsidP="002257F0" w:rsidRDefault="002257F0">
      <w:pPr>
        <w:pStyle w:val="ECHRHeading2"/>
        <w:rPr>
          <w:lang w:val="en-GB" w:eastAsia="fr-FR"/>
        </w:rPr>
      </w:pPr>
      <w:r w:rsidRPr="001D77D9">
        <w:rPr>
          <w:lang w:val="en-GB" w:eastAsia="fr-FR"/>
        </w:rPr>
        <w:t>F.  M</w:t>
      </w:r>
      <w:r w:rsidRPr="001D77D9" w:rsidR="00561334">
        <w:rPr>
          <w:lang w:val="en-GB" w:eastAsia="fr-FR"/>
        </w:rPr>
        <w:t>r</w:t>
      </w:r>
      <w:r w:rsidRPr="001D77D9">
        <w:rPr>
          <w:lang w:val="en-GB" w:eastAsia="fr-FR"/>
        </w:rPr>
        <w:t xml:space="preserve"> Abdullah </w:t>
      </w:r>
      <w:proofErr w:type="spellStart"/>
      <w:r w:rsidRPr="001D77D9">
        <w:rPr>
          <w:lang w:val="en-GB" w:eastAsia="fr-FR"/>
        </w:rPr>
        <w:t>Günay</w:t>
      </w:r>
      <w:proofErr w:type="spellEnd"/>
      <w:r w:rsidRPr="001D77D9">
        <w:rPr>
          <w:lang w:val="en-GB" w:eastAsia="fr-FR"/>
        </w:rPr>
        <w:t xml:space="preserve"> </w:t>
      </w:r>
      <w:r w:rsidRPr="001D77D9" w:rsidR="00561334">
        <w:rPr>
          <w:lang w:val="en-GB" w:eastAsia="fr-FR"/>
        </w:rPr>
        <w:t>and Mr</w:t>
      </w:r>
      <w:r w:rsidRPr="001D77D9">
        <w:rPr>
          <w:lang w:val="en-GB" w:eastAsia="fr-FR"/>
        </w:rPr>
        <w:t xml:space="preserve"> </w:t>
      </w:r>
      <w:proofErr w:type="spellStart"/>
      <w:r w:rsidRPr="001D77D9">
        <w:rPr>
          <w:lang w:val="en-GB" w:eastAsia="fr-FR"/>
        </w:rPr>
        <w:t>Adem</w:t>
      </w:r>
      <w:proofErr w:type="spellEnd"/>
      <w:r w:rsidRPr="001D77D9">
        <w:rPr>
          <w:lang w:val="en-GB" w:eastAsia="fr-FR"/>
        </w:rPr>
        <w:t xml:space="preserve"> </w:t>
      </w:r>
      <w:proofErr w:type="spellStart"/>
      <w:r w:rsidRPr="001D77D9">
        <w:rPr>
          <w:lang w:val="en-GB" w:eastAsia="fr-FR"/>
        </w:rPr>
        <w:t>Yüksekda</w:t>
      </w:r>
      <w:r w:rsidRPr="001D77D9">
        <w:rPr>
          <w:rFonts w:cstheme="majorHAnsi"/>
          <w:lang w:val="en-GB" w:eastAsia="fr-FR"/>
        </w:rPr>
        <w:t>ğ</w:t>
      </w:r>
      <w:proofErr w:type="spellEnd"/>
      <w:r w:rsidRPr="001D77D9">
        <w:rPr>
          <w:rFonts w:cstheme="majorHAnsi"/>
          <w:lang w:val="en-GB" w:eastAsia="fr-FR"/>
        </w:rPr>
        <w:t xml:space="preserve"> (</w:t>
      </w:r>
      <w:r w:rsidRPr="001D77D9" w:rsidR="00561334">
        <w:rPr>
          <w:rFonts w:cstheme="majorHAnsi"/>
          <w:lang w:val="en-GB" w:eastAsia="fr-FR"/>
        </w:rPr>
        <w:t>application</w:t>
      </w:r>
      <w:r w:rsidRPr="001D77D9">
        <w:rPr>
          <w:rFonts w:cstheme="majorHAnsi"/>
          <w:lang w:val="en-GB" w:eastAsia="fr-FR"/>
        </w:rPr>
        <w:t xml:space="preserve"> n</w:t>
      </w:r>
      <w:r w:rsidRPr="001D77D9" w:rsidR="00561334">
        <w:rPr>
          <w:rFonts w:cstheme="majorHAnsi"/>
          <w:lang w:val="en-GB" w:eastAsia="fr-FR"/>
        </w:rPr>
        <w:t>o.</w:t>
      </w:r>
      <w:r w:rsidR="00934B09">
        <w:rPr>
          <w:rFonts w:cstheme="majorHAnsi"/>
          <w:lang w:val="en-GB" w:eastAsia="fr-FR"/>
        </w:rPr>
        <w:t> </w:t>
      </w:r>
      <w:r w:rsidRPr="001D77D9">
        <w:rPr>
          <w:rFonts w:cstheme="majorHAnsi"/>
          <w:lang w:val="en-GB" w:eastAsia="fr-FR"/>
        </w:rPr>
        <w:t>26966/08)</w:t>
      </w:r>
    </w:p>
    <w:p w:rsidRPr="001D77D9" w:rsidR="002257F0" w:rsidP="002257F0" w:rsidRDefault="002257F0">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39</w:t>
      </w:r>
      <w:r w:rsidRPr="001D77D9">
        <w:rPr>
          <w:lang w:val="en-GB"/>
        </w:rPr>
        <w:fldChar w:fldCharType="end"/>
      </w:r>
      <w:r w:rsidRPr="001D77D9">
        <w:rPr>
          <w:lang w:val="en-GB"/>
        </w:rPr>
        <w:t>.  </w:t>
      </w:r>
      <w:r w:rsidRPr="001D77D9" w:rsidR="00561334">
        <w:rPr>
          <w:lang w:val="en-GB"/>
        </w:rPr>
        <w:t>The applic</w:t>
      </w:r>
      <w:r w:rsidRPr="001D77D9">
        <w:rPr>
          <w:lang w:val="en-GB"/>
        </w:rPr>
        <w:t xml:space="preserve">ants </w:t>
      </w:r>
      <w:r w:rsidRPr="001D77D9" w:rsidR="00561334">
        <w:rPr>
          <w:lang w:val="en-GB"/>
        </w:rPr>
        <w:t>were born</w:t>
      </w:r>
      <w:r w:rsidRPr="001D77D9">
        <w:rPr>
          <w:lang w:val="en-GB"/>
        </w:rPr>
        <w:t xml:space="preserve"> </w:t>
      </w:r>
      <w:r w:rsidRPr="001D77D9" w:rsidR="00533D9D">
        <w:rPr>
          <w:lang w:val="en-GB"/>
        </w:rPr>
        <w:t>in</w:t>
      </w:r>
      <w:r w:rsidRPr="001D77D9">
        <w:rPr>
          <w:lang w:val="en-GB"/>
        </w:rPr>
        <w:t xml:space="preserve"> 1979 </w:t>
      </w:r>
      <w:r w:rsidRPr="001D77D9" w:rsidR="00561334">
        <w:rPr>
          <w:lang w:val="en-GB"/>
        </w:rPr>
        <w:t>and</w:t>
      </w:r>
      <w:r w:rsidRPr="001D77D9">
        <w:rPr>
          <w:lang w:val="en-GB"/>
        </w:rPr>
        <w:t xml:space="preserve"> 1986</w:t>
      </w:r>
      <w:r w:rsidRPr="001D77D9" w:rsidR="00561334">
        <w:rPr>
          <w:lang w:val="en-GB"/>
        </w:rPr>
        <w:t xml:space="preserve"> respectively</w:t>
      </w:r>
      <w:r w:rsidRPr="001D77D9">
        <w:rPr>
          <w:lang w:val="en-GB"/>
        </w:rPr>
        <w:t xml:space="preserve">. </w:t>
      </w:r>
      <w:r w:rsidRPr="001D77D9" w:rsidR="00561334">
        <w:rPr>
          <w:lang w:val="en-GB"/>
        </w:rPr>
        <w:t xml:space="preserve">When their application was lodged they were </w:t>
      </w:r>
      <w:r w:rsidRPr="001D77D9" w:rsidR="00534CB1">
        <w:rPr>
          <w:lang w:val="en-GB"/>
        </w:rPr>
        <w:t xml:space="preserve">being </w:t>
      </w:r>
      <w:r w:rsidRPr="001D77D9" w:rsidR="00561334">
        <w:rPr>
          <w:lang w:val="en-GB"/>
        </w:rPr>
        <w:t xml:space="preserve">held in the F-type </w:t>
      </w:r>
      <w:r w:rsidRPr="001D77D9">
        <w:rPr>
          <w:lang w:val="en-GB"/>
        </w:rPr>
        <w:t xml:space="preserve">prison </w:t>
      </w:r>
      <w:r w:rsidRPr="001D77D9" w:rsidR="00561334">
        <w:rPr>
          <w:lang w:val="en-GB"/>
        </w:rPr>
        <w:t>in</w:t>
      </w:r>
      <w:r w:rsidRPr="001D77D9">
        <w:rPr>
          <w:lang w:val="en-GB"/>
        </w:rPr>
        <w:t xml:space="preserve"> </w:t>
      </w:r>
      <w:proofErr w:type="spellStart"/>
      <w:r w:rsidRPr="001D77D9">
        <w:rPr>
          <w:lang w:val="en-GB"/>
        </w:rPr>
        <w:t>Tekirdağ</w:t>
      </w:r>
      <w:proofErr w:type="spellEnd"/>
      <w:r w:rsidRPr="001D77D9">
        <w:rPr>
          <w:lang w:val="en-GB"/>
        </w:rPr>
        <w:t>.</w:t>
      </w:r>
    </w:p>
    <w:p w:rsidRPr="001D77D9" w:rsidR="002257F0" w:rsidP="002257F0" w:rsidRDefault="002257F0">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40</w:t>
      </w:r>
      <w:r w:rsidRPr="001D77D9">
        <w:rPr>
          <w:lang w:val="en-GB"/>
        </w:rPr>
        <w:fldChar w:fldCharType="end"/>
      </w:r>
      <w:r w:rsidRPr="001D77D9">
        <w:rPr>
          <w:lang w:val="en-GB"/>
        </w:rPr>
        <w:t>.  </w:t>
      </w:r>
      <w:r w:rsidRPr="001D77D9" w:rsidR="00561334">
        <w:rPr>
          <w:lang w:val="en-GB"/>
        </w:rPr>
        <w:t>On</w:t>
      </w:r>
      <w:r w:rsidRPr="001D77D9">
        <w:rPr>
          <w:lang w:val="en-GB"/>
        </w:rPr>
        <w:t xml:space="preserve"> 3 </w:t>
      </w:r>
      <w:r w:rsidRPr="001D77D9" w:rsidR="00533D9D">
        <w:rPr>
          <w:lang w:val="en-GB"/>
        </w:rPr>
        <w:t>July</w:t>
      </w:r>
      <w:r w:rsidRPr="001D77D9">
        <w:rPr>
          <w:lang w:val="en-GB"/>
        </w:rPr>
        <w:t xml:space="preserve"> 2007 </w:t>
      </w:r>
      <w:r w:rsidRPr="001D77D9" w:rsidR="00561334">
        <w:rPr>
          <w:lang w:val="en-GB"/>
        </w:rPr>
        <w:t xml:space="preserve">the </w:t>
      </w:r>
      <w:proofErr w:type="spellStart"/>
      <w:r w:rsidRPr="001D77D9" w:rsidR="00561334">
        <w:rPr>
          <w:lang w:val="en-GB"/>
        </w:rPr>
        <w:t>Tekirdağ</w:t>
      </w:r>
      <w:proofErr w:type="spellEnd"/>
      <w:r w:rsidRPr="001D77D9" w:rsidR="00561334">
        <w:rPr>
          <w:lang w:val="en-GB"/>
        </w:rPr>
        <w:t xml:space="preserve"> prison </w:t>
      </w:r>
      <w:r w:rsidRPr="001D77D9" w:rsidR="00AE07F6">
        <w:rPr>
          <w:lang w:val="en-GB"/>
        </w:rPr>
        <w:t>education board</w:t>
      </w:r>
      <w:r w:rsidRPr="001D77D9" w:rsidR="00561334">
        <w:rPr>
          <w:lang w:val="en-GB"/>
        </w:rPr>
        <w:t xml:space="preserve"> decided not to </w:t>
      </w:r>
      <w:r w:rsidRPr="001D77D9" w:rsidR="009D1AF9">
        <w:rPr>
          <w:lang w:val="en-GB"/>
        </w:rPr>
        <w:t>deliver</w:t>
      </w:r>
      <w:r w:rsidRPr="001D77D9" w:rsidR="00561334">
        <w:rPr>
          <w:lang w:val="en-GB"/>
        </w:rPr>
        <w:t xml:space="preserve"> the </w:t>
      </w:r>
      <w:r w:rsidRPr="001D77D9" w:rsidR="00EF006B">
        <w:rPr>
          <w:lang w:val="en-GB"/>
        </w:rPr>
        <w:t xml:space="preserve">26, 27, 28, 29 and 30 </w:t>
      </w:r>
      <w:r w:rsidRPr="001D77D9" w:rsidR="00561334">
        <w:rPr>
          <w:lang w:val="en-GB"/>
        </w:rPr>
        <w:t xml:space="preserve">June 2007 </w:t>
      </w:r>
      <w:r w:rsidRPr="001D77D9" w:rsidR="004E05A7">
        <w:rPr>
          <w:lang w:val="en-GB"/>
        </w:rPr>
        <w:t>edition</w:t>
      </w:r>
      <w:r w:rsidRPr="001D77D9" w:rsidR="00561334">
        <w:rPr>
          <w:lang w:val="en-GB"/>
        </w:rPr>
        <w:t xml:space="preserve">s of the </w:t>
      </w:r>
      <w:proofErr w:type="spellStart"/>
      <w:r w:rsidRPr="001D77D9" w:rsidR="00561334">
        <w:rPr>
          <w:i/>
          <w:lang w:val="en-GB"/>
        </w:rPr>
        <w:t>Azadiya</w:t>
      </w:r>
      <w:proofErr w:type="spellEnd"/>
      <w:r w:rsidRPr="001D77D9" w:rsidR="00561334">
        <w:rPr>
          <w:i/>
          <w:lang w:val="en-GB"/>
        </w:rPr>
        <w:t xml:space="preserve"> </w:t>
      </w:r>
      <w:proofErr w:type="spellStart"/>
      <w:r w:rsidRPr="001D77D9" w:rsidR="00561334">
        <w:rPr>
          <w:i/>
          <w:lang w:val="en-GB"/>
        </w:rPr>
        <w:t>Welat</w:t>
      </w:r>
      <w:proofErr w:type="spellEnd"/>
      <w:r w:rsidRPr="001D77D9" w:rsidDel="00692BAE" w:rsidR="00561334">
        <w:rPr>
          <w:lang w:val="en-GB"/>
        </w:rPr>
        <w:t xml:space="preserve"> </w:t>
      </w:r>
      <w:r w:rsidRPr="001D77D9" w:rsidR="00561334">
        <w:rPr>
          <w:lang w:val="en-GB"/>
        </w:rPr>
        <w:t xml:space="preserve">daily newspaper </w:t>
      </w:r>
      <w:r w:rsidRPr="001D77D9" w:rsidR="009D1AF9">
        <w:rPr>
          <w:lang w:val="en-GB"/>
        </w:rPr>
        <w:t xml:space="preserve">to the applicants </w:t>
      </w:r>
      <w:r w:rsidRPr="001D77D9" w:rsidR="00561334">
        <w:rPr>
          <w:lang w:val="en-GB"/>
        </w:rPr>
        <w:t>on the ground</w:t>
      </w:r>
      <w:r w:rsidRPr="001D77D9" w:rsidR="0025351F">
        <w:rPr>
          <w:lang w:val="en-GB"/>
        </w:rPr>
        <w:t>s</w:t>
      </w:r>
      <w:r w:rsidRPr="001D77D9" w:rsidR="00561334">
        <w:rPr>
          <w:lang w:val="en-GB"/>
        </w:rPr>
        <w:t xml:space="preserve"> that they were in the Kurdish language and that the prison had no staff capable of translating that language</w:t>
      </w:r>
      <w:r w:rsidRPr="001D77D9">
        <w:rPr>
          <w:lang w:val="en-GB"/>
        </w:rPr>
        <w:t>.</w:t>
      </w:r>
    </w:p>
    <w:p w:rsidRPr="001D77D9" w:rsidR="002257F0" w:rsidP="002257F0" w:rsidRDefault="002257F0">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41</w:t>
      </w:r>
      <w:r w:rsidRPr="001D77D9">
        <w:rPr>
          <w:lang w:val="en-GB"/>
        </w:rPr>
        <w:fldChar w:fldCharType="end"/>
      </w:r>
      <w:r w:rsidRPr="001D77D9">
        <w:rPr>
          <w:lang w:val="en-GB"/>
        </w:rPr>
        <w:t>.  </w:t>
      </w:r>
      <w:r w:rsidRPr="001D77D9" w:rsidR="00D61483">
        <w:rPr>
          <w:lang w:val="en-GB"/>
        </w:rPr>
        <w:t>On</w:t>
      </w:r>
      <w:r w:rsidRPr="001D77D9">
        <w:rPr>
          <w:lang w:val="en-GB"/>
        </w:rPr>
        <w:t xml:space="preserve"> 16 </w:t>
      </w:r>
      <w:r w:rsidRPr="001D77D9" w:rsidR="00533D9D">
        <w:rPr>
          <w:lang w:val="en-GB"/>
        </w:rPr>
        <w:t>July</w:t>
      </w:r>
      <w:r w:rsidRPr="001D77D9">
        <w:rPr>
          <w:lang w:val="en-GB"/>
        </w:rPr>
        <w:t xml:space="preserve"> 2007 </w:t>
      </w:r>
      <w:r w:rsidRPr="001D77D9" w:rsidR="00D61483">
        <w:rPr>
          <w:lang w:val="en-GB"/>
        </w:rPr>
        <w:t>the applicants appealed against that decision</w:t>
      </w:r>
      <w:r w:rsidRPr="001D77D9">
        <w:rPr>
          <w:lang w:val="en-GB"/>
        </w:rPr>
        <w:t>.</w:t>
      </w:r>
    </w:p>
    <w:p w:rsidRPr="001D77D9" w:rsidR="002257F0" w:rsidP="002257F0" w:rsidRDefault="002257F0">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42</w:t>
      </w:r>
      <w:r w:rsidRPr="001D77D9">
        <w:rPr>
          <w:lang w:val="en-GB"/>
        </w:rPr>
        <w:fldChar w:fldCharType="end"/>
      </w:r>
      <w:r w:rsidRPr="001D77D9">
        <w:rPr>
          <w:lang w:val="en-GB"/>
        </w:rPr>
        <w:t>.  </w:t>
      </w:r>
      <w:r w:rsidRPr="001D77D9" w:rsidR="00CB6387">
        <w:rPr>
          <w:lang w:val="en-GB"/>
        </w:rPr>
        <w:t>On</w:t>
      </w:r>
      <w:r w:rsidRPr="001D77D9">
        <w:rPr>
          <w:lang w:val="en-GB"/>
        </w:rPr>
        <w:t xml:space="preserve"> 23 </w:t>
      </w:r>
      <w:r w:rsidRPr="001D77D9" w:rsidR="00533D9D">
        <w:rPr>
          <w:lang w:val="en-GB"/>
        </w:rPr>
        <w:t>October</w:t>
      </w:r>
      <w:r w:rsidRPr="001D77D9">
        <w:rPr>
          <w:lang w:val="en-GB"/>
        </w:rPr>
        <w:t xml:space="preserve"> 2007, </w:t>
      </w:r>
      <w:r w:rsidRPr="001D77D9" w:rsidR="00852FB5">
        <w:rPr>
          <w:lang w:val="en-GB"/>
        </w:rPr>
        <w:t xml:space="preserve">ruling </w:t>
      </w:r>
      <w:r w:rsidRPr="001D77D9" w:rsidR="00CB6387">
        <w:rPr>
          <w:lang w:val="en-GB"/>
        </w:rPr>
        <w:t>on the basis of the ca</w:t>
      </w:r>
      <w:r w:rsidRPr="001D77D9" w:rsidR="00DB63B8">
        <w:rPr>
          <w:lang w:val="en-GB"/>
        </w:rPr>
        <w:t>se fi</w:t>
      </w:r>
      <w:r w:rsidRPr="001D77D9" w:rsidR="00CB6387">
        <w:rPr>
          <w:lang w:val="en-GB"/>
        </w:rPr>
        <w:t xml:space="preserve">le, the </w:t>
      </w:r>
      <w:proofErr w:type="spellStart"/>
      <w:r w:rsidRPr="001D77D9" w:rsidR="00CB6387">
        <w:rPr>
          <w:lang w:val="en-GB"/>
        </w:rPr>
        <w:t>Tekirdağ</w:t>
      </w:r>
      <w:proofErr w:type="spellEnd"/>
      <w:r w:rsidRPr="001D77D9" w:rsidR="00CB6387">
        <w:rPr>
          <w:lang w:val="en-GB"/>
        </w:rPr>
        <w:t xml:space="preserve"> post-sentencing judge dismissed that appeal, finding that the impugned decision</w:t>
      </w:r>
      <w:r w:rsidRPr="001D77D9" w:rsidR="00CB6387">
        <w:rPr>
          <w:lang w:val="en-GB" w:eastAsia="fr-FR"/>
        </w:rPr>
        <w:t xml:space="preserve"> had been unobjectionable in procedural and legal terms</w:t>
      </w:r>
      <w:r w:rsidRPr="001D77D9" w:rsidR="00CB6387">
        <w:rPr>
          <w:lang w:val="en-GB"/>
        </w:rPr>
        <w:t>. He adjudicated in the light of the State Prosecutor</w:t>
      </w:r>
      <w:r w:rsidR="00934B09">
        <w:rPr>
          <w:lang w:val="en-GB"/>
        </w:rPr>
        <w:t>’</w:t>
      </w:r>
      <w:r w:rsidRPr="001D77D9" w:rsidR="00CB6387">
        <w:rPr>
          <w:lang w:val="en-GB"/>
        </w:rPr>
        <w:t xml:space="preserve">s opinion that in order to assess the conformity with section 62 § 3 of </w:t>
      </w:r>
      <w:r w:rsidRPr="001D77D9" w:rsidR="00B266C9">
        <w:rPr>
          <w:lang w:val="en-GB"/>
        </w:rPr>
        <w:t>L</w:t>
      </w:r>
      <w:r w:rsidRPr="001D77D9" w:rsidR="00CB6387">
        <w:rPr>
          <w:lang w:val="en-GB"/>
        </w:rPr>
        <w:t xml:space="preserve">aw </w:t>
      </w:r>
      <w:r w:rsidRPr="001D77D9" w:rsidR="00B266C9">
        <w:rPr>
          <w:lang w:val="en-GB"/>
        </w:rPr>
        <w:t xml:space="preserve">No. 5275 </w:t>
      </w:r>
      <w:r w:rsidRPr="001D77D9" w:rsidR="00CB6387">
        <w:rPr>
          <w:lang w:val="en-GB"/>
        </w:rPr>
        <w:t>of publications in a language other than the official language, a translation of those publications was required, that there was no legal provision requiring the prison to finance the translation costs, that such expenses had not been covered by the appellants and that the measure adopted by the prison authorities had consequently been justified</w:t>
      </w:r>
      <w:r w:rsidRPr="001D77D9">
        <w:rPr>
          <w:lang w:val="en-GB"/>
        </w:rPr>
        <w:t>.</w:t>
      </w:r>
    </w:p>
    <w:p w:rsidRPr="001D77D9" w:rsidR="002257F0" w:rsidP="002257F0" w:rsidRDefault="002257F0">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43</w:t>
      </w:r>
      <w:r w:rsidRPr="001D77D9">
        <w:rPr>
          <w:lang w:val="en-GB"/>
        </w:rPr>
        <w:fldChar w:fldCharType="end"/>
      </w:r>
      <w:r w:rsidRPr="001D77D9">
        <w:rPr>
          <w:lang w:val="en-GB"/>
        </w:rPr>
        <w:t>.  </w:t>
      </w:r>
      <w:r w:rsidRPr="001D77D9" w:rsidR="0031084D">
        <w:rPr>
          <w:lang w:val="en-GB"/>
        </w:rPr>
        <w:t>On</w:t>
      </w:r>
      <w:r w:rsidRPr="001D77D9">
        <w:rPr>
          <w:lang w:val="en-GB"/>
        </w:rPr>
        <w:t xml:space="preserve"> 26 </w:t>
      </w:r>
      <w:r w:rsidRPr="001D77D9" w:rsidR="00533D9D">
        <w:rPr>
          <w:lang w:val="en-GB"/>
        </w:rPr>
        <w:t>October</w:t>
      </w:r>
      <w:r w:rsidRPr="001D77D9">
        <w:rPr>
          <w:lang w:val="en-GB"/>
        </w:rPr>
        <w:t xml:space="preserve"> </w:t>
      </w:r>
      <w:r w:rsidRPr="001D77D9" w:rsidR="0031084D">
        <w:rPr>
          <w:lang w:val="en-GB"/>
        </w:rPr>
        <w:t>and</w:t>
      </w:r>
      <w:r w:rsidRPr="001D77D9">
        <w:rPr>
          <w:lang w:val="en-GB"/>
        </w:rPr>
        <w:t xml:space="preserve"> 30 </w:t>
      </w:r>
      <w:r w:rsidRPr="001D77D9" w:rsidR="00533D9D">
        <w:rPr>
          <w:lang w:val="en-GB"/>
        </w:rPr>
        <w:t>October</w:t>
      </w:r>
      <w:r w:rsidRPr="001D77D9">
        <w:rPr>
          <w:lang w:val="en-GB"/>
        </w:rPr>
        <w:t xml:space="preserve"> 2007 respective</w:t>
      </w:r>
      <w:r w:rsidRPr="001D77D9" w:rsidR="0031084D">
        <w:rPr>
          <w:lang w:val="en-GB"/>
        </w:rPr>
        <w:t>ly</w:t>
      </w:r>
      <w:r w:rsidRPr="001D77D9">
        <w:rPr>
          <w:lang w:val="en-GB"/>
        </w:rPr>
        <w:t xml:space="preserve">, </w:t>
      </w:r>
      <w:r w:rsidRPr="001D77D9" w:rsidR="0031084D">
        <w:rPr>
          <w:lang w:val="en-GB"/>
        </w:rPr>
        <w:t>Mr</w:t>
      </w:r>
      <w:r w:rsidRPr="001D77D9">
        <w:rPr>
          <w:lang w:val="en-GB"/>
        </w:rPr>
        <w:t> </w:t>
      </w:r>
      <w:r w:rsidRPr="001D77D9">
        <w:rPr>
          <w:lang w:val="en-GB" w:eastAsia="fr-FR"/>
        </w:rPr>
        <w:t xml:space="preserve">Abdullah </w:t>
      </w:r>
      <w:proofErr w:type="spellStart"/>
      <w:r w:rsidRPr="001D77D9">
        <w:rPr>
          <w:lang w:val="en-GB" w:eastAsia="fr-FR"/>
        </w:rPr>
        <w:t>Günay</w:t>
      </w:r>
      <w:proofErr w:type="spellEnd"/>
      <w:r w:rsidRPr="001D77D9">
        <w:rPr>
          <w:lang w:val="en-GB" w:eastAsia="fr-FR"/>
        </w:rPr>
        <w:t xml:space="preserve"> </w:t>
      </w:r>
      <w:r w:rsidRPr="001D77D9" w:rsidR="0031084D">
        <w:rPr>
          <w:lang w:val="en-GB" w:eastAsia="fr-FR"/>
        </w:rPr>
        <w:t>and</w:t>
      </w:r>
      <w:r w:rsidRPr="001D77D9">
        <w:rPr>
          <w:lang w:val="en-GB" w:eastAsia="fr-FR"/>
        </w:rPr>
        <w:t xml:space="preserve"> M</w:t>
      </w:r>
      <w:r w:rsidRPr="001D77D9" w:rsidR="0031084D">
        <w:rPr>
          <w:lang w:val="en-GB" w:eastAsia="fr-FR"/>
        </w:rPr>
        <w:t>r</w:t>
      </w:r>
      <w:r w:rsidRPr="001D77D9">
        <w:rPr>
          <w:lang w:val="en-GB" w:eastAsia="fr-FR"/>
        </w:rPr>
        <w:t xml:space="preserve"> </w:t>
      </w:r>
      <w:proofErr w:type="spellStart"/>
      <w:r w:rsidRPr="001D77D9">
        <w:rPr>
          <w:lang w:val="en-GB" w:eastAsia="fr-FR"/>
        </w:rPr>
        <w:t>Adem</w:t>
      </w:r>
      <w:proofErr w:type="spellEnd"/>
      <w:r w:rsidRPr="001D77D9">
        <w:rPr>
          <w:lang w:val="en-GB" w:eastAsia="fr-FR"/>
        </w:rPr>
        <w:t xml:space="preserve"> </w:t>
      </w:r>
      <w:proofErr w:type="spellStart"/>
      <w:r w:rsidRPr="001D77D9">
        <w:rPr>
          <w:lang w:val="en-GB" w:eastAsia="fr-FR"/>
        </w:rPr>
        <w:t>Yüksekda</w:t>
      </w:r>
      <w:r w:rsidRPr="001D77D9">
        <w:rPr>
          <w:rFonts w:cstheme="majorHAnsi"/>
          <w:lang w:val="en-GB" w:eastAsia="fr-FR"/>
        </w:rPr>
        <w:t>ğ</w:t>
      </w:r>
      <w:proofErr w:type="spellEnd"/>
      <w:r w:rsidRPr="001D77D9">
        <w:rPr>
          <w:rFonts w:cstheme="majorHAnsi"/>
          <w:lang w:val="en-GB" w:eastAsia="fr-FR"/>
        </w:rPr>
        <w:t xml:space="preserve"> </w:t>
      </w:r>
      <w:r w:rsidRPr="001D77D9" w:rsidR="0031084D">
        <w:rPr>
          <w:rFonts w:cstheme="majorHAnsi"/>
          <w:lang w:val="en-GB" w:eastAsia="fr-FR"/>
        </w:rPr>
        <w:t>appealed against that decision</w:t>
      </w:r>
      <w:r w:rsidRPr="001D77D9">
        <w:rPr>
          <w:lang w:val="en-GB"/>
        </w:rPr>
        <w:t xml:space="preserve">. </w:t>
      </w:r>
      <w:r w:rsidRPr="001D77D9" w:rsidR="00651D02">
        <w:rPr>
          <w:lang w:val="en-GB"/>
        </w:rPr>
        <w:t xml:space="preserve">Mr </w:t>
      </w:r>
      <w:proofErr w:type="spellStart"/>
      <w:r w:rsidRPr="001D77D9" w:rsidR="00651D02">
        <w:rPr>
          <w:lang w:val="en-GB"/>
        </w:rPr>
        <w:t>Günay</w:t>
      </w:r>
      <w:proofErr w:type="spellEnd"/>
      <w:r w:rsidRPr="001D77D9" w:rsidR="00651D02">
        <w:rPr>
          <w:lang w:val="en-GB"/>
        </w:rPr>
        <w:t xml:space="preserve"> </w:t>
      </w:r>
      <w:r w:rsidRPr="001D77D9" w:rsidR="00CB1B3D">
        <w:rPr>
          <w:lang w:val="en-GB"/>
        </w:rPr>
        <w:t>sent</w:t>
      </w:r>
      <w:r w:rsidRPr="001D77D9" w:rsidR="00651D02">
        <w:rPr>
          <w:lang w:val="en-GB"/>
        </w:rPr>
        <w:t xml:space="preserve"> </w:t>
      </w:r>
      <w:r w:rsidRPr="001D77D9" w:rsidR="00CB1B3D">
        <w:rPr>
          <w:lang w:val="en-GB"/>
        </w:rPr>
        <w:t>a</w:t>
      </w:r>
      <w:r w:rsidRPr="001D77D9" w:rsidR="00651D02">
        <w:rPr>
          <w:lang w:val="en-GB"/>
        </w:rPr>
        <w:t xml:space="preserve"> letter to the </w:t>
      </w:r>
      <w:r w:rsidRPr="001D77D9" w:rsidR="00CB1B3D">
        <w:rPr>
          <w:lang w:val="en-GB"/>
        </w:rPr>
        <w:t>Assize</w:t>
      </w:r>
      <w:r w:rsidRPr="001D77D9" w:rsidR="00651D02">
        <w:rPr>
          <w:lang w:val="en-GB"/>
        </w:rPr>
        <w:t xml:space="preserve"> </w:t>
      </w:r>
      <w:r w:rsidRPr="001D77D9" w:rsidR="00CB1B3D">
        <w:rPr>
          <w:lang w:val="en-GB"/>
        </w:rPr>
        <w:t>Court</w:t>
      </w:r>
      <w:r w:rsidRPr="001D77D9" w:rsidR="00564950">
        <w:rPr>
          <w:lang w:val="en-GB"/>
        </w:rPr>
        <w:t xml:space="preserve"> complaining that the post-sentencing</w:t>
      </w:r>
      <w:r w:rsidRPr="001D77D9">
        <w:rPr>
          <w:lang w:val="en-GB"/>
        </w:rPr>
        <w:t xml:space="preserve"> </w:t>
      </w:r>
      <w:r w:rsidRPr="001D77D9" w:rsidR="00CB1B3D">
        <w:rPr>
          <w:lang w:val="en-GB"/>
        </w:rPr>
        <w:t>judge</w:t>
      </w:r>
      <w:r w:rsidRPr="001D77D9">
        <w:rPr>
          <w:lang w:val="en-GB"/>
        </w:rPr>
        <w:t xml:space="preserve"> </w:t>
      </w:r>
      <w:r w:rsidRPr="001D77D9" w:rsidR="00564950">
        <w:rPr>
          <w:lang w:val="en-GB"/>
        </w:rPr>
        <w:t xml:space="preserve">had joined forces with the prison authorities to </w:t>
      </w:r>
      <w:r w:rsidRPr="001D77D9" w:rsidR="00CB1B3D">
        <w:rPr>
          <w:lang w:val="en-GB"/>
        </w:rPr>
        <w:t>impede</w:t>
      </w:r>
      <w:r w:rsidRPr="001D77D9" w:rsidR="00564950">
        <w:rPr>
          <w:lang w:val="en-GB"/>
        </w:rPr>
        <w:t xml:space="preserve"> his right to </w:t>
      </w:r>
      <w:r w:rsidRPr="001D77D9" w:rsidR="00CB1B3D">
        <w:rPr>
          <w:lang w:val="en-GB"/>
        </w:rPr>
        <w:t>receive</w:t>
      </w:r>
      <w:r w:rsidRPr="001D77D9">
        <w:rPr>
          <w:lang w:val="en-GB"/>
        </w:rPr>
        <w:t xml:space="preserve"> </w:t>
      </w:r>
      <w:r w:rsidRPr="001D77D9" w:rsidR="00CB1B3D">
        <w:rPr>
          <w:lang w:val="en-GB"/>
        </w:rPr>
        <w:t>information</w:t>
      </w:r>
      <w:r w:rsidRPr="001D77D9">
        <w:rPr>
          <w:lang w:val="en-GB"/>
        </w:rPr>
        <w:t xml:space="preserve"> </w:t>
      </w:r>
      <w:r w:rsidRPr="001D77D9" w:rsidR="00564950">
        <w:rPr>
          <w:lang w:val="en-GB"/>
        </w:rPr>
        <w:t xml:space="preserve">and </w:t>
      </w:r>
      <w:r w:rsidRPr="001D77D9" w:rsidR="00AA33AC">
        <w:rPr>
          <w:lang w:val="en-GB"/>
        </w:rPr>
        <w:t xml:space="preserve">had </w:t>
      </w:r>
      <w:r w:rsidRPr="001D77D9" w:rsidR="00564950">
        <w:rPr>
          <w:lang w:val="en-GB"/>
        </w:rPr>
        <w:t xml:space="preserve">therefore infringed that right, as </w:t>
      </w:r>
      <w:r w:rsidRPr="001D77D9" w:rsidR="00CB1B3D">
        <w:rPr>
          <w:lang w:val="en-GB"/>
        </w:rPr>
        <w:t>enshrined</w:t>
      </w:r>
      <w:r w:rsidRPr="001D77D9" w:rsidR="00564950">
        <w:rPr>
          <w:lang w:val="en-GB"/>
        </w:rPr>
        <w:t xml:space="preserve"> in the </w:t>
      </w:r>
      <w:r w:rsidRPr="001D77D9">
        <w:rPr>
          <w:lang w:val="en-GB"/>
        </w:rPr>
        <w:t xml:space="preserve">Convention. </w:t>
      </w:r>
      <w:r w:rsidRPr="001D77D9" w:rsidR="00564950">
        <w:rPr>
          <w:lang w:val="en-GB"/>
        </w:rPr>
        <w:t xml:space="preserve">He submitted that the newspaper in question was </w:t>
      </w:r>
      <w:r w:rsidRPr="001D77D9" w:rsidR="00AA33AC">
        <w:rPr>
          <w:lang w:val="en-GB"/>
        </w:rPr>
        <w:t xml:space="preserve">published </w:t>
      </w:r>
      <w:r w:rsidRPr="001D77D9" w:rsidR="00564950">
        <w:rPr>
          <w:lang w:val="en-GB"/>
        </w:rPr>
        <w:t xml:space="preserve">in </w:t>
      </w:r>
      <w:r w:rsidRPr="001D77D9" w:rsidR="00CB1B3D">
        <w:rPr>
          <w:lang w:val="en-GB"/>
        </w:rPr>
        <w:t>conformity</w:t>
      </w:r>
      <w:r w:rsidRPr="001D77D9" w:rsidR="00564950">
        <w:rPr>
          <w:lang w:val="en-GB"/>
        </w:rPr>
        <w:t xml:space="preserve"> with the relevant </w:t>
      </w:r>
      <w:r w:rsidRPr="001D77D9" w:rsidR="00CB1B3D">
        <w:rPr>
          <w:lang w:val="en-GB"/>
        </w:rPr>
        <w:t>legislation</w:t>
      </w:r>
      <w:r w:rsidRPr="001D77D9" w:rsidR="00564950">
        <w:rPr>
          <w:lang w:val="en-GB"/>
        </w:rPr>
        <w:t xml:space="preserve"> and that it was therefore </w:t>
      </w:r>
      <w:r w:rsidRPr="001D77D9" w:rsidR="00CB1B3D">
        <w:rPr>
          <w:lang w:val="en-GB"/>
        </w:rPr>
        <w:t>unnecessary</w:t>
      </w:r>
      <w:r w:rsidRPr="001D77D9">
        <w:rPr>
          <w:lang w:val="en-GB"/>
        </w:rPr>
        <w:t xml:space="preserve"> </w:t>
      </w:r>
      <w:r w:rsidRPr="001D77D9" w:rsidR="00564950">
        <w:rPr>
          <w:lang w:val="en-GB"/>
        </w:rPr>
        <w:t xml:space="preserve">to </w:t>
      </w:r>
      <w:r w:rsidRPr="001D77D9" w:rsidR="00CB1B3D">
        <w:rPr>
          <w:lang w:val="en-GB"/>
        </w:rPr>
        <w:t>translate</w:t>
      </w:r>
      <w:r w:rsidRPr="001D77D9" w:rsidR="00564950">
        <w:rPr>
          <w:lang w:val="en-GB"/>
        </w:rPr>
        <w:t xml:space="preserve"> it</w:t>
      </w:r>
      <w:r w:rsidRPr="001D77D9">
        <w:rPr>
          <w:lang w:val="en-GB"/>
        </w:rPr>
        <w:t xml:space="preserve">, </w:t>
      </w:r>
      <w:r w:rsidRPr="001D77D9" w:rsidR="00E33331">
        <w:rPr>
          <w:lang w:val="en-GB"/>
        </w:rPr>
        <w:t>because</w:t>
      </w:r>
      <w:r w:rsidRPr="001D77D9" w:rsidR="00564950">
        <w:rPr>
          <w:lang w:val="en-GB"/>
        </w:rPr>
        <w:t xml:space="preserve"> if its </w:t>
      </w:r>
      <w:r w:rsidRPr="001D77D9" w:rsidR="00CB1B3D">
        <w:rPr>
          <w:lang w:val="en-GB"/>
        </w:rPr>
        <w:t>content</w:t>
      </w:r>
      <w:r w:rsidRPr="001D77D9">
        <w:rPr>
          <w:lang w:val="en-GB"/>
        </w:rPr>
        <w:t xml:space="preserve"> </w:t>
      </w:r>
      <w:r w:rsidRPr="001D77D9" w:rsidR="00CB1B3D">
        <w:rPr>
          <w:lang w:val="en-GB"/>
        </w:rPr>
        <w:t>had been</w:t>
      </w:r>
      <w:r w:rsidRPr="001D77D9" w:rsidR="00564950">
        <w:rPr>
          <w:lang w:val="en-GB"/>
        </w:rPr>
        <w:t xml:space="preserve"> unlawful it would have been </w:t>
      </w:r>
      <w:r w:rsidRPr="001D77D9" w:rsidR="00CB1B3D">
        <w:rPr>
          <w:lang w:val="en-GB"/>
        </w:rPr>
        <w:t>subject</w:t>
      </w:r>
      <w:r w:rsidRPr="001D77D9">
        <w:rPr>
          <w:lang w:val="en-GB"/>
        </w:rPr>
        <w:t xml:space="preserve"> </w:t>
      </w:r>
      <w:r w:rsidRPr="001D77D9" w:rsidR="00564950">
        <w:rPr>
          <w:lang w:val="en-GB"/>
        </w:rPr>
        <w:t>to a seizure order</w:t>
      </w:r>
      <w:r w:rsidRPr="001D77D9">
        <w:rPr>
          <w:lang w:val="en-GB"/>
        </w:rPr>
        <w:t xml:space="preserve">. </w:t>
      </w:r>
      <w:r w:rsidRPr="001D77D9" w:rsidR="00564950">
        <w:rPr>
          <w:lang w:val="en-GB"/>
        </w:rPr>
        <w:t xml:space="preserve">He added that the right to read a newspaper in </w:t>
      </w:r>
      <w:r w:rsidRPr="001D77D9" w:rsidR="00CB1B3D">
        <w:rPr>
          <w:lang w:val="en-GB"/>
        </w:rPr>
        <w:t>Kurdish</w:t>
      </w:r>
      <w:r w:rsidRPr="001D77D9">
        <w:rPr>
          <w:lang w:val="en-GB"/>
        </w:rPr>
        <w:t>,</w:t>
      </w:r>
      <w:r w:rsidRPr="001D77D9" w:rsidR="00564950">
        <w:rPr>
          <w:lang w:val="en-GB"/>
        </w:rPr>
        <w:t xml:space="preserve"> his mother tongue, was a</w:t>
      </w:r>
      <w:r w:rsidRPr="001D77D9">
        <w:rPr>
          <w:lang w:val="en-GB"/>
        </w:rPr>
        <w:t xml:space="preserve"> natur</w:t>
      </w:r>
      <w:r w:rsidRPr="001D77D9" w:rsidR="00E33331">
        <w:rPr>
          <w:lang w:val="en-GB"/>
        </w:rPr>
        <w:t>a</w:t>
      </w:r>
      <w:r w:rsidRPr="001D77D9">
        <w:rPr>
          <w:lang w:val="en-GB"/>
        </w:rPr>
        <w:t>l</w:t>
      </w:r>
      <w:r w:rsidRPr="001D77D9" w:rsidR="00564950">
        <w:rPr>
          <w:lang w:val="en-GB"/>
        </w:rPr>
        <w:t xml:space="preserve"> right</w:t>
      </w:r>
      <w:r w:rsidRPr="001D77D9">
        <w:rPr>
          <w:lang w:val="en-GB"/>
        </w:rPr>
        <w:t>.</w:t>
      </w:r>
    </w:p>
    <w:p w:rsidRPr="001D77D9" w:rsidR="002257F0" w:rsidP="002257F0" w:rsidRDefault="002257F0">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44</w:t>
      </w:r>
      <w:r w:rsidRPr="001D77D9">
        <w:rPr>
          <w:lang w:val="en-GB"/>
        </w:rPr>
        <w:fldChar w:fldCharType="end"/>
      </w:r>
      <w:r w:rsidRPr="001D77D9">
        <w:rPr>
          <w:lang w:val="en-GB"/>
        </w:rPr>
        <w:t>.  </w:t>
      </w:r>
      <w:r w:rsidRPr="001D77D9" w:rsidR="006633BF">
        <w:rPr>
          <w:lang w:val="en-GB"/>
        </w:rPr>
        <w:t>On</w:t>
      </w:r>
      <w:r w:rsidRPr="001D77D9">
        <w:rPr>
          <w:lang w:val="en-GB"/>
        </w:rPr>
        <w:t xml:space="preserve"> 8 </w:t>
      </w:r>
      <w:r w:rsidRPr="001D77D9" w:rsidR="00CB1B3D">
        <w:rPr>
          <w:lang w:val="en-GB"/>
        </w:rPr>
        <w:t>November</w:t>
      </w:r>
      <w:r w:rsidRPr="001D77D9">
        <w:rPr>
          <w:lang w:val="en-GB"/>
        </w:rPr>
        <w:t xml:space="preserve"> 2007 </w:t>
      </w:r>
      <w:r w:rsidRPr="001D77D9" w:rsidR="006633BF">
        <w:rPr>
          <w:lang w:val="en-GB"/>
        </w:rPr>
        <w:t xml:space="preserve">the </w:t>
      </w:r>
      <w:proofErr w:type="spellStart"/>
      <w:r w:rsidRPr="001D77D9" w:rsidR="006633BF">
        <w:rPr>
          <w:lang w:val="en-GB"/>
        </w:rPr>
        <w:t>Tekirdağ</w:t>
      </w:r>
      <w:proofErr w:type="spellEnd"/>
      <w:r w:rsidRPr="001D77D9" w:rsidR="006633BF">
        <w:rPr>
          <w:lang w:val="en-GB"/>
        </w:rPr>
        <w:t xml:space="preserve"> Assize Court, </w:t>
      </w:r>
      <w:r w:rsidRPr="001D77D9" w:rsidR="00644F41">
        <w:rPr>
          <w:lang w:val="en-GB"/>
        </w:rPr>
        <w:t xml:space="preserve">ruling </w:t>
      </w:r>
      <w:r w:rsidRPr="001D77D9" w:rsidR="006633BF">
        <w:rPr>
          <w:lang w:val="en-GB"/>
        </w:rPr>
        <w:t>on the basis of the case file and having taken cognisance of the State Prosecutor</w:t>
      </w:r>
      <w:r w:rsidR="00934B09">
        <w:rPr>
          <w:lang w:val="en-GB"/>
        </w:rPr>
        <w:t>’</w:t>
      </w:r>
      <w:r w:rsidRPr="001D77D9" w:rsidR="006633BF">
        <w:rPr>
          <w:lang w:val="en-GB"/>
        </w:rPr>
        <w:t xml:space="preserve">s opinion, </w:t>
      </w:r>
      <w:r w:rsidRPr="001D77D9" w:rsidR="006633BF">
        <w:rPr>
          <w:lang w:val="en-GB" w:eastAsia="fr-FR"/>
        </w:rPr>
        <w:t>found that the impugned decision had been unobjectionable in procedural and legal terms</w:t>
      </w:r>
      <w:r w:rsidRPr="001D77D9" w:rsidR="006633BF">
        <w:rPr>
          <w:lang w:val="en-GB"/>
        </w:rPr>
        <w:t xml:space="preserve"> and dismissed the appeal</w:t>
      </w:r>
      <w:r w:rsidRPr="001D77D9">
        <w:rPr>
          <w:lang w:val="en-GB" w:eastAsia="fr-FR"/>
        </w:rPr>
        <w:t>.</w:t>
      </w:r>
    </w:p>
    <w:p w:rsidRPr="001D77D9" w:rsidR="00B311FE" w:rsidP="00B311FE" w:rsidRDefault="00B311FE">
      <w:pPr>
        <w:pStyle w:val="ECHRHeading2"/>
        <w:rPr>
          <w:lang w:val="en-GB" w:eastAsia="fr-FR"/>
        </w:rPr>
      </w:pPr>
      <w:r w:rsidRPr="001D77D9">
        <w:rPr>
          <w:lang w:val="en-GB" w:eastAsia="fr-FR"/>
        </w:rPr>
        <w:t>G.  M</w:t>
      </w:r>
      <w:r w:rsidRPr="001D77D9" w:rsidR="005D6393">
        <w:rPr>
          <w:lang w:val="en-GB" w:eastAsia="fr-FR"/>
        </w:rPr>
        <w:t>r</w:t>
      </w:r>
      <w:r w:rsidRPr="001D77D9">
        <w:rPr>
          <w:lang w:val="en-GB" w:eastAsia="fr-FR"/>
        </w:rPr>
        <w:t xml:space="preserve"> Abdullah </w:t>
      </w:r>
      <w:proofErr w:type="spellStart"/>
      <w:r w:rsidRPr="001D77D9">
        <w:rPr>
          <w:lang w:val="en-GB" w:eastAsia="fr-FR"/>
        </w:rPr>
        <w:t>Günay</w:t>
      </w:r>
      <w:proofErr w:type="spellEnd"/>
      <w:r w:rsidRPr="001D77D9">
        <w:rPr>
          <w:lang w:val="en-GB" w:eastAsia="fr-FR"/>
        </w:rPr>
        <w:t xml:space="preserve"> (</w:t>
      </w:r>
      <w:r w:rsidRPr="001D77D9" w:rsidR="00CB1B3D">
        <w:rPr>
          <w:lang w:val="en-GB" w:eastAsia="fr-FR"/>
        </w:rPr>
        <w:t>applications</w:t>
      </w:r>
      <w:r w:rsidRPr="001D77D9">
        <w:rPr>
          <w:lang w:val="en-GB" w:eastAsia="fr-FR"/>
        </w:rPr>
        <w:t xml:space="preserve"> n</w:t>
      </w:r>
      <w:r w:rsidRPr="001D77D9" w:rsidR="005D6393">
        <w:rPr>
          <w:lang w:val="en-GB" w:eastAsia="fr-FR"/>
        </w:rPr>
        <w:t>os.</w:t>
      </w:r>
      <w:r w:rsidRPr="001D77D9">
        <w:rPr>
          <w:lang w:val="en-GB" w:eastAsia="fr-FR"/>
        </w:rPr>
        <w:t xml:space="preserve"> 27088/08 </w:t>
      </w:r>
      <w:r w:rsidRPr="001D77D9" w:rsidR="005D6393">
        <w:rPr>
          <w:lang w:val="en-GB" w:eastAsia="fr-FR"/>
        </w:rPr>
        <w:t>and</w:t>
      </w:r>
      <w:r w:rsidRPr="001D77D9">
        <w:rPr>
          <w:lang w:val="en-GB" w:eastAsia="fr-FR"/>
        </w:rPr>
        <w:t xml:space="preserve"> 27090/08)</w:t>
      </w:r>
    </w:p>
    <w:p w:rsidRPr="001D77D9" w:rsidR="00B311FE" w:rsidP="00B311FE" w:rsidRDefault="00B311FE">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45</w:t>
      </w:r>
      <w:r w:rsidRPr="001D77D9">
        <w:rPr>
          <w:lang w:val="en-GB"/>
        </w:rPr>
        <w:fldChar w:fldCharType="end"/>
      </w:r>
      <w:r w:rsidRPr="001D77D9">
        <w:rPr>
          <w:lang w:val="en-GB"/>
        </w:rPr>
        <w:t>.  </w:t>
      </w:r>
      <w:r w:rsidRPr="001D77D9" w:rsidR="005D6393">
        <w:rPr>
          <w:lang w:val="en-GB"/>
        </w:rPr>
        <w:t>Th</w:t>
      </w:r>
      <w:r w:rsidRPr="001D77D9">
        <w:rPr>
          <w:lang w:val="en-GB"/>
        </w:rPr>
        <w:t>e</w:t>
      </w:r>
      <w:r w:rsidRPr="001D77D9" w:rsidR="005D6393">
        <w:rPr>
          <w:lang w:val="en-GB"/>
        </w:rPr>
        <w:t xml:space="preserve"> applic</w:t>
      </w:r>
      <w:r w:rsidRPr="001D77D9">
        <w:rPr>
          <w:lang w:val="en-GB"/>
        </w:rPr>
        <w:t xml:space="preserve">ant </w:t>
      </w:r>
      <w:r w:rsidRPr="001D77D9" w:rsidR="005D6393">
        <w:rPr>
          <w:lang w:val="en-GB"/>
        </w:rPr>
        <w:t>was born i</w:t>
      </w:r>
      <w:r w:rsidRPr="001D77D9">
        <w:rPr>
          <w:lang w:val="en-GB"/>
        </w:rPr>
        <w:t xml:space="preserve">n 1979. </w:t>
      </w:r>
      <w:r w:rsidRPr="001D77D9" w:rsidR="005D6393">
        <w:rPr>
          <w:lang w:val="en-GB"/>
        </w:rPr>
        <w:t xml:space="preserve">When his applications were lodged he was held in the F-type </w:t>
      </w:r>
      <w:r w:rsidRPr="001D77D9">
        <w:rPr>
          <w:lang w:val="en-GB"/>
        </w:rPr>
        <w:t xml:space="preserve">prison </w:t>
      </w:r>
      <w:r w:rsidRPr="001D77D9" w:rsidR="005D6393">
        <w:rPr>
          <w:lang w:val="en-GB"/>
        </w:rPr>
        <w:t xml:space="preserve">in </w:t>
      </w:r>
      <w:proofErr w:type="spellStart"/>
      <w:r w:rsidRPr="001D77D9">
        <w:rPr>
          <w:lang w:val="en-GB"/>
        </w:rPr>
        <w:t>Tekirdağ</w:t>
      </w:r>
      <w:proofErr w:type="spellEnd"/>
      <w:r w:rsidRPr="001D77D9">
        <w:rPr>
          <w:lang w:val="en-GB"/>
        </w:rPr>
        <w:t>.</w:t>
      </w:r>
    </w:p>
    <w:p w:rsidRPr="001D77D9" w:rsidR="00B311FE" w:rsidP="00B311FE" w:rsidRDefault="00B311FE">
      <w:pPr>
        <w:pStyle w:val="ECHRHeading3"/>
        <w:rPr>
          <w:lang w:val="en-GB" w:eastAsia="fr-FR"/>
        </w:rPr>
      </w:pPr>
      <w:r w:rsidRPr="001D77D9">
        <w:rPr>
          <w:lang w:val="en-GB" w:eastAsia="fr-FR"/>
        </w:rPr>
        <w:t>1.  </w:t>
      </w:r>
      <w:r w:rsidRPr="001D77D9" w:rsidR="00CB1B3D">
        <w:rPr>
          <w:lang w:val="en-GB" w:eastAsia="fr-FR"/>
        </w:rPr>
        <w:t>Proceedings</w:t>
      </w:r>
      <w:r w:rsidRPr="001D77D9">
        <w:rPr>
          <w:lang w:val="en-GB" w:eastAsia="fr-FR"/>
        </w:rPr>
        <w:t xml:space="preserve"> relati</w:t>
      </w:r>
      <w:r w:rsidRPr="001D77D9" w:rsidR="005D6393">
        <w:rPr>
          <w:lang w:val="en-GB" w:eastAsia="fr-FR"/>
        </w:rPr>
        <w:t xml:space="preserve">ng to the failure to deliver the </w:t>
      </w:r>
      <w:r w:rsidRPr="001D77D9">
        <w:rPr>
          <w:lang w:val="en-GB" w:eastAsia="fr-FR"/>
        </w:rPr>
        <w:t xml:space="preserve">28 </w:t>
      </w:r>
      <w:r w:rsidRPr="001D77D9" w:rsidR="00CB1B3D">
        <w:rPr>
          <w:lang w:val="en-GB" w:eastAsia="fr-FR"/>
        </w:rPr>
        <w:t>August</w:t>
      </w:r>
      <w:r w:rsidRPr="001D77D9">
        <w:rPr>
          <w:lang w:val="en-GB" w:eastAsia="fr-FR"/>
        </w:rPr>
        <w:t xml:space="preserve"> 2007 </w:t>
      </w:r>
      <w:r w:rsidRPr="001D77D9" w:rsidR="005D6393">
        <w:rPr>
          <w:lang w:val="en-GB" w:eastAsia="fr-FR"/>
        </w:rPr>
        <w:t xml:space="preserve">to </w:t>
      </w:r>
      <w:r w:rsidRPr="001D77D9">
        <w:rPr>
          <w:lang w:val="en-GB" w:eastAsia="fr-FR"/>
        </w:rPr>
        <w:t xml:space="preserve">3 </w:t>
      </w:r>
      <w:r w:rsidRPr="001D77D9" w:rsidR="00CB1B3D">
        <w:rPr>
          <w:lang w:val="en-GB" w:eastAsia="fr-FR"/>
        </w:rPr>
        <w:t>September</w:t>
      </w:r>
      <w:r w:rsidRPr="001D77D9">
        <w:rPr>
          <w:lang w:val="en-GB" w:eastAsia="fr-FR"/>
        </w:rPr>
        <w:t xml:space="preserve"> 2007 </w:t>
      </w:r>
      <w:r w:rsidRPr="001D77D9" w:rsidR="004E05A7">
        <w:rPr>
          <w:lang w:val="en-GB" w:eastAsia="fr-FR"/>
        </w:rPr>
        <w:t>edition</w:t>
      </w:r>
      <w:r w:rsidRPr="001D77D9" w:rsidR="005D6393">
        <w:rPr>
          <w:lang w:val="en-GB" w:eastAsia="fr-FR"/>
        </w:rPr>
        <w:t xml:space="preserve">s of the </w:t>
      </w:r>
      <w:proofErr w:type="spellStart"/>
      <w:r w:rsidRPr="001D77D9" w:rsidR="005D6393">
        <w:rPr>
          <w:i w:val="0"/>
          <w:lang w:val="en-GB" w:eastAsia="fr-FR"/>
        </w:rPr>
        <w:t>Azadiya</w:t>
      </w:r>
      <w:proofErr w:type="spellEnd"/>
      <w:r w:rsidRPr="001D77D9" w:rsidR="005D6393">
        <w:rPr>
          <w:i w:val="0"/>
          <w:lang w:val="en-GB" w:eastAsia="fr-FR"/>
        </w:rPr>
        <w:t xml:space="preserve"> </w:t>
      </w:r>
      <w:proofErr w:type="spellStart"/>
      <w:r w:rsidRPr="001D77D9" w:rsidR="005D6393">
        <w:rPr>
          <w:i w:val="0"/>
          <w:lang w:val="en-GB" w:eastAsia="fr-FR"/>
        </w:rPr>
        <w:t>Welat</w:t>
      </w:r>
      <w:proofErr w:type="spellEnd"/>
      <w:r w:rsidRPr="001D77D9" w:rsidR="005D6393">
        <w:rPr>
          <w:lang w:val="en-GB" w:eastAsia="fr-FR"/>
        </w:rPr>
        <w:t xml:space="preserve"> newspaper </w:t>
      </w:r>
      <w:r w:rsidRPr="001D77D9">
        <w:rPr>
          <w:lang w:val="en-GB" w:eastAsia="fr-FR"/>
        </w:rPr>
        <w:t>(</w:t>
      </w:r>
      <w:r w:rsidRPr="001D77D9" w:rsidR="005D6393">
        <w:rPr>
          <w:lang w:val="en-GB" w:eastAsia="fr-FR"/>
        </w:rPr>
        <w:t>application</w:t>
      </w:r>
      <w:r w:rsidRPr="001D77D9">
        <w:rPr>
          <w:lang w:val="en-GB" w:eastAsia="fr-FR"/>
        </w:rPr>
        <w:t xml:space="preserve"> n</w:t>
      </w:r>
      <w:r w:rsidRPr="001D77D9" w:rsidR="005D6393">
        <w:rPr>
          <w:lang w:val="en-GB" w:eastAsia="fr-FR"/>
        </w:rPr>
        <w:t>o.</w:t>
      </w:r>
      <w:r w:rsidRPr="001D77D9">
        <w:rPr>
          <w:lang w:val="en-GB" w:eastAsia="fr-FR"/>
        </w:rPr>
        <w:t xml:space="preserve"> 27088/08)</w:t>
      </w:r>
    </w:p>
    <w:p w:rsidRPr="001D77D9" w:rsidR="00B311FE" w:rsidP="00B311FE" w:rsidRDefault="00B311FE">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46</w:t>
      </w:r>
      <w:r w:rsidRPr="001D77D9">
        <w:rPr>
          <w:lang w:val="en-GB"/>
        </w:rPr>
        <w:fldChar w:fldCharType="end"/>
      </w:r>
      <w:r w:rsidRPr="001D77D9">
        <w:rPr>
          <w:lang w:val="en-GB"/>
        </w:rPr>
        <w:t>.  </w:t>
      </w:r>
      <w:r w:rsidRPr="001D77D9" w:rsidR="00ED5285">
        <w:rPr>
          <w:lang w:val="en-GB"/>
        </w:rPr>
        <w:t>On</w:t>
      </w:r>
      <w:r w:rsidRPr="001D77D9">
        <w:rPr>
          <w:lang w:val="en-GB"/>
        </w:rPr>
        <w:t xml:space="preserve"> 6 </w:t>
      </w:r>
      <w:r w:rsidRPr="001D77D9" w:rsidR="00CB1B3D">
        <w:rPr>
          <w:lang w:val="en-GB"/>
        </w:rPr>
        <w:t>September</w:t>
      </w:r>
      <w:r w:rsidRPr="001D77D9">
        <w:rPr>
          <w:lang w:val="en-GB"/>
        </w:rPr>
        <w:t xml:space="preserve"> 2007</w:t>
      </w:r>
      <w:r w:rsidRPr="001D77D9" w:rsidR="00ED5285">
        <w:rPr>
          <w:lang w:val="en-GB"/>
        </w:rPr>
        <w:t xml:space="preserve"> the </w:t>
      </w:r>
      <w:proofErr w:type="spellStart"/>
      <w:r w:rsidRPr="001D77D9" w:rsidR="00ED5285">
        <w:rPr>
          <w:lang w:val="en-GB"/>
        </w:rPr>
        <w:t>Tekirdağ</w:t>
      </w:r>
      <w:proofErr w:type="spellEnd"/>
      <w:r w:rsidRPr="001D77D9" w:rsidR="00ED5285">
        <w:rPr>
          <w:lang w:val="en-GB"/>
        </w:rPr>
        <w:t xml:space="preserve"> prison </w:t>
      </w:r>
      <w:r w:rsidRPr="001D77D9" w:rsidR="00AE07F6">
        <w:rPr>
          <w:lang w:val="en-GB"/>
        </w:rPr>
        <w:t>education board</w:t>
      </w:r>
      <w:r w:rsidRPr="001D77D9" w:rsidR="00ED5285">
        <w:rPr>
          <w:lang w:val="en-GB"/>
        </w:rPr>
        <w:t xml:space="preserve"> decided not to </w:t>
      </w:r>
      <w:r w:rsidRPr="001D77D9" w:rsidR="00644F41">
        <w:rPr>
          <w:lang w:val="en-GB"/>
        </w:rPr>
        <w:t>deliver</w:t>
      </w:r>
      <w:r w:rsidRPr="001D77D9" w:rsidR="00B137FE">
        <w:rPr>
          <w:lang w:val="en-GB"/>
        </w:rPr>
        <w:t xml:space="preserve"> to</w:t>
      </w:r>
      <w:r w:rsidRPr="001D77D9" w:rsidR="00B2276A">
        <w:rPr>
          <w:lang w:val="en-GB"/>
        </w:rPr>
        <w:t xml:space="preserve"> the applicant</w:t>
      </w:r>
      <w:r w:rsidRPr="001D77D9" w:rsidR="00ED5285">
        <w:rPr>
          <w:lang w:val="en-GB"/>
        </w:rPr>
        <w:t xml:space="preserve"> the 28, 29, 30 and 31 </w:t>
      </w:r>
      <w:r w:rsidRPr="001D77D9" w:rsidR="00CB1B3D">
        <w:rPr>
          <w:lang w:val="en-GB"/>
        </w:rPr>
        <w:t>August</w:t>
      </w:r>
      <w:r w:rsidRPr="001D77D9" w:rsidR="00ED5285">
        <w:rPr>
          <w:lang w:val="en-GB"/>
        </w:rPr>
        <w:t xml:space="preserve"> 2007 </w:t>
      </w:r>
      <w:r w:rsidRPr="001D77D9" w:rsidR="004E05A7">
        <w:rPr>
          <w:lang w:val="en-GB"/>
        </w:rPr>
        <w:t>edition</w:t>
      </w:r>
      <w:r w:rsidRPr="001D77D9" w:rsidR="00ED5285">
        <w:rPr>
          <w:lang w:val="en-GB"/>
        </w:rPr>
        <w:t xml:space="preserve">s of the </w:t>
      </w:r>
      <w:proofErr w:type="spellStart"/>
      <w:r w:rsidRPr="001D77D9" w:rsidR="00ED5285">
        <w:rPr>
          <w:i/>
          <w:lang w:val="en-GB"/>
        </w:rPr>
        <w:t>Azadiya</w:t>
      </w:r>
      <w:proofErr w:type="spellEnd"/>
      <w:r w:rsidRPr="001D77D9" w:rsidR="00ED5285">
        <w:rPr>
          <w:i/>
          <w:lang w:val="en-GB"/>
        </w:rPr>
        <w:t xml:space="preserve"> </w:t>
      </w:r>
      <w:proofErr w:type="spellStart"/>
      <w:r w:rsidRPr="001D77D9" w:rsidR="00ED5285">
        <w:rPr>
          <w:i/>
          <w:lang w:val="en-GB"/>
        </w:rPr>
        <w:t>Welat</w:t>
      </w:r>
      <w:proofErr w:type="spellEnd"/>
      <w:r w:rsidRPr="001D77D9" w:rsidDel="00692BAE" w:rsidR="00ED5285">
        <w:rPr>
          <w:lang w:val="en-GB"/>
        </w:rPr>
        <w:t xml:space="preserve"> </w:t>
      </w:r>
      <w:r w:rsidRPr="001D77D9" w:rsidR="00ED5285">
        <w:rPr>
          <w:lang w:val="en-GB"/>
        </w:rPr>
        <w:t xml:space="preserve">daily newspaper on the grounds that </w:t>
      </w:r>
      <w:r w:rsidRPr="001D77D9" w:rsidR="00B137FE">
        <w:rPr>
          <w:lang w:val="en-GB"/>
        </w:rPr>
        <w:t xml:space="preserve">it </w:t>
      </w:r>
      <w:r w:rsidRPr="001D77D9" w:rsidR="00644F41">
        <w:rPr>
          <w:lang w:val="en-GB"/>
        </w:rPr>
        <w:t>did</w:t>
      </w:r>
      <w:r w:rsidRPr="001D77D9" w:rsidR="00B137FE">
        <w:rPr>
          <w:lang w:val="en-GB"/>
        </w:rPr>
        <w:t xml:space="preserve"> not </w:t>
      </w:r>
      <w:r w:rsidRPr="001D77D9" w:rsidR="005A0DAA">
        <w:rPr>
          <w:lang w:val="en-GB"/>
        </w:rPr>
        <w:t>understand</w:t>
      </w:r>
      <w:r w:rsidRPr="001D77D9" w:rsidR="00B137FE">
        <w:rPr>
          <w:lang w:val="en-GB"/>
        </w:rPr>
        <w:t xml:space="preserve"> their</w:t>
      </w:r>
      <w:r w:rsidRPr="001D77D9">
        <w:rPr>
          <w:lang w:val="en-GB"/>
        </w:rPr>
        <w:t xml:space="preserve"> </w:t>
      </w:r>
      <w:r w:rsidRPr="001D77D9" w:rsidR="005A0DAA">
        <w:rPr>
          <w:lang w:val="en-GB"/>
        </w:rPr>
        <w:t>content</w:t>
      </w:r>
      <w:r w:rsidRPr="001D77D9">
        <w:rPr>
          <w:lang w:val="en-GB"/>
        </w:rPr>
        <w:t xml:space="preserve"> </w:t>
      </w:r>
      <w:r w:rsidRPr="001D77D9" w:rsidR="00644F41">
        <w:rPr>
          <w:lang w:val="en-GB"/>
        </w:rPr>
        <w:t>and could not</w:t>
      </w:r>
      <w:r w:rsidRPr="001D77D9" w:rsidR="00B137FE">
        <w:rPr>
          <w:lang w:val="en-GB"/>
        </w:rPr>
        <w:t xml:space="preserve"> have them</w:t>
      </w:r>
      <w:r w:rsidRPr="001D77D9">
        <w:rPr>
          <w:lang w:val="en-GB"/>
        </w:rPr>
        <w:t xml:space="preserve"> tra</w:t>
      </w:r>
      <w:r w:rsidRPr="001D77D9" w:rsidR="00B137FE">
        <w:rPr>
          <w:lang w:val="en-GB"/>
        </w:rPr>
        <w:t>nslated, a</w:t>
      </w:r>
      <w:r w:rsidRPr="001D77D9" w:rsidR="00711F71">
        <w:rPr>
          <w:lang w:val="en-GB"/>
        </w:rPr>
        <w:t xml:space="preserve">lso having regard to </w:t>
      </w:r>
      <w:r w:rsidRPr="001D77D9" w:rsidR="00B137FE">
        <w:rPr>
          <w:lang w:val="en-GB"/>
        </w:rPr>
        <w:t>a</w:t>
      </w:r>
      <w:r w:rsidRPr="001D77D9">
        <w:rPr>
          <w:lang w:val="en-GB"/>
        </w:rPr>
        <w:t xml:space="preserve"> </w:t>
      </w:r>
      <w:r w:rsidRPr="001D77D9" w:rsidR="005A0DAA">
        <w:rPr>
          <w:lang w:val="en-GB"/>
        </w:rPr>
        <w:t>decision</w:t>
      </w:r>
      <w:r w:rsidRPr="001D77D9">
        <w:rPr>
          <w:lang w:val="en-GB"/>
        </w:rPr>
        <w:t xml:space="preserve"> </w:t>
      </w:r>
      <w:r w:rsidRPr="001D77D9" w:rsidR="005A0DAA">
        <w:rPr>
          <w:lang w:val="en-GB"/>
        </w:rPr>
        <w:t>given</w:t>
      </w:r>
      <w:r w:rsidRPr="001D77D9" w:rsidR="00521DB3">
        <w:rPr>
          <w:lang w:val="en-GB"/>
        </w:rPr>
        <w:t xml:space="preserve"> on 9 </w:t>
      </w:r>
      <w:r w:rsidRPr="001D77D9" w:rsidR="005A0DAA">
        <w:rPr>
          <w:lang w:val="en-GB"/>
        </w:rPr>
        <w:t>August</w:t>
      </w:r>
      <w:r w:rsidRPr="001D77D9" w:rsidR="00521DB3">
        <w:rPr>
          <w:lang w:val="en-GB"/>
        </w:rPr>
        <w:t xml:space="preserve"> 2007 </w:t>
      </w:r>
      <w:r w:rsidRPr="001D77D9" w:rsidR="00B137FE">
        <w:rPr>
          <w:lang w:val="en-GB"/>
        </w:rPr>
        <w:t xml:space="preserve">by the </w:t>
      </w:r>
      <w:proofErr w:type="spellStart"/>
      <w:r w:rsidRPr="001D77D9" w:rsidR="00B137FE">
        <w:rPr>
          <w:lang w:val="en-GB"/>
        </w:rPr>
        <w:t>Tekirdağ</w:t>
      </w:r>
      <w:proofErr w:type="spellEnd"/>
      <w:r w:rsidRPr="001D77D9" w:rsidR="00B137FE">
        <w:rPr>
          <w:lang w:val="en-GB"/>
        </w:rPr>
        <w:t xml:space="preserve"> post-sentencing</w:t>
      </w:r>
      <w:r w:rsidRPr="001D77D9">
        <w:rPr>
          <w:lang w:val="en-GB"/>
        </w:rPr>
        <w:t xml:space="preserve"> </w:t>
      </w:r>
      <w:r w:rsidRPr="001D77D9" w:rsidR="005A0DAA">
        <w:rPr>
          <w:lang w:val="en-GB"/>
        </w:rPr>
        <w:t>judge</w:t>
      </w:r>
      <w:r w:rsidRPr="001D77D9">
        <w:rPr>
          <w:lang w:val="en-GB"/>
        </w:rPr>
        <w:t>.</w:t>
      </w:r>
    </w:p>
    <w:p w:rsidRPr="001D77D9" w:rsidR="00B311FE" w:rsidP="00B311FE" w:rsidRDefault="00B311FE">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47</w:t>
      </w:r>
      <w:r w:rsidRPr="001D77D9">
        <w:rPr>
          <w:lang w:val="en-GB"/>
        </w:rPr>
        <w:fldChar w:fldCharType="end"/>
      </w:r>
      <w:r w:rsidRPr="001D77D9">
        <w:rPr>
          <w:lang w:val="en-GB"/>
        </w:rPr>
        <w:t>.  </w:t>
      </w:r>
      <w:r w:rsidRPr="001D77D9" w:rsidR="00367D8D">
        <w:rPr>
          <w:lang w:val="en-GB"/>
        </w:rPr>
        <w:t>On</w:t>
      </w:r>
      <w:r w:rsidRPr="001D77D9">
        <w:rPr>
          <w:lang w:val="en-GB"/>
        </w:rPr>
        <w:t xml:space="preserve"> 13 </w:t>
      </w:r>
      <w:r w:rsidRPr="001D77D9" w:rsidR="005A0DAA">
        <w:rPr>
          <w:lang w:val="en-GB"/>
        </w:rPr>
        <w:t>September</w:t>
      </w:r>
      <w:r w:rsidRPr="001D77D9">
        <w:rPr>
          <w:lang w:val="en-GB"/>
        </w:rPr>
        <w:t xml:space="preserve"> 2007</w:t>
      </w:r>
      <w:r w:rsidRPr="001D77D9" w:rsidR="00367D8D">
        <w:rPr>
          <w:lang w:val="en-GB"/>
        </w:rPr>
        <w:t xml:space="preserve"> </w:t>
      </w:r>
      <w:r w:rsidRPr="001D77D9" w:rsidR="005A0DAA">
        <w:rPr>
          <w:lang w:val="en-GB"/>
        </w:rPr>
        <w:t>the</w:t>
      </w:r>
      <w:r w:rsidRPr="001D77D9">
        <w:rPr>
          <w:lang w:val="en-GB"/>
        </w:rPr>
        <w:t xml:space="preserve"> </w:t>
      </w:r>
      <w:r w:rsidRPr="001D77D9" w:rsidR="00367D8D">
        <w:rPr>
          <w:lang w:val="en-GB"/>
        </w:rPr>
        <w:t>applic</w:t>
      </w:r>
      <w:r w:rsidRPr="001D77D9">
        <w:rPr>
          <w:lang w:val="en-GB"/>
        </w:rPr>
        <w:t xml:space="preserve">ant </w:t>
      </w:r>
      <w:r w:rsidRPr="001D77D9" w:rsidR="00367D8D">
        <w:rPr>
          <w:lang w:val="en-GB"/>
        </w:rPr>
        <w:t>appealed against that</w:t>
      </w:r>
      <w:r w:rsidRPr="001D77D9">
        <w:rPr>
          <w:lang w:val="en-GB"/>
        </w:rPr>
        <w:t xml:space="preserve"> </w:t>
      </w:r>
      <w:r w:rsidRPr="001D77D9" w:rsidR="005A0DAA">
        <w:rPr>
          <w:lang w:val="en-GB"/>
        </w:rPr>
        <w:t>decision</w:t>
      </w:r>
      <w:r w:rsidRPr="001D77D9">
        <w:rPr>
          <w:lang w:val="en-GB"/>
        </w:rPr>
        <w:t>.</w:t>
      </w:r>
    </w:p>
    <w:p w:rsidRPr="001D77D9" w:rsidR="00B311FE" w:rsidP="00B311FE" w:rsidRDefault="00B311FE">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48</w:t>
      </w:r>
      <w:r w:rsidRPr="001D77D9">
        <w:rPr>
          <w:lang w:val="en-GB"/>
        </w:rPr>
        <w:fldChar w:fldCharType="end"/>
      </w:r>
      <w:r w:rsidRPr="001D77D9">
        <w:rPr>
          <w:lang w:val="en-GB"/>
        </w:rPr>
        <w:t>.  </w:t>
      </w:r>
      <w:r w:rsidRPr="001D77D9" w:rsidR="00420A42">
        <w:rPr>
          <w:lang w:val="en-GB"/>
        </w:rPr>
        <w:t xml:space="preserve">On </w:t>
      </w:r>
      <w:r w:rsidRPr="001D77D9">
        <w:rPr>
          <w:lang w:val="en-GB"/>
        </w:rPr>
        <w:t xml:space="preserve">5 </w:t>
      </w:r>
      <w:r w:rsidRPr="001D77D9" w:rsidR="005A0DAA">
        <w:rPr>
          <w:lang w:val="en-GB"/>
        </w:rPr>
        <w:t>November</w:t>
      </w:r>
      <w:r w:rsidRPr="001D77D9">
        <w:rPr>
          <w:lang w:val="en-GB"/>
        </w:rPr>
        <w:t xml:space="preserve"> 2007, </w:t>
      </w:r>
      <w:r w:rsidRPr="001D77D9" w:rsidR="00711F71">
        <w:rPr>
          <w:lang w:val="en-GB"/>
        </w:rPr>
        <w:t xml:space="preserve">ruling </w:t>
      </w:r>
      <w:r w:rsidRPr="001D77D9" w:rsidR="00420A42">
        <w:rPr>
          <w:lang w:val="en-GB"/>
        </w:rPr>
        <w:t>on the basis of the ca</w:t>
      </w:r>
      <w:r w:rsidRPr="001D77D9" w:rsidR="00DB63B8">
        <w:rPr>
          <w:lang w:val="en-GB"/>
        </w:rPr>
        <w:t>se fi</w:t>
      </w:r>
      <w:r w:rsidRPr="001D77D9" w:rsidR="00420A42">
        <w:rPr>
          <w:lang w:val="en-GB"/>
        </w:rPr>
        <w:t xml:space="preserve">le, the </w:t>
      </w:r>
      <w:proofErr w:type="spellStart"/>
      <w:r w:rsidRPr="001D77D9" w:rsidR="00420A42">
        <w:rPr>
          <w:lang w:val="en-GB"/>
        </w:rPr>
        <w:t>Tekirdağ</w:t>
      </w:r>
      <w:proofErr w:type="spellEnd"/>
      <w:r w:rsidRPr="001D77D9" w:rsidR="00420A42">
        <w:rPr>
          <w:lang w:val="en-GB"/>
        </w:rPr>
        <w:t xml:space="preserve"> post-sentencing judge dismissed that appeal, finding that the impugned decision</w:t>
      </w:r>
      <w:r w:rsidRPr="001D77D9" w:rsidR="00420A42">
        <w:rPr>
          <w:lang w:val="en-GB" w:eastAsia="fr-FR"/>
        </w:rPr>
        <w:t xml:space="preserve"> had been unobjectionable in procedural and legal terms</w:t>
      </w:r>
      <w:r w:rsidRPr="001D77D9" w:rsidR="00420A42">
        <w:rPr>
          <w:lang w:val="en-GB"/>
        </w:rPr>
        <w:t>. He adjudicated in the light of the State Prosecutor</w:t>
      </w:r>
      <w:r w:rsidR="00934B09">
        <w:rPr>
          <w:lang w:val="en-GB"/>
        </w:rPr>
        <w:t>’</w:t>
      </w:r>
      <w:r w:rsidRPr="001D77D9" w:rsidR="00420A42">
        <w:rPr>
          <w:lang w:val="en-GB"/>
        </w:rPr>
        <w:t xml:space="preserve">s opinion to the effect that in order to assess the conformity with section 62 § 3 of Law no. 5275 of publications in a language other than the official language, a translation of those publications was required, that there was no legal provision requiring the prison to finance the translation costs, that such expenses had not been covered by the </w:t>
      </w:r>
      <w:r w:rsidRPr="001D77D9" w:rsidR="00B2276A">
        <w:rPr>
          <w:lang w:val="en-GB"/>
        </w:rPr>
        <w:t>appellant</w:t>
      </w:r>
      <w:r w:rsidRPr="001D77D9" w:rsidR="00420A42">
        <w:rPr>
          <w:lang w:val="en-GB"/>
        </w:rPr>
        <w:t xml:space="preserve"> and that the </w:t>
      </w:r>
      <w:r w:rsidRPr="001D77D9" w:rsidR="00AE07F6">
        <w:rPr>
          <w:lang w:val="en-GB"/>
        </w:rPr>
        <w:t>education board</w:t>
      </w:r>
      <w:r w:rsidR="00934B09">
        <w:rPr>
          <w:lang w:val="en-GB"/>
        </w:rPr>
        <w:t>’</w:t>
      </w:r>
      <w:r w:rsidRPr="001D77D9" w:rsidR="00420A42">
        <w:rPr>
          <w:lang w:val="en-GB"/>
        </w:rPr>
        <w:t>s decision had consequently been justified</w:t>
      </w:r>
      <w:r w:rsidRPr="001D77D9">
        <w:rPr>
          <w:lang w:val="en-GB"/>
        </w:rPr>
        <w:t>.</w:t>
      </w:r>
    </w:p>
    <w:p w:rsidRPr="001D77D9" w:rsidR="00B311FE" w:rsidP="00B311FE" w:rsidRDefault="00B311FE">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49</w:t>
      </w:r>
      <w:r w:rsidRPr="001D77D9">
        <w:rPr>
          <w:lang w:val="en-GB"/>
        </w:rPr>
        <w:fldChar w:fldCharType="end"/>
      </w:r>
      <w:r w:rsidRPr="001D77D9">
        <w:rPr>
          <w:lang w:val="en-GB"/>
        </w:rPr>
        <w:t>.  </w:t>
      </w:r>
      <w:r w:rsidRPr="001D77D9" w:rsidR="008D40B9">
        <w:rPr>
          <w:lang w:val="en-GB"/>
        </w:rPr>
        <w:t>On</w:t>
      </w:r>
      <w:r w:rsidRPr="001D77D9">
        <w:rPr>
          <w:lang w:val="en-GB"/>
        </w:rPr>
        <w:t xml:space="preserve"> 8 </w:t>
      </w:r>
      <w:r w:rsidRPr="001D77D9" w:rsidR="005A0DAA">
        <w:rPr>
          <w:lang w:val="en-GB"/>
        </w:rPr>
        <w:t>November</w:t>
      </w:r>
      <w:r w:rsidRPr="001D77D9">
        <w:rPr>
          <w:lang w:val="en-GB"/>
        </w:rPr>
        <w:t xml:space="preserve"> 2007</w:t>
      </w:r>
      <w:r w:rsidRPr="001D77D9" w:rsidR="008D40B9">
        <w:rPr>
          <w:lang w:val="en-GB"/>
        </w:rPr>
        <w:t xml:space="preserve"> </w:t>
      </w:r>
      <w:r w:rsidRPr="001D77D9" w:rsidR="005A0DAA">
        <w:rPr>
          <w:lang w:val="en-GB"/>
        </w:rPr>
        <w:t>the</w:t>
      </w:r>
      <w:r w:rsidRPr="001D77D9">
        <w:rPr>
          <w:lang w:val="en-GB"/>
        </w:rPr>
        <w:t xml:space="preserve"> </w:t>
      </w:r>
      <w:r w:rsidRPr="001D77D9" w:rsidR="008D40B9">
        <w:rPr>
          <w:lang w:val="en-GB"/>
        </w:rPr>
        <w:t>applic</w:t>
      </w:r>
      <w:r w:rsidRPr="001D77D9">
        <w:rPr>
          <w:lang w:val="en-GB"/>
        </w:rPr>
        <w:t xml:space="preserve">ant </w:t>
      </w:r>
      <w:r w:rsidRPr="001D77D9" w:rsidR="008D40B9">
        <w:rPr>
          <w:lang w:val="en-GB"/>
        </w:rPr>
        <w:t>appealed against th</w:t>
      </w:r>
      <w:r w:rsidRPr="001D77D9" w:rsidR="005A0DAA">
        <w:rPr>
          <w:lang w:val="en-GB"/>
        </w:rPr>
        <w:t>e post</w:t>
      </w:r>
      <w:r w:rsidR="00934B09">
        <w:rPr>
          <w:lang w:val="en-GB"/>
        </w:rPr>
        <w:noBreakHyphen/>
      </w:r>
      <w:r w:rsidRPr="001D77D9" w:rsidR="005A0DAA">
        <w:rPr>
          <w:lang w:val="en-GB"/>
        </w:rPr>
        <w:t>sentencing judge</w:t>
      </w:r>
      <w:r w:rsidR="00934B09">
        <w:rPr>
          <w:lang w:val="en-GB"/>
        </w:rPr>
        <w:t>’</w:t>
      </w:r>
      <w:r w:rsidRPr="001D77D9" w:rsidR="005A0DAA">
        <w:rPr>
          <w:lang w:val="en-GB"/>
        </w:rPr>
        <w:t>s</w:t>
      </w:r>
      <w:r w:rsidRPr="001D77D9" w:rsidR="008D40B9">
        <w:rPr>
          <w:lang w:val="en-GB"/>
        </w:rPr>
        <w:t xml:space="preserve"> </w:t>
      </w:r>
      <w:r w:rsidRPr="001D77D9" w:rsidR="005A0DAA">
        <w:rPr>
          <w:lang w:val="en-GB"/>
        </w:rPr>
        <w:t>decision</w:t>
      </w:r>
      <w:r w:rsidRPr="001D77D9">
        <w:rPr>
          <w:lang w:val="en-GB"/>
        </w:rPr>
        <w:t>.</w:t>
      </w:r>
    </w:p>
    <w:p w:rsidRPr="001D77D9" w:rsidR="00B311FE" w:rsidP="00B311FE" w:rsidRDefault="00B311FE">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50</w:t>
      </w:r>
      <w:r w:rsidRPr="001D77D9">
        <w:rPr>
          <w:lang w:val="en-GB"/>
        </w:rPr>
        <w:fldChar w:fldCharType="end"/>
      </w:r>
      <w:r w:rsidRPr="001D77D9">
        <w:rPr>
          <w:lang w:val="en-GB"/>
        </w:rPr>
        <w:t>.  </w:t>
      </w:r>
      <w:r w:rsidRPr="001D77D9" w:rsidR="005A0DAA">
        <w:rPr>
          <w:lang w:val="en-GB"/>
        </w:rPr>
        <w:t>On</w:t>
      </w:r>
      <w:r w:rsidRPr="001D77D9">
        <w:rPr>
          <w:lang w:val="en-GB"/>
        </w:rPr>
        <w:t xml:space="preserve"> 27 </w:t>
      </w:r>
      <w:r w:rsidRPr="001D77D9" w:rsidR="005A0DAA">
        <w:rPr>
          <w:lang w:val="en-GB"/>
        </w:rPr>
        <w:t>November</w:t>
      </w:r>
      <w:r w:rsidRPr="001D77D9">
        <w:rPr>
          <w:lang w:val="en-GB"/>
        </w:rPr>
        <w:t xml:space="preserve"> 2007</w:t>
      </w:r>
      <w:r w:rsidRPr="001D77D9" w:rsidR="005A0DAA">
        <w:rPr>
          <w:lang w:val="en-GB"/>
        </w:rPr>
        <w:t xml:space="preserve"> the </w:t>
      </w:r>
      <w:proofErr w:type="spellStart"/>
      <w:r w:rsidRPr="001D77D9" w:rsidR="005A0DAA">
        <w:rPr>
          <w:lang w:val="en-GB"/>
        </w:rPr>
        <w:t>Tekirdağ</w:t>
      </w:r>
      <w:proofErr w:type="spellEnd"/>
      <w:r w:rsidRPr="001D77D9" w:rsidR="005A0DAA">
        <w:rPr>
          <w:lang w:val="en-GB"/>
        </w:rPr>
        <w:t xml:space="preserve"> Assize</w:t>
      </w:r>
      <w:r w:rsidRPr="001D77D9">
        <w:rPr>
          <w:lang w:val="en-GB"/>
        </w:rPr>
        <w:t xml:space="preserve"> </w:t>
      </w:r>
      <w:r w:rsidRPr="001D77D9" w:rsidR="005A0DAA">
        <w:rPr>
          <w:lang w:val="en-GB"/>
        </w:rPr>
        <w:t>Court</w:t>
      </w:r>
      <w:r w:rsidRPr="001D77D9">
        <w:rPr>
          <w:lang w:val="en-GB"/>
        </w:rPr>
        <w:t xml:space="preserve">, </w:t>
      </w:r>
      <w:r w:rsidRPr="001D77D9" w:rsidR="00852FB5">
        <w:rPr>
          <w:lang w:val="en-GB"/>
        </w:rPr>
        <w:t xml:space="preserve">ruling </w:t>
      </w:r>
      <w:r w:rsidRPr="001D77D9" w:rsidR="005A0DAA">
        <w:rPr>
          <w:lang w:val="en-GB"/>
        </w:rPr>
        <w:t>on the basis of the case file and having taken cognisance of the State Prosecutor</w:t>
      </w:r>
      <w:r w:rsidR="00934B09">
        <w:rPr>
          <w:lang w:val="en-GB"/>
        </w:rPr>
        <w:t>’</w:t>
      </w:r>
      <w:r w:rsidRPr="001D77D9" w:rsidR="005A0DAA">
        <w:rPr>
          <w:lang w:val="en-GB"/>
        </w:rPr>
        <w:t xml:space="preserve">s opinion, </w:t>
      </w:r>
      <w:r w:rsidRPr="001D77D9" w:rsidR="005A0DAA">
        <w:rPr>
          <w:lang w:val="en-GB" w:eastAsia="fr-FR"/>
        </w:rPr>
        <w:t>found that the impugned decision had been unobjectionable in procedural and legal terms</w:t>
      </w:r>
      <w:r w:rsidRPr="001D77D9" w:rsidR="005A0DAA">
        <w:rPr>
          <w:lang w:val="en-GB"/>
        </w:rPr>
        <w:t xml:space="preserve"> and dismissed the </w:t>
      </w:r>
      <w:r w:rsidRPr="001D77D9" w:rsidR="00DE391F">
        <w:rPr>
          <w:lang w:val="en-GB"/>
        </w:rPr>
        <w:t>applicant</w:t>
      </w:r>
      <w:r w:rsidR="00934B09">
        <w:rPr>
          <w:lang w:val="en-GB"/>
        </w:rPr>
        <w:t>’</w:t>
      </w:r>
      <w:r w:rsidRPr="001D77D9" w:rsidR="00DE391F">
        <w:rPr>
          <w:lang w:val="en-GB"/>
        </w:rPr>
        <w:t xml:space="preserve">s </w:t>
      </w:r>
      <w:r w:rsidRPr="001D77D9" w:rsidR="005A0DAA">
        <w:rPr>
          <w:lang w:val="en-GB"/>
        </w:rPr>
        <w:t>appeal</w:t>
      </w:r>
      <w:r w:rsidRPr="001D77D9">
        <w:rPr>
          <w:lang w:val="en-GB" w:eastAsia="fr-FR"/>
        </w:rPr>
        <w:t>.</w:t>
      </w:r>
    </w:p>
    <w:p w:rsidRPr="001D77D9" w:rsidR="00B311FE" w:rsidP="00B311FE" w:rsidRDefault="00B311FE">
      <w:pPr>
        <w:pStyle w:val="ECHRHeading3"/>
        <w:rPr>
          <w:lang w:val="en-GB" w:eastAsia="fr-FR"/>
        </w:rPr>
      </w:pPr>
      <w:r w:rsidRPr="001D77D9">
        <w:rPr>
          <w:lang w:val="en-GB" w:eastAsia="fr-FR"/>
        </w:rPr>
        <w:t>2.  </w:t>
      </w:r>
      <w:r w:rsidRPr="001D77D9" w:rsidR="005A0DAA">
        <w:rPr>
          <w:lang w:val="en-GB" w:eastAsia="fr-FR"/>
        </w:rPr>
        <w:t>Proceedings</w:t>
      </w:r>
      <w:r w:rsidRPr="001D77D9">
        <w:rPr>
          <w:lang w:val="en-GB" w:eastAsia="fr-FR"/>
        </w:rPr>
        <w:t xml:space="preserve"> relati</w:t>
      </w:r>
      <w:r w:rsidRPr="001D77D9" w:rsidR="005A0DAA">
        <w:rPr>
          <w:lang w:val="en-GB" w:eastAsia="fr-FR"/>
        </w:rPr>
        <w:t>ng to the failure to deliver the</w:t>
      </w:r>
      <w:r w:rsidRPr="001D77D9">
        <w:rPr>
          <w:lang w:val="en-GB" w:eastAsia="fr-FR"/>
        </w:rPr>
        <w:t xml:space="preserve"> 21 </w:t>
      </w:r>
      <w:r w:rsidRPr="001D77D9" w:rsidR="005A0DAA">
        <w:rPr>
          <w:lang w:val="en-GB" w:eastAsia="fr-FR"/>
        </w:rPr>
        <w:t>to</w:t>
      </w:r>
      <w:r w:rsidRPr="001D77D9">
        <w:rPr>
          <w:lang w:val="en-GB" w:eastAsia="fr-FR"/>
        </w:rPr>
        <w:t xml:space="preserve"> 28 </w:t>
      </w:r>
      <w:r w:rsidRPr="001D77D9" w:rsidR="005A0DAA">
        <w:rPr>
          <w:lang w:val="en-GB" w:eastAsia="fr-FR"/>
        </w:rPr>
        <w:t>August</w:t>
      </w:r>
      <w:r w:rsidRPr="001D77D9">
        <w:rPr>
          <w:lang w:val="en-GB" w:eastAsia="fr-FR"/>
        </w:rPr>
        <w:t xml:space="preserve"> 2007 </w:t>
      </w:r>
      <w:r w:rsidRPr="001D77D9" w:rsidR="004E05A7">
        <w:rPr>
          <w:lang w:val="en-GB" w:eastAsia="fr-FR"/>
        </w:rPr>
        <w:t>edition</w:t>
      </w:r>
      <w:r w:rsidRPr="001D77D9" w:rsidR="005A0DAA">
        <w:rPr>
          <w:lang w:val="en-GB" w:eastAsia="fr-FR"/>
        </w:rPr>
        <w:t xml:space="preserve">s </w:t>
      </w:r>
      <w:r w:rsidRPr="001D77D9">
        <w:rPr>
          <w:lang w:val="en-GB" w:eastAsia="fr-FR"/>
        </w:rPr>
        <w:t>(</w:t>
      </w:r>
      <w:r w:rsidRPr="001D77D9" w:rsidR="005A0DAA">
        <w:rPr>
          <w:lang w:val="en-GB" w:eastAsia="fr-FR"/>
        </w:rPr>
        <w:t xml:space="preserve">application </w:t>
      </w:r>
      <w:r w:rsidRPr="001D77D9">
        <w:rPr>
          <w:lang w:val="en-GB" w:eastAsia="fr-FR"/>
        </w:rPr>
        <w:t>n</w:t>
      </w:r>
      <w:r w:rsidRPr="001D77D9" w:rsidR="005A0DAA">
        <w:rPr>
          <w:lang w:val="en-GB" w:eastAsia="fr-FR"/>
        </w:rPr>
        <w:t>o.</w:t>
      </w:r>
      <w:r w:rsidRPr="001D77D9">
        <w:rPr>
          <w:lang w:val="en-GB" w:eastAsia="fr-FR"/>
        </w:rPr>
        <w:t xml:space="preserve"> 27090/08)</w:t>
      </w:r>
    </w:p>
    <w:p w:rsidRPr="001D77D9" w:rsidR="00B311FE" w:rsidP="00B311FE" w:rsidRDefault="00B311FE">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51</w:t>
      </w:r>
      <w:r w:rsidRPr="001D77D9">
        <w:rPr>
          <w:lang w:val="en-GB" w:eastAsia="fr-FR"/>
        </w:rPr>
        <w:fldChar w:fldCharType="end"/>
      </w:r>
      <w:r w:rsidRPr="001D77D9">
        <w:rPr>
          <w:lang w:val="en-GB" w:eastAsia="fr-FR"/>
        </w:rPr>
        <w:t>.  </w:t>
      </w:r>
      <w:r w:rsidRPr="001D77D9" w:rsidR="0098185A">
        <w:rPr>
          <w:lang w:val="en-GB" w:eastAsia="fr-FR"/>
        </w:rPr>
        <w:t>On</w:t>
      </w:r>
      <w:r w:rsidRPr="001D77D9">
        <w:rPr>
          <w:lang w:val="en-GB" w:eastAsia="fr-FR"/>
        </w:rPr>
        <w:t xml:space="preserve"> 31 </w:t>
      </w:r>
      <w:r w:rsidRPr="001D77D9" w:rsidR="0037784B">
        <w:rPr>
          <w:lang w:val="en-GB" w:eastAsia="fr-FR"/>
        </w:rPr>
        <w:t>August</w:t>
      </w:r>
      <w:r w:rsidRPr="001D77D9">
        <w:rPr>
          <w:lang w:val="en-GB" w:eastAsia="fr-FR"/>
        </w:rPr>
        <w:t xml:space="preserve"> 2007, </w:t>
      </w:r>
      <w:r w:rsidRPr="001D77D9" w:rsidR="0098185A">
        <w:rPr>
          <w:lang w:val="en-GB" w:eastAsia="fr-FR"/>
        </w:rPr>
        <w:t>referring to a</w:t>
      </w:r>
      <w:r w:rsidRPr="001D77D9">
        <w:rPr>
          <w:lang w:val="en-GB" w:eastAsia="fr-FR"/>
        </w:rPr>
        <w:t xml:space="preserve"> </w:t>
      </w:r>
      <w:r w:rsidRPr="001D77D9" w:rsidR="0037784B">
        <w:rPr>
          <w:lang w:val="en-GB" w:eastAsia="fr-FR"/>
        </w:rPr>
        <w:t>decision</w:t>
      </w:r>
      <w:r w:rsidRPr="001D77D9">
        <w:rPr>
          <w:lang w:val="en-GB" w:eastAsia="fr-FR"/>
        </w:rPr>
        <w:t xml:space="preserve"> </w:t>
      </w:r>
      <w:r w:rsidRPr="001D77D9" w:rsidR="0098185A">
        <w:rPr>
          <w:lang w:val="en-GB" w:eastAsia="fr-FR"/>
        </w:rPr>
        <w:t xml:space="preserve">given by the </w:t>
      </w:r>
      <w:proofErr w:type="spellStart"/>
      <w:r w:rsidRPr="001D77D9" w:rsidR="0098185A">
        <w:rPr>
          <w:lang w:val="en-GB" w:eastAsia="fr-FR"/>
        </w:rPr>
        <w:t>Tekirda</w:t>
      </w:r>
      <w:r w:rsidRPr="001D77D9" w:rsidR="0098185A">
        <w:rPr>
          <w:rFonts w:cstheme="minorHAnsi"/>
          <w:lang w:val="en-GB" w:eastAsia="fr-FR"/>
        </w:rPr>
        <w:t>ğ</w:t>
      </w:r>
      <w:proofErr w:type="spellEnd"/>
      <w:r w:rsidRPr="001D77D9" w:rsidR="0098185A">
        <w:rPr>
          <w:lang w:val="en-GB" w:eastAsia="fr-FR"/>
        </w:rPr>
        <w:t xml:space="preserve"> post-sentencing</w:t>
      </w:r>
      <w:r w:rsidRPr="001D77D9">
        <w:rPr>
          <w:lang w:val="en-GB" w:eastAsia="fr-FR"/>
        </w:rPr>
        <w:t xml:space="preserve"> </w:t>
      </w:r>
      <w:r w:rsidRPr="001D77D9" w:rsidR="0037784B">
        <w:rPr>
          <w:lang w:val="en-GB" w:eastAsia="fr-FR"/>
        </w:rPr>
        <w:t>judge</w:t>
      </w:r>
      <w:r w:rsidRPr="001D77D9">
        <w:rPr>
          <w:lang w:val="en-GB" w:eastAsia="fr-FR"/>
        </w:rPr>
        <w:t xml:space="preserve"> </w:t>
      </w:r>
      <w:r w:rsidRPr="001D77D9" w:rsidR="0098185A">
        <w:rPr>
          <w:lang w:val="en-GB" w:eastAsia="fr-FR"/>
        </w:rPr>
        <w:t>on</w:t>
      </w:r>
      <w:r w:rsidRPr="001D77D9">
        <w:rPr>
          <w:lang w:val="en-GB" w:eastAsia="fr-FR"/>
        </w:rPr>
        <w:t xml:space="preserve"> 9 </w:t>
      </w:r>
      <w:r w:rsidRPr="001D77D9" w:rsidR="0037784B">
        <w:rPr>
          <w:lang w:val="en-GB" w:eastAsia="fr-FR"/>
        </w:rPr>
        <w:t>August</w:t>
      </w:r>
      <w:r w:rsidRPr="001D77D9">
        <w:rPr>
          <w:lang w:val="en-GB" w:eastAsia="fr-FR"/>
        </w:rPr>
        <w:t xml:space="preserve"> 2007, </w:t>
      </w:r>
      <w:r w:rsidRPr="001D77D9" w:rsidR="00B2276A">
        <w:rPr>
          <w:lang w:val="en-GB"/>
        </w:rPr>
        <w:t xml:space="preserve">the </w:t>
      </w:r>
      <w:proofErr w:type="spellStart"/>
      <w:r w:rsidRPr="001D77D9" w:rsidR="00B2276A">
        <w:rPr>
          <w:lang w:val="en-GB"/>
        </w:rPr>
        <w:t>Tekirdağ</w:t>
      </w:r>
      <w:proofErr w:type="spellEnd"/>
      <w:r w:rsidRPr="001D77D9" w:rsidR="00B2276A">
        <w:rPr>
          <w:lang w:val="en-GB"/>
        </w:rPr>
        <w:t xml:space="preserve"> prison </w:t>
      </w:r>
      <w:r w:rsidRPr="001D77D9" w:rsidR="00AE07F6">
        <w:rPr>
          <w:lang w:val="en-GB"/>
        </w:rPr>
        <w:t>education board</w:t>
      </w:r>
      <w:r w:rsidRPr="001D77D9" w:rsidR="00B2276A">
        <w:rPr>
          <w:lang w:val="en-GB"/>
        </w:rPr>
        <w:t xml:space="preserve"> decided not to hand over to the applicants the </w:t>
      </w:r>
      <w:r w:rsidRPr="001D77D9" w:rsidR="00B2276A">
        <w:rPr>
          <w:lang w:val="en-GB" w:eastAsia="fr-FR"/>
        </w:rPr>
        <w:t xml:space="preserve">21, 22, 23, 24, 25, 26, 27 </w:t>
      </w:r>
      <w:r w:rsidRPr="001D77D9" w:rsidR="00B2276A">
        <w:rPr>
          <w:lang w:val="en-GB"/>
        </w:rPr>
        <w:t xml:space="preserve">and </w:t>
      </w:r>
      <w:r w:rsidRPr="001D77D9" w:rsidR="00B2276A">
        <w:rPr>
          <w:lang w:val="en-GB" w:eastAsia="fr-FR"/>
        </w:rPr>
        <w:t xml:space="preserve">28 </w:t>
      </w:r>
      <w:r w:rsidRPr="001D77D9" w:rsidR="00B2276A">
        <w:rPr>
          <w:lang w:val="en-GB"/>
        </w:rPr>
        <w:t xml:space="preserve">August 2007 </w:t>
      </w:r>
      <w:r w:rsidRPr="001D77D9" w:rsidR="004E05A7">
        <w:rPr>
          <w:lang w:val="en-GB"/>
        </w:rPr>
        <w:t>edition</w:t>
      </w:r>
      <w:r w:rsidRPr="001D77D9" w:rsidR="00B2276A">
        <w:rPr>
          <w:lang w:val="en-GB"/>
        </w:rPr>
        <w:t xml:space="preserve">s of the </w:t>
      </w:r>
      <w:proofErr w:type="spellStart"/>
      <w:r w:rsidRPr="001D77D9" w:rsidR="00B2276A">
        <w:rPr>
          <w:i/>
          <w:lang w:val="en-GB"/>
        </w:rPr>
        <w:t>Azadiya</w:t>
      </w:r>
      <w:proofErr w:type="spellEnd"/>
      <w:r w:rsidRPr="001D77D9" w:rsidR="00B2276A">
        <w:rPr>
          <w:i/>
          <w:lang w:val="en-GB"/>
        </w:rPr>
        <w:t xml:space="preserve"> </w:t>
      </w:r>
      <w:proofErr w:type="spellStart"/>
      <w:r w:rsidRPr="001D77D9" w:rsidR="00B2276A">
        <w:rPr>
          <w:i/>
          <w:lang w:val="en-GB"/>
        </w:rPr>
        <w:t>Welat</w:t>
      </w:r>
      <w:proofErr w:type="spellEnd"/>
      <w:r w:rsidRPr="001D77D9" w:rsidDel="00692BAE" w:rsidR="00B2276A">
        <w:rPr>
          <w:lang w:val="en-GB"/>
        </w:rPr>
        <w:t xml:space="preserve"> </w:t>
      </w:r>
      <w:r w:rsidRPr="001D77D9" w:rsidR="00B2276A">
        <w:rPr>
          <w:lang w:val="en-GB"/>
        </w:rPr>
        <w:t>daily newspaper on the grounds that it could not understand their content or have them translated</w:t>
      </w:r>
      <w:r w:rsidRPr="001D77D9">
        <w:rPr>
          <w:lang w:val="en-GB" w:eastAsia="fr-FR"/>
        </w:rPr>
        <w:t>.</w:t>
      </w:r>
    </w:p>
    <w:p w:rsidRPr="001D77D9" w:rsidR="00B311FE" w:rsidP="00B311FE" w:rsidRDefault="00B311FE">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52</w:t>
      </w:r>
      <w:r w:rsidRPr="001D77D9">
        <w:rPr>
          <w:lang w:val="en-GB" w:eastAsia="fr-FR"/>
        </w:rPr>
        <w:fldChar w:fldCharType="end"/>
      </w:r>
      <w:r w:rsidRPr="001D77D9">
        <w:rPr>
          <w:lang w:val="en-GB" w:eastAsia="fr-FR"/>
        </w:rPr>
        <w:t>.  </w:t>
      </w:r>
      <w:r w:rsidRPr="001D77D9" w:rsidR="00757BF7">
        <w:rPr>
          <w:lang w:val="en-GB" w:eastAsia="fr-FR"/>
        </w:rPr>
        <w:t>On</w:t>
      </w:r>
      <w:r w:rsidRPr="001D77D9">
        <w:rPr>
          <w:lang w:val="en-GB" w:eastAsia="fr-FR"/>
        </w:rPr>
        <w:t xml:space="preserve"> 7 </w:t>
      </w:r>
      <w:r w:rsidRPr="001D77D9" w:rsidR="0037784B">
        <w:rPr>
          <w:lang w:val="en-GB" w:eastAsia="fr-FR"/>
        </w:rPr>
        <w:t>September</w:t>
      </w:r>
      <w:r w:rsidRPr="001D77D9">
        <w:rPr>
          <w:lang w:val="en-GB" w:eastAsia="fr-FR"/>
        </w:rPr>
        <w:t xml:space="preserve"> 2007</w:t>
      </w:r>
      <w:r w:rsidRPr="001D77D9" w:rsidR="00757BF7">
        <w:rPr>
          <w:lang w:val="en-GB" w:eastAsia="fr-FR"/>
        </w:rPr>
        <w:t xml:space="preserve"> the applic</w:t>
      </w:r>
      <w:r w:rsidRPr="001D77D9">
        <w:rPr>
          <w:lang w:val="en-GB" w:eastAsia="fr-FR"/>
        </w:rPr>
        <w:t xml:space="preserve">ant </w:t>
      </w:r>
      <w:r w:rsidRPr="001D77D9" w:rsidR="00757BF7">
        <w:rPr>
          <w:lang w:val="en-GB" w:eastAsia="fr-FR"/>
        </w:rPr>
        <w:t>appealed against that</w:t>
      </w:r>
      <w:r w:rsidRPr="001D77D9">
        <w:rPr>
          <w:lang w:val="en-GB" w:eastAsia="fr-FR"/>
        </w:rPr>
        <w:t xml:space="preserve"> </w:t>
      </w:r>
      <w:r w:rsidRPr="001D77D9" w:rsidR="0037784B">
        <w:rPr>
          <w:lang w:val="en-GB" w:eastAsia="fr-FR"/>
        </w:rPr>
        <w:t>decision</w:t>
      </w:r>
      <w:r w:rsidRPr="001D77D9">
        <w:rPr>
          <w:lang w:val="en-GB" w:eastAsia="fr-FR"/>
        </w:rPr>
        <w:t>.</w:t>
      </w:r>
    </w:p>
    <w:p w:rsidRPr="001D77D9" w:rsidR="00B311FE" w:rsidP="00B311FE" w:rsidRDefault="00B311FE">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53</w:t>
      </w:r>
      <w:r w:rsidRPr="001D77D9">
        <w:rPr>
          <w:lang w:val="en-GB" w:eastAsia="fr-FR"/>
        </w:rPr>
        <w:fldChar w:fldCharType="end"/>
      </w:r>
      <w:r w:rsidRPr="001D77D9">
        <w:rPr>
          <w:lang w:val="en-GB" w:eastAsia="fr-FR"/>
        </w:rPr>
        <w:t>.  </w:t>
      </w:r>
      <w:r w:rsidRPr="001D77D9" w:rsidR="00757BF7">
        <w:rPr>
          <w:lang w:val="en-GB" w:eastAsia="fr-FR"/>
        </w:rPr>
        <w:t>On</w:t>
      </w:r>
      <w:r w:rsidRPr="001D77D9">
        <w:rPr>
          <w:lang w:val="en-GB"/>
        </w:rPr>
        <w:t xml:space="preserve"> 5 </w:t>
      </w:r>
      <w:r w:rsidRPr="001D77D9" w:rsidR="0037784B">
        <w:rPr>
          <w:lang w:val="en-GB"/>
        </w:rPr>
        <w:t>November</w:t>
      </w:r>
      <w:r w:rsidRPr="001D77D9">
        <w:rPr>
          <w:lang w:val="en-GB"/>
        </w:rPr>
        <w:t xml:space="preserve"> 2007, </w:t>
      </w:r>
      <w:r w:rsidRPr="001D77D9" w:rsidR="00A7564C">
        <w:rPr>
          <w:lang w:val="en-GB"/>
        </w:rPr>
        <w:t xml:space="preserve">ruling </w:t>
      </w:r>
      <w:r w:rsidRPr="001D77D9" w:rsidR="00757BF7">
        <w:rPr>
          <w:lang w:val="en-GB"/>
        </w:rPr>
        <w:t>on the basis of the ca</w:t>
      </w:r>
      <w:r w:rsidRPr="001D77D9" w:rsidR="00DB63B8">
        <w:rPr>
          <w:lang w:val="en-GB"/>
        </w:rPr>
        <w:t>se fi</w:t>
      </w:r>
      <w:r w:rsidRPr="001D77D9" w:rsidR="00757BF7">
        <w:rPr>
          <w:lang w:val="en-GB"/>
        </w:rPr>
        <w:t xml:space="preserve">le, the </w:t>
      </w:r>
      <w:proofErr w:type="spellStart"/>
      <w:r w:rsidRPr="001D77D9" w:rsidR="00757BF7">
        <w:rPr>
          <w:lang w:val="en-GB"/>
        </w:rPr>
        <w:t>Tekirdağ</w:t>
      </w:r>
      <w:proofErr w:type="spellEnd"/>
      <w:r w:rsidRPr="001D77D9" w:rsidR="00757BF7">
        <w:rPr>
          <w:lang w:val="en-GB"/>
        </w:rPr>
        <w:t xml:space="preserve"> post-sentencing judge dismissed that appeal, finding that the impugned decision</w:t>
      </w:r>
      <w:r w:rsidRPr="001D77D9" w:rsidR="00757BF7">
        <w:rPr>
          <w:lang w:val="en-GB" w:eastAsia="fr-FR"/>
        </w:rPr>
        <w:t xml:space="preserve"> had been unobjectionable in procedural and legal terms</w:t>
      </w:r>
      <w:r w:rsidRPr="001D77D9" w:rsidR="00757BF7">
        <w:rPr>
          <w:lang w:val="en-GB"/>
        </w:rPr>
        <w:t>. He adjudicated in the light of the State Prosecutor</w:t>
      </w:r>
      <w:r w:rsidR="00934B09">
        <w:rPr>
          <w:lang w:val="en-GB"/>
        </w:rPr>
        <w:t>’</w:t>
      </w:r>
      <w:r w:rsidRPr="001D77D9" w:rsidR="00757BF7">
        <w:rPr>
          <w:lang w:val="en-GB"/>
        </w:rPr>
        <w:t xml:space="preserve">s opinion to the effect that in order to assess the conformity with section 62 § 3 of Law no. 5275 of publications in a language other than the official language, a translation of those publications was required, that there was no legal provision requiring the prison to finance the translation costs, that such expenses had not been covered by the appellant and that the </w:t>
      </w:r>
      <w:r w:rsidRPr="001D77D9" w:rsidR="00AE07F6">
        <w:rPr>
          <w:lang w:val="en-GB"/>
        </w:rPr>
        <w:t>education board</w:t>
      </w:r>
      <w:r w:rsidR="00934B09">
        <w:rPr>
          <w:lang w:val="en-GB"/>
        </w:rPr>
        <w:t>’</w:t>
      </w:r>
      <w:r w:rsidRPr="001D77D9" w:rsidR="00757BF7">
        <w:rPr>
          <w:lang w:val="en-GB"/>
        </w:rPr>
        <w:t>s decision had consequently been justified</w:t>
      </w:r>
      <w:r w:rsidRPr="001D77D9">
        <w:rPr>
          <w:lang w:val="en-GB" w:eastAsia="fr-FR"/>
        </w:rPr>
        <w:t>.</w:t>
      </w:r>
    </w:p>
    <w:p w:rsidRPr="001D77D9" w:rsidR="00B311FE" w:rsidP="00B311FE" w:rsidRDefault="00B311FE">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54</w:t>
      </w:r>
      <w:r w:rsidRPr="001D77D9">
        <w:rPr>
          <w:lang w:val="en-GB" w:eastAsia="fr-FR"/>
        </w:rPr>
        <w:fldChar w:fldCharType="end"/>
      </w:r>
      <w:r w:rsidRPr="001D77D9">
        <w:rPr>
          <w:lang w:val="en-GB" w:eastAsia="fr-FR"/>
        </w:rPr>
        <w:t>.  </w:t>
      </w:r>
      <w:r w:rsidRPr="001D77D9" w:rsidR="0016643C">
        <w:rPr>
          <w:lang w:val="en-GB"/>
        </w:rPr>
        <w:t>On 8 November 2007 the applicant appealed against the post</w:t>
      </w:r>
      <w:r w:rsidR="00934B09">
        <w:rPr>
          <w:lang w:val="en-GB"/>
        </w:rPr>
        <w:noBreakHyphen/>
      </w:r>
      <w:r w:rsidRPr="001D77D9" w:rsidR="0016643C">
        <w:rPr>
          <w:lang w:val="en-GB"/>
        </w:rPr>
        <w:t>sentencing judge</w:t>
      </w:r>
      <w:r w:rsidR="00934B09">
        <w:rPr>
          <w:lang w:val="en-GB"/>
        </w:rPr>
        <w:t>’</w:t>
      </w:r>
      <w:r w:rsidRPr="001D77D9" w:rsidR="0016643C">
        <w:rPr>
          <w:lang w:val="en-GB"/>
        </w:rPr>
        <w:t>s decision</w:t>
      </w:r>
      <w:r w:rsidRPr="001D77D9">
        <w:rPr>
          <w:lang w:val="en-GB" w:eastAsia="fr-FR"/>
        </w:rPr>
        <w:t>.</w:t>
      </w:r>
    </w:p>
    <w:p w:rsidRPr="001D77D9" w:rsidR="00014566" w:rsidP="00B311FE" w:rsidRDefault="00B311FE">
      <w:pPr>
        <w:pStyle w:val="ECHRPara"/>
        <w:rPr>
          <w:lang w:val="en-GB"/>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55</w:t>
      </w:r>
      <w:r w:rsidRPr="001D77D9">
        <w:rPr>
          <w:lang w:val="en-GB" w:eastAsia="fr-FR"/>
        </w:rPr>
        <w:fldChar w:fldCharType="end"/>
      </w:r>
      <w:r w:rsidRPr="001D77D9">
        <w:rPr>
          <w:lang w:val="en-GB" w:eastAsia="fr-FR"/>
        </w:rPr>
        <w:t>.  </w:t>
      </w:r>
      <w:r w:rsidRPr="001D77D9" w:rsidR="0016643C">
        <w:rPr>
          <w:lang w:val="en-GB" w:eastAsia="fr-FR"/>
        </w:rPr>
        <w:t>On</w:t>
      </w:r>
      <w:r w:rsidRPr="001D77D9">
        <w:rPr>
          <w:lang w:val="en-GB" w:eastAsia="fr-FR"/>
        </w:rPr>
        <w:t xml:space="preserve"> 28 </w:t>
      </w:r>
      <w:r w:rsidRPr="001D77D9" w:rsidR="0037784B">
        <w:rPr>
          <w:lang w:val="en-GB" w:eastAsia="fr-FR"/>
        </w:rPr>
        <w:t>November</w:t>
      </w:r>
      <w:r w:rsidRPr="001D77D9">
        <w:rPr>
          <w:lang w:val="en-GB" w:eastAsia="fr-FR"/>
        </w:rPr>
        <w:t xml:space="preserve"> 2007 </w:t>
      </w:r>
      <w:r w:rsidRPr="001D77D9" w:rsidR="0016643C">
        <w:rPr>
          <w:lang w:val="en-GB"/>
        </w:rPr>
        <w:t xml:space="preserve">the </w:t>
      </w:r>
      <w:proofErr w:type="spellStart"/>
      <w:r w:rsidRPr="001D77D9" w:rsidR="0016643C">
        <w:rPr>
          <w:lang w:val="en-GB"/>
        </w:rPr>
        <w:t>Tekirdağ</w:t>
      </w:r>
      <w:proofErr w:type="spellEnd"/>
      <w:r w:rsidRPr="001D77D9" w:rsidR="0016643C">
        <w:rPr>
          <w:lang w:val="en-GB"/>
        </w:rPr>
        <w:t xml:space="preserve"> Assize Court, </w:t>
      </w:r>
      <w:r w:rsidRPr="001D77D9" w:rsidR="00A7564C">
        <w:rPr>
          <w:lang w:val="en-GB"/>
        </w:rPr>
        <w:t xml:space="preserve">ruling </w:t>
      </w:r>
      <w:r w:rsidRPr="001D77D9" w:rsidR="0016643C">
        <w:rPr>
          <w:lang w:val="en-GB"/>
        </w:rPr>
        <w:t>on the basis of the case file and having taken cognisance of the State Prosecutor</w:t>
      </w:r>
      <w:r w:rsidR="00934B09">
        <w:rPr>
          <w:lang w:val="en-GB"/>
        </w:rPr>
        <w:t>’</w:t>
      </w:r>
      <w:r w:rsidRPr="001D77D9" w:rsidR="0016643C">
        <w:rPr>
          <w:lang w:val="en-GB"/>
        </w:rPr>
        <w:t xml:space="preserve">s opinion, </w:t>
      </w:r>
      <w:r w:rsidRPr="001D77D9" w:rsidR="0016643C">
        <w:rPr>
          <w:lang w:val="en-GB" w:eastAsia="fr-FR"/>
        </w:rPr>
        <w:t>found that the impugned decision had been unobjectionable in procedural and legal terms</w:t>
      </w:r>
      <w:r w:rsidRPr="001D77D9" w:rsidR="0016643C">
        <w:rPr>
          <w:lang w:val="en-GB"/>
        </w:rPr>
        <w:t xml:space="preserve"> and dismissed the latter appeal.</w:t>
      </w:r>
    </w:p>
    <w:p w:rsidRPr="001D77D9" w:rsidR="00E8532A" w:rsidP="00E8532A" w:rsidRDefault="00E8532A">
      <w:pPr>
        <w:pStyle w:val="ECHRHeading2"/>
        <w:rPr>
          <w:lang w:val="en-GB" w:eastAsia="fr-FR"/>
        </w:rPr>
      </w:pPr>
      <w:r w:rsidRPr="001D77D9">
        <w:rPr>
          <w:lang w:val="en-GB" w:eastAsia="fr-FR"/>
        </w:rPr>
        <w:t xml:space="preserve">H.  Mr Abdullah </w:t>
      </w:r>
      <w:proofErr w:type="spellStart"/>
      <w:r w:rsidRPr="001D77D9">
        <w:rPr>
          <w:lang w:val="en-GB" w:eastAsia="fr-FR"/>
        </w:rPr>
        <w:t>Günay</w:t>
      </w:r>
      <w:proofErr w:type="spellEnd"/>
      <w:r w:rsidRPr="001D77D9">
        <w:rPr>
          <w:lang w:val="en-GB" w:eastAsia="fr-FR"/>
        </w:rPr>
        <w:t xml:space="preserve">, Mr </w:t>
      </w:r>
      <w:proofErr w:type="spellStart"/>
      <w:r w:rsidRPr="001D77D9">
        <w:rPr>
          <w:lang w:val="en-GB" w:eastAsia="fr-FR"/>
        </w:rPr>
        <w:t>Nezir</w:t>
      </w:r>
      <w:proofErr w:type="spellEnd"/>
      <w:r w:rsidRPr="001D77D9">
        <w:rPr>
          <w:lang w:val="en-GB" w:eastAsia="fr-FR"/>
        </w:rPr>
        <w:t xml:space="preserve"> </w:t>
      </w:r>
      <w:proofErr w:type="spellStart"/>
      <w:r w:rsidRPr="001D77D9">
        <w:rPr>
          <w:lang w:val="en-GB" w:eastAsia="fr-FR"/>
        </w:rPr>
        <w:t>Ad</w:t>
      </w:r>
      <w:r w:rsidRPr="001D77D9">
        <w:rPr>
          <w:rFonts w:cstheme="majorHAnsi"/>
          <w:lang w:val="en-GB" w:eastAsia="fr-FR"/>
        </w:rPr>
        <w:t>ı</w:t>
      </w:r>
      <w:r w:rsidRPr="001D77D9">
        <w:rPr>
          <w:lang w:val="en-GB" w:eastAsia="fr-FR"/>
        </w:rPr>
        <w:t>yaman</w:t>
      </w:r>
      <w:proofErr w:type="spellEnd"/>
      <w:r w:rsidRPr="001D77D9">
        <w:rPr>
          <w:lang w:val="en-GB" w:eastAsia="fr-FR"/>
        </w:rPr>
        <w:t xml:space="preserve"> and Mr Ayd</w:t>
      </w:r>
      <w:r w:rsidRPr="001D77D9">
        <w:rPr>
          <w:rFonts w:cstheme="majorHAnsi"/>
          <w:lang w:val="en-GB" w:eastAsia="fr-FR"/>
        </w:rPr>
        <w:t>ı</w:t>
      </w:r>
      <w:r w:rsidRPr="001D77D9">
        <w:rPr>
          <w:lang w:val="en-GB" w:eastAsia="fr-FR"/>
        </w:rPr>
        <w:t xml:space="preserve">n </w:t>
      </w:r>
      <w:proofErr w:type="spellStart"/>
      <w:r w:rsidRPr="001D77D9">
        <w:rPr>
          <w:rFonts w:cstheme="majorHAnsi"/>
          <w:lang w:val="en-GB" w:eastAsia="fr-FR"/>
        </w:rPr>
        <w:t>Ş</w:t>
      </w:r>
      <w:r w:rsidRPr="001D77D9">
        <w:rPr>
          <w:lang w:val="en-GB" w:eastAsia="fr-FR"/>
        </w:rPr>
        <w:t>aka</w:t>
      </w:r>
      <w:proofErr w:type="spellEnd"/>
      <w:r w:rsidRPr="001D77D9">
        <w:rPr>
          <w:lang w:val="en-GB" w:eastAsia="fr-FR"/>
        </w:rPr>
        <w:t xml:space="preserve"> (application no. 27092/08)</w:t>
      </w:r>
    </w:p>
    <w:p w:rsidRPr="001D77D9" w:rsidR="00E8532A" w:rsidP="00E8532A" w:rsidRDefault="00E8532A">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56</w:t>
      </w:r>
      <w:r w:rsidRPr="001D77D9">
        <w:rPr>
          <w:lang w:val="en-GB" w:eastAsia="fr-FR"/>
        </w:rPr>
        <w:fldChar w:fldCharType="end"/>
      </w:r>
      <w:r w:rsidRPr="001D77D9">
        <w:rPr>
          <w:lang w:val="en-GB" w:eastAsia="fr-FR"/>
        </w:rPr>
        <w:t xml:space="preserve">.  The applicants were born </w:t>
      </w:r>
      <w:r w:rsidRPr="001D77D9" w:rsidR="0037784B">
        <w:rPr>
          <w:lang w:val="en-GB" w:eastAsia="fr-FR"/>
        </w:rPr>
        <w:t>in</w:t>
      </w:r>
      <w:r w:rsidRPr="001D77D9">
        <w:rPr>
          <w:lang w:val="en-GB" w:eastAsia="fr-FR"/>
        </w:rPr>
        <w:t xml:space="preserve"> 1979, 1978 and 1980 respectively. When their application was lodged they were </w:t>
      </w:r>
      <w:r w:rsidRPr="001D77D9" w:rsidR="00235A62">
        <w:rPr>
          <w:lang w:val="en-GB" w:eastAsia="fr-FR"/>
        </w:rPr>
        <w:t xml:space="preserve">being </w:t>
      </w:r>
      <w:r w:rsidRPr="001D77D9">
        <w:rPr>
          <w:lang w:val="en-GB" w:eastAsia="fr-FR"/>
        </w:rPr>
        <w:t xml:space="preserve">held in the F-type prison in </w:t>
      </w:r>
      <w:proofErr w:type="spellStart"/>
      <w:r w:rsidRPr="001D77D9">
        <w:rPr>
          <w:lang w:val="en-GB" w:eastAsia="fr-FR"/>
        </w:rPr>
        <w:t>Tekirda</w:t>
      </w:r>
      <w:r w:rsidRPr="001D77D9">
        <w:rPr>
          <w:rFonts w:cstheme="minorHAnsi"/>
          <w:lang w:val="en-GB" w:eastAsia="fr-FR"/>
        </w:rPr>
        <w:t>ğ</w:t>
      </w:r>
      <w:proofErr w:type="spellEnd"/>
      <w:r w:rsidRPr="001D77D9">
        <w:rPr>
          <w:lang w:val="en-GB" w:eastAsia="fr-FR"/>
        </w:rPr>
        <w:t>.</w:t>
      </w:r>
    </w:p>
    <w:p w:rsidRPr="001D77D9" w:rsidR="00E8532A" w:rsidP="00E8532A" w:rsidRDefault="00E8532A">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57</w:t>
      </w:r>
      <w:r w:rsidRPr="001D77D9">
        <w:rPr>
          <w:lang w:val="en-GB" w:eastAsia="fr-FR"/>
        </w:rPr>
        <w:fldChar w:fldCharType="end"/>
      </w:r>
      <w:r w:rsidRPr="001D77D9">
        <w:rPr>
          <w:lang w:val="en-GB" w:eastAsia="fr-FR"/>
        </w:rPr>
        <w:t>.  </w:t>
      </w:r>
      <w:r w:rsidRPr="001D77D9" w:rsidR="0025351F">
        <w:rPr>
          <w:lang w:val="en-GB" w:eastAsia="fr-FR"/>
        </w:rPr>
        <w:t>On</w:t>
      </w:r>
      <w:r w:rsidRPr="001D77D9">
        <w:rPr>
          <w:lang w:val="en-GB" w:eastAsia="fr-FR"/>
        </w:rPr>
        <w:t xml:space="preserve"> 13 </w:t>
      </w:r>
      <w:r w:rsidRPr="001D77D9" w:rsidR="0037784B">
        <w:rPr>
          <w:lang w:val="en-GB" w:eastAsia="fr-FR"/>
        </w:rPr>
        <w:t>September</w:t>
      </w:r>
      <w:r w:rsidRPr="001D77D9">
        <w:rPr>
          <w:lang w:val="en-GB" w:eastAsia="fr-FR"/>
        </w:rPr>
        <w:t xml:space="preserve"> 2007</w:t>
      </w:r>
      <w:r w:rsidRPr="001D77D9" w:rsidR="0025351F">
        <w:rPr>
          <w:lang w:val="en-GB" w:eastAsia="fr-FR"/>
        </w:rPr>
        <w:t xml:space="preserve"> </w:t>
      </w:r>
      <w:r w:rsidRPr="001D77D9" w:rsidR="0025351F">
        <w:rPr>
          <w:lang w:val="en-GB"/>
        </w:rPr>
        <w:t xml:space="preserve">the </w:t>
      </w:r>
      <w:proofErr w:type="spellStart"/>
      <w:r w:rsidRPr="001D77D9" w:rsidR="0025351F">
        <w:rPr>
          <w:lang w:val="en-GB"/>
        </w:rPr>
        <w:t>Tekirdağ</w:t>
      </w:r>
      <w:proofErr w:type="spellEnd"/>
      <w:r w:rsidRPr="001D77D9" w:rsidR="0025351F">
        <w:rPr>
          <w:lang w:val="en-GB"/>
        </w:rPr>
        <w:t xml:space="preserve"> prison </w:t>
      </w:r>
      <w:r w:rsidRPr="001D77D9" w:rsidR="00AE07F6">
        <w:rPr>
          <w:lang w:val="en-GB"/>
        </w:rPr>
        <w:t>education board</w:t>
      </w:r>
      <w:r w:rsidRPr="001D77D9" w:rsidR="0025351F">
        <w:rPr>
          <w:lang w:val="en-GB"/>
        </w:rPr>
        <w:t xml:space="preserve"> decided not to </w:t>
      </w:r>
      <w:r w:rsidRPr="001D77D9" w:rsidR="009D1AF9">
        <w:rPr>
          <w:lang w:val="en-GB"/>
        </w:rPr>
        <w:t xml:space="preserve">deliver </w:t>
      </w:r>
      <w:r w:rsidRPr="001D77D9" w:rsidR="0025351F">
        <w:rPr>
          <w:lang w:val="en-GB"/>
        </w:rPr>
        <w:t xml:space="preserve">the </w:t>
      </w:r>
      <w:r w:rsidRPr="001D77D9" w:rsidR="0025351F">
        <w:rPr>
          <w:lang w:val="en-GB" w:eastAsia="fr-FR"/>
        </w:rPr>
        <w:t xml:space="preserve">4, 5, 6, 7, 8 and 9 </w:t>
      </w:r>
      <w:r w:rsidRPr="001D77D9" w:rsidR="0037784B">
        <w:rPr>
          <w:lang w:val="en-GB" w:eastAsia="fr-FR"/>
        </w:rPr>
        <w:t>September</w:t>
      </w:r>
      <w:r w:rsidRPr="001D77D9" w:rsidR="0025351F">
        <w:rPr>
          <w:lang w:val="en-GB" w:eastAsia="fr-FR"/>
        </w:rPr>
        <w:t xml:space="preserve"> </w:t>
      </w:r>
      <w:r w:rsidRPr="001D77D9" w:rsidR="0025351F">
        <w:rPr>
          <w:lang w:val="en-GB"/>
        </w:rPr>
        <w:t xml:space="preserve">2007 </w:t>
      </w:r>
      <w:r w:rsidRPr="001D77D9" w:rsidR="004E05A7">
        <w:rPr>
          <w:lang w:val="en-GB"/>
        </w:rPr>
        <w:t>edition</w:t>
      </w:r>
      <w:r w:rsidRPr="001D77D9" w:rsidR="0025351F">
        <w:rPr>
          <w:lang w:val="en-GB"/>
        </w:rPr>
        <w:t xml:space="preserve">s of the </w:t>
      </w:r>
      <w:proofErr w:type="spellStart"/>
      <w:r w:rsidRPr="001D77D9" w:rsidR="0025351F">
        <w:rPr>
          <w:i/>
          <w:lang w:val="en-GB"/>
        </w:rPr>
        <w:t>Azadiya</w:t>
      </w:r>
      <w:proofErr w:type="spellEnd"/>
      <w:r w:rsidRPr="001D77D9" w:rsidR="0025351F">
        <w:rPr>
          <w:i/>
          <w:lang w:val="en-GB"/>
        </w:rPr>
        <w:t xml:space="preserve"> </w:t>
      </w:r>
      <w:proofErr w:type="spellStart"/>
      <w:r w:rsidRPr="001D77D9" w:rsidR="0025351F">
        <w:rPr>
          <w:i/>
          <w:lang w:val="en-GB"/>
        </w:rPr>
        <w:t>Welat</w:t>
      </w:r>
      <w:proofErr w:type="spellEnd"/>
      <w:r w:rsidRPr="001D77D9" w:rsidDel="00692BAE" w:rsidR="0025351F">
        <w:rPr>
          <w:lang w:val="en-GB"/>
        </w:rPr>
        <w:t xml:space="preserve"> </w:t>
      </w:r>
      <w:r w:rsidRPr="001D77D9" w:rsidR="0025351F">
        <w:rPr>
          <w:lang w:val="en-GB"/>
        </w:rPr>
        <w:t xml:space="preserve">daily newspaper </w:t>
      </w:r>
      <w:r w:rsidRPr="001D77D9" w:rsidR="009D1AF9">
        <w:rPr>
          <w:lang w:val="en-GB"/>
        </w:rPr>
        <w:t xml:space="preserve">to the applicants </w:t>
      </w:r>
      <w:r w:rsidRPr="001D77D9" w:rsidR="0025351F">
        <w:rPr>
          <w:lang w:val="en-GB"/>
        </w:rPr>
        <w:t>on the grounds that they were in the Kurdish language and that the prison had no staff capable of translating that language</w:t>
      </w:r>
      <w:r w:rsidRPr="001D77D9">
        <w:rPr>
          <w:lang w:val="en-GB" w:eastAsia="fr-FR"/>
        </w:rPr>
        <w:t>.</w:t>
      </w:r>
      <w:r w:rsidRPr="001D77D9" w:rsidR="0025351F">
        <w:rPr>
          <w:lang w:val="en-GB" w:eastAsia="fr-FR"/>
        </w:rPr>
        <w:t xml:space="preserve"> The Board also had</w:t>
      </w:r>
      <w:r w:rsidRPr="001D77D9">
        <w:rPr>
          <w:lang w:val="en-GB" w:eastAsia="fr-FR"/>
        </w:rPr>
        <w:t xml:space="preserve"> </w:t>
      </w:r>
      <w:r w:rsidRPr="001D77D9" w:rsidR="0025351F">
        <w:rPr>
          <w:lang w:val="en-GB" w:eastAsia="fr-FR"/>
        </w:rPr>
        <w:t>regard to the</w:t>
      </w:r>
      <w:r w:rsidRPr="001D77D9">
        <w:rPr>
          <w:lang w:val="en-GB" w:eastAsia="fr-FR"/>
        </w:rPr>
        <w:t xml:space="preserve"> </w:t>
      </w:r>
      <w:r w:rsidRPr="001D77D9" w:rsidR="0037784B">
        <w:rPr>
          <w:lang w:val="en-GB" w:eastAsia="fr-FR"/>
        </w:rPr>
        <w:t>fact</w:t>
      </w:r>
      <w:r w:rsidRPr="001D77D9" w:rsidR="0025351F">
        <w:rPr>
          <w:lang w:val="en-GB" w:eastAsia="fr-FR"/>
        </w:rPr>
        <w:t xml:space="preserve"> that the </w:t>
      </w:r>
      <w:proofErr w:type="spellStart"/>
      <w:r w:rsidRPr="001D77D9" w:rsidR="0025351F">
        <w:rPr>
          <w:lang w:val="en-GB" w:eastAsia="fr-FR"/>
        </w:rPr>
        <w:t>Tekirda</w:t>
      </w:r>
      <w:r w:rsidRPr="001D77D9" w:rsidR="0025351F">
        <w:rPr>
          <w:rFonts w:cstheme="minorHAnsi"/>
          <w:lang w:val="en-GB" w:eastAsia="fr-FR"/>
        </w:rPr>
        <w:t>ğ</w:t>
      </w:r>
      <w:proofErr w:type="spellEnd"/>
      <w:r w:rsidRPr="001D77D9" w:rsidR="0025351F">
        <w:rPr>
          <w:lang w:val="en-GB" w:eastAsia="fr-FR"/>
        </w:rPr>
        <w:t xml:space="preserve"> post</w:t>
      </w:r>
      <w:r w:rsidR="00934B09">
        <w:rPr>
          <w:lang w:val="en-GB" w:eastAsia="fr-FR"/>
        </w:rPr>
        <w:noBreakHyphen/>
      </w:r>
      <w:r w:rsidRPr="001D77D9" w:rsidR="0025351F">
        <w:rPr>
          <w:lang w:val="en-GB" w:eastAsia="fr-FR"/>
        </w:rPr>
        <w:t>sentencing</w:t>
      </w:r>
      <w:r w:rsidRPr="001D77D9">
        <w:rPr>
          <w:lang w:val="en-GB" w:eastAsia="fr-FR"/>
        </w:rPr>
        <w:t xml:space="preserve"> </w:t>
      </w:r>
      <w:r w:rsidRPr="001D77D9" w:rsidR="0037784B">
        <w:rPr>
          <w:lang w:val="en-GB" w:eastAsia="fr-FR"/>
        </w:rPr>
        <w:t>judge</w:t>
      </w:r>
      <w:r w:rsidRPr="001D77D9">
        <w:rPr>
          <w:lang w:val="en-GB" w:eastAsia="fr-FR"/>
        </w:rPr>
        <w:t xml:space="preserve"> </w:t>
      </w:r>
      <w:r w:rsidRPr="001D77D9" w:rsidR="0025351F">
        <w:rPr>
          <w:lang w:val="en-GB" w:eastAsia="fr-FR"/>
        </w:rPr>
        <w:t xml:space="preserve">had adjudicated on other </w:t>
      </w:r>
      <w:r w:rsidRPr="001D77D9" w:rsidR="004E05A7">
        <w:rPr>
          <w:lang w:val="en-GB" w:eastAsia="fr-FR"/>
        </w:rPr>
        <w:t>edition</w:t>
      </w:r>
      <w:r w:rsidRPr="001D77D9" w:rsidR="0025351F">
        <w:rPr>
          <w:lang w:val="en-GB" w:eastAsia="fr-FR"/>
        </w:rPr>
        <w:t xml:space="preserve">s of that newspaper on </w:t>
      </w:r>
      <w:r w:rsidRPr="001D77D9">
        <w:rPr>
          <w:lang w:val="en-GB" w:eastAsia="fr-FR"/>
        </w:rPr>
        <w:t xml:space="preserve">9 </w:t>
      </w:r>
      <w:r w:rsidRPr="001D77D9" w:rsidR="0037784B">
        <w:rPr>
          <w:lang w:val="en-GB" w:eastAsia="fr-FR"/>
        </w:rPr>
        <w:t>August</w:t>
      </w:r>
      <w:r w:rsidRPr="001D77D9">
        <w:rPr>
          <w:lang w:val="en-GB" w:eastAsia="fr-FR"/>
        </w:rPr>
        <w:t xml:space="preserve"> 2007</w:t>
      </w:r>
      <w:r w:rsidRPr="001D77D9" w:rsidR="0025351F">
        <w:rPr>
          <w:lang w:val="en-GB" w:eastAsia="fr-FR"/>
        </w:rPr>
        <w:t xml:space="preserve">, as had the </w:t>
      </w:r>
      <w:r w:rsidRPr="001D77D9" w:rsidR="0037784B">
        <w:rPr>
          <w:lang w:val="en-GB" w:eastAsia="fr-FR"/>
        </w:rPr>
        <w:t>Assize</w:t>
      </w:r>
      <w:r w:rsidRPr="001D77D9" w:rsidR="0025351F">
        <w:rPr>
          <w:lang w:val="en-GB" w:eastAsia="fr-FR"/>
        </w:rPr>
        <w:t xml:space="preserve"> </w:t>
      </w:r>
      <w:r w:rsidRPr="001D77D9" w:rsidR="0037784B">
        <w:rPr>
          <w:lang w:val="en-GB" w:eastAsia="fr-FR"/>
        </w:rPr>
        <w:t>Court</w:t>
      </w:r>
      <w:r w:rsidRPr="001D77D9">
        <w:rPr>
          <w:lang w:val="en-GB" w:eastAsia="fr-FR"/>
        </w:rPr>
        <w:t xml:space="preserve"> </w:t>
      </w:r>
      <w:r w:rsidRPr="001D77D9" w:rsidR="0025351F">
        <w:rPr>
          <w:lang w:val="en-GB" w:eastAsia="fr-FR"/>
        </w:rPr>
        <w:t>on</w:t>
      </w:r>
      <w:r w:rsidRPr="001D77D9">
        <w:rPr>
          <w:lang w:val="en-GB" w:eastAsia="fr-FR"/>
        </w:rPr>
        <w:t xml:space="preserve"> 7 </w:t>
      </w:r>
      <w:r w:rsidRPr="001D77D9" w:rsidR="0037784B">
        <w:rPr>
          <w:lang w:val="en-GB" w:eastAsia="fr-FR"/>
        </w:rPr>
        <w:t>September</w:t>
      </w:r>
      <w:r w:rsidRPr="001D77D9">
        <w:rPr>
          <w:lang w:val="en-GB" w:eastAsia="fr-FR"/>
        </w:rPr>
        <w:t xml:space="preserve"> 2007.</w:t>
      </w:r>
    </w:p>
    <w:p w:rsidRPr="001D77D9" w:rsidR="00E8532A" w:rsidP="00E8532A" w:rsidRDefault="00E8532A">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58</w:t>
      </w:r>
      <w:r w:rsidRPr="001D77D9">
        <w:rPr>
          <w:lang w:val="en-GB" w:eastAsia="fr-FR"/>
        </w:rPr>
        <w:fldChar w:fldCharType="end"/>
      </w:r>
      <w:r w:rsidRPr="001D77D9">
        <w:rPr>
          <w:lang w:val="en-GB" w:eastAsia="fr-FR"/>
        </w:rPr>
        <w:t>.  </w:t>
      </w:r>
      <w:r w:rsidRPr="001D77D9" w:rsidR="0025351F">
        <w:rPr>
          <w:lang w:val="en-GB" w:eastAsia="fr-FR"/>
        </w:rPr>
        <w:t>On</w:t>
      </w:r>
      <w:r w:rsidRPr="001D77D9">
        <w:rPr>
          <w:lang w:val="en-GB" w:eastAsia="fr-FR"/>
        </w:rPr>
        <w:t xml:space="preserve"> 24 </w:t>
      </w:r>
      <w:r w:rsidRPr="001D77D9" w:rsidR="0037784B">
        <w:rPr>
          <w:lang w:val="en-GB" w:eastAsia="fr-FR"/>
        </w:rPr>
        <w:t>September</w:t>
      </w:r>
      <w:r w:rsidRPr="001D77D9">
        <w:rPr>
          <w:lang w:val="en-GB" w:eastAsia="fr-FR"/>
        </w:rPr>
        <w:t xml:space="preserve"> 2007</w:t>
      </w:r>
      <w:r w:rsidRPr="001D77D9" w:rsidR="0025351F">
        <w:rPr>
          <w:lang w:val="en-GB" w:eastAsia="fr-FR"/>
        </w:rPr>
        <w:t xml:space="preserve"> the applic</w:t>
      </w:r>
      <w:r w:rsidRPr="001D77D9">
        <w:rPr>
          <w:lang w:val="en-GB" w:eastAsia="fr-FR"/>
        </w:rPr>
        <w:t xml:space="preserve">ants </w:t>
      </w:r>
      <w:r w:rsidRPr="001D77D9" w:rsidR="0025351F">
        <w:rPr>
          <w:lang w:val="en-GB" w:eastAsia="fr-FR"/>
        </w:rPr>
        <w:t>appealed against that</w:t>
      </w:r>
      <w:r w:rsidRPr="001D77D9">
        <w:rPr>
          <w:lang w:val="en-GB" w:eastAsia="fr-FR"/>
        </w:rPr>
        <w:t xml:space="preserve"> </w:t>
      </w:r>
      <w:r w:rsidRPr="001D77D9" w:rsidR="0037784B">
        <w:rPr>
          <w:lang w:val="en-GB" w:eastAsia="fr-FR"/>
        </w:rPr>
        <w:t>decision</w:t>
      </w:r>
      <w:r w:rsidRPr="001D77D9">
        <w:rPr>
          <w:lang w:val="en-GB" w:eastAsia="fr-FR"/>
        </w:rPr>
        <w:t>.</w:t>
      </w:r>
    </w:p>
    <w:p w:rsidRPr="001D77D9" w:rsidR="00E8532A" w:rsidP="00E8532A" w:rsidRDefault="00E8532A">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59</w:t>
      </w:r>
      <w:r w:rsidRPr="001D77D9">
        <w:rPr>
          <w:lang w:val="en-GB" w:eastAsia="fr-FR"/>
        </w:rPr>
        <w:fldChar w:fldCharType="end"/>
      </w:r>
      <w:r w:rsidRPr="001D77D9">
        <w:rPr>
          <w:lang w:val="en-GB" w:eastAsia="fr-FR"/>
        </w:rPr>
        <w:t>.  </w:t>
      </w:r>
      <w:r w:rsidRPr="001D77D9" w:rsidR="00AB5CC4">
        <w:rPr>
          <w:lang w:val="en-GB" w:eastAsia="fr-FR"/>
        </w:rPr>
        <w:t>On</w:t>
      </w:r>
      <w:r w:rsidRPr="001D77D9">
        <w:rPr>
          <w:lang w:val="en-GB" w:eastAsia="fr-FR"/>
        </w:rPr>
        <w:t xml:space="preserve"> 5 </w:t>
      </w:r>
      <w:r w:rsidRPr="001D77D9" w:rsidR="0037784B">
        <w:rPr>
          <w:lang w:val="en-GB" w:eastAsia="fr-FR"/>
        </w:rPr>
        <w:t>November</w:t>
      </w:r>
      <w:r w:rsidRPr="001D77D9">
        <w:rPr>
          <w:lang w:val="en-GB" w:eastAsia="fr-FR"/>
        </w:rPr>
        <w:t xml:space="preserve"> 2007, </w:t>
      </w:r>
      <w:r w:rsidRPr="001D77D9" w:rsidR="00852FB5">
        <w:rPr>
          <w:lang w:val="en-GB" w:eastAsia="fr-FR"/>
        </w:rPr>
        <w:t xml:space="preserve">ruling </w:t>
      </w:r>
      <w:r w:rsidRPr="001D77D9" w:rsidR="00AB5CC4">
        <w:rPr>
          <w:lang w:val="en-GB"/>
        </w:rPr>
        <w:t>on the basis of the ca</w:t>
      </w:r>
      <w:r w:rsidRPr="001D77D9" w:rsidR="00DB63B8">
        <w:rPr>
          <w:lang w:val="en-GB"/>
        </w:rPr>
        <w:t>se fi</w:t>
      </w:r>
      <w:r w:rsidRPr="001D77D9" w:rsidR="00AB5CC4">
        <w:rPr>
          <w:lang w:val="en-GB"/>
        </w:rPr>
        <w:t xml:space="preserve">le, the </w:t>
      </w:r>
      <w:proofErr w:type="spellStart"/>
      <w:r w:rsidRPr="001D77D9" w:rsidR="00AB5CC4">
        <w:rPr>
          <w:lang w:val="en-GB"/>
        </w:rPr>
        <w:t>Tekirdağ</w:t>
      </w:r>
      <w:proofErr w:type="spellEnd"/>
      <w:r w:rsidRPr="001D77D9" w:rsidR="00AB5CC4">
        <w:rPr>
          <w:lang w:val="en-GB"/>
        </w:rPr>
        <w:t xml:space="preserve"> post-sentencing judge dismissed that appeal, finding that the impugned decision</w:t>
      </w:r>
      <w:r w:rsidRPr="001D77D9" w:rsidR="00AB5CC4">
        <w:rPr>
          <w:lang w:val="en-GB" w:eastAsia="fr-FR"/>
        </w:rPr>
        <w:t xml:space="preserve"> had been unobjectionable in procedural and legal terms</w:t>
      </w:r>
      <w:r w:rsidRPr="001D77D9" w:rsidR="00AB5CC4">
        <w:rPr>
          <w:lang w:val="en-GB"/>
        </w:rPr>
        <w:t>. He adjudicated in the light of the State Prosecutor</w:t>
      </w:r>
      <w:r w:rsidR="00934B09">
        <w:rPr>
          <w:lang w:val="en-GB"/>
        </w:rPr>
        <w:t>’</w:t>
      </w:r>
      <w:r w:rsidRPr="001D77D9" w:rsidR="00AB5CC4">
        <w:rPr>
          <w:lang w:val="en-GB"/>
        </w:rPr>
        <w:t>s opinion to the effect that in order to assess the conformity with section 62 § 3 of the Law</w:t>
      </w:r>
      <w:r w:rsidR="00934B09">
        <w:rPr>
          <w:lang w:val="en-GB"/>
        </w:rPr>
        <w:t> </w:t>
      </w:r>
      <w:r w:rsidRPr="001D77D9" w:rsidR="00AB5CC4">
        <w:rPr>
          <w:lang w:val="en-GB" w:eastAsia="fr-FR"/>
        </w:rPr>
        <w:t>no.</w:t>
      </w:r>
      <w:r w:rsidR="00934B09">
        <w:rPr>
          <w:lang w:val="en-GB" w:eastAsia="fr-FR"/>
        </w:rPr>
        <w:t> </w:t>
      </w:r>
      <w:r w:rsidRPr="001D77D9" w:rsidR="00AB5CC4">
        <w:rPr>
          <w:lang w:val="en-GB" w:eastAsia="fr-FR"/>
        </w:rPr>
        <w:t xml:space="preserve">5275 </w:t>
      </w:r>
      <w:r w:rsidRPr="001D77D9" w:rsidR="00AB5CC4">
        <w:rPr>
          <w:lang w:val="en-GB"/>
        </w:rPr>
        <w:t xml:space="preserve">of publications in a language other than the official language, a translation of those publications was required, </w:t>
      </w:r>
      <w:r w:rsidRPr="001D77D9" w:rsidR="004E0501">
        <w:rPr>
          <w:lang w:val="en-GB"/>
        </w:rPr>
        <w:t xml:space="preserve">that the prison authorities had no budget for that purpose, </w:t>
      </w:r>
      <w:r w:rsidRPr="001D77D9" w:rsidR="00AB5CC4">
        <w:rPr>
          <w:lang w:val="en-GB"/>
        </w:rPr>
        <w:t xml:space="preserve">that there was no legal provision requiring the prison to finance the translation costs, that such expenses had not been covered by the appellants and that the </w:t>
      </w:r>
      <w:r w:rsidRPr="001D77D9" w:rsidR="00AE07F6">
        <w:rPr>
          <w:lang w:val="en-GB"/>
        </w:rPr>
        <w:t>education board</w:t>
      </w:r>
      <w:r w:rsidR="00934B09">
        <w:rPr>
          <w:lang w:val="en-GB"/>
        </w:rPr>
        <w:t>’</w:t>
      </w:r>
      <w:r w:rsidRPr="001D77D9" w:rsidR="00AB5CC4">
        <w:rPr>
          <w:lang w:val="en-GB"/>
        </w:rPr>
        <w:t>s decision had consequently been justified</w:t>
      </w:r>
      <w:r w:rsidRPr="001D77D9">
        <w:rPr>
          <w:lang w:val="en-GB" w:eastAsia="fr-FR"/>
        </w:rPr>
        <w:t>.</w:t>
      </w:r>
    </w:p>
    <w:p w:rsidRPr="001D77D9" w:rsidR="00E8532A" w:rsidP="00E8532A" w:rsidRDefault="00E8532A">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60</w:t>
      </w:r>
      <w:r w:rsidRPr="001D77D9">
        <w:rPr>
          <w:lang w:val="en-GB" w:eastAsia="fr-FR"/>
        </w:rPr>
        <w:fldChar w:fldCharType="end"/>
      </w:r>
      <w:r w:rsidRPr="001D77D9">
        <w:rPr>
          <w:lang w:val="en-GB" w:eastAsia="fr-FR"/>
        </w:rPr>
        <w:t>.  M</w:t>
      </w:r>
      <w:r w:rsidRPr="001D77D9" w:rsidR="00F27466">
        <w:rPr>
          <w:lang w:val="en-GB" w:eastAsia="fr-FR"/>
        </w:rPr>
        <w:t>r</w:t>
      </w:r>
      <w:r w:rsidRPr="001D77D9">
        <w:rPr>
          <w:lang w:val="en-GB" w:eastAsia="fr-FR"/>
        </w:rPr>
        <w:t xml:space="preserve"> </w:t>
      </w:r>
      <w:proofErr w:type="spellStart"/>
      <w:r w:rsidRPr="001D77D9">
        <w:rPr>
          <w:lang w:val="en-GB" w:eastAsia="fr-FR"/>
        </w:rPr>
        <w:t>Günay</w:t>
      </w:r>
      <w:proofErr w:type="spellEnd"/>
      <w:r w:rsidRPr="001D77D9">
        <w:rPr>
          <w:lang w:val="en-GB" w:eastAsia="fr-FR"/>
        </w:rPr>
        <w:t xml:space="preserve"> </w:t>
      </w:r>
      <w:r w:rsidRPr="001D77D9" w:rsidR="00F27466">
        <w:rPr>
          <w:lang w:val="en-GB" w:eastAsia="fr-FR"/>
        </w:rPr>
        <w:t xml:space="preserve">appealed against that </w:t>
      </w:r>
      <w:r w:rsidRPr="001D77D9" w:rsidR="007E7D1B">
        <w:rPr>
          <w:lang w:val="en-GB" w:eastAsia="fr-FR"/>
        </w:rPr>
        <w:t>decision</w:t>
      </w:r>
      <w:r w:rsidRPr="001D77D9">
        <w:rPr>
          <w:lang w:val="en-GB" w:eastAsia="fr-FR"/>
        </w:rPr>
        <w:t xml:space="preserve"> </w:t>
      </w:r>
      <w:r w:rsidRPr="001D77D9" w:rsidR="00F27466">
        <w:rPr>
          <w:lang w:val="en-GB" w:eastAsia="fr-FR"/>
        </w:rPr>
        <w:t>by the post-</w:t>
      </w:r>
      <w:r w:rsidRPr="001D77D9" w:rsidR="007E7D1B">
        <w:rPr>
          <w:lang w:val="en-GB" w:eastAsia="fr-FR"/>
        </w:rPr>
        <w:t>sentencing</w:t>
      </w:r>
      <w:r w:rsidRPr="001D77D9" w:rsidR="00F27466">
        <w:rPr>
          <w:lang w:val="en-GB" w:eastAsia="fr-FR"/>
        </w:rPr>
        <w:t xml:space="preserve"> judge on</w:t>
      </w:r>
      <w:r w:rsidRPr="001D77D9">
        <w:rPr>
          <w:lang w:val="en-GB" w:eastAsia="fr-FR"/>
        </w:rPr>
        <w:t xml:space="preserve"> 8 </w:t>
      </w:r>
      <w:r w:rsidRPr="001D77D9" w:rsidR="007E7D1B">
        <w:rPr>
          <w:lang w:val="en-GB" w:eastAsia="fr-FR"/>
        </w:rPr>
        <w:t>November</w:t>
      </w:r>
      <w:r w:rsidRPr="001D77D9">
        <w:rPr>
          <w:lang w:val="en-GB" w:eastAsia="fr-FR"/>
        </w:rPr>
        <w:t xml:space="preserve"> 2007</w:t>
      </w:r>
      <w:r w:rsidRPr="001D77D9" w:rsidR="00F27466">
        <w:rPr>
          <w:lang w:val="en-GB" w:eastAsia="fr-FR"/>
        </w:rPr>
        <w:t>,</w:t>
      </w:r>
      <w:r w:rsidRPr="001D77D9">
        <w:rPr>
          <w:lang w:val="en-GB" w:eastAsia="fr-FR"/>
        </w:rPr>
        <w:t xml:space="preserve"> </w:t>
      </w:r>
      <w:r w:rsidRPr="001D77D9" w:rsidR="00F27466">
        <w:rPr>
          <w:lang w:val="en-GB" w:eastAsia="fr-FR"/>
        </w:rPr>
        <w:t>and</w:t>
      </w:r>
      <w:r w:rsidRPr="001D77D9">
        <w:rPr>
          <w:lang w:val="en-GB" w:eastAsia="fr-FR"/>
        </w:rPr>
        <w:t xml:space="preserve"> </w:t>
      </w:r>
      <w:r w:rsidRPr="001D77D9" w:rsidR="00F27466">
        <w:rPr>
          <w:lang w:val="en-GB" w:eastAsia="fr-FR"/>
        </w:rPr>
        <w:t xml:space="preserve">Mr </w:t>
      </w:r>
      <w:proofErr w:type="spellStart"/>
      <w:r w:rsidRPr="001D77D9" w:rsidR="00F27466">
        <w:rPr>
          <w:lang w:val="en-GB" w:eastAsia="fr-FR"/>
        </w:rPr>
        <w:t>Adıyaman</w:t>
      </w:r>
      <w:proofErr w:type="spellEnd"/>
      <w:r w:rsidRPr="001D77D9" w:rsidR="00F27466">
        <w:rPr>
          <w:lang w:val="en-GB" w:eastAsia="fr-FR"/>
        </w:rPr>
        <w:t xml:space="preserve"> and Mr </w:t>
      </w:r>
      <w:proofErr w:type="spellStart"/>
      <w:r w:rsidRPr="001D77D9" w:rsidR="00F27466">
        <w:rPr>
          <w:lang w:val="en-GB" w:eastAsia="fr-FR"/>
        </w:rPr>
        <w:t>Şaka</w:t>
      </w:r>
      <w:proofErr w:type="spellEnd"/>
      <w:r w:rsidRPr="001D77D9" w:rsidR="00F27466">
        <w:rPr>
          <w:lang w:val="en-GB" w:eastAsia="fr-FR"/>
        </w:rPr>
        <w:t xml:space="preserve"> followed suit on </w:t>
      </w:r>
      <w:r w:rsidRPr="001D77D9">
        <w:rPr>
          <w:lang w:val="en-GB" w:eastAsia="fr-FR"/>
        </w:rPr>
        <w:t>12 </w:t>
      </w:r>
      <w:r w:rsidRPr="001D77D9" w:rsidR="007E7D1B">
        <w:rPr>
          <w:lang w:val="en-GB" w:eastAsia="fr-FR"/>
        </w:rPr>
        <w:t>November</w:t>
      </w:r>
      <w:r w:rsidRPr="001D77D9">
        <w:rPr>
          <w:lang w:val="en-GB" w:eastAsia="fr-FR"/>
        </w:rPr>
        <w:t xml:space="preserve"> 2007.</w:t>
      </w:r>
    </w:p>
    <w:p w:rsidRPr="001D77D9" w:rsidR="00E8532A" w:rsidP="00E8532A" w:rsidRDefault="00E8532A">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61</w:t>
      </w:r>
      <w:r w:rsidRPr="001D77D9">
        <w:rPr>
          <w:lang w:val="en-GB" w:eastAsia="fr-FR"/>
        </w:rPr>
        <w:fldChar w:fldCharType="end"/>
      </w:r>
      <w:r w:rsidRPr="001D77D9">
        <w:rPr>
          <w:lang w:val="en-GB" w:eastAsia="fr-FR"/>
        </w:rPr>
        <w:t>.  </w:t>
      </w:r>
      <w:r w:rsidRPr="001D77D9" w:rsidR="00E27E4E">
        <w:rPr>
          <w:lang w:val="en-GB" w:eastAsia="fr-FR"/>
        </w:rPr>
        <w:t>On</w:t>
      </w:r>
      <w:r w:rsidRPr="001D77D9">
        <w:rPr>
          <w:lang w:val="en-GB" w:eastAsia="fr-FR"/>
        </w:rPr>
        <w:t xml:space="preserve"> 28 </w:t>
      </w:r>
      <w:r w:rsidRPr="001D77D9" w:rsidR="007E7D1B">
        <w:rPr>
          <w:lang w:val="en-GB" w:eastAsia="fr-FR"/>
        </w:rPr>
        <w:t>November</w:t>
      </w:r>
      <w:r w:rsidRPr="001D77D9">
        <w:rPr>
          <w:lang w:val="en-GB" w:eastAsia="fr-FR"/>
        </w:rPr>
        <w:t xml:space="preserve"> 2007</w:t>
      </w:r>
      <w:r w:rsidRPr="001D77D9" w:rsidR="00E27E4E">
        <w:rPr>
          <w:lang w:val="en-GB" w:eastAsia="fr-FR"/>
        </w:rPr>
        <w:t xml:space="preserve"> the</w:t>
      </w:r>
      <w:r w:rsidRPr="001D77D9" w:rsidR="0060033B">
        <w:rPr>
          <w:lang w:val="en-GB"/>
        </w:rPr>
        <w:t xml:space="preserve"> </w:t>
      </w:r>
      <w:proofErr w:type="spellStart"/>
      <w:r w:rsidRPr="001D77D9" w:rsidR="0060033B">
        <w:rPr>
          <w:lang w:val="en-GB"/>
        </w:rPr>
        <w:t>Tekirdağ</w:t>
      </w:r>
      <w:proofErr w:type="spellEnd"/>
      <w:r w:rsidRPr="001D77D9" w:rsidR="0060033B">
        <w:rPr>
          <w:lang w:val="en-GB"/>
        </w:rPr>
        <w:t xml:space="preserve"> Assize Court, </w:t>
      </w:r>
      <w:r w:rsidRPr="001D77D9" w:rsidR="00852FB5">
        <w:rPr>
          <w:lang w:val="en-GB"/>
        </w:rPr>
        <w:t xml:space="preserve">ruling </w:t>
      </w:r>
      <w:r w:rsidRPr="001D77D9" w:rsidR="0060033B">
        <w:rPr>
          <w:lang w:val="en-GB"/>
        </w:rPr>
        <w:t>on the basis of the case file and having taken cognisance of the State Prosecutor</w:t>
      </w:r>
      <w:r w:rsidR="00934B09">
        <w:rPr>
          <w:lang w:val="en-GB"/>
        </w:rPr>
        <w:t>’</w:t>
      </w:r>
      <w:r w:rsidRPr="001D77D9" w:rsidR="0060033B">
        <w:rPr>
          <w:lang w:val="en-GB"/>
        </w:rPr>
        <w:t xml:space="preserve">s opinion, </w:t>
      </w:r>
      <w:r w:rsidRPr="001D77D9" w:rsidR="0060033B">
        <w:rPr>
          <w:lang w:val="en-GB" w:eastAsia="fr-FR"/>
        </w:rPr>
        <w:t>found that the impugned decision had been unobjectionable in procedural and legal terms</w:t>
      </w:r>
      <w:r w:rsidRPr="001D77D9" w:rsidR="0060033B">
        <w:rPr>
          <w:lang w:val="en-GB"/>
        </w:rPr>
        <w:t xml:space="preserve"> and dismissed the latter appeal</w:t>
      </w:r>
      <w:r w:rsidRPr="001D77D9">
        <w:rPr>
          <w:lang w:val="en-GB" w:eastAsia="fr-FR"/>
        </w:rPr>
        <w:t>.</w:t>
      </w:r>
    </w:p>
    <w:p w:rsidRPr="001D77D9" w:rsidR="00F27466" w:rsidP="00F27466" w:rsidRDefault="00F27466">
      <w:pPr>
        <w:pStyle w:val="ECHRHeading2"/>
        <w:rPr>
          <w:lang w:val="en-GB" w:eastAsia="fr-FR"/>
        </w:rPr>
      </w:pPr>
      <w:r w:rsidRPr="001D77D9">
        <w:rPr>
          <w:lang w:val="en-GB" w:eastAsia="fr-FR"/>
        </w:rPr>
        <w:t>I.  M</w:t>
      </w:r>
      <w:r w:rsidRPr="001D77D9" w:rsidR="0060033B">
        <w:rPr>
          <w:lang w:val="en-GB" w:eastAsia="fr-FR"/>
        </w:rPr>
        <w:t>r</w:t>
      </w:r>
      <w:r w:rsidRPr="001D77D9">
        <w:rPr>
          <w:lang w:val="en-GB" w:eastAsia="fr-FR"/>
        </w:rPr>
        <w:t xml:space="preserve"> </w:t>
      </w:r>
      <w:proofErr w:type="spellStart"/>
      <w:r w:rsidRPr="001D77D9">
        <w:rPr>
          <w:lang w:val="en-GB" w:eastAsia="fr-FR"/>
        </w:rPr>
        <w:t>Mahmut</w:t>
      </w:r>
      <w:proofErr w:type="spellEnd"/>
      <w:r w:rsidRPr="001D77D9">
        <w:rPr>
          <w:lang w:val="en-GB" w:eastAsia="fr-FR"/>
        </w:rPr>
        <w:t xml:space="preserve"> </w:t>
      </w:r>
      <w:proofErr w:type="spellStart"/>
      <w:r w:rsidRPr="001D77D9">
        <w:rPr>
          <w:lang w:val="en-GB" w:eastAsia="fr-FR"/>
        </w:rPr>
        <w:t>Cengiz</w:t>
      </w:r>
      <w:proofErr w:type="spellEnd"/>
      <w:r w:rsidRPr="001D77D9">
        <w:rPr>
          <w:lang w:val="en-GB" w:eastAsia="fr-FR"/>
        </w:rPr>
        <w:t xml:space="preserve"> (</w:t>
      </w:r>
      <w:r w:rsidRPr="001D77D9" w:rsidR="0060033B">
        <w:rPr>
          <w:lang w:val="en-GB" w:eastAsia="fr-FR"/>
        </w:rPr>
        <w:t>applications</w:t>
      </w:r>
      <w:r w:rsidRPr="001D77D9">
        <w:rPr>
          <w:lang w:val="en-GB" w:eastAsia="fr-FR"/>
        </w:rPr>
        <w:t xml:space="preserve"> n</w:t>
      </w:r>
      <w:r w:rsidRPr="001D77D9" w:rsidR="0060033B">
        <w:rPr>
          <w:lang w:val="en-GB" w:eastAsia="fr-FR"/>
        </w:rPr>
        <w:t>os.</w:t>
      </w:r>
      <w:r w:rsidRPr="001D77D9">
        <w:rPr>
          <w:lang w:val="en-GB" w:eastAsia="fr-FR"/>
        </w:rPr>
        <w:t xml:space="preserve"> 38752/08, 38778/08 </w:t>
      </w:r>
      <w:r w:rsidRPr="001D77D9" w:rsidR="0060033B">
        <w:rPr>
          <w:lang w:val="en-GB" w:eastAsia="fr-FR"/>
        </w:rPr>
        <w:t xml:space="preserve">and </w:t>
      </w:r>
      <w:r w:rsidRPr="001D77D9">
        <w:rPr>
          <w:lang w:val="en-GB" w:eastAsia="fr-FR"/>
        </w:rPr>
        <w:t>38807/08)</w:t>
      </w:r>
    </w:p>
    <w:p w:rsidRPr="001D77D9" w:rsidR="00F27466" w:rsidP="00F27466" w:rsidRDefault="00F27466">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62</w:t>
      </w:r>
      <w:r w:rsidRPr="001D77D9">
        <w:rPr>
          <w:lang w:val="en-GB" w:eastAsia="fr-FR"/>
        </w:rPr>
        <w:fldChar w:fldCharType="end"/>
      </w:r>
      <w:r w:rsidRPr="001D77D9">
        <w:rPr>
          <w:lang w:val="en-GB" w:eastAsia="fr-FR"/>
        </w:rPr>
        <w:t>.  </w:t>
      </w:r>
      <w:r w:rsidRPr="001D77D9" w:rsidR="0060033B">
        <w:rPr>
          <w:lang w:val="en-GB" w:eastAsia="fr-FR"/>
        </w:rPr>
        <w:t>Th</w:t>
      </w:r>
      <w:r w:rsidRPr="001D77D9">
        <w:rPr>
          <w:lang w:val="en-GB" w:eastAsia="fr-FR"/>
        </w:rPr>
        <w:t>e</w:t>
      </w:r>
      <w:r w:rsidRPr="001D77D9" w:rsidR="0060033B">
        <w:rPr>
          <w:lang w:val="en-GB" w:eastAsia="fr-FR"/>
        </w:rPr>
        <w:t xml:space="preserve"> applic</w:t>
      </w:r>
      <w:r w:rsidRPr="001D77D9">
        <w:rPr>
          <w:lang w:val="en-GB" w:eastAsia="fr-FR"/>
        </w:rPr>
        <w:t xml:space="preserve">ant </w:t>
      </w:r>
      <w:r w:rsidRPr="001D77D9" w:rsidR="0060033B">
        <w:rPr>
          <w:lang w:val="en-GB" w:eastAsia="fr-FR"/>
        </w:rPr>
        <w:t>was born</w:t>
      </w:r>
      <w:r w:rsidRPr="001D77D9">
        <w:rPr>
          <w:lang w:val="en-GB" w:eastAsia="fr-FR"/>
        </w:rPr>
        <w:t xml:space="preserve"> </w:t>
      </w:r>
      <w:r w:rsidRPr="001D77D9" w:rsidR="007E7D1B">
        <w:rPr>
          <w:lang w:val="en-GB" w:eastAsia="fr-FR"/>
        </w:rPr>
        <w:t>in</w:t>
      </w:r>
      <w:r w:rsidRPr="001D77D9">
        <w:rPr>
          <w:lang w:val="en-GB" w:eastAsia="fr-FR"/>
        </w:rPr>
        <w:t xml:space="preserve"> 1983. </w:t>
      </w:r>
      <w:r w:rsidRPr="001D77D9" w:rsidR="0060033B">
        <w:rPr>
          <w:lang w:val="en-GB" w:eastAsia="fr-FR"/>
        </w:rPr>
        <w:t xml:space="preserve">When his applications were </w:t>
      </w:r>
      <w:r w:rsidRPr="001D77D9" w:rsidR="007E7D1B">
        <w:rPr>
          <w:lang w:val="en-GB" w:eastAsia="fr-FR"/>
        </w:rPr>
        <w:t>lodged</w:t>
      </w:r>
      <w:r w:rsidRPr="001D77D9" w:rsidR="0060033B">
        <w:rPr>
          <w:lang w:val="en-GB" w:eastAsia="fr-FR"/>
        </w:rPr>
        <w:t xml:space="preserve"> he was</w:t>
      </w:r>
      <w:r w:rsidRPr="001D77D9" w:rsidR="00D40ACE">
        <w:rPr>
          <w:lang w:val="en-GB" w:eastAsia="fr-FR"/>
        </w:rPr>
        <w:t xml:space="preserve"> being</w:t>
      </w:r>
      <w:r w:rsidRPr="001D77D9" w:rsidR="0060033B">
        <w:rPr>
          <w:lang w:val="en-GB" w:eastAsia="fr-FR"/>
        </w:rPr>
        <w:t xml:space="preserve"> held in the</w:t>
      </w:r>
      <w:r w:rsidRPr="001D77D9">
        <w:rPr>
          <w:lang w:val="en-GB" w:eastAsia="fr-FR"/>
        </w:rPr>
        <w:t xml:space="preserve"> </w:t>
      </w:r>
      <w:r w:rsidRPr="001D77D9" w:rsidR="0060033B">
        <w:rPr>
          <w:lang w:val="en-GB" w:eastAsia="fr-FR"/>
        </w:rPr>
        <w:t xml:space="preserve">F-type </w:t>
      </w:r>
      <w:r w:rsidRPr="001D77D9">
        <w:rPr>
          <w:lang w:val="en-GB" w:eastAsia="fr-FR"/>
        </w:rPr>
        <w:t xml:space="preserve">prison </w:t>
      </w:r>
      <w:r w:rsidRPr="001D77D9" w:rsidR="0060033B">
        <w:rPr>
          <w:lang w:val="en-GB" w:eastAsia="fr-FR"/>
        </w:rPr>
        <w:t>in</w:t>
      </w:r>
      <w:r w:rsidRPr="001D77D9">
        <w:rPr>
          <w:lang w:val="en-GB" w:eastAsia="fr-FR"/>
        </w:rPr>
        <w:t xml:space="preserve"> </w:t>
      </w:r>
      <w:proofErr w:type="spellStart"/>
      <w:r w:rsidRPr="001D77D9">
        <w:rPr>
          <w:lang w:val="en-GB" w:eastAsia="fr-FR"/>
        </w:rPr>
        <w:t>Tekirda</w:t>
      </w:r>
      <w:r w:rsidRPr="001D77D9">
        <w:rPr>
          <w:rFonts w:cstheme="minorHAnsi"/>
          <w:lang w:val="en-GB" w:eastAsia="fr-FR"/>
        </w:rPr>
        <w:t>ğ</w:t>
      </w:r>
      <w:proofErr w:type="spellEnd"/>
      <w:r w:rsidRPr="001D77D9">
        <w:rPr>
          <w:lang w:val="en-GB" w:eastAsia="fr-FR"/>
        </w:rPr>
        <w:t>.</w:t>
      </w:r>
    </w:p>
    <w:p w:rsidRPr="001D77D9" w:rsidR="00F27466" w:rsidP="00F27466" w:rsidRDefault="00F27466">
      <w:pPr>
        <w:pStyle w:val="ECHRHeading3"/>
        <w:rPr>
          <w:lang w:val="en-GB" w:eastAsia="fr-FR"/>
        </w:rPr>
      </w:pPr>
      <w:r w:rsidRPr="001D77D9">
        <w:rPr>
          <w:lang w:val="en-GB" w:eastAsia="fr-FR"/>
        </w:rPr>
        <w:t>1.  </w:t>
      </w:r>
      <w:r w:rsidRPr="001D77D9" w:rsidR="007E7D1B">
        <w:rPr>
          <w:lang w:val="en-GB" w:eastAsia="fr-FR"/>
        </w:rPr>
        <w:t>Proceedings</w:t>
      </w:r>
      <w:r w:rsidRPr="001D77D9">
        <w:rPr>
          <w:lang w:val="en-GB" w:eastAsia="fr-FR"/>
        </w:rPr>
        <w:t xml:space="preserve"> relati</w:t>
      </w:r>
      <w:r w:rsidRPr="001D77D9" w:rsidR="00481ABC">
        <w:rPr>
          <w:lang w:val="en-GB" w:eastAsia="fr-FR"/>
        </w:rPr>
        <w:t xml:space="preserve">ng to the failure to deliver the 26 </w:t>
      </w:r>
      <w:r w:rsidRPr="001D77D9" w:rsidR="007E7D1B">
        <w:rPr>
          <w:lang w:val="en-GB" w:eastAsia="fr-FR"/>
        </w:rPr>
        <w:t>June</w:t>
      </w:r>
      <w:r w:rsidRPr="001D77D9" w:rsidR="00481ABC">
        <w:rPr>
          <w:lang w:val="en-GB" w:eastAsia="fr-FR"/>
        </w:rPr>
        <w:t xml:space="preserve"> to 1 </w:t>
      </w:r>
      <w:r w:rsidRPr="001D77D9" w:rsidR="007E7D1B">
        <w:rPr>
          <w:lang w:val="en-GB" w:eastAsia="fr-FR"/>
        </w:rPr>
        <w:t>July</w:t>
      </w:r>
      <w:r w:rsidRPr="001D77D9" w:rsidR="00481ABC">
        <w:rPr>
          <w:lang w:val="en-GB" w:eastAsia="fr-FR"/>
        </w:rPr>
        <w:t xml:space="preserve"> 2007 </w:t>
      </w:r>
      <w:r w:rsidRPr="001D77D9" w:rsidR="004E05A7">
        <w:rPr>
          <w:lang w:val="en-GB" w:eastAsia="fr-FR"/>
        </w:rPr>
        <w:t>edition</w:t>
      </w:r>
      <w:r w:rsidRPr="001D77D9" w:rsidR="00481ABC">
        <w:rPr>
          <w:lang w:val="en-GB" w:eastAsia="fr-FR"/>
        </w:rPr>
        <w:t xml:space="preserve">s of the </w:t>
      </w:r>
      <w:proofErr w:type="spellStart"/>
      <w:r w:rsidRPr="001D77D9" w:rsidR="00481ABC">
        <w:rPr>
          <w:i w:val="0"/>
          <w:lang w:val="en-GB" w:eastAsia="fr-FR"/>
        </w:rPr>
        <w:t>Azadiya</w:t>
      </w:r>
      <w:proofErr w:type="spellEnd"/>
      <w:r w:rsidRPr="001D77D9" w:rsidR="00481ABC">
        <w:rPr>
          <w:i w:val="0"/>
          <w:lang w:val="en-GB" w:eastAsia="fr-FR"/>
        </w:rPr>
        <w:t xml:space="preserve"> </w:t>
      </w:r>
      <w:proofErr w:type="spellStart"/>
      <w:r w:rsidRPr="001D77D9" w:rsidR="00481ABC">
        <w:rPr>
          <w:i w:val="0"/>
          <w:lang w:val="en-GB" w:eastAsia="fr-FR"/>
        </w:rPr>
        <w:t>Welat</w:t>
      </w:r>
      <w:proofErr w:type="spellEnd"/>
      <w:r w:rsidRPr="001D77D9" w:rsidR="00481ABC">
        <w:rPr>
          <w:lang w:val="en-GB" w:eastAsia="fr-FR"/>
        </w:rPr>
        <w:t xml:space="preserve"> newspaper (application no.</w:t>
      </w:r>
      <w:r w:rsidRPr="001D77D9">
        <w:rPr>
          <w:lang w:val="en-GB" w:eastAsia="fr-FR"/>
        </w:rPr>
        <w:t> </w:t>
      </w:r>
      <w:r w:rsidRPr="001D77D9">
        <w:rPr>
          <w:bCs w:val="0"/>
          <w:szCs w:val="26"/>
          <w:lang w:val="en-GB" w:eastAsia="fr-FR"/>
        </w:rPr>
        <w:t>38752/08)</w:t>
      </w:r>
    </w:p>
    <w:p w:rsidRPr="001D77D9" w:rsidR="00F27466" w:rsidP="00F27466" w:rsidRDefault="00F27466">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63</w:t>
      </w:r>
      <w:r w:rsidRPr="001D77D9">
        <w:rPr>
          <w:lang w:val="en-GB" w:eastAsia="fr-FR"/>
        </w:rPr>
        <w:fldChar w:fldCharType="end"/>
      </w:r>
      <w:r w:rsidRPr="001D77D9">
        <w:rPr>
          <w:lang w:val="en-GB" w:eastAsia="fr-FR"/>
        </w:rPr>
        <w:t>.  </w:t>
      </w:r>
      <w:r w:rsidRPr="001D77D9" w:rsidR="00481ABC">
        <w:rPr>
          <w:lang w:val="en-GB" w:eastAsia="fr-FR"/>
        </w:rPr>
        <w:t>On</w:t>
      </w:r>
      <w:r w:rsidRPr="001D77D9">
        <w:rPr>
          <w:lang w:val="en-GB" w:eastAsia="fr-FR"/>
        </w:rPr>
        <w:t xml:space="preserve"> 2 </w:t>
      </w:r>
      <w:r w:rsidRPr="001D77D9" w:rsidR="007E7D1B">
        <w:rPr>
          <w:lang w:val="en-GB" w:eastAsia="fr-FR"/>
        </w:rPr>
        <w:t>July</w:t>
      </w:r>
      <w:r w:rsidRPr="001D77D9">
        <w:rPr>
          <w:lang w:val="en-GB" w:eastAsia="fr-FR"/>
        </w:rPr>
        <w:t xml:space="preserve"> 2007</w:t>
      </w:r>
      <w:r w:rsidRPr="001D77D9" w:rsidR="00481ABC">
        <w:rPr>
          <w:lang w:val="en-GB" w:eastAsia="fr-FR"/>
        </w:rPr>
        <w:t xml:space="preserve"> the</w:t>
      </w:r>
      <w:r w:rsidRPr="001D77D9">
        <w:rPr>
          <w:lang w:val="en-GB" w:eastAsia="fr-FR"/>
        </w:rPr>
        <w:t xml:space="preserve"> </w:t>
      </w:r>
      <w:r w:rsidRPr="001D77D9" w:rsidR="002F6962">
        <w:rPr>
          <w:lang w:val="en-GB"/>
        </w:rPr>
        <w:t xml:space="preserve">prison </w:t>
      </w:r>
      <w:r w:rsidRPr="001D77D9" w:rsidR="00AE07F6">
        <w:rPr>
          <w:lang w:val="en-GB"/>
        </w:rPr>
        <w:t>education board</w:t>
      </w:r>
      <w:r w:rsidRPr="001D77D9" w:rsidR="002F6962">
        <w:rPr>
          <w:lang w:val="en-GB"/>
        </w:rPr>
        <w:t xml:space="preserve"> decided not to deliver the </w:t>
      </w:r>
      <w:r w:rsidRPr="001D77D9" w:rsidR="002F6962">
        <w:rPr>
          <w:lang w:val="en-GB" w:eastAsia="fr-FR"/>
        </w:rPr>
        <w:t xml:space="preserve">25, 26, 27, 28, 29 and 30 </w:t>
      </w:r>
      <w:r w:rsidRPr="001D77D9" w:rsidR="007E7D1B">
        <w:rPr>
          <w:lang w:val="en-GB" w:eastAsia="fr-FR"/>
        </w:rPr>
        <w:t>June</w:t>
      </w:r>
      <w:r w:rsidRPr="001D77D9" w:rsidR="002F6962">
        <w:rPr>
          <w:lang w:val="en-GB" w:eastAsia="fr-FR"/>
        </w:rPr>
        <w:t xml:space="preserve"> and 1 </w:t>
      </w:r>
      <w:r w:rsidRPr="001D77D9" w:rsidR="007E7D1B">
        <w:rPr>
          <w:lang w:val="en-GB" w:eastAsia="fr-FR"/>
        </w:rPr>
        <w:t>July</w:t>
      </w:r>
      <w:r w:rsidRPr="001D77D9" w:rsidR="002F6962">
        <w:rPr>
          <w:lang w:val="en-GB" w:eastAsia="fr-FR"/>
        </w:rPr>
        <w:t xml:space="preserve"> 2007 </w:t>
      </w:r>
      <w:r w:rsidRPr="001D77D9" w:rsidR="004E05A7">
        <w:rPr>
          <w:lang w:val="en-GB"/>
        </w:rPr>
        <w:t>edition</w:t>
      </w:r>
      <w:r w:rsidRPr="001D77D9" w:rsidR="002F6962">
        <w:rPr>
          <w:lang w:val="en-GB"/>
        </w:rPr>
        <w:t xml:space="preserve">s of the </w:t>
      </w:r>
      <w:proofErr w:type="spellStart"/>
      <w:r w:rsidRPr="001D77D9" w:rsidR="002F6962">
        <w:rPr>
          <w:i/>
          <w:lang w:val="en-GB"/>
        </w:rPr>
        <w:t>Azadiya</w:t>
      </w:r>
      <w:proofErr w:type="spellEnd"/>
      <w:r w:rsidRPr="001D77D9" w:rsidR="002F6962">
        <w:rPr>
          <w:i/>
          <w:lang w:val="en-GB"/>
        </w:rPr>
        <w:t xml:space="preserve"> </w:t>
      </w:r>
      <w:proofErr w:type="spellStart"/>
      <w:r w:rsidRPr="001D77D9" w:rsidR="002F6962">
        <w:rPr>
          <w:i/>
          <w:lang w:val="en-GB"/>
        </w:rPr>
        <w:t>Welat</w:t>
      </w:r>
      <w:proofErr w:type="spellEnd"/>
      <w:r w:rsidRPr="001D77D9" w:rsidDel="00692BAE" w:rsidR="002F6962">
        <w:rPr>
          <w:lang w:val="en-GB"/>
        </w:rPr>
        <w:t xml:space="preserve"> </w:t>
      </w:r>
      <w:r w:rsidRPr="001D77D9" w:rsidR="002F6962">
        <w:rPr>
          <w:lang w:val="en-GB"/>
        </w:rPr>
        <w:t>daily newspaper to the applicant</w:t>
      </w:r>
      <w:r w:rsidRPr="001D77D9" w:rsidR="00E663DC">
        <w:rPr>
          <w:lang w:val="en-GB"/>
        </w:rPr>
        <w:t xml:space="preserve">, </w:t>
      </w:r>
      <w:r w:rsidRPr="001D77D9" w:rsidR="00D40ACE">
        <w:rPr>
          <w:lang w:val="en-GB"/>
        </w:rPr>
        <w:t>pursuant to</w:t>
      </w:r>
      <w:r w:rsidRPr="001D77D9" w:rsidR="002F6962">
        <w:rPr>
          <w:lang w:val="en-GB"/>
        </w:rPr>
        <w:t xml:space="preserve"> section 62 § 3 of Law No. 5275</w:t>
      </w:r>
      <w:r w:rsidRPr="001D77D9" w:rsidR="00E663DC">
        <w:rPr>
          <w:lang w:val="en-GB"/>
        </w:rPr>
        <w:t>, on the grounds that</w:t>
      </w:r>
      <w:r w:rsidRPr="001D77D9" w:rsidR="002F6962">
        <w:rPr>
          <w:lang w:val="en-GB"/>
        </w:rPr>
        <w:t xml:space="preserve"> that the publications were in Kurdish and that the prison had no staff </w:t>
      </w:r>
      <w:r w:rsidRPr="001D77D9" w:rsidR="00E663DC">
        <w:rPr>
          <w:lang w:val="en-GB"/>
        </w:rPr>
        <w:t>who</w:t>
      </w:r>
      <w:r w:rsidRPr="001D77D9" w:rsidR="002F6962">
        <w:rPr>
          <w:lang w:val="en-GB"/>
        </w:rPr>
        <w:t xml:space="preserve"> </w:t>
      </w:r>
      <w:r w:rsidRPr="001D77D9" w:rsidR="00D40ACE">
        <w:rPr>
          <w:lang w:val="en-GB"/>
        </w:rPr>
        <w:t>understood</w:t>
      </w:r>
      <w:r w:rsidRPr="001D77D9" w:rsidR="002F6962">
        <w:rPr>
          <w:lang w:val="en-GB"/>
        </w:rPr>
        <w:t xml:space="preserve"> </w:t>
      </w:r>
      <w:r w:rsidRPr="001D77D9" w:rsidR="00E663DC">
        <w:rPr>
          <w:lang w:val="en-GB"/>
        </w:rPr>
        <w:t>that language</w:t>
      </w:r>
      <w:r w:rsidRPr="001D77D9" w:rsidR="002F6962">
        <w:rPr>
          <w:lang w:val="en-GB"/>
        </w:rPr>
        <w:t xml:space="preserve">, </w:t>
      </w:r>
      <w:r w:rsidRPr="001D77D9" w:rsidR="00E663DC">
        <w:rPr>
          <w:lang w:val="en-GB"/>
        </w:rPr>
        <w:t>making</w:t>
      </w:r>
      <w:r w:rsidRPr="001D77D9" w:rsidR="002F6962">
        <w:rPr>
          <w:lang w:val="en-GB"/>
        </w:rPr>
        <w:t xml:space="preserve"> it impossible to </w:t>
      </w:r>
      <w:r w:rsidRPr="001D77D9" w:rsidR="00E663DC">
        <w:rPr>
          <w:lang w:val="en-GB"/>
        </w:rPr>
        <w:t>secure a</w:t>
      </w:r>
      <w:r w:rsidRPr="001D77D9" w:rsidR="002F6962">
        <w:rPr>
          <w:lang w:val="en-GB"/>
        </w:rPr>
        <w:t xml:space="preserve"> translat</w:t>
      </w:r>
      <w:r w:rsidRPr="001D77D9" w:rsidR="00E663DC">
        <w:rPr>
          <w:lang w:val="en-GB"/>
        </w:rPr>
        <w:t>ion</w:t>
      </w:r>
      <w:r w:rsidRPr="001D77D9" w:rsidR="002F6962">
        <w:rPr>
          <w:lang w:val="en-GB"/>
        </w:rPr>
        <w:t xml:space="preserve"> </w:t>
      </w:r>
      <w:r w:rsidRPr="001D77D9" w:rsidR="006F0F3C">
        <w:rPr>
          <w:lang w:val="en-GB"/>
        </w:rPr>
        <w:t xml:space="preserve">in </w:t>
      </w:r>
      <w:r w:rsidRPr="001D77D9" w:rsidR="00E663DC">
        <w:rPr>
          <w:lang w:val="en-GB"/>
        </w:rPr>
        <w:t>or</w:t>
      </w:r>
      <w:r w:rsidRPr="001D77D9" w:rsidR="006F0F3C">
        <w:rPr>
          <w:lang w:val="en-GB"/>
        </w:rPr>
        <w:t>der</w:t>
      </w:r>
      <w:r w:rsidRPr="001D77D9" w:rsidR="002F6962">
        <w:rPr>
          <w:lang w:val="en-GB"/>
        </w:rPr>
        <w:t xml:space="preserve"> to ascertain whether </w:t>
      </w:r>
      <w:r w:rsidRPr="001D77D9" w:rsidR="00E663DC">
        <w:rPr>
          <w:lang w:val="en-GB"/>
        </w:rPr>
        <w:t>the content of the newspapers complied with the aforementioned legislative provision</w:t>
      </w:r>
      <w:r w:rsidRPr="001D77D9">
        <w:rPr>
          <w:lang w:val="en-GB" w:eastAsia="fr-FR"/>
        </w:rPr>
        <w:t>.</w:t>
      </w:r>
    </w:p>
    <w:p w:rsidRPr="001D77D9" w:rsidR="00F27466" w:rsidP="00F27466" w:rsidRDefault="00F27466">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64</w:t>
      </w:r>
      <w:r w:rsidRPr="001D77D9">
        <w:rPr>
          <w:lang w:val="en-GB" w:eastAsia="fr-FR"/>
        </w:rPr>
        <w:fldChar w:fldCharType="end"/>
      </w:r>
      <w:r w:rsidRPr="001D77D9">
        <w:rPr>
          <w:lang w:val="en-GB" w:eastAsia="fr-FR"/>
        </w:rPr>
        <w:t>.  </w:t>
      </w:r>
      <w:r w:rsidRPr="001D77D9" w:rsidR="006F0F3C">
        <w:rPr>
          <w:lang w:val="en-GB" w:eastAsia="fr-FR"/>
        </w:rPr>
        <w:t>On</w:t>
      </w:r>
      <w:r w:rsidRPr="001D77D9">
        <w:rPr>
          <w:lang w:val="en-GB" w:eastAsia="fr-FR"/>
        </w:rPr>
        <w:t xml:space="preserve"> 3 </w:t>
      </w:r>
      <w:r w:rsidRPr="001D77D9" w:rsidR="007E7D1B">
        <w:rPr>
          <w:lang w:val="en-GB" w:eastAsia="fr-FR"/>
        </w:rPr>
        <w:t>July</w:t>
      </w:r>
      <w:r w:rsidRPr="001D77D9">
        <w:rPr>
          <w:lang w:val="en-GB" w:eastAsia="fr-FR"/>
        </w:rPr>
        <w:t xml:space="preserve"> 2007</w:t>
      </w:r>
      <w:r w:rsidRPr="001D77D9" w:rsidR="006F0F3C">
        <w:rPr>
          <w:lang w:val="en-GB" w:eastAsia="fr-FR"/>
        </w:rPr>
        <w:t xml:space="preserve"> the applic</w:t>
      </w:r>
      <w:r w:rsidRPr="001D77D9">
        <w:rPr>
          <w:lang w:val="en-GB" w:eastAsia="fr-FR"/>
        </w:rPr>
        <w:t xml:space="preserve">ant </w:t>
      </w:r>
      <w:r w:rsidRPr="001D77D9" w:rsidR="006F0F3C">
        <w:rPr>
          <w:lang w:val="en-GB" w:eastAsia="fr-FR"/>
        </w:rPr>
        <w:t>appealed against that</w:t>
      </w:r>
      <w:r w:rsidRPr="001D77D9">
        <w:rPr>
          <w:lang w:val="en-GB" w:eastAsia="fr-FR"/>
        </w:rPr>
        <w:t xml:space="preserve"> </w:t>
      </w:r>
      <w:r w:rsidRPr="001D77D9" w:rsidR="007E7D1B">
        <w:rPr>
          <w:lang w:val="en-GB" w:eastAsia="fr-FR"/>
        </w:rPr>
        <w:t>decision</w:t>
      </w:r>
      <w:r w:rsidRPr="001D77D9">
        <w:rPr>
          <w:lang w:val="en-GB" w:eastAsia="fr-FR"/>
        </w:rPr>
        <w:t xml:space="preserve">, </w:t>
      </w:r>
      <w:r w:rsidRPr="001D77D9" w:rsidR="002517F9">
        <w:rPr>
          <w:lang w:val="en-GB" w:eastAsia="fr-FR"/>
        </w:rPr>
        <w:t>submitting</w:t>
      </w:r>
      <w:r w:rsidRPr="001D77D9">
        <w:rPr>
          <w:rFonts w:cstheme="minorHAnsi"/>
          <w:lang w:val="en-GB" w:eastAsia="fr-FR"/>
        </w:rPr>
        <w:t xml:space="preserve">, </w:t>
      </w:r>
      <w:r w:rsidRPr="001D77D9" w:rsidR="002517F9">
        <w:rPr>
          <w:rFonts w:cstheme="minorHAnsi"/>
          <w:i/>
          <w:lang w:val="en-GB" w:eastAsia="fr-FR"/>
        </w:rPr>
        <w:t>i</w:t>
      </w:r>
      <w:r w:rsidRPr="001D77D9">
        <w:rPr>
          <w:rFonts w:cstheme="minorHAnsi"/>
          <w:i/>
          <w:lang w:val="en-GB" w:eastAsia="fr-FR"/>
        </w:rPr>
        <w:t>nt</w:t>
      </w:r>
      <w:r w:rsidRPr="001D77D9" w:rsidR="002517F9">
        <w:rPr>
          <w:rFonts w:cstheme="minorHAnsi"/>
          <w:i/>
          <w:lang w:val="en-GB" w:eastAsia="fr-FR"/>
        </w:rPr>
        <w:t>e</w:t>
      </w:r>
      <w:r w:rsidRPr="001D77D9">
        <w:rPr>
          <w:rFonts w:cstheme="minorHAnsi"/>
          <w:i/>
          <w:lang w:val="en-GB" w:eastAsia="fr-FR"/>
        </w:rPr>
        <w:t>r a</w:t>
      </w:r>
      <w:r w:rsidRPr="001D77D9" w:rsidR="002517F9">
        <w:rPr>
          <w:rFonts w:cstheme="minorHAnsi"/>
          <w:i/>
          <w:lang w:val="en-GB" w:eastAsia="fr-FR"/>
        </w:rPr>
        <w:t>lia</w:t>
      </w:r>
      <w:r w:rsidRPr="001D77D9">
        <w:rPr>
          <w:rFonts w:cstheme="minorHAnsi"/>
          <w:lang w:val="en-GB" w:eastAsia="fr-FR"/>
        </w:rPr>
        <w:t xml:space="preserve">, </w:t>
      </w:r>
      <w:r w:rsidRPr="001D77D9" w:rsidR="002517F9">
        <w:rPr>
          <w:rFonts w:cstheme="minorHAnsi"/>
          <w:lang w:val="en-GB" w:eastAsia="fr-FR"/>
        </w:rPr>
        <w:t xml:space="preserve">that the </w:t>
      </w:r>
      <w:r w:rsidRPr="001D77D9" w:rsidR="004E05A7">
        <w:rPr>
          <w:rFonts w:cstheme="minorHAnsi"/>
          <w:lang w:val="en-GB" w:eastAsia="fr-FR"/>
        </w:rPr>
        <w:t>edition</w:t>
      </w:r>
      <w:r w:rsidRPr="001D77D9" w:rsidR="002517F9">
        <w:rPr>
          <w:rFonts w:cstheme="minorHAnsi"/>
          <w:lang w:val="en-GB" w:eastAsia="fr-FR"/>
        </w:rPr>
        <w:t xml:space="preserve">s of the newspaper </w:t>
      </w:r>
      <w:r w:rsidRPr="001D77D9" w:rsidR="00D8345B">
        <w:rPr>
          <w:rFonts w:cstheme="minorHAnsi"/>
          <w:lang w:val="en-GB" w:eastAsia="fr-FR"/>
        </w:rPr>
        <w:t xml:space="preserve">in question </w:t>
      </w:r>
      <w:r w:rsidRPr="001D77D9" w:rsidR="002517F9">
        <w:rPr>
          <w:rFonts w:cstheme="minorHAnsi"/>
          <w:lang w:val="en-GB" w:eastAsia="fr-FR"/>
        </w:rPr>
        <w:t>had not been the subject of any</w:t>
      </w:r>
      <w:r w:rsidRPr="001D77D9">
        <w:rPr>
          <w:rFonts w:cstheme="minorHAnsi"/>
          <w:lang w:val="en-GB" w:eastAsia="fr-FR"/>
        </w:rPr>
        <w:t xml:space="preserve"> judicia</w:t>
      </w:r>
      <w:r w:rsidRPr="001D77D9" w:rsidR="002517F9">
        <w:rPr>
          <w:rFonts w:cstheme="minorHAnsi"/>
          <w:lang w:val="en-GB" w:eastAsia="fr-FR"/>
        </w:rPr>
        <w:t>l</w:t>
      </w:r>
      <w:r w:rsidRPr="001D77D9">
        <w:rPr>
          <w:rFonts w:cstheme="minorHAnsi"/>
          <w:lang w:val="en-GB" w:eastAsia="fr-FR"/>
        </w:rPr>
        <w:t xml:space="preserve"> </w:t>
      </w:r>
      <w:r w:rsidRPr="001D77D9" w:rsidR="007E7D1B">
        <w:rPr>
          <w:rFonts w:cstheme="minorHAnsi"/>
          <w:lang w:val="en-GB" w:eastAsia="fr-FR"/>
        </w:rPr>
        <w:t>seizure</w:t>
      </w:r>
      <w:r w:rsidRPr="001D77D9" w:rsidR="002517F9">
        <w:rPr>
          <w:rFonts w:cstheme="minorHAnsi"/>
          <w:lang w:val="en-GB" w:eastAsia="fr-FR"/>
        </w:rPr>
        <w:t xml:space="preserve"> order and therefore </w:t>
      </w:r>
      <w:r w:rsidRPr="001D77D9" w:rsidR="00842E72">
        <w:rPr>
          <w:rFonts w:cstheme="minorHAnsi"/>
          <w:lang w:val="en-GB" w:eastAsia="fr-FR"/>
        </w:rPr>
        <w:t>ought to</w:t>
      </w:r>
      <w:r w:rsidRPr="001D77D9" w:rsidR="002517F9">
        <w:rPr>
          <w:rFonts w:cstheme="minorHAnsi"/>
          <w:lang w:val="en-GB" w:eastAsia="fr-FR"/>
        </w:rPr>
        <w:t xml:space="preserve"> have been delivered to him. He further </w:t>
      </w:r>
      <w:r w:rsidRPr="001D77D9" w:rsidR="007E7D1B">
        <w:rPr>
          <w:rFonts w:cstheme="minorHAnsi"/>
          <w:lang w:val="en-GB" w:eastAsia="fr-FR"/>
        </w:rPr>
        <w:t>submitted</w:t>
      </w:r>
      <w:r w:rsidRPr="001D77D9" w:rsidR="002517F9">
        <w:rPr>
          <w:rFonts w:cstheme="minorHAnsi"/>
          <w:lang w:val="en-GB" w:eastAsia="fr-FR"/>
        </w:rPr>
        <w:t xml:space="preserve"> that he had</w:t>
      </w:r>
      <w:r w:rsidRPr="001D77D9" w:rsidR="00842E72">
        <w:rPr>
          <w:rFonts w:cstheme="minorHAnsi"/>
          <w:lang w:val="en-GB" w:eastAsia="fr-FR"/>
        </w:rPr>
        <w:t xml:space="preserve"> been in</w:t>
      </w:r>
      <w:r w:rsidRPr="001D77D9" w:rsidR="002517F9">
        <w:rPr>
          <w:rFonts w:cstheme="minorHAnsi"/>
          <w:lang w:val="en-GB" w:eastAsia="fr-FR"/>
        </w:rPr>
        <w:t xml:space="preserve"> </w:t>
      </w:r>
      <w:r w:rsidRPr="001D77D9" w:rsidR="004B2FBB">
        <w:rPr>
          <w:rFonts w:cstheme="minorHAnsi"/>
          <w:lang w:val="en-GB" w:eastAsia="fr-FR"/>
        </w:rPr>
        <w:t>recei</w:t>
      </w:r>
      <w:r w:rsidRPr="001D77D9" w:rsidR="00842E72">
        <w:rPr>
          <w:rFonts w:cstheme="minorHAnsi"/>
          <w:lang w:val="en-GB" w:eastAsia="fr-FR"/>
        </w:rPr>
        <w:t>pt of</w:t>
      </w:r>
      <w:r w:rsidRPr="001D77D9" w:rsidR="004B2FBB">
        <w:rPr>
          <w:rFonts w:cstheme="minorHAnsi"/>
          <w:lang w:val="en-GB" w:eastAsia="fr-FR"/>
        </w:rPr>
        <w:t xml:space="preserve"> the newspaper for </w:t>
      </w:r>
      <w:r w:rsidRPr="001D77D9" w:rsidR="00842E72">
        <w:rPr>
          <w:rFonts w:cstheme="minorHAnsi"/>
          <w:lang w:val="en-GB" w:eastAsia="fr-FR"/>
        </w:rPr>
        <w:t>four months without any problem</w:t>
      </w:r>
      <w:r w:rsidRPr="001D77D9" w:rsidR="004B2FBB">
        <w:rPr>
          <w:rFonts w:cstheme="minorHAnsi"/>
          <w:lang w:val="en-GB" w:eastAsia="fr-FR"/>
        </w:rPr>
        <w:t xml:space="preserve"> before being deprived of it</w:t>
      </w:r>
      <w:r w:rsidRPr="001D77D9">
        <w:rPr>
          <w:rFonts w:cstheme="minorHAnsi"/>
          <w:lang w:val="en-GB" w:eastAsia="fr-FR"/>
        </w:rPr>
        <w:t xml:space="preserve">, </w:t>
      </w:r>
      <w:r w:rsidRPr="001D77D9" w:rsidR="004B2FBB">
        <w:rPr>
          <w:rFonts w:cstheme="minorHAnsi"/>
          <w:lang w:val="en-GB" w:eastAsia="fr-FR"/>
        </w:rPr>
        <w:t xml:space="preserve">and that the decision taken by the prison </w:t>
      </w:r>
      <w:r w:rsidRPr="001D77D9" w:rsidR="007E7D1B">
        <w:rPr>
          <w:rFonts w:cstheme="minorHAnsi"/>
          <w:lang w:val="en-GB" w:eastAsia="fr-FR"/>
        </w:rPr>
        <w:t>authorities</w:t>
      </w:r>
      <w:r w:rsidRPr="001D77D9" w:rsidR="004B2FBB">
        <w:rPr>
          <w:rFonts w:cstheme="minorHAnsi"/>
          <w:lang w:val="en-GB" w:eastAsia="fr-FR"/>
        </w:rPr>
        <w:t xml:space="preserve"> had been unlawful. He </w:t>
      </w:r>
      <w:r w:rsidRPr="001D77D9" w:rsidR="007E7D1B">
        <w:rPr>
          <w:rFonts w:cstheme="minorHAnsi"/>
          <w:lang w:val="en-GB" w:eastAsia="fr-FR"/>
        </w:rPr>
        <w:t>consequently</w:t>
      </w:r>
      <w:r w:rsidRPr="001D77D9" w:rsidR="004B2FBB">
        <w:rPr>
          <w:rFonts w:cstheme="minorHAnsi"/>
          <w:lang w:val="en-GB" w:eastAsia="fr-FR"/>
        </w:rPr>
        <w:t xml:space="preserve"> requested </w:t>
      </w:r>
      <w:r w:rsidRPr="001D77D9" w:rsidR="002A0A57">
        <w:rPr>
          <w:rFonts w:cstheme="minorHAnsi"/>
          <w:lang w:val="en-GB" w:eastAsia="fr-FR"/>
        </w:rPr>
        <w:t xml:space="preserve">that </w:t>
      </w:r>
      <w:r w:rsidRPr="001D77D9" w:rsidR="004B2FBB">
        <w:rPr>
          <w:rFonts w:cstheme="minorHAnsi"/>
          <w:lang w:val="en-GB" w:eastAsia="fr-FR"/>
        </w:rPr>
        <w:t>the impugned</w:t>
      </w:r>
      <w:r w:rsidRPr="001D77D9">
        <w:rPr>
          <w:rFonts w:cstheme="minorHAnsi"/>
          <w:lang w:val="en-GB" w:eastAsia="fr-FR"/>
        </w:rPr>
        <w:t xml:space="preserve"> </w:t>
      </w:r>
      <w:r w:rsidRPr="001D77D9" w:rsidR="007E7D1B">
        <w:rPr>
          <w:rFonts w:cstheme="minorHAnsi"/>
          <w:lang w:val="en-GB" w:eastAsia="fr-FR"/>
        </w:rPr>
        <w:t>decision</w:t>
      </w:r>
      <w:r w:rsidRPr="001D77D9">
        <w:rPr>
          <w:rFonts w:cstheme="minorHAnsi"/>
          <w:lang w:val="en-GB" w:eastAsia="fr-FR"/>
        </w:rPr>
        <w:t xml:space="preserve"> </w:t>
      </w:r>
      <w:r w:rsidRPr="001D77D9" w:rsidR="002A0A57">
        <w:rPr>
          <w:rFonts w:cstheme="minorHAnsi"/>
          <w:lang w:val="en-GB" w:eastAsia="fr-FR"/>
        </w:rPr>
        <w:t xml:space="preserve">be set aside </w:t>
      </w:r>
      <w:r w:rsidRPr="001D77D9" w:rsidR="004B2FBB">
        <w:rPr>
          <w:rFonts w:cstheme="minorHAnsi"/>
          <w:lang w:val="en-GB" w:eastAsia="fr-FR"/>
        </w:rPr>
        <w:t xml:space="preserve">and he be allowed to </w:t>
      </w:r>
      <w:r w:rsidRPr="001D77D9" w:rsidR="007E7D1B">
        <w:rPr>
          <w:rFonts w:cstheme="minorHAnsi"/>
          <w:lang w:val="en-GB" w:eastAsia="fr-FR"/>
        </w:rPr>
        <w:t>receive</w:t>
      </w:r>
      <w:r w:rsidRPr="001D77D9" w:rsidR="004B2FBB">
        <w:rPr>
          <w:rFonts w:cstheme="minorHAnsi"/>
          <w:lang w:val="en-GB" w:eastAsia="fr-FR"/>
        </w:rPr>
        <w:t xml:space="preserve"> the newspaper i</w:t>
      </w:r>
      <w:r w:rsidRPr="001D77D9">
        <w:rPr>
          <w:rFonts w:cstheme="minorHAnsi"/>
          <w:lang w:val="en-GB" w:eastAsia="fr-FR"/>
        </w:rPr>
        <w:t>n question.</w:t>
      </w:r>
    </w:p>
    <w:p w:rsidRPr="001D77D9" w:rsidR="00F27466" w:rsidP="00F27466" w:rsidRDefault="00F27466">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65</w:t>
      </w:r>
      <w:r w:rsidRPr="001D77D9">
        <w:rPr>
          <w:lang w:val="en-GB" w:eastAsia="fr-FR"/>
        </w:rPr>
        <w:fldChar w:fldCharType="end"/>
      </w:r>
      <w:r w:rsidRPr="001D77D9">
        <w:rPr>
          <w:lang w:val="en-GB" w:eastAsia="fr-FR"/>
        </w:rPr>
        <w:t>.  </w:t>
      </w:r>
      <w:r w:rsidRPr="001D77D9" w:rsidR="004B2FBB">
        <w:rPr>
          <w:lang w:val="en-GB" w:eastAsia="fr-FR"/>
        </w:rPr>
        <w:t>On</w:t>
      </w:r>
      <w:r w:rsidRPr="001D77D9">
        <w:rPr>
          <w:lang w:val="en-GB" w:eastAsia="fr-FR"/>
        </w:rPr>
        <w:t xml:space="preserve"> 23 </w:t>
      </w:r>
      <w:r w:rsidRPr="001D77D9" w:rsidR="007E7D1B">
        <w:rPr>
          <w:lang w:val="en-GB" w:eastAsia="fr-FR"/>
        </w:rPr>
        <w:t>October</w:t>
      </w:r>
      <w:r w:rsidRPr="001D77D9">
        <w:rPr>
          <w:lang w:val="en-GB" w:eastAsia="fr-FR"/>
        </w:rPr>
        <w:t xml:space="preserve"> 2007</w:t>
      </w:r>
      <w:r w:rsidRPr="001D77D9" w:rsidR="005009CA">
        <w:rPr>
          <w:lang w:val="en-GB" w:eastAsia="fr-FR"/>
        </w:rPr>
        <w:t>,</w:t>
      </w:r>
      <w:r w:rsidRPr="001D77D9" w:rsidR="005009CA">
        <w:rPr>
          <w:lang w:val="en-GB"/>
        </w:rPr>
        <w:t xml:space="preserve"> </w:t>
      </w:r>
      <w:r w:rsidRPr="001D77D9" w:rsidR="00852FB5">
        <w:rPr>
          <w:lang w:val="en-GB"/>
        </w:rPr>
        <w:t xml:space="preserve">ruling </w:t>
      </w:r>
      <w:r w:rsidRPr="001D77D9" w:rsidR="005009CA">
        <w:rPr>
          <w:lang w:val="en-GB"/>
        </w:rPr>
        <w:t>on the basis of the ca</w:t>
      </w:r>
      <w:r w:rsidRPr="001D77D9" w:rsidR="00DB63B8">
        <w:rPr>
          <w:lang w:val="en-GB"/>
        </w:rPr>
        <w:t>se fi</w:t>
      </w:r>
      <w:r w:rsidRPr="001D77D9" w:rsidR="005009CA">
        <w:rPr>
          <w:lang w:val="en-GB"/>
        </w:rPr>
        <w:t xml:space="preserve">le, the </w:t>
      </w:r>
      <w:proofErr w:type="spellStart"/>
      <w:r w:rsidRPr="001D77D9" w:rsidR="005009CA">
        <w:rPr>
          <w:lang w:val="en-GB"/>
        </w:rPr>
        <w:t>Tekirdağ</w:t>
      </w:r>
      <w:proofErr w:type="spellEnd"/>
      <w:r w:rsidRPr="001D77D9" w:rsidR="005009CA">
        <w:rPr>
          <w:lang w:val="en-GB"/>
        </w:rPr>
        <w:t xml:space="preserve"> post-sentencing judge dismissed that appeal, finding that the impugned decision</w:t>
      </w:r>
      <w:r w:rsidRPr="001D77D9" w:rsidR="005009CA">
        <w:rPr>
          <w:lang w:val="en-GB" w:eastAsia="fr-FR"/>
        </w:rPr>
        <w:t xml:space="preserve"> had been unobjectionable in procedural and legal terms</w:t>
      </w:r>
      <w:r w:rsidRPr="001D77D9" w:rsidR="005009CA">
        <w:rPr>
          <w:lang w:val="en-GB"/>
        </w:rPr>
        <w:t>. He adjudicated in the light of the State Prosecutor</w:t>
      </w:r>
      <w:r w:rsidR="00934B09">
        <w:rPr>
          <w:lang w:val="en-GB"/>
        </w:rPr>
        <w:t>’</w:t>
      </w:r>
      <w:r w:rsidRPr="001D77D9" w:rsidR="005009CA">
        <w:rPr>
          <w:lang w:val="en-GB"/>
        </w:rPr>
        <w:t xml:space="preserve">s opinion to the effect that in order to assess the conformity with section 62 § 3 of the relevant law of publications in a language other than the official language, a translation of those publications was required, that there was no legal provision requiring the prison to finance the translation costs, that such expenses had not been covered by the </w:t>
      </w:r>
      <w:r w:rsidRPr="001D77D9" w:rsidR="00DD1B8F">
        <w:rPr>
          <w:lang w:val="en-GB"/>
        </w:rPr>
        <w:t>appellant</w:t>
      </w:r>
      <w:r w:rsidRPr="001D77D9" w:rsidR="005009CA">
        <w:rPr>
          <w:lang w:val="en-GB"/>
        </w:rPr>
        <w:t xml:space="preserve"> and that the measure adopted by the prison authorities had consequently been justified</w:t>
      </w:r>
      <w:r w:rsidRPr="001D77D9">
        <w:rPr>
          <w:lang w:val="en-GB" w:eastAsia="fr-FR"/>
        </w:rPr>
        <w:t>.</w:t>
      </w:r>
    </w:p>
    <w:p w:rsidRPr="001D77D9" w:rsidR="00F27466" w:rsidP="00F27466" w:rsidRDefault="00F27466">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66</w:t>
      </w:r>
      <w:r w:rsidRPr="001D77D9">
        <w:rPr>
          <w:lang w:val="en-GB" w:eastAsia="fr-FR"/>
        </w:rPr>
        <w:fldChar w:fldCharType="end"/>
      </w:r>
      <w:r w:rsidRPr="001D77D9">
        <w:rPr>
          <w:lang w:val="en-GB" w:eastAsia="fr-FR"/>
        </w:rPr>
        <w:t>.  </w:t>
      </w:r>
      <w:r w:rsidRPr="001D77D9" w:rsidR="0046479A">
        <w:rPr>
          <w:lang w:val="en-GB" w:eastAsia="fr-FR"/>
        </w:rPr>
        <w:t>On</w:t>
      </w:r>
      <w:r w:rsidRPr="001D77D9">
        <w:rPr>
          <w:lang w:val="en-GB" w:eastAsia="fr-FR"/>
        </w:rPr>
        <w:t xml:space="preserve"> 1 </w:t>
      </w:r>
      <w:r w:rsidRPr="001D77D9" w:rsidR="000E07D5">
        <w:rPr>
          <w:lang w:val="en-GB" w:eastAsia="fr-FR"/>
        </w:rPr>
        <w:t>November</w:t>
      </w:r>
      <w:r w:rsidRPr="001D77D9">
        <w:rPr>
          <w:lang w:val="en-GB" w:eastAsia="fr-FR"/>
        </w:rPr>
        <w:t xml:space="preserve"> 2007</w:t>
      </w:r>
      <w:r w:rsidRPr="001D77D9" w:rsidR="0046479A">
        <w:rPr>
          <w:lang w:val="en-GB" w:eastAsia="fr-FR"/>
        </w:rPr>
        <w:t xml:space="preserve"> the applic</w:t>
      </w:r>
      <w:r w:rsidRPr="001D77D9">
        <w:rPr>
          <w:lang w:val="en-GB" w:eastAsia="fr-FR"/>
        </w:rPr>
        <w:t xml:space="preserve">ant </w:t>
      </w:r>
      <w:r w:rsidRPr="001D77D9" w:rsidR="0046479A">
        <w:rPr>
          <w:lang w:val="en-GB" w:eastAsia="fr-FR"/>
        </w:rPr>
        <w:t>appealed against that</w:t>
      </w:r>
      <w:r w:rsidRPr="001D77D9">
        <w:rPr>
          <w:lang w:val="en-GB" w:eastAsia="fr-FR"/>
        </w:rPr>
        <w:t xml:space="preserve"> </w:t>
      </w:r>
      <w:r w:rsidRPr="001D77D9" w:rsidR="000E07D5">
        <w:rPr>
          <w:lang w:val="en-GB" w:eastAsia="fr-FR"/>
        </w:rPr>
        <w:t>decision</w:t>
      </w:r>
      <w:r w:rsidRPr="001D77D9">
        <w:rPr>
          <w:lang w:val="en-GB" w:eastAsia="fr-FR"/>
        </w:rPr>
        <w:t xml:space="preserve">. </w:t>
      </w:r>
      <w:r w:rsidRPr="001D77D9" w:rsidR="0046479A">
        <w:rPr>
          <w:lang w:val="en-GB" w:eastAsia="fr-FR"/>
        </w:rPr>
        <w:t>He submitted that the newspaper</w:t>
      </w:r>
      <w:r w:rsidRPr="001D77D9" w:rsidR="00316FA0">
        <w:rPr>
          <w:lang w:val="en-GB" w:eastAsia="fr-FR"/>
        </w:rPr>
        <w:t xml:space="preserve"> in question</w:t>
      </w:r>
      <w:r w:rsidRPr="001D77D9" w:rsidR="0046479A">
        <w:rPr>
          <w:lang w:val="en-GB" w:eastAsia="fr-FR"/>
        </w:rPr>
        <w:t xml:space="preserve"> had been </w:t>
      </w:r>
      <w:r w:rsidRPr="001D77D9">
        <w:rPr>
          <w:lang w:val="en-GB" w:eastAsia="fr-FR"/>
        </w:rPr>
        <w:t>publi</w:t>
      </w:r>
      <w:r w:rsidRPr="001D77D9" w:rsidR="0046479A">
        <w:rPr>
          <w:lang w:val="en-GB" w:eastAsia="fr-FR"/>
        </w:rPr>
        <w:t xml:space="preserve">shed in </w:t>
      </w:r>
      <w:r w:rsidRPr="001D77D9" w:rsidR="000E07D5">
        <w:rPr>
          <w:lang w:val="en-GB" w:eastAsia="fr-FR"/>
        </w:rPr>
        <w:t>accordance</w:t>
      </w:r>
      <w:r w:rsidRPr="001D77D9" w:rsidR="0046479A">
        <w:rPr>
          <w:lang w:val="en-GB" w:eastAsia="fr-FR"/>
        </w:rPr>
        <w:t xml:space="preserve"> with the </w:t>
      </w:r>
      <w:proofErr w:type="gramStart"/>
      <w:r w:rsidRPr="001D77D9" w:rsidR="0046479A">
        <w:rPr>
          <w:lang w:val="en-GB" w:eastAsia="fr-FR"/>
        </w:rPr>
        <w:t>law</w:t>
      </w:r>
      <w:r w:rsidRPr="001D77D9">
        <w:rPr>
          <w:lang w:val="en-GB" w:eastAsia="fr-FR"/>
        </w:rPr>
        <w:t xml:space="preserve">, </w:t>
      </w:r>
      <w:r w:rsidRPr="001D77D9" w:rsidR="001F6F1C">
        <w:rPr>
          <w:lang w:val="en-GB" w:eastAsia="fr-FR"/>
        </w:rPr>
        <w:t>that</w:t>
      </w:r>
      <w:proofErr w:type="gramEnd"/>
      <w:r w:rsidRPr="001D77D9" w:rsidR="001F6F1C">
        <w:rPr>
          <w:lang w:val="en-GB" w:eastAsia="fr-FR"/>
        </w:rPr>
        <w:t xml:space="preserve"> it had been subject to review</w:t>
      </w:r>
      <w:r w:rsidRPr="001D77D9" w:rsidR="00F252B7">
        <w:rPr>
          <w:lang w:val="en-GB" w:eastAsia="fr-FR"/>
        </w:rPr>
        <w:t xml:space="preserve"> by the </w:t>
      </w:r>
      <w:r w:rsidRPr="001D77D9" w:rsidR="007C4B06">
        <w:rPr>
          <w:lang w:val="en-GB" w:eastAsia="fr-FR"/>
        </w:rPr>
        <w:t>P</w:t>
      </w:r>
      <w:r w:rsidRPr="001D77D9" w:rsidR="000E07D5">
        <w:rPr>
          <w:lang w:val="en-GB" w:eastAsia="fr-FR"/>
        </w:rPr>
        <w:t>rosecutor</w:t>
      </w:r>
      <w:r w:rsidRPr="001D77D9">
        <w:rPr>
          <w:lang w:val="en-GB" w:eastAsia="fr-FR"/>
        </w:rPr>
        <w:t xml:space="preserve"> </w:t>
      </w:r>
      <w:r w:rsidRPr="001D77D9" w:rsidR="00F252B7">
        <w:rPr>
          <w:lang w:val="en-GB" w:eastAsia="fr-FR"/>
        </w:rPr>
        <w:t>responsible for the</w:t>
      </w:r>
      <w:r w:rsidRPr="001D77D9">
        <w:rPr>
          <w:lang w:val="en-GB" w:eastAsia="fr-FR"/>
        </w:rPr>
        <w:t xml:space="preserve"> </w:t>
      </w:r>
      <w:r w:rsidRPr="001D77D9" w:rsidR="000E07D5">
        <w:rPr>
          <w:lang w:val="en-GB" w:eastAsia="fr-FR"/>
        </w:rPr>
        <w:t>press</w:t>
      </w:r>
      <w:r w:rsidRPr="001D77D9">
        <w:rPr>
          <w:lang w:val="en-GB" w:eastAsia="fr-FR"/>
        </w:rPr>
        <w:t xml:space="preserve"> </w:t>
      </w:r>
      <w:r w:rsidRPr="001D77D9" w:rsidR="000E07D5">
        <w:rPr>
          <w:lang w:val="en-GB" w:eastAsia="fr-FR"/>
        </w:rPr>
        <w:t>before</w:t>
      </w:r>
      <w:r w:rsidRPr="001D77D9" w:rsidR="00F252B7">
        <w:rPr>
          <w:lang w:val="en-GB" w:eastAsia="fr-FR"/>
        </w:rPr>
        <w:t xml:space="preserve"> distribution and that,</w:t>
      </w:r>
      <w:r w:rsidRPr="001D77D9">
        <w:rPr>
          <w:lang w:val="en-GB" w:eastAsia="fr-FR"/>
        </w:rPr>
        <w:t xml:space="preserve"> </w:t>
      </w:r>
      <w:r w:rsidRPr="001D77D9" w:rsidR="000E07D5">
        <w:rPr>
          <w:lang w:val="en-GB" w:eastAsia="fr-FR"/>
        </w:rPr>
        <w:t>in</w:t>
      </w:r>
      <w:r w:rsidRPr="001D77D9">
        <w:rPr>
          <w:lang w:val="en-GB" w:eastAsia="fr-FR"/>
        </w:rPr>
        <w:t xml:space="preserve"> </w:t>
      </w:r>
      <w:r w:rsidRPr="001D77D9" w:rsidR="00F252B7">
        <w:rPr>
          <w:lang w:val="en-GB" w:eastAsia="fr-FR"/>
        </w:rPr>
        <w:t xml:space="preserve">the </w:t>
      </w:r>
      <w:r w:rsidRPr="001D77D9">
        <w:rPr>
          <w:lang w:val="en-GB" w:eastAsia="fr-FR"/>
        </w:rPr>
        <w:t xml:space="preserve">absence </w:t>
      </w:r>
      <w:r w:rsidRPr="001D77D9" w:rsidR="00F252B7">
        <w:rPr>
          <w:lang w:val="en-GB" w:eastAsia="fr-FR"/>
        </w:rPr>
        <w:t>of any</w:t>
      </w:r>
      <w:r w:rsidRPr="001D77D9">
        <w:rPr>
          <w:lang w:val="en-GB" w:eastAsia="fr-FR"/>
        </w:rPr>
        <w:t xml:space="preserve"> judicia</w:t>
      </w:r>
      <w:r w:rsidRPr="001D77D9" w:rsidR="00F252B7">
        <w:rPr>
          <w:lang w:val="en-GB" w:eastAsia="fr-FR"/>
        </w:rPr>
        <w:t>l</w:t>
      </w:r>
      <w:r w:rsidRPr="001D77D9">
        <w:rPr>
          <w:lang w:val="en-GB" w:eastAsia="fr-FR"/>
        </w:rPr>
        <w:t xml:space="preserve"> </w:t>
      </w:r>
      <w:r w:rsidRPr="001D77D9" w:rsidR="000E07D5">
        <w:rPr>
          <w:lang w:val="en-GB" w:eastAsia="fr-FR"/>
        </w:rPr>
        <w:t>proceedings</w:t>
      </w:r>
      <w:r w:rsidRPr="001D77D9" w:rsidR="00F252B7">
        <w:rPr>
          <w:lang w:val="en-GB" w:eastAsia="fr-FR"/>
        </w:rPr>
        <w:t xml:space="preserve"> </w:t>
      </w:r>
      <w:r w:rsidRPr="001D77D9" w:rsidR="000E07D5">
        <w:rPr>
          <w:lang w:val="en-GB" w:eastAsia="fr-FR"/>
        </w:rPr>
        <w:t>or</w:t>
      </w:r>
      <w:r w:rsidRPr="001D77D9">
        <w:rPr>
          <w:lang w:val="en-GB" w:eastAsia="fr-FR"/>
        </w:rPr>
        <w:t xml:space="preserve"> </w:t>
      </w:r>
      <w:r w:rsidRPr="001D77D9" w:rsidR="00F252B7">
        <w:rPr>
          <w:lang w:val="en-GB" w:eastAsia="fr-FR"/>
        </w:rPr>
        <w:t>seizure order against it</w:t>
      </w:r>
      <w:r w:rsidRPr="001D77D9">
        <w:rPr>
          <w:lang w:val="en-GB" w:eastAsia="fr-FR"/>
        </w:rPr>
        <w:t xml:space="preserve">, </w:t>
      </w:r>
      <w:r w:rsidRPr="001D77D9" w:rsidR="00F252B7">
        <w:rPr>
          <w:lang w:val="en-GB" w:eastAsia="fr-FR"/>
        </w:rPr>
        <w:t>the newspaper could not be deemed</w:t>
      </w:r>
      <w:r w:rsidRPr="001D77D9">
        <w:rPr>
          <w:lang w:val="en-GB" w:eastAsia="fr-FR"/>
        </w:rPr>
        <w:t xml:space="preserve"> </w:t>
      </w:r>
      <w:r w:rsidRPr="001D77D9" w:rsidR="000E07D5">
        <w:rPr>
          <w:lang w:val="en-GB" w:eastAsia="fr-FR"/>
        </w:rPr>
        <w:t>problematic</w:t>
      </w:r>
      <w:r w:rsidRPr="001D77D9">
        <w:rPr>
          <w:lang w:val="en-GB" w:eastAsia="fr-FR"/>
        </w:rPr>
        <w:t xml:space="preserve">. </w:t>
      </w:r>
      <w:r w:rsidRPr="001D77D9" w:rsidR="00FB3B41">
        <w:rPr>
          <w:lang w:val="en-GB" w:eastAsia="fr-FR"/>
        </w:rPr>
        <w:t xml:space="preserve">He </w:t>
      </w:r>
      <w:r w:rsidRPr="001D77D9" w:rsidR="000E07D5">
        <w:rPr>
          <w:lang w:val="en-GB" w:eastAsia="fr-FR"/>
        </w:rPr>
        <w:t>consequently</w:t>
      </w:r>
      <w:r w:rsidRPr="001D77D9" w:rsidR="00FB3B41">
        <w:rPr>
          <w:lang w:val="en-GB" w:eastAsia="fr-FR"/>
        </w:rPr>
        <w:t xml:space="preserve"> requested access to the impugned </w:t>
      </w:r>
      <w:r w:rsidRPr="001D77D9" w:rsidR="004E05A7">
        <w:rPr>
          <w:lang w:val="en-GB" w:eastAsia="fr-FR"/>
        </w:rPr>
        <w:t>edition</w:t>
      </w:r>
      <w:r w:rsidRPr="001D77D9" w:rsidR="00FB3B41">
        <w:rPr>
          <w:lang w:val="en-GB" w:eastAsia="fr-FR"/>
        </w:rPr>
        <w:t>s of the newspaper</w:t>
      </w:r>
      <w:r w:rsidRPr="001D77D9">
        <w:rPr>
          <w:lang w:val="en-GB" w:eastAsia="fr-FR"/>
        </w:rPr>
        <w:t>.</w:t>
      </w:r>
    </w:p>
    <w:p w:rsidRPr="001D77D9" w:rsidR="00F27466" w:rsidP="00F27466" w:rsidRDefault="00F27466">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67</w:t>
      </w:r>
      <w:r w:rsidRPr="001D77D9">
        <w:rPr>
          <w:lang w:val="en-GB" w:eastAsia="fr-FR"/>
        </w:rPr>
        <w:fldChar w:fldCharType="end"/>
      </w:r>
      <w:r w:rsidRPr="001D77D9">
        <w:rPr>
          <w:lang w:val="en-GB" w:eastAsia="fr-FR"/>
        </w:rPr>
        <w:t>.  </w:t>
      </w:r>
      <w:r w:rsidRPr="001D77D9" w:rsidR="00E32C27">
        <w:rPr>
          <w:lang w:val="en-GB" w:eastAsia="fr-FR"/>
        </w:rPr>
        <w:t>On</w:t>
      </w:r>
      <w:r w:rsidRPr="001D77D9">
        <w:rPr>
          <w:lang w:val="en-GB" w:eastAsia="fr-FR"/>
        </w:rPr>
        <w:t xml:space="preserve"> 8 </w:t>
      </w:r>
      <w:r w:rsidRPr="001D77D9" w:rsidR="000E07D5">
        <w:rPr>
          <w:lang w:val="en-GB" w:eastAsia="fr-FR"/>
        </w:rPr>
        <w:t>November</w:t>
      </w:r>
      <w:r w:rsidRPr="001D77D9">
        <w:rPr>
          <w:lang w:val="en-GB" w:eastAsia="fr-FR"/>
        </w:rPr>
        <w:t xml:space="preserve"> 2007</w:t>
      </w:r>
      <w:r w:rsidRPr="001D77D9" w:rsidR="00E32C27">
        <w:rPr>
          <w:lang w:val="en-GB" w:eastAsia="fr-FR"/>
        </w:rPr>
        <w:t xml:space="preserve"> the</w:t>
      </w:r>
      <w:r w:rsidRPr="001D77D9" w:rsidR="00E32C27">
        <w:rPr>
          <w:lang w:val="en-GB"/>
        </w:rPr>
        <w:t xml:space="preserve"> </w:t>
      </w:r>
      <w:proofErr w:type="spellStart"/>
      <w:r w:rsidRPr="001D77D9" w:rsidR="00E32C27">
        <w:rPr>
          <w:lang w:val="en-GB"/>
        </w:rPr>
        <w:t>Tekirdağ</w:t>
      </w:r>
      <w:proofErr w:type="spellEnd"/>
      <w:r w:rsidRPr="001D77D9" w:rsidR="00E32C27">
        <w:rPr>
          <w:lang w:val="en-GB"/>
        </w:rPr>
        <w:t xml:space="preserve"> Assize Court, </w:t>
      </w:r>
      <w:r w:rsidRPr="001D77D9" w:rsidR="00852FB5">
        <w:rPr>
          <w:lang w:val="en-GB"/>
        </w:rPr>
        <w:t xml:space="preserve">ruling </w:t>
      </w:r>
      <w:r w:rsidRPr="001D77D9" w:rsidR="00E32C27">
        <w:rPr>
          <w:lang w:val="en-GB"/>
        </w:rPr>
        <w:t>on the basis of the case file and having taken cognisance of the State Prosecutor</w:t>
      </w:r>
      <w:r w:rsidR="00934B09">
        <w:rPr>
          <w:lang w:val="en-GB"/>
        </w:rPr>
        <w:t>’</w:t>
      </w:r>
      <w:r w:rsidRPr="001D77D9" w:rsidR="00E32C27">
        <w:rPr>
          <w:lang w:val="en-GB"/>
        </w:rPr>
        <w:t xml:space="preserve">s opinion, </w:t>
      </w:r>
      <w:r w:rsidRPr="001D77D9" w:rsidR="00E32C27">
        <w:rPr>
          <w:lang w:val="en-GB" w:eastAsia="fr-FR"/>
        </w:rPr>
        <w:t>found that the impugned decision had been unobjectionable in procedural and legal terms</w:t>
      </w:r>
      <w:r w:rsidRPr="001D77D9" w:rsidR="00E32C27">
        <w:rPr>
          <w:lang w:val="en-GB"/>
        </w:rPr>
        <w:t xml:space="preserve"> and dismissed the </w:t>
      </w:r>
      <w:r w:rsidRPr="001D77D9" w:rsidR="00326DA1">
        <w:rPr>
          <w:lang w:val="en-GB"/>
        </w:rPr>
        <w:t>applicant</w:t>
      </w:r>
      <w:r w:rsidR="00934B09">
        <w:rPr>
          <w:lang w:val="en-GB"/>
        </w:rPr>
        <w:t>’</w:t>
      </w:r>
      <w:r w:rsidRPr="001D77D9" w:rsidR="00326DA1">
        <w:rPr>
          <w:lang w:val="en-GB"/>
        </w:rPr>
        <w:t>s</w:t>
      </w:r>
      <w:r w:rsidRPr="001D77D9" w:rsidR="00E32C27">
        <w:rPr>
          <w:lang w:val="en-GB"/>
        </w:rPr>
        <w:t xml:space="preserve"> appeal</w:t>
      </w:r>
      <w:r w:rsidRPr="001D77D9">
        <w:rPr>
          <w:lang w:val="en-GB" w:eastAsia="fr-FR"/>
        </w:rPr>
        <w:t>.</w:t>
      </w:r>
    </w:p>
    <w:p w:rsidRPr="001D77D9" w:rsidR="00BC58BF" w:rsidP="00BC58BF" w:rsidRDefault="00F27466">
      <w:pPr>
        <w:pStyle w:val="ECHRHeading3"/>
        <w:rPr>
          <w:lang w:val="en-GB" w:eastAsia="fr-FR"/>
        </w:rPr>
      </w:pPr>
      <w:r w:rsidRPr="001D77D9">
        <w:rPr>
          <w:lang w:val="en-GB" w:eastAsia="fr-FR"/>
        </w:rPr>
        <w:t>2.  </w:t>
      </w:r>
      <w:r w:rsidRPr="001D77D9" w:rsidR="000E07D5">
        <w:rPr>
          <w:lang w:val="en-GB" w:eastAsia="fr-FR"/>
        </w:rPr>
        <w:t>Proceedings</w:t>
      </w:r>
      <w:r w:rsidRPr="001D77D9">
        <w:rPr>
          <w:lang w:val="en-GB" w:eastAsia="fr-FR"/>
        </w:rPr>
        <w:t xml:space="preserve"> relati</w:t>
      </w:r>
      <w:r w:rsidRPr="001D77D9" w:rsidR="00BC58BF">
        <w:rPr>
          <w:lang w:val="en-GB" w:eastAsia="fr-FR"/>
        </w:rPr>
        <w:t xml:space="preserve">ng to the failure to deliver the 19 - 15 July 2007 </w:t>
      </w:r>
      <w:r w:rsidRPr="001D77D9" w:rsidR="004E05A7">
        <w:rPr>
          <w:lang w:val="en-GB" w:eastAsia="fr-FR"/>
        </w:rPr>
        <w:t>edition</w:t>
      </w:r>
      <w:r w:rsidRPr="001D77D9" w:rsidR="00BC58BF">
        <w:rPr>
          <w:lang w:val="en-GB" w:eastAsia="fr-FR"/>
        </w:rPr>
        <w:t xml:space="preserve">s of the </w:t>
      </w:r>
      <w:proofErr w:type="spellStart"/>
      <w:r w:rsidRPr="001D77D9" w:rsidR="00BC58BF">
        <w:rPr>
          <w:i w:val="0"/>
          <w:lang w:val="en-GB" w:eastAsia="fr-FR"/>
        </w:rPr>
        <w:t>Azadiya</w:t>
      </w:r>
      <w:proofErr w:type="spellEnd"/>
      <w:r w:rsidRPr="001D77D9" w:rsidR="00BC58BF">
        <w:rPr>
          <w:i w:val="0"/>
          <w:lang w:val="en-GB" w:eastAsia="fr-FR"/>
        </w:rPr>
        <w:t xml:space="preserve"> </w:t>
      </w:r>
      <w:proofErr w:type="spellStart"/>
      <w:r w:rsidRPr="001D77D9" w:rsidR="00BC58BF">
        <w:rPr>
          <w:i w:val="0"/>
          <w:lang w:val="en-GB" w:eastAsia="fr-FR"/>
        </w:rPr>
        <w:t>Welat</w:t>
      </w:r>
      <w:proofErr w:type="spellEnd"/>
      <w:r w:rsidRPr="001D77D9" w:rsidR="00BC58BF">
        <w:rPr>
          <w:lang w:val="en-GB" w:eastAsia="fr-FR"/>
        </w:rPr>
        <w:t xml:space="preserve"> newspaper (application no. </w:t>
      </w:r>
      <w:r w:rsidRPr="001D77D9" w:rsidR="00BC58BF">
        <w:rPr>
          <w:bCs w:val="0"/>
          <w:szCs w:val="26"/>
          <w:lang w:val="en-GB" w:eastAsia="fr-FR"/>
        </w:rPr>
        <w:t>38778/08)</w:t>
      </w:r>
    </w:p>
    <w:p w:rsidRPr="001D77D9" w:rsidR="00F27466" w:rsidP="00F27466" w:rsidRDefault="00F27466">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68</w:t>
      </w:r>
      <w:r w:rsidRPr="001D77D9">
        <w:rPr>
          <w:lang w:val="en-GB" w:eastAsia="fr-FR"/>
        </w:rPr>
        <w:fldChar w:fldCharType="end"/>
      </w:r>
      <w:r w:rsidRPr="001D77D9">
        <w:rPr>
          <w:lang w:val="en-GB" w:eastAsia="fr-FR"/>
        </w:rPr>
        <w:t>.  </w:t>
      </w:r>
      <w:r w:rsidRPr="001D77D9" w:rsidR="00BA4FDB">
        <w:rPr>
          <w:lang w:val="en-GB" w:eastAsia="fr-FR"/>
        </w:rPr>
        <w:t>On</w:t>
      </w:r>
      <w:r w:rsidRPr="001D77D9">
        <w:rPr>
          <w:lang w:val="en-GB" w:eastAsia="fr-FR"/>
        </w:rPr>
        <w:t xml:space="preserve"> 16 </w:t>
      </w:r>
      <w:r w:rsidRPr="001D77D9" w:rsidR="000E07D5">
        <w:rPr>
          <w:lang w:val="en-GB" w:eastAsia="fr-FR"/>
        </w:rPr>
        <w:t>July</w:t>
      </w:r>
      <w:r w:rsidRPr="001D77D9">
        <w:rPr>
          <w:lang w:val="en-GB" w:eastAsia="fr-FR"/>
        </w:rPr>
        <w:t xml:space="preserve"> 2007</w:t>
      </w:r>
      <w:r w:rsidRPr="001D77D9" w:rsidR="00BA4FDB">
        <w:rPr>
          <w:lang w:val="en-GB" w:eastAsia="fr-FR"/>
        </w:rPr>
        <w:t xml:space="preserve"> the </w:t>
      </w:r>
      <w:r w:rsidRPr="001D77D9" w:rsidR="00326DA1">
        <w:rPr>
          <w:lang w:val="en-GB"/>
        </w:rPr>
        <w:t>prison</w:t>
      </w:r>
      <w:r w:rsidRPr="001D77D9" w:rsidR="00BA4FDB">
        <w:rPr>
          <w:lang w:val="en-GB"/>
        </w:rPr>
        <w:t xml:space="preserve"> </w:t>
      </w:r>
      <w:r w:rsidRPr="001D77D9" w:rsidR="00AE07F6">
        <w:rPr>
          <w:lang w:val="en-GB"/>
        </w:rPr>
        <w:t>education board</w:t>
      </w:r>
      <w:r w:rsidRPr="001D77D9" w:rsidR="00BA4FDB">
        <w:rPr>
          <w:lang w:val="en-GB"/>
        </w:rPr>
        <w:t xml:space="preserve"> decided not to deliver the </w:t>
      </w:r>
      <w:r w:rsidRPr="001D77D9" w:rsidR="00BA4FDB">
        <w:rPr>
          <w:lang w:val="en-GB" w:eastAsia="fr-FR"/>
        </w:rPr>
        <w:t xml:space="preserve">9, 10, 11, 12, 13, 14 and 15 July 2007 </w:t>
      </w:r>
      <w:r w:rsidRPr="001D77D9" w:rsidR="004E05A7">
        <w:rPr>
          <w:lang w:val="en-GB"/>
        </w:rPr>
        <w:t>edition</w:t>
      </w:r>
      <w:r w:rsidRPr="001D77D9" w:rsidR="00BA4FDB">
        <w:rPr>
          <w:lang w:val="en-GB"/>
        </w:rPr>
        <w:t xml:space="preserve">s of the </w:t>
      </w:r>
      <w:proofErr w:type="spellStart"/>
      <w:r w:rsidRPr="001D77D9" w:rsidR="00BA4FDB">
        <w:rPr>
          <w:i/>
          <w:lang w:val="en-GB"/>
        </w:rPr>
        <w:t>Azadiya</w:t>
      </w:r>
      <w:proofErr w:type="spellEnd"/>
      <w:r w:rsidRPr="001D77D9" w:rsidR="00BA4FDB">
        <w:rPr>
          <w:i/>
          <w:lang w:val="en-GB"/>
        </w:rPr>
        <w:t xml:space="preserve"> </w:t>
      </w:r>
      <w:proofErr w:type="spellStart"/>
      <w:r w:rsidRPr="001D77D9" w:rsidR="00BA4FDB">
        <w:rPr>
          <w:i/>
          <w:lang w:val="en-GB"/>
        </w:rPr>
        <w:t>Welat</w:t>
      </w:r>
      <w:proofErr w:type="spellEnd"/>
      <w:r w:rsidRPr="001D77D9" w:rsidDel="00692BAE" w:rsidR="00BA4FDB">
        <w:rPr>
          <w:lang w:val="en-GB"/>
        </w:rPr>
        <w:t xml:space="preserve"> </w:t>
      </w:r>
      <w:r w:rsidRPr="001D77D9" w:rsidR="00BA4FDB">
        <w:rPr>
          <w:lang w:val="en-GB"/>
        </w:rPr>
        <w:t xml:space="preserve">daily newspaper to the applicant, </w:t>
      </w:r>
      <w:r w:rsidRPr="001D77D9" w:rsidR="00326DA1">
        <w:rPr>
          <w:lang w:val="en-GB"/>
        </w:rPr>
        <w:t>pursuant to</w:t>
      </w:r>
      <w:r w:rsidRPr="001D77D9" w:rsidR="00BA4FDB">
        <w:rPr>
          <w:lang w:val="en-GB"/>
        </w:rPr>
        <w:t xml:space="preserve"> section 62 § 3 of Law</w:t>
      </w:r>
      <w:r w:rsidR="00934B09">
        <w:rPr>
          <w:lang w:val="en-GB"/>
        </w:rPr>
        <w:t> </w:t>
      </w:r>
      <w:r w:rsidRPr="001D77D9" w:rsidR="00BA4FDB">
        <w:rPr>
          <w:lang w:val="en-GB"/>
        </w:rPr>
        <w:t>No.</w:t>
      </w:r>
      <w:r w:rsidR="00934B09">
        <w:rPr>
          <w:lang w:val="en-GB"/>
        </w:rPr>
        <w:t> </w:t>
      </w:r>
      <w:r w:rsidRPr="001D77D9" w:rsidR="00BA4FDB">
        <w:rPr>
          <w:lang w:val="en-GB"/>
        </w:rPr>
        <w:t>5275, on the grounds that that the publications were in Kurdish and that the prison had no staff who understand that language, making it impossible to secure a translation in order to ascertain whether the content of the newspapers complied with the aforementioned legislative provision</w:t>
      </w:r>
      <w:r w:rsidRPr="001D77D9">
        <w:rPr>
          <w:lang w:val="en-GB" w:eastAsia="fr-FR"/>
        </w:rPr>
        <w:t>.</w:t>
      </w:r>
    </w:p>
    <w:p w:rsidRPr="001D77D9" w:rsidR="00F27466" w:rsidP="00F27466" w:rsidRDefault="00F27466">
      <w:pPr>
        <w:pStyle w:val="ECHRPara"/>
        <w:rPr>
          <w:rFonts w:cstheme="minorHAnsi"/>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69</w:t>
      </w:r>
      <w:r w:rsidRPr="001D77D9">
        <w:rPr>
          <w:lang w:val="en-GB" w:eastAsia="fr-FR"/>
        </w:rPr>
        <w:fldChar w:fldCharType="end"/>
      </w:r>
      <w:r w:rsidRPr="001D77D9">
        <w:rPr>
          <w:lang w:val="en-GB" w:eastAsia="fr-FR"/>
        </w:rPr>
        <w:t>.  </w:t>
      </w:r>
      <w:r w:rsidRPr="001D77D9" w:rsidR="00B57193">
        <w:rPr>
          <w:lang w:val="en-GB" w:eastAsia="fr-FR"/>
        </w:rPr>
        <w:t>On</w:t>
      </w:r>
      <w:r w:rsidRPr="001D77D9">
        <w:rPr>
          <w:lang w:val="en-GB" w:eastAsia="fr-FR"/>
        </w:rPr>
        <w:t xml:space="preserve"> 17 </w:t>
      </w:r>
      <w:r w:rsidRPr="001D77D9" w:rsidR="000E07D5">
        <w:rPr>
          <w:lang w:val="en-GB" w:eastAsia="fr-FR"/>
        </w:rPr>
        <w:t>July</w:t>
      </w:r>
      <w:r w:rsidRPr="001D77D9">
        <w:rPr>
          <w:lang w:val="en-GB" w:eastAsia="fr-FR"/>
        </w:rPr>
        <w:t xml:space="preserve"> 2007</w:t>
      </w:r>
      <w:r w:rsidRPr="001D77D9" w:rsidR="00252EFA">
        <w:rPr>
          <w:lang w:val="en-GB" w:eastAsia="fr-FR"/>
        </w:rPr>
        <w:t xml:space="preserve"> </w:t>
      </w:r>
      <w:r w:rsidRPr="001D77D9" w:rsidR="00B57193">
        <w:rPr>
          <w:lang w:val="en-GB" w:eastAsia="fr-FR"/>
        </w:rPr>
        <w:t>the</w:t>
      </w:r>
      <w:r w:rsidRPr="001D77D9">
        <w:rPr>
          <w:lang w:val="en-GB" w:eastAsia="fr-FR"/>
        </w:rPr>
        <w:t xml:space="preserve"> </w:t>
      </w:r>
      <w:r w:rsidRPr="001D77D9" w:rsidR="00252EFA">
        <w:rPr>
          <w:lang w:val="en-GB" w:eastAsia="fr-FR"/>
        </w:rPr>
        <w:t>applic</w:t>
      </w:r>
      <w:r w:rsidRPr="001D77D9">
        <w:rPr>
          <w:lang w:val="en-GB" w:eastAsia="fr-FR"/>
        </w:rPr>
        <w:t xml:space="preserve">ant </w:t>
      </w:r>
      <w:r w:rsidRPr="001D77D9" w:rsidR="00252EFA">
        <w:rPr>
          <w:lang w:val="en-GB" w:eastAsia="fr-FR"/>
        </w:rPr>
        <w:t>appealed against that</w:t>
      </w:r>
      <w:r w:rsidRPr="001D77D9">
        <w:rPr>
          <w:lang w:val="en-GB" w:eastAsia="fr-FR"/>
        </w:rPr>
        <w:t xml:space="preserve"> </w:t>
      </w:r>
      <w:r w:rsidRPr="001D77D9" w:rsidR="00B57193">
        <w:rPr>
          <w:lang w:val="en-GB" w:eastAsia="fr-FR"/>
        </w:rPr>
        <w:t>decision</w:t>
      </w:r>
      <w:r w:rsidRPr="001D77D9">
        <w:rPr>
          <w:lang w:val="en-GB" w:eastAsia="fr-FR"/>
        </w:rPr>
        <w:t xml:space="preserve">. </w:t>
      </w:r>
      <w:r w:rsidRPr="001D77D9" w:rsidR="00F43297">
        <w:rPr>
          <w:lang w:val="en-GB" w:eastAsia="fr-FR"/>
        </w:rPr>
        <w:t>He sent a</w:t>
      </w:r>
      <w:r w:rsidRPr="001D77D9">
        <w:rPr>
          <w:lang w:val="en-GB" w:eastAsia="fr-FR"/>
        </w:rPr>
        <w:t xml:space="preserve"> </w:t>
      </w:r>
      <w:r w:rsidRPr="001D77D9" w:rsidR="00B57193">
        <w:rPr>
          <w:lang w:val="en-GB" w:eastAsia="fr-FR"/>
        </w:rPr>
        <w:t>letter</w:t>
      </w:r>
      <w:r w:rsidRPr="001D77D9">
        <w:rPr>
          <w:lang w:val="en-GB" w:eastAsia="fr-FR"/>
        </w:rPr>
        <w:t xml:space="preserve"> </w:t>
      </w:r>
      <w:r w:rsidRPr="001D77D9" w:rsidR="00F43297">
        <w:rPr>
          <w:lang w:val="en-GB" w:eastAsia="fr-FR"/>
        </w:rPr>
        <w:t>dated</w:t>
      </w:r>
      <w:r w:rsidRPr="001D77D9">
        <w:rPr>
          <w:lang w:val="en-GB" w:eastAsia="fr-FR"/>
        </w:rPr>
        <w:t xml:space="preserve"> 19 </w:t>
      </w:r>
      <w:r w:rsidRPr="001D77D9" w:rsidR="00B57193">
        <w:rPr>
          <w:lang w:val="en-GB" w:eastAsia="fr-FR"/>
        </w:rPr>
        <w:t>July</w:t>
      </w:r>
      <w:r w:rsidRPr="001D77D9">
        <w:rPr>
          <w:lang w:val="en-GB" w:eastAsia="fr-FR"/>
        </w:rPr>
        <w:t xml:space="preserve"> 2007 </w:t>
      </w:r>
      <w:r w:rsidRPr="001D77D9" w:rsidR="00F43297">
        <w:rPr>
          <w:lang w:val="en-GB" w:eastAsia="fr-FR"/>
        </w:rPr>
        <w:t xml:space="preserve">to the </w:t>
      </w:r>
      <w:proofErr w:type="spellStart"/>
      <w:r w:rsidRPr="001D77D9" w:rsidR="00F43297">
        <w:rPr>
          <w:lang w:val="en-GB" w:eastAsia="fr-FR"/>
        </w:rPr>
        <w:t>Tekirda</w:t>
      </w:r>
      <w:r w:rsidRPr="001D77D9" w:rsidR="00F43297">
        <w:rPr>
          <w:rFonts w:cstheme="minorHAnsi"/>
          <w:lang w:val="en-GB" w:eastAsia="fr-FR"/>
        </w:rPr>
        <w:t>ğ</w:t>
      </w:r>
      <w:proofErr w:type="spellEnd"/>
      <w:r w:rsidRPr="001D77D9" w:rsidR="00F43297">
        <w:rPr>
          <w:lang w:val="en-GB" w:eastAsia="fr-FR"/>
        </w:rPr>
        <w:t xml:space="preserve"> post-sentencing</w:t>
      </w:r>
      <w:r w:rsidRPr="001D77D9">
        <w:rPr>
          <w:lang w:val="en-GB" w:eastAsia="fr-FR"/>
        </w:rPr>
        <w:t xml:space="preserve"> </w:t>
      </w:r>
      <w:r w:rsidRPr="001D77D9" w:rsidR="00B57193">
        <w:rPr>
          <w:lang w:val="en-GB" w:eastAsia="fr-FR"/>
        </w:rPr>
        <w:t>judge</w:t>
      </w:r>
      <w:r w:rsidRPr="001D77D9" w:rsidR="00F43297">
        <w:rPr>
          <w:lang w:val="en-GB" w:eastAsia="fr-FR"/>
        </w:rPr>
        <w:t xml:space="preserve"> stating that the impugned newspaper had </w:t>
      </w:r>
      <w:r w:rsidRPr="001D77D9" w:rsidR="00B57193">
        <w:rPr>
          <w:lang w:val="en-GB" w:eastAsia="fr-FR"/>
        </w:rPr>
        <w:t>not</w:t>
      </w:r>
      <w:r w:rsidRPr="001D77D9" w:rsidR="00F43297">
        <w:rPr>
          <w:lang w:val="en-GB" w:eastAsia="fr-FR"/>
        </w:rPr>
        <w:t xml:space="preserve"> been the subject of any </w:t>
      </w:r>
      <w:r w:rsidRPr="001D77D9" w:rsidR="00B57193">
        <w:rPr>
          <w:rFonts w:cstheme="minorHAnsi"/>
          <w:lang w:val="en-GB" w:eastAsia="fr-FR"/>
        </w:rPr>
        <w:t>seizure</w:t>
      </w:r>
      <w:r w:rsidRPr="001D77D9" w:rsidR="00F43297">
        <w:rPr>
          <w:rFonts w:cstheme="minorHAnsi"/>
          <w:lang w:val="en-GB" w:eastAsia="fr-FR"/>
        </w:rPr>
        <w:t xml:space="preserve"> order</w:t>
      </w:r>
      <w:r w:rsidRPr="001D77D9">
        <w:rPr>
          <w:rFonts w:cstheme="minorHAnsi"/>
          <w:lang w:val="en-GB" w:eastAsia="fr-FR"/>
        </w:rPr>
        <w:t xml:space="preserve">, </w:t>
      </w:r>
      <w:r w:rsidRPr="001D77D9" w:rsidR="00F43297">
        <w:rPr>
          <w:rFonts w:cstheme="minorHAnsi"/>
          <w:lang w:val="en-GB" w:eastAsia="fr-FR"/>
        </w:rPr>
        <w:t xml:space="preserve">and that it was both pointless and unlawful to demand a </w:t>
      </w:r>
      <w:r w:rsidRPr="001D77D9">
        <w:rPr>
          <w:rFonts w:cstheme="minorHAnsi"/>
          <w:lang w:val="en-GB" w:eastAsia="fr-FR"/>
        </w:rPr>
        <w:t>tra</w:t>
      </w:r>
      <w:r w:rsidRPr="001D77D9" w:rsidR="00F43297">
        <w:rPr>
          <w:rFonts w:cstheme="minorHAnsi"/>
          <w:lang w:val="en-GB" w:eastAsia="fr-FR"/>
        </w:rPr>
        <w:t>nsla</w:t>
      </w:r>
      <w:r w:rsidRPr="001D77D9">
        <w:rPr>
          <w:rFonts w:cstheme="minorHAnsi"/>
          <w:lang w:val="en-GB" w:eastAsia="fr-FR"/>
        </w:rPr>
        <w:t xml:space="preserve">tion </w:t>
      </w:r>
      <w:r w:rsidRPr="001D77D9" w:rsidR="00F43297">
        <w:rPr>
          <w:rFonts w:cstheme="minorHAnsi"/>
          <w:lang w:val="en-GB" w:eastAsia="fr-FR"/>
        </w:rPr>
        <w:t>of its</w:t>
      </w:r>
      <w:r w:rsidRPr="001D77D9">
        <w:rPr>
          <w:rFonts w:cstheme="minorHAnsi"/>
          <w:lang w:val="en-GB" w:eastAsia="fr-FR"/>
        </w:rPr>
        <w:t xml:space="preserve"> </w:t>
      </w:r>
      <w:r w:rsidRPr="001D77D9" w:rsidR="00B57193">
        <w:rPr>
          <w:rFonts w:cstheme="minorHAnsi"/>
          <w:lang w:val="en-GB" w:eastAsia="fr-FR"/>
        </w:rPr>
        <w:t>content</w:t>
      </w:r>
      <w:r w:rsidRPr="001D77D9">
        <w:rPr>
          <w:rFonts w:cstheme="minorHAnsi"/>
          <w:lang w:val="en-GB" w:eastAsia="fr-FR"/>
        </w:rPr>
        <w:t xml:space="preserve"> </w:t>
      </w:r>
      <w:r w:rsidRPr="001D77D9" w:rsidR="00F43297">
        <w:rPr>
          <w:rFonts w:cstheme="minorHAnsi"/>
          <w:lang w:val="en-GB" w:eastAsia="fr-FR"/>
        </w:rPr>
        <w:t>when it had already been subject to s</w:t>
      </w:r>
      <w:r w:rsidRPr="001D77D9" w:rsidR="009F0ED4">
        <w:rPr>
          <w:rFonts w:cstheme="minorHAnsi"/>
          <w:lang w:val="en-GB" w:eastAsia="fr-FR"/>
        </w:rPr>
        <w:t>tat</w:t>
      </w:r>
      <w:r w:rsidRPr="001D77D9" w:rsidR="00F43297">
        <w:rPr>
          <w:rFonts w:cstheme="minorHAnsi"/>
          <w:lang w:val="en-GB" w:eastAsia="fr-FR"/>
        </w:rPr>
        <w:t>u</w:t>
      </w:r>
      <w:r w:rsidRPr="001D77D9" w:rsidR="009F0ED4">
        <w:rPr>
          <w:rFonts w:cstheme="minorHAnsi"/>
          <w:lang w:val="en-GB" w:eastAsia="fr-FR"/>
        </w:rPr>
        <w:t>tory review</w:t>
      </w:r>
      <w:r w:rsidRPr="001D77D9">
        <w:rPr>
          <w:rFonts w:cstheme="minorHAnsi"/>
          <w:lang w:val="en-GB" w:eastAsia="fr-FR"/>
        </w:rPr>
        <w:t>.</w:t>
      </w:r>
    </w:p>
    <w:p w:rsidRPr="001D77D9" w:rsidR="00F27466" w:rsidP="00F27466" w:rsidRDefault="00F27466">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70</w:t>
      </w:r>
      <w:r w:rsidRPr="001D77D9">
        <w:rPr>
          <w:lang w:val="en-GB" w:eastAsia="fr-FR"/>
        </w:rPr>
        <w:fldChar w:fldCharType="end"/>
      </w:r>
      <w:r w:rsidRPr="001D77D9">
        <w:rPr>
          <w:lang w:val="en-GB" w:eastAsia="fr-FR"/>
        </w:rPr>
        <w:t>.  </w:t>
      </w:r>
      <w:r w:rsidRPr="001D77D9" w:rsidR="00F721FC">
        <w:rPr>
          <w:lang w:val="en-GB" w:eastAsia="fr-FR"/>
        </w:rPr>
        <w:t>On</w:t>
      </w:r>
      <w:r w:rsidRPr="001D77D9">
        <w:rPr>
          <w:lang w:val="en-GB" w:eastAsia="fr-FR"/>
        </w:rPr>
        <w:t xml:space="preserve"> 23 </w:t>
      </w:r>
      <w:r w:rsidRPr="001D77D9" w:rsidR="00B57193">
        <w:rPr>
          <w:lang w:val="en-GB" w:eastAsia="fr-FR"/>
        </w:rPr>
        <w:t>October</w:t>
      </w:r>
      <w:r w:rsidRPr="001D77D9">
        <w:rPr>
          <w:lang w:val="en-GB" w:eastAsia="fr-FR"/>
        </w:rPr>
        <w:t xml:space="preserve"> 2007, </w:t>
      </w:r>
      <w:r w:rsidRPr="001D77D9" w:rsidR="00852FB5">
        <w:rPr>
          <w:lang w:val="en-GB" w:eastAsia="fr-FR"/>
        </w:rPr>
        <w:t xml:space="preserve">ruling </w:t>
      </w:r>
      <w:r w:rsidRPr="001D77D9" w:rsidR="00F721FC">
        <w:rPr>
          <w:lang w:val="en-GB"/>
        </w:rPr>
        <w:t>on the basis of the ca</w:t>
      </w:r>
      <w:r w:rsidRPr="001D77D9" w:rsidR="00DB63B8">
        <w:rPr>
          <w:lang w:val="en-GB"/>
        </w:rPr>
        <w:t>se fi</w:t>
      </w:r>
      <w:r w:rsidRPr="001D77D9" w:rsidR="00F721FC">
        <w:rPr>
          <w:lang w:val="en-GB"/>
        </w:rPr>
        <w:t xml:space="preserve">le, the </w:t>
      </w:r>
      <w:proofErr w:type="spellStart"/>
      <w:r w:rsidRPr="001D77D9" w:rsidR="00F721FC">
        <w:rPr>
          <w:lang w:val="en-GB"/>
        </w:rPr>
        <w:t>Tekirdağ</w:t>
      </w:r>
      <w:proofErr w:type="spellEnd"/>
      <w:r w:rsidRPr="001D77D9" w:rsidR="00F721FC">
        <w:rPr>
          <w:lang w:val="en-GB"/>
        </w:rPr>
        <w:t xml:space="preserve"> post-sentencing judge dismissed that appeal, finding that the impugned decision</w:t>
      </w:r>
      <w:r w:rsidRPr="001D77D9" w:rsidR="00F721FC">
        <w:rPr>
          <w:lang w:val="en-GB" w:eastAsia="fr-FR"/>
        </w:rPr>
        <w:t xml:space="preserve"> had been unobjectionable in procedural and legal terms</w:t>
      </w:r>
      <w:r w:rsidRPr="001D77D9" w:rsidR="00F721FC">
        <w:rPr>
          <w:lang w:val="en-GB"/>
        </w:rPr>
        <w:t>. He adjudicated in the light of the State Prosecutor</w:t>
      </w:r>
      <w:r w:rsidR="00934B09">
        <w:rPr>
          <w:lang w:val="en-GB"/>
        </w:rPr>
        <w:t>’</w:t>
      </w:r>
      <w:r w:rsidRPr="001D77D9" w:rsidR="00F721FC">
        <w:rPr>
          <w:lang w:val="en-GB"/>
        </w:rPr>
        <w:t>s opinion to the effect that in order to assess the conformity with section 62 § 3 of the relevant law of publications in a language other than the official language, a translation of those publications was required, that there was no legal provision requiring the prison to finance the translation costs, that such expenses had not been covered by the appellant and that the measure adopted by the prison authorities had consequently been justified</w:t>
      </w:r>
      <w:r w:rsidRPr="001D77D9">
        <w:rPr>
          <w:lang w:val="en-GB" w:eastAsia="fr-FR"/>
        </w:rPr>
        <w:t>.</w:t>
      </w:r>
    </w:p>
    <w:p w:rsidRPr="001D77D9" w:rsidR="00F27466" w:rsidP="00F27466" w:rsidRDefault="00F27466">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71</w:t>
      </w:r>
      <w:r w:rsidRPr="001D77D9">
        <w:rPr>
          <w:lang w:val="en-GB" w:eastAsia="fr-FR"/>
        </w:rPr>
        <w:fldChar w:fldCharType="end"/>
      </w:r>
      <w:r w:rsidRPr="001D77D9">
        <w:rPr>
          <w:lang w:val="en-GB" w:eastAsia="fr-FR"/>
        </w:rPr>
        <w:t>.  </w:t>
      </w:r>
      <w:r w:rsidRPr="001D77D9" w:rsidR="007C4B06">
        <w:rPr>
          <w:lang w:val="en-GB" w:eastAsia="fr-FR"/>
        </w:rPr>
        <w:t>On</w:t>
      </w:r>
      <w:r w:rsidRPr="001D77D9">
        <w:rPr>
          <w:lang w:val="en-GB" w:eastAsia="fr-FR"/>
        </w:rPr>
        <w:t xml:space="preserve"> 1 </w:t>
      </w:r>
      <w:r w:rsidRPr="001D77D9" w:rsidR="00B57193">
        <w:rPr>
          <w:lang w:val="en-GB" w:eastAsia="fr-FR"/>
        </w:rPr>
        <w:t>November</w:t>
      </w:r>
      <w:r w:rsidRPr="001D77D9">
        <w:rPr>
          <w:lang w:val="en-GB" w:eastAsia="fr-FR"/>
        </w:rPr>
        <w:t xml:space="preserve"> 2007</w:t>
      </w:r>
      <w:r w:rsidRPr="001D77D9" w:rsidR="007C4B06">
        <w:rPr>
          <w:lang w:val="en-GB" w:eastAsia="fr-FR"/>
        </w:rPr>
        <w:t xml:space="preserve"> </w:t>
      </w:r>
      <w:r w:rsidRPr="001D77D9" w:rsidR="00B57193">
        <w:rPr>
          <w:lang w:val="en-GB" w:eastAsia="fr-FR"/>
        </w:rPr>
        <w:t>the</w:t>
      </w:r>
      <w:r w:rsidRPr="001D77D9">
        <w:rPr>
          <w:lang w:val="en-GB" w:eastAsia="fr-FR"/>
        </w:rPr>
        <w:t xml:space="preserve"> </w:t>
      </w:r>
      <w:r w:rsidRPr="001D77D9" w:rsidR="007C4B06">
        <w:rPr>
          <w:lang w:val="en-GB" w:eastAsia="fr-FR"/>
        </w:rPr>
        <w:t>applic</w:t>
      </w:r>
      <w:r w:rsidRPr="001D77D9">
        <w:rPr>
          <w:lang w:val="en-GB" w:eastAsia="fr-FR"/>
        </w:rPr>
        <w:t xml:space="preserve">ant </w:t>
      </w:r>
      <w:r w:rsidRPr="001D77D9" w:rsidR="007C4B06">
        <w:rPr>
          <w:lang w:val="en-GB" w:eastAsia="fr-FR"/>
        </w:rPr>
        <w:t>appealed against that</w:t>
      </w:r>
      <w:r w:rsidRPr="001D77D9">
        <w:rPr>
          <w:lang w:val="en-GB" w:eastAsia="fr-FR"/>
        </w:rPr>
        <w:t xml:space="preserve"> </w:t>
      </w:r>
      <w:r w:rsidRPr="001D77D9" w:rsidR="00B57193">
        <w:rPr>
          <w:lang w:val="en-GB" w:eastAsia="fr-FR"/>
        </w:rPr>
        <w:t>decision</w:t>
      </w:r>
      <w:r w:rsidRPr="001D77D9">
        <w:rPr>
          <w:lang w:val="en-GB" w:eastAsia="fr-FR"/>
        </w:rPr>
        <w:t xml:space="preserve">, </w:t>
      </w:r>
      <w:r w:rsidRPr="001D77D9" w:rsidR="007C4B06">
        <w:rPr>
          <w:lang w:val="en-GB" w:eastAsia="fr-FR"/>
        </w:rPr>
        <w:t>submitting</w:t>
      </w:r>
      <w:r w:rsidRPr="001D77D9">
        <w:rPr>
          <w:lang w:val="en-GB" w:eastAsia="fr-FR"/>
        </w:rPr>
        <w:t xml:space="preserve">, </w:t>
      </w:r>
      <w:r w:rsidRPr="001D77D9" w:rsidR="007C4B06">
        <w:rPr>
          <w:i/>
          <w:lang w:val="en-GB" w:eastAsia="fr-FR"/>
        </w:rPr>
        <w:t>i</w:t>
      </w:r>
      <w:r w:rsidRPr="001D77D9">
        <w:rPr>
          <w:i/>
          <w:lang w:val="en-GB" w:eastAsia="fr-FR"/>
        </w:rPr>
        <w:t>nt</w:t>
      </w:r>
      <w:r w:rsidRPr="001D77D9" w:rsidR="007C4B06">
        <w:rPr>
          <w:i/>
          <w:lang w:val="en-GB" w:eastAsia="fr-FR"/>
        </w:rPr>
        <w:t>e</w:t>
      </w:r>
      <w:r w:rsidRPr="001D77D9">
        <w:rPr>
          <w:i/>
          <w:lang w:val="en-GB" w:eastAsia="fr-FR"/>
        </w:rPr>
        <w:t>r a</w:t>
      </w:r>
      <w:r w:rsidRPr="001D77D9" w:rsidR="007C4B06">
        <w:rPr>
          <w:i/>
          <w:lang w:val="en-GB" w:eastAsia="fr-FR"/>
        </w:rPr>
        <w:t>lia</w:t>
      </w:r>
      <w:r w:rsidRPr="001D77D9">
        <w:rPr>
          <w:lang w:val="en-GB" w:eastAsia="fr-FR"/>
        </w:rPr>
        <w:t xml:space="preserve">, </w:t>
      </w:r>
      <w:r w:rsidRPr="001D77D9" w:rsidR="007C4B06">
        <w:rPr>
          <w:lang w:val="en-GB" w:eastAsia="fr-FR"/>
        </w:rPr>
        <w:t>that the newspaper</w:t>
      </w:r>
      <w:r w:rsidRPr="001D77D9">
        <w:rPr>
          <w:lang w:val="en-GB" w:eastAsia="fr-FR"/>
        </w:rPr>
        <w:t xml:space="preserve"> </w:t>
      </w:r>
      <w:r w:rsidRPr="001D77D9" w:rsidR="00B57193">
        <w:rPr>
          <w:lang w:val="en-GB" w:eastAsia="fr-FR"/>
        </w:rPr>
        <w:t>in</w:t>
      </w:r>
      <w:r w:rsidRPr="001D77D9">
        <w:rPr>
          <w:lang w:val="en-GB" w:eastAsia="fr-FR"/>
        </w:rPr>
        <w:t xml:space="preserve"> question </w:t>
      </w:r>
      <w:r w:rsidRPr="001D77D9" w:rsidR="007C4B06">
        <w:rPr>
          <w:lang w:val="en-GB" w:eastAsia="fr-FR"/>
        </w:rPr>
        <w:t xml:space="preserve">had been subject to </w:t>
      </w:r>
      <w:r w:rsidRPr="001D77D9" w:rsidR="001F6F1C">
        <w:rPr>
          <w:lang w:val="en-GB" w:eastAsia="fr-FR"/>
        </w:rPr>
        <w:t>review</w:t>
      </w:r>
      <w:r w:rsidRPr="001D77D9" w:rsidR="007C4B06">
        <w:rPr>
          <w:lang w:val="en-GB" w:eastAsia="fr-FR"/>
        </w:rPr>
        <w:t xml:space="preserve"> by the Prosecutor responsible for the press before distribution. The absence of any judicial proceedings or seizure order against it proved that the newspaper did not raise any problems</w:t>
      </w:r>
      <w:r w:rsidRPr="001D77D9">
        <w:rPr>
          <w:lang w:val="en-GB" w:eastAsia="fr-FR"/>
        </w:rPr>
        <w:t>.</w:t>
      </w:r>
    </w:p>
    <w:p w:rsidRPr="001D77D9" w:rsidR="00F27466" w:rsidP="00F27466" w:rsidRDefault="00F27466">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72</w:t>
      </w:r>
      <w:r w:rsidRPr="001D77D9">
        <w:rPr>
          <w:lang w:val="en-GB" w:eastAsia="fr-FR"/>
        </w:rPr>
        <w:fldChar w:fldCharType="end"/>
      </w:r>
      <w:r w:rsidRPr="001D77D9">
        <w:rPr>
          <w:lang w:val="en-GB" w:eastAsia="fr-FR"/>
        </w:rPr>
        <w:t>.  </w:t>
      </w:r>
      <w:r w:rsidRPr="001D77D9" w:rsidR="007C4B06">
        <w:rPr>
          <w:lang w:val="en-GB" w:eastAsia="fr-FR"/>
        </w:rPr>
        <w:t>On</w:t>
      </w:r>
      <w:r w:rsidRPr="001D77D9">
        <w:rPr>
          <w:lang w:val="en-GB" w:eastAsia="fr-FR"/>
        </w:rPr>
        <w:t xml:space="preserve"> 8 </w:t>
      </w:r>
      <w:r w:rsidRPr="001D77D9" w:rsidR="00B57193">
        <w:rPr>
          <w:lang w:val="en-GB" w:eastAsia="fr-FR"/>
        </w:rPr>
        <w:t>November</w:t>
      </w:r>
      <w:r w:rsidRPr="001D77D9">
        <w:rPr>
          <w:lang w:val="en-GB" w:eastAsia="fr-FR"/>
        </w:rPr>
        <w:t xml:space="preserve"> 2007 </w:t>
      </w:r>
      <w:r w:rsidRPr="001D77D9" w:rsidR="007C4B06">
        <w:rPr>
          <w:lang w:val="en-GB" w:eastAsia="fr-FR"/>
        </w:rPr>
        <w:t>the</w:t>
      </w:r>
      <w:r w:rsidRPr="001D77D9" w:rsidR="007C4B06">
        <w:rPr>
          <w:lang w:val="en-GB"/>
        </w:rPr>
        <w:t xml:space="preserve"> </w:t>
      </w:r>
      <w:proofErr w:type="spellStart"/>
      <w:r w:rsidRPr="001D77D9" w:rsidR="007C4B06">
        <w:rPr>
          <w:lang w:val="en-GB"/>
        </w:rPr>
        <w:t>Tekirdağ</w:t>
      </w:r>
      <w:proofErr w:type="spellEnd"/>
      <w:r w:rsidRPr="001D77D9" w:rsidR="007C4B06">
        <w:rPr>
          <w:lang w:val="en-GB"/>
        </w:rPr>
        <w:t xml:space="preserve"> Assize Court, </w:t>
      </w:r>
      <w:r w:rsidRPr="001D77D9" w:rsidR="00852FB5">
        <w:rPr>
          <w:lang w:val="en-GB"/>
        </w:rPr>
        <w:t xml:space="preserve">ruling </w:t>
      </w:r>
      <w:r w:rsidRPr="001D77D9" w:rsidR="007C4B06">
        <w:rPr>
          <w:lang w:val="en-GB"/>
        </w:rPr>
        <w:t>on the basis of the case file and having taken cognisance of the State Prosecutor</w:t>
      </w:r>
      <w:r w:rsidR="00934B09">
        <w:rPr>
          <w:lang w:val="en-GB"/>
        </w:rPr>
        <w:t>’</w:t>
      </w:r>
      <w:r w:rsidRPr="001D77D9" w:rsidR="007C4B06">
        <w:rPr>
          <w:lang w:val="en-GB"/>
        </w:rPr>
        <w:t xml:space="preserve">s opinion, </w:t>
      </w:r>
      <w:r w:rsidRPr="001D77D9" w:rsidR="007C4B06">
        <w:rPr>
          <w:lang w:val="en-GB" w:eastAsia="fr-FR"/>
        </w:rPr>
        <w:t>found that the impugned decision had been unobjectionable in procedural and legal terms</w:t>
      </w:r>
      <w:r w:rsidRPr="001D77D9" w:rsidR="007C4B06">
        <w:rPr>
          <w:lang w:val="en-GB"/>
        </w:rPr>
        <w:t xml:space="preserve"> and dismissed the latter appeal</w:t>
      </w:r>
      <w:r w:rsidRPr="001D77D9">
        <w:rPr>
          <w:lang w:val="en-GB" w:eastAsia="fr-FR"/>
        </w:rPr>
        <w:t>.</w:t>
      </w:r>
    </w:p>
    <w:p w:rsidRPr="001D77D9" w:rsidR="005924E7" w:rsidP="00F27466" w:rsidRDefault="00F27466">
      <w:pPr>
        <w:pStyle w:val="ECHRHeading3"/>
        <w:rPr>
          <w:bCs w:val="0"/>
          <w:szCs w:val="26"/>
          <w:lang w:val="en-GB" w:eastAsia="fr-FR"/>
        </w:rPr>
      </w:pPr>
      <w:r w:rsidRPr="001D77D9">
        <w:rPr>
          <w:lang w:val="en-GB" w:eastAsia="fr-FR"/>
        </w:rPr>
        <w:t>3.  </w:t>
      </w:r>
      <w:r w:rsidRPr="001D77D9" w:rsidR="005924E7">
        <w:rPr>
          <w:lang w:val="en-GB" w:eastAsia="fr-FR"/>
        </w:rPr>
        <w:t xml:space="preserve">Proceedings relating to the failure to deliver the 27 </w:t>
      </w:r>
      <w:r w:rsidRPr="001D77D9" w:rsidR="00B57193">
        <w:rPr>
          <w:lang w:val="en-GB" w:eastAsia="fr-FR"/>
        </w:rPr>
        <w:t>August</w:t>
      </w:r>
      <w:r w:rsidRPr="001D77D9" w:rsidR="005924E7">
        <w:rPr>
          <w:lang w:val="en-GB" w:eastAsia="fr-FR"/>
        </w:rPr>
        <w:t xml:space="preserve"> to 2</w:t>
      </w:r>
      <w:r w:rsidR="00934B09">
        <w:rPr>
          <w:lang w:val="en-GB" w:eastAsia="fr-FR"/>
        </w:rPr>
        <w:t> </w:t>
      </w:r>
      <w:r w:rsidRPr="001D77D9" w:rsidR="00B57193">
        <w:rPr>
          <w:lang w:val="en-GB" w:eastAsia="fr-FR"/>
        </w:rPr>
        <w:t>September</w:t>
      </w:r>
      <w:r w:rsidRPr="001D77D9" w:rsidR="005924E7">
        <w:rPr>
          <w:lang w:val="en-GB" w:eastAsia="fr-FR"/>
        </w:rPr>
        <w:t xml:space="preserve"> 2007 </w:t>
      </w:r>
      <w:r w:rsidRPr="001D77D9" w:rsidR="004E05A7">
        <w:rPr>
          <w:lang w:val="en-GB" w:eastAsia="fr-FR"/>
        </w:rPr>
        <w:t>edition</w:t>
      </w:r>
      <w:r w:rsidRPr="001D77D9" w:rsidR="005924E7">
        <w:rPr>
          <w:lang w:val="en-GB" w:eastAsia="fr-FR"/>
        </w:rPr>
        <w:t xml:space="preserve">s of the </w:t>
      </w:r>
      <w:proofErr w:type="spellStart"/>
      <w:r w:rsidRPr="001D77D9" w:rsidR="005924E7">
        <w:rPr>
          <w:i w:val="0"/>
          <w:lang w:val="en-GB" w:eastAsia="fr-FR"/>
        </w:rPr>
        <w:t>Azadiya</w:t>
      </w:r>
      <w:proofErr w:type="spellEnd"/>
      <w:r w:rsidRPr="001D77D9" w:rsidR="005924E7">
        <w:rPr>
          <w:i w:val="0"/>
          <w:lang w:val="en-GB" w:eastAsia="fr-FR"/>
        </w:rPr>
        <w:t xml:space="preserve"> </w:t>
      </w:r>
      <w:proofErr w:type="spellStart"/>
      <w:r w:rsidRPr="001D77D9" w:rsidR="005924E7">
        <w:rPr>
          <w:i w:val="0"/>
          <w:lang w:val="en-GB" w:eastAsia="fr-FR"/>
        </w:rPr>
        <w:t>Welat</w:t>
      </w:r>
      <w:proofErr w:type="spellEnd"/>
      <w:r w:rsidRPr="001D77D9" w:rsidR="005924E7">
        <w:rPr>
          <w:lang w:val="en-GB" w:eastAsia="fr-FR"/>
        </w:rPr>
        <w:t xml:space="preserve"> newspaper (application no. </w:t>
      </w:r>
      <w:r w:rsidRPr="001D77D9" w:rsidR="005924E7">
        <w:rPr>
          <w:bCs w:val="0"/>
          <w:szCs w:val="26"/>
          <w:lang w:val="en-GB" w:eastAsia="fr-FR"/>
        </w:rPr>
        <w:t>38807/08)</w:t>
      </w:r>
    </w:p>
    <w:p w:rsidRPr="001D77D9" w:rsidR="00F27466" w:rsidP="008405D0" w:rsidRDefault="00F27466">
      <w:pPr>
        <w:pStyle w:val="ECHRPara"/>
        <w:rPr>
          <w:lang w:val="en-GB"/>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73</w:t>
      </w:r>
      <w:r w:rsidRPr="001D77D9">
        <w:rPr>
          <w:lang w:val="en-GB" w:eastAsia="fr-FR"/>
        </w:rPr>
        <w:fldChar w:fldCharType="end"/>
      </w:r>
      <w:r w:rsidRPr="001D77D9">
        <w:rPr>
          <w:lang w:val="en-GB" w:eastAsia="fr-FR"/>
        </w:rPr>
        <w:t>.  </w:t>
      </w:r>
      <w:r w:rsidRPr="001D77D9" w:rsidR="008405D0">
        <w:rPr>
          <w:lang w:val="en-GB" w:eastAsia="fr-FR"/>
        </w:rPr>
        <w:t>On</w:t>
      </w:r>
      <w:r w:rsidRPr="001D77D9">
        <w:rPr>
          <w:lang w:val="en-GB" w:eastAsia="fr-FR"/>
        </w:rPr>
        <w:t xml:space="preserve"> 4 </w:t>
      </w:r>
      <w:r w:rsidRPr="001D77D9" w:rsidR="00B57193">
        <w:rPr>
          <w:lang w:val="en-GB" w:eastAsia="fr-FR"/>
        </w:rPr>
        <w:t>September</w:t>
      </w:r>
      <w:r w:rsidRPr="001D77D9">
        <w:rPr>
          <w:lang w:val="en-GB" w:eastAsia="fr-FR"/>
        </w:rPr>
        <w:t xml:space="preserve"> 2007</w:t>
      </w:r>
      <w:r w:rsidRPr="001D77D9" w:rsidR="008405D0">
        <w:rPr>
          <w:lang w:val="en-GB" w:eastAsia="fr-FR"/>
        </w:rPr>
        <w:t xml:space="preserve">the </w:t>
      </w:r>
      <w:r w:rsidRPr="001D77D9" w:rsidR="00AE07F6">
        <w:rPr>
          <w:lang w:val="en-GB"/>
        </w:rPr>
        <w:t>prison</w:t>
      </w:r>
      <w:r w:rsidRPr="001D77D9" w:rsidR="008405D0">
        <w:rPr>
          <w:lang w:val="en-GB"/>
        </w:rPr>
        <w:t xml:space="preserve"> </w:t>
      </w:r>
      <w:r w:rsidRPr="001D77D9" w:rsidR="00AE07F6">
        <w:rPr>
          <w:lang w:val="en-GB"/>
        </w:rPr>
        <w:t>education board</w:t>
      </w:r>
      <w:r w:rsidRPr="001D77D9" w:rsidR="008405D0">
        <w:rPr>
          <w:lang w:val="en-GB"/>
        </w:rPr>
        <w:t xml:space="preserve"> decided not to deliver the </w:t>
      </w:r>
      <w:r w:rsidRPr="001D77D9" w:rsidR="00660265">
        <w:rPr>
          <w:lang w:val="en-GB" w:eastAsia="fr-FR"/>
        </w:rPr>
        <w:t xml:space="preserve">27, 28, 29, 30 and 31 </w:t>
      </w:r>
      <w:r w:rsidRPr="001D77D9" w:rsidR="000133BA">
        <w:rPr>
          <w:lang w:val="en-GB" w:eastAsia="fr-FR"/>
        </w:rPr>
        <w:t>August</w:t>
      </w:r>
      <w:r w:rsidRPr="001D77D9" w:rsidR="00660265">
        <w:rPr>
          <w:lang w:val="en-GB" w:eastAsia="fr-FR"/>
        </w:rPr>
        <w:t xml:space="preserve"> and 1 and 2 </w:t>
      </w:r>
      <w:r w:rsidRPr="001D77D9" w:rsidR="000133BA">
        <w:rPr>
          <w:lang w:val="en-GB" w:eastAsia="fr-FR"/>
        </w:rPr>
        <w:t>September</w:t>
      </w:r>
      <w:r w:rsidRPr="001D77D9" w:rsidR="00660265">
        <w:rPr>
          <w:lang w:val="en-GB" w:eastAsia="fr-FR"/>
        </w:rPr>
        <w:t xml:space="preserve"> 2007 </w:t>
      </w:r>
      <w:r w:rsidRPr="001D77D9" w:rsidR="004E05A7">
        <w:rPr>
          <w:lang w:val="en-GB"/>
        </w:rPr>
        <w:t>edition</w:t>
      </w:r>
      <w:r w:rsidRPr="001D77D9" w:rsidR="008405D0">
        <w:rPr>
          <w:lang w:val="en-GB"/>
        </w:rPr>
        <w:t xml:space="preserve">s of the </w:t>
      </w:r>
      <w:proofErr w:type="spellStart"/>
      <w:r w:rsidRPr="001D77D9" w:rsidR="008405D0">
        <w:rPr>
          <w:i/>
          <w:lang w:val="en-GB"/>
        </w:rPr>
        <w:t>Azadiya</w:t>
      </w:r>
      <w:proofErr w:type="spellEnd"/>
      <w:r w:rsidRPr="001D77D9" w:rsidR="008405D0">
        <w:rPr>
          <w:i/>
          <w:lang w:val="en-GB"/>
        </w:rPr>
        <w:t xml:space="preserve"> </w:t>
      </w:r>
      <w:proofErr w:type="spellStart"/>
      <w:r w:rsidRPr="001D77D9" w:rsidR="008405D0">
        <w:rPr>
          <w:i/>
          <w:lang w:val="en-GB"/>
        </w:rPr>
        <w:t>Welat</w:t>
      </w:r>
      <w:proofErr w:type="spellEnd"/>
      <w:r w:rsidRPr="001D77D9" w:rsidDel="00692BAE" w:rsidR="008405D0">
        <w:rPr>
          <w:lang w:val="en-GB"/>
        </w:rPr>
        <w:t xml:space="preserve"> </w:t>
      </w:r>
      <w:r w:rsidRPr="001D77D9" w:rsidR="008405D0">
        <w:rPr>
          <w:lang w:val="en-GB"/>
        </w:rPr>
        <w:t xml:space="preserve">daily newspaper to the applicant, </w:t>
      </w:r>
      <w:r w:rsidRPr="001D77D9" w:rsidR="006B2031">
        <w:rPr>
          <w:lang w:val="en-GB"/>
        </w:rPr>
        <w:t>pursuant to</w:t>
      </w:r>
      <w:r w:rsidRPr="001D77D9" w:rsidR="008405D0">
        <w:rPr>
          <w:lang w:val="en-GB"/>
        </w:rPr>
        <w:t xml:space="preserve"> section 62 § 3 of Law No. 5275, on the grounds that that the publications were in Kurdish and that the prison had no staff who understand that language, making it impossible to secure a translation in order to ascertain whether the content of the newspapers complied with the aforementioned legislative provision</w:t>
      </w:r>
      <w:r w:rsidRPr="001D77D9">
        <w:rPr>
          <w:lang w:val="en-GB" w:eastAsia="fr-FR"/>
        </w:rPr>
        <w:t>.</w:t>
      </w:r>
    </w:p>
    <w:p w:rsidRPr="001D77D9" w:rsidR="00F27466" w:rsidP="00F27466" w:rsidRDefault="00F27466">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74</w:t>
      </w:r>
      <w:r w:rsidRPr="001D77D9">
        <w:rPr>
          <w:lang w:val="en-GB" w:eastAsia="fr-FR"/>
        </w:rPr>
        <w:fldChar w:fldCharType="end"/>
      </w:r>
      <w:r w:rsidRPr="001D77D9">
        <w:rPr>
          <w:lang w:val="en-GB" w:eastAsia="fr-FR"/>
        </w:rPr>
        <w:t>.  </w:t>
      </w:r>
      <w:r w:rsidRPr="001D77D9" w:rsidR="004E0501">
        <w:rPr>
          <w:lang w:val="en-GB" w:eastAsia="fr-FR"/>
        </w:rPr>
        <w:t>Th</w:t>
      </w:r>
      <w:r w:rsidRPr="001D77D9">
        <w:rPr>
          <w:lang w:val="en-GB" w:eastAsia="fr-FR"/>
        </w:rPr>
        <w:t>e</w:t>
      </w:r>
      <w:r w:rsidRPr="001D77D9" w:rsidR="004E0501">
        <w:rPr>
          <w:lang w:val="en-GB" w:eastAsia="fr-FR"/>
        </w:rPr>
        <w:t xml:space="preserve"> applic</w:t>
      </w:r>
      <w:r w:rsidRPr="001D77D9">
        <w:rPr>
          <w:lang w:val="en-GB" w:eastAsia="fr-FR"/>
        </w:rPr>
        <w:t xml:space="preserve">ant </w:t>
      </w:r>
      <w:r w:rsidRPr="001D77D9" w:rsidR="004E0501">
        <w:rPr>
          <w:lang w:val="en-GB" w:eastAsia="fr-FR"/>
        </w:rPr>
        <w:t>appealed against that</w:t>
      </w:r>
      <w:r w:rsidRPr="001D77D9">
        <w:rPr>
          <w:lang w:val="en-GB" w:eastAsia="fr-FR"/>
        </w:rPr>
        <w:t xml:space="preserve"> </w:t>
      </w:r>
      <w:r w:rsidRPr="001D77D9" w:rsidR="000133BA">
        <w:rPr>
          <w:lang w:val="en-GB" w:eastAsia="fr-FR"/>
        </w:rPr>
        <w:t>decision</w:t>
      </w:r>
      <w:r w:rsidRPr="001D77D9">
        <w:rPr>
          <w:lang w:val="en-GB" w:eastAsia="fr-FR"/>
        </w:rPr>
        <w:t>.</w:t>
      </w:r>
    </w:p>
    <w:p w:rsidRPr="001D77D9" w:rsidR="00F27466" w:rsidP="00F27466" w:rsidRDefault="00F27466">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75</w:t>
      </w:r>
      <w:r w:rsidRPr="001D77D9">
        <w:rPr>
          <w:lang w:val="en-GB" w:eastAsia="fr-FR"/>
        </w:rPr>
        <w:fldChar w:fldCharType="end"/>
      </w:r>
      <w:r w:rsidRPr="001D77D9">
        <w:rPr>
          <w:lang w:val="en-GB" w:eastAsia="fr-FR"/>
        </w:rPr>
        <w:t>.  </w:t>
      </w:r>
      <w:r w:rsidRPr="001D77D9" w:rsidR="004E0501">
        <w:rPr>
          <w:lang w:val="en-GB" w:eastAsia="fr-FR"/>
        </w:rPr>
        <w:t>On</w:t>
      </w:r>
      <w:r w:rsidRPr="001D77D9">
        <w:rPr>
          <w:lang w:val="en-GB" w:eastAsia="fr-FR"/>
        </w:rPr>
        <w:t xml:space="preserve"> 5 </w:t>
      </w:r>
      <w:r w:rsidRPr="001D77D9" w:rsidR="000133BA">
        <w:rPr>
          <w:lang w:val="en-GB" w:eastAsia="fr-FR"/>
        </w:rPr>
        <w:t>November</w:t>
      </w:r>
      <w:r w:rsidRPr="001D77D9">
        <w:rPr>
          <w:lang w:val="en-GB" w:eastAsia="fr-FR"/>
        </w:rPr>
        <w:t xml:space="preserve"> 2007</w:t>
      </w:r>
      <w:r w:rsidRPr="001D77D9" w:rsidR="00852FB5">
        <w:rPr>
          <w:lang w:val="en-GB" w:eastAsia="fr-FR"/>
        </w:rPr>
        <w:t>, ruling</w:t>
      </w:r>
      <w:r w:rsidRPr="001D77D9">
        <w:rPr>
          <w:lang w:val="en-GB" w:eastAsia="fr-FR"/>
        </w:rPr>
        <w:t xml:space="preserve"> </w:t>
      </w:r>
      <w:r w:rsidRPr="001D77D9" w:rsidR="004E0501">
        <w:rPr>
          <w:lang w:val="en-GB"/>
        </w:rPr>
        <w:t>on the basis of the ca</w:t>
      </w:r>
      <w:r w:rsidRPr="001D77D9" w:rsidR="00DB63B8">
        <w:rPr>
          <w:lang w:val="en-GB"/>
        </w:rPr>
        <w:t>se fi</w:t>
      </w:r>
      <w:r w:rsidRPr="001D77D9" w:rsidR="004E0501">
        <w:rPr>
          <w:lang w:val="en-GB"/>
        </w:rPr>
        <w:t xml:space="preserve">le, the </w:t>
      </w:r>
      <w:proofErr w:type="spellStart"/>
      <w:r w:rsidRPr="001D77D9" w:rsidR="004E0501">
        <w:rPr>
          <w:lang w:val="en-GB"/>
        </w:rPr>
        <w:t>Tekirdağ</w:t>
      </w:r>
      <w:proofErr w:type="spellEnd"/>
      <w:r w:rsidRPr="001D77D9" w:rsidR="004E0501">
        <w:rPr>
          <w:lang w:val="en-GB"/>
        </w:rPr>
        <w:t xml:space="preserve"> post-sentencing judge dismissed that appeal, finding that the impugned decision</w:t>
      </w:r>
      <w:r w:rsidRPr="001D77D9" w:rsidR="004E0501">
        <w:rPr>
          <w:lang w:val="en-GB" w:eastAsia="fr-FR"/>
        </w:rPr>
        <w:t xml:space="preserve"> had been unobjectionable in procedural and legal terms</w:t>
      </w:r>
      <w:r w:rsidRPr="001D77D9" w:rsidR="004E0501">
        <w:rPr>
          <w:lang w:val="en-GB"/>
        </w:rPr>
        <w:t>. He adjudicated in the light of the State Prosecutor</w:t>
      </w:r>
      <w:r w:rsidR="00934B09">
        <w:rPr>
          <w:lang w:val="en-GB"/>
        </w:rPr>
        <w:t>’</w:t>
      </w:r>
      <w:r w:rsidRPr="001D77D9" w:rsidR="004E0501">
        <w:rPr>
          <w:lang w:val="en-GB"/>
        </w:rPr>
        <w:t>s opinion to the effect that in order to assess the conformity with section 62 § 3 of the Law</w:t>
      </w:r>
      <w:r w:rsidR="00934B09">
        <w:rPr>
          <w:lang w:val="en-GB"/>
        </w:rPr>
        <w:t> </w:t>
      </w:r>
      <w:r w:rsidRPr="001D77D9" w:rsidR="004E0501">
        <w:rPr>
          <w:lang w:val="en-GB" w:eastAsia="fr-FR"/>
        </w:rPr>
        <w:t>no.</w:t>
      </w:r>
      <w:r w:rsidR="00934B09">
        <w:rPr>
          <w:lang w:val="en-GB" w:eastAsia="fr-FR"/>
        </w:rPr>
        <w:t> </w:t>
      </w:r>
      <w:r w:rsidRPr="001D77D9" w:rsidR="004E0501">
        <w:rPr>
          <w:lang w:val="en-GB" w:eastAsia="fr-FR"/>
        </w:rPr>
        <w:t xml:space="preserve">5275 </w:t>
      </w:r>
      <w:r w:rsidRPr="001D77D9" w:rsidR="004E0501">
        <w:rPr>
          <w:lang w:val="en-GB"/>
        </w:rPr>
        <w:t xml:space="preserve">of publications in a language other than the official language, a translation of those publications was required, that the prison authorities had no budget for that purpose, that there was no legal provision requiring the prison to finance the translation costs, that such expenses had not been covered by the appellant and that the </w:t>
      </w:r>
      <w:r w:rsidRPr="001D77D9" w:rsidR="00AE07F6">
        <w:rPr>
          <w:lang w:val="en-GB"/>
        </w:rPr>
        <w:t>education board</w:t>
      </w:r>
      <w:r w:rsidR="00934B09">
        <w:rPr>
          <w:lang w:val="en-GB"/>
        </w:rPr>
        <w:t>’</w:t>
      </w:r>
      <w:r w:rsidRPr="001D77D9" w:rsidR="004E0501">
        <w:rPr>
          <w:lang w:val="en-GB"/>
        </w:rPr>
        <w:t>s decision had consequently been justified</w:t>
      </w:r>
      <w:r w:rsidRPr="001D77D9">
        <w:rPr>
          <w:lang w:val="en-GB" w:eastAsia="fr-FR"/>
        </w:rPr>
        <w:t>.</w:t>
      </w:r>
    </w:p>
    <w:p w:rsidRPr="001D77D9" w:rsidR="00F27466" w:rsidP="00F27466" w:rsidRDefault="00F27466">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76</w:t>
      </w:r>
      <w:r w:rsidRPr="001D77D9">
        <w:rPr>
          <w:lang w:val="en-GB" w:eastAsia="fr-FR"/>
        </w:rPr>
        <w:fldChar w:fldCharType="end"/>
      </w:r>
      <w:r w:rsidRPr="001D77D9">
        <w:rPr>
          <w:lang w:val="en-GB" w:eastAsia="fr-FR"/>
        </w:rPr>
        <w:t>.  </w:t>
      </w:r>
      <w:r w:rsidRPr="001D77D9" w:rsidR="00B832AD">
        <w:rPr>
          <w:lang w:val="en-GB" w:eastAsia="fr-FR"/>
        </w:rPr>
        <w:t>On</w:t>
      </w:r>
      <w:r w:rsidRPr="001D77D9">
        <w:rPr>
          <w:lang w:val="en-GB" w:eastAsia="fr-FR"/>
        </w:rPr>
        <w:t xml:space="preserve"> 12 </w:t>
      </w:r>
      <w:r w:rsidRPr="001D77D9" w:rsidR="000133BA">
        <w:rPr>
          <w:lang w:val="en-GB" w:eastAsia="fr-FR"/>
        </w:rPr>
        <w:t>November</w:t>
      </w:r>
      <w:r w:rsidRPr="001D77D9">
        <w:rPr>
          <w:lang w:val="en-GB" w:eastAsia="fr-FR"/>
        </w:rPr>
        <w:t xml:space="preserve"> 2007</w:t>
      </w:r>
      <w:r w:rsidRPr="001D77D9" w:rsidR="00B832AD">
        <w:rPr>
          <w:lang w:val="en-GB" w:eastAsia="fr-FR"/>
        </w:rPr>
        <w:t xml:space="preserve"> </w:t>
      </w:r>
      <w:r w:rsidRPr="001D77D9" w:rsidR="000133BA">
        <w:rPr>
          <w:lang w:val="en-GB" w:eastAsia="fr-FR"/>
        </w:rPr>
        <w:t>the</w:t>
      </w:r>
      <w:r w:rsidRPr="001D77D9">
        <w:rPr>
          <w:lang w:val="en-GB" w:eastAsia="fr-FR"/>
        </w:rPr>
        <w:t xml:space="preserve"> </w:t>
      </w:r>
      <w:r w:rsidRPr="001D77D9" w:rsidR="00B832AD">
        <w:rPr>
          <w:lang w:val="en-GB" w:eastAsia="fr-FR"/>
        </w:rPr>
        <w:t>applic</w:t>
      </w:r>
      <w:r w:rsidRPr="001D77D9">
        <w:rPr>
          <w:lang w:val="en-GB" w:eastAsia="fr-FR"/>
        </w:rPr>
        <w:t xml:space="preserve">ant </w:t>
      </w:r>
      <w:r w:rsidRPr="001D77D9" w:rsidR="00B832AD">
        <w:rPr>
          <w:lang w:val="en-GB" w:eastAsia="fr-FR"/>
        </w:rPr>
        <w:t>appealed against the post</w:t>
      </w:r>
      <w:r w:rsidR="00934B09">
        <w:rPr>
          <w:lang w:val="en-GB" w:eastAsia="fr-FR"/>
        </w:rPr>
        <w:noBreakHyphen/>
      </w:r>
      <w:r w:rsidRPr="001D77D9" w:rsidR="00B832AD">
        <w:rPr>
          <w:lang w:val="en-GB" w:eastAsia="fr-FR"/>
        </w:rPr>
        <w:t>sentencing judge</w:t>
      </w:r>
      <w:r w:rsidR="00934B09">
        <w:rPr>
          <w:lang w:val="en-GB" w:eastAsia="fr-FR"/>
        </w:rPr>
        <w:t>’</w:t>
      </w:r>
      <w:r w:rsidRPr="001D77D9" w:rsidR="00B832AD">
        <w:rPr>
          <w:lang w:val="en-GB" w:eastAsia="fr-FR"/>
        </w:rPr>
        <w:t>s</w:t>
      </w:r>
      <w:r w:rsidRPr="001D77D9">
        <w:rPr>
          <w:lang w:val="en-GB" w:eastAsia="fr-FR"/>
        </w:rPr>
        <w:t xml:space="preserve"> </w:t>
      </w:r>
      <w:r w:rsidRPr="001D77D9" w:rsidR="000133BA">
        <w:rPr>
          <w:lang w:val="en-GB" w:eastAsia="fr-FR"/>
        </w:rPr>
        <w:t>decision</w:t>
      </w:r>
      <w:r w:rsidRPr="001D77D9">
        <w:rPr>
          <w:lang w:val="en-GB" w:eastAsia="fr-FR"/>
        </w:rPr>
        <w:t xml:space="preserve">. </w:t>
      </w:r>
      <w:r w:rsidRPr="001D77D9" w:rsidR="000133BA">
        <w:rPr>
          <w:lang w:val="en-GB" w:eastAsia="fr-FR"/>
        </w:rPr>
        <w:t xml:space="preserve">He submitted, </w:t>
      </w:r>
      <w:r w:rsidRPr="001D77D9" w:rsidR="000133BA">
        <w:rPr>
          <w:i/>
          <w:lang w:val="en-GB" w:eastAsia="fr-FR"/>
        </w:rPr>
        <w:t>inter alia</w:t>
      </w:r>
      <w:r w:rsidRPr="001D77D9" w:rsidR="000133BA">
        <w:rPr>
          <w:lang w:val="en-GB" w:eastAsia="fr-FR"/>
        </w:rPr>
        <w:t>, that the newspaper in question had been published</w:t>
      </w:r>
      <w:r w:rsidRPr="001D77D9" w:rsidR="000133BA">
        <w:rPr>
          <w:color w:val="000000"/>
          <w:lang w:val="en-GB"/>
        </w:rPr>
        <w:t xml:space="preserve"> in accordance with a procedure prescribed by law and</w:t>
      </w:r>
      <w:r w:rsidRPr="001D77D9" w:rsidR="000133BA">
        <w:rPr>
          <w:lang w:val="en-GB" w:eastAsia="fr-FR"/>
        </w:rPr>
        <w:t xml:space="preserve"> that if the newspaper had been in an unlawful situation the Prosecutor responsible for the press would have taken the necessary action. </w:t>
      </w:r>
      <w:r w:rsidRPr="001D77D9" w:rsidR="00FD4F89">
        <w:rPr>
          <w:lang w:val="en-GB" w:eastAsia="fr-FR"/>
        </w:rPr>
        <w:t xml:space="preserve">The applicant submitted that the newspaper had </w:t>
      </w:r>
      <w:r w:rsidRPr="001D77D9" w:rsidR="000133BA">
        <w:rPr>
          <w:lang w:val="en-GB" w:eastAsia="fr-FR"/>
        </w:rPr>
        <w:t>not</w:t>
      </w:r>
      <w:r w:rsidRPr="001D77D9" w:rsidR="00FD4F89">
        <w:rPr>
          <w:lang w:val="en-GB" w:eastAsia="fr-FR"/>
        </w:rPr>
        <w:t xml:space="preserve"> been the </w:t>
      </w:r>
      <w:r w:rsidRPr="001D77D9" w:rsidR="000133BA">
        <w:rPr>
          <w:lang w:val="en-GB" w:eastAsia="fr-FR"/>
        </w:rPr>
        <w:t>subject</w:t>
      </w:r>
      <w:r w:rsidRPr="001D77D9">
        <w:rPr>
          <w:lang w:val="en-GB" w:eastAsia="fr-FR"/>
        </w:rPr>
        <w:t xml:space="preserve"> </w:t>
      </w:r>
      <w:r w:rsidRPr="001D77D9" w:rsidR="00FD4F89">
        <w:rPr>
          <w:lang w:val="en-GB" w:eastAsia="fr-FR"/>
        </w:rPr>
        <w:t>of any ban or</w:t>
      </w:r>
      <w:r w:rsidRPr="001D77D9">
        <w:rPr>
          <w:lang w:val="en-GB" w:eastAsia="fr-FR"/>
        </w:rPr>
        <w:t xml:space="preserve"> </w:t>
      </w:r>
      <w:r w:rsidRPr="001D77D9" w:rsidR="00FD4F89">
        <w:rPr>
          <w:lang w:val="en-GB" w:eastAsia="fr-FR"/>
        </w:rPr>
        <w:t>seizure order</w:t>
      </w:r>
      <w:r w:rsidRPr="001D77D9">
        <w:rPr>
          <w:lang w:val="en-GB" w:eastAsia="fr-FR"/>
        </w:rPr>
        <w:t xml:space="preserve">. </w:t>
      </w:r>
      <w:r w:rsidRPr="001D77D9" w:rsidR="000133BA">
        <w:rPr>
          <w:lang w:val="en-GB" w:eastAsia="fr-FR"/>
        </w:rPr>
        <w:t>Consequently</w:t>
      </w:r>
      <w:r w:rsidRPr="001D77D9">
        <w:rPr>
          <w:lang w:val="en-GB" w:eastAsia="fr-FR"/>
        </w:rPr>
        <w:t xml:space="preserve">, </w:t>
      </w:r>
      <w:r w:rsidRPr="001D77D9" w:rsidR="00FD4F89">
        <w:rPr>
          <w:lang w:val="en-GB" w:eastAsia="fr-FR"/>
        </w:rPr>
        <w:t>h</w:t>
      </w:r>
      <w:r w:rsidRPr="001D77D9">
        <w:rPr>
          <w:lang w:val="en-GB" w:eastAsia="fr-FR"/>
        </w:rPr>
        <w:t>e requ</w:t>
      </w:r>
      <w:r w:rsidRPr="001D77D9" w:rsidR="00FD4F89">
        <w:rPr>
          <w:lang w:val="en-GB" w:eastAsia="fr-FR"/>
        </w:rPr>
        <w:t>ested that he be given access to the publication</w:t>
      </w:r>
      <w:r w:rsidRPr="001D77D9">
        <w:rPr>
          <w:lang w:val="en-GB" w:eastAsia="fr-FR"/>
        </w:rPr>
        <w:t>.</w:t>
      </w:r>
    </w:p>
    <w:p w:rsidRPr="001D77D9" w:rsidR="00F27466" w:rsidP="00F27466" w:rsidRDefault="00F27466">
      <w:pPr>
        <w:pStyle w:val="ECHRPara"/>
        <w:rPr>
          <w:lang w:val="en-GB" w:eastAsia="fr-FR"/>
        </w:rPr>
      </w:pPr>
      <w:r w:rsidRPr="001D77D9">
        <w:rPr>
          <w:lang w:val="en-GB" w:eastAsia="fr-FR"/>
        </w:rPr>
        <w:fldChar w:fldCharType="begin"/>
      </w:r>
      <w:r w:rsidRPr="001D77D9">
        <w:rPr>
          <w:lang w:val="en-GB" w:eastAsia="fr-FR"/>
        </w:rPr>
        <w:instrText xml:space="preserve"> SEQ level0 \*arabic </w:instrText>
      </w:r>
      <w:r w:rsidRPr="001D77D9">
        <w:rPr>
          <w:lang w:val="en-GB" w:eastAsia="fr-FR"/>
        </w:rPr>
        <w:fldChar w:fldCharType="separate"/>
      </w:r>
      <w:r w:rsidR="00934B09">
        <w:rPr>
          <w:noProof/>
          <w:lang w:val="en-GB" w:eastAsia="fr-FR"/>
        </w:rPr>
        <w:t>77</w:t>
      </w:r>
      <w:r w:rsidRPr="001D77D9">
        <w:rPr>
          <w:lang w:val="en-GB" w:eastAsia="fr-FR"/>
        </w:rPr>
        <w:fldChar w:fldCharType="end"/>
      </w:r>
      <w:r w:rsidRPr="001D77D9">
        <w:rPr>
          <w:lang w:val="en-GB" w:eastAsia="fr-FR"/>
        </w:rPr>
        <w:t>.  </w:t>
      </w:r>
      <w:r w:rsidRPr="001D77D9" w:rsidR="00FD4F89">
        <w:rPr>
          <w:lang w:val="en-GB" w:eastAsia="fr-FR"/>
        </w:rPr>
        <w:t>On</w:t>
      </w:r>
      <w:r w:rsidRPr="001D77D9">
        <w:rPr>
          <w:lang w:val="en-GB" w:eastAsia="fr-FR"/>
        </w:rPr>
        <w:t xml:space="preserve"> 20 </w:t>
      </w:r>
      <w:r w:rsidRPr="001D77D9" w:rsidR="000133BA">
        <w:rPr>
          <w:lang w:val="en-GB" w:eastAsia="fr-FR"/>
        </w:rPr>
        <w:t>November</w:t>
      </w:r>
      <w:r w:rsidRPr="001D77D9">
        <w:rPr>
          <w:lang w:val="en-GB" w:eastAsia="fr-FR"/>
        </w:rPr>
        <w:t xml:space="preserve"> 2007 </w:t>
      </w:r>
      <w:r w:rsidRPr="001D77D9" w:rsidR="00FD4F89">
        <w:rPr>
          <w:lang w:val="en-GB" w:eastAsia="fr-FR"/>
        </w:rPr>
        <w:t>the</w:t>
      </w:r>
      <w:r w:rsidRPr="001D77D9" w:rsidR="00FD4F89">
        <w:rPr>
          <w:lang w:val="en-GB"/>
        </w:rPr>
        <w:t xml:space="preserve"> </w:t>
      </w:r>
      <w:proofErr w:type="spellStart"/>
      <w:r w:rsidRPr="001D77D9" w:rsidR="00FD4F89">
        <w:rPr>
          <w:lang w:val="en-GB"/>
        </w:rPr>
        <w:t>Tekirdağ</w:t>
      </w:r>
      <w:proofErr w:type="spellEnd"/>
      <w:r w:rsidRPr="001D77D9" w:rsidR="00FD4F89">
        <w:rPr>
          <w:lang w:val="en-GB"/>
        </w:rPr>
        <w:t xml:space="preserve"> Assize Court, </w:t>
      </w:r>
      <w:r w:rsidRPr="001D77D9" w:rsidR="00852FB5">
        <w:rPr>
          <w:lang w:val="en-GB"/>
        </w:rPr>
        <w:t xml:space="preserve">ruling </w:t>
      </w:r>
      <w:r w:rsidRPr="001D77D9" w:rsidR="00FD4F89">
        <w:rPr>
          <w:lang w:val="en-GB"/>
        </w:rPr>
        <w:t>on the basis of the case file and having taken cognisance of the State Prosecutor</w:t>
      </w:r>
      <w:r w:rsidR="00934B09">
        <w:rPr>
          <w:lang w:val="en-GB"/>
        </w:rPr>
        <w:t>’</w:t>
      </w:r>
      <w:r w:rsidRPr="001D77D9" w:rsidR="00FD4F89">
        <w:rPr>
          <w:lang w:val="en-GB"/>
        </w:rPr>
        <w:t xml:space="preserve">s opinion, </w:t>
      </w:r>
      <w:r w:rsidRPr="001D77D9" w:rsidR="00FD4F89">
        <w:rPr>
          <w:lang w:val="en-GB" w:eastAsia="fr-FR"/>
        </w:rPr>
        <w:t>found that the impugned decision had been unobjectionable in procedural and legal terms</w:t>
      </w:r>
      <w:r w:rsidRPr="001D77D9" w:rsidR="00FD4F89">
        <w:rPr>
          <w:lang w:val="en-GB"/>
        </w:rPr>
        <w:t xml:space="preserve"> and dismissed the latter appeal</w:t>
      </w:r>
      <w:r w:rsidRPr="001D77D9">
        <w:rPr>
          <w:lang w:val="en-GB" w:eastAsia="fr-FR"/>
        </w:rPr>
        <w:t>.</w:t>
      </w:r>
    </w:p>
    <w:p w:rsidRPr="001D77D9" w:rsidR="00F27466" w:rsidP="00F27466" w:rsidRDefault="00934B09">
      <w:pPr>
        <w:pStyle w:val="JuParaSub"/>
        <w:rPr>
          <w:lang w:val="en-GB"/>
        </w:rPr>
      </w:pPr>
      <w:r>
        <w:rPr>
          <w:lang w:val="en-GB"/>
        </w:rPr>
        <w:t>...</w:t>
      </w:r>
    </w:p>
    <w:p w:rsidRPr="001D77D9" w:rsidR="00014566" w:rsidP="00014566" w:rsidRDefault="00014566">
      <w:pPr>
        <w:pStyle w:val="ECHRTitle1"/>
        <w:rPr>
          <w:lang w:val="en-GB"/>
        </w:rPr>
      </w:pPr>
      <w:r w:rsidRPr="001D77D9">
        <w:rPr>
          <w:lang w:val="en-GB"/>
        </w:rPr>
        <w:t>THE LAW</w:t>
      </w:r>
    </w:p>
    <w:p w:rsidRPr="001D77D9" w:rsidR="00803088" w:rsidP="00803088" w:rsidRDefault="00803088">
      <w:pPr>
        <w:pStyle w:val="ECHRPara"/>
        <w:rPr>
          <w:lang w:val="en-GB"/>
        </w:rPr>
      </w:pPr>
      <w:r w:rsidRPr="001D77D9">
        <w:rPr>
          <w:lang w:val="en-GB"/>
        </w:rPr>
        <w:fldChar w:fldCharType="begin"/>
      </w:r>
      <w:r w:rsidRPr="001D77D9">
        <w:rPr>
          <w:lang w:val="en-GB"/>
        </w:rPr>
        <w:instrText xml:space="preserve"> SEQ level0 \*arabic \r81</w:instrText>
      </w:r>
      <w:r w:rsidRPr="001D77D9">
        <w:rPr>
          <w:lang w:val="en-GB"/>
        </w:rPr>
        <w:fldChar w:fldCharType="separate"/>
      </w:r>
      <w:r w:rsidR="00934B09">
        <w:rPr>
          <w:noProof/>
          <w:lang w:val="en-GB"/>
        </w:rPr>
        <w:t>81</w:t>
      </w:r>
      <w:r w:rsidRPr="001D77D9">
        <w:rPr>
          <w:lang w:val="en-GB"/>
        </w:rPr>
        <w:fldChar w:fldCharType="end"/>
      </w:r>
      <w:r w:rsidRPr="001D77D9">
        <w:rPr>
          <w:lang w:val="en-GB"/>
        </w:rPr>
        <w:t>.  </w:t>
      </w:r>
      <w:r w:rsidRPr="001D77D9">
        <w:rPr>
          <w:color w:val="000000"/>
          <w:lang w:val="en-GB"/>
        </w:rPr>
        <w:t>Given the similarity of the applications as to the facts and the complaints, the Court has decided to join them and to examine them jointly in a single judgment</w:t>
      </w:r>
      <w:r w:rsidRPr="001D77D9">
        <w:rPr>
          <w:lang w:val="en-GB"/>
        </w:rPr>
        <w:t>.</w:t>
      </w:r>
    </w:p>
    <w:p w:rsidRPr="001D77D9" w:rsidR="00803088" w:rsidP="00803088" w:rsidRDefault="00934B09">
      <w:pPr>
        <w:pStyle w:val="ECHRPara"/>
        <w:rPr>
          <w:lang w:val="en-GB"/>
        </w:rPr>
      </w:pPr>
      <w:r>
        <w:rPr>
          <w:lang w:val="en-GB"/>
        </w:rPr>
        <w:t>...</w:t>
      </w:r>
    </w:p>
    <w:p w:rsidRPr="001D77D9" w:rsidR="00014566" w:rsidP="00014566" w:rsidRDefault="000133BA">
      <w:pPr>
        <w:pStyle w:val="ECHRHeading1"/>
        <w:rPr>
          <w:lang w:val="en-GB"/>
        </w:rPr>
      </w:pPr>
      <w:r w:rsidRPr="001D77D9">
        <w:rPr>
          <w:lang w:val="en-GB"/>
        </w:rPr>
        <w:t>I</w:t>
      </w:r>
      <w:r w:rsidRPr="001D77D9" w:rsidR="00014566">
        <w:rPr>
          <w:lang w:val="en-GB"/>
        </w:rPr>
        <w:t>I.</w:t>
      </w:r>
      <w:proofErr w:type="gramStart"/>
      <w:r w:rsidRPr="001D77D9" w:rsidR="00014566">
        <w:rPr>
          <w:lang w:val="en-GB"/>
        </w:rPr>
        <w:t>  ALLEGED</w:t>
      </w:r>
      <w:proofErr w:type="gramEnd"/>
      <w:r w:rsidRPr="001D77D9" w:rsidR="00014566">
        <w:rPr>
          <w:lang w:val="en-GB"/>
        </w:rPr>
        <w:t xml:space="preserve"> VIOLATION OF ARTICLE </w:t>
      </w:r>
      <w:r w:rsidRPr="001D77D9">
        <w:rPr>
          <w:lang w:val="en-GB"/>
        </w:rPr>
        <w:t>10</w:t>
      </w:r>
      <w:r w:rsidRPr="001D77D9" w:rsidR="00014566">
        <w:rPr>
          <w:lang w:val="en-GB"/>
        </w:rPr>
        <w:t xml:space="preserve"> OF THE CONVENTION</w:t>
      </w:r>
    </w:p>
    <w:p w:rsidRPr="001D77D9" w:rsidR="00014566" w:rsidP="00C621C2" w:rsidRDefault="001C7F9D">
      <w:pPr>
        <w:pStyle w:val="ECHRPara"/>
        <w:rPr>
          <w:lang w:val="en-GB"/>
        </w:rPr>
      </w:pPr>
      <w:r w:rsidRPr="001D77D9">
        <w:rPr>
          <w:lang w:val="en-GB"/>
        </w:rPr>
        <w:fldChar w:fldCharType="begin"/>
      </w:r>
      <w:r w:rsidRPr="001D77D9">
        <w:rPr>
          <w:lang w:val="en-GB"/>
        </w:rPr>
        <w:instrText xml:space="preserve"> SEQ level0 \*arabic </w:instrText>
      </w:r>
      <w:proofErr w:type="gramStart"/>
      <w:r w:rsidRPr="001D77D9">
        <w:rPr>
          <w:lang w:val="en-GB"/>
        </w:rPr>
        <w:fldChar w:fldCharType="separate"/>
      </w:r>
      <w:r w:rsidR="00934B09">
        <w:rPr>
          <w:noProof/>
          <w:lang w:val="en-GB"/>
        </w:rPr>
        <w:t>82</w:t>
      </w:r>
      <w:r w:rsidRPr="001D77D9">
        <w:rPr>
          <w:lang w:val="en-GB"/>
        </w:rPr>
        <w:fldChar w:fldCharType="end"/>
      </w:r>
      <w:r w:rsidRPr="001D77D9" w:rsidR="000133BA">
        <w:rPr>
          <w:lang w:val="en-GB"/>
        </w:rPr>
        <w:t>8</w:t>
      </w:r>
      <w:r w:rsidRPr="001D77D9" w:rsidR="00014566">
        <w:rPr>
          <w:lang w:val="en-GB"/>
        </w:rPr>
        <w:t>.</w:t>
      </w:r>
      <w:proofErr w:type="gramEnd"/>
      <w:r w:rsidRPr="001D77D9" w:rsidR="00014566">
        <w:rPr>
          <w:lang w:val="en-GB"/>
        </w:rPr>
        <w:t>  The applicant</w:t>
      </w:r>
      <w:r w:rsidRPr="001D77D9" w:rsidR="000133BA">
        <w:rPr>
          <w:lang w:val="en-GB"/>
        </w:rPr>
        <w:t>s</w:t>
      </w:r>
      <w:r w:rsidRPr="001D77D9" w:rsidR="00014566">
        <w:rPr>
          <w:lang w:val="en-GB"/>
        </w:rPr>
        <w:t xml:space="preserve"> complained that </w:t>
      </w:r>
      <w:r w:rsidRPr="001D77D9" w:rsidR="000133BA">
        <w:rPr>
          <w:lang w:val="en-GB"/>
        </w:rPr>
        <w:t xml:space="preserve">the prison </w:t>
      </w:r>
      <w:r w:rsidRPr="001D77D9" w:rsidR="00107FF7">
        <w:rPr>
          <w:lang w:val="en-GB"/>
        </w:rPr>
        <w:t>authorities</w:t>
      </w:r>
      <w:r w:rsidRPr="001D77D9" w:rsidR="000133BA">
        <w:rPr>
          <w:lang w:val="en-GB"/>
        </w:rPr>
        <w:t xml:space="preserve"> had </w:t>
      </w:r>
      <w:r w:rsidRPr="001D77D9" w:rsidR="00107FF7">
        <w:rPr>
          <w:lang w:val="en-GB"/>
        </w:rPr>
        <w:t>refused</w:t>
      </w:r>
      <w:r w:rsidRPr="001D77D9" w:rsidR="000133BA">
        <w:rPr>
          <w:lang w:val="en-GB"/>
        </w:rPr>
        <w:t xml:space="preserve"> to </w:t>
      </w:r>
      <w:r w:rsidRPr="001D77D9" w:rsidR="00107FF7">
        <w:rPr>
          <w:lang w:val="en-GB"/>
        </w:rPr>
        <w:t>deliver</w:t>
      </w:r>
      <w:r w:rsidRPr="001D77D9" w:rsidR="000133BA">
        <w:rPr>
          <w:lang w:val="en-GB"/>
        </w:rPr>
        <w:t xml:space="preserve"> a daily newspaper to them, adding that they had taken that </w:t>
      </w:r>
      <w:r w:rsidRPr="001D77D9" w:rsidR="00107FF7">
        <w:rPr>
          <w:lang w:val="en-GB"/>
        </w:rPr>
        <w:t>decision</w:t>
      </w:r>
      <w:r w:rsidRPr="001D77D9" w:rsidR="000133BA">
        <w:rPr>
          <w:lang w:val="en-GB"/>
        </w:rPr>
        <w:t xml:space="preserve"> because the newspaper in question was published </w:t>
      </w:r>
      <w:r w:rsidRPr="001D77D9" w:rsidR="00107FF7">
        <w:rPr>
          <w:lang w:val="en-GB"/>
        </w:rPr>
        <w:t>in</w:t>
      </w:r>
      <w:r w:rsidRPr="001D77D9" w:rsidR="000133BA">
        <w:rPr>
          <w:lang w:val="en-GB"/>
        </w:rPr>
        <w:t xml:space="preserve"> </w:t>
      </w:r>
      <w:r w:rsidRPr="001D77D9" w:rsidR="00107FF7">
        <w:rPr>
          <w:lang w:val="en-GB"/>
        </w:rPr>
        <w:t>Kurdish</w:t>
      </w:r>
      <w:r w:rsidRPr="001D77D9" w:rsidR="000133BA">
        <w:rPr>
          <w:lang w:val="en-GB"/>
        </w:rPr>
        <w:t xml:space="preserve">. </w:t>
      </w:r>
      <w:r w:rsidRPr="001D77D9" w:rsidR="00912F0B">
        <w:rPr>
          <w:lang w:val="en-GB"/>
        </w:rPr>
        <w:t>They complain that the decision had been in breach of A</w:t>
      </w:r>
      <w:r w:rsidRPr="001D77D9" w:rsidR="000133BA">
        <w:rPr>
          <w:lang w:val="en-GB"/>
        </w:rPr>
        <w:t xml:space="preserve">rticle 10 </w:t>
      </w:r>
      <w:r w:rsidRPr="001D77D9" w:rsidR="00912F0B">
        <w:rPr>
          <w:lang w:val="en-GB"/>
        </w:rPr>
        <w:t>of the</w:t>
      </w:r>
      <w:r w:rsidRPr="001D77D9" w:rsidR="000133BA">
        <w:rPr>
          <w:lang w:val="en-GB"/>
        </w:rPr>
        <w:t xml:space="preserve"> Convention, </w:t>
      </w:r>
      <w:r w:rsidRPr="001D77D9" w:rsidR="00014566">
        <w:rPr>
          <w:lang w:val="en-GB"/>
        </w:rPr>
        <w:t>which reads as follows:</w:t>
      </w:r>
    </w:p>
    <w:p w:rsidRPr="001D77D9" w:rsidR="00912F0B" w:rsidRDefault="00912F0B">
      <w:pPr>
        <w:pStyle w:val="ECHRParaQuote"/>
        <w:rPr>
          <w:lang w:val="en-GB"/>
        </w:rPr>
      </w:pPr>
      <w:r w:rsidRPr="001D77D9">
        <w:rPr>
          <w:lang w:val="en-GB"/>
        </w:rPr>
        <w:t>“1.</w:t>
      </w:r>
      <w:proofErr w:type="gramStart"/>
      <w:r w:rsidRPr="001D77D9">
        <w:rPr>
          <w:lang w:val="en-GB"/>
        </w:rPr>
        <w:t>  Everyone</w:t>
      </w:r>
      <w:proofErr w:type="gramEnd"/>
      <w:r w:rsidRPr="001D77D9">
        <w:rPr>
          <w:lang w:val="en-GB"/>
        </w:rPr>
        <w:t xml:space="preserve"> has the right to freedom of expression. This right shall include freedom to hold opinions and to receive and impart information and ideas without interference by public authority and regardless of frontiers.</w:t>
      </w:r>
      <w:r w:rsidRPr="001D77D9" w:rsidR="00770C9B">
        <w:rPr>
          <w:lang w:val="en-GB"/>
        </w:rPr>
        <w:t>.</w:t>
      </w:r>
      <w:r w:rsidRPr="001D77D9">
        <w:rPr>
          <w:lang w:val="en-GB"/>
        </w:rPr>
        <w:t>.</w:t>
      </w:r>
    </w:p>
    <w:p w:rsidRPr="001D77D9" w:rsidR="00014566" w:rsidP="00014566" w:rsidRDefault="00912F0B">
      <w:pPr>
        <w:pStyle w:val="ECHRParaQuote"/>
        <w:rPr>
          <w:lang w:val="en-GB"/>
        </w:rPr>
      </w:pPr>
      <w:r w:rsidRPr="001D77D9">
        <w:rPr>
          <w:lang w:val="en-GB"/>
        </w:rPr>
        <w:t xml:space="preserve">2.  The exercise of these freedoms, since it carries with it duties and responsibilities, may be subject to such formalities, conditions, restrictions or penalties as are prescribed by law and are necessary in a democratic society, in the interests of national security, territorial integrity or public safety, for the </w:t>
      </w:r>
      <w:r w:rsidRPr="001D77D9" w:rsidR="007334B4">
        <w:rPr>
          <w:lang w:val="en-GB"/>
        </w:rPr>
        <w:t>prevention of disorder or crime..</w:t>
      </w:r>
      <w:r w:rsidRPr="001D77D9">
        <w:rPr>
          <w:lang w:val="en-GB"/>
        </w:rPr>
        <w:t>.”</w:t>
      </w:r>
    </w:p>
    <w:p w:rsidRPr="001D77D9" w:rsidR="00014566" w:rsidP="00C621C2" w:rsidRDefault="007334B4">
      <w:pPr>
        <w:pStyle w:val="ECHRPara"/>
        <w:rPr>
          <w:lang w:val="en-GB"/>
        </w:rPr>
      </w:pPr>
      <w:r w:rsidRPr="001D77D9">
        <w:rPr>
          <w:lang w:val="en-GB"/>
        </w:rPr>
        <w:t>89</w:t>
      </w:r>
      <w:r w:rsidRPr="001D77D9" w:rsidR="00014566">
        <w:rPr>
          <w:lang w:val="en-GB"/>
        </w:rPr>
        <w:t>.  The Government contested that argument.</w:t>
      </w:r>
    </w:p>
    <w:p w:rsidRPr="001D77D9" w:rsidR="00014566" w:rsidP="00014566" w:rsidRDefault="00014566">
      <w:pPr>
        <w:pStyle w:val="ECHRHeading2"/>
        <w:outlineLvl w:val="0"/>
        <w:rPr>
          <w:lang w:val="en-GB"/>
        </w:rPr>
      </w:pPr>
      <w:r w:rsidRPr="001D77D9">
        <w:rPr>
          <w:lang w:val="en-GB"/>
        </w:rPr>
        <w:t>B.  Merits</w:t>
      </w:r>
    </w:p>
    <w:p w:rsidRPr="001D77D9" w:rsidR="00DD10B9" w:rsidP="00DD10B9" w:rsidRDefault="00DD10B9">
      <w:pPr>
        <w:pStyle w:val="ECHRHeading3"/>
        <w:rPr>
          <w:lang w:val="en-GB"/>
        </w:rPr>
      </w:pPr>
      <w:r w:rsidRPr="001D77D9">
        <w:rPr>
          <w:lang w:val="en-GB"/>
        </w:rPr>
        <w:t>1.  The applicants</w:t>
      </w:r>
      <w:r w:rsidR="00934B09">
        <w:rPr>
          <w:lang w:val="en-GB"/>
        </w:rPr>
        <w:t>’</w:t>
      </w:r>
      <w:r w:rsidRPr="001D77D9">
        <w:rPr>
          <w:lang w:val="en-GB"/>
        </w:rPr>
        <w:t xml:space="preserve"> submissions</w:t>
      </w:r>
    </w:p>
    <w:p w:rsidRPr="001D77D9" w:rsidR="00DD10B9" w:rsidP="00DD10B9" w:rsidRDefault="00DD10B9">
      <w:pPr>
        <w:pStyle w:val="ECHRPara"/>
        <w:rPr>
          <w:lang w:val="en-GB"/>
        </w:rPr>
      </w:pPr>
      <w:r w:rsidRPr="001D77D9">
        <w:rPr>
          <w:lang w:val="en-GB"/>
        </w:rPr>
        <w:fldChar w:fldCharType="begin"/>
      </w:r>
      <w:r w:rsidRPr="001D77D9">
        <w:rPr>
          <w:lang w:val="en-GB"/>
        </w:rPr>
        <w:instrText xml:space="preserve"> SEQ level0 \*arabic \r91</w:instrText>
      </w:r>
      <w:r w:rsidRPr="001D77D9">
        <w:rPr>
          <w:lang w:val="en-GB"/>
        </w:rPr>
        <w:fldChar w:fldCharType="separate"/>
      </w:r>
      <w:r w:rsidR="00934B09">
        <w:rPr>
          <w:noProof/>
          <w:lang w:val="en-GB"/>
        </w:rPr>
        <w:t>91</w:t>
      </w:r>
      <w:r w:rsidRPr="001D77D9">
        <w:rPr>
          <w:lang w:val="en-GB"/>
        </w:rPr>
        <w:fldChar w:fldCharType="end"/>
      </w:r>
      <w:r w:rsidRPr="001D77D9">
        <w:rPr>
          <w:lang w:val="en-GB"/>
        </w:rPr>
        <w:t xml:space="preserve">.  The applicants submitted that the </w:t>
      </w:r>
      <w:r w:rsidRPr="001D77D9" w:rsidR="00AE07F6">
        <w:rPr>
          <w:lang w:val="en-GB"/>
        </w:rPr>
        <w:t>education board</w:t>
      </w:r>
      <w:r w:rsidRPr="001D77D9">
        <w:rPr>
          <w:lang w:val="en-GB"/>
        </w:rPr>
        <w:t xml:space="preserve"> had </w:t>
      </w:r>
      <w:r w:rsidRPr="001D77D9" w:rsidR="00107FF7">
        <w:rPr>
          <w:lang w:val="en-GB"/>
        </w:rPr>
        <w:t>decided</w:t>
      </w:r>
      <w:r w:rsidRPr="001D77D9">
        <w:rPr>
          <w:lang w:val="en-GB"/>
        </w:rPr>
        <w:t xml:space="preserve"> </w:t>
      </w:r>
      <w:r w:rsidRPr="001D77D9" w:rsidR="00107FF7">
        <w:rPr>
          <w:lang w:val="en-GB"/>
        </w:rPr>
        <w:t>not</w:t>
      </w:r>
      <w:r w:rsidRPr="001D77D9">
        <w:rPr>
          <w:lang w:val="en-GB"/>
        </w:rPr>
        <w:t xml:space="preserve"> to </w:t>
      </w:r>
      <w:r w:rsidRPr="001D77D9" w:rsidR="00107FF7">
        <w:rPr>
          <w:lang w:val="en-GB"/>
        </w:rPr>
        <w:t>deliver</w:t>
      </w:r>
      <w:r w:rsidRPr="001D77D9">
        <w:rPr>
          <w:lang w:val="en-GB"/>
        </w:rPr>
        <w:t xml:space="preserve"> </w:t>
      </w:r>
      <w:r w:rsidRPr="001D77D9" w:rsidR="00107FF7">
        <w:rPr>
          <w:lang w:val="en-GB"/>
        </w:rPr>
        <w:t>various</w:t>
      </w:r>
      <w:r w:rsidRPr="001D77D9">
        <w:rPr>
          <w:lang w:val="en-GB"/>
        </w:rPr>
        <w:t xml:space="preserve"> </w:t>
      </w:r>
      <w:r w:rsidRPr="001D77D9" w:rsidR="004E05A7">
        <w:rPr>
          <w:lang w:val="en-GB"/>
        </w:rPr>
        <w:t>edition</w:t>
      </w:r>
      <w:r w:rsidRPr="001D77D9">
        <w:rPr>
          <w:lang w:val="en-GB"/>
        </w:rPr>
        <w:t xml:space="preserve">s of the </w:t>
      </w:r>
      <w:proofErr w:type="spellStart"/>
      <w:r w:rsidRPr="001D77D9">
        <w:rPr>
          <w:i/>
          <w:lang w:val="en-GB"/>
        </w:rPr>
        <w:t>Azadiya</w:t>
      </w:r>
      <w:proofErr w:type="spellEnd"/>
      <w:r w:rsidRPr="001D77D9">
        <w:rPr>
          <w:i/>
          <w:lang w:val="en-GB"/>
        </w:rPr>
        <w:t xml:space="preserve"> </w:t>
      </w:r>
      <w:proofErr w:type="spellStart"/>
      <w:r w:rsidRPr="001D77D9">
        <w:rPr>
          <w:i/>
          <w:lang w:val="en-GB"/>
        </w:rPr>
        <w:t>Welat</w:t>
      </w:r>
      <w:proofErr w:type="spellEnd"/>
      <w:r w:rsidRPr="001D77D9">
        <w:rPr>
          <w:lang w:val="en-GB"/>
        </w:rPr>
        <w:t xml:space="preserve"> daily newspaper </w:t>
      </w:r>
      <w:r w:rsidRPr="001D77D9" w:rsidR="00107FF7">
        <w:rPr>
          <w:lang w:val="en-GB"/>
        </w:rPr>
        <w:t xml:space="preserve">to them </w:t>
      </w:r>
      <w:r w:rsidRPr="001D77D9">
        <w:rPr>
          <w:lang w:val="en-GB"/>
        </w:rPr>
        <w:t>on the ground that the</w:t>
      </w:r>
      <w:r w:rsidRPr="001D77D9" w:rsidR="00AC4948">
        <w:rPr>
          <w:lang w:val="en-GB"/>
        </w:rPr>
        <w:t xml:space="preserve"> b</w:t>
      </w:r>
      <w:r w:rsidRPr="001D77D9" w:rsidR="00A653E0">
        <w:rPr>
          <w:lang w:val="en-GB"/>
        </w:rPr>
        <w:t>oard members</w:t>
      </w:r>
      <w:r w:rsidRPr="001D77D9">
        <w:rPr>
          <w:lang w:val="en-GB"/>
        </w:rPr>
        <w:t xml:space="preserve"> had been unable to understand the </w:t>
      </w:r>
      <w:r w:rsidRPr="001D77D9" w:rsidR="00107FF7">
        <w:rPr>
          <w:lang w:val="en-GB"/>
        </w:rPr>
        <w:t>content</w:t>
      </w:r>
      <w:r w:rsidRPr="001D77D9">
        <w:rPr>
          <w:lang w:val="en-GB"/>
        </w:rPr>
        <w:t xml:space="preserve"> of the newspaper or have it translated. </w:t>
      </w:r>
      <w:r w:rsidRPr="001D77D9" w:rsidR="00107FF7">
        <w:rPr>
          <w:lang w:val="en-GB"/>
        </w:rPr>
        <w:t>The applicants</w:t>
      </w:r>
      <w:r w:rsidRPr="001D77D9">
        <w:rPr>
          <w:lang w:val="en-GB"/>
        </w:rPr>
        <w:t xml:space="preserve"> question</w:t>
      </w:r>
      <w:r w:rsidRPr="001D77D9" w:rsidR="00AC4948">
        <w:rPr>
          <w:lang w:val="en-GB"/>
        </w:rPr>
        <w:t>ed the capacity of the b</w:t>
      </w:r>
      <w:r w:rsidRPr="001D77D9" w:rsidR="00107FF7">
        <w:rPr>
          <w:lang w:val="en-GB"/>
        </w:rPr>
        <w:t>oard</w:t>
      </w:r>
      <w:r w:rsidRPr="001D77D9">
        <w:rPr>
          <w:lang w:val="en-GB"/>
        </w:rPr>
        <w:t xml:space="preserve"> – </w:t>
      </w:r>
      <w:r w:rsidRPr="001D77D9" w:rsidR="00107FF7">
        <w:rPr>
          <w:lang w:val="en-GB"/>
        </w:rPr>
        <w:t xml:space="preserve">which had accepted that it was unable to understand </w:t>
      </w:r>
      <w:r w:rsidRPr="001D77D9">
        <w:rPr>
          <w:lang w:val="en-GB"/>
        </w:rPr>
        <w:t xml:space="preserve">publications </w:t>
      </w:r>
      <w:r w:rsidRPr="001D77D9" w:rsidR="00107FF7">
        <w:rPr>
          <w:lang w:val="en-GB"/>
        </w:rPr>
        <w:t>in</w:t>
      </w:r>
      <w:r w:rsidRPr="001D77D9">
        <w:rPr>
          <w:lang w:val="en-GB"/>
        </w:rPr>
        <w:t xml:space="preserve"> </w:t>
      </w:r>
      <w:r w:rsidRPr="001D77D9" w:rsidR="00107FF7">
        <w:rPr>
          <w:lang w:val="en-GB"/>
        </w:rPr>
        <w:t>the Kurdish language</w:t>
      </w:r>
      <w:r w:rsidRPr="001D77D9">
        <w:rPr>
          <w:lang w:val="en-GB"/>
        </w:rPr>
        <w:t xml:space="preserve"> – </w:t>
      </w:r>
      <w:r w:rsidRPr="001D77D9" w:rsidR="00AC4948">
        <w:rPr>
          <w:lang w:val="en-GB"/>
        </w:rPr>
        <w:t>t</w:t>
      </w:r>
      <w:r w:rsidRPr="001D77D9" w:rsidR="00107FF7">
        <w:rPr>
          <w:lang w:val="en-GB"/>
        </w:rPr>
        <w:t>o assess the</w:t>
      </w:r>
      <w:r w:rsidRPr="001D77D9">
        <w:rPr>
          <w:lang w:val="en-GB"/>
        </w:rPr>
        <w:t xml:space="preserve"> </w:t>
      </w:r>
      <w:r w:rsidRPr="001D77D9" w:rsidR="00107FF7">
        <w:rPr>
          <w:lang w:val="en-GB"/>
        </w:rPr>
        <w:t>danger</w:t>
      </w:r>
      <w:r w:rsidRPr="001D77D9" w:rsidR="00AC4948">
        <w:rPr>
          <w:lang w:val="en-GB"/>
        </w:rPr>
        <w:t xml:space="preserve"> posed by</w:t>
      </w:r>
      <w:r w:rsidRPr="001D77D9" w:rsidR="00107FF7">
        <w:rPr>
          <w:lang w:val="en-GB"/>
        </w:rPr>
        <w:t xml:space="preserve"> </w:t>
      </w:r>
      <w:r w:rsidRPr="001D77D9" w:rsidR="00AC4948">
        <w:rPr>
          <w:lang w:val="en-GB"/>
        </w:rPr>
        <w:t>such publications</w:t>
      </w:r>
      <w:r w:rsidRPr="001D77D9" w:rsidR="00107FF7">
        <w:rPr>
          <w:lang w:val="en-GB"/>
        </w:rPr>
        <w:t xml:space="preserve"> to</w:t>
      </w:r>
      <w:r w:rsidRPr="001D77D9">
        <w:rPr>
          <w:lang w:val="en-GB"/>
        </w:rPr>
        <w:t xml:space="preserve"> </w:t>
      </w:r>
      <w:r w:rsidRPr="001D77D9" w:rsidR="00107FF7">
        <w:rPr>
          <w:lang w:val="en-GB"/>
        </w:rPr>
        <w:t>order</w:t>
      </w:r>
      <w:r w:rsidRPr="001D77D9">
        <w:rPr>
          <w:lang w:val="en-GB"/>
        </w:rPr>
        <w:t xml:space="preserve"> </w:t>
      </w:r>
      <w:r w:rsidRPr="001D77D9" w:rsidR="00107FF7">
        <w:rPr>
          <w:lang w:val="en-GB"/>
        </w:rPr>
        <w:t>and</w:t>
      </w:r>
      <w:r w:rsidRPr="001D77D9">
        <w:rPr>
          <w:lang w:val="en-GB"/>
        </w:rPr>
        <w:t xml:space="preserve"> </w:t>
      </w:r>
      <w:r w:rsidRPr="001D77D9" w:rsidR="00107FF7">
        <w:rPr>
          <w:lang w:val="en-GB"/>
        </w:rPr>
        <w:t>security</w:t>
      </w:r>
      <w:r w:rsidRPr="001D77D9">
        <w:rPr>
          <w:lang w:val="en-GB"/>
        </w:rPr>
        <w:t xml:space="preserve"> </w:t>
      </w:r>
      <w:r w:rsidRPr="001D77D9" w:rsidR="00107FF7">
        <w:rPr>
          <w:lang w:val="en-GB"/>
        </w:rPr>
        <w:t>in</w:t>
      </w:r>
      <w:r w:rsidRPr="001D77D9">
        <w:rPr>
          <w:lang w:val="en-GB"/>
        </w:rPr>
        <w:t xml:space="preserve"> prisons. </w:t>
      </w:r>
      <w:r w:rsidRPr="001D77D9" w:rsidR="00107FF7">
        <w:rPr>
          <w:lang w:val="en-GB"/>
        </w:rPr>
        <w:t>Furthermore</w:t>
      </w:r>
      <w:r w:rsidRPr="001D77D9">
        <w:rPr>
          <w:lang w:val="en-GB"/>
        </w:rPr>
        <w:t xml:space="preserve">, </w:t>
      </w:r>
      <w:r w:rsidRPr="001D77D9" w:rsidR="00107FF7">
        <w:rPr>
          <w:lang w:val="en-GB"/>
        </w:rPr>
        <w:t>the applicants submitted that the newspaper in question was freely available throughout Turkey and that it was not the subject</w:t>
      </w:r>
      <w:r w:rsidRPr="001D77D9">
        <w:rPr>
          <w:lang w:val="en-GB"/>
        </w:rPr>
        <w:t xml:space="preserve"> </w:t>
      </w:r>
      <w:r w:rsidRPr="001D77D9" w:rsidR="00107FF7">
        <w:rPr>
          <w:lang w:val="en-GB"/>
        </w:rPr>
        <w:t>of any ban or seizure order</w:t>
      </w:r>
      <w:r w:rsidRPr="001D77D9">
        <w:rPr>
          <w:lang w:val="en-GB"/>
        </w:rPr>
        <w:t xml:space="preserve">. </w:t>
      </w:r>
      <w:r w:rsidRPr="001D77D9" w:rsidR="00107FF7">
        <w:rPr>
          <w:lang w:val="en-GB"/>
        </w:rPr>
        <w:t>They supported their submissions with the fact that the Government</w:t>
      </w:r>
      <w:r w:rsidRPr="001D77D9">
        <w:rPr>
          <w:lang w:val="en-GB"/>
        </w:rPr>
        <w:t xml:space="preserve"> </w:t>
      </w:r>
      <w:r w:rsidRPr="001D77D9" w:rsidR="00107FF7">
        <w:rPr>
          <w:lang w:val="en-GB"/>
        </w:rPr>
        <w:t xml:space="preserve">had not </w:t>
      </w:r>
      <w:r w:rsidRPr="001D77D9" w:rsidR="00AC4948">
        <w:rPr>
          <w:lang w:val="en-GB"/>
        </w:rPr>
        <w:t>cited any</w:t>
      </w:r>
      <w:r w:rsidRPr="001D77D9">
        <w:rPr>
          <w:lang w:val="en-GB"/>
        </w:rPr>
        <w:t xml:space="preserve"> </w:t>
      </w:r>
      <w:r w:rsidRPr="001D77D9" w:rsidR="00107FF7">
        <w:rPr>
          <w:lang w:val="en-GB"/>
        </w:rPr>
        <w:t>decision</w:t>
      </w:r>
      <w:r w:rsidRPr="001D77D9">
        <w:rPr>
          <w:lang w:val="en-GB"/>
        </w:rPr>
        <w:t xml:space="preserve"> </w:t>
      </w:r>
      <w:r w:rsidRPr="001D77D9" w:rsidR="00107FF7">
        <w:rPr>
          <w:lang w:val="en-GB"/>
        </w:rPr>
        <w:t>to the contrary</w:t>
      </w:r>
      <w:r w:rsidRPr="001D77D9">
        <w:rPr>
          <w:lang w:val="en-GB"/>
        </w:rPr>
        <w:t>.</w:t>
      </w:r>
    </w:p>
    <w:p w:rsidRPr="001D77D9" w:rsidR="00DD10B9" w:rsidP="00DD10B9" w:rsidRDefault="00DD10B9">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92</w:t>
      </w:r>
      <w:r w:rsidRPr="001D77D9">
        <w:rPr>
          <w:lang w:val="en-GB"/>
        </w:rPr>
        <w:fldChar w:fldCharType="end"/>
      </w:r>
      <w:r w:rsidRPr="001D77D9">
        <w:rPr>
          <w:lang w:val="en-GB"/>
        </w:rPr>
        <w:t>.  </w:t>
      </w:r>
      <w:r w:rsidRPr="001D77D9" w:rsidR="00107FF7">
        <w:rPr>
          <w:lang w:val="en-GB"/>
        </w:rPr>
        <w:t xml:space="preserve">The </w:t>
      </w:r>
      <w:r w:rsidRPr="001D77D9" w:rsidR="00D74CAE">
        <w:rPr>
          <w:lang w:val="en-GB"/>
        </w:rPr>
        <w:t>applicants</w:t>
      </w:r>
      <w:r w:rsidRPr="001D77D9" w:rsidR="00107FF7">
        <w:rPr>
          <w:lang w:val="en-GB"/>
        </w:rPr>
        <w:t xml:space="preserve"> then submitted that if the</w:t>
      </w:r>
      <w:r w:rsidRPr="001D77D9">
        <w:rPr>
          <w:lang w:val="en-GB"/>
        </w:rPr>
        <w:t xml:space="preserve"> </w:t>
      </w:r>
      <w:r w:rsidRPr="001D77D9" w:rsidR="00D74CAE">
        <w:rPr>
          <w:lang w:val="en-GB"/>
        </w:rPr>
        <w:t>Government</w:t>
      </w:r>
      <w:r w:rsidRPr="001D77D9">
        <w:rPr>
          <w:lang w:val="en-GB"/>
        </w:rPr>
        <w:t xml:space="preserve"> </w:t>
      </w:r>
      <w:r w:rsidRPr="001D77D9" w:rsidR="00107FF7">
        <w:rPr>
          <w:lang w:val="en-GB"/>
        </w:rPr>
        <w:t>had considered the</w:t>
      </w:r>
      <w:r w:rsidRPr="001D77D9">
        <w:rPr>
          <w:lang w:val="en-GB"/>
        </w:rPr>
        <w:t xml:space="preserve"> </w:t>
      </w:r>
      <w:r w:rsidRPr="001D77D9" w:rsidR="00D74CAE">
        <w:rPr>
          <w:lang w:val="en-GB"/>
        </w:rPr>
        <w:t>content</w:t>
      </w:r>
      <w:r w:rsidRPr="001D77D9">
        <w:rPr>
          <w:lang w:val="en-GB"/>
        </w:rPr>
        <w:t xml:space="preserve"> </w:t>
      </w:r>
      <w:r w:rsidRPr="001D77D9" w:rsidR="00107FF7">
        <w:rPr>
          <w:lang w:val="en-GB"/>
        </w:rPr>
        <w:t xml:space="preserve">of the impugned newspaper </w:t>
      </w:r>
      <w:r w:rsidRPr="001D77D9">
        <w:rPr>
          <w:lang w:val="en-GB"/>
        </w:rPr>
        <w:t>li</w:t>
      </w:r>
      <w:r w:rsidRPr="001D77D9" w:rsidR="00107FF7">
        <w:rPr>
          <w:lang w:val="en-GB"/>
        </w:rPr>
        <w:t xml:space="preserve">able to </w:t>
      </w:r>
      <w:r w:rsidRPr="001D77D9" w:rsidR="00D74CAE">
        <w:rPr>
          <w:lang w:val="en-GB"/>
        </w:rPr>
        <w:t>jeopardise</w:t>
      </w:r>
      <w:r w:rsidRPr="001D77D9" w:rsidR="00107FF7">
        <w:rPr>
          <w:lang w:val="en-GB"/>
        </w:rPr>
        <w:t xml:space="preserve"> </w:t>
      </w:r>
      <w:r w:rsidRPr="001D77D9" w:rsidR="00554DCD">
        <w:rPr>
          <w:lang w:val="en-GB"/>
        </w:rPr>
        <w:t>prison</w:t>
      </w:r>
      <w:r w:rsidRPr="001D77D9" w:rsidR="00C4707B">
        <w:rPr>
          <w:lang w:val="en-GB"/>
        </w:rPr>
        <w:t xml:space="preserve"> </w:t>
      </w:r>
      <w:r w:rsidRPr="001D77D9" w:rsidR="00554DCD">
        <w:rPr>
          <w:lang w:val="en-GB"/>
        </w:rPr>
        <w:t xml:space="preserve">security </w:t>
      </w:r>
      <w:r w:rsidRPr="001D77D9" w:rsidR="00C4707B">
        <w:rPr>
          <w:lang w:val="en-GB"/>
        </w:rPr>
        <w:t xml:space="preserve">they ought first of all to have had the </w:t>
      </w:r>
      <w:r w:rsidRPr="001D77D9" w:rsidR="004E05A7">
        <w:rPr>
          <w:lang w:val="en-GB"/>
        </w:rPr>
        <w:t>edition</w:t>
      </w:r>
      <w:r w:rsidRPr="001D77D9" w:rsidR="00C4707B">
        <w:rPr>
          <w:lang w:val="en-GB"/>
        </w:rPr>
        <w:t xml:space="preserve">s </w:t>
      </w:r>
      <w:r w:rsidRPr="001D77D9">
        <w:rPr>
          <w:lang w:val="en-GB"/>
        </w:rPr>
        <w:t>tra</w:t>
      </w:r>
      <w:r w:rsidRPr="001D77D9" w:rsidR="00C4707B">
        <w:rPr>
          <w:lang w:val="en-GB"/>
        </w:rPr>
        <w:t>nslated and then</w:t>
      </w:r>
      <w:r w:rsidRPr="001D77D9">
        <w:rPr>
          <w:lang w:val="en-GB"/>
        </w:rPr>
        <w:t xml:space="preserve"> </w:t>
      </w:r>
      <w:r w:rsidRPr="001D77D9" w:rsidR="00AC4948">
        <w:rPr>
          <w:lang w:val="en-GB"/>
        </w:rPr>
        <w:t>specifi</w:t>
      </w:r>
      <w:r w:rsidRPr="001D77D9" w:rsidR="00C4707B">
        <w:rPr>
          <w:lang w:val="en-GB"/>
        </w:rPr>
        <w:t xml:space="preserve">ed </w:t>
      </w:r>
      <w:r w:rsidRPr="001D77D9" w:rsidR="00AC4948">
        <w:rPr>
          <w:lang w:val="en-GB"/>
        </w:rPr>
        <w:t>wha</w:t>
      </w:r>
      <w:r w:rsidRPr="001D77D9" w:rsidR="00C4707B">
        <w:rPr>
          <w:lang w:val="en-GB"/>
        </w:rPr>
        <w:t>t</w:t>
      </w:r>
      <w:r w:rsidRPr="001D77D9">
        <w:rPr>
          <w:lang w:val="en-GB"/>
        </w:rPr>
        <w:t xml:space="preserve"> </w:t>
      </w:r>
      <w:r w:rsidRPr="001D77D9" w:rsidR="00D74CAE">
        <w:rPr>
          <w:lang w:val="en-GB"/>
        </w:rPr>
        <w:t>information</w:t>
      </w:r>
      <w:r w:rsidRPr="001D77D9">
        <w:rPr>
          <w:lang w:val="en-GB"/>
        </w:rPr>
        <w:t xml:space="preserve"> </w:t>
      </w:r>
      <w:r w:rsidRPr="001D77D9" w:rsidR="00AC4948">
        <w:rPr>
          <w:lang w:val="en-GB"/>
        </w:rPr>
        <w:t xml:space="preserve">was </w:t>
      </w:r>
      <w:r w:rsidRPr="001D77D9" w:rsidR="00C4707B">
        <w:rPr>
          <w:lang w:val="en-GB"/>
        </w:rPr>
        <w:t>liable to</w:t>
      </w:r>
      <w:r w:rsidRPr="001D77D9">
        <w:rPr>
          <w:lang w:val="en-GB"/>
        </w:rPr>
        <w:t xml:space="preserve"> </w:t>
      </w:r>
      <w:r w:rsidRPr="001D77D9" w:rsidR="00C4707B">
        <w:rPr>
          <w:lang w:val="en-GB"/>
        </w:rPr>
        <w:t>represent a</w:t>
      </w:r>
      <w:r w:rsidRPr="001D77D9">
        <w:rPr>
          <w:lang w:val="en-GB"/>
        </w:rPr>
        <w:t xml:space="preserve"> danger</w:t>
      </w:r>
      <w:r w:rsidRPr="001D77D9" w:rsidR="00C4707B">
        <w:rPr>
          <w:lang w:val="en-GB"/>
        </w:rPr>
        <w:t>, explaining why</w:t>
      </w:r>
      <w:r w:rsidRPr="001D77D9">
        <w:rPr>
          <w:lang w:val="en-GB"/>
        </w:rPr>
        <w:t>.</w:t>
      </w:r>
    </w:p>
    <w:p w:rsidRPr="001D77D9" w:rsidR="00DD10B9" w:rsidP="00DD10B9" w:rsidRDefault="00DD10B9">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93</w:t>
      </w:r>
      <w:r w:rsidRPr="001D77D9">
        <w:rPr>
          <w:lang w:val="en-GB"/>
        </w:rPr>
        <w:fldChar w:fldCharType="end"/>
      </w:r>
      <w:r w:rsidRPr="001D77D9">
        <w:rPr>
          <w:lang w:val="en-GB"/>
        </w:rPr>
        <w:t>.  </w:t>
      </w:r>
      <w:r w:rsidRPr="001D77D9" w:rsidR="00C4707B">
        <w:rPr>
          <w:lang w:val="en-GB"/>
        </w:rPr>
        <w:t>The applic</w:t>
      </w:r>
      <w:r w:rsidRPr="001D77D9">
        <w:rPr>
          <w:lang w:val="en-GB"/>
        </w:rPr>
        <w:t xml:space="preserve">ants </w:t>
      </w:r>
      <w:r w:rsidRPr="001D77D9" w:rsidR="00C4707B">
        <w:rPr>
          <w:lang w:val="en-GB"/>
        </w:rPr>
        <w:t>add</w:t>
      </w:r>
      <w:r w:rsidRPr="001D77D9" w:rsidR="00974690">
        <w:rPr>
          <w:lang w:val="en-GB"/>
        </w:rPr>
        <w:t>ed</w:t>
      </w:r>
      <w:r w:rsidRPr="001D77D9" w:rsidR="00C4707B">
        <w:rPr>
          <w:lang w:val="en-GB"/>
        </w:rPr>
        <w:t xml:space="preserve"> that </w:t>
      </w:r>
      <w:r w:rsidRPr="001D77D9" w:rsidR="00DE7771">
        <w:rPr>
          <w:lang w:val="en-GB"/>
        </w:rPr>
        <w:t xml:space="preserve">they paid for </w:t>
      </w:r>
      <w:r w:rsidRPr="001D77D9" w:rsidR="00AC4948">
        <w:rPr>
          <w:lang w:val="en-GB"/>
        </w:rPr>
        <w:t xml:space="preserve">the </w:t>
      </w:r>
      <w:r w:rsidRPr="001D77D9" w:rsidR="00DE7771">
        <w:rPr>
          <w:lang w:val="en-GB"/>
        </w:rPr>
        <w:t xml:space="preserve">delivery of the </w:t>
      </w:r>
      <w:r w:rsidRPr="001D77D9">
        <w:rPr>
          <w:lang w:val="en-GB"/>
        </w:rPr>
        <w:t>publications</w:t>
      </w:r>
      <w:r w:rsidRPr="001D77D9" w:rsidR="00DE7771">
        <w:rPr>
          <w:lang w:val="en-GB"/>
        </w:rPr>
        <w:t>, and that they therefore considered that they should</w:t>
      </w:r>
      <w:r w:rsidRPr="001D77D9">
        <w:rPr>
          <w:lang w:val="en-GB"/>
        </w:rPr>
        <w:t xml:space="preserve"> </w:t>
      </w:r>
      <w:r w:rsidRPr="001D77D9" w:rsidR="00DE7771">
        <w:rPr>
          <w:lang w:val="en-GB"/>
        </w:rPr>
        <w:t xml:space="preserve">have been able to </w:t>
      </w:r>
      <w:r w:rsidRPr="001D77D9" w:rsidR="00D74CAE">
        <w:rPr>
          <w:lang w:val="en-GB"/>
        </w:rPr>
        <w:t>receive</w:t>
      </w:r>
      <w:r w:rsidRPr="001D77D9" w:rsidR="00DE7771">
        <w:rPr>
          <w:lang w:val="en-GB"/>
        </w:rPr>
        <w:t xml:space="preserve"> newspapers in the</w:t>
      </w:r>
      <w:r w:rsidRPr="001D77D9">
        <w:rPr>
          <w:lang w:val="en-GB"/>
        </w:rPr>
        <w:t xml:space="preserve"> </w:t>
      </w:r>
      <w:r w:rsidRPr="001D77D9" w:rsidR="00D74CAE">
        <w:rPr>
          <w:lang w:val="en-GB"/>
        </w:rPr>
        <w:t>language</w:t>
      </w:r>
      <w:r w:rsidRPr="001D77D9" w:rsidR="00DE7771">
        <w:rPr>
          <w:lang w:val="en-GB"/>
        </w:rPr>
        <w:t xml:space="preserve"> of their</w:t>
      </w:r>
      <w:r w:rsidRPr="001D77D9">
        <w:rPr>
          <w:lang w:val="en-GB"/>
        </w:rPr>
        <w:t xml:space="preserve"> </w:t>
      </w:r>
      <w:r w:rsidRPr="001D77D9" w:rsidR="00D74CAE">
        <w:rPr>
          <w:lang w:val="en-GB"/>
        </w:rPr>
        <w:t>choice</w:t>
      </w:r>
      <w:r w:rsidRPr="001D77D9">
        <w:rPr>
          <w:lang w:val="en-GB"/>
        </w:rPr>
        <w:t xml:space="preserve">, </w:t>
      </w:r>
      <w:r w:rsidRPr="001D77D9" w:rsidR="00D74CAE">
        <w:rPr>
          <w:lang w:val="en-GB"/>
        </w:rPr>
        <w:t>particularly</w:t>
      </w:r>
      <w:r w:rsidRPr="001D77D9">
        <w:rPr>
          <w:lang w:val="en-GB"/>
        </w:rPr>
        <w:t xml:space="preserve"> </w:t>
      </w:r>
      <w:r w:rsidRPr="001D77D9" w:rsidR="00D74CAE">
        <w:rPr>
          <w:lang w:val="en-GB"/>
        </w:rPr>
        <w:t>in</w:t>
      </w:r>
      <w:r w:rsidRPr="001D77D9">
        <w:rPr>
          <w:lang w:val="en-GB"/>
        </w:rPr>
        <w:t xml:space="preserve"> </w:t>
      </w:r>
      <w:r w:rsidRPr="001D77D9" w:rsidR="00D74CAE">
        <w:rPr>
          <w:lang w:val="en-GB"/>
        </w:rPr>
        <w:t>Kurdish</w:t>
      </w:r>
      <w:r w:rsidRPr="001D77D9">
        <w:rPr>
          <w:lang w:val="en-GB"/>
        </w:rPr>
        <w:t>,</w:t>
      </w:r>
      <w:r w:rsidRPr="001D77D9" w:rsidR="00DE7771">
        <w:rPr>
          <w:lang w:val="en-GB"/>
        </w:rPr>
        <w:t xml:space="preserve"> their mother tongue</w:t>
      </w:r>
      <w:r w:rsidRPr="001D77D9">
        <w:rPr>
          <w:lang w:val="en-GB"/>
        </w:rPr>
        <w:t xml:space="preserve">. </w:t>
      </w:r>
      <w:r w:rsidRPr="001D77D9" w:rsidR="00DE7771">
        <w:rPr>
          <w:lang w:val="en-GB"/>
        </w:rPr>
        <w:t>They considered that it was incumbent on the S</w:t>
      </w:r>
      <w:r w:rsidRPr="001D77D9">
        <w:rPr>
          <w:lang w:val="en-GB"/>
        </w:rPr>
        <w:t>tat</w:t>
      </w:r>
      <w:r w:rsidRPr="001D77D9" w:rsidR="00DE7771">
        <w:rPr>
          <w:lang w:val="en-GB"/>
        </w:rPr>
        <w:t>e to grant them all the necessary</w:t>
      </w:r>
      <w:r w:rsidRPr="001D77D9">
        <w:rPr>
          <w:lang w:val="en-GB"/>
        </w:rPr>
        <w:t xml:space="preserve"> </w:t>
      </w:r>
      <w:r w:rsidRPr="001D77D9" w:rsidR="00D74CAE">
        <w:rPr>
          <w:lang w:val="en-GB"/>
        </w:rPr>
        <w:t>facilities</w:t>
      </w:r>
      <w:r w:rsidRPr="001D77D9">
        <w:rPr>
          <w:lang w:val="en-GB"/>
        </w:rPr>
        <w:t xml:space="preserve"> </w:t>
      </w:r>
      <w:r w:rsidRPr="001D77D9" w:rsidR="00DE7771">
        <w:rPr>
          <w:lang w:val="en-GB"/>
        </w:rPr>
        <w:t>for</w:t>
      </w:r>
      <w:r w:rsidRPr="001D77D9">
        <w:rPr>
          <w:lang w:val="en-GB"/>
        </w:rPr>
        <w:t xml:space="preserve"> </w:t>
      </w:r>
      <w:r w:rsidRPr="001D77D9" w:rsidR="00D74CAE">
        <w:rPr>
          <w:lang w:val="en-GB"/>
        </w:rPr>
        <w:t>obtaining</w:t>
      </w:r>
      <w:r w:rsidRPr="001D77D9" w:rsidR="00DE7771">
        <w:rPr>
          <w:lang w:val="en-GB"/>
        </w:rPr>
        <w:t xml:space="preserve"> such newspapers</w:t>
      </w:r>
      <w:r w:rsidRPr="001D77D9">
        <w:rPr>
          <w:lang w:val="en-GB"/>
        </w:rPr>
        <w:t>.</w:t>
      </w:r>
    </w:p>
    <w:p w:rsidRPr="001D77D9" w:rsidR="00DD10B9" w:rsidP="00DD10B9" w:rsidRDefault="00DD10B9">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94</w:t>
      </w:r>
      <w:r w:rsidRPr="001D77D9">
        <w:rPr>
          <w:lang w:val="en-GB"/>
        </w:rPr>
        <w:fldChar w:fldCharType="end"/>
      </w:r>
      <w:r w:rsidRPr="001D77D9">
        <w:rPr>
          <w:lang w:val="en-GB"/>
        </w:rPr>
        <w:t>.  </w:t>
      </w:r>
      <w:r w:rsidRPr="001D77D9" w:rsidR="00DE7771">
        <w:rPr>
          <w:lang w:val="en-GB"/>
        </w:rPr>
        <w:t>Lastly</w:t>
      </w:r>
      <w:r w:rsidRPr="001D77D9">
        <w:rPr>
          <w:lang w:val="en-GB"/>
        </w:rPr>
        <w:t xml:space="preserve">, </w:t>
      </w:r>
      <w:r w:rsidRPr="001D77D9" w:rsidR="00DE7771">
        <w:rPr>
          <w:lang w:val="en-GB"/>
        </w:rPr>
        <w:t>they contested the</w:t>
      </w:r>
      <w:r w:rsidRPr="001D77D9">
        <w:rPr>
          <w:lang w:val="en-GB"/>
        </w:rPr>
        <w:t xml:space="preserve"> </w:t>
      </w:r>
      <w:r w:rsidRPr="001D77D9" w:rsidR="00D74CAE">
        <w:rPr>
          <w:lang w:val="en-GB"/>
        </w:rPr>
        <w:t>Government</w:t>
      </w:r>
      <w:r w:rsidR="00934B09">
        <w:rPr>
          <w:lang w:val="en-GB"/>
        </w:rPr>
        <w:t>’</w:t>
      </w:r>
      <w:r w:rsidRPr="001D77D9" w:rsidR="00D74CAE">
        <w:rPr>
          <w:lang w:val="en-GB"/>
        </w:rPr>
        <w:t>s</w:t>
      </w:r>
      <w:r w:rsidRPr="001D77D9">
        <w:rPr>
          <w:lang w:val="en-GB"/>
        </w:rPr>
        <w:t xml:space="preserve"> </w:t>
      </w:r>
      <w:r w:rsidRPr="001D77D9" w:rsidR="00DE7771">
        <w:rPr>
          <w:lang w:val="en-GB"/>
        </w:rPr>
        <w:t xml:space="preserve">argument </w:t>
      </w:r>
      <w:r w:rsidRPr="001D77D9" w:rsidR="003E27EB">
        <w:rPr>
          <w:lang w:val="en-GB"/>
        </w:rPr>
        <w:t xml:space="preserve">that a measure which they </w:t>
      </w:r>
      <w:r w:rsidRPr="001D77D9" w:rsidR="00D74CAE">
        <w:rPr>
          <w:lang w:val="en-GB"/>
        </w:rPr>
        <w:t>consider</w:t>
      </w:r>
      <w:r w:rsidRPr="001D77D9" w:rsidR="009856B3">
        <w:rPr>
          <w:lang w:val="en-GB"/>
        </w:rPr>
        <w:t>ed</w:t>
      </w:r>
      <w:r w:rsidRPr="001D77D9" w:rsidR="003E27EB">
        <w:rPr>
          <w:lang w:val="en-GB"/>
        </w:rPr>
        <w:t xml:space="preserve"> as an</w:t>
      </w:r>
      <w:r w:rsidRPr="001D77D9">
        <w:rPr>
          <w:lang w:val="en-GB"/>
        </w:rPr>
        <w:t xml:space="preserve"> </w:t>
      </w:r>
      <w:r w:rsidRPr="001D77D9" w:rsidR="00D74CAE">
        <w:rPr>
          <w:lang w:val="en-GB"/>
        </w:rPr>
        <w:t>interference</w:t>
      </w:r>
      <w:r w:rsidRPr="001D77D9">
        <w:rPr>
          <w:lang w:val="en-GB"/>
        </w:rPr>
        <w:t xml:space="preserve"> </w:t>
      </w:r>
      <w:r w:rsidRPr="001D77D9" w:rsidR="003E27EB">
        <w:rPr>
          <w:lang w:val="en-GB"/>
        </w:rPr>
        <w:t>in the</w:t>
      </w:r>
      <w:r w:rsidRPr="001D77D9">
        <w:rPr>
          <w:lang w:val="en-GB"/>
        </w:rPr>
        <w:t xml:space="preserve"> </w:t>
      </w:r>
      <w:r w:rsidRPr="001D77D9" w:rsidR="00D74CAE">
        <w:rPr>
          <w:lang w:val="en-GB"/>
        </w:rPr>
        <w:t>exercise</w:t>
      </w:r>
      <w:r w:rsidRPr="001D77D9">
        <w:rPr>
          <w:lang w:val="en-GB"/>
        </w:rPr>
        <w:t xml:space="preserve"> </w:t>
      </w:r>
      <w:r w:rsidRPr="001D77D9" w:rsidR="003E27EB">
        <w:rPr>
          <w:lang w:val="en-GB"/>
        </w:rPr>
        <w:t xml:space="preserve">of their </w:t>
      </w:r>
      <w:r w:rsidRPr="001D77D9" w:rsidR="00D74CAE">
        <w:rPr>
          <w:lang w:val="en-GB"/>
        </w:rPr>
        <w:t>right</w:t>
      </w:r>
      <w:r w:rsidRPr="001D77D9" w:rsidR="003E27EB">
        <w:rPr>
          <w:lang w:val="en-GB"/>
        </w:rPr>
        <w:t xml:space="preserve"> </w:t>
      </w:r>
      <w:r w:rsidRPr="001D77D9" w:rsidR="00D74CAE">
        <w:rPr>
          <w:lang w:val="en-GB"/>
        </w:rPr>
        <w:t xml:space="preserve">as </w:t>
      </w:r>
      <w:r w:rsidRPr="001D77D9" w:rsidR="003E27EB">
        <w:rPr>
          <w:lang w:val="en-GB"/>
        </w:rPr>
        <w:t xml:space="preserve">secured by Article 10 § 2 of the Convention complied with that </w:t>
      </w:r>
      <w:r w:rsidRPr="001D77D9" w:rsidR="00D74CAE">
        <w:rPr>
          <w:lang w:val="en-GB"/>
        </w:rPr>
        <w:t>provision</w:t>
      </w:r>
      <w:r w:rsidRPr="001D77D9">
        <w:rPr>
          <w:lang w:val="en-GB"/>
        </w:rPr>
        <w:t>.</w:t>
      </w:r>
    </w:p>
    <w:p w:rsidRPr="001D77D9" w:rsidR="003E27EB" w:rsidP="003E27EB" w:rsidRDefault="003E27EB">
      <w:pPr>
        <w:pStyle w:val="ECHRHeading3"/>
        <w:rPr>
          <w:lang w:val="en-GB"/>
        </w:rPr>
      </w:pPr>
      <w:r w:rsidRPr="001D77D9">
        <w:rPr>
          <w:lang w:val="en-GB"/>
        </w:rPr>
        <w:t>2.  </w:t>
      </w:r>
      <w:r w:rsidRPr="001D77D9" w:rsidR="00D74CAE">
        <w:rPr>
          <w:lang w:val="en-GB"/>
        </w:rPr>
        <w:t>The</w:t>
      </w:r>
      <w:r w:rsidRPr="001D77D9">
        <w:rPr>
          <w:lang w:val="en-GB"/>
        </w:rPr>
        <w:t xml:space="preserve"> </w:t>
      </w:r>
      <w:r w:rsidRPr="001D77D9" w:rsidR="00D74CAE">
        <w:rPr>
          <w:lang w:val="en-GB"/>
        </w:rPr>
        <w:t>Government</w:t>
      </w:r>
      <w:r w:rsidR="00934B09">
        <w:rPr>
          <w:lang w:val="en-GB"/>
        </w:rPr>
        <w:t>’</w:t>
      </w:r>
      <w:r w:rsidRPr="001D77D9" w:rsidR="00D74CAE">
        <w:rPr>
          <w:lang w:val="en-GB"/>
        </w:rPr>
        <w:t>s submissions</w:t>
      </w:r>
    </w:p>
    <w:p w:rsidRPr="001D77D9" w:rsidR="003E27EB" w:rsidP="003E27EB" w:rsidRDefault="003E27EB">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95</w:t>
      </w:r>
      <w:r w:rsidRPr="001D77D9">
        <w:rPr>
          <w:lang w:val="en-GB"/>
        </w:rPr>
        <w:fldChar w:fldCharType="end"/>
      </w:r>
      <w:r w:rsidRPr="001D77D9">
        <w:rPr>
          <w:lang w:val="en-GB"/>
        </w:rPr>
        <w:t>.  </w:t>
      </w:r>
      <w:r w:rsidRPr="001D77D9" w:rsidR="00D74CAE">
        <w:rPr>
          <w:lang w:val="en-GB"/>
        </w:rPr>
        <w:t>Th</w:t>
      </w:r>
      <w:r w:rsidRPr="001D77D9">
        <w:rPr>
          <w:lang w:val="en-GB"/>
        </w:rPr>
        <w:t xml:space="preserve">e </w:t>
      </w:r>
      <w:r w:rsidRPr="001D77D9" w:rsidR="00D74CAE">
        <w:rPr>
          <w:lang w:val="en-GB"/>
        </w:rPr>
        <w:t>Government</w:t>
      </w:r>
      <w:r w:rsidRPr="001D77D9">
        <w:rPr>
          <w:lang w:val="en-GB"/>
        </w:rPr>
        <w:t xml:space="preserve"> s</w:t>
      </w:r>
      <w:r w:rsidRPr="001D77D9" w:rsidR="00D74CAE">
        <w:rPr>
          <w:lang w:val="en-GB"/>
        </w:rPr>
        <w:t xml:space="preserve">ubmitted that under section </w:t>
      </w:r>
      <w:r w:rsidRPr="001D77D9">
        <w:rPr>
          <w:lang w:val="en-GB"/>
        </w:rPr>
        <w:t xml:space="preserve">62 </w:t>
      </w:r>
      <w:r w:rsidRPr="001D77D9" w:rsidR="00D74CAE">
        <w:rPr>
          <w:lang w:val="en-GB"/>
        </w:rPr>
        <w:t>of Law</w:t>
      </w:r>
      <w:r w:rsidRPr="001D77D9">
        <w:rPr>
          <w:lang w:val="en-GB"/>
        </w:rPr>
        <w:t xml:space="preserve"> n</w:t>
      </w:r>
      <w:r w:rsidRPr="001D77D9" w:rsidR="00D74CAE">
        <w:rPr>
          <w:lang w:val="en-GB"/>
        </w:rPr>
        <w:t>o.</w:t>
      </w:r>
      <w:r w:rsidRPr="001D77D9">
        <w:rPr>
          <w:lang w:val="en-GB"/>
        </w:rPr>
        <w:t xml:space="preserve"> 5275 </w:t>
      </w:r>
      <w:r w:rsidRPr="001D77D9" w:rsidR="00D74CAE">
        <w:rPr>
          <w:lang w:val="en-GB"/>
        </w:rPr>
        <w:t xml:space="preserve">on the Execution of Sentences and Preventive Measures prisoners had the right to </w:t>
      </w:r>
      <w:r w:rsidRPr="001D77D9" w:rsidR="0038700F">
        <w:rPr>
          <w:lang w:val="en-GB"/>
        </w:rPr>
        <w:t>receive</w:t>
      </w:r>
      <w:r w:rsidRPr="001D77D9">
        <w:rPr>
          <w:lang w:val="en-GB"/>
        </w:rPr>
        <w:t xml:space="preserve"> </w:t>
      </w:r>
      <w:r w:rsidRPr="001D77D9" w:rsidR="0038700F">
        <w:rPr>
          <w:lang w:val="en-GB"/>
        </w:rPr>
        <w:t>periodical</w:t>
      </w:r>
      <w:r w:rsidRPr="001D77D9" w:rsidR="00D74CAE">
        <w:rPr>
          <w:lang w:val="en-GB"/>
        </w:rPr>
        <w:t xml:space="preserve"> and non-</w:t>
      </w:r>
      <w:r w:rsidRPr="001D77D9" w:rsidR="0038700F">
        <w:rPr>
          <w:lang w:val="en-GB"/>
        </w:rPr>
        <w:t>periodical</w:t>
      </w:r>
      <w:r w:rsidRPr="001D77D9">
        <w:rPr>
          <w:lang w:val="en-GB"/>
        </w:rPr>
        <w:t xml:space="preserve"> </w:t>
      </w:r>
      <w:r w:rsidRPr="001D77D9" w:rsidR="00D74CAE">
        <w:rPr>
          <w:lang w:val="en-GB"/>
        </w:rPr>
        <w:t xml:space="preserve">publications </w:t>
      </w:r>
      <w:r w:rsidRPr="001D77D9" w:rsidR="00554DCD">
        <w:rPr>
          <w:lang w:val="en-GB"/>
        </w:rPr>
        <w:t>provid</w:t>
      </w:r>
      <w:r w:rsidRPr="001D77D9" w:rsidR="00D34DC7">
        <w:rPr>
          <w:lang w:val="en-GB"/>
        </w:rPr>
        <w:t>ing</w:t>
      </w:r>
      <w:r w:rsidRPr="001D77D9" w:rsidR="00554DCD">
        <w:rPr>
          <w:lang w:val="en-GB"/>
        </w:rPr>
        <w:t xml:space="preserve"> they defrayed the </w:t>
      </w:r>
      <w:r w:rsidRPr="001D77D9" w:rsidR="0038700F">
        <w:rPr>
          <w:lang w:val="en-GB"/>
        </w:rPr>
        <w:t>corresponding</w:t>
      </w:r>
      <w:r w:rsidRPr="001D77D9">
        <w:rPr>
          <w:lang w:val="en-GB"/>
        </w:rPr>
        <w:t xml:space="preserve"> </w:t>
      </w:r>
      <w:r w:rsidRPr="001D77D9" w:rsidR="0038700F">
        <w:rPr>
          <w:lang w:val="en-GB"/>
        </w:rPr>
        <w:t>costs</w:t>
      </w:r>
      <w:r w:rsidRPr="001D77D9">
        <w:rPr>
          <w:lang w:val="en-GB"/>
        </w:rPr>
        <w:t xml:space="preserve">. </w:t>
      </w:r>
      <w:r w:rsidRPr="001D77D9" w:rsidR="00D34DC7">
        <w:rPr>
          <w:lang w:val="en-GB"/>
        </w:rPr>
        <w:t>F</w:t>
      </w:r>
      <w:r w:rsidRPr="001D77D9" w:rsidR="00554DCD">
        <w:rPr>
          <w:lang w:val="en-GB"/>
        </w:rPr>
        <w:t>urthermore</w:t>
      </w:r>
      <w:r w:rsidRPr="001D77D9">
        <w:rPr>
          <w:lang w:val="en-GB"/>
        </w:rPr>
        <w:t xml:space="preserve">, </w:t>
      </w:r>
      <w:r w:rsidRPr="001D77D9" w:rsidR="00554DCD">
        <w:rPr>
          <w:lang w:val="en-GB"/>
        </w:rPr>
        <w:t>section 62 [</w:t>
      </w:r>
      <w:r w:rsidRPr="001D77D9">
        <w:rPr>
          <w:lang w:val="en-GB"/>
        </w:rPr>
        <w:t>3</w:t>
      </w:r>
      <w:r w:rsidRPr="001D77D9" w:rsidR="00554DCD">
        <w:rPr>
          <w:lang w:val="en-GB"/>
        </w:rPr>
        <w:t>] of the Law provided that prisoners could not</w:t>
      </w:r>
      <w:r w:rsidRPr="001D77D9">
        <w:rPr>
          <w:lang w:val="en-GB"/>
        </w:rPr>
        <w:t xml:space="preserve"> </w:t>
      </w:r>
      <w:r w:rsidRPr="001D77D9" w:rsidR="0038700F">
        <w:rPr>
          <w:lang w:val="en-GB"/>
        </w:rPr>
        <w:t>receive</w:t>
      </w:r>
      <w:r w:rsidRPr="001D77D9">
        <w:rPr>
          <w:lang w:val="en-GB"/>
        </w:rPr>
        <w:t xml:space="preserve"> publications </w:t>
      </w:r>
      <w:r w:rsidRPr="001D77D9" w:rsidR="00554DCD">
        <w:rPr>
          <w:lang w:val="en-GB"/>
        </w:rPr>
        <w:t xml:space="preserve">containing information, articles, photographs and comments which </w:t>
      </w:r>
      <w:r w:rsidRPr="001D77D9" w:rsidR="0038700F">
        <w:rPr>
          <w:lang w:val="en-GB"/>
        </w:rPr>
        <w:t>were</w:t>
      </w:r>
      <w:r w:rsidRPr="001D77D9" w:rsidR="00554DCD">
        <w:rPr>
          <w:lang w:val="en-GB"/>
        </w:rPr>
        <w:t xml:space="preserve"> obscene or liable to jeopardise prison security</w:t>
      </w:r>
      <w:r w:rsidRPr="001D77D9">
        <w:rPr>
          <w:lang w:val="en-GB"/>
        </w:rPr>
        <w:t>.</w:t>
      </w:r>
    </w:p>
    <w:p w:rsidRPr="001D77D9" w:rsidR="003E27EB" w:rsidP="003E27EB" w:rsidRDefault="003E27EB">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96</w:t>
      </w:r>
      <w:r w:rsidRPr="001D77D9">
        <w:rPr>
          <w:lang w:val="en-GB"/>
        </w:rPr>
        <w:fldChar w:fldCharType="end"/>
      </w:r>
      <w:r w:rsidRPr="001D77D9">
        <w:rPr>
          <w:lang w:val="en-GB"/>
        </w:rPr>
        <w:t>.  </w:t>
      </w:r>
      <w:r w:rsidRPr="001D77D9" w:rsidR="0038700F">
        <w:rPr>
          <w:lang w:val="en-GB"/>
        </w:rPr>
        <w:t>The</w:t>
      </w:r>
      <w:r w:rsidRPr="001D77D9">
        <w:rPr>
          <w:lang w:val="en-GB"/>
        </w:rPr>
        <w:t xml:space="preserve"> </w:t>
      </w:r>
      <w:r w:rsidRPr="001D77D9" w:rsidR="0038700F">
        <w:rPr>
          <w:lang w:val="en-GB"/>
        </w:rPr>
        <w:t>Government</w:t>
      </w:r>
      <w:r w:rsidRPr="001D77D9">
        <w:rPr>
          <w:lang w:val="en-GB"/>
        </w:rPr>
        <w:t xml:space="preserve"> </w:t>
      </w:r>
      <w:r w:rsidRPr="001D77D9" w:rsidR="00D34DC7">
        <w:rPr>
          <w:lang w:val="en-GB"/>
        </w:rPr>
        <w:t xml:space="preserve">added that </w:t>
      </w:r>
      <w:r w:rsidRPr="001D77D9" w:rsidR="000C4D3B">
        <w:rPr>
          <w:lang w:val="en-GB"/>
        </w:rPr>
        <w:t>under</w:t>
      </w:r>
      <w:r w:rsidRPr="001D77D9" w:rsidR="00D34DC7">
        <w:rPr>
          <w:lang w:val="en-GB"/>
        </w:rPr>
        <w:t xml:space="preserve"> A</w:t>
      </w:r>
      <w:r w:rsidRPr="001D77D9">
        <w:rPr>
          <w:lang w:val="en-GB"/>
        </w:rPr>
        <w:t>rticle 11</w:t>
      </w:r>
      <w:r w:rsidRPr="001D77D9" w:rsidR="00ED67CF">
        <w:rPr>
          <w:lang w:val="en-GB"/>
        </w:rPr>
        <w:t xml:space="preserve"> (</w:t>
      </w:r>
      <w:r w:rsidRPr="001D77D9">
        <w:rPr>
          <w:lang w:val="en-GB"/>
        </w:rPr>
        <w:t>b</w:t>
      </w:r>
      <w:r w:rsidRPr="001D77D9" w:rsidR="00ED67CF">
        <w:rPr>
          <w:lang w:val="en-GB"/>
        </w:rPr>
        <w:t>)</w:t>
      </w:r>
      <w:r w:rsidRPr="001D77D9">
        <w:rPr>
          <w:lang w:val="en-GB"/>
        </w:rPr>
        <w:t xml:space="preserve"> </w:t>
      </w:r>
      <w:r w:rsidRPr="001D77D9" w:rsidR="00ED67CF">
        <w:rPr>
          <w:lang w:val="en-GB"/>
        </w:rPr>
        <w:t>of the I</w:t>
      </w:r>
      <w:r w:rsidRPr="001D77D9">
        <w:rPr>
          <w:lang w:val="en-GB"/>
        </w:rPr>
        <w:t xml:space="preserve">nstruction </w:t>
      </w:r>
      <w:r w:rsidRPr="001D77D9" w:rsidR="00ED67CF">
        <w:rPr>
          <w:lang w:val="en-GB"/>
        </w:rPr>
        <w:t xml:space="preserve">on Prison Libraries, </w:t>
      </w:r>
      <w:r w:rsidRPr="001D77D9">
        <w:rPr>
          <w:lang w:val="en-GB"/>
        </w:rPr>
        <w:t>publications p</w:t>
      </w:r>
      <w:r w:rsidRPr="001D77D9" w:rsidR="00ED67CF">
        <w:rPr>
          <w:lang w:val="en-GB"/>
        </w:rPr>
        <w:t>osing a threat to prison</w:t>
      </w:r>
      <w:r w:rsidRPr="001D77D9">
        <w:rPr>
          <w:lang w:val="en-GB"/>
        </w:rPr>
        <w:t xml:space="preserve"> </w:t>
      </w:r>
      <w:r w:rsidRPr="001D77D9" w:rsidR="0038700F">
        <w:rPr>
          <w:lang w:val="en-GB"/>
        </w:rPr>
        <w:t>security</w:t>
      </w:r>
      <w:r w:rsidRPr="001D77D9">
        <w:rPr>
          <w:lang w:val="en-GB"/>
        </w:rPr>
        <w:t xml:space="preserve"> </w:t>
      </w:r>
      <w:r w:rsidRPr="001D77D9" w:rsidR="00ED67CF">
        <w:rPr>
          <w:lang w:val="en-GB"/>
        </w:rPr>
        <w:t>or</w:t>
      </w:r>
      <w:r w:rsidRPr="001D77D9">
        <w:rPr>
          <w:lang w:val="en-GB"/>
        </w:rPr>
        <w:t xml:space="preserve"> </w:t>
      </w:r>
      <w:r w:rsidRPr="001D77D9" w:rsidR="0038700F">
        <w:rPr>
          <w:lang w:val="en-GB"/>
        </w:rPr>
        <w:t>containing</w:t>
      </w:r>
      <w:r w:rsidRPr="001D77D9">
        <w:rPr>
          <w:lang w:val="en-GB"/>
        </w:rPr>
        <w:t xml:space="preserve"> </w:t>
      </w:r>
      <w:r w:rsidRPr="001D77D9" w:rsidR="0038700F">
        <w:rPr>
          <w:lang w:val="en-GB"/>
        </w:rPr>
        <w:t>information</w:t>
      </w:r>
      <w:r w:rsidRPr="001D77D9" w:rsidR="00ED67CF">
        <w:rPr>
          <w:lang w:val="en-GB"/>
        </w:rPr>
        <w:t xml:space="preserve">, articles, photographs </w:t>
      </w:r>
      <w:r w:rsidRPr="001D77D9" w:rsidR="0038700F">
        <w:rPr>
          <w:lang w:val="en-GB"/>
        </w:rPr>
        <w:t>or</w:t>
      </w:r>
      <w:r w:rsidRPr="001D77D9" w:rsidR="00ED67CF">
        <w:rPr>
          <w:lang w:val="en-GB"/>
        </w:rPr>
        <w:t xml:space="preserve"> comment</w:t>
      </w:r>
      <w:r w:rsidRPr="001D77D9">
        <w:rPr>
          <w:lang w:val="en-GB"/>
        </w:rPr>
        <w:t xml:space="preserve">s </w:t>
      </w:r>
      <w:r w:rsidRPr="001D77D9" w:rsidR="0038700F">
        <w:rPr>
          <w:lang w:val="en-GB"/>
        </w:rPr>
        <w:t>considered</w:t>
      </w:r>
      <w:r w:rsidRPr="001D77D9" w:rsidR="00ED67CF">
        <w:rPr>
          <w:lang w:val="en-GB"/>
        </w:rPr>
        <w:t xml:space="preserve"> as</w:t>
      </w:r>
      <w:r w:rsidRPr="001D77D9">
        <w:rPr>
          <w:lang w:val="en-GB"/>
        </w:rPr>
        <w:t xml:space="preserve"> </w:t>
      </w:r>
      <w:r w:rsidRPr="001D77D9" w:rsidR="0038700F">
        <w:rPr>
          <w:lang w:val="en-GB"/>
        </w:rPr>
        <w:t>obscene</w:t>
      </w:r>
      <w:r w:rsidRPr="001D77D9" w:rsidR="00ED67CF">
        <w:rPr>
          <w:lang w:val="en-GB"/>
        </w:rPr>
        <w:t xml:space="preserve"> were not allowed into prison, even in the </w:t>
      </w:r>
      <w:r w:rsidRPr="001D77D9">
        <w:rPr>
          <w:lang w:val="en-GB"/>
        </w:rPr>
        <w:t xml:space="preserve">absence </w:t>
      </w:r>
      <w:r w:rsidRPr="001D77D9" w:rsidR="00ED67CF">
        <w:rPr>
          <w:lang w:val="en-GB"/>
        </w:rPr>
        <w:t>of a</w:t>
      </w:r>
      <w:r w:rsidRPr="001D77D9">
        <w:rPr>
          <w:lang w:val="en-GB"/>
        </w:rPr>
        <w:t xml:space="preserve"> judicia</w:t>
      </w:r>
      <w:r w:rsidRPr="001D77D9" w:rsidR="00ED67CF">
        <w:rPr>
          <w:lang w:val="en-GB"/>
        </w:rPr>
        <w:t xml:space="preserve">l </w:t>
      </w:r>
      <w:r w:rsidRPr="001D77D9" w:rsidR="0038700F">
        <w:rPr>
          <w:lang w:val="en-GB"/>
        </w:rPr>
        <w:t>decision</w:t>
      </w:r>
      <w:r w:rsidRPr="001D77D9">
        <w:rPr>
          <w:lang w:val="en-GB"/>
        </w:rPr>
        <w:t>.</w:t>
      </w:r>
    </w:p>
    <w:p w:rsidRPr="001D77D9" w:rsidR="003E27EB" w:rsidP="003E27EB" w:rsidRDefault="003E27EB">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97</w:t>
      </w:r>
      <w:r w:rsidRPr="001D77D9">
        <w:rPr>
          <w:lang w:val="en-GB"/>
        </w:rPr>
        <w:fldChar w:fldCharType="end"/>
      </w:r>
      <w:r w:rsidRPr="001D77D9">
        <w:rPr>
          <w:lang w:val="en-GB"/>
        </w:rPr>
        <w:t>.  </w:t>
      </w:r>
      <w:r w:rsidRPr="001D77D9" w:rsidR="00ED67CF">
        <w:rPr>
          <w:lang w:val="en-GB"/>
        </w:rPr>
        <w:t>The Government submitted that the</w:t>
      </w:r>
      <w:r w:rsidRPr="001D77D9">
        <w:rPr>
          <w:lang w:val="en-GB"/>
        </w:rPr>
        <w:t xml:space="preserve"> </w:t>
      </w:r>
      <w:r w:rsidRPr="001D77D9" w:rsidR="0038700F">
        <w:rPr>
          <w:lang w:val="en-GB"/>
        </w:rPr>
        <w:t>decisions</w:t>
      </w:r>
      <w:r w:rsidRPr="001D77D9">
        <w:rPr>
          <w:lang w:val="en-GB"/>
        </w:rPr>
        <w:t xml:space="preserve"> </w:t>
      </w:r>
      <w:r w:rsidRPr="001D77D9" w:rsidR="00ED67CF">
        <w:rPr>
          <w:lang w:val="en-GB"/>
        </w:rPr>
        <w:t>at issue in the</w:t>
      </w:r>
      <w:r w:rsidRPr="001D77D9">
        <w:rPr>
          <w:lang w:val="en-GB"/>
        </w:rPr>
        <w:t xml:space="preserve"> </w:t>
      </w:r>
      <w:r w:rsidRPr="001D77D9" w:rsidR="0038700F">
        <w:rPr>
          <w:lang w:val="en-GB"/>
        </w:rPr>
        <w:t>present</w:t>
      </w:r>
      <w:r w:rsidRPr="001D77D9" w:rsidR="00ED67CF">
        <w:rPr>
          <w:lang w:val="en-GB"/>
        </w:rPr>
        <w:t xml:space="preserve"> cas</w:t>
      </w:r>
      <w:r w:rsidRPr="001D77D9">
        <w:rPr>
          <w:lang w:val="en-GB"/>
        </w:rPr>
        <w:t>e</w:t>
      </w:r>
      <w:r w:rsidRPr="001D77D9" w:rsidR="00ED67CF">
        <w:rPr>
          <w:lang w:val="en-GB"/>
        </w:rPr>
        <w:t xml:space="preserve"> had been</w:t>
      </w:r>
      <w:r w:rsidRPr="001D77D9">
        <w:rPr>
          <w:lang w:val="en-GB"/>
        </w:rPr>
        <w:t xml:space="preserve"> </w:t>
      </w:r>
      <w:r w:rsidRPr="001D77D9" w:rsidR="0038700F">
        <w:rPr>
          <w:lang w:val="en-GB"/>
        </w:rPr>
        <w:t>taken</w:t>
      </w:r>
      <w:r w:rsidRPr="001D77D9" w:rsidR="00ED67CF">
        <w:rPr>
          <w:lang w:val="en-GB"/>
        </w:rPr>
        <w:t xml:space="preserve"> in pursuance of section </w:t>
      </w:r>
      <w:r w:rsidRPr="001D77D9">
        <w:rPr>
          <w:lang w:val="en-GB"/>
        </w:rPr>
        <w:t xml:space="preserve">62 § 3 </w:t>
      </w:r>
      <w:r w:rsidRPr="001D77D9" w:rsidR="00290F38">
        <w:rPr>
          <w:lang w:val="en-GB"/>
        </w:rPr>
        <w:t>of Law</w:t>
      </w:r>
      <w:r w:rsidRPr="001D77D9">
        <w:rPr>
          <w:lang w:val="en-GB"/>
        </w:rPr>
        <w:t xml:space="preserve"> n</w:t>
      </w:r>
      <w:r w:rsidRPr="001D77D9" w:rsidR="00290F38">
        <w:rPr>
          <w:lang w:val="en-GB"/>
        </w:rPr>
        <w:t>o.</w:t>
      </w:r>
      <w:r w:rsidRPr="001D77D9">
        <w:rPr>
          <w:lang w:val="en-GB"/>
        </w:rPr>
        <w:t xml:space="preserve"> 5275 </w:t>
      </w:r>
      <w:r w:rsidRPr="001D77D9" w:rsidR="00290F38">
        <w:rPr>
          <w:lang w:val="en-GB"/>
        </w:rPr>
        <w:t>and A</w:t>
      </w:r>
      <w:r w:rsidRPr="001D77D9">
        <w:rPr>
          <w:lang w:val="en-GB"/>
        </w:rPr>
        <w:t xml:space="preserve">rticles 11 </w:t>
      </w:r>
      <w:r w:rsidRPr="001D77D9" w:rsidR="00290F38">
        <w:rPr>
          <w:lang w:val="en-GB"/>
        </w:rPr>
        <w:t xml:space="preserve">and </w:t>
      </w:r>
      <w:r w:rsidRPr="001D77D9">
        <w:rPr>
          <w:lang w:val="en-GB"/>
        </w:rPr>
        <w:t xml:space="preserve">12 </w:t>
      </w:r>
      <w:r w:rsidRPr="001D77D9" w:rsidR="00290F38">
        <w:rPr>
          <w:lang w:val="en-GB"/>
        </w:rPr>
        <w:t xml:space="preserve">of the aforementioned </w:t>
      </w:r>
      <w:r w:rsidRPr="001D77D9">
        <w:rPr>
          <w:lang w:val="en-GB"/>
        </w:rPr>
        <w:t xml:space="preserve">instruction, </w:t>
      </w:r>
      <w:r w:rsidRPr="001D77D9" w:rsidR="00290F38">
        <w:rPr>
          <w:lang w:val="en-GB"/>
        </w:rPr>
        <w:t>and that the</w:t>
      </w:r>
      <w:r w:rsidRPr="001D77D9">
        <w:rPr>
          <w:lang w:val="en-GB"/>
        </w:rPr>
        <w:t xml:space="preserve"> publications </w:t>
      </w:r>
      <w:r w:rsidRPr="001D77D9" w:rsidR="00290F38">
        <w:rPr>
          <w:lang w:val="en-GB"/>
        </w:rPr>
        <w:t xml:space="preserve">in issue had not been </w:t>
      </w:r>
      <w:r w:rsidRPr="001D77D9">
        <w:rPr>
          <w:lang w:val="en-GB"/>
        </w:rPr>
        <w:t>d</w:t>
      </w:r>
      <w:r w:rsidRPr="001D77D9" w:rsidR="00290F38">
        <w:rPr>
          <w:lang w:val="en-GB"/>
        </w:rPr>
        <w:t>elivered to the applic</w:t>
      </w:r>
      <w:r w:rsidRPr="001D77D9">
        <w:rPr>
          <w:lang w:val="en-GB"/>
        </w:rPr>
        <w:t xml:space="preserve">ants </w:t>
      </w:r>
      <w:r w:rsidRPr="001D77D9" w:rsidR="00290F38">
        <w:rPr>
          <w:lang w:val="en-GB"/>
        </w:rPr>
        <w:t xml:space="preserve">because they </w:t>
      </w:r>
      <w:r w:rsidRPr="001D77D9" w:rsidR="000C4D3B">
        <w:rPr>
          <w:lang w:val="en-GB"/>
        </w:rPr>
        <w:t>could have posed a threat to</w:t>
      </w:r>
      <w:r w:rsidRPr="001D77D9" w:rsidR="00290F38">
        <w:rPr>
          <w:lang w:val="en-GB"/>
        </w:rPr>
        <w:t xml:space="preserve"> prison </w:t>
      </w:r>
      <w:r w:rsidRPr="001D77D9" w:rsidR="00A61F44">
        <w:rPr>
          <w:lang w:val="en-GB"/>
        </w:rPr>
        <w:t>security</w:t>
      </w:r>
      <w:r w:rsidRPr="001D77D9">
        <w:rPr>
          <w:lang w:val="en-GB"/>
        </w:rPr>
        <w:t>.</w:t>
      </w:r>
    </w:p>
    <w:p w:rsidRPr="001D77D9" w:rsidR="003E27EB" w:rsidP="003E27EB" w:rsidRDefault="003E27EB">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98</w:t>
      </w:r>
      <w:r w:rsidRPr="001D77D9">
        <w:rPr>
          <w:lang w:val="en-GB"/>
        </w:rPr>
        <w:fldChar w:fldCharType="end"/>
      </w:r>
      <w:r w:rsidRPr="001D77D9">
        <w:rPr>
          <w:lang w:val="en-GB"/>
        </w:rPr>
        <w:t>.  </w:t>
      </w:r>
      <w:r w:rsidRPr="001D77D9" w:rsidR="0018273A">
        <w:rPr>
          <w:lang w:val="en-GB"/>
        </w:rPr>
        <w:t xml:space="preserve">Moreover, perusal of the </w:t>
      </w:r>
      <w:r w:rsidRPr="001D77D9" w:rsidR="00A61F44">
        <w:rPr>
          <w:lang w:val="en-GB"/>
        </w:rPr>
        <w:t>decisions</w:t>
      </w:r>
      <w:r w:rsidRPr="001D77D9" w:rsidR="0018273A">
        <w:rPr>
          <w:lang w:val="en-GB"/>
        </w:rPr>
        <w:t xml:space="preserve"> in question showed that that had been the case</w:t>
      </w:r>
      <w:r w:rsidRPr="001D77D9">
        <w:rPr>
          <w:lang w:val="en-GB"/>
        </w:rPr>
        <w:t xml:space="preserve">. </w:t>
      </w:r>
      <w:r w:rsidRPr="001D77D9" w:rsidR="0018273A">
        <w:rPr>
          <w:lang w:val="en-GB"/>
        </w:rPr>
        <w:t>Th</w:t>
      </w:r>
      <w:r w:rsidRPr="001D77D9">
        <w:rPr>
          <w:lang w:val="en-GB"/>
        </w:rPr>
        <w:t xml:space="preserve">e </w:t>
      </w:r>
      <w:r w:rsidRPr="001D77D9" w:rsidR="00A61F44">
        <w:rPr>
          <w:lang w:val="en-GB"/>
        </w:rPr>
        <w:t>Government</w:t>
      </w:r>
      <w:r w:rsidRPr="001D77D9" w:rsidR="0018273A">
        <w:rPr>
          <w:lang w:val="en-GB"/>
        </w:rPr>
        <w:t xml:space="preserve"> contended that the non-delivered</w:t>
      </w:r>
      <w:r w:rsidRPr="001D77D9">
        <w:rPr>
          <w:lang w:val="en-GB"/>
        </w:rPr>
        <w:t xml:space="preserve"> publications </w:t>
      </w:r>
      <w:r w:rsidRPr="001D77D9" w:rsidR="0018273A">
        <w:rPr>
          <w:lang w:val="en-GB"/>
        </w:rPr>
        <w:t>had</w:t>
      </w:r>
      <w:r w:rsidRPr="001D77D9">
        <w:rPr>
          <w:lang w:val="en-GB"/>
        </w:rPr>
        <w:t xml:space="preserve"> </w:t>
      </w:r>
      <w:r w:rsidRPr="001D77D9" w:rsidR="00A61F44">
        <w:rPr>
          <w:lang w:val="en-GB"/>
        </w:rPr>
        <w:t>contained</w:t>
      </w:r>
      <w:r w:rsidRPr="001D77D9">
        <w:rPr>
          <w:lang w:val="en-GB"/>
        </w:rPr>
        <w:t xml:space="preserve"> articles </w:t>
      </w:r>
      <w:r w:rsidRPr="001D77D9" w:rsidR="0018273A">
        <w:rPr>
          <w:lang w:val="en-GB"/>
        </w:rPr>
        <w:t xml:space="preserve">condoning a terrorist </w:t>
      </w:r>
      <w:r w:rsidRPr="001D77D9">
        <w:rPr>
          <w:lang w:val="en-GB"/>
        </w:rPr>
        <w:t xml:space="preserve">organisation </w:t>
      </w:r>
      <w:r w:rsidRPr="001D77D9" w:rsidR="0018273A">
        <w:rPr>
          <w:lang w:val="en-GB"/>
        </w:rPr>
        <w:t>and terrorist</w:t>
      </w:r>
      <w:r w:rsidRPr="001D77D9">
        <w:rPr>
          <w:lang w:val="en-GB"/>
        </w:rPr>
        <w:t xml:space="preserve"> </w:t>
      </w:r>
      <w:r w:rsidRPr="001D77D9" w:rsidR="00A61F44">
        <w:rPr>
          <w:lang w:val="en-GB"/>
        </w:rPr>
        <w:t>activities</w:t>
      </w:r>
      <w:r w:rsidRPr="001D77D9">
        <w:rPr>
          <w:lang w:val="en-GB"/>
        </w:rPr>
        <w:t xml:space="preserve"> </w:t>
      </w:r>
      <w:r w:rsidRPr="001D77D9" w:rsidR="0018273A">
        <w:rPr>
          <w:lang w:val="en-GB"/>
        </w:rPr>
        <w:t>and damaging the</w:t>
      </w:r>
      <w:r w:rsidRPr="001D77D9">
        <w:rPr>
          <w:lang w:val="en-GB"/>
        </w:rPr>
        <w:t xml:space="preserve"> </w:t>
      </w:r>
      <w:r w:rsidRPr="001D77D9" w:rsidR="00A61F44">
        <w:rPr>
          <w:lang w:val="en-GB"/>
        </w:rPr>
        <w:t>reputation</w:t>
      </w:r>
      <w:r w:rsidRPr="001D77D9">
        <w:rPr>
          <w:lang w:val="en-GB"/>
        </w:rPr>
        <w:t xml:space="preserve"> </w:t>
      </w:r>
      <w:r w:rsidRPr="001D77D9" w:rsidR="0018273A">
        <w:rPr>
          <w:lang w:val="en-GB"/>
        </w:rPr>
        <w:t>of</w:t>
      </w:r>
      <w:r w:rsidRPr="001D77D9">
        <w:rPr>
          <w:lang w:val="en-GB"/>
        </w:rPr>
        <w:t xml:space="preserve"> </w:t>
      </w:r>
      <w:r w:rsidRPr="001D77D9" w:rsidR="00A61F44">
        <w:rPr>
          <w:lang w:val="en-GB"/>
        </w:rPr>
        <w:t>Turkey</w:t>
      </w:r>
      <w:r w:rsidRPr="001D77D9" w:rsidR="0018273A">
        <w:rPr>
          <w:lang w:val="en-GB"/>
        </w:rPr>
        <w:t xml:space="preserve"> and </w:t>
      </w:r>
      <w:r w:rsidRPr="001D77D9" w:rsidR="00A61F44">
        <w:rPr>
          <w:lang w:val="en-GB"/>
        </w:rPr>
        <w:t>members</w:t>
      </w:r>
      <w:r w:rsidRPr="001D77D9">
        <w:rPr>
          <w:lang w:val="en-GB"/>
        </w:rPr>
        <w:t xml:space="preserve"> </w:t>
      </w:r>
      <w:r w:rsidRPr="001D77D9" w:rsidR="0018273A">
        <w:rPr>
          <w:lang w:val="en-GB"/>
        </w:rPr>
        <w:t>of the law-en</w:t>
      </w:r>
      <w:r w:rsidRPr="001D77D9">
        <w:rPr>
          <w:lang w:val="en-GB"/>
        </w:rPr>
        <w:t>force</w:t>
      </w:r>
      <w:r w:rsidRPr="001D77D9" w:rsidR="0018273A">
        <w:rPr>
          <w:lang w:val="en-GB"/>
        </w:rPr>
        <w:t xml:space="preserve">ment </w:t>
      </w:r>
      <w:r w:rsidRPr="001D77D9" w:rsidR="00A61F44">
        <w:rPr>
          <w:lang w:val="en-GB"/>
        </w:rPr>
        <w:t>agencies</w:t>
      </w:r>
      <w:r w:rsidRPr="001D77D9">
        <w:rPr>
          <w:lang w:val="en-GB"/>
        </w:rPr>
        <w:t>.</w:t>
      </w:r>
    </w:p>
    <w:p w:rsidRPr="001D77D9" w:rsidR="003E27EB" w:rsidP="003E27EB" w:rsidRDefault="003E27EB">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99</w:t>
      </w:r>
      <w:r w:rsidRPr="001D77D9">
        <w:rPr>
          <w:lang w:val="en-GB"/>
        </w:rPr>
        <w:fldChar w:fldCharType="end"/>
      </w:r>
      <w:r w:rsidRPr="001D77D9">
        <w:rPr>
          <w:lang w:val="en-GB"/>
        </w:rPr>
        <w:t>.  </w:t>
      </w:r>
      <w:r w:rsidRPr="001D77D9" w:rsidR="006706A5">
        <w:rPr>
          <w:lang w:val="en-GB"/>
        </w:rPr>
        <w:t>The Government pointed out in that context that</w:t>
      </w:r>
      <w:r w:rsidRPr="001D77D9" w:rsidR="007F6A83">
        <w:rPr>
          <w:lang w:val="en-GB"/>
        </w:rPr>
        <w:t>, contrary to</w:t>
      </w:r>
      <w:r w:rsidRPr="001D77D9" w:rsidR="006706A5">
        <w:rPr>
          <w:lang w:val="en-GB"/>
        </w:rPr>
        <w:t xml:space="preserve"> the applicants</w:t>
      </w:r>
      <w:r w:rsidR="00934B09">
        <w:rPr>
          <w:lang w:val="en-GB"/>
        </w:rPr>
        <w:t>’</w:t>
      </w:r>
      <w:r w:rsidRPr="001D77D9" w:rsidR="006706A5">
        <w:rPr>
          <w:lang w:val="en-GB"/>
        </w:rPr>
        <w:t xml:space="preserve"> </w:t>
      </w:r>
      <w:r w:rsidRPr="001D77D9" w:rsidR="00A61F44">
        <w:rPr>
          <w:lang w:val="en-GB"/>
        </w:rPr>
        <w:t>allegations</w:t>
      </w:r>
      <w:r w:rsidRPr="001D77D9">
        <w:rPr>
          <w:lang w:val="en-GB"/>
        </w:rPr>
        <w:t xml:space="preserve">, </w:t>
      </w:r>
      <w:r w:rsidRPr="001D77D9" w:rsidR="006706A5">
        <w:rPr>
          <w:lang w:val="en-GB"/>
        </w:rPr>
        <w:t>the</w:t>
      </w:r>
      <w:r w:rsidRPr="001D77D9">
        <w:rPr>
          <w:lang w:val="en-GB"/>
        </w:rPr>
        <w:t xml:space="preserve"> </w:t>
      </w:r>
      <w:r w:rsidRPr="001D77D9" w:rsidR="00A61F44">
        <w:rPr>
          <w:lang w:val="en-GB"/>
        </w:rPr>
        <w:t>decisions</w:t>
      </w:r>
      <w:r w:rsidRPr="001D77D9">
        <w:rPr>
          <w:lang w:val="en-GB"/>
        </w:rPr>
        <w:t xml:space="preserve"> </w:t>
      </w:r>
      <w:r w:rsidRPr="001D77D9" w:rsidR="00A61F44">
        <w:rPr>
          <w:lang w:val="en-GB"/>
        </w:rPr>
        <w:t>concerning</w:t>
      </w:r>
      <w:r w:rsidRPr="001D77D9" w:rsidR="007F6A83">
        <w:rPr>
          <w:lang w:val="en-GB"/>
        </w:rPr>
        <w:t xml:space="preserve"> th</w:t>
      </w:r>
      <w:r w:rsidRPr="001D77D9">
        <w:rPr>
          <w:lang w:val="en-GB"/>
        </w:rPr>
        <w:t>e refus</w:t>
      </w:r>
      <w:r w:rsidRPr="001D77D9" w:rsidR="007F6A83">
        <w:rPr>
          <w:lang w:val="en-GB"/>
        </w:rPr>
        <w:t>al to deliver the</w:t>
      </w:r>
      <w:r w:rsidRPr="001D77D9">
        <w:rPr>
          <w:lang w:val="en-GB"/>
        </w:rPr>
        <w:t xml:space="preserve"> publications </w:t>
      </w:r>
      <w:r w:rsidRPr="001D77D9" w:rsidR="007F6A83">
        <w:rPr>
          <w:lang w:val="en-GB"/>
        </w:rPr>
        <w:t xml:space="preserve">had not been based on the </w:t>
      </w:r>
      <w:r w:rsidRPr="001D77D9" w:rsidR="00A61F44">
        <w:rPr>
          <w:lang w:val="en-GB"/>
        </w:rPr>
        <w:t>fact</w:t>
      </w:r>
      <w:r w:rsidRPr="001D77D9">
        <w:rPr>
          <w:lang w:val="en-GB"/>
        </w:rPr>
        <w:t xml:space="preserve"> </w:t>
      </w:r>
      <w:r w:rsidRPr="001D77D9" w:rsidR="007F6A83">
        <w:rPr>
          <w:lang w:val="en-GB"/>
        </w:rPr>
        <w:t xml:space="preserve">that the </w:t>
      </w:r>
      <w:r w:rsidRPr="001D77D9" w:rsidR="004E05A7">
        <w:rPr>
          <w:lang w:val="en-GB"/>
        </w:rPr>
        <w:t>edition</w:t>
      </w:r>
      <w:r w:rsidRPr="001D77D9" w:rsidR="007F6A83">
        <w:rPr>
          <w:lang w:val="en-GB"/>
        </w:rPr>
        <w:t xml:space="preserve">s in question had been in </w:t>
      </w:r>
      <w:r w:rsidRPr="001D77D9" w:rsidR="00A61F44">
        <w:rPr>
          <w:lang w:val="en-GB"/>
        </w:rPr>
        <w:t>Kurdish</w:t>
      </w:r>
      <w:r w:rsidRPr="001D77D9">
        <w:rPr>
          <w:lang w:val="en-GB"/>
        </w:rPr>
        <w:t xml:space="preserve">. </w:t>
      </w:r>
      <w:r w:rsidRPr="001D77D9" w:rsidR="007F6A83">
        <w:rPr>
          <w:lang w:val="en-GB"/>
        </w:rPr>
        <w:t>There was no prohibi</w:t>
      </w:r>
      <w:r w:rsidRPr="001D77D9">
        <w:rPr>
          <w:lang w:val="en-GB"/>
        </w:rPr>
        <w:t xml:space="preserve">tion </w:t>
      </w:r>
      <w:r w:rsidRPr="001D77D9" w:rsidR="007F6A83">
        <w:rPr>
          <w:lang w:val="en-GB"/>
        </w:rPr>
        <w:t>on</w:t>
      </w:r>
      <w:r w:rsidRPr="001D77D9">
        <w:rPr>
          <w:lang w:val="en-GB"/>
        </w:rPr>
        <w:t xml:space="preserve"> publications </w:t>
      </w:r>
      <w:r w:rsidRPr="001D77D9" w:rsidR="007F6A83">
        <w:rPr>
          <w:lang w:val="en-GB"/>
        </w:rPr>
        <w:t>in</w:t>
      </w:r>
      <w:r w:rsidRPr="001D77D9">
        <w:rPr>
          <w:lang w:val="en-GB"/>
        </w:rPr>
        <w:t xml:space="preserve"> </w:t>
      </w:r>
      <w:r w:rsidRPr="001D77D9" w:rsidR="00A61F44">
        <w:rPr>
          <w:lang w:val="en-GB"/>
        </w:rPr>
        <w:t>languages</w:t>
      </w:r>
      <w:r w:rsidRPr="001D77D9" w:rsidR="007F6A83">
        <w:rPr>
          <w:lang w:val="en-GB"/>
        </w:rPr>
        <w:t xml:space="preserve"> other than</w:t>
      </w:r>
      <w:r w:rsidRPr="001D77D9">
        <w:rPr>
          <w:lang w:val="en-GB"/>
        </w:rPr>
        <w:t xml:space="preserve"> </w:t>
      </w:r>
      <w:r w:rsidRPr="001D77D9" w:rsidR="00A61F44">
        <w:rPr>
          <w:lang w:val="en-GB"/>
        </w:rPr>
        <w:t>Turkish</w:t>
      </w:r>
      <w:r w:rsidRPr="001D77D9">
        <w:rPr>
          <w:lang w:val="en-GB"/>
        </w:rPr>
        <w:t>,</w:t>
      </w:r>
      <w:r w:rsidRPr="001D77D9" w:rsidR="00F103A7">
        <w:rPr>
          <w:lang w:val="en-GB"/>
        </w:rPr>
        <w:t xml:space="preserve"> and decisions on whether or not to deliver </w:t>
      </w:r>
      <w:r w:rsidRPr="001D77D9">
        <w:rPr>
          <w:lang w:val="en-GB"/>
        </w:rPr>
        <w:t xml:space="preserve">publications </w:t>
      </w:r>
      <w:r w:rsidRPr="001D77D9" w:rsidR="00F103A7">
        <w:rPr>
          <w:lang w:val="en-GB"/>
        </w:rPr>
        <w:t>to prisoners did not</w:t>
      </w:r>
      <w:r w:rsidRPr="001D77D9">
        <w:rPr>
          <w:lang w:val="en-GB"/>
        </w:rPr>
        <w:t xml:space="preserve"> </w:t>
      </w:r>
      <w:r w:rsidRPr="001D77D9" w:rsidR="00A61F44">
        <w:rPr>
          <w:lang w:val="en-GB"/>
        </w:rPr>
        <w:t>depend</w:t>
      </w:r>
      <w:r w:rsidRPr="001D77D9">
        <w:rPr>
          <w:lang w:val="en-GB"/>
        </w:rPr>
        <w:t xml:space="preserve"> </w:t>
      </w:r>
      <w:r w:rsidRPr="001D77D9" w:rsidR="00F103A7">
        <w:rPr>
          <w:lang w:val="en-GB"/>
        </w:rPr>
        <w:t xml:space="preserve">on which </w:t>
      </w:r>
      <w:r w:rsidRPr="001D77D9" w:rsidR="00A61F44">
        <w:rPr>
          <w:lang w:val="en-GB"/>
        </w:rPr>
        <w:t>language</w:t>
      </w:r>
      <w:r w:rsidRPr="001D77D9" w:rsidR="00F103A7">
        <w:rPr>
          <w:lang w:val="en-GB"/>
        </w:rPr>
        <w:t xml:space="preserve"> they used</w:t>
      </w:r>
      <w:r w:rsidRPr="001D77D9">
        <w:rPr>
          <w:lang w:val="en-GB"/>
        </w:rPr>
        <w:t xml:space="preserve">. </w:t>
      </w:r>
      <w:r w:rsidRPr="001D77D9" w:rsidR="00A61F44">
        <w:rPr>
          <w:lang w:val="en-GB"/>
        </w:rPr>
        <w:t>The Government explained that</w:t>
      </w:r>
      <w:r w:rsidRPr="001D77D9">
        <w:rPr>
          <w:lang w:val="en-GB"/>
        </w:rPr>
        <w:t xml:space="preserve"> publications </w:t>
      </w:r>
      <w:r w:rsidRPr="001D77D9" w:rsidR="00A61F44">
        <w:rPr>
          <w:lang w:val="en-GB"/>
        </w:rPr>
        <w:t>which had not been the subject</w:t>
      </w:r>
      <w:r w:rsidRPr="001D77D9">
        <w:rPr>
          <w:lang w:val="en-GB"/>
        </w:rPr>
        <w:t xml:space="preserve"> </w:t>
      </w:r>
      <w:r w:rsidRPr="001D77D9" w:rsidR="00A61F44">
        <w:rPr>
          <w:lang w:val="en-GB"/>
        </w:rPr>
        <w:t>of a</w:t>
      </w:r>
      <w:r w:rsidRPr="001D77D9">
        <w:rPr>
          <w:lang w:val="en-GB"/>
        </w:rPr>
        <w:t xml:space="preserve"> judicia</w:t>
      </w:r>
      <w:r w:rsidRPr="001D77D9" w:rsidR="00A61F44">
        <w:rPr>
          <w:lang w:val="en-GB"/>
        </w:rPr>
        <w:t>l prohibition, whose</w:t>
      </w:r>
      <w:r w:rsidRPr="001D77D9">
        <w:rPr>
          <w:lang w:val="en-GB"/>
        </w:rPr>
        <w:t xml:space="preserve"> </w:t>
      </w:r>
      <w:r w:rsidRPr="001D77D9" w:rsidR="00A61F44">
        <w:rPr>
          <w:lang w:val="en-GB"/>
        </w:rPr>
        <w:t>content</w:t>
      </w:r>
      <w:r w:rsidRPr="001D77D9">
        <w:rPr>
          <w:lang w:val="en-GB"/>
        </w:rPr>
        <w:t xml:space="preserve"> comp</w:t>
      </w:r>
      <w:r w:rsidRPr="001D77D9" w:rsidR="00A61F44">
        <w:rPr>
          <w:lang w:val="en-GB"/>
        </w:rPr>
        <w:t>rised no criminal</w:t>
      </w:r>
      <w:r w:rsidRPr="001D77D9">
        <w:rPr>
          <w:lang w:val="en-GB"/>
        </w:rPr>
        <w:t xml:space="preserve"> </w:t>
      </w:r>
      <w:r w:rsidRPr="001D77D9" w:rsidR="00A61F44">
        <w:rPr>
          <w:lang w:val="en-GB"/>
        </w:rPr>
        <w:t>element</w:t>
      </w:r>
      <w:r w:rsidRPr="001D77D9">
        <w:rPr>
          <w:lang w:val="en-GB"/>
        </w:rPr>
        <w:t xml:space="preserve"> </w:t>
      </w:r>
      <w:r w:rsidRPr="001D77D9" w:rsidR="00A61F44">
        <w:rPr>
          <w:lang w:val="en-GB"/>
        </w:rPr>
        <w:t>and which posed no threat to prison security</w:t>
      </w:r>
      <w:r w:rsidRPr="001D77D9">
        <w:rPr>
          <w:lang w:val="en-GB"/>
        </w:rPr>
        <w:t xml:space="preserve"> </w:t>
      </w:r>
      <w:r w:rsidRPr="001D77D9" w:rsidR="00A61F44">
        <w:rPr>
          <w:lang w:val="en-GB"/>
        </w:rPr>
        <w:t>were delivered to prisoners regardless of the language in which they were printed</w:t>
      </w:r>
      <w:r w:rsidRPr="001D77D9">
        <w:rPr>
          <w:lang w:val="en-GB"/>
        </w:rPr>
        <w:t>.</w:t>
      </w:r>
    </w:p>
    <w:p w:rsidRPr="001D77D9" w:rsidR="003E27EB" w:rsidP="003E27EB" w:rsidRDefault="003E27EB">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100</w:t>
      </w:r>
      <w:r w:rsidRPr="001D77D9">
        <w:rPr>
          <w:lang w:val="en-GB"/>
        </w:rPr>
        <w:fldChar w:fldCharType="end"/>
      </w:r>
      <w:r w:rsidRPr="001D77D9">
        <w:rPr>
          <w:lang w:val="en-GB"/>
        </w:rPr>
        <w:t>.  </w:t>
      </w:r>
      <w:r w:rsidRPr="001D77D9" w:rsidR="00BB4D21">
        <w:rPr>
          <w:lang w:val="en-GB"/>
        </w:rPr>
        <w:t>With</w:t>
      </w:r>
      <w:r w:rsidRPr="001D77D9" w:rsidR="00A61F44">
        <w:rPr>
          <w:lang w:val="en-GB"/>
        </w:rPr>
        <w:t xml:space="preserve"> </w:t>
      </w:r>
      <w:r w:rsidRPr="001D77D9" w:rsidR="00BB4D21">
        <w:rPr>
          <w:lang w:val="en-GB"/>
        </w:rPr>
        <w:t xml:space="preserve">reference </w:t>
      </w:r>
      <w:r w:rsidRPr="001D77D9" w:rsidR="00A61F44">
        <w:rPr>
          <w:lang w:val="en-GB"/>
        </w:rPr>
        <w:t>to the</w:t>
      </w:r>
      <w:r w:rsidRPr="001D77D9">
        <w:rPr>
          <w:lang w:val="en-GB"/>
        </w:rPr>
        <w:t xml:space="preserve"> </w:t>
      </w:r>
      <w:r w:rsidRPr="001D77D9" w:rsidR="00A61F44">
        <w:rPr>
          <w:lang w:val="en-GB"/>
        </w:rPr>
        <w:t>Court</w:t>
      </w:r>
      <w:r w:rsidR="00934B09">
        <w:rPr>
          <w:lang w:val="en-GB"/>
        </w:rPr>
        <w:t>’</w:t>
      </w:r>
      <w:r w:rsidRPr="001D77D9" w:rsidR="00A61F44">
        <w:rPr>
          <w:lang w:val="en-GB"/>
        </w:rPr>
        <w:t>s case-law</w:t>
      </w:r>
      <w:r w:rsidRPr="001D77D9">
        <w:rPr>
          <w:lang w:val="en-GB"/>
        </w:rPr>
        <w:t xml:space="preserve"> (</w:t>
      </w:r>
      <w:r w:rsidRPr="001D77D9" w:rsidR="008C4450">
        <w:rPr>
          <w:lang w:val="en-GB"/>
        </w:rPr>
        <w:t>specifical</w:t>
      </w:r>
      <w:r w:rsidRPr="001D77D9" w:rsidR="00A61F44">
        <w:rPr>
          <w:lang w:val="en-GB"/>
        </w:rPr>
        <w:t>ly</w:t>
      </w:r>
      <w:r w:rsidRPr="001D77D9" w:rsidR="008C4450">
        <w:rPr>
          <w:lang w:val="en-GB"/>
        </w:rPr>
        <w:t>,</w:t>
      </w:r>
      <w:r w:rsidRPr="001D77D9" w:rsidR="00A61F44">
        <w:rPr>
          <w:lang w:val="en-GB"/>
        </w:rPr>
        <w:t xml:space="preserve"> </w:t>
      </w:r>
      <w:proofErr w:type="spellStart"/>
      <w:r w:rsidRPr="001D77D9">
        <w:rPr>
          <w:i/>
          <w:lang w:val="en-GB"/>
        </w:rPr>
        <w:t>Handyside</w:t>
      </w:r>
      <w:proofErr w:type="spellEnd"/>
      <w:r w:rsidRPr="001D77D9">
        <w:rPr>
          <w:i/>
          <w:lang w:val="en-GB"/>
        </w:rPr>
        <w:t xml:space="preserve"> </w:t>
      </w:r>
      <w:r w:rsidRPr="001D77D9" w:rsidR="00A61F44">
        <w:rPr>
          <w:i/>
          <w:lang w:val="en-GB"/>
        </w:rPr>
        <w:t>v</w:t>
      </w:r>
      <w:r w:rsidRPr="001D77D9">
        <w:rPr>
          <w:i/>
          <w:lang w:val="en-GB"/>
        </w:rPr>
        <w:t>. </w:t>
      </w:r>
      <w:r w:rsidRPr="001D77D9" w:rsidR="00A61F44">
        <w:rPr>
          <w:i/>
          <w:lang w:val="en-GB"/>
        </w:rPr>
        <w:t xml:space="preserve">the </w:t>
      </w:r>
      <w:r w:rsidRPr="001D77D9">
        <w:rPr>
          <w:i/>
          <w:lang w:val="en-GB"/>
        </w:rPr>
        <w:t>Uni</w:t>
      </w:r>
      <w:r w:rsidRPr="001D77D9" w:rsidR="00A61F44">
        <w:rPr>
          <w:i/>
          <w:lang w:val="en-GB"/>
        </w:rPr>
        <w:t>ted Kingdom</w:t>
      </w:r>
      <w:r w:rsidRPr="001D77D9">
        <w:rPr>
          <w:lang w:val="en-GB"/>
        </w:rPr>
        <w:t xml:space="preserve">, 7 </w:t>
      </w:r>
      <w:r w:rsidRPr="001D77D9" w:rsidR="00C526B6">
        <w:rPr>
          <w:lang w:val="en-GB"/>
        </w:rPr>
        <w:t>December</w:t>
      </w:r>
      <w:r w:rsidRPr="001D77D9">
        <w:rPr>
          <w:lang w:val="en-GB"/>
        </w:rPr>
        <w:t xml:space="preserve"> 1976, § 49, </w:t>
      </w:r>
      <w:r w:rsidRPr="001D77D9" w:rsidR="00C526B6">
        <w:rPr>
          <w:lang w:val="en-GB"/>
        </w:rPr>
        <w:t>Series</w:t>
      </w:r>
      <w:r w:rsidRPr="001D77D9">
        <w:rPr>
          <w:lang w:val="en-GB"/>
        </w:rPr>
        <w:t xml:space="preserve"> </w:t>
      </w:r>
      <w:proofErr w:type="gramStart"/>
      <w:r w:rsidRPr="001D77D9">
        <w:rPr>
          <w:lang w:val="en-GB"/>
        </w:rPr>
        <w:t>A</w:t>
      </w:r>
      <w:proofErr w:type="gramEnd"/>
      <w:r w:rsidRPr="001D77D9">
        <w:rPr>
          <w:lang w:val="en-GB"/>
        </w:rPr>
        <w:t xml:space="preserve"> n</w:t>
      </w:r>
      <w:r w:rsidRPr="001D77D9" w:rsidR="00A61F44">
        <w:rPr>
          <w:lang w:val="en-GB"/>
        </w:rPr>
        <w:t>o.</w:t>
      </w:r>
      <w:r w:rsidRPr="001D77D9">
        <w:rPr>
          <w:lang w:val="en-GB"/>
        </w:rPr>
        <w:t xml:space="preserve"> 24)</w:t>
      </w:r>
      <w:r w:rsidRPr="001D77D9" w:rsidR="00F35A8B">
        <w:rPr>
          <w:lang w:val="en-GB"/>
        </w:rPr>
        <w:t>,</w:t>
      </w:r>
      <w:r w:rsidRPr="001D77D9" w:rsidR="00A61F44">
        <w:rPr>
          <w:lang w:val="en-GB"/>
        </w:rPr>
        <w:t xml:space="preserve"> </w:t>
      </w:r>
      <w:r w:rsidRPr="001D77D9" w:rsidR="00BB4D21">
        <w:rPr>
          <w:lang w:val="en-GB"/>
        </w:rPr>
        <w:t xml:space="preserve">the Government </w:t>
      </w:r>
      <w:r w:rsidRPr="001D77D9" w:rsidR="00F4212B">
        <w:rPr>
          <w:lang w:val="en-GB"/>
        </w:rPr>
        <w:t>explain</w:t>
      </w:r>
      <w:r w:rsidRPr="001D77D9" w:rsidR="00BB4D21">
        <w:rPr>
          <w:lang w:val="en-GB"/>
        </w:rPr>
        <w:t xml:space="preserve">ed </w:t>
      </w:r>
      <w:r w:rsidRPr="001D77D9" w:rsidR="00A61F44">
        <w:rPr>
          <w:lang w:val="en-GB"/>
        </w:rPr>
        <w:t>that the right to freedom of</w:t>
      </w:r>
      <w:r w:rsidRPr="001D77D9">
        <w:rPr>
          <w:lang w:val="en-GB"/>
        </w:rPr>
        <w:t xml:space="preserve"> expression </w:t>
      </w:r>
      <w:r w:rsidRPr="001D77D9" w:rsidR="00A61F44">
        <w:rPr>
          <w:lang w:val="en-GB"/>
        </w:rPr>
        <w:t xml:space="preserve">was </w:t>
      </w:r>
      <w:r w:rsidRPr="001D77D9" w:rsidR="00C526B6">
        <w:rPr>
          <w:lang w:val="en-GB"/>
        </w:rPr>
        <w:t>not</w:t>
      </w:r>
      <w:r w:rsidRPr="001D77D9">
        <w:rPr>
          <w:lang w:val="en-GB"/>
        </w:rPr>
        <w:t xml:space="preserve"> absolu</w:t>
      </w:r>
      <w:r w:rsidRPr="001D77D9" w:rsidR="00E405BA">
        <w:rPr>
          <w:lang w:val="en-GB"/>
        </w:rPr>
        <w:t xml:space="preserve">te </w:t>
      </w:r>
      <w:r w:rsidRPr="001D77D9" w:rsidR="00C526B6">
        <w:rPr>
          <w:lang w:val="en-GB"/>
        </w:rPr>
        <w:t>but</w:t>
      </w:r>
      <w:r w:rsidRPr="001D77D9" w:rsidR="00E405BA">
        <w:rPr>
          <w:lang w:val="en-GB"/>
        </w:rPr>
        <w:t xml:space="preserve"> </w:t>
      </w:r>
      <w:r w:rsidRPr="001D77D9" w:rsidR="00327CFC">
        <w:rPr>
          <w:lang w:val="en-GB"/>
        </w:rPr>
        <w:t xml:space="preserve">also </w:t>
      </w:r>
      <w:r w:rsidRPr="001D77D9" w:rsidR="00E405BA">
        <w:rPr>
          <w:lang w:val="en-GB"/>
        </w:rPr>
        <w:t>included</w:t>
      </w:r>
      <w:r w:rsidRPr="001D77D9">
        <w:rPr>
          <w:lang w:val="en-GB"/>
        </w:rPr>
        <w:t xml:space="preserve"> </w:t>
      </w:r>
      <w:r w:rsidRPr="001D77D9" w:rsidR="00C526B6">
        <w:rPr>
          <w:lang w:val="en-GB"/>
        </w:rPr>
        <w:t>duties</w:t>
      </w:r>
      <w:r w:rsidRPr="001D77D9" w:rsidR="00E405BA">
        <w:rPr>
          <w:lang w:val="en-GB"/>
        </w:rPr>
        <w:t xml:space="preserve"> and</w:t>
      </w:r>
      <w:r w:rsidRPr="001D77D9">
        <w:rPr>
          <w:lang w:val="en-GB"/>
        </w:rPr>
        <w:t xml:space="preserve"> </w:t>
      </w:r>
      <w:r w:rsidRPr="001D77D9" w:rsidR="00C526B6">
        <w:rPr>
          <w:lang w:val="en-GB"/>
        </w:rPr>
        <w:t>responsibilities</w:t>
      </w:r>
      <w:r w:rsidRPr="001D77D9">
        <w:rPr>
          <w:lang w:val="en-GB"/>
        </w:rPr>
        <w:t xml:space="preserve">. </w:t>
      </w:r>
      <w:r w:rsidRPr="001D77D9" w:rsidR="00C526B6">
        <w:rPr>
          <w:lang w:val="en-GB"/>
        </w:rPr>
        <w:t>Furthermore</w:t>
      </w:r>
      <w:r w:rsidRPr="001D77D9">
        <w:rPr>
          <w:lang w:val="en-GB"/>
        </w:rPr>
        <w:t xml:space="preserve">, </w:t>
      </w:r>
      <w:r w:rsidRPr="001D77D9" w:rsidR="00E405BA">
        <w:rPr>
          <w:lang w:val="en-GB"/>
        </w:rPr>
        <w:t xml:space="preserve">they submitted that the scope of </w:t>
      </w:r>
      <w:r w:rsidRPr="001D77D9" w:rsidR="00C526B6">
        <w:rPr>
          <w:lang w:val="en-GB"/>
        </w:rPr>
        <w:t>this right</w:t>
      </w:r>
      <w:r w:rsidRPr="001D77D9" w:rsidR="00E405BA">
        <w:rPr>
          <w:lang w:val="en-GB"/>
        </w:rPr>
        <w:t xml:space="preserve"> was not the same for prisoners as for other persons. In support of their assertion they</w:t>
      </w:r>
      <w:r w:rsidRPr="001D77D9">
        <w:rPr>
          <w:lang w:val="en-GB"/>
        </w:rPr>
        <w:t xml:space="preserve"> cite</w:t>
      </w:r>
      <w:r w:rsidRPr="001D77D9" w:rsidR="00E405BA">
        <w:rPr>
          <w:lang w:val="en-GB"/>
        </w:rPr>
        <w:t>d</w:t>
      </w:r>
      <w:r w:rsidRPr="001D77D9">
        <w:rPr>
          <w:lang w:val="en-GB"/>
        </w:rPr>
        <w:t xml:space="preserve"> situations </w:t>
      </w:r>
      <w:r w:rsidRPr="001D77D9" w:rsidR="00E405BA">
        <w:rPr>
          <w:lang w:val="en-GB"/>
        </w:rPr>
        <w:t>where that right could, in their view, be restricted, and they stated that the authorities</w:t>
      </w:r>
      <w:r w:rsidR="00934B09">
        <w:rPr>
          <w:lang w:val="en-GB"/>
        </w:rPr>
        <w:t>’</w:t>
      </w:r>
      <w:r w:rsidRPr="001D77D9" w:rsidR="00E405BA">
        <w:rPr>
          <w:lang w:val="en-GB"/>
        </w:rPr>
        <w:t xml:space="preserve"> refusal in the instant case to deliver the </w:t>
      </w:r>
      <w:r w:rsidRPr="001D77D9">
        <w:rPr>
          <w:lang w:val="en-GB"/>
        </w:rPr>
        <w:t xml:space="preserve">publications </w:t>
      </w:r>
      <w:r w:rsidRPr="001D77D9" w:rsidR="00E405BA">
        <w:rPr>
          <w:lang w:val="en-GB"/>
        </w:rPr>
        <w:t>should be assessed in the light of A</w:t>
      </w:r>
      <w:r w:rsidRPr="001D77D9">
        <w:rPr>
          <w:lang w:val="en-GB"/>
        </w:rPr>
        <w:t xml:space="preserve">rticle 10 § 2 </w:t>
      </w:r>
      <w:r w:rsidRPr="001D77D9" w:rsidR="00E405BA">
        <w:rPr>
          <w:lang w:val="en-GB"/>
        </w:rPr>
        <w:t>of the</w:t>
      </w:r>
      <w:r w:rsidRPr="001D77D9">
        <w:rPr>
          <w:lang w:val="en-GB"/>
        </w:rPr>
        <w:t xml:space="preserve"> Convention. </w:t>
      </w:r>
      <w:r w:rsidRPr="001D77D9" w:rsidR="00E405BA">
        <w:rPr>
          <w:lang w:val="en-GB"/>
        </w:rPr>
        <w:t>The Government contended that such delivery could be subject to</w:t>
      </w:r>
      <w:r w:rsidRPr="001D77D9">
        <w:rPr>
          <w:lang w:val="en-GB"/>
        </w:rPr>
        <w:t xml:space="preserve"> restrictions </w:t>
      </w:r>
      <w:r w:rsidRPr="001D77D9" w:rsidR="00E405BA">
        <w:rPr>
          <w:lang w:val="en-GB"/>
        </w:rPr>
        <w:t>under the material</w:t>
      </w:r>
      <w:r w:rsidRPr="001D77D9">
        <w:rPr>
          <w:lang w:val="en-GB"/>
        </w:rPr>
        <w:t xml:space="preserve"> conditions </w:t>
      </w:r>
      <w:r w:rsidRPr="001D77D9" w:rsidR="00E405BA">
        <w:rPr>
          <w:lang w:val="en-GB"/>
        </w:rPr>
        <w:t>and according to the</w:t>
      </w:r>
      <w:r w:rsidRPr="001D77D9">
        <w:rPr>
          <w:lang w:val="en-GB"/>
        </w:rPr>
        <w:t xml:space="preserve"> </w:t>
      </w:r>
      <w:r w:rsidRPr="001D77D9" w:rsidR="00C526B6">
        <w:rPr>
          <w:lang w:val="en-GB"/>
        </w:rPr>
        <w:t>formalities</w:t>
      </w:r>
      <w:r w:rsidRPr="001D77D9">
        <w:rPr>
          <w:lang w:val="en-GB"/>
        </w:rPr>
        <w:t xml:space="preserve"> </w:t>
      </w:r>
      <w:r w:rsidRPr="001D77D9" w:rsidR="00E405BA">
        <w:rPr>
          <w:lang w:val="en-GB"/>
        </w:rPr>
        <w:t>prescribed by law. In the present case they</w:t>
      </w:r>
      <w:r w:rsidRPr="001D77D9">
        <w:rPr>
          <w:lang w:val="en-GB"/>
        </w:rPr>
        <w:t xml:space="preserve"> </w:t>
      </w:r>
      <w:r w:rsidRPr="001D77D9" w:rsidR="00E405BA">
        <w:rPr>
          <w:lang w:val="en-GB"/>
        </w:rPr>
        <w:t>considered that the</w:t>
      </w:r>
      <w:r w:rsidRPr="001D77D9">
        <w:rPr>
          <w:lang w:val="en-GB"/>
        </w:rPr>
        <w:t xml:space="preserve"> restriction c</w:t>
      </w:r>
      <w:r w:rsidRPr="001D77D9" w:rsidR="00E405BA">
        <w:rPr>
          <w:lang w:val="en-GB"/>
        </w:rPr>
        <w:t>omplained of had been lawful and that there had therefore been no</w:t>
      </w:r>
      <w:r w:rsidRPr="001D77D9">
        <w:rPr>
          <w:lang w:val="en-GB"/>
        </w:rPr>
        <w:t xml:space="preserve"> violation </w:t>
      </w:r>
      <w:r w:rsidRPr="001D77D9" w:rsidR="00E405BA">
        <w:rPr>
          <w:lang w:val="en-GB"/>
        </w:rPr>
        <w:t>of the applicants</w:t>
      </w:r>
      <w:r w:rsidR="00934B09">
        <w:rPr>
          <w:lang w:val="en-GB"/>
        </w:rPr>
        <w:t>’</w:t>
      </w:r>
      <w:r w:rsidRPr="001D77D9" w:rsidR="00E405BA">
        <w:rPr>
          <w:lang w:val="en-GB"/>
        </w:rPr>
        <w:t xml:space="preserve"> right to freedom of</w:t>
      </w:r>
      <w:r w:rsidRPr="001D77D9">
        <w:rPr>
          <w:lang w:val="en-GB"/>
        </w:rPr>
        <w:t xml:space="preserve"> expression. </w:t>
      </w:r>
      <w:r w:rsidRPr="001D77D9" w:rsidR="007B311C">
        <w:rPr>
          <w:lang w:val="en-GB"/>
        </w:rPr>
        <w:t>Finally, they state</w:t>
      </w:r>
      <w:r w:rsidRPr="001D77D9" w:rsidR="00D04ED4">
        <w:rPr>
          <w:lang w:val="en-GB"/>
        </w:rPr>
        <w:t>d</w:t>
      </w:r>
      <w:r w:rsidRPr="001D77D9" w:rsidR="007B311C">
        <w:rPr>
          <w:lang w:val="en-GB"/>
        </w:rPr>
        <w:t xml:space="preserve"> that th</w:t>
      </w:r>
      <w:r w:rsidRPr="001D77D9" w:rsidR="00D04ED4">
        <w:rPr>
          <w:lang w:val="en-GB"/>
        </w:rPr>
        <w:t>e</w:t>
      </w:r>
      <w:r w:rsidRPr="001D77D9">
        <w:rPr>
          <w:lang w:val="en-GB"/>
        </w:rPr>
        <w:t xml:space="preserve"> restriction </w:t>
      </w:r>
      <w:r w:rsidRPr="001D77D9" w:rsidR="007B311C">
        <w:rPr>
          <w:lang w:val="en-GB"/>
        </w:rPr>
        <w:t xml:space="preserve">had had the further aim of preventing a </w:t>
      </w:r>
      <w:r w:rsidRPr="001D77D9" w:rsidR="00C526B6">
        <w:rPr>
          <w:lang w:val="en-GB"/>
        </w:rPr>
        <w:t>terrorist</w:t>
      </w:r>
      <w:r w:rsidRPr="001D77D9" w:rsidR="007B311C">
        <w:rPr>
          <w:lang w:val="en-GB"/>
        </w:rPr>
        <w:t xml:space="preserve"> </w:t>
      </w:r>
      <w:r w:rsidRPr="001D77D9">
        <w:rPr>
          <w:lang w:val="en-GB"/>
        </w:rPr>
        <w:t xml:space="preserve">organisation </w:t>
      </w:r>
      <w:r w:rsidRPr="001D77D9" w:rsidR="007B311C">
        <w:rPr>
          <w:lang w:val="en-GB"/>
        </w:rPr>
        <w:t xml:space="preserve">from </w:t>
      </w:r>
      <w:r w:rsidRPr="001D77D9" w:rsidR="00C526B6">
        <w:rPr>
          <w:lang w:val="en-GB"/>
        </w:rPr>
        <w:t>acquiring</w:t>
      </w:r>
      <w:r w:rsidRPr="001D77D9">
        <w:rPr>
          <w:lang w:val="en-GB"/>
        </w:rPr>
        <w:t xml:space="preserve"> </w:t>
      </w:r>
      <w:r w:rsidRPr="001D77D9" w:rsidR="00C526B6">
        <w:rPr>
          <w:lang w:val="en-GB"/>
        </w:rPr>
        <w:t>supremacy</w:t>
      </w:r>
      <w:r w:rsidRPr="001D77D9" w:rsidR="007B311C">
        <w:rPr>
          <w:lang w:val="en-GB"/>
        </w:rPr>
        <w:t xml:space="preserve"> in the prison through the intermediary of those</w:t>
      </w:r>
      <w:r w:rsidRPr="001D77D9">
        <w:rPr>
          <w:lang w:val="en-GB"/>
        </w:rPr>
        <w:t xml:space="preserve"> publications, </w:t>
      </w:r>
      <w:r w:rsidRPr="001D77D9" w:rsidR="007B311C">
        <w:rPr>
          <w:lang w:val="en-GB"/>
        </w:rPr>
        <w:t xml:space="preserve">which had rendered the impugned </w:t>
      </w:r>
      <w:r w:rsidRPr="001D77D9" w:rsidR="00C526B6">
        <w:rPr>
          <w:lang w:val="en-GB"/>
        </w:rPr>
        <w:t>decision</w:t>
      </w:r>
      <w:r w:rsidRPr="001D77D9">
        <w:rPr>
          <w:lang w:val="en-GB"/>
        </w:rPr>
        <w:t xml:space="preserve"> </w:t>
      </w:r>
      <w:r w:rsidRPr="001D77D9" w:rsidR="00C526B6">
        <w:rPr>
          <w:lang w:val="en-GB"/>
        </w:rPr>
        <w:t>necessary</w:t>
      </w:r>
      <w:r w:rsidRPr="001D77D9">
        <w:rPr>
          <w:lang w:val="en-GB"/>
        </w:rPr>
        <w:t xml:space="preserve">. </w:t>
      </w:r>
      <w:r w:rsidRPr="001D77D9" w:rsidR="007B311C">
        <w:rPr>
          <w:lang w:val="en-GB"/>
        </w:rPr>
        <w:t>The Government</w:t>
      </w:r>
      <w:r w:rsidRPr="001D77D9">
        <w:rPr>
          <w:lang w:val="en-GB"/>
        </w:rPr>
        <w:t xml:space="preserve"> </w:t>
      </w:r>
      <w:r w:rsidRPr="001D77D9" w:rsidR="00C526B6">
        <w:rPr>
          <w:lang w:val="en-GB"/>
        </w:rPr>
        <w:t>referred</w:t>
      </w:r>
      <w:r w:rsidRPr="001D77D9" w:rsidR="007B311C">
        <w:rPr>
          <w:lang w:val="en-GB"/>
        </w:rPr>
        <w:t xml:space="preserve"> in that con</w:t>
      </w:r>
      <w:r w:rsidRPr="001D77D9" w:rsidR="00D04ED4">
        <w:rPr>
          <w:lang w:val="en-GB"/>
        </w:rPr>
        <w:t>nection</w:t>
      </w:r>
      <w:r w:rsidRPr="001D77D9" w:rsidR="007B311C">
        <w:rPr>
          <w:lang w:val="en-GB"/>
        </w:rPr>
        <w:t xml:space="preserve"> to the</w:t>
      </w:r>
      <w:r w:rsidRPr="001D77D9">
        <w:rPr>
          <w:lang w:val="en-GB"/>
        </w:rPr>
        <w:t xml:space="preserve"> </w:t>
      </w:r>
      <w:proofErr w:type="spellStart"/>
      <w:r w:rsidRPr="001D77D9" w:rsidR="007B311C">
        <w:rPr>
          <w:i/>
          <w:lang w:val="en-GB"/>
        </w:rPr>
        <w:t>Erdem</w:t>
      </w:r>
      <w:proofErr w:type="spellEnd"/>
      <w:r w:rsidRPr="001D77D9" w:rsidR="007B311C">
        <w:rPr>
          <w:i/>
          <w:lang w:val="en-GB"/>
        </w:rPr>
        <w:t xml:space="preserve"> v</w:t>
      </w:r>
      <w:r w:rsidRPr="001D77D9">
        <w:rPr>
          <w:i/>
          <w:lang w:val="en-GB"/>
        </w:rPr>
        <w:t>. </w:t>
      </w:r>
      <w:r w:rsidRPr="001D77D9" w:rsidR="00C526B6">
        <w:rPr>
          <w:i/>
          <w:lang w:val="en-GB"/>
        </w:rPr>
        <w:t>Germany</w:t>
      </w:r>
      <w:r w:rsidRPr="001D77D9">
        <w:rPr>
          <w:lang w:val="en-GB"/>
        </w:rPr>
        <w:t xml:space="preserve"> </w:t>
      </w:r>
      <w:r w:rsidRPr="001D77D9" w:rsidR="007B311C">
        <w:rPr>
          <w:lang w:val="en-GB"/>
        </w:rPr>
        <w:t xml:space="preserve">judgment </w:t>
      </w:r>
      <w:r w:rsidRPr="001D77D9">
        <w:rPr>
          <w:lang w:val="en-GB"/>
        </w:rPr>
        <w:t>(n</w:t>
      </w:r>
      <w:r w:rsidRPr="001D77D9" w:rsidR="007B311C">
        <w:rPr>
          <w:lang w:val="en-GB"/>
        </w:rPr>
        <w:t>o.</w:t>
      </w:r>
      <w:r w:rsidRPr="001D77D9">
        <w:rPr>
          <w:lang w:val="en-GB"/>
        </w:rPr>
        <w:t xml:space="preserve"> 38321/97, </w:t>
      </w:r>
      <w:r w:rsidRPr="001D77D9" w:rsidR="007B311C">
        <w:rPr>
          <w:lang w:val="en-GB"/>
        </w:rPr>
        <w:t>E</w:t>
      </w:r>
      <w:r w:rsidRPr="001D77D9">
        <w:rPr>
          <w:lang w:val="en-GB"/>
        </w:rPr>
        <w:t>CH</w:t>
      </w:r>
      <w:r w:rsidRPr="001D77D9" w:rsidR="007B311C">
        <w:rPr>
          <w:lang w:val="en-GB"/>
        </w:rPr>
        <w:t>R</w:t>
      </w:r>
      <w:r w:rsidR="00934B09">
        <w:rPr>
          <w:lang w:val="en-GB"/>
        </w:rPr>
        <w:t> </w:t>
      </w:r>
      <w:r w:rsidRPr="001D77D9">
        <w:rPr>
          <w:lang w:val="en-GB"/>
        </w:rPr>
        <w:t>2001</w:t>
      </w:r>
      <w:r w:rsidRPr="001D77D9">
        <w:rPr>
          <w:lang w:val="en-GB"/>
        </w:rPr>
        <w:noBreakHyphen/>
        <w:t xml:space="preserve">VII) </w:t>
      </w:r>
      <w:r w:rsidRPr="001D77D9" w:rsidR="007B311C">
        <w:rPr>
          <w:lang w:val="en-GB"/>
        </w:rPr>
        <w:t>and the</w:t>
      </w:r>
      <w:r w:rsidRPr="001D77D9">
        <w:rPr>
          <w:lang w:val="en-GB"/>
        </w:rPr>
        <w:t xml:space="preserve"> </w:t>
      </w:r>
      <w:r w:rsidRPr="001D77D9" w:rsidR="00C526B6">
        <w:rPr>
          <w:lang w:val="en-GB"/>
        </w:rPr>
        <w:t>decision</w:t>
      </w:r>
      <w:r w:rsidRPr="001D77D9">
        <w:rPr>
          <w:lang w:val="en-GB"/>
        </w:rPr>
        <w:t xml:space="preserve"> </w:t>
      </w:r>
      <w:r w:rsidRPr="001D77D9" w:rsidR="007B311C">
        <w:rPr>
          <w:lang w:val="en-GB"/>
        </w:rPr>
        <w:t xml:space="preserve">in the case of </w:t>
      </w:r>
      <w:proofErr w:type="spellStart"/>
      <w:r w:rsidRPr="001D77D9">
        <w:rPr>
          <w:i/>
          <w:lang w:val="en-GB"/>
        </w:rPr>
        <w:t>Fethi</w:t>
      </w:r>
      <w:proofErr w:type="spellEnd"/>
      <w:r w:rsidRPr="001D77D9">
        <w:rPr>
          <w:i/>
          <w:lang w:val="en-GB"/>
        </w:rPr>
        <w:t xml:space="preserve"> </w:t>
      </w:r>
      <w:proofErr w:type="spellStart"/>
      <w:r w:rsidRPr="001D77D9">
        <w:rPr>
          <w:i/>
          <w:lang w:val="en-GB"/>
        </w:rPr>
        <w:t>Oktay</w:t>
      </w:r>
      <w:proofErr w:type="spellEnd"/>
      <w:r w:rsidRPr="001D77D9">
        <w:rPr>
          <w:i/>
          <w:lang w:val="en-GB"/>
        </w:rPr>
        <w:t xml:space="preserve"> </w:t>
      </w:r>
      <w:r w:rsidRPr="001D77D9" w:rsidR="007B311C">
        <w:rPr>
          <w:i/>
          <w:lang w:val="en-GB"/>
        </w:rPr>
        <w:t>v</w:t>
      </w:r>
      <w:r w:rsidRPr="001D77D9">
        <w:rPr>
          <w:i/>
          <w:lang w:val="en-GB"/>
        </w:rPr>
        <w:t>. </w:t>
      </w:r>
      <w:r w:rsidRPr="001D77D9" w:rsidR="00C526B6">
        <w:rPr>
          <w:i/>
          <w:lang w:val="en-GB"/>
        </w:rPr>
        <w:t>Turkey</w:t>
      </w:r>
      <w:r w:rsidRPr="001D77D9">
        <w:rPr>
          <w:lang w:val="en-GB"/>
        </w:rPr>
        <w:t xml:space="preserve"> (</w:t>
      </w:r>
      <w:r w:rsidRPr="001D77D9" w:rsidR="00451255">
        <w:rPr>
          <w:lang w:val="en-GB"/>
        </w:rPr>
        <w:t>[</w:t>
      </w:r>
      <w:proofErr w:type="spellStart"/>
      <w:r w:rsidRPr="001D77D9">
        <w:rPr>
          <w:lang w:val="en-GB"/>
        </w:rPr>
        <w:t>d</w:t>
      </w:r>
      <w:r w:rsidRPr="001D77D9" w:rsidR="007B311C">
        <w:rPr>
          <w:lang w:val="en-GB"/>
        </w:rPr>
        <w:t>e</w:t>
      </w:r>
      <w:r w:rsidRPr="001D77D9">
        <w:rPr>
          <w:lang w:val="en-GB"/>
        </w:rPr>
        <w:t>c.</w:t>
      </w:r>
      <w:proofErr w:type="spellEnd"/>
      <w:r w:rsidRPr="001D77D9" w:rsidR="00451255">
        <w:rPr>
          <w:lang w:val="en-GB"/>
        </w:rPr>
        <w:t>]</w:t>
      </w:r>
      <w:r w:rsidRPr="001D77D9">
        <w:rPr>
          <w:lang w:val="en-GB"/>
        </w:rPr>
        <w:t xml:space="preserve"> n</w:t>
      </w:r>
      <w:r w:rsidRPr="001D77D9" w:rsidR="007B311C">
        <w:rPr>
          <w:lang w:val="en-GB"/>
        </w:rPr>
        <w:t>o.</w:t>
      </w:r>
      <w:r w:rsidRPr="001D77D9">
        <w:rPr>
          <w:lang w:val="en-GB"/>
        </w:rPr>
        <w:t xml:space="preserve"> 24803/05, 16 </w:t>
      </w:r>
      <w:r w:rsidRPr="001D77D9" w:rsidR="00C526B6">
        <w:rPr>
          <w:lang w:val="en-GB"/>
        </w:rPr>
        <w:t>December</w:t>
      </w:r>
      <w:r w:rsidRPr="001D77D9">
        <w:rPr>
          <w:lang w:val="en-GB"/>
        </w:rPr>
        <w:t xml:space="preserve"> 2008).</w:t>
      </w:r>
    </w:p>
    <w:p w:rsidRPr="001D77D9" w:rsidR="001C5D5B" w:rsidP="001C5D5B" w:rsidRDefault="001C5D5B">
      <w:pPr>
        <w:pStyle w:val="ECHRHeading3"/>
        <w:rPr>
          <w:lang w:val="en-GB"/>
        </w:rPr>
      </w:pPr>
      <w:r w:rsidRPr="001D77D9">
        <w:rPr>
          <w:lang w:val="en-GB"/>
        </w:rPr>
        <w:t>3.  </w:t>
      </w:r>
      <w:r w:rsidRPr="001D77D9" w:rsidR="00C526B6">
        <w:rPr>
          <w:lang w:val="en-GB"/>
        </w:rPr>
        <w:t>The</w:t>
      </w:r>
      <w:r w:rsidRPr="001D77D9">
        <w:rPr>
          <w:lang w:val="en-GB"/>
        </w:rPr>
        <w:t xml:space="preserve"> </w:t>
      </w:r>
      <w:r w:rsidRPr="001D77D9" w:rsidR="00C526B6">
        <w:rPr>
          <w:lang w:val="en-GB"/>
        </w:rPr>
        <w:t>Court</w:t>
      </w:r>
      <w:r w:rsidR="00934B09">
        <w:rPr>
          <w:lang w:val="en-GB"/>
        </w:rPr>
        <w:t>’</w:t>
      </w:r>
      <w:r w:rsidRPr="001D77D9" w:rsidR="00C526B6">
        <w:rPr>
          <w:lang w:val="en-GB"/>
        </w:rPr>
        <w:t>s assessment</w:t>
      </w:r>
    </w:p>
    <w:p w:rsidRPr="001D77D9" w:rsidR="001C5D5B" w:rsidP="001C5D5B" w:rsidRDefault="001C5D5B">
      <w:pPr>
        <w:pStyle w:val="ECHRPara"/>
        <w:rPr>
          <w:szCs w:val="24"/>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101</w:t>
      </w:r>
      <w:r w:rsidRPr="001D77D9">
        <w:rPr>
          <w:lang w:val="en-GB"/>
        </w:rPr>
        <w:fldChar w:fldCharType="end"/>
      </w:r>
      <w:r w:rsidRPr="001D77D9">
        <w:rPr>
          <w:lang w:val="en-GB"/>
        </w:rPr>
        <w:t>.  </w:t>
      </w:r>
      <w:r w:rsidRPr="001D77D9" w:rsidR="00C526B6">
        <w:rPr>
          <w:lang w:val="en-GB"/>
        </w:rPr>
        <w:t>The</w:t>
      </w:r>
      <w:r w:rsidRPr="001D77D9">
        <w:rPr>
          <w:lang w:val="en-GB"/>
        </w:rPr>
        <w:t xml:space="preserve"> </w:t>
      </w:r>
      <w:r w:rsidRPr="001D77D9" w:rsidR="00C526B6">
        <w:rPr>
          <w:lang w:val="en-GB"/>
        </w:rPr>
        <w:t>Court</w:t>
      </w:r>
      <w:r w:rsidRPr="001D77D9">
        <w:rPr>
          <w:lang w:val="en-GB"/>
        </w:rPr>
        <w:t xml:space="preserve"> r</w:t>
      </w:r>
      <w:r w:rsidRPr="001D77D9" w:rsidR="00C526B6">
        <w:rPr>
          <w:lang w:val="en-GB"/>
        </w:rPr>
        <w:t>eiterates at the outset that prisoners</w:t>
      </w:r>
      <w:r w:rsidRPr="001D77D9">
        <w:rPr>
          <w:lang w:val="en-GB"/>
        </w:rPr>
        <w:t xml:space="preserve"> </w:t>
      </w:r>
      <w:r w:rsidRPr="001D77D9" w:rsidR="00C526B6">
        <w:rPr>
          <w:lang w:val="en-GB"/>
        </w:rPr>
        <w:t>in</w:t>
      </w:r>
      <w:r w:rsidRPr="001D77D9">
        <w:rPr>
          <w:lang w:val="en-GB"/>
        </w:rPr>
        <w:t xml:space="preserve"> </w:t>
      </w:r>
      <w:r w:rsidRPr="001D77D9" w:rsidR="00C526B6">
        <w:rPr>
          <w:lang w:val="en-GB"/>
        </w:rPr>
        <w:t>general</w:t>
      </w:r>
      <w:r w:rsidRPr="001D77D9">
        <w:rPr>
          <w:lang w:val="en-GB"/>
        </w:rPr>
        <w:t xml:space="preserve"> continue</w:t>
      </w:r>
      <w:r w:rsidRPr="001D77D9" w:rsidR="00C526B6">
        <w:rPr>
          <w:lang w:val="en-GB"/>
        </w:rPr>
        <w:t xml:space="preserve"> to benefit from all the fundamental rights and freedoms</w:t>
      </w:r>
      <w:r w:rsidRPr="001D77D9">
        <w:rPr>
          <w:lang w:val="en-GB"/>
        </w:rPr>
        <w:t xml:space="preserve"> </w:t>
      </w:r>
      <w:r w:rsidRPr="001D77D9" w:rsidR="00D04ED4">
        <w:rPr>
          <w:lang w:val="en-GB"/>
        </w:rPr>
        <w:t>secured under</w:t>
      </w:r>
      <w:r w:rsidRPr="001D77D9" w:rsidR="00C526B6">
        <w:rPr>
          <w:lang w:val="en-GB"/>
        </w:rPr>
        <w:t xml:space="preserve"> the</w:t>
      </w:r>
      <w:r w:rsidRPr="001D77D9">
        <w:rPr>
          <w:lang w:val="en-GB"/>
        </w:rPr>
        <w:t xml:space="preserve"> Convention, </w:t>
      </w:r>
      <w:r w:rsidRPr="001D77D9" w:rsidR="00C526B6">
        <w:rPr>
          <w:lang w:val="en-GB"/>
        </w:rPr>
        <w:t>apart from the right to</w:t>
      </w:r>
      <w:r w:rsidRPr="001D77D9">
        <w:rPr>
          <w:lang w:val="en-GB"/>
        </w:rPr>
        <w:t xml:space="preserve"> </w:t>
      </w:r>
      <w:r w:rsidRPr="001D77D9" w:rsidR="00C526B6">
        <w:rPr>
          <w:lang w:val="en-GB"/>
        </w:rPr>
        <w:t>liberty</w:t>
      </w:r>
      <w:r w:rsidRPr="001D77D9">
        <w:rPr>
          <w:lang w:val="en-GB"/>
        </w:rPr>
        <w:t xml:space="preserve"> </w:t>
      </w:r>
      <w:r w:rsidRPr="001D77D9" w:rsidR="00D04ED4">
        <w:rPr>
          <w:lang w:val="en-GB"/>
        </w:rPr>
        <w:t>in cases where</w:t>
      </w:r>
      <w:r w:rsidRPr="001D77D9" w:rsidR="00C526B6">
        <w:rPr>
          <w:lang w:val="en-GB"/>
        </w:rPr>
        <w:t xml:space="preserve"> lawful detention</w:t>
      </w:r>
      <w:r w:rsidRPr="001D77D9">
        <w:rPr>
          <w:lang w:val="en-GB"/>
        </w:rPr>
        <w:t xml:space="preserve"> </w:t>
      </w:r>
      <w:r w:rsidRPr="001D77D9" w:rsidR="00C526B6">
        <w:rPr>
          <w:lang w:val="en-GB"/>
        </w:rPr>
        <w:t>falls expressly within the scope of A</w:t>
      </w:r>
      <w:r w:rsidRPr="001D77D9">
        <w:rPr>
          <w:lang w:val="en-GB"/>
        </w:rPr>
        <w:t xml:space="preserve">rticle 5 </w:t>
      </w:r>
      <w:r w:rsidRPr="001D77D9" w:rsidR="00C526B6">
        <w:rPr>
          <w:lang w:val="en-GB"/>
        </w:rPr>
        <w:t>of the</w:t>
      </w:r>
      <w:r w:rsidRPr="001D77D9">
        <w:rPr>
          <w:lang w:val="en-GB"/>
        </w:rPr>
        <w:t xml:space="preserve"> Convention. </w:t>
      </w:r>
      <w:r w:rsidRPr="001D77D9" w:rsidR="00F63CC7">
        <w:rPr>
          <w:lang w:val="en-GB"/>
        </w:rPr>
        <w:t>They thus</w:t>
      </w:r>
      <w:r w:rsidRPr="001D77D9">
        <w:rPr>
          <w:lang w:val="en-GB"/>
        </w:rPr>
        <w:t xml:space="preserve"> continue</w:t>
      </w:r>
      <w:r w:rsidRPr="001D77D9" w:rsidR="00F63CC7">
        <w:rPr>
          <w:lang w:val="en-GB"/>
        </w:rPr>
        <w:t xml:space="preserve"> to </w:t>
      </w:r>
      <w:r w:rsidRPr="001D77D9" w:rsidR="003C26A7">
        <w:rPr>
          <w:lang w:val="en-GB"/>
        </w:rPr>
        <w:t>enjoy</w:t>
      </w:r>
      <w:r w:rsidRPr="001D77D9" w:rsidR="00F63CC7">
        <w:rPr>
          <w:lang w:val="en-GB"/>
        </w:rPr>
        <w:t xml:space="preserve"> the right to freedom of</w:t>
      </w:r>
      <w:r w:rsidRPr="001D77D9">
        <w:rPr>
          <w:lang w:val="en-GB"/>
        </w:rPr>
        <w:t xml:space="preserve"> expression (</w:t>
      </w:r>
      <w:r w:rsidRPr="001D77D9" w:rsidR="00F63CC7">
        <w:rPr>
          <w:lang w:val="en-GB"/>
        </w:rPr>
        <w:t xml:space="preserve">see </w:t>
      </w:r>
      <w:proofErr w:type="spellStart"/>
      <w:r w:rsidRPr="001D77D9">
        <w:rPr>
          <w:i/>
          <w:lang w:val="en-GB"/>
        </w:rPr>
        <w:t>Yankov</w:t>
      </w:r>
      <w:proofErr w:type="spellEnd"/>
      <w:r w:rsidRPr="001D77D9">
        <w:rPr>
          <w:i/>
          <w:lang w:val="en-GB"/>
        </w:rPr>
        <w:t xml:space="preserve"> </w:t>
      </w:r>
      <w:r w:rsidRPr="001D77D9" w:rsidR="00F63CC7">
        <w:rPr>
          <w:i/>
          <w:lang w:val="en-GB"/>
        </w:rPr>
        <w:t>v</w:t>
      </w:r>
      <w:r w:rsidRPr="001D77D9">
        <w:rPr>
          <w:i/>
          <w:lang w:val="en-GB"/>
        </w:rPr>
        <w:t>.</w:t>
      </w:r>
      <w:r w:rsidR="00934B09">
        <w:t> </w:t>
      </w:r>
      <w:r w:rsidRPr="001D77D9" w:rsidR="003C26A7">
        <w:rPr>
          <w:i/>
          <w:lang w:val="en-GB"/>
        </w:rPr>
        <w:t>Bulgaria</w:t>
      </w:r>
      <w:r w:rsidRPr="001D77D9">
        <w:rPr>
          <w:lang w:val="en-GB"/>
        </w:rPr>
        <w:t>, n</w:t>
      </w:r>
      <w:r w:rsidRPr="001D77D9" w:rsidR="00F63CC7">
        <w:rPr>
          <w:lang w:val="en-GB"/>
        </w:rPr>
        <w:t>o.</w:t>
      </w:r>
      <w:r w:rsidRPr="001D77D9">
        <w:rPr>
          <w:lang w:val="en-GB"/>
        </w:rPr>
        <w:t xml:space="preserve"> 39084/97, §§ 126</w:t>
      </w:r>
      <w:r w:rsidRPr="001D77D9">
        <w:rPr>
          <w:lang w:val="en-GB"/>
        </w:rPr>
        <w:noBreakHyphen/>
        <w:t xml:space="preserve">145, </w:t>
      </w:r>
      <w:r w:rsidRPr="001D77D9" w:rsidR="00F63CC7">
        <w:rPr>
          <w:lang w:val="en-GB"/>
        </w:rPr>
        <w:t>E</w:t>
      </w:r>
      <w:r w:rsidRPr="001D77D9">
        <w:rPr>
          <w:lang w:val="en-GB"/>
        </w:rPr>
        <w:t>C</w:t>
      </w:r>
      <w:r w:rsidRPr="001D77D9" w:rsidR="00F63CC7">
        <w:rPr>
          <w:lang w:val="en-GB"/>
        </w:rPr>
        <w:t>R</w:t>
      </w:r>
      <w:r w:rsidRPr="001D77D9">
        <w:rPr>
          <w:lang w:val="en-GB"/>
        </w:rPr>
        <w:t>H 2003</w:t>
      </w:r>
      <w:r w:rsidRPr="001D77D9">
        <w:rPr>
          <w:lang w:val="en-GB"/>
        </w:rPr>
        <w:noBreakHyphen/>
        <w:t xml:space="preserve">XII, </w:t>
      </w:r>
      <w:r w:rsidRPr="001D77D9" w:rsidR="00F63CC7">
        <w:rPr>
          <w:lang w:val="en-GB"/>
        </w:rPr>
        <w:t>and</w:t>
      </w:r>
      <w:r w:rsidRPr="001D77D9">
        <w:rPr>
          <w:lang w:val="en-GB"/>
        </w:rPr>
        <w:t xml:space="preserve"> </w:t>
      </w:r>
      <w:r w:rsidRPr="001D77D9">
        <w:rPr>
          <w:i/>
          <w:szCs w:val="24"/>
          <w:lang w:val="en-GB"/>
        </w:rPr>
        <w:t xml:space="preserve">Tapkan </w:t>
      </w:r>
      <w:r w:rsidRPr="001D77D9" w:rsidR="00F63CC7">
        <w:rPr>
          <w:i/>
          <w:szCs w:val="24"/>
          <w:lang w:val="en-GB"/>
        </w:rPr>
        <w:t xml:space="preserve">and Others v. </w:t>
      </w:r>
      <w:r w:rsidRPr="001D77D9" w:rsidR="003C26A7">
        <w:rPr>
          <w:i/>
          <w:szCs w:val="24"/>
          <w:lang w:val="en-GB"/>
        </w:rPr>
        <w:t>Turkey</w:t>
      </w:r>
      <w:r w:rsidRPr="001D77D9">
        <w:rPr>
          <w:szCs w:val="24"/>
          <w:lang w:val="en-GB"/>
        </w:rPr>
        <w:t>, n</w:t>
      </w:r>
      <w:r w:rsidRPr="001D77D9" w:rsidR="00F63CC7">
        <w:rPr>
          <w:szCs w:val="24"/>
          <w:lang w:val="en-GB"/>
        </w:rPr>
        <w:t>o.</w:t>
      </w:r>
      <w:r w:rsidRPr="001D77D9">
        <w:rPr>
          <w:szCs w:val="24"/>
          <w:lang w:val="en-GB"/>
        </w:rPr>
        <w:t xml:space="preserve"> 66400/01, § 68, 20 </w:t>
      </w:r>
      <w:r w:rsidRPr="001D77D9" w:rsidR="003C26A7">
        <w:rPr>
          <w:szCs w:val="24"/>
          <w:lang w:val="en-GB"/>
        </w:rPr>
        <w:t>September</w:t>
      </w:r>
      <w:r w:rsidRPr="001D77D9">
        <w:rPr>
          <w:szCs w:val="24"/>
          <w:lang w:val="en-GB"/>
        </w:rPr>
        <w:t xml:space="preserve"> 2007</w:t>
      </w:r>
      <w:r w:rsidRPr="001D77D9">
        <w:rPr>
          <w:lang w:val="en-GB"/>
        </w:rPr>
        <w:t xml:space="preserve">), </w:t>
      </w:r>
      <w:r w:rsidRPr="001D77D9" w:rsidR="00F63CC7">
        <w:rPr>
          <w:lang w:val="en-GB"/>
        </w:rPr>
        <w:t>which embraces the right to</w:t>
      </w:r>
      <w:r w:rsidRPr="001D77D9">
        <w:rPr>
          <w:lang w:val="en-GB"/>
        </w:rPr>
        <w:t xml:space="preserve"> </w:t>
      </w:r>
      <w:r w:rsidRPr="001D77D9" w:rsidR="003C26A7">
        <w:rPr>
          <w:lang w:val="en-GB"/>
        </w:rPr>
        <w:t>receive</w:t>
      </w:r>
      <w:r w:rsidRPr="001D77D9">
        <w:rPr>
          <w:lang w:val="en-GB"/>
        </w:rPr>
        <w:t xml:space="preserve"> </w:t>
      </w:r>
      <w:r w:rsidRPr="001D77D9" w:rsidR="003C26A7">
        <w:rPr>
          <w:lang w:val="en-GB"/>
        </w:rPr>
        <w:t>information</w:t>
      </w:r>
      <w:r w:rsidRPr="001D77D9">
        <w:rPr>
          <w:lang w:val="en-GB"/>
        </w:rPr>
        <w:t xml:space="preserve"> </w:t>
      </w:r>
      <w:r w:rsidRPr="001D77D9" w:rsidR="00F63CC7">
        <w:rPr>
          <w:lang w:val="en-GB"/>
        </w:rPr>
        <w:t>and</w:t>
      </w:r>
      <w:r w:rsidRPr="001D77D9">
        <w:rPr>
          <w:lang w:val="en-GB"/>
        </w:rPr>
        <w:t xml:space="preserve"> </w:t>
      </w:r>
      <w:r w:rsidRPr="001D77D9" w:rsidR="003C26A7">
        <w:rPr>
          <w:lang w:val="en-GB"/>
        </w:rPr>
        <w:t>ideas</w:t>
      </w:r>
      <w:r w:rsidRPr="001D77D9">
        <w:rPr>
          <w:lang w:val="en-GB"/>
        </w:rPr>
        <w:t>.</w:t>
      </w:r>
    </w:p>
    <w:p w:rsidRPr="001D77D9" w:rsidR="001C5D5B" w:rsidP="001C5D5B" w:rsidRDefault="001C5D5B">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102</w:t>
      </w:r>
      <w:r w:rsidRPr="001D77D9">
        <w:rPr>
          <w:lang w:val="en-GB"/>
        </w:rPr>
        <w:fldChar w:fldCharType="end"/>
      </w:r>
      <w:r w:rsidRPr="001D77D9">
        <w:rPr>
          <w:lang w:val="en-GB"/>
        </w:rPr>
        <w:t>.  </w:t>
      </w:r>
      <w:r w:rsidRPr="001D77D9" w:rsidR="00F63CC7">
        <w:rPr>
          <w:lang w:val="en-GB"/>
        </w:rPr>
        <w:t>In the present case the</w:t>
      </w:r>
      <w:r w:rsidRPr="001D77D9">
        <w:rPr>
          <w:lang w:val="en-GB"/>
        </w:rPr>
        <w:t xml:space="preserve"> </w:t>
      </w:r>
      <w:r w:rsidRPr="001D77D9" w:rsidR="003C26A7">
        <w:rPr>
          <w:lang w:val="en-GB"/>
        </w:rPr>
        <w:t>Court</w:t>
      </w:r>
      <w:r w:rsidRPr="001D77D9">
        <w:rPr>
          <w:lang w:val="en-GB"/>
        </w:rPr>
        <w:t xml:space="preserve"> observe</w:t>
      </w:r>
      <w:r w:rsidRPr="001D77D9" w:rsidR="00F63CC7">
        <w:rPr>
          <w:lang w:val="en-GB"/>
        </w:rPr>
        <w:t xml:space="preserve">s that the prison </w:t>
      </w:r>
      <w:r w:rsidRPr="001D77D9" w:rsidR="003C26A7">
        <w:rPr>
          <w:lang w:val="en-GB"/>
        </w:rPr>
        <w:t>authorities</w:t>
      </w:r>
      <w:r w:rsidRPr="001D77D9" w:rsidR="00F63CC7">
        <w:rPr>
          <w:lang w:val="en-GB"/>
        </w:rPr>
        <w:t xml:space="preserve"> refused to deliver to the applic</w:t>
      </w:r>
      <w:r w:rsidRPr="001D77D9">
        <w:rPr>
          <w:lang w:val="en-GB"/>
        </w:rPr>
        <w:t xml:space="preserve">ants </w:t>
      </w:r>
      <w:r w:rsidRPr="001D77D9" w:rsidR="00F63CC7">
        <w:rPr>
          <w:lang w:val="en-GB"/>
        </w:rPr>
        <w:t xml:space="preserve">specified </w:t>
      </w:r>
      <w:r w:rsidRPr="001D77D9" w:rsidR="004E05A7">
        <w:rPr>
          <w:lang w:val="en-GB"/>
        </w:rPr>
        <w:t>edition</w:t>
      </w:r>
      <w:r w:rsidRPr="001D77D9" w:rsidR="00F63CC7">
        <w:rPr>
          <w:lang w:val="en-GB"/>
        </w:rPr>
        <w:t>s of the</w:t>
      </w:r>
      <w:r w:rsidRPr="001D77D9">
        <w:rPr>
          <w:lang w:val="en-GB"/>
        </w:rPr>
        <w:t xml:space="preserve"> </w:t>
      </w:r>
      <w:r w:rsidRPr="001D77D9">
        <w:rPr>
          <w:i/>
          <w:lang w:val="en-GB"/>
        </w:rPr>
        <w:t>Azadiya Welat</w:t>
      </w:r>
      <w:r w:rsidRPr="001D77D9" w:rsidR="00F63CC7">
        <w:rPr>
          <w:lang w:val="en-GB"/>
        </w:rPr>
        <w:t xml:space="preserve"> newspaper</w:t>
      </w:r>
      <w:r w:rsidRPr="001D77D9">
        <w:rPr>
          <w:lang w:val="en-GB"/>
        </w:rPr>
        <w:t xml:space="preserve">. </w:t>
      </w:r>
      <w:r w:rsidRPr="001D77D9" w:rsidR="00F63CC7">
        <w:rPr>
          <w:lang w:val="en-GB"/>
        </w:rPr>
        <w:t>It considers that that</w:t>
      </w:r>
      <w:r w:rsidRPr="001D77D9">
        <w:rPr>
          <w:lang w:val="en-GB"/>
        </w:rPr>
        <w:t xml:space="preserve"> refus</w:t>
      </w:r>
      <w:r w:rsidRPr="001D77D9" w:rsidR="00F63CC7">
        <w:rPr>
          <w:lang w:val="en-GB"/>
        </w:rPr>
        <w:t>al amounts to an</w:t>
      </w:r>
      <w:r w:rsidRPr="001D77D9">
        <w:rPr>
          <w:lang w:val="en-GB"/>
        </w:rPr>
        <w:t xml:space="preserve"> </w:t>
      </w:r>
      <w:r w:rsidRPr="001D77D9" w:rsidR="003C26A7">
        <w:rPr>
          <w:lang w:val="en-GB"/>
        </w:rPr>
        <w:t>interference</w:t>
      </w:r>
      <w:r w:rsidRPr="001D77D9">
        <w:rPr>
          <w:lang w:val="en-GB"/>
        </w:rPr>
        <w:t xml:space="preserve"> </w:t>
      </w:r>
      <w:r w:rsidRPr="001D77D9" w:rsidR="00F63CC7">
        <w:rPr>
          <w:lang w:val="en-GB"/>
        </w:rPr>
        <w:t>in the applic</w:t>
      </w:r>
      <w:r w:rsidRPr="001D77D9">
        <w:rPr>
          <w:lang w:val="en-GB"/>
        </w:rPr>
        <w:t>ants</w:t>
      </w:r>
      <w:r w:rsidR="00934B09">
        <w:rPr>
          <w:lang w:val="en-GB"/>
        </w:rPr>
        <w:t>’</w:t>
      </w:r>
      <w:r w:rsidRPr="001D77D9" w:rsidR="00F63CC7">
        <w:rPr>
          <w:lang w:val="en-GB"/>
        </w:rPr>
        <w:t xml:space="preserve"> right to</w:t>
      </w:r>
      <w:r w:rsidRPr="001D77D9">
        <w:rPr>
          <w:lang w:val="en-GB"/>
        </w:rPr>
        <w:t xml:space="preserve"> </w:t>
      </w:r>
      <w:r w:rsidRPr="001D77D9" w:rsidR="003C26A7">
        <w:rPr>
          <w:lang w:val="en-GB"/>
        </w:rPr>
        <w:t>receive</w:t>
      </w:r>
      <w:r w:rsidRPr="001D77D9">
        <w:rPr>
          <w:lang w:val="en-GB"/>
        </w:rPr>
        <w:t xml:space="preserve"> </w:t>
      </w:r>
      <w:r w:rsidRPr="001D77D9" w:rsidR="003C26A7">
        <w:rPr>
          <w:lang w:val="en-GB"/>
        </w:rPr>
        <w:t>information</w:t>
      </w:r>
      <w:r w:rsidRPr="001D77D9">
        <w:rPr>
          <w:lang w:val="en-GB"/>
        </w:rPr>
        <w:t xml:space="preserve"> </w:t>
      </w:r>
      <w:r w:rsidRPr="001D77D9" w:rsidR="00F63CC7">
        <w:rPr>
          <w:lang w:val="en-GB"/>
        </w:rPr>
        <w:t>and</w:t>
      </w:r>
      <w:r w:rsidRPr="001D77D9">
        <w:rPr>
          <w:lang w:val="en-GB"/>
        </w:rPr>
        <w:t xml:space="preserve"> </w:t>
      </w:r>
      <w:r w:rsidRPr="001D77D9" w:rsidR="003C26A7">
        <w:rPr>
          <w:lang w:val="en-GB"/>
        </w:rPr>
        <w:t>ideas</w:t>
      </w:r>
      <w:r w:rsidRPr="001D77D9">
        <w:rPr>
          <w:lang w:val="en-GB"/>
        </w:rPr>
        <w:t>.</w:t>
      </w:r>
      <w:r w:rsidRPr="001D77D9" w:rsidR="00F63CC7">
        <w:rPr>
          <w:lang w:val="en-GB"/>
        </w:rPr>
        <w:t xml:space="preserve"> </w:t>
      </w:r>
      <w:r w:rsidRPr="001D77D9" w:rsidR="003C26A7">
        <w:rPr>
          <w:lang w:val="en-GB"/>
        </w:rPr>
        <w:t>Such interference is in breach of Article 10 unless it is “prescribed by law” and pursues one or more legitimate aims as set out Article 10 (2) and is, moreover “necessary in a democratic society” to attain those aims.</w:t>
      </w:r>
    </w:p>
    <w:p w:rsidRPr="001D77D9" w:rsidR="001C5D5B" w:rsidP="001C5D5B" w:rsidRDefault="001C5D5B">
      <w:pPr>
        <w:pStyle w:val="ECHRPara"/>
        <w:rPr>
          <w:i/>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103</w:t>
      </w:r>
      <w:r w:rsidRPr="001D77D9">
        <w:rPr>
          <w:lang w:val="en-GB"/>
        </w:rPr>
        <w:fldChar w:fldCharType="end"/>
      </w:r>
      <w:r w:rsidRPr="001D77D9">
        <w:rPr>
          <w:lang w:val="en-GB"/>
        </w:rPr>
        <w:t>.  </w:t>
      </w:r>
      <w:r w:rsidRPr="001D77D9" w:rsidR="00C33086">
        <w:rPr>
          <w:lang w:val="en-GB"/>
        </w:rPr>
        <w:t>The</w:t>
      </w:r>
      <w:r w:rsidRPr="001D77D9">
        <w:rPr>
          <w:rFonts w:ascii="Times New Roman" w:hAnsi="Times New Roman" w:eastAsia="Times New Roman" w:cs="Times New Roman"/>
          <w:szCs w:val="24"/>
          <w:lang w:val="en-GB"/>
        </w:rPr>
        <w:t xml:space="preserve"> </w:t>
      </w:r>
      <w:r w:rsidRPr="001D77D9" w:rsidR="003C26A7">
        <w:rPr>
          <w:rFonts w:ascii="Times New Roman" w:hAnsi="Times New Roman" w:eastAsia="Times New Roman" w:cs="Times New Roman"/>
          <w:szCs w:val="24"/>
          <w:lang w:val="en-GB"/>
        </w:rPr>
        <w:t>Court</w:t>
      </w:r>
      <w:r w:rsidRPr="001D77D9">
        <w:rPr>
          <w:rFonts w:ascii="Times New Roman" w:hAnsi="Times New Roman" w:eastAsia="Times New Roman" w:cs="Times New Roman"/>
          <w:szCs w:val="24"/>
          <w:lang w:val="en-GB"/>
        </w:rPr>
        <w:t xml:space="preserve"> </w:t>
      </w:r>
      <w:r w:rsidRPr="001D77D9" w:rsidR="003C26A7">
        <w:rPr>
          <w:rFonts w:ascii="Times New Roman" w:hAnsi="Times New Roman" w:eastAsia="Times New Roman" w:cs="Times New Roman"/>
          <w:szCs w:val="24"/>
          <w:lang w:val="en-GB"/>
        </w:rPr>
        <w:t>further</w:t>
      </w:r>
      <w:r w:rsidRPr="001D77D9" w:rsidR="00C33086">
        <w:rPr>
          <w:rFonts w:ascii="Times New Roman" w:hAnsi="Times New Roman" w:eastAsia="Times New Roman" w:cs="Times New Roman"/>
          <w:szCs w:val="24"/>
          <w:lang w:val="en-GB"/>
        </w:rPr>
        <w:t xml:space="preserve"> </w:t>
      </w:r>
      <w:r w:rsidRPr="001D77D9">
        <w:rPr>
          <w:rFonts w:ascii="Times New Roman" w:hAnsi="Times New Roman" w:eastAsia="Times New Roman" w:cs="Times New Roman"/>
          <w:szCs w:val="24"/>
          <w:lang w:val="en-GB"/>
        </w:rPr>
        <w:t>r</w:t>
      </w:r>
      <w:r w:rsidRPr="001D77D9" w:rsidR="00C33086">
        <w:rPr>
          <w:rFonts w:ascii="Times New Roman" w:hAnsi="Times New Roman" w:eastAsia="Times New Roman" w:cs="Times New Roman"/>
          <w:szCs w:val="24"/>
          <w:lang w:val="en-GB"/>
        </w:rPr>
        <w:t xml:space="preserve">eiterates its case-law according to which the expression </w:t>
      </w:r>
      <w:r w:rsidRPr="001D77D9" w:rsidR="003C26A7">
        <w:rPr>
          <w:rFonts w:ascii="Times New Roman" w:hAnsi="Times New Roman" w:eastAsia="Times New Roman" w:cs="Times New Roman"/>
          <w:szCs w:val="24"/>
          <w:lang w:val="en-GB"/>
        </w:rPr>
        <w:t>“</w:t>
      </w:r>
      <w:r w:rsidRPr="001D77D9" w:rsidR="00D04ED4">
        <w:rPr>
          <w:rFonts w:ascii="Times New Roman" w:hAnsi="Times New Roman" w:eastAsia="Times New Roman" w:cs="Times New Roman"/>
          <w:szCs w:val="24"/>
          <w:lang w:val="en-GB"/>
        </w:rPr>
        <w:t>prescribed by</w:t>
      </w:r>
      <w:r w:rsidRPr="001D77D9">
        <w:rPr>
          <w:rFonts w:ascii="Times New Roman" w:hAnsi="Times New Roman" w:eastAsia="Times New Roman" w:cs="Times New Roman"/>
          <w:szCs w:val="24"/>
          <w:lang w:val="en-GB"/>
        </w:rPr>
        <w:t xml:space="preserve"> la</w:t>
      </w:r>
      <w:r w:rsidRPr="001D77D9" w:rsidR="00C33086">
        <w:rPr>
          <w:rFonts w:ascii="Times New Roman" w:hAnsi="Times New Roman" w:eastAsia="Times New Roman" w:cs="Times New Roman"/>
          <w:szCs w:val="24"/>
          <w:lang w:val="en-GB"/>
        </w:rPr>
        <w:t>w</w:t>
      </w:r>
      <w:r w:rsidRPr="001D77D9" w:rsidR="003C26A7">
        <w:rPr>
          <w:rFonts w:ascii="Times New Roman" w:hAnsi="Times New Roman" w:eastAsia="Times New Roman" w:cs="Times New Roman"/>
          <w:szCs w:val="24"/>
          <w:lang w:val="en-GB"/>
        </w:rPr>
        <w:t>”</w:t>
      </w:r>
      <w:r w:rsidRPr="001D77D9">
        <w:rPr>
          <w:rFonts w:ascii="Times New Roman" w:hAnsi="Times New Roman" w:eastAsia="Times New Roman" w:cs="Times New Roman"/>
          <w:szCs w:val="24"/>
          <w:lang w:val="en-GB"/>
        </w:rPr>
        <w:t xml:space="preserve"> </w:t>
      </w:r>
      <w:r w:rsidRPr="001D77D9" w:rsidR="002353D7">
        <w:rPr>
          <w:rFonts w:ascii="Times New Roman" w:hAnsi="Times New Roman" w:eastAsia="Times New Roman" w:cs="Times New Roman"/>
          <w:szCs w:val="24"/>
          <w:lang w:val="en-GB"/>
        </w:rPr>
        <w:t xml:space="preserve">or “in accordance with the law” </w:t>
      </w:r>
      <w:r w:rsidRPr="001D77D9">
        <w:rPr>
          <w:rFonts w:ascii="Times New Roman" w:hAnsi="Times New Roman" w:eastAsia="Times New Roman" w:cs="Times New Roman"/>
          <w:szCs w:val="24"/>
          <w:lang w:val="en-GB"/>
        </w:rPr>
        <w:t>no</w:t>
      </w:r>
      <w:r w:rsidRPr="001D77D9" w:rsidR="00C33086">
        <w:rPr>
          <w:rFonts w:ascii="Times New Roman" w:hAnsi="Times New Roman" w:eastAsia="Times New Roman" w:cs="Times New Roman"/>
          <w:szCs w:val="24"/>
          <w:lang w:val="en-GB"/>
        </w:rPr>
        <w:t xml:space="preserve">t only requires </w:t>
      </w:r>
      <w:r w:rsidRPr="001D77D9" w:rsidR="00C33086">
        <w:rPr>
          <w:rStyle w:val="sb8d990e2"/>
          <w:lang w:val="en-GB"/>
        </w:rPr>
        <w:t xml:space="preserve">the impugned measure </w:t>
      </w:r>
      <w:r w:rsidRPr="001D77D9" w:rsidR="00D04ED4">
        <w:rPr>
          <w:rStyle w:val="sb8d990e2"/>
          <w:lang w:val="en-GB"/>
        </w:rPr>
        <w:t>to</w:t>
      </w:r>
      <w:r w:rsidRPr="001D77D9" w:rsidR="00C33086">
        <w:rPr>
          <w:rStyle w:val="sb8d990e2"/>
          <w:lang w:val="en-GB"/>
        </w:rPr>
        <w:t xml:space="preserve"> </w:t>
      </w:r>
      <w:r w:rsidRPr="001D77D9" w:rsidR="00D04ED4">
        <w:rPr>
          <w:rStyle w:val="sb8d990e2"/>
          <w:lang w:val="en-GB"/>
        </w:rPr>
        <w:t>have some basis in domestic law</w:t>
      </w:r>
      <w:r w:rsidRPr="001D77D9" w:rsidR="00C33086">
        <w:rPr>
          <w:rStyle w:val="sb8d990e2"/>
          <w:lang w:val="en-GB"/>
        </w:rPr>
        <w:t xml:space="preserve"> but also </w:t>
      </w:r>
      <w:r w:rsidRPr="001D77D9" w:rsidR="002353D7">
        <w:rPr>
          <w:rStyle w:val="sb8d990e2"/>
          <w:lang w:val="en-GB"/>
        </w:rPr>
        <w:t>refers to</w:t>
      </w:r>
      <w:r w:rsidRPr="001D77D9" w:rsidR="00C33086">
        <w:rPr>
          <w:rStyle w:val="sb8d990e2"/>
          <w:lang w:val="en-GB"/>
        </w:rPr>
        <w:t xml:space="preserve"> the quality of the law in question, requiring that it should be accessible to the person concerned and foreseeable as to its effects </w:t>
      </w:r>
      <w:r w:rsidRPr="001D77D9">
        <w:rPr>
          <w:rFonts w:ascii="Times New Roman" w:hAnsi="Times New Roman" w:eastAsia="Times New Roman" w:cs="Times New Roman"/>
          <w:szCs w:val="24"/>
          <w:lang w:val="en-GB"/>
        </w:rPr>
        <w:t>(</w:t>
      </w:r>
      <w:r w:rsidRPr="001D77D9" w:rsidR="00C33086">
        <w:rPr>
          <w:rFonts w:ascii="Times New Roman" w:hAnsi="Times New Roman" w:eastAsia="Times New Roman" w:cs="Times New Roman"/>
          <w:szCs w:val="24"/>
          <w:lang w:val="en-GB"/>
        </w:rPr>
        <w:t>see</w:t>
      </w:r>
      <w:r w:rsidRPr="001D77D9">
        <w:rPr>
          <w:rFonts w:ascii="Times New Roman" w:hAnsi="Times New Roman" w:eastAsia="Times New Roman" w:cs="Times New Roman"/>
          <w:szCs w:val="24"/>
          <w:lang w:val="en-GB"/>
        </w:rPr>
        <w:t xml:space="preserve">, </w:t>
      </w:r>
      <w:r w:rsidRPr="001D77D9" w:rsidR="00C33086">
        <w:rPr>
          <w:rFonts w:ascii="Times New Roman" w:hAnsi="Times New Roman" w:eastAsia="Times New Roman" w:cs="Times New Roman"/>
          <w:szCs w:val="24"/>
          <w:lang w:val="en-GB"/>
        </w:rPr>
        <w:t xml:space="preserve">among other </w:t>
      </w:r>
      <w:r w:rsidRPr="001D77D9" w:rsidR="003C26A7">
        <w:rPr>
          <w:rFonts w:ascii="Times New Roman" w:hAnsi="Times New Roman" w:eastAsia="Times New Roman" w:cs="Times New Roman"/>
          <w:szCs w:val="24"/>
          <w:lang w:val="en-GB"/>
        </w:rPr>
        <w:t>authorities</w:t>
      </w:r>
      <w:r w:rsidRPr="001D77D9">
        <w:rPr>
          <w:rFonts w:ascii="Times New Roman" w:hAnsi="Times New Roman" w:eastAsia="Times New Roman" w:cs="Times New Roman"/>
          <w:szCs w:val="24"/>
          <w:lang w:val="en-GB"/>
        </w:rPr>
        <w:t xml:space="preserve">, </w:t>
      </w:r>
      <w:r w:rsidRPr="001D77D9">
        <w:rPr>
          <w:rFonts w:ascii="Times New Roman" w:hAnsi="Times New Roman" w:eastAsia="Times New Roman" w:cs="Times New Roman"/>
          <w:i/>
          <w:szCs w:val="24"/>
          <w:lang w:val="en-GB"/>
        </w:rPr>
        <w:t xml:space="preserve">Rotaru </w:t>
      </w:r>
      <w:r w:rsidRPr="001D77D9" w:rsidR="00C33086">
        <w:rPr>
          <w:rFonts w:ascii="Times New Roman" w:hAnsi="Times New Roman" w:eastAsia="Times New Roman" w:cs="Times New Roman"/>
          <w:i/>
          <w:szCs w:val="24"/>
          <w:lang w:val="en-GB"/>
        </w:rPr>
        <w:t>v</w:t>
      </w:r>
      <w:r w:rsidRPr="001D77D9">
        <w:rPr>
          <w:rFonts w:ascii="Times New Roman" w:hAnsi="Times New Roman" w:eastAsia="Times New Roman" w:cs="Times New Roman"/>
          <w:i/>
          <w:szCs w:val="24"/>
          <w:lang w:val="en-GB"/>
        </w:rPr>
        <w:t xml:space="preserve">. </w:t>
      </w:r>
      <w:r w:rsidRPr="001D77D9" w:rsidR="003C26A7">
        <w:rPr>
          <w:rFonts w:ascii="Times New Roman" w:hAnsi="Times New Roman" w:eastAsia="Times New Roman" w:cs="Times New Roman"/>
          <w:i/>
          <w:szCs w:val="24"/>
          <w:lang w:val="en-GB"/>
        </w:rPr>
        <w:t>Romania</w:t>
      </w:r>
      <w:r w:rsidRPr="001D77D9">
        <w:rPr>
          <w:rFonts w:ascii="Times New Roman" w:hAnsi="Times New Roman" w:eastAsia="Times New Roman" w:cs="Times New Roman"/>
          <w:szCs w:val="24"/>
          <w:lang w:val="en-GB"/>
        </w:rPr>
        <w:t xml:space="preserve"> [GC], n</w:t>
      </w:r>
      <w:r w:rsidRPr="001D77D9" w:rsidR="00C33086">
        <w:rPr>
          <w:rFonts w:ascii="Times New Roman" w:hAnsi="Times New Roman" w:eastAsia="Times New Roman" w:cs="Times New Roman"/>
          <w:szCs w:val="24"/>
          <w:lang w:val="en-GB"/>
        </w:rPr>
        <w:t>o.</w:t>
      </w:r>
      <w:r w:rsidRPr="001D77D9">
        <w:rPr>
          <w:rFonts w:ascii="Times New Roman" w:hAnsi="Times New Roman" w:eastAsia="Times New Roman" w:cs="Times New Roman"/>
          <w:szCs w:val="24"/>
          <w:lang w:val="en-GB"/>
        </w:rPr>
        <w:t xml:space="preserve"> 28341/95, § 52, </w:t>
      </w:r>
      <w:r w:rsidRPr="001D77D9" w:rsidR="00C33086">
        <w:rPr>
          <w:rFonts w:ascii="Times New Roman" w:hAnsi="Times New Roman" w:eastAsia="Times New Roman" w:cs="Times New Roman"/>
          <w:szCs w:val="24"/>
          <w:lang w:val="en-GB"/>
        </w:rPr>
        <w:t>E</w:t>
      </w:r>
      <w:r w:rsidRPr="001D77D9">
        <w:rPr>
          <w:rFonts w:ascii="Times New Roman" w:hAnsi="Times New Roman" w:eastAsia="Times New Roman" w:cs="Times New Roman"/>
          <w:szCs w:val="24"/>
          <w:lang w:val="en-GB"/>
        </w:rPr>
        <w:t>CH</w:t>
      </w:r>
      <w:r w:rsidRPr="001D77D9" w:rsidR="00C33086">
        <w:rPr>
          <w:rFonts w:ascii="Times New Roman" w:hAnsi="Times New Roman" w:eastAsia="Times New Roman" w:cs="Times New Roman"/>
          <w:szCs w:val="24"/>
          <w:lang w:val="en-GB"/>
        </w:rPr>
        <w:t>R</w:t>
      </w:r>
      <w:r w:rsidRPr="001D77D9">
        <w:rPr>
          <w:rFonts w:ascii="Times New Roman" w:hAnsi="Times New Roman" w:eastAsia="Times New Roman" w:cs="Times New Roman"/>
          <w:szCs w:val="24"/>
          <w:lang w:val="en-GB"/>
        </w:rPr>
        <w:t xml:space="preserve"> 2000</w:t>
      </w:r>
      <w:r w:rsidRPr="001D77D9">
        <w:rPr>
          <w:rFonts w:ascii="Times New Roman" w:hAnsi="Times New Roman" w:eastAsia="Times New Roman" w:cs="Times New Roman"/>
          <w:szCs w:val="24"/>
          <w:lang w:val="en-GB"/>
        </w:rPr>
        <w:noBreakHyphen/>
        <w:t xml:space="preserve">V). </w:t>
      </w:r>
      <w:r w:rsidRPr="001D77D9" w:rsidR="00451255">
        <w:rPr>
          <w:rFonts w:ascii="Times New Roman" w:hAnsi="Times New Roman" w:eastAsia="Times New Roman" w:cs="Times New Roman"/>
          <w:szCs w:val="24"/>
          <w:lang w:val="en-GB"/>
        </w:rPr>
        <w:t xml:space="preserve">The Court emphasises in this context that a rule is </w:t>
      </w:r>
      <w:r w:rsidRPr="001D77D9" w:rsidR="00A65FB9">
        <w:rPr>
          <w:rFonts w:ascii="Times New Roman" w:hAnsi="Times New Roman" w:eastAsia="Times New Roman" w:cs="Times New Roman"/>
          <w:szCs w:val="24"/>
          <w:lang w:val="en-GB"/>
        </w:rPr>
        <w:t>“</w:t>
      </w:r>
      <w:r w:rsidRPr="001D77D9" w:rsidR="00283DF5">
        <w:rPr>
          <w:lang w:val="en-GB"/>
        </w:rPr>
        <w:t>foreseeable</w:t>
      </w:r>
      <w:r w:rsidRPr="001D77D9" w:rsidR="00A65FB9">
        <w:rPr>
          <w:lang w:val="en-GB"/>
        </w:rPr>
        <w:t>”</w:t>
      </w:r>
      <w:r w:rsidRPr="001D77D9">
        <w:rPr>
          <w:lang w:val="en-GB"/>
        </w:rPr>
        <w:t xml:space="preserve"> </w:t>
      </w:r>
      <w:r w:rsidRPr="001D77D9" w:rsidR="008A1BFD">
        <w:rPr>
          <w:rStyle w:val="sb8d990e2"/>
          <w:lang w:val="en-GB"/>
        </w:rPr>
        <w:t>when it affords a measure of protection against arbitrary interferences by the public authorities and against the extensive application of a restriction to any party</w:t>
      </w:r>
      <w:r w:rsidR="00934B09">
        <w:rPr>
          <w:rStyle w:val="sb8d990e2"/>
          <w:lang w:val="en-GB"/>
        </w:rPr>
        <w:t>’</w:t>
      </w:r>
      <w:r w:rsidRPr="001D77D9" w:rsidR="008A1BFD">
        <w:rPr>
          <w:rStyle w:val="sb8d990e2"/>
          <w:lang w:val="en-GB"/>
        </w:rPr>
        <w:t xml:space="preserve">s detriment </w:t>
      </w:r>
      <w:r w:rsidRPr="001D77D9">
        <w:rPr>
          <w:lang w:val="en-GB"/>
        </w:rPr>
        <w:t>(</w:t>
      </w:r>
      <w:r w:rsidRPr="001D77D9" w:rsidR="008A1BFD">
        <w:rPr>
          <w:lang w:val="en-GB"/>
        </w:rPr>
        <w:t xml:space="preserve">see </w:t>
      </w:r>
      <w:r w:rsidRPr="001D77D9">
        <w:rPr>
          <w:i/>
          <w:lang w:val="en-GB"/>
        </w:rPr>
        <w:t>Centro Europa 7 </w:t>
      </w:r>
      <w:r w:rsidRPr="001D77D9">
        <w:rPr>
          <w:i/>
          <w:snapToGrid w:val="0"/>
          <w:lang w:val="en-GB"/>
        </w:rPr>
        <w:t>S.r.l.</w:t>
      </w:r>
      <w:r w:rsidRPr="001D77D9">
        <w:rPr>
          <w:i/>
          <w:lang w:val="en-GB"/>
        </w:rPr>
        <w:t xml:space="preserve"> </w:t>
      </w:r>
      <w:r w:rsidRPr="001D77D9" w:rsidR="008A1BFD">
        <w:rPr>
          <w:i/>
          <w:lang w:val="en-GB"/>
        </w:rPr>
        <w:t>and</w:t>
      </w:r>
      <w:r w:rsidRPr="001D77D9">
        <w:rPr>
          <w:i/>
          <w:lang w:val="en-GB"/>
        </w:rPr>
        <w:t xml:space="preserve"> Di Stefano </w:t>
      </w:r>
      <w:r w:rsidRPr="001D77D9" w:rsidR="008A1BFD">
        <w:rPr>
          <w:i/>
          <w:lang w:val="en-GB"/>
        </w:rPr>
        <w:t>v</w:t>
      </w:r>
      <w:r w:rsidRPr="001D77D9">
        <w:rPr>
          <w:i/>
          <w:lang w:val="en-GB"/>
        </w:rPr>
        <w:t xml:space="preserve">. </w:t>
      </w:r>
      <w:r w:rsidRPr="001D77D9" w:rsidR="00283DF5">
        <w:rPr>
          <w:i/>
          <w:lang w:val="en-GB"/>
        </w:rPr>
        <w:t>Italy</w:t>
      </w:r>
      <w:r w:rsidRPr="001D77D9">
        <w:rPr>
          <w:i/>
          <w:lang w:val="en-GB"/>
        </w:rPr>
        <w:t xml:space="preserve"> </w:t>
      </w:r>
      <w:r w:rsidRPr="001D77D9">
        <w:rPr>
          <w:lang w:val="en-GB"/>
        </w:rPr>
        <w:t>[GC], n</w:t>
      </w:r>
      <w:r w:rsidRPr="001D77D9" w:rsidR="008A1BFD">
        <w:rPr>
          <w:lang w:val="en-GB"/>
        </w:rPr>
        <w:t>o.</w:t>
      </w:r>
      <w:r w:rsidRPr="001D77D9">
        <w:rPr>
          <w:lang w:val="en-GB"/>
        </w:rPr>
        <w:t xml:space="preserve"> 38433/09</w:t>
      </w:r>
      <w:r w:rsidRPr="001D77D9">
        <w:rPr>
          <w:snapToGrid w:val="0"/>
          <w:szCs w:val="24"/>
          <w:lang w:val="en-GB"/>
        </w:rPr>
        <w:t xml:space="preserve">, § 143, </w:t>
      </w:r>
      <w:r w:rsidRPr="001D77D9" w:rsidR="008A1BFD">
        <w:rPr>
          <w:snapToGrid w:val="0"/>
          <w:szCs w:val="24"/>
          <w:lang w:val="en-GB"/>
        </w:rPr>
        <w:t>E</w:t>
      </w:r>
      <w:r w:rsidRPr="001D77D9">
        <w:rPr>
          <w:snapToGrid w:val="0"/>
          <w:lang w:val="en-GB"/>
        </w:rPr>
        <w:t>CH</w:t>
      </w:r>
      <w:r w:rsidRPr="001D77D9" w:rsidR="008A1BFD">
        <w:rPr>
          <w:snapToGrid w:val="0"/>
          <w:lang w:val="en-GB"/>
        </w:rPr>
        <w:t>R</w:t>
      </w:r>
      <w:r w:rsidRPr="001D77D9">
        <w:rPr>
          <w:snapToGrid w:val="0"/>
          <w:lang w:val="en-GB"/>
        </w:rPr>
        <w:t xml:space="preserve"> 2012).</w:t>
      </w:r>
      <w:r w:rsidRPr="001D77D9">
        <w:rPr>
          <w:lang w:val="en-GB"/>
        </w:rPr>
        <w:t xml:space="preserve"> </w:t>
      </w:r>
      <w:r w:rsidRPr="001D77D9" w:rsidR="008A1BFD">
        <w:rPr>
          <w:rFonts w:ascii="Times New Roman" w:hAnsi="Times New Roman" w:eastAsia="Times New Roman" w:cs="Times New Roman"/>
          <w:szCs w:val="24"/>
          <w:lang w:val="en-GB"/>
        </w:rPr>
        <w:t>It also</w:t>
      </w:r>
      <w:r w:rsidRPr="001D77D9">
        <w:rPr>
          <w:rFonts w:ascii="Times New Roman" w:hAnsi="Times New Roman" w:eastAsia="Times New Roman" w:cs="Times New Roman"/>
          <w:szCs w:val="24"/>
          <w:lang w:val="en-GB"/>
        </w:rPr>
        <w:t xml:space="preserve"> </w:t>
      </w:r>
      <w:r w:rsidRPr="001D77D9" w:rsidR="00283DF5">
        <w:rPr>
          <w:rFonts w:ascii="Times New Roman" w:hAnsi="Times New Roman" w:eastAsia="Times New Roman" w:cs="Times New Roman"/>
          <w:szCs w:val="24"/>
          <w:lang w:val="en-GB"/>
        </w:rPr>
        <w:t>reaffirms</w:t>
      </w:r>
      <w:r w:rsidRPr="001D77D9" w:rsidR="008A1BFD">
        <w:rPr>
          <w:rFonts w:ascii="Times New Roman" w:hAnsi="Times New Roman" w:eastAsia="Times New Roman" w:cs="Times New Roman"/>
          <w:szCs w:val="24"/>
          <w:lang w:val="en-GB"/>
        </w:rPr>
        <w:t xml:space="preserve"> that it is </w:t>
      </w:r>
      <w:r w:rsidRPr="001D77D9" w:rsidR="00A65FB9">
        <w:rPr>
          <w:rStyle w:val="sb8d990e2"/>
          <w:lang w:val="en-GB"/>
        </w:rPr>
        <w:t xml:space="preserve">primarily for the national authorities, notably the courts, to interpret and apply domestic law </w:t>
      </w:r>
      <w:r w:rsidRPr="001D77D9">
        <w:rPr>
          <w:rFonts w:ascii="Times New Roman" w:hAnsi="Times New Roman" w:eastAsia="Times New Roman" w:cs="Times New Roman"/>
          <w:szCs w:val="24"/>
          <w:lang w:val="en-GB"/>
        </w:rPr>
        <w:t>(</w:t>
      </w:r>
      <w:r w:rsidRPr="001D77D9" w:rsidR="008A1BFD">
        <w:rPr>
          <w:rFonts w:ascii="Times New Roman" w:hAnsi="Times New Roman" w:eastAsia="Times New Roman" w:cs="Times New Roman"/>
          <w:szCs w:val="24"/>
          <w:lang w:val="en-GB"/>
        </w:rPr>
        <w:t xml:space="preserve">see </w:t>
      </w:r>
      <w:r w:rsidRPr="001D77D9" w:rsidR="008A1BFD">
        <w:rPr>
          <w:rFonts w:ascii="Times New Roman" w:hAnsi="Times New Roman" w:eastAsia="Times New Roman" w:cs="Times New Roman"/>
          <w:i/>
          <w:szCs w:val="24"/>
          <w:lang w:val="en-GB"/>
        </w:rPr>
        <w:t>Kopp v</w:t>
      </w:r>
      <w:r w:rsidRPr="001D77D9">
        <w:rPr>
          <w:rFonts w:ascii="Times New Roman" w:hAnsi="Times New Roman" w:eastAsia="Times New Roman" w:cs="Times New Roman"/>
          <w:i/>
          <w:szCs w:val="24"/>
          <w:lang w:val="en-GB"/>
        </w:rPr>
        <w:t>. S</w:t>
      </w:r>
      <w:r w:rsidRPr="001D77D9" w:rsidR="008A1BFD">
        <w:rPr>
          <w:rFonts w:ascii="Times New Roman" w:hAnsi="Times New Roman" w:eastAsia="Times New Roman" w:cs="Times New Roman"/>
          <w:i/>
          <w:szCs w:val="24"/>
          <w:lang w:val="en-GB"/>
        </w:rPr>
        <w:t>witzerland</w:t>
      </w:r>
      <w:r w:rsidRPr="001D77D9">
        <w:rPr>
          <w:rFonts w:ascii="Times New Roman" w:hAnsi="Times New Roman" w:eastAsia="Times New Roman" w:cs="Times New Roman"/>
          <w:szCs w:val="24"/>
          <w:lang w:val="en-GB"/>
        </w:rPr>
        <w:t xml:space="preserve">, 25 </w:t>
      </w:r>
      <w:r w:rsidRPr="001D77D9" w:rsidR="008A1BFD">
        <w:rPr>
          <w:rFonts w:ascii="Times New Roman" w:hAnsi="Times New Roman" w:eastAsia="Times New Roman" w:cs="Times New Roman"/>
          <w:szCs w:val="24"/>
          <w:lang w:val="en-GB"/>
        </w:rPr>
        <w:t>March</w:t>
      </w:r>
      <w:r w:rsidRPr="001D77D9">
        <w:rPr>
          <w:rFonts w:ascii="Times New Roman" w:hAnsi="Times New Roman" w:eastAsia="Times New Roman" w:cs="Times New Roman"/>
          <w:szCs w:val="24"/>
          <w:lang w:val="en-GB"/>
        </w:rPr>
        <w:t xml:space="preserve"> 1998, § 59, </w:t>
      </w:r>
      <w:r w:rsidRPr="001D77D9">
        <w:rPr>
          <w:rFonts w:ascii="Times New Roman" w:hAnsi="Times New Roman" w:eastAsia="Times New Roman" w:cs="Times New Roman"/>
          <w:i/>
          <w:szCs w:val="24"/>
          <w:lang w:val="en-GB"/>
        </w:rPr>
        <w:t>Re</w:t>
      </w:r>
      <w:r w:rsidRPr="001D77D9" w:rsidR="008A1BFD">
        <w:rPr>
          <w:rFonts w:ascii="Times New Roman" w:hAnsi="Times New Roman" w:eastAsia="Times New Roman" w:cs="Times New Roman"/>
          <w:i/>
          <w:szCs w:val="24"/>
          <w:lang w:val="en-GB"/>
        </w:rPr>
        <w:t>ports</w:t>
      </w:r>
      <w:r w:rsidRPr="001D77D9">
        <w:rPr>
          <w:rFonts w:ascii="Times New Roman" w:hAnsi="Times New Roman" w:eastAsia="Times New Roman" w:cs="Times New Roman"/>
          <w:i/>
          <w:szCs w:val="24"/>
          <w:lang w:val="en-GB"/>
        </w:rPr>
        <w:t xml:space="preserve"> </w:t>
      </w:r>
      <w:r w:rsidRPr="001D77D9">
        <w:rPr>
          <w:rFonts w:ascii="Times New Roman" w:hAnsi="Times New Roman" w:eastAsia="Times New Roman" w:cs="Times New Roman"/>
          <w:szCs w:val="24"/>
          <w:lang w:val="en-GB"/>
        </w:rPr>
        <w:t xml:space="preserve">1998-II, </w:t>
      </w:r>
      <w:r w:rsidRPr="001D77D9" w:rsidR="008A1BFD">
        <w:rPr>
          <w:rFonts w:ascii="Times New Roman" w:hAnsi="Times New Roman" w:eastAsia="Times New Roman" w:cs="Times New Roman"/>
          <w:szCs w:val="24"/>
          <w:lang w:val="en-GB"/>
        </w:rPr>
        <w:t>and</w:t>
      </w:r>
      <w:r w:rsidRPr="001D77D9">
        <w:rPr>
          <w:rFonts w:ascii="Times New Roman" w:hAnsi="Times New Roman" w:eastAsia="Times New Roman" w:cs="Times New Roman"/>
          <w:szCs w:val="24"/>
          <w:lang w:val="en-GB"/>
        </w:rPr>
        <w:t xml:space="preserve"> </w:t>
      </w:r>
      <w:r w:rsidRPr="001D77D9">
        <w:rPr>
          <w:rFonts w:ascii="Times New Roman" w:hAnsi="Times New Roman" w:eastAsia="Times New Roman" w:cs="Times New Roman"/>
          <w:i/>
          <w:szCs w:val="24"/>
          <w:lang w:val="en-GB"/>
        </w:rPr>
        <w:t xml:space="preserve">Kruslin </w:t>
      </w:r>
      <w:r w:rsidRPr="001D77D9" w:rsidR="008A1BFD">
        <w:rPr>
          <w:rFonts w:ascii="Times New Roman" w:hAnsi="Times New Roman" w:eastAsia="Times New Roman" w:cs="Times New Roman"/>
          <w:i/>
          <w:szCs w:val="24"/>
          <w:lang w:val="en-GB"/>
        </w:rPr>
        <w:t>v</w:t>
      </w:r>
      <w:r w:rsidRPr="001D77D9">
        <w:rPr>
          <w:rFonts w:ascii="Times New Roman" w:hAnsi="Times New Roman" w:eastAsia="Times New Roman" w:cs="Times New Roman"/>
          <w:i/>
          <w:szCs w:val="24"/>
          <w:lang w:val="en-GB"/>
        </w:rPr>
        <w:t>. France</w:t>
      </w:r>
      <w:r w:rsidRPr="001D77D9">
        <w:rPr>
          <w:rFonts w:ascii="Times New Roman" w:hAnsi="Times New Roman" w:eastAsia="Times New Roman" w:cs="Times New Roman"/>
          <w:szCs w:val="24"/>
          <w:lang w:val="en-GB"/>
        </w:rPr>
        <w:t>, 24 </w:t>
      </w:r>
      <w:r w:rsidRPr="001D77D9" w:rsidR="00283DF5">
        <w:rPr>
          <w:rFonts w:ascii="Times New Roman" w:hAnsi="Times New Roman" w:eastAsia="Times New Roman" w:cs="Times New Roman"/>
          <w:szCs w:val="24"/>
          <w:lang w:val="en-GB"/>
        </w:rPr>
        <w:t>April</w:t>
      </w:r>
      <w:r w:rsidRPr="001D77D9">
        <w:rPr>
          <w:rFonts w:ascii="Times New Roman" w:hAnsi="Times New Roman" w:eastAsia="Times New Roman" w:cs="Times New Roman"/>
          <w:szCs w:val="24"/>
          <w:lang w:val="en-GB"/>
        </w:rPr>
        <w:t xml:space="preserve"> 1990, § 29, </w:t>
      </w:r>
      <w:r w:rsidRPr="001D77D9" w:rsidR="00283DF5">
        <w:rPr>
          <w:rFonts w:ascii="Times New Roman" w:hAnsi="Times New Roman" w:eastAsia="Times New Roman" w:cs="Times New Roman"/>
          <w:szCs w:val="24"/>
          <w:lang w:val="en-GB"/>
        </w:rPr>
        <w:t>Series</w:t>
      </w:r>
      <w:r w:rsidRPr="001D77D9">
        <w:rPr>
          <w:rFonts w:ascii="Times New Roman" w:hAnsi="Times New Roman" w:eastAsia="Times New Roman" w:cs="Times New Roman"/>
          <w:szCs w:val="24"/>
          <w:lang w:val="en-GB"/>
        </w:rPr>
        <w:t xml:space="preserve"> A n</w:t>
      </w:r>
      <w:r w:rsidRPr="001D77D9" w:rsidR="008A1BFD">
        <w:rPr>
          <w:rFonts w:ascii="Times New Roman" w:hAnsi="Times New Roman" w:eastAsia="Times New Roman" w:cs="Times New Roman"/>
          <w:szCs w:val="24"/>
          <w:lang w:val="en-GB"/>
        </w:rPr>
        <w:t>o.</w:t>
      </w:r>
      <w:r w:rsidR="00934B09">
        <w:rPr>
          <w:rFonts w:ascii="Times New Roman" w:hAnsi="Times New Roman" w:eastAsia="Times New Roman" w:cs="Times New Roman"/>
          <w:szCs w:val="24"/>
          <w:lang w:val="en-GB"/>
        </w:rPr>
        <w:t> </w:t>
      </w:r>
      <w:r w:rsidRPr="001D77D9">
        <w:rPr>
          <w:rFonts w:ascii="Times New Roman" w:hAnsi="Times New Roman" w:eastAsia="Times New Roman" w:cs="Times New Roman"/>
          <w:szCs w:val="24"/>
          <w:lang w:val="en-GB"/>
        </w:rPr>
        <w:t>176-A).</w:t>
      </w:r>
    </w:p>
    <w:p w:rsidRPr="001D77D9" w:rsidR="001C5D5B" w:rsidP="001C5D5B" w:rsidRDefault="001C5D5B">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104</w:t>
      </w:r>
      <w:r w:rsidRPr="001D77D9">
        <w:rPr>
          <w:lang w:val="en-GB"/>
        </w:rPr>
        <w:fldChar w:fldCharType="end"/>
      </w:r>
      <w:r w:rsidRPr="001D77D9">
        <w:rPr>
          <w:lang w:val="en-GB"/>
        </w:rPr>
        <w:t>.  </w:t>
      </w:r>
      <w:r w:rsidRPr="001D77D9" w:rsidR="00A65FB9">
        <w:rPr>
          <w:lang w:val="en-GB"/>
        </w:rPr>
        <w:t>In the</w:t>
      </w:r>
      <w:r w:rsidRPr="001D77D9">
        <w:rPr>
          <w:lang w:val="en-GB"/>
        </w:rPr>
        <w:t xml:space="preserve"> </w:t>
      </w:r>
      <w:r w:rsidRPr="001D77D9" w:rsidR="00283DF5">
        <w:rPr>
          <w:lang w:val="en-GB"/>
        </w:rPr>
        <w:t>circumstances</w:t>
      </w:r>
      <w:r w:rsidRPr="001D77D9">
        <w:rPr>
          <w:lang w:val="en-GB"/>
        </w:rPr>
        <w:t xml:space="preserve"> </w:t>
      </w:r>
      <w:r w:rsidRPr="001D77D9" w:rsidR="00316B88">
        <w:rPr>
          <w:lang w:val="en-GB"/>
        </w:rPr>
        <w:t>of the</w:t>
      </w:r>
      <w:r w:rsidRPr="001D77D9">
        <w:rPr>
          <w:lang w:val="en-GB"/>
        </w:rPr>
        <w:t xml:space="preserve"> </w:t>
      </w:r>
      <w:r w:rsidRPr="001D77D9" w:rsidR="00283DF5">
        <w:rPr>
          <w:lang w:val="en-GB"/>
        </w:rPr>
        <w:t>present</w:t>
      </w:r>
      <w:r w:rsidRPr="001D77D9">
        <w:rPr>
          <w:lang w:val="en-GB"/>
        </w:rPr>
        <w:t xml:space="preserve"> </w:t>
      </w:r>
      <w:r w:rsidRPr="001D77D9" w:rsidR="00316B88">
        <w:rPr>
          <w:lang w:val="en-GB"/>
        </w:rPr>
        <w:t>case</w:t>
      </w:r>
      <w:r w:rsidRPr="001D77D9">
        <w:rPr>
          <w:lang w:val="en-GB"/>
        </w:rPr>
        <w:t xml:space="preserve">, </w:t>
      </w:r>
      <w:r w:rsidRPr="001D77D9" w:rsidR="00316B88">
        <w:rPr>
          <w:lang w:val="en-GB"/>
        </w:rPr>
        <w:t>although there is no question as to the</w:t>
      </w:r>
      <w:r w:rsidRPr="001D77D9">
        <w:rPr>
          <w:lang w:val="en-GB"/>
        </w:rPr>
        <w:t xml:space="preserve"> existence </w:t>
      </w:r>
      <w:r w:rsidRPr="001D77D9" w:rsidR="00316B88">
        <w:rPr>
          <w:lang w:val="en-GB"/>
        </w:rPr>
        <w:t xml:space="preserve">and </w:t>
      </w:r>
      <w:r w:rsidRPr="001D77D9" w:rsidR="00283DF5">
        <w:rPr>
          <w:lang w:val="en-GB"/>
        </w:rPr>
        <w:t>accessibility</w:t>
      </w:r>
      <w:r w:rsidRPr="001D77D9" w:rsidR="00316B88">
        <w:rPr>
          <w:lang w:val="en-GB"/>
        </w:rPr>
        <w:t xml:space="preserve"> of a </w:t>
      </w:r>
      <w:r w:rsidRPr="001D77D9" w:rsidR="00283DF5">
        <w:rPr>
          <w:lang w:val="en-GB"/>
        </w:rPr>
        <w:t>legal</w:t>
      </w:r>
      <w:r w:rsidRPr="001D77D9" w:rsidR="00316B88">
        <w:rPr>
          <w:lang w:val="en-GB"/>
        </w:rPr>
        <w:t xml:space="preserve"> basis, the same does not apply to the </w:t>
      </w:r>
      <w:r w:rsidRPr="001D77D9">
        <w:rPr>
          <w:lang w:val="en-GB"/>
        </w:rPr>
        <w:t xml:space="preserve">condition </w:t>
      </w:r>
      <w:r w:rsidRPr="001D77D9" w:rsidR="00316B88">
        <w:rPr>
          <w:lang w:val="en-GB"/>
        </w:rPr>
        <w:t xml:space="preserve">of </w:t>
      </w:r>
      <w:r w:rsidRPr="001D77D9" w:rsidR="00283DF5">
        <w:rPr>
          <w:lang w:val="en-GB"/>
        </w:rPr>
        <w:t>foreseeability</w:t>
      </w:r>
      <w:r w:rsidRPr="001D77D9">
        <w:rPr>
          <w:lang w:val="en-GB"/>
        </w:rPr>
        <w:t xml:space="preserve"> </w:t>
      </w:r>
      <w:r w:rsidRPr="001D77D9" w:rsidR="00316B88">
        <w:rPr>
          <w:lang w:val="en-GB"/>
        </w:rPr>
        <w:t>of the law in terms of the meaning and the</w:t>
      </w:r>
      <w:r w:rsidRPr="001D77D9">
        <w:rPr>
          <w:lang w:val="en-GB"/>
        </w:rPr>
        <w:t xml:space="preserve"> nature </w:t>
      </w:r>
      <w:r w:rsidRPr="001D77D9" w:rsidR="00316B88">
        <w:rPr>
          <w:lang w:val="en-GB"/>
        </w:rPr>
        <w:t>of the</w:t>
      </w:r>
      <w:r w:rsidRPr="001D77D9">
        <w:rPr>
          <w:lang w:val="en-GB"/>
        </w:rPr>
        <w:t xml:space="preserve"> </w:t>
      </w:r>
      <w:r w:rsidRPr="001D77D9" w:rsidR="00283DF5">
        <w:rPr>
          <w:lang w:val="en-GB"/>
        </w:rPr>
        <w:t>applicable</w:t>
      </w:r>
      <w:r w:rsidRPr="001D77D9" w:rsidR="00316B88">
        <w:rPr>
          <w:lang w:val="en-GB"/>
        </w:rPr>
        <w:t xml:space="preserve"> </w:t>
      </w:r>
      <w:r w:rsidRPr="001D77D9" w:rsidR="00283DF5">
        <w:rPr>
          <w:lang w:val="en-GB"/>
        </w:rPr>
        <w:t>measures</w:t>
      </w:r>
      <w:r w:rsidRPr="001D77D9">
        <w:rPr>
          <w:lang w:val="en-GB"/>
        </w:rPr>
        <w:t>.</w:t>
      </w:r>
    </w:p>
    <w:p w:rsidRPr="001D77D9" w:rsidR="001C5D5B" w:rsidP="001C5D5B" w:rsidRDefault="001C5D5B">
      <w:pPr>
        <w:pStyle w:val="ECHRPara"/>
        <w:rPr>
          <w:lang w:val="en-GB"/>
        </w:rPr>
      </w:pPr>
      <w:r w:rsidRPr="001D77D9">
        <w:rPr>
          <w:rFonts w:ascii="Times New Roman" w:hAnsi="Times New Roman" w:eastAsia="Times New Roman" w:cs="Times New Roman"/>
          <w:szCs w:val="24"/>
          <w:lang w:val="en-GB"/>
        </w:rPr>
        <w:fldChar w:fldCharType="begin"/>
      </w:r>
      <w:r w:rsidRPr="001D77D9">
        <w:rPr>
          <w:rFonts w:ascii="Times New Roman" w:hAnsi="Times New Roman" w:eastAsia="Times New Roman" w:cs="Times New Roman"/>
          <w:szCs w:val="24"/>
          <w:lang w:val="en-GB"/>
        </w:rPr>
        <w:instrText xml:space="preserve"> SEQ level0 \*arabic </w:instrText>
      </w:r>
      <w:r w:rsidRPr="001D77D9">
        <w:rPr>
          <w:rFonts w:ascii="Times New Roman" w:hAnsi="Times New Roman" w:eastAsia="Times New Roman" w:cs="Times New Roman"/>
          <w:szCs w:val="24"/>
          <w:lang w:val="en-GB"/>
        </w:rPr>
        <w:fldChar w:fldCharType="separate"/>
      </w:r>
      <w:r w:rsidR="00934B09">
        <w:rPr>
          <w:rFonts w:ascii="Times New Roman" w:hAnsi="Times New Roman" w:eastAsia="Times New Roman" w:cs="Times New Roman"/>
          <w:noProof/>
          <w:szCs w:val="24"/>
          <w:lang w:val="en-GB"/>
        </w:rPr>
        <w:t>105</w:t>
      </w:r>
      <w:r w:rsidRPr="001D77D9">
        <w:rPr>
          <w:rFonts w:ascii="Times New Roman" w:hAnsi="Times New Roman" w:eastAsia="Times New Roman" w:cs="Times New Roman"/>
          <w:szCs w:val="24"/>
          <w:lang w:val="en-GB"/>
        </w:rPr>
        <w:fldChar w:fldCharType="end"/>
      </w:r>
      <w:r w:rsidRPr="001D77D9">
        <w:rPr>
          <w:rFonts w:ascii="Times New Roman" w:hAnsi="Times New Roman" w:eastAsia="Times New Roman" w:cs="Times New Roman"/>
          <w:szCs w:val="24"/>
          <w:lang w:val="en-GB"/>
        </w:rPr>
        <w:t>.  </w:t>
      </w:r>
      <w:r w:rsidRPr="001D77D9" w:rsidR="00316B88">
        <w:rPr>
          <w:rFonts w:ascii="Times New Roman" w:hAnsi="Times New Roman" w:eastAsia="Times New Roman" w:cs="Times New Roman"/>
          <w:szCs w:val="24"/>
          <w:lang w:val="en-GB"/>
        </w:rPr>
        <w:t>The</w:t>
      </w:r>
      <w:r w:rsidRPr="001D77D9">
        <w:rPr>
          <w:rFonts w:ascii="Times New Roman" w:hAnsi="Times New Roman" w:eastAsia="Times New Roman" w:cs="Times New Roman"/>
          <w:szCs w:val="24"/>
          <w:lang w:val="en-GB"/>
        </w:rPr>
        <w:t xml:space="preserve"> </w:t>
      </w:r>
      <w:r w:rsidRPr="001D77D9" w:rsidR="00283DF5">
        <w:rPr>
          <w:rFonts w:ascii="Times New Roman" w:hAnsi="Times New Roman" w:eastAsia="Times New Roman" w:cs="Times New Roman"/>
          <w:szCs w:val="24"/>
          <w:lang w:val="en-GB"/>
        </w:rPr>
        <w:t>Court</w:t>
      </w:r>
      <w:r w:rsidRPr="001D77D9">
        <w:rPr>
          <w:rFonts w:ascii="Times New Roman" w:hAnsi="Times New Roman" w:eastAsia="Times New Roman" w:cs="Times New Roman"/>
          <w:szCs w:val="24"/>
          <w:lang w:val="en-GB"/>
        </w:rPr>
        <w:t xml:space="preserve"> observe</w:t>
      </w:r>
      <w:r w:rsidRPr="001D77D9" w:rsidR="00316B88">
        <w:rPr>
          <w:rFonts w:ascii="Times New Roman" w:hAnsi="Times New Roman" w:eastAsia="Times New Roman" w:cs="Times New Roman"/>
          <w:szCs w:val="24"/>
          <w:lang w:val="en-GB"/>
        </w:rPr>
        <w:t>s that domestic law</w:t>
      </w:r>
      <w:r w:rsidRPr="001D77D9">
        <w:rPr>
          <w:rFonts w:ascii="Times New Roman" w:hAnsi="Times New Roman" w:eastAsia="Times New Roman" w:cs="Times New Roman"/>
          <w:szCs w:val="24"/>
          <w:lang w:val="en-GB"/>
        </w:rPr>
        <w:t xml:space="preserve"> </w:t>
      </w:r>
      <w:r w:rsidRPr="001D77D9" w:rsidR="00283DF5">
        <w:rPr>
          <w:lang w:val="en-GB"/>
        </w:rPr>
        <w:t>recognised</w:t>
      </w:r>
      <w:r w:rsidRPr="001D77D9" w:rsidR="00316B88">
        <w:rPr>
          <w:lang w:val="en-GB"/>
        </w:rPr>
        <w:t xml:space="preserve"> the </w:t>
      </w:r>
      <w:r w:rsidRPr="001D77D9" w:rsidR="00283DF5">
        <w:rPr>
          <w:lang w:val="en-GB"/>
        </w:rPr>
        <w:t>possibility</w:t>
      </w:r>
      <w:r w:rsidRPr="001D77D9" w:rsidR="00316B88">
        <w:rPr>
          <w:lang w:val="en-GB"/>
        </w:rPr>
        <w:t xml:space="preserve"> of </w:t>
      </w:r>
      <w:r w:rsidRPr="001D77D9">
        <w:rPr>
          <w:lang w:val="en-GB"/>
        </w:rPr>
        <w:t>con</w:t>
      </w:r>
      <w:r w:rsidRPr="001D77D9" w:rsidR="00316B88">
        <w:rPr>
          <w:lang w:val="en-GB"/>
        </w:rPr>
        <w:t>victed prisoners</w:t>
      </w:r>
      <w:r w:rsidRPr="001D77D9">
        <w:rPr>
          <w:lang w:val="en-GB"/>
        </w:rPr>
        <w:t xml:space="preserve"> </w:t>
      </w:r>
      <w:r w:rsidRPr="001D77D9" w:rsidR="00283DF5">
        <w:rPr>
          <w:lang w:val="en-GB"/>
        </w:rPr>
        <w:t>receiving</w:t>
      </w:r>
      <w:r w:rsidRPr="001D77D9">
        <w:rPr>
          <w:lang w:val="en-GB"/>
        </w:rPr>
        <w:t xml:space="preserve"> </w:t>
      </w:r>
      <w:r w:rsidRPr="001D77D9" w:rsidR="00283DF5">
        <w:rPr>
          <w:lang w:val="en-GB"/>
        </w:rPr>
        <w:t>periodical</w:t>
      </w:r>
      <w:r w:rsidRPr="001D77D9" w:rsidR="00316B88">
        <w:rPr>
          <w:lang w:val="en-GB"/>
        </w:rPr>
        <w:t xml:space="preserve"> and non-</w:t>
      </w:r>
      <w:r w:rsidRPr="001D77D9" w:rsidR="00283DF5">
        <w:rPr>
          <w:lang w:val="en-GB"/>
        </w:rPr>
        <w:t>periodical</w:t>
      </w:r>
      <w:r w:rsidRPr="001D77D9" w:rsidR="00316B88">
        <w:rPr>
          <w:lang w:val="en-GB"/>
        </w:rPr>
        <w:t xml:space="preserve"> publications provided that the latter were not </w:t>
      </w:r>
      <w:r w:rsidRPr="001D77D9" w:rsidR="00283DF5">
        <w:rPr>
          <w:lang w:val="en-GB"/>
        </w:rPr>
        <w:t>subject</w:t>
      </w:r>
      <w:r w:rsidRPr="001D77D9">
        <w:rPr>
          <w:lang w:val="en-GB"/>
        </w:rPr>
        <w:t xml:space="preserve"> </w:t>
      </w:r>
      <w:r w:rsidRPr="001D77D9" w:rsidR="00316B88">
        <w:rPr>
          <w:lang w:val="en-GB"/>
        </w:rPr>
        <w:t>to a prohibi</w:t>
      </w:r>
      <w:r w:rsidRPr="001D77D9">
        <w:rPr>
          <w:lang w:val="en-GB"/>
        </w:rPr>
        <w:t xml:space="preserve">tion </w:t>
      </w:r>
      <w:r w:rsidRPr="001D77D9" w:rsidR="00316B88">
        <w:rPr>
          <w:lang w:val="en-GB"/>
        </w:rPr>
        <w:t xml:space="preserve">order </w:t>
      </w:r>
      <w:r w:rsidR="00934B09">
        <w:rPr>
          <w:lang w:val="en-GB"/>
        </w:rPr>
        <w:t>...</w:t>
      </w:r>
      <w:r w:rsidRPr="001D77D9">
        <w:rPr>
          <w:lang w:val="en-GB"/>
        </w:rPr>
        <w:t xml:space="preserve"> </w:t>
      </w:r>
      <w:r w:rsidRPr="001D77D9" w:rsidR="00316B88">
        <w:rPr>
          <w:lang w:val="en-GB"/>
        </w:rPr>
        <w:t>Furthermore</w:t>
      </w:r>
      <w:r w:rsidRPr="001D77D9">
        <w:rPr>
          <w:lang w:val="en-GB"/>
        </w:rPr>
        <w:t xml:space="preserve">, </w:t>
      </w:r>
      <w:r w:rsidRPr="001D77D9" w:rsidR="00283DF5">
        <w:rPr>
          <w:lang w:val="en-GB"/>
        </w:rPr>
        <w:t>the domestic legislation relating to th</w:t>
      </w:r>
      <w:r w:rsidRPr="001D77D9" w:rsidR="00D04ED4">
        <w:rPr>
          <w:lang w:val="en-GB"/>
        </w:rPr>
        <w:t>at</w:t>
      </w:r>
      <w:r w:rsidRPr="001D77D9" w:rsidR="00283DF5">
        <w:rPr>
          <w:lang w:val="en-GB"/>
        </w:rPr>
        <w:t xml:space="preserve"> matter apparently sets out an exhaustive list of the circumstances</w:t>
      </w:r>
      <w:r w:rsidRPr="001D77D9">
        <w:rPr>
          <w:lang w:val="en-GB"/>
        </w:rPr>
        <w:t xml:space="preserve"> </w:t>
      </w:r>
      <w:r w:rsidRPr="001D77D9" w:rsidR="00283DF5">
        <w:rPr>
          <w:lang w:val="en-GB"/>
        </w:rPr>
        <w:t>in which a</w:t>
      </w:r>
      <w:r w:rsidRPr="001D77D9">
        <w:rPr>
          <w:lang w:val="en-GB"/>
        </w:rPr>
        <w:t xml:space="preserve"> publication </w:t>
      </w:r>
      <w:r w:rsidRPr="001D77D9" w:rsidR="00283DF5">
        <w:rPr>
          <w:lang w:val="en-GB"/>
        </w:rPr>
        <w:t>may be withheld from a prisoner, that is to say</w:t>
      </w:r>
      <w:r w:rsidRPr="001D77D9">
        <w:rPr>
          <w:lang w:val="en-GB"/>
        </w:rPr>
        <w:t xml:space="preserve"> publication</w:t>
      </w:r>
      <w:r w:rsidRPr="001D77D9" w:rsidR="00D04ED4">
        <w:rPr>
          <w:lang w:val="en-GB"/>
        </w:rPr>
        <w:t>s</w:t>
      </w:r>
      <w:r w:rsidRPr="001D77D9" w:rsidR="00852377">
        <w:rPr>
          <w:lang w:val="en-GB"/>
        </w:rPr>
        <w:t xml:space="preserve"> containing information, articles, photographs and comments which are obscene or liable to jeopardise prison security</w:t>
      </w:r>
      <w:r w:rsidRPr="001D77D9">
        <w:rPr>
          <w:lang w:val="en-GB"/>
        </w:rPr>
        <w:t xml:space="preserve"> </w:t>
      </w:r>
      <w:r w:rsidR="00934B09">
        <w:rPr>
          <w:lang w:val="en-GB"/>
        </w:rPr>
        <w:t>...</w:t>
      </w:r>
    </w:p>
    <w:p w:rsidRPr="001D77D9" w:rsidR="001C5D5B" w:rsidP="001C5D5B" w:rsidRDefault="001C5D5B">
      <w:pPr>
        <w:pStyle w:val="ECHRPara"/>
        <w:rPr>
          <w:rStyle w:val="ECHRParaCha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106</w:t>
      </w:r>
      <w:r w:rsidRPr="001D77D9">
        <w:rPr>
          <w:lang w:val="en-GB"/>
        </w:rPr>
        <w:fldChar w:fldCharType="end"/>
      </w:r>
      <w:r w:rsidRPr="001D77D9">
        <w:rPr>
          <w:lang w:val="en-GB"/>
        </w:rPr>
        <w:t>.  </w:t>
      </w:r>
      <w:r w:rsidRPr="001D77D9" w:rsidR="00283DF5">
        <w:rPr>
          <w:rStyle w:val="ECHRParaChar"/>
          <w:lang w:val="en-GB"/>
        </w:rPr>
        <w:t>In the instant case, the</w:t>
      </w:r>
      <w:r w:rsidRPr="001D77D9">
        <w:rPr>
          <w:rStyle w:val="ECHRParaChar"/>
          <w:lang w:val="en-GB"/>
        </w:rPr>
        <w:t xml:space="preserve"> </w:t>
      </w:r>
      <w:r w:rsidRPr="001D77D9" w:rsidR="00283DF5">
        <w:rPr>
          <w:rStyle w:val="ECHRParaChar"/>
          <w:lang w:val="en-GB"/>
        </w:rPr>
        <w:t>Court</w:t>
      </w:r>
      <w:r w:rsidRPr="001D77D9">
        <w:rPr>
          <w:rStyle w:val="ECHRParaChar"/>
          <w:lang w:val="en-GB"/>
        </w:rPr>
        <w:t xml:space="preserve"> observe</w:t>
      </w:r>
      <w:r w:rsidRPr="001D77D9" w:rsidR="00283DF5">
        <w:rPr>
          <w:rStyle w:val="ECHRParaChar"/>
          <w:lang w:val="en-GB"/>
        </w:rPr>
        <w:t xml:space="preserve">s that even though they </w:t>
      </w:r>
      <w:r w:rsidRPr="001D77D9" w:rsidR="00D04ED4">
        <w:rPr>
          <w:rStyle w:val="ECHRParaChar"/>
          <w:lang w:val="en-GB"/>
        </w:rPr>
        <w:t>justified</w:t>
      </w:r>
      <w:r w:rsidRPr="001D77D9" w:rsidR="00283DF5">
        <w:rPr>
          <w:rStyle w:val="ECHRParaChar"/>
          <w:lang w:val="en-GB"/>
        </w:rPr>
        <w:t xml:space="preserve"> their</w:t>
      </w:r>
      <w:r w:rsidRPr="001D77D9">
        <w:rPr>
          <w:rStyle w:val="ECHRParaChar"/>
          <w:lang w:val="en-GB"/>
        </w:rPr>
        <w:t xml:space="preserve"> </w:t>
      </w:r>
      <w:r w:rsidRPr="001D77D9" w:rsidR="00283DF5">
        <w:rPr>
          <w:rStyle w:val="ECHRParaChar"/>
          <w:lang w:val="en-GB"/>
        </w:rPr>
        <w:t>decisions</w:t>
      </w:r>
      <w:r w:rsidRPr="001D77D9" w:rsidR="00D04ED4">
        <w:rPr>
          <w:rStyle w:val="ECHRParaChar"/>
          <w:lang w:val="en-GB"/>
        </w:rPr>
        <w:t xml:space="preserve"> with reference to section 62 § 3 of Law no. 5275</w:t>
      </w:r>
      <w:r w:rsidRPr="001D77D9">
        <w:rPr>
          <w:rStyle w:val="ECHRParaChar"/>
          <w:lang w:val="en-GB"/>
        </w:rPr>
        <w:t xml:space="preserve">, </w:t>
      </w:r>
      <w:r w:rsidRPr="001D77D9" w:rsidR="00F076D0">
        <w:rPr>
          <w:rStyle w:val="ECHRParaChar"/>
          <w:lang w:val="en-GB"/>
        </w:rPr>
        <w:t>the</w:t>
      </w:r>
      <w:r w:rsidRPr="001D77D9">
        <w:rPr>
          <w:rStyle w:val="ECHRParaChar"/>
          <w:lang w:val="en-GB"/>
        </w:rPr>
        <w:t xml:space="preserve"> national</w:t>
      </w:r>
      <w:r w:rsidRPr="001D77D9" w:rsidR="00F076D0">
        <w:rPr>
          <w:rStyle w:val="ECHRParaChar"/>
          <w:lang w:val="en-GB"/>
        </w:rPr>
        <w:t xml:space="preserve"> authoriti</w:t>
      </w:r>
      <w:r w:rsidRPr="001D77D9">
        <w:rPr>
          <w:rStyle w:val="ECHRParaChar"/>
          <w:lang w:val="en-GB"/>
        </w:rPr>
        <w:t xml:space="preserve">es </w:t>
      </w:r>
      <w:r w:rsidRPr="001D77D9" w:rsidR="00F076D0">
        <w:rPr>
          <w:rStyle w:val="ECHRParaChar"/>
          <w:lang w:val="en-GB"/>
        </w:rPr>
        <w:t>refused to</w:t>
      </w:r>
      <w:r w:rsidRPr="001D77D9">
        <w:rPr>
          <w:rStyle w:val="ECHRParaChar"/>
          <w:lang w:val="en-GB"/>
        </w:rPr>
        <w:t xml:space="preserve"> de</w:t>
      </w:r>
      <w:r w:rsidRPr="001D77D9" w:rsidR="00F076D0">
        <w:rPr>
          <w:rStyle w:val="ECHRParaChar"/>
          <w:lang w:val="en-GB"/>
        </w:rPr>
        <w:t>liver</w:t>
      </w:r>
      <w:r w:rsidRPr="001D77D9">
        <w:rPr>
          <w:rStyle w:val="ECHRParaChar"/>
          <w:lang w:val="en-GB"/>
        </w:rPr>
        <w:t xml:space="preserve"> certain</w:t>
      </w:r>
      <w:r w:rsidRPr="001D77D9" w:rsidR="00F076D0">
        <w:rPr>
          <w:rStyle w:val="ECHRParaChar"/>
          <w:lang w:val="en-GB"/>
        </w:rPr>
        <w:t xml:space="preserve"> </w:t>
      </w:r>
      <w:r w:rsidRPr="001D77D9" w:rsidR="004E05A7">
        <w:rPr>
          <w:rStyle w:val="ECHRParaChar"/>
          <w:lang w:val="en-GB"/>
        </w:rPr>
        <w:t>edition</w:t>
      </w:r>
      <w:r w:rsidRPr="001D77D9">
        <w:rPr>
          <w:rStyle w:val="ECHRParaChar"/>
          <w:lang w:val="en-GB"/>
        </w:rPr>
        <w:t>s</w:t>
      </w:r>
      <w:r w:rsidRPr="001D77D9" w:rsidR="00F076D0">
        <w:rPr>
          <w:rStyle w:val="ECHRParaChar"/>
          <w:lang w:val="en-GB"/>
        </w:rPr>
        <w:t xml:space="preserve"> of the</w:t>
      </w:r>
      <w:r w:rsidRPr="001D77D9">
        <w:rPr>
          <w:rStyle w:val="ECHRParaChar"/>
          <w:lang w:val="en-GB"/>
        </w:rPr>
        <w:t xml:space="preserve"> </w:t>
      </w:r>
      <w:r w:rsidRPr="001D77D9">
        <w:rPr>
          <w:rStyle w:val="ECHRParaChar"/>
          <w:i/>
          <w:lang w:val="en-GB"/>
        </w:rPr>
        <w:t>Azadiya Welat</w:t>
      </w:r>
      <w:r w:rsidRPr="001D77D9">
        <w:rPr>
          <w:rStyle w:val="ECHRParaChar"/>
          <w:lang w:val="en-GB"/>
        </w:rPr>
        <w:t xml:space="preserve"> </w:t>
      </w:r>
      <w:r w:rsidRPr="001D77D9" w:rsidR="00F076D0">
        <w:rPr>
          <w:rStyle w:val="ECHRParaChar"/>
          <w:lang w:val="en-GB"/>
        </w:rPr>
        <w:t xml:space="preserve">daily newspaper </w:t>
      </w:r>
      <w:r w:rsidRPr="001D77D9">
        <w:rPr>
          <w:rStyle w:val="ECHRParaChar"/>
          <w:lang w:val="en-GB"/>
        </w:rPr>
        <w:t>no</w:t>
      </w:r>
      <w:r w:rsidRPr="001D77D9" w:rsidR="00F076D0">
        <w:rPr>
          <w:rStyle w:val="ECHRParaChar"/>
          <w:lang w:val="en-GB"/>
        </w:rPr>
        <w:t>t because their</w:t>
      </w:r>
      <w:r w:rsidRPr="001D77D9">
        <w:rPr>
          <w:rStyle w:val="ECHRParaChar"/>
          <w:lang w:val="en-GB"/>
        </w:rPr>
        <w:t xml:space="preserve"> </w:t>
      </w:r>
      <w:r w:rsidRPr="001D77D9" w:rsidR="00455D73">
        <w:rPr>
          <w:rStyle w:val="ECHRParaChar"/>
          <w:lang w:val="en-GB"/>
        </w:rPr>
        <w:t>content</w:t>
      </w:r>
      <w:r w:rsidRPr="001D77D9">
        <w:rPr>
          <w:rStyle w:val="ECHRParaChar"/>
          <w:lang w:val="en-GB"/>
        </w:rPr>
        <w:t xml:space="preserve"> </w:t>
      </w:r>
      <w:r w:rsidRPr="001D77D9" w:rsidR="00F076D0">
        <w:rPr>
          <w:rStyle w:val="ECHRParaChar"/>
          <w:lang w:val="en-GB"/>
        </w:rPr>
        <w:t>was</w:t>
      </w:r>
      <w:r w:rsidRPr="001D77D9">
        <w:rPr>
          <w:rStyle w:val="ECHRParaChar"/>
          <w:lang w:val="en-GB"/>
        </w:rPr>
        <w:t xml:space="preserve"> </w:t>
      </w:r>
      <w:r w:rsidRPr="001D77D9" w:rsidR="00455D73">
        <w:rPr>
          <w:rStyle w:val="ECHRParaChar"/>
          <w:lang w:val="en-GB"/>
        </w:rPr>
        <w:t>obscene</w:t>
      </w:r>
      <w:r w:rsidRPr="001D77D9">
        <w:rPr>
          <w:rStyle w:val="ECHRParaChar"/>
          <w:lang w:val="en-GB"/>
        </w:rPr>
        <w:t xml:space="preserve"> o</w:t>
      </w:r>
      <w:r w:rsidRPr="001D77D9" w:rsidR="00F076D0">
        <w:rPr>
          <w:rStyle w:val="ECHRParaChar"/>
          <w:lang w:val="en-GB"/>
        </w:rPr>
        <w:t xml:space="preserve">r liable to jeopardise </w:t>
      </w:r>
      <w:r w:rsidRPr="001D77D9" w:rsidR="00455D73">
        <w:rPr>
          <w:rStyle w:val="ECHRParaChar"/>
          <w:lang w:val="en-GB"/>
        </w:rPr>
        <w:t>prison</w:t>
      </w:r>
      <w:r w:rsidRPr="001D77D9" w:rsidR="00F076D0">
        <w:rPr>
          <w:rStyle w:val="ECHRParaChar"/>
          <w:lang w:val="en-GB"/>
        </w:rPr>
        <w:t xml:space="preserve"> </w:t>
      </w:r>
      <w:r w:rsidRPr="001D77D9" w:rsidR="00455D73">
        <w:rPr>
          <w:rStyle w:val="ECHRParaChar"/>
          <w:lang w:val="en-GB"/>
        </w:rPr>
        <w:t>security</w:t>
      </w:r>
      <w:r w:rsidRPr="001D77D9" w:rsidR="00F076D0">
        <w:rPr>
          <w:rStyle w:val="ECHRParaChar"/>
          <w:lang w:val="en-GB"/>
        </w:rPr>
        <w:t>, which are</w:t>
      </w:r>
      <w:r w:rsidRPr="001D77D9">
        <w:rPr>
          <w:rStyle w:val="ECHRParaChar"/>
          <w:lang w:val="en-GB"/>
        </w:rPr>
        <w:t xml:space="preserve"> conditions </w:t>
      </w:r>
      <w:r w:rsidRPr="001D77D9" w:rsidR="00F076D0">
        <w:rPr>
          <w:rStyle w:val="ECHRParaChar"/>
          <w:lang w:val="en-GB"/>
        </w:rPr>
        <w:t>set out in the aforementioned</w:t>
      </w:r>
      <w:r w:rsidRPr="001D77D9">
        <w:rPr>
          <w:rStyle w:val="ECHRParaChar"/>
          <w:lang w:val="en-GB"/>
        </w:rPr>
        <w:t xml:space="preserve"> </w:t>
      </w:r>
      <w:r w:rsidRPr="001D77D9" w:rsidR="00455D73">
        <w:rPr>
          <w:rStyle w:val="ECHRParaChar"/>
          <w:lang w:val="en-GB"/>
        </w:rPr>
        <w:t>legislative</w:t>
      </w:r>
      <w:r w:rsidRPr="001D77D9">
        <w:rPr>
          <w:rStyle w:val="ECHRParaChar"/>
          <w:lang w:val="en-GB"/>
        </w:rPr>
        <w:t xml:space="preserve"> </w:t>
      </w:r>
      <w:r w:rsidRPr="001D77D9" w:rsidR="00F076D0">
        <w:rPr>
          <w:rStyle w:val="ECHRParaChar"/>
          <w:lang w:val="en-GB"/>
        </w:rPr>
        <w:t>provision</w:t>
      </w:r>
      <w:r w:rsidRPr="001D77D9" w:rsidR="00455D73">
        <w:rPr>
          <w:rStyle w:val="ECHRParaChar"/>
          <w:lang w:val="en-GB"/>
        </w:rPr>
        <w:t>, but</w:t>
      </w:r>
      <w:r w:rsidRPr="001D77D9" w:rsidR="00F076D0">
        <w:rPr>
          <w:rStyle w:val="ECHRParaChar"/>
          <w:lang w:val="en-GB"/>
        </w:rPr>
        <w:t xml:space="preserve"> because those authorities were unable to assess the con</w:t>
      </w:r>
      <w:r w:rsidRPr="001D77D9">
        <w:rPr>
          <w:rStyle w:val="ECHRParaChar"/>
          <w:lang w:val="en-GB"/>
        </w:rPr>
        <w:t>ten</w:t>
      </w:r>
      <w:r w:rsidRPr="001D77D9" w:rsidR="00F076D0">
        <w:rPr>
          <w:rStyle w:val="ECHRParaChar"/>
          <w:lang w:val="en-GB"/>
        </w:rPr>
        <w:t>t of the</w:t>
      </w:r>
      <w:r w:rsidRPr="001D77D9">
        <w:rPr>
          <w:rStyle w:val="ECHRParaChar"/>
          <w:lang w:val="en-GB"/>
        </w:rPr>
        <w:t xml:space="preserve"> publications </w:t>
      </w:r>
      <w:r w:rsidRPr="001D77D9" w:rsidR="00455D73">
        <w:rPr>
          <w:rStyle w:val="ECHRParaChar"/>
          <w:lang w:val="en-GB"/>
        </w:rPr>
        <w:t>in</w:t>
      </w:r>
      <w:r w:rsidRPr="001D77D9">
        <w:rPr>
          <w:rStyle w:val="ECHRParaChar"/>
          <w:lang w:val="en-GB"/>
        </w:rPr>
        <w:t xml:space="preserve"> </w:t>
      </w:r>
      <w:r w:rsidRPr="001D77D9" w:rsidR="00F076D0">
        <w:rPr>
          <w:rStyle w:val="ECHRParaChar"/>
          <w:lang w:val="en-GB"/>
        </w:rPr>
        <w:t>question</w:t>
      </w:r>
      <w:r w:rsidRPr="001D77D9">
        <w:rPr>
          <w:rStyle w:val="ECHRParaChar"/>
          <w:lang w:val="en-GB"/>
        </w:rPr>
        <w:t xml:space="preserve">. </w:t>
      </w:r>
      <w:r w:rsidRPr="001D77D9" w:rsidR="00F076D0">
        <w:rPr>
          <w:rStyle w:val="ECHRParaChar"/>
          <w:lang w:val="en-GB"/>
        </w:rPr>
        <w:t xml:space="preserve">In that </w:t>
      </w:r>
      <w:r w:rsidRPr="001D77D9" w:rsidR="00455D73">
        <w:rPr>
          <w:rStyle w:val="ECHRParaChar"/>
          <w:lang w:val="en-GB"/>
        </w:rPr>
        <w:t>regard</w:t>
      </w:r>
      <w:r w:rsidRPr="001D77D9">
        <w:rPr>
          <w:rStyle w:val="ECHRParaChar"/>
          <w:lang w:val="en-GB"/>
        </w:rPr>
        <w:t xml:space="preserve">, </w:t>
      </w:r>
      <w:r w:rsidRPr="001D77D9" w:rsidR="00F076D0">
        <w:rPr>
          <w:rStyle w:val="ECHRParaChar"/>
          <w:lang w:val="en-GB"/>
        </w:rPr>
        <w:t xml:space="preserve">although </w:t>
      </w:r>
      <w:r w:rsidRPr="001D77D9" w:rsidR="00455D73">
        <w:rPr>
          <w:rStyle w:val="ECHRParaChar"/>
          <w:lang w:val="en-GB"/>
        </w:rPr>
        <w:t>the</w:t>
      </w:r>
      <w:r w:rsidRPr="001D77D9">
        <w:rPr>
          <w:rStyle w:val="ECHRParaChar"/>
          <w:lang w:val="en-GB"/>
        </w:rPr>
        <w:t xml:space="preserve"> </w:t>
      </w:r>
      <w:r w:rsidRPr="001D77D9" w:rsidR="00455D73">
        <w:rPr>
          <w:rStyle w:val="ECHRParaChar"/>
          <w:lang w:val="en-GB"/>
        </w:rPr>
        <w:t>Government</w:t>
      </w:r>
      <w:r w:rsidRPr="001D77D9">
        <w:rPr>
          <w:rStyle w:val="ECHRParaChar"/>
          <w:lang w:val="en-GB"/>
        </w:rPr>
        <w:t xml:space="preserve"> s</w:t>
      </w:r>
      <w:r w:rsidRPr="001D77D9" w:rsidR="00D04ED4">
        <w:rPr>
          <w:rStyle w:val="ECHRParaChar"/>
          <w:lang w:val="en-GB"/>
        </w:rPr>
        <w:t>ubmitted that th</w:t>
      </w:r>
      <w:r w:rsidRPr="001D77D9" w:rsidR="00F076D0">
        <w:rPr>
          <w:rStyle w:val="ECHRParaChar"/>
          <w:lang w:val="en-GB"/>
        </w:rPr>
        <w:t>e</w:t>
      </w:r>
      <w:r w:rsidRPr="001D77D9">
        <w:rPr>
          <w:rStyle w:val="ECHRParaChar"/>
          <w:lang w:val="en-GB"/>
        </w:rPr>
        <w:t xml:space="preserve"> publications </w:t>
      </w:r>
      <w:r w:rsidRPr="001D77D9" w:rsidR="00BD1A2D">
        <w:rPr>
          <w:rStyle w:val="ECHRParaChar"/>
          <w:lang w:val="en-GB"/>
        </w:rPr>
        <w:t xml:space="preserve">had </w:t>
      </w:r>
      <w:r w:rsidRPr="001D77D9" w:rsidR="00BD1A2D">
        <w:rPr>
          <w:lang w:val="en-GB"/>
        </w:rPr>
        <w:t>contained articles condoning a terrorist organisation and terrorist activities and damaging the reputation of Turkey and members of the law-enforcement agencies</w:t>
      </w:r>
      <w:r w:rsidRPr="001D77D9" w:rsidR="00BD1A2D">
        <w:rPr>
          <w:rStyle w:val="ECHRParaChar"/>
          <w:lang w:val="en-GB"/>
        </w:rPr>
        <w:t xml:space="preserve"> </w:t>
      </w:r>
      <w:r w:rsidRPr="001D77D9">
        <w:rPr>
          <w:rStyle w:val="ECHRParaChar"/>
          <w:lang w:val="en-GB"/>
        </w:rPr>
        <w:t>(</w:t>
      </w:r>
      <w:r w:rsidRPr="001D77D9" w:rsidR="00F076D0">
        <w:rPr>
          <w:rStyle w:val="ECHRParaChar"/>
          <w:lang w:val="en-GB"/>
        </w:rPr>
        <w:t xml:space="preserve">see </w:t>
      </w:r>
      <w:r w:rsidRPr="001D77D9" w:rsidR="00455D73">
        <w:rPr>
          <w:rStyle w:val="ECHRParaChar"/>
          <w:lang w:val="en-GB"/>
        </w:rPr>
        <w:t>paragraphs</w:t>
      </w:r>
      <w:r w:rsidRPr="001D77D9">
        <w:rPr>
          <w:rStyle w:val="ECHRParaChar"/>
          <w:lang w:val="en-GB"/>
        </w:rPr>
        <w:t xml:space="preserve"> 97-98 </w:t>
      </w:r>
      <w:r w:rsidRPr="001D77D9" w:rsidR="00FC62B2">
        <w:rPr>
          <w:rStyle w:val="ECHRParaChar"/>
          <w:lang w:val="en-GB"/>
        </w:rPr>
        <w:t>above</w:t>
      </w:r>
      <w:r w:rsidRPr="001D77D9">
        <w:rPr>
          <w:rStyle w:val="ECHRParaChar"/>
          <w:lang w:val="en-GB"/>
        </w:rPr>
        <w:t xml:space="preserve">), </w:t>
      </w:r>
      <w:r w:rsidRPr="001D77D9" w:rsidR="00455D73">
        <w:rPr>
          <w:rStyle w:val="ECHRParaChar"/>
          <w:lang w:val="en-GB"/>
        </w:rPr>
        <w:t>which</w:t>
      </w:r>
      <w:r w:rsidRPr="001D77D9" w:rsidR="00FC62B2">
        <w:rPr>
          <w:rStyle w:val="ECHRParaChar"/>
          <w:lang w:val="en-GB"/>
        </w:rPr>
        <w:t xml:space="preserve"> were the </w:t>
      </w:r>
      <w:r w:rsidRPr="001D77D9" w:rsidR="00455D73">
        <w:rPr>
          <w:rStyle w:val="ECHRParaChar"/>
          <w:lang w:val="en-GB"/>
        </w:rPr>
        <w:t>reasons</w:t>
      </w:r>
      <w:r w:rsidRPr="001D77D9">
        <w:rPr>
          <w:rStyle w:val="ECHRParaChar"/>
          <w:lang w:val="en-GB"/>
        </w:rPr>
        <w:t xml:space="preserve"> </w:t>
      </w:r>
      <w:r w:rsidRPr="001D77D9" w:rsidR="00FC62B2">
        <w:rPr>
          <w:rStyle w:val="ECHRParaChar"/>
          <w:lang w:val="en-GB"/>
        </w:rPr>
        <w:t xml:space="preserve">why they had </w:t>
      </w:r>
      <w:r w:rsidRPr="001D77D9" w:rsidR="00455D73">
        <w:rPr>
          <w:rStyle w:val="ECHRParaChar"/>
          <w:lang w:val="en-GB"/>
        </w:rPr>
        <w:t>not</w:t>
      </w:r>
      <w:r w:rsidRPr="001D77D9" w:rsidR="00FC62B2">
        <w:rPr>
          <w:rStyle w:val="ECHRParaChar"/>
          <w:lang w:val="en-GB"/>
        </w:rPr>
        <w:t xml:space="preserve"> been delivered</w:t>
      </w:r>
      <w:r w:rsidRPr="001D77D9">
        <w:rPr>
          <w:rStyle w:val="ECHRParaChar"/>
          <w:lang w:val="en-GB"/>
        </w:rPr>
        <w:t xml:space="preserve">, </w:t>
      </w:r>
      <w:r w:rsidRPr="001D77D9" w:rsidR="00FC62B2">
        <w:rPr>
          <w:rStyle w:val="ECHRParaChar"/>
          <w:lang w:val="en-GB"/>
        </w:rPr>
        <w:t>the</w:t>
      </w:r>
      <w:r w:rsidRPr="001D77D9">
        <w:rPr>
          <w:rStyle w:val="ECHRParaChar"/>
          <w:lang w:val="en-GB"/>
        </w:rPr>
        <w:t xml:space="preserve"> </w:t>
      </w:r>
      <w:r w:rsidRPr="001D77D9" w:rsidR="00455D73">
        <w:rPr>
          <w:rStyle w:val="ECHRParaChar"/>
          <w:lang w:val="en-GB"/>
        </w:rPr>
        <w:t>Court</w:t>
      </w:r>
      <w:r w:rsidRPr="001D77D9">
        <w:rPr>
          <w:rStyle w:val="ECHRParaChar"/>
          <w:lang w:val="en-GB"/>
        </w:rPr>
        <w:t xml:space="preserve"> </w:t>
      </w:r>
      <w:r w:rsidRPr="001D77D9" w:rsidR="00FC62B2">
        <w:rPr>
          <w:rStyle w:val="ECHRParaChar"/>
          <w:lang w:val="en-GB"/>
        </w:rPr>
        <w:t xml:space="preserve">notes that such a contention is absent from the reasons given for the </w:t>
      </w:r>
      <w:r w:rsidRPr="001D77D9" w:rsidR="00455D73">
        <w:rPr>
          <w:rStyle w:val="ECHRParaChar"/>
          <w:lang w:val="en-GB"/>
        </w:rPr>
        <w:t>decisions</w:t>
      </w:r>
      <w:r w:rsidRPr="001D77D9">
        <w:rPr>
          <w:rStyle w:val="ECHRParaChar"/>
          <w:lang w:val="en-GB"/>
        </w:rPr>
        <w:t xml:space="preserve"> </w:t>
      </w:r>
      <w:r w:rsidRPr="001D77D9" w:rsidR="00FC62B2">
        <w:rPr>
          <w:rStyle w:val="ECHRParaChar"/>
          <w:lang w:val="en-GB"/>
        </w:rPr>
        <w:t>of the</w:t>
      </w:r>
      <w:r w:rsidRPr="001D77D9">
        <w:rPr>
          <w:rStyle w:val="ECHRParaChar"/>
          <w:lang w:val="en-GB"/>
        </w:rPr>
        <w:t xml:space="preserve"> national</w:t>
      </w:r>
      <w:r w:rsidRPr="001D77D9" w:rsidR="00FC62B2">
        <w:rPr>
          <w:rStyle w:val="ECHRParaChar"/>
          <w:lang w:val="en-GB"/>
        </w:rPr>
        <w:t xml:space="preserve"> authoriti</w:t>
      </w:r>
      <w:r w:rsidRPr="001D77D9">
        <w:rPr>
          <w:rStyle w:val="ECHRParaChar"/>
          <w:lang w:val="en-GB"/>
        </w:rPr>
        <w:t>es</w:t>
      </w:r>
      <w:r w:rsidRPr="001D77D9" w:rsidR="00FC62B2">
        <w:rPr>
          <w:rStyle w:val="ECHRParaChar"/>
          <w:lang w:val="en-GB"/>
        </w:rPr>
        <w:t xml:space="preserve"> as</w:t>
      </w:r>
      <w:r w:rsidRPr="001D77D9">
        <w:rPr>
          <w:rStyle w:val="ECHRParaChar"/>
          <w:lang w:val="en-GB"/>
        </w:rPr>
        <w:t xml:space="preserve"> </w:t>
      </w:r>
      <w:r w:rsidRPr="001D77D9" w:rsidR="00FC62B2">
        <w:rPr>
          <w:rStyle w:val="ECHRParaChar"/>
          <w:lang w:val="en-GB"/>
        </w:rPr>
        <w:t>examined under the</w:t>
      </w:r>
      <w:r w:rsidRPr="001D77D9">
        <w:rPr>
          <w:rStyle w:val="ECHRParaChar"/>
          <w:lang w:val="en-GB"/>
        </w:rPr>
        <w:t xml:space="preserve"> </w:t>
      </w:r>
      <w:r w:rsidRPr="001D77D9" w:rsidR="00455D73">
        <w:rPr>
          <w:rStyle w:val="ECHRParaChar"/>
          <w:lang w:val="en-GB"/>
        </w:rPr>
        <w:t>present</w:t>
      </w:r>
      <w:r w:rsidRPr="001D77D9">
        <w:rPr>
          <w:rStyle w:val="ECHRParaChar"/>
          <w:lang w:val="en-GB"/>
        </w:rPr>
        <w:t xml:space="preserve"> </w:t>
      </w:r>
      <w:r w:rsidRPr="001D77D9" w:rsidR="00FC62B2">
        <w:rPr>
          <w:rStyle w:val="ECHRParaChar"/>
          <w:lang w:val="en-GB"/>
        </w:rPr>
        <w:t>case</w:t>
      </w:r>
      <w:r w:rsidRPr="001D77D9">
        <w:rPr>
          <w:rStyle w:val="ECHRParaChar"/>
          <w:lang w:val="en-GB"/>
        </w:rPr>
        <w:t xml:space="preserve">. </w:t>
      </w:r>
      <w:r w:rsidRPr="001D77D9" w:rsidR="000A31D1">
        <w:rPr>
          <w:rStyle w:val="ECHRParaChar"/>
          <w:lang w:val="en-GB"/>
        </w:rPr>
        <w:t xml:space="preserve">It further notes that in their </w:t>
      </w:r>
      <w:r w:rsidRPr="001D77D9">
        <w:rPr>
          <w:rStyle w:val="ECHRParaChar"/>
          <w:lang w:val="en-GB"/>
        </w:rPr>
        <w:t xml:space="preserve">observations, </w:t>
      </w:r>
      <w:r w:rsidRPr="001D77D9" w:rsidR="00455D73">
        <w:rPr>
          <w:rStyle w:val="ECHRParaChar"/>
          <w:lang w:val="en-GB"/>
        </w:rPr>
        <w:t>the</w:t>
      </w:r>
      <w:r w:rsidRPr="001D77D9">
        <w:rPr>
          <w:rStyle w:val="ECHRParaChar"/>
          <w:lang w:val="en-GB"/>
        </w:rPr>
        <w:t xml:space="preserve"> </w:t>
      </w:r>
      <w:r w:rsidRPr="001D77D9" w:rsidR="00455D73">
        <w:rPr>
          <w:rStyle w:val="ECHRParaChar"/>
          <w:lang w:val="en-GB"/>
        </w:rPr>
        <w:t>Government</w:t>
      </w:r>
      <w:r w:rsidRPr="001D77D9">
        <w:rPr>
          <w:rStyle w:val="ECHRParaChar"/>
          <w:lang w:val="en-GB"/>
        </w:rPr>
        <w:t xml:space="preserve"> </w:t>
      </w:r>
      <w:r w:rsidRPr="001D77D9" w:rsidR="00455D73">
        <w:rPr>
          <w:rStyle w:val="ECHRParaChar"/>
          <w:lang w:val="en-GB"/>
        </w:rPr>
        <w:t>made</w:t>
      </w:r>
      <w:r w:rsidRPr="001D77D9" w:rsidR="000A31D1">
        <w:rPr>
          <w:rStyle w:val="ECHRParaChar"/>
          <w:lang w:val="en-GB"/>
        </w:rPr>
        <w:t xml:space="preserve"> no mention whatever of the procedure for </w:t>
      </w:r>
      <w:r w:rsidRPr="001D77D9">
        <w:rPr>
          <w:rStyle w:val="ECHRParaChar"/>
          <w:lang w:val="en-GB"/>
        </w:rPr>
        <w:t>tra</w:t>
      </w:r>
      <w:r w:rsidRPr="001D77D9" w:rsidR="000A31D1">
        <w:rPr>
          <w:rStyle w:val="ECHRParaChar"/>
          <w:lang w:val="en-GB"/>
        </w:rPr>
        <w:t>nslating the</w:t>
      </w:r>
      <w:r w:rsidRPr="001D77D9">
        <w:rPr>
          <w:rStyle w:val="ECHRParaChar"/>
          <w:lang w:val="en-GB"/>
        </w:rPr>
        <w:t xml:space="preserve"> publications </w:t>
      </w:r>
      <w:r w:rsidRPr="001D77D9" w:rsidR="000A31D1">
        <w:rPr>
          <w:rStyle w:val="ECHRParaChar"/>
          <w:lang w:val="en-GB"/>
        </w:rPr>
        <w:t>at issue or of the responsibility for payment of the costs of translation</w:t>
      </w:r>
      <w:r w:rsidRPr="001D77D9">
        <w:rPr>
          <w:rStyle w:val="ECHRParaChar"/>
          <w:lang w:val="en-GB"/>
        </w:rPr>
        <w:t>.</w:t>
      </w:r>
    </w:p>
    <w:p w:rsidRPr="001D77D9" w:rsidR="00F0412F" w:rsidP="00F0412F" w:rsidRDefault="00F0412F">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107</w:t>
      </w:r>
      <w:r w:rsidRPr="001D77D9">
        <w:rPr>
          <w:lang w:val="en-GB"/>
        </w:rPr>
        <w:fldChar w:fldCharType="end"/>
      </w:r>
      <w:r w:rsidRPr="001D77D9">
        <w:rPr>
          <w:lang w:val="en-GB"/>
        </w:rPr>
        <w:t>.  </w:t>
      </w:r>
      <w:r w:rsidRPr="001D77D9" w:rsidR="00455D73">
        <w:rPr>
          <w:lang w:val="en-GB"/>
        </w:rPr>
        <w:t>In</w:t>
      </w:r>
      <w:r w:rsidRPr="001D77D9" w:rsidR="00BB05CB">
        <w:rPr>
          <w:lang w:val="en-GB"/>
        </w:rPr>
        <w:t xml:space="preserve"> the</w:t>
      </w:r>
      <w:r w:rsidRPr="001D77D9">
        <w:rPr>
          <w:lang w:val="en-GB"/>
        </w:rPr>
        <w:t xml:space="preserve"> </w:t>
      </w:r>
      <w:r w:rsidRPr="001D77D9" w:rsidR="00455D73">
        <w:rPr>
          <w:lang w:val="en-GB"/>
        </w:rPr>
        <w:t>circumstances</w:t>
      </w:r>
      <w:r w:rsidRPr="001D77D9">
        <w:rPr>
          <w:lang w:val="en-GB"/>
        </w:rPr>
        <w:t xml:space="preserve"> </w:t>
      </w:r>
      <w:r w:rsidRPr="001D77D9" w:rsidR="00BB05CB">
        <w:rPr>
          <w:lang w:val="en-GB"/>
        </w:rPr>
        <w:t>of the</w:t>
      </w:r>
      <w:r w:rsidRPr="001D77D9">
        <w:rPr>
          <w:lang w:val="en-GB"/>
        </w:rPr>
        <w:t xml:space="preserve"> </w:t>
      </w:r>
      <w:r w:rsidRPr="001D77D9" w:rsidR="00455D73">
        <w:rPr>
          <w:lang w:val="en-GB"/>
        </w:rPr>
        <w:t>present</w:t>
      </w:r>
      <w:r w:rsidRPr="001D77D9">
        <w:rPr>
          <w:lang w:val="en-GB"/>
        </w:rPr>
        <w:t xml:space="preserve"> </w:t>
      </w:r>
      <w:r w:rsidRPr="001D77D9" w:rsidR="00BB05CB">
        <w:rPr>
          <w:lang w:val="en-GB"/>
        </w:rPr>
        <w:t>case</w:t>
      </w:r>
      <w:r w:rsidRPr="001D77D9">
        <w:rPr>
          <w:lang w:val="en-GB"/>
        </w:rPr>
        <w:t xml:space="preserve">, </w:t>
      </w:r>
      <w:r w:rsidRPr="001D77D9" w:rsidR="00BB05CB">
        <w:rPr>
          <w:lang w:val="en-GB"/>
        </w:rPr>
        <w:t xml:space="preserve">the Court notes that the national authorities, being unable to understand the </w:t>
      </w:r>
      <w:r w:rsidRPr="001D77D9" w:rsidR="00455D73">
        <w:rPr>
          <w:lang w:val="en-GB"/>
        </w:rPr>
        <w:t>language</w:t>
      </w:r>
      <w:r w:rsidRPr="001D77D9" w:rsidR="00BB05CB">
        <w:rPr>
          <w:lang w:val="en-GB"/>
        </w:rPr>
        <w:t xml:space="preserve"> in which the newspaper</w:t>
      </w:r>
      <w:r w:rsidRPr="001D77D9">
        <w:rPr>
          <w:lang w:val="en-GB"/>
        </w:rPr>
        <w:t xml:space="preserve"> </w:t>
      </w:r>
      <w:r w:rsidRPr="001D77D9" w:rsidR="00455D73">
        <w:rPr>
          <w:lang w:val="en-GB"/>
        </w:rPr>
        <w:t>in</w:t>
      </w:r>
      <w:r w:rsidRPr="001D77D9">
        <w:rPr>
          <w:lang w:val="en-GB"/>
        </w:rPr>
        <w:t xml:space="preserve"> question </w:t>
      </w:r>
      <w:r w:rsidRPr="001D77D9" w:rsidR="00BB05CB">
        <w:rPr>
          <w:lang w:val="en-GB"/>
        </w:rPr>
        <w:t>was published</w:t>
      </w:r>
      <w:r w:rsidRPr="001D77D9">
        <w:rPr>
          <w:lang w:val="en-GB"/>
        </w:rPr>
        <w:t xml:space="preserve">, </w:t>
      </w:r>
      <w:r w:rsidRPr="001D77D9" w:rsidR="00455D73">
        <w:rPr>
          <w:lang w:val="en-GB"/>
        </w:rPr>
        <w:t>declared</w:t>
      </w:r>
      <w:r w:rsidRPr="001D77D9" w:rsidR="00BB05CB">
        <w:rPr>
          <w:lang w:val="en-GB"/>
        </w:rPr>
        <w:t xml:space="preserve"> that they were not in a position to assess the</w:t>
      </w:r>
      <w:r w:rsidRPr="001D77D9">
        <w:rPr>
          <w:lang w:val="en-GB"/>
        </w:rPr>
        <w:t xml:space="preserve"> </w:t>
      </w:r>
      <w:r w:rsidRPr="001D77D9" w:rsidR="00455D73">
        <w:rPr>
          <w:lang w:val="en-GB"/>
        </w:rPr>
        <w:t>conformity</w:t>
      </w:r>
      <w:r w:rsidRPr="001D77D9">
        <w:rPr>
          <w:lang w:val="en-GB"/>
        </w:rPr>
        <w:t xml:space="preserve"> </w:t>
      </w:r>
      <w:r w:rsidRPr="001D77D9" w:rsidR="00BB05CB">
        <w:rPr>
          <w:lang w:val="en-GB"/>
        </w:rPr>
        <w:t>of the</w:t>
      </w:r>
      <w:r w:rsidRPr="001D77D9">
        <w:rPr>
          <w:lang w:val="en-GB"/>
        </w:rPr>
        <w:t xml:space="preserve"> </w:t>
      </w:r>
      <w:r w:rsidRPr="001D77D9" w:rsidR="00455D73">
        <w:rPr>
          <w:lang w:val="en-GB"/>
        </w:rPr>
        <w:t>content</w:t>
      </w:r>
      <w:r w:rsidRPr="001D77D9">
        <w:rPr>
          <w:lang w:val="en-GB"/>
        </w:rPr>
        <w:t xml:space="preserve"> </w:t>
      </w:r>
      <w:r w:rsidRPr="001D77D9" w:rsidR="00BB05CB">
        <w:rPr>
          <w:lang w:val="en-GB"/>
        </w:rPr>
        <w:t>of the</w:t>
      </w:r>
      <w:r w:rsidRPr="001D77D9">
        <w:rPr>
          <w:lang w:val="en-GB"/>
        </w:rPr>
        <w:t xml:space="preserve"> publication </w:t>
      </w:r>
      <w:r w:rsidRPr="001D77D9" w:rsidR="00BB05CB">
        <w:rPr>
          <w:lang w:val="en-GB"/>
        </w:rPr>
        <w:t>with the relevant</w:t>
      </w:r>
      <w:r w:rsidRPr="001D77D9">
        <w:rPr>
          <w:lang w:val="en-GB"/>
        </w:rPr>
        <w:t xml:space="preserve"> </w:t>
      </w:r>
      <w:r w:rsidRPr="001D77D9" w:rsidR="00455D73">
        <w:rPr>
          <w:lang w:val="en-GB"/>
        </w:rPr>
        <w:t>legislative</w:t>
      </w:r>
      <w:r w:rsidRPr="001D77D9">
        <w:rPr>
          <w:lang w:val="en-GB"/>
        </w:rPr>
        <w:t xml:space="preserve"> </w:t>
      </w:r>
      <w:r w:rsidRPr="001D77D9" w:rsidR="00BB05CB">
        <w:rPr>
          <w:lang w:val="en-GB"/>
        </w:rPr>
        <w:t>provision</w:t>
      </w:r>
      <w:r w:rsidRPr="001D77D9">
        <w:rPr>
          <w:lang w:val="en-GB"/>
        </w:rPr>
        <w:t xml:space="preserve">. </w:t>
      </w:r>
      <w:r w:rsidRPr="001D77D9" w:rsidR="004D1E32">
        <w:rPr>
          <w:lang w:val="en-GB"/>
        </w:rPr>
        <w:t>T</w:t>
      </w:r>
      <w:r w:rsidRPr="001D77D9" w:rsidR="00BB05CB">
        <w:rPr>
          <w:lang w:val="en-GB"/>
        </w:rPr>
        <w:t>he</w:t>
      </w:r>
      <w:r w:rsidRPr="001D77D9">
        <w:rPr>
          <w:lang w:val="en-GB"/>
        </w:rPr>
        <w:t xml:space="preserve"> absence </w:t>
      </w:r>
      <w:r w:rsidRPr="001D77D9" w:rsidR="00BB05CB">
        <w:rPr>
          <w:lang w:val="en-GB"/>
        </w:rPr>
        <w:t>of such assessment</w:t>
      </w:r>
      <w:r w:rsidRPr="001D77D9" w:rsidR="003D21BA">
        <w:rPr>
          <w:lang w:val="en-GB"/>
        </w:rPr>
        <w:t xml:space="preserve"> despite its constituting a statutory condition precedent beg</w:t>
      </w:r>
      <w:r w:rsidRPr="001D77D9" w:rsidR="004D1E32">
        <w:rPr>
          <w:lang w:val="en-GB"/>
        </w:rPr>
        <w:t>s the</w:t>
      </w:r>
      <w:r w:rsidRPr="001D77D9">
        <w:rPr>
          <w:lang w:val="en-GB"/>
        </w:rPr>
        <w:t xml:space="preserve"> question </w:t>
      </w:r>
      <w:r w:rsidRPr="001D77D9" w:rsidR="004D1E32">
        <w:rPr>
          <w:lang w:val="en-GB"/>
        </w:rPr>
        <w:t>of the</w:t>
      </w:r>
      <w:r w:rsidRPr="001D77D9">
        <w:rPr>
          <w:lang w:val="en-GB"/>
        </w:rPr>
        <w:t xml:space="preserve"> </w:t>
      </w:r>
      <w:r w:rsidRPr="001D77D9" w:rsidR="004D1E32">
        <w:rPr>
          <w:lang w:val="en-GB"/>
        </w:rPr>
        <w:t xml:space="preserve">legal basis of the impugned </w:t>
      </w:r>
      <w:r w:rsidRPr="001D77D9" w:rsidR="00455D73">
        <w:rPr>
          <w:lang w:val="en-GB"/>
        </w:rPr>
        <w:t>interference</w:t>
      </w:r>
      <w:r w:rsidRPr="001D77D9">
        <w:rPr>
          <w:lang w:val="en-GB"/>
        </w:rPr>
        <w:t>.</w:t>
      </w:r>
    </w:p>
    <w:p w:rsidRPr="001D77D9" w:rsidR="00F0412F" w:rsidP="00F0412F" w:rsidRDefault="00F0412F">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108</w:t>
      </w:r>
      <w:r w:rsidRPr="001D77D9">
        <w:rPr>
          <w:lang w:val="en-GB"/>
        </w:rPr>
        <w:fldChar w:fldCharType="end"/>
      </w:r>
      <w:r w:rsidRPr="001D77D9">
        <w:rPr>
          <w:lang w:val="en-GB"/>
        </w:rPr>
        <w:t>.  </w:t>
      </w:r>
      <w:r w:rsidRPr="001D77D9" w:rsidR="00455D73">
        <w:rPr>
          <w:lang w:val="en-GB"/>
        </w:rPr>
        <w:t>In this regard</w:t>
      </w:r>
      <w:r w:rsidRPr="001D77D9">
        <w:rPr>
          <w:lang w:val="en-GB"/>
        </w:rPr>
        <w:t xml:space="preserve">, </w:t>
      </w:r>
      <w:r w:rsidRPr="001D77D9" w:rsidR="00455D73">
        <w:rPr>
          <w:lang w:val="en-GB"/>
        </w:rPr>
        <w:t>the</w:t>
      </w:r>
      <w:r w:rsidRPr="001D77D9">
        <w:rPr>
          <w:lang w:val="en-GB"/>
        </w:rPr>
        <w:t xml:space="preserve"> </w:t>
      </w:r>
      <w:r w:rsidRPr="001D77D9" w:rsidR="00455D73">
        <w:rPr>
          <w:lang w:val="en-GB"/>
        </w:rPr>
        <w:t>Court</w:t>
      </w:r>
      <w:r w:rsidRPr="001D77D9">
        <w:rPr>
          <w:lang w:val="en-GB"/>
        </w:rPr>
        <w:t xml:space="preserve"> r</w:t>
      </w:r>
      <w:r w:rsidRPr="001D77D9" w:rsidR="00455D73">
        <w:rPr>
          <w:lang w:val="en-GB"/>
        </w:rPr>
        <w:t>eiterates that it has in the past</w:t>
      </w:r>
      <w:r w:rsidRPr="001D77D9">
        <w:rPr>
          <w:lang w:val="en-GB"/>
        </w:rPr>
        <w:t xml:space="preserve"> </w:t>
      </w:r>
      <w:r w:rsidRPr="001D77D9" w:rsidR="00455D73">
        <w:rPr>
          <w:lang w:val="en-GB"/>
        </w:rPr>
        <w:t>declared that</w:t>
      </w:r>
      <w:r w:rsidRPr="001D77D9">
        <w:rPr>
          <w:lang w:val="en-GB"/>
        </w:rPr>
        <w:t xml:space="preserve"> </w:t>
      </w:r>
      <w:r w:rsidRPr="001D77D9" w:rsidR="005F3E08">
        <w:rPr>
          <w:rStyle w:val="sb8d990e2"/>
          <w:lang w:val="en-GB"/>
        </w:rPr>
        <w:t>while a law which confers a discretio</w:t>
      </w:r>
      <w:r w:rsidRPr="001D77D9" w:rsidR="003D21BA">
        <w:rPr>
          <w:rStyle w:val="sb8d990e2"/>
          <w:lang w:val="en-GB"/>
        </w:rPr>
        <w:t>n</w:t>
      </w:r>
      <w:r w:rsidRPr="001D77D9" w:rsidR="005F3E08">
        <w:rPr>
          <w:rStyle w:val="sb8d990e2"/>
          <w:lang w:val="en-GB"/>
        </w:rPr>
        <w:t xml:space="preserve"> must indicate the scope</w:t>
      </w:r>
      <w:r w:rsidRPr="001D77D9" w:rsidR="003D21BA">
        <w:rPr>
          <w:rStyle w:val="sb8d990e2"/>
          <w:lang w:val="en-GB"/>
        </w:rPr>
        <w:t xml:space="preserve"> of that discretion</w:t>
      </w:r>
      <w:r w:rsidRPr="001D77D9" w:rsidR="005F3E08">
        <w:rPr>
          <w:rStyle w:val="sb8d990e2"/>
          <w:lang w:val="en-GB"/>
        </w:rPr>
        <w:t xml:space="preserve">, it is impossible to attain absolute certainty in the framing of the law, and the likely outcome of any search for certainty would be excessive rigidity </w:t>
      </w:r>
      <w:r w:rsidRPr="001D77D9">
        <w:rPr>
          <w:lang w:val="en-GB"/>
        </w:rPr>
        <w:t>(</w:t>
      </w:r>
      <w:r w:rsidRPr="001D77D9" w:rsidR="00684140">
        <w:rPr>
          <w:lang w:val="en-GB"/>
        </w:rPr>
        <w:t>see</w:t>
      </w:r>
      <w:r w:rsidRPr="001D77D9">
        <w:rPr>
          <w:lang w:val="en-GB"/>
        </w:rPr>
        <w:t xml:space="preserve">, </w:t>
      </w:r>
      <w:r w:rsidRPr="001D77D9" w:rsidR="00684140">
        <w:rPr>
          <w:i/>
          <w:lang w:val="en-GB"/>
        </w:rPr>
        <w:t>inter alia</w:t>
      </w:r>
      <w:r w:rsidRPr="001D77D9">
        <w:rPr>
          <w:lang w:val="en-GB"/>
        </w:rPr>
        <w:t xml:space="preserve">, </w:t>
      </w:r>
      <w:r w:rsidRPr="001D77D9">
        <w:rPr>
          <w:i/>
          <w:lang w:val="en-GB"/>
        </w:rPr>
        <w:t xml:space="preserve">Calogero Diana </w:t>
      </w:r>
      <w:r w:rsidRPr="001D77D9" w:rsidR="00684140">
        <w:rPr>
          <w:i/>
          <w:lang w:val="en-GB"/>
        </w:rPr>
        <w:t>v</w:t>
      </w:r>
      <w:r w:rsidRPr="001D77D9">
        <w:rPr>
          <w:i/>
          <w:lang w:val="en-GB"/>
        </w:rPr>
        <w:t xml:space="preserve">. </w:t>
      </w:r>
      <w:r w:rsidRPr="001D77D9" w:rsidR="007B0A15">
        <w:rPr>
          <w:i/>
          <w:lang w:val="en-GB"/>
        </w:rPr>
        <w:t>Italy</w:t>
      </w:r>
      <w:r w:rsidRPr="001D77D9">
        <w:rPr>
          <w:lang w:val="en-GB"/>
        </w:rPr>
        <w:t xml:space="preserve">, 15 </w:t>
      </w:r>
      <w:r w:rsidRPr="001D77D9" w:rsidR="007B0A15">
        <w:rPr>
          <w:lang w:val="en-GB"/>
        </w:rPr>
        <w:t>November</w:t>
      </w:r>
      <w:r w:rsidRPr="001D77D9">
        <w:rPr>
          <w:lang w:val="en-GB"/>
        </w:rPr>
        <w:t xml:space="preserve"> 1996, § 32, </w:t>
      </w:r>
      <w:r w:rsidRPr="001D77D9">
        <w:rPr>
          <w:i/>
          <w:lang w:val="en-GB"/>
        </w:rPr>
        <w:t>Re</w:t>
      </w:r>
      <w:r w:rsidRPr="001D77D9" w:rsidR="00684140">
        <w:rPr>
          <w:i/>
          <w:lang w:val="en-GB"/>
        </w:rPr>
        <w:t>ports</w:t>
      </w:r>
      <w:r w:rsidRPr="001D77D9">
        <w:rPr>
          <w:lang w:val="en-GB"/>
        </w:rPr>
        <w:t xml:space="preserve"> 1996</w:t>
      </w:r>
      <w:r w:rsidRPr="001D77D9">
        <w:rPr>
          <w:lang w:val="en-GB"/>
        </w:rPr>
        <w:noBreakHyphen/>
        <w:t xml:space="preserve">V). </w:t>
      </w:r>
      <w:r w:rsidRPr="001D77D9" w:rsidR="00530F7E">
        <w:rPr>
          <w:lang w:val="en-GB"/>
        </w:rPr>
        <w:t xml:space="preserve">Law must be able to </w:t>
      </w:r>
      <w:r w:rsidRPr="001D77D9">
        <w:rPr>
          <w:lang w:val="en-GB"/>
        </w:rPr>
        <w:t>adapt</w:t>
      </w:r>
      <w:r w:rsidRPr="001D77D9" w:rsidR="00530F7E">
        <w:rPr>
          <w:lang w:val="en-GB"/>
        </w:rPr>
        <w:t xml:space="preserve"> to </w:t>
      </w:r>
      <w:r w:rsidRPr="001D77D9">
        <w:rPr>
          <w:lang w:val="en-GB"/>
        </w:rPr>
        <w:t>chang</w:t>
      </w:r>
      <w:r w:rsidRPr="001D77D9" w:rsidR="00530F7E">
        <w:rPr>
          <w:lang w:val="en-GB"/>
        </w:rPr>
        <w:t>ing</w:t>
      </w:r>
      <w:r w:rsidRPr="001D77D9">
        <w:rPr>
          <w:lang w:val="en-GB"/>
        </w:rPr>
        <w:t xml:space="preserve"> situation</w:t>
      </w:r>
      <w:r w:rsidRPr="001D77D9" w:rsidR="00530F7E">
        <w:rPr>
          <w:lang w:val="en-GB"/>
        </w:rPr>
        <w:t>s, and the</w:t>
      </w:r>
      <w:r w:rsidRPr="001D77D9">
        <w:rPr>
          <w:lang w:val="en-GB"/>
        </w:rPr>
        <w:t xml:space="preserve"> </w:t>
      </w:r>
      <w:r w:rsidRPr="001D77D9" w:rsidR="007B0A15">
        <w:rPr>
          <w:lang w:val="en-GB"/>
        </w:rPr>
        <w:t>Court</w:t>
      </w:r>
      <w:r w:rsidRPr="001D77D9">
        <w:rPr>
          <w:lang w:val="en-GB"/>
        </w:rPr>
        <w:t xml:space="preserve"> a</w:t>
      </w:r>
      <w:r w:rsidRPr="001D77D9" w:rsidR="00530F7E">
        <w:rPr>
          <w:lang w:val="en-GB"/>
        </w:rPr>
        <w:t>ccepts that</w:t>
      </w:r>
      <w:r w:rsidRPr="001D77D9">
        <w:rPr>
          <w:lang w:val="en-GB"/>
        </w:rPr>
        <w:t xml:space="preserve"> </w:t>
      </w:r>
      <w:r w:rsidRPr="001D77D9" w:rsidR="00530F7E">
        <w:rPr>
          <w:rStyle w:val="sb8d990e2"/>
          <w:lang w:val="en-GB"/>
        </w:rPr>
        <w:t xml:space="preserve">many laws are inevitably couched in terms which, to a greater or lesser extent, are vague and whose interpretation and application are questions of practice </w:t>
      </w:r>
      <w:r w:rsidRPr="001D77D9">
        <w:rPr>
          <w:lang w:val="en-GB"/>
        </w:rPr>
        <w:t>(</w:t>
      </w:r>
      <w:r w:rsidRPr="001D77D9" w:rsidR="001E3510">
        <w:rPr>
          <w:lang w:val="en-GB"/>
        </w:rPr>
        <w:t>see</w:t>
      </w:r>
      <w:r w:rsidRPr="001D77D9">
        <w:rPr>
          <w:lang w:val="en-GB"/>
        </w:rPr>
        <w:t xml:space="preserve">, </w:t>
      </w:r>
      <w:r w:rsidRPr="001D77D9" w:rsidR="001E3510">
        <w:rPr>
          <w:lang w:val="en-GB"/>
        </w:rPr>
        <w:t>fo</w:t>
      </w:r>
      <w:r w:rsidRPr="001D77D9">
        <w:rPr>
          <w:lang w:val="en-GB"/>
        </w:rPr>
        <w:t xml:space="preserve">r </w:t>
      </w:r>
      <w:r w:rsidRPr="001D77D9" w:rsidR="007B0A15">
        <w:rPr>
          <w:lang w:val="en-GB"/>
        </w:rPr>
        <w:t>example</w:t>
      </w:r>
      <w:r w:rsidRPr="001D77D9">
        <w:rPr>
          <w:lang w:val="en-GB"/>
        </w:rPr>
        <w:t xml:space="preserve">, </w:t>
      </w:r>
      <w:r w:rsidRPr="001D77D9">
        <w:rPr>
          <w:i/>
          <w:lang w:val="en-GB"/>
        </w:rPr>
        <w:t xml:space="preserve">Silver </w:t>
      </w:r>
      <w:r w:rsidRPr="001D77D9" w:rsidR="001E3510">
        <w:rPr>
          <w:i/>
          <w:lang w:val="en-GB"/>
        </w:rPr>
        <w:t>and Others v</w:t>
      </w:r>
      <w:r w:rsidRPr="001D77D9">
        <w:rPr>
          <w:i/>
          <w:lang w:val="en-GB"/>
        </w:rPr>
        <w:t>. </w:t>
      </w:r>
      <w:r w:rsidRPr="001D77D9" w:rsidR="001E3510">
        <w:rPr>
          <w:i/>
          <w:lang w:val="en-GB"/>
        </w:rPr>
        <w:t xml:space="preserve">the </w:t>
      </w:r>
      <w:r w:rsidRPr="001D77D9">
        <w:rPr>
          <w:i/>
          <w:lang w:val="en-GB"/>
        </w:rPr>
        <w:t>Uni</w:t>
      </w:r>
      <w:r w:rsidRPr="001D77D9" w:rsidR="001E3510">
        <w:rPr>
          <w:i/>
          <w:lang w:val="en-GB"/>
        </w:rPr>
        <w:t>ted Kingdom</w:t>
      </w:r>
      <w:r w:rsidRPr="001D77D9">
        <w:rPr>
          <w:lang w:val="en-GB"/>
        </w:rPr>
        <w:t xml:space="preserve">, 25 </w:t>
      </w:r>
      <w:r w:rsidRPr="001D77D9" w:rsidR="001E3510">
        <w:rPr>
          <w:lang w:val="en-GB"/>
        </w:rPr>
        <w:t xml:space="preserve">March </w:t>
      </w:r>
      <w:r w:rsidRPr="001D77D9">
        <w:rPr>
          <w:lang w:val="en-GB"/>
        </w:rPr>
        <w:t xml:space="preserve">1983, § 88, </w:t>
      </w:r>
      <w:r w:rsidRPr="001D77D9" w:rsidR="007B0A15">
        <w:rPr>
          <w:lang w:val="en-GB"/>
        </w:rPr>
        <w:t>Series</w:t>
      </w:r>
      <w:r w:rsidRPr="001D77D9">
        <w:rPr>
          <w:lang w:val="en-GB"/>
        </w:rPr>
        <w:t xml:space="preserve"> A n</w:t>
      </w:r>
      <w:r w:rsidRPr="001D77D9" w:rsidR="001E3510">
        <w:rPr>
          <w:lang w:val="en-GB"/>
        </w:rPr>
        <w:t>o.</w:t>
      </w:r>
      <w:r w:rsidRPr="001D77D9">
        <w:rPr>
          <w:lang w:val="en-GB"/>
        </w:rPr>
        <w:t xml:space="preserve"> 61).</w:t>
      </w:r>
    </w:p>
    <w:p w:rsidRPr="001D77D9" w:rsidR="00F44343" w:rsidP="00F0412F" w:rsidRDefault="00F0412F">
      <w:pPr>
        <w:pStyle w:val="ECHRPara"/>
        <w:rPr>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109</w:t>
      </w:r>
      <w:r w:rsidRPr="001D77D9">
        <w:rPr>
          <w:lang w:val="en-GB"/>
        </w:rPr>
        <w:fldChar w:fldCharType="end"/>
      </w:r>
      <w:r w:rsidRPr="001D77D9">
        <w:rPr>
          <w:lang w:val="en-GB"/>
        </w:rPr>
        <w:t>.  </w:t>
      </w:r>
      <w:r w:rsidRPr="001D77D9" w:rsidR="007B0A15">
        <w:rPr>
          <w:lang w:val="en-GB"/>
        </w:rPr>
        <w:t>In</w:t>
      </w:r>
      <w:r w:rsidRPr="001D77D9">
        <w:rPr>
          <w:lang w:val="en-GB"/>
        </w:rPr>
        <w:t xml:space="preserve"> </w:t>
      </w:r>
      <w:r w:rsidRPr="001D77D9" w:rsidR="001E3510">
        <w:rPr>
          <w:lang w:val="en-GB"/>
        </w:rPr>
        <w:t>the instant case, however, the Court notes</w:t>
      </w:r>
      <w:r w:rsidRPr="001D77D9" w:rsidR="00F44343">
        <w:rPr>
          <w:lang w:val="en-GB"/>
        </w:rPr>
        <w:t xml:space="preserve"> from</w:t>
      </w:r>
      <w:r w:rsidRPr="001D77D9" w:rsidR="001E3510">
        <w:rPr>
          <w:lang w:val="en-GB"/>
        </w:rPr>
        <w:t xml:space="preserve"> the </w:t>
      </w:r>
      <w:r w:rsidRPr="001D77D9" w:rsidR="007B0A15">
        <w:rPr>
          <w:lang w:val="en-GB"/>
        </w:rPr>
        <w:t>Government</w:t>
      </w:r>
      <w:r w:rsidR="00934B09">
        <w:rPr>
          <w:lang w:val="en-GB"/>
        </w:rPr>
        <w:t>’</w:t>
      </w:r>
      <w:r w:rsidRPr="001D77D9" w:rsidR="007B0A15">
        <w:rPr>
          <w:lang w:val="en-GB"/>
        </w:rPr>
        <w:t>s</w:t>
      </w:r>
      <w:r w:rsidRPr="001D77D9">
        <w:rPr>
          <w:lang w:val="en-GB"/>
        </w:rPr>
        <w:t xml:space="preserve"> </w:t>
      </w:r>
      <w:r w:rsidRPr="001D77D9" w:rsidR="001E3510">
        <w:rPr>
          <w:lang w:val="en-GB"/>
        </w:rPr>
        <w:t xml:space="preserve">observations </w:t>
      </w:r>
      <w:r w:rsidRPr="001D77D9">
        <w:rPr>
          <w:lang w:val="en-GB"/>
        </w:rPr>
        <w:t>(</w:t>
      </w:r>
      <w:r w:rsidRPr="001D77D9" w:rsidR="001E3510">
        <w:rPr>
          <w:lang w:val="en-GB"/>
        </w:rPr>
        <w:t xml:space="preserve">see </w:t>
      </w:r>
      <w:r w:rsidRPr="001D77D9" w:rsidR="007B0A15">
        <w:rPr>
          <w:lang w:val="en-GB"/>
        </w:rPr>
        <w:t>paragraphs</w:t>
      </w:r>
      <w:r w:rsidRPr="001D77D9">
        <w:rPr>
          <w:lang w:val="en-GB"/>
        </w:rPr>
        <w:t xml:space="preserve"> 94-99 </w:t>
      </w:r>
      <w:r w:rsidRPr="001D77D9" w:rsidR="001E3510">
        <w:rPr>
          <w:lang w:val="en-GB"/>
        </w:rPr>
        <w:t>above</w:t>
      </w:r>
      <w:r w:rsidRPr="001D77D9">
        <w:rPr>
          <w:lang w:val="en-GB"/>
        </w:rPr>
        <w:t xml:space="preserve">) </w:t>
      </w:r>
      <w:r w:rsidRPr="001D77D9" w:rsidR="001E3510">
        <w:rPr>
          <w:lang w:val="en-GB"/>
        </w:rPr>
        <w:t xml:space="preserve">that </w:t>
      </w:r>
      <w:r w:rsidRPr="001D77D9" w:rsidR="00F44343">
        <w:rPr>
          <w:lang w:val="en-GB"/>
        </w:rPr>
        <w:t xml:space="preserve">there was </w:t>
      </w:r>
      <w:r w:rsidRPr="001D77D9" w:rsidR="001E3510">
        <w:rPr>
          <w:lang w:val="en-GB"/>
        </w:rPr>
        <w:t>no</w:t>
      </w:r>
      <w:r w:rsidRPr="001D77D9">
        <w:rPr>
          <w:lang w:val="en-GB"/>
        </w:rPr>
        <w:t xml:space="preserve"> </w:t>
      </w:r>
      <w:r w:rsidRPr="001D77D9" w:rsidR="007B0A15">
        <w:rPr>
          <w:lang w:val="en-GB"/>
        </w:rPr>
        <w:t>legislative</w:t>
      </w:r>
      <w:r w:rsidRPr="001D77D9">
        <w:rPr>
          <w:lang w:val="en-GB"/>
        </w:rPr>
        <w:t xml:space="preserve"> </w:t>
      </w:r>
      <w:r w:rsidRPr="001D77D9" w:rsidR="001E3510">
        <w:rPr>
          <w:lang w:val="en-GB"/>
        </w:rPr>
        <w:t>provision</w:t>
      </w:r>
      <w:r w:rsidRPr="001D77D9">
        <w:rPr>
          <w:lang w:val="en-GB"/>
        </w:rPr>
        <w:t xml:space="preserve"> </w:t>
      </w:r>
      <w:r w:rsidRPr="001D77D9" w:rsidR="00F44343">
        <w:rPr>
          <w:lang w:val="en-GB"/>
        </w:rPr>
        <w:t xml:space="preserve">mentioning </w:t>
      </w:r>
      <w:r w:rsidRPr="001D77D9" w:rsidR="001E3510">
        <w:rPr>
          <w:lang w:val="en-GB"/>
        </w:rPr>
        <w:t>the least</w:t>
      </w:r>
      <w:r w:rsidRPr="001D77D9">
        <w:rPr>
          <w:lang w:val="en-GB"/>
        </w:rPr>
        <w:t xml:space="preserve"> </w:t>
      </w:r>
      <w:r w:rsidRPr="001D77D9" w:rsidR="007B0A15">
        <w:rPr>
          <w:lang w:val="en-GB"/>
        </w:rPr>
        <w:t>possibility</w:t>
      </w:r>
      <w:r w:rsidRPr="001D77D9">
        <w:rPr>
          <w:lang w:val="en-GB"/>
        </w:rPr>
        <w:t xml:space="preserve"> </w:t>
      </w:r>
      <w:r w:rsidRPr="001D77D9" w:rsidR="001E3510">
        <w:rPr>
          <w:lang w:val="en-GB"/>
        </w:rPr>
        <w:t xml:space="preserve">of </w:t>
      </w:r>
      <w:r w:rsidRPr="001D77D9">
        <w:rPr>
          <w:lang w:val="en-GB"/>
        </w:rPr>
        <w:t>impos</w:t>
      </w:r>
      <w:r w:rsidRPr="001D77D9" w:rsidR="001E3510">
        <w:rPr>
          <w:lang w:val="en-GB"/>
        </w:rPr>
        <w:t>ing on prisoners a</w:t>
      </w:r>
      <w:r w:rsidRPr="001D77D9">
        <w:rPr>
          <w:lang w:val="en-GB"/>
        </w:rPr>
        <w:t xml:space="preserve"> restriction </w:t>
      </w:r>
      <w:r w:rsidRPr="001D77D9" w:rsidR="007B0A15">
        <w:rPr>
          <w:lang w:val="en-GB"/>
        </w:rPr>
        <w:t>or</w:t>
      </w:r>
      <w:r w:rsidRPr="001D77D9">
        <w:rPr>
          <w:lang w:val="en-GB"/>
        </w:rPr>
        <w:t xml:space="preserve"> </w:t>
      </w:r>
      <w:r w:rsidRPr="001D77D9" w:rsidR="001E3510">
        <w:rPr>
          <w:lang w:val="en-GB"/>
        </w:rPr>
        <w:t>prohibi</w:t>
      </w:r>
      <w:r w:rsidRPr="001D77D9">
        <w:rPr>
          <w:lang w:val="en-GB"/>
        </w:rPr>
        <w:t xml:space="preserve">tion </w:t>
      </w:r>
      <w:r w:rsidRPr="001D77D9" w:rsidR="001E3510">
        <w:rPr>
          <w:lang w:val="en-GB"/>
        </w:rPr>
        <w:t xml:space="preserve">of </w:t>
      </w:r>
      <w:r w:rsidRPr="001D77D9" w:rsidR="007B0A15">
        <w:rPr>
          <w:lang w:val="en-GB"/>
        </w:rPr>
        <w:t>access</w:t>
      </w:r>
      <w:r w:rsidRPr="001D77D9">
        <w:rPr>
          <w:lang w:val="en-GB"/>
        </w:rPr>
        <w:t xml:space="preserve"> </w:t>
      </w:r>
      <w:r w:rsidRPr="001D77D9" w:rsidR="001E3510">
        <w:rPr>
          <w:lang w:val="en-GB"/>
        </w:rPr>
        <w:t>to</w:t>
      </w:r>
      <w:r w:rsidRPr="001D77D9">
        <w:rPr>
          <w:lang w:val="en-GB"/>
        </w:rPr>
        <w:t xml:space="preserve"> publications </w:t>
      </w:r>
      <w:r w:rsidRPr="001D77D9" w:rsidR="001E3510">
        <w:rPr>
          <w:lang w:val="en-GB"/>
        </w:rPr>
        <w:t xml:space="preserve">on the ground of the language in which they were published. It further notes that the </w:t>
      </w:r>
      <w:r w:rsidRPr="001D77D9" w:rsidR="007B0A15">
        <w:rPr>
          <w:lang w:val="en-GB"/>
        </w:rPr>
        <w:t>power</w:t>
      </w:r>
      <w:r w:rsidRPr="001D77D9" w:rsidR="001E3510">
        <w:rPr>
          <w:lang w:val="en-GB"/>
        </w:rPr>
        <w:t xml:space="preserve"> of </w:t>
      </w:r>
      <w:r w:rsidRPr="001D77D9" w:rsidR="001F6F1C">
        <w:rPr>
          <w:lang w:val="en-GB"/>
        </w:rPr>
        <w:t>review</w:t>
      </w:r>
      <w:r w:rsidRPr="001D77D9" w:rsidR="001E3510">
        <w:rPr>
          <w:lang w:val="en-GB"/>
        </w:rPr>
        <w:t xml:space="preserve"> </w:t>
      </w:r>
      <w:r w:rsidRPr="001D77D9" w:rsidR="00F63E58">
        <w:rPr>
          <w:lang w:val="en-GB"/>
        </w:rPr>
        <w:t xml:space="preserve">granted by domestic law to the prison </w:t>
      </w:r>
      <w:r w:rsidRPr="001D77D9" w:rsidR="007B0A15">
        <w:rPr>
          <w:lang w:val="en-GB"/>
        </w:rPr>
        <w:t>authorities</w:t>
      </w:r>
      <w:r w:rsidRPr="001D77D9" w:rsidR="00F63E58">
        <w:rPr>
          <w:lang w:val="en-GB"/>
        </w:rPr>
        <w:t xml:space="preserve"> </w:t>
      </w:r>
      <w:r w:rsidRPr="001D77D9" w:rsidR="007B0A15">
        <w:rPr>
          <w:lang w:val="en-GB"/>
        </w:rPr>
        <w:t>regarding</w:t>
      </w:r>
      <w:r w:rsidRPr="001D77D9" w:rsidR="00F63E58">
        <w:rPr>
          <w:lang w:val="en-GB"/>
        </w:rPr>
        <w:t xml:space="preserve"> prisoner </w:t>
      </w:r>
      <w:r w:rsidRPr="001D77D9" w:rsidR="007B0A15">
        <w:rPr>
          <w:lang w:val="en-GB"/>
        </w:rPr>
        <w:t>access</w:t>
      </w:r>
      <w:r w:rsidRPr="001D77D9">
        <w:rPr>
          <w:lang w:val="en-GB"/>
        </w:rPr>
        <w:t xml:space="preserve"> </w:t>
      </w:r>
      <w:r w:rsidRPr="001D77D9" w:rsidR="00F63E58">
        <w:rPr>
          <w:lang w:val="en-GB"/>
        </w:rPr>
        <w:t>to</w:t>
      </w:r>
      <w:r w:rsidRPr="001D77D9">
        <w:rPr>
          <w:lang w:val="en-GB"/>
        </w:rPr>
        <w:t xml:space="preserve"> publications </w:t>
      </w:r>
      <w:r w:rsidRPr="001D77D9" w:rsidR="00AB1162">
        <w:rPr>
          <w:lang w:val="en-GB"/>
        </w:rPr>
        <w:t>only concerned the</w:t>
      </w:r>
      <w:r w:rsidRPr="001D77D9">
        <w:rPr>
          <w:lang w:val="en-GB"/>
        </w:rPr>
        <w:t xml:space="preserve"> </w:t>
      </w:r>
      <w:r w:rsidRPr="001D77D9" w:rsidR="007B0A15">
        <w:rPr>
          <w:lang w:val="en-GB"/>
        </w:rPr>
        <w:t>content</w:t>
      </w:r>
      <w:r w:rsidRPr="001D77D9">
        <w:rPr>
          <w:lang w:val="en-GB"/>
        </w:rPr>
        <w:t xml:space="preserve"> </w:t>
      </w:r>
      <w:r w:rsidRPr="001D77D9" w:rsidR="00AB1162">
        <w:rPr>
          <w:lang w:val="en-GB"/>
        </w:rPr>
        <w:t>of the latter</w:t>
      </w:r>
      <w:r w:rsidRPr="001D77D9">
        <w:rPr>
          <w:lang w:val="en-GB"/>
        </w:rPr>
        <w:t xml:space="preserve">. </w:t>
      </w:r>
      <w:r w:rsidRPr="001D77D9" w:rsidR="00F44343">
        <w:rPr>
          <w:lang w:val="en-GB"/>
        </w:rPr>
        <w:t>I</w:t>
      </w:r>
      <w:r w:rsidRPr="001D77D9" w:rsidR="007B0A15">
        <w:rPr>
          <w:lang w:val="en-GB"/>
        </w:rPr>
        <w:t>n</w:t>
      </w:r>
      <w:r w:rsidRPr="001D77D9">
        <w:rPr>
          <w:lang w:val="en-GB"/>
        </w:rPr>
        <w:t xml:space="preserve"> </w:t>
      </w:r>
      <w:r w:rsidRPr="001D77D9" w:rsidR="00F44343">
        <w:rPr>
          <w:lang w:val="en-GB"/>
        </w:rPr>
        <w:t xml:space="preserve">the </w:t>
      </w:r>
      <w:r w:rsidRPr="001D77D9" w:rsidR="005A71B4">
        <w:rPr>
          <w:lang w:val="en-GB"/>
        </w:rPr>
        <w:t>present</w:t>
      </w:r>
      <w:r w:rsidRPr="001D77D9" w:rsidR="00F44343">
        <w:rPr>
          <w:lang w:val="en-GB"/>
        </w:rPr>
        <w:t xml:space="preserve"> case those authorities reached a </w:t>
      </w:r>
      <w:r w:rsidRPr="001D77D9" w:rsidR="005A71B4">
        <w:rPr>
          <w:lang w:val="en-GB"/>
        </w:rPr>
        <w:t>decision</w:t>
      </w:r>
      <w:r w:rsidRPr="001D77D9" w:rsidR="00F44343">
        <w:rPr>
          <w:lang w:val="en-GB"/>
        </w:rPr>
        <w:t xml:space="preserve"> without prior assessment of the </w:t>
      </w:r>
      <w:r w:rsidRPr="001D77D9" w:rsidR="005A71B4">
        <w:rPr>
          <w:lang w:val="en-GB"/>
        </w:rPr>
        <w:t>content</w:t>
      </w:r>
      <w:r w:rsidRPr="001D77D9">
        <w:rPr>
          <w:lang w:val="en-GB"/>
        </w:rPr>
        <w:t xml:space="preserve"> </w:t>
      </w:r>
      <w:r w:rsidRPr="001D77D9" w:rsidR="00F44343">
        <w:rPr>
          <w:lang w:val="en-GB"/>
        </w:rPr>
        <w:t>of the</w:t>
      </w:r>
      <w:r w:rsidRPr="001D77D9">
        <w:rPr>
          <w:lang w:val="en-GB"/>
        </w:rPr>
        <w:t xml:space="preserve"> publications </w:t>
      </w:r>
      <w:r w:rsidRPr="001D77D9" w:rsidR="00F44343">
        <w:rPr>
          <w:lang w:val="en-GB"/>
        </w:rPr>
        <w:t>at issue</w:t>
      </w:r>
      <w:r w:rsidRPr="001D77D9">
        <w:rPr>
          <w:lang w:val="en-GB"/>
        </w:rPr>
        <w:t>,</w:t>
      </w:r>
      <w:r w:rsidRPr="001D77D9" w:rsidR="00F44343">
        <w:rPr>
          <w:lang w:val="en-GB"/>
        </w:rPr>
        <w:t xml:space="preserve"> thus exercising their discretion to </w:t>
      </w:r>
      <w:r w:rsidRPr="001D77D9" w:rsidR="005A71B4">
        <w:rPr>
          <w:lang w:val="en-GB"/>
        </w:rPr>
        <w:t>deprive</w:t>
      </w:r>
      <w:r w:rsidRPr="001D77D9" w:rsidR="00F44343">
        <w:rPr>
          <w:lang w:val="en-GB"/>
        </w:rPr>
        <w:t xml:space="preserve"> prisoners of</w:t>
      </w:r>
      <w:r w:rsidRPr="001D77D9">
        <w:rPr>
          <w:lang w:val="en-GB"/>
        </w:rPr>
        <w:t xml:space="preserve"> </w:t>
      </w:r>
      <w:r w:rsidRPr="001D77D9" w:rsidR="005A71B4">
        <w:rPr>
          <w:lang w:val="en-GB"/>
        </w:rPr>
        <w:t>access</w:t>
      </w:r>
      <w:r w:rsidRPr="001D77D9">
        <w:rPr>
          <w:lang w:val="en-GB"/>
        </w:rPr>
        <w:t xml:space="preserve"> </w:t>
      </w:r>
      <w:r w:rsidRPr="001D77D9" w:rsidR="00F44343">
        <w:rPr>
          <w:lang w:val="en-GB"/>
        </w:rPr>
        <w:t xml:space="preserve">to </w:t>
      </w:r>
      <w:r w:rsidRPr="001D77D9" w:rsidR="005A71B4">
        <w:rPr>
          <w:lang w:val="en-GB"/>
        </w:rPr>
        <w:t>category</w:t>
      </w:r>
      <w:r w:rsidRPr="001D77D9">
        <w:rPr>
          <w:lang w:val="en-GB"/>
        </w:rPr>
        <w:t xml:space="preserve"> </w:t>
      </w:r>
      <w:r w:rsidRPr="001D77D9" w:rsidR="00F44343">
        <w:rPr>
          <w:lang w:val="en-GB"/>
        </w:rPr>
        <w:t xml:space="preserve">of </w:t>
      </w:r>
      <w:r w:rsidRPr="001D77D9">
        <w:rPr>
          <w:lang w:val="en-GB"/>
        </w:rPr>
        <w:t xml:space="preserve">publications </w:t>
      </w:r>
      <w:r w:rsidRPr="001D77D9" w:rsidR="00F44343">
        <w:rPr>
          <w:lang w:val="en-GB"/>
        </w:rPr>
        <w:t>which they might have liked to read. It transpires from the ca</w:t>
      </w:r>
      <w:r w:rsidRPr="001D77D9" w:rsidR="00DB63B8">
        <w:rPr>
          <w:lang w:val="en-GB"/>
        </w:rPr>
        <w:t>se fi</w:t>
      </w:r>
      <w:r w:rsidRPr="001D77D9" w:rsidR="00F44343">
        <w:rPr>
          <w:lang w:val="en-GB"/>
        </w:rPr>
        <w:t>le that the prison</w:t>
      </w:r>
      <w:r w:rsidRPr="001D77D9">
        <w:rPr>
          <w:lang w:val="en-GB"/>
        </w:rPr>
        <w:t xml:space="preserve"> </w:t>
      </w:r>
      <w:r w:rsidRPr="001D77D9" w:rsidR="005A71B4">
        <w:rPr>
          <w:lang w:val="en-GB"/>
        </w:rPr>
        <w:t>authorities</w:t>
      </w:r>
      <w:r w:rsidR="00934B09">
        <w:rPr>
          <w:lang w:val="en-GB"/>
        </w:rPr>
        <w:t>’</w:t>
      </w:r>
      <w:r w:rsidRPr="001D77D9">
        <w:rPr>
          <w:lang w:val="en-GB"/>
        </w:rPr>
        <w:t xml:space="preserve"> </w:t>
      </w:r>
      <w:r w:rsidRPr="001D77D9" w:rsidR="005A71B4">
        <w:rPr>
          <w:lang w:val="en-GB"/>
        </w:rPr>
        <w:t>decisions</w:t>
      </w:r>
      <w:r w:rsidRPr="001D77D9" w:rsidR="00F44343">
        <w:rPr>
          <w:lang w:val="en-GB"/>
        </w:rPr>
        <w:t xml:space="preserve"> not to deliver</w:t>
      </w:r>
      <w:r w:rsidRPr="001D77D9">
        <w:rPr>
          <w:lang w:val="en-GB"/>
        </w:rPr>
        <w:t xml:space="preserve"> certain</w:t>
      </w:r>
      <w:r w:rsidRPr="001D77D9" w:rsidR="00F44343">
        <w:rPr>
          <w:lang w:val="en-GB"/>
        </w:rPr>
        <w:t xml:space="preserve"> </w:t>
      </w:r>
      <w:r w:rsidRPr="001D77D9" w:rsidR="004E05A7">
        <w:rPr>
          <w:lang w:val="en-GB"/>
        </w:rPr>
        <w:t>edition</w:t>
      </w:r>
      <w:r w:rsidRPr="001D77D9">
        <w:rPr>
          <w:lang w:val="en-GB"/>
        </w:rPr>
        <w:t xml:space="preserve">s </w:t>
      </w:r>
      <w:r w:rsidRPr="001D77D9" w:rsidR="00F44343">
        <w:rPr>
          <w:lang w:val="en-GB"/>
        </w:rPr>
        <w:t>of the</w:t>
      </w:r>
      <w:r w:rsidRPr="001D77D9">
        <w:rPr>
          <w:lang w:val="en-GB"/>
        </w:rPr>
        <w:t xml:space="preserve"> </w:t>
      </w:r>
      <w:r w:rsidRPr="001D77D9">
        <w:rPr>
          <w:i/>
          <w:lang w:val="en-GB"/>
        </w:rPr>
        <w:t>Azadiya Welat</w:t>
      </w:r>
      <w:r w:rsidRPr="001D77D9">
        <w:rPr>
          <w:lang w:val="en-GB"/>
        </w:rPr>
        <w:t xml:space="preserve"> </w:t>
      </w:r>
      <w:r w:rsidRPr="001D77D9" w:rsidR="00F44343">
        <w:rPr>
          <w:lang w:val="en-GB"/>
        </w:rPr>
        <w:t xml:space="preserve">daily newspaper to the applicants were not based on any of the </w:t>
      </w:r>
      <w:r w:rsidRPr="001D77D9" w:rsidR="005A71B4">
        <w:rPr>
          <w:lang w:val="en-GB"/>
        </w:rPr>
        <w:t>grounds</w:t>
      </w:r>
      <w:r w:rsidRPr="001D77D9" w:rsidR="00F44343">
        <w:rPr>
          <w:lang w:val="en-GB"/>
        </w:rPr>
        <w:t xml:space="preserve"> </w:t>
      </w:r>
      <w:r w:rsidRPr="001D77D9" w:rsidR="002F0387">
        <w:rPr>
          <w:lang w:val="en-GB"/>
        </w:rPr>
        <w:t>list</w:t>
      </w:r>
      <w:r w:rsidRPr="001D77D9" w:rsidR="005A0E2E">
        <w:rPr>
          <w:lang w:val="en-GB"/>
        </w:rPr>
        <w:t>ed</w:t>
      </w:r>
      <w:r w:rsidRPr="001D77D9" w:rsidR="00F44343">
        <w:rPr>
          <w:lang w:val="en-GB"/>
        </w:rPr>
        <w:t xml:space="preserve"> in </w:t>
      </w:r>
      <w:r w:rsidRPr="001D77D9" w:rsidR="002F0387">
        <w:rPr>
          <w:lang w:val="en-GB"/>
        </w:rPr>
        <w:t xml:space="preserve">the relevant </w:t>
      </w:r>
      <w:r w:rsidRPr="001D77D9" w:rsidR="00F44343">
        <w:rPr>
          <w:lang w:val="en-GB"/>
        </w:rPr>
        <w:t>law.</w:t>
      </w:r>
    </w:p>
    <w:p w:rsidRPr="001D77D9" w:rsidR="00F0412F" w:rsidP="00F0412F" w:rsidRDefault="00F0412F">
      <w:pPr>
        <w:pStyle w:val="ECHRPara"/>
        <w:rPr>
          <w:snapToGrid w:val="0"/>
          <w:lang w:val="en-GB"/>
        </w:rPr>
      </w:pPr>
      <w:r w:rsidRPr="001D77D9">
        <w:rPr>
          <w:lang w:val="en-GB"/>
        </w:rPr>
        <w:fldChar w:fldCharType="begin"/>
      </w:r>
      <w:r w:rsidRPr="001D77D9">
        <w:rPr>
          <w:lang w:val="en-GB"/>
        </w:rPr>
        <w:instrText xml:space="preserve"> SEQ level0 \*arabic </w:instrText>
      </w:r>
      <w:r w:rsidRPr="001D77D9">
        <w:rPr>
          <w:lang w:val="en-GB"/>
        </w:rPr>
        <w:fldChar w:fldCharType="separate"/>
      </w:r>
      <w:r w:rsidR="00934B09">
        <w:rPr>
          <w:noProof/>
          <w:lang w:val="en-GB"/>
        </w:rPr>
        <w:t>110</w:t>
      </w:r>
      <w:r w:rsidRPr="001D77D9">
        <w:rPr>
          <w:lang w:val="en-GB"/>
        </w:rPr>
        <w:fldChar w:fldCharType="end"/>
      </w:r>
      <w:r w:rsidRPr="001D77D9">
        <w:rPr>
          <w:lang w:val="en-GB"/>
        </w:rPr>
        <w:t>.  </w:t>
      </w:r>
      <w:r w:rsidRPr="001D77D9" w:rsidR="005A0E2E">
        <w:rPr>
          <w:lang w:val="en-GB"/>
        </w:rPr>
        <w:t>The</w:t>
      </w:r>
      <w:r w:rsidRPr="001D77D9">
        <w:rPr>
          <w:lang w:val="en-GB"/>
        </w:rPr>
        <w:t xml:space="preserve"> </w:t>
      </w:r>
      <w:r w:rsidRPr="001D77D9" w:rsidR="005A71B4">
        <w:rPr>
          <w:lang w:val="en-GB"/>
        </w:rPr>
        <w:t>Court</w:t>
      </w:r>
      <w:r w:rsidRPr="001D77D9">
        <w:rPr>
          <w:lang w:val="en-GB"/>
        </w:rPr>
        <w:t xml:space="preserve"> </w:t>
      </w:r>
      <w:r w:rsidRPr="001D77D9" w:rsidR="005A0E2E">
        <w:rPr>
          <w:lang w:val="en-GB"/>
        </w:rPr>
        <w:t xml:space="preserve">infers from this that the impugned </w:t>
      </w:r>
      <w:r w:rsidRPr="001D77D9" w:rsidR="005A71B4">
        <w:rPr>
          <w:lang w:val="en-GB"/>
        </w:rPr>
        <w:t>interference</w:t>
      </w:r>
      <w:r w:rsidRPr="001D77D9">
        <w:rPr>
          <w:lang w:val="en-GB"/>
        </w:rPr>
        <w:t xml:space="preserve"> </w:t>
      </w:r>
      <w:r w:rsidRPr="001D77D9" w:rsidR="005A0E2E">
        <w:rPr>
          <w:lang w:val="en-GB"/>
        </w:rPr>
        <w:t>was</w:t>
      </w:r>
      <w:r w:rsidRPr="001D77D9" w:rsidR="00D16770">
        <w:rPr>
          <w:lang w:val="en-GB"/>
        </w:rPr>
        <w:t>,</w:t>
      </w:r>
      <w:r w:rsidRPr="001D77D9" w:rsidR="005A0E2E">
        <w:rPr>
          <w:lang w:val="en-GB"/>
        </w:rPr>
        <w:t xml:space="preserve"> </w:t>
      </w:r>
      <w:r w:rsidRPr="001D77D9" w:rsidR="00D16770">
        <w:rPr>
          <w:lang w:val="en-GB"/>
        </w:rPr>
        <w:t xml:space="preserve">at all events, </w:t>
      </w:r>
      <w:r w:rsidRPr="001D77D9" w:rsidR="005A0E2E">
        <w:rPr>
          <w:lang w:val="en-GB"/>
        </w:rPr>
        <w:t>not</w:t>
      </w:r>
      <w:r w:rsidRPr="001D77D9">
        <w:rPr>
          <w:lang w:val="en-GB"/>
        </w:rPr>
        <w:t xml:space="preserve"> </w:t>
      </w:r>
      <w:r w:rsidRPr="001D77D9" w:rsidR="00110553">
        <w:rPr>
          <w:lang w:val="en-GB"/>
        </w:rPr>
        <w:t>“</w:t>
      </w:r>
      <w:r w:rsidRPr="001D77D9" w:rsidR="005A0E2E">
        <w:rPr>
          <w:lang w:val="en-GB"/>
        </w:rPr>
        <w:t>in accordance with</w:t>
      </w:r>
      <w:r w:rsidRPr="001D77D9">
        <w:rPr>
          <w:lang w:val="en-GB"/>
        </w:rPr>
        <w:t xml:space="preserve"> </w:t>
      </w:r>
      <w:r w:rsidRPr="001D77D9" w:rsidR="00110553">
        <w:rPr>
          <w:lang w:val="en-GB"/>
        </w:rPr>
        <w:t xml:space="preserve">the </w:t>
      </w:r>
      <w:r w:rsidRPr="001D77D9">
        <w:rPr>
          <w:lang w:val="en-GB"/>
        </w:rPr>
        <w:t>la</w:t>
      </w:r>
      <w:r w:rsidRPr="001D77D9" w:rsidR="005A0E2E">
        <w:rPr>
          <w:lang w:val="en-GB"/>
        </w:rPr>
        <w:t>w</w:t>
      </w:r>
      <w:r w:rsidRPr="001D77D9" w:rsidR="00110553">
        <w:rPr>
          <w:lang w:val="en-GB"/>
        </w:rPr>
        <w:t>”</w:t>
      </w:r>
      <w:r w:rsidRPr="001D77D9">
        <w:rPr>
          <w:lang w:val="en-GB"/>
        </w:rPr>
        <w:t xml:space="preserve"> (</w:t>
      </w:r>
      <w:r w:rsidRPr="001D77D9" w:rsidR="002F0387">
        <w:rPr>
          <w:lang w:val="en-GB"/>
        </w:rPr>
        <w:t>see</w:t>
      </w:r>
      <w:r w:rsidRPr="001D77D9">
        <w:rPr>
          <w:lang w:val="en-GB"/>
        </w:rPr>
        <w:t xml:space="preserve">, </w:t>
      </w:r>
      <w:r w:rsidRPr="001D77D9" w:rsidR="002F0387">
        <w:rPr>
          <w:lang w:val="en-GB"/>
        </w:rPr>
        <w:t>f</w:t>
      </w:r>
      <w:r w:rsidRPr="001D77D9">
        <w:rPr>
          <w:lang w:val="en-GB"/>
        </w:rPr>
        <w:t xml:space="preserve">or </w:t>
      </w:r>
      <w:r w:rsidRPr="001D77D9" w:rsidR="002F0387">
        <w:rPr>
          <w:lang w:val="en-GB"/>
        </w:rPr>
        <w:t xml:space="preserve">a </w:t>
      </w:r>
      <w:r w:rsidRPr="001D77D9" w:rsidR="00880779">
        <w:rPr>
          <w:lang w:val="en-GB"/>
        </w:rPr>
        <w:t>similar</w:t>
      </w:r>
      <w:r w:rsidRPr="001D77D9">
        <w:rPr>
          <w:lang w:val="en-GB"/>
        </w:rPr>
        <w:t xml:space="preserve"> </w:t>
      </w:r>
      <w:r w:rsidRPr="001D77D9" w:rsidR="00880779">
        <w:rPr>
          <w:lang w:val="en-GB"/>
        </w:rPr>
        <w:t>approach</w:t>
      </w:r>
      <w:r w:rsidRPr="001D77D9" w:rsidR="002F0387">
        <w:rPr>
          <w:lang w:val="en-GB"/>
        </w:rPr>
        <w:t xml:space="preserve"> to the supervision of prisoners</w:t>
      </w:r>
      <w:r w:rsidR="00934B09">
        <w:rPr>
          <w:lang w:val="en-GB"/>
        </w:rPr>
        <w:t>’</w:t>
      </w:r>
      <w:r w:rsidRPr="001D77D9" w:rsidR="002F0387">
        <w:rPr>
          <w:lang w:val="en-GB"/>
        </w:rPr>
        <w:t xml:space="preserve"> written</w:t>
      </w:r>
      <w:r w:rsidRPr="001D77D9">
        <w:rPr>
          <w:lang w:val="en-GB"/>
        </w:rPr>
        <w:t xml:space="preserve"> </w:t>
      </w:r>
      <w:r w:rsidRPr="001D77D9" w:rsidR="00880779">
        <w:rPr>
          <w:lang w:val="en-GB"/>
        </w:rPr>
        <w:t>correspondence</w:t>
      </w:r>
      <w:r w:rsidRPr="001D77D9">
        <w:rPr>
          <w:lang w:val="en-GB"/>
        </w:rPr>
        <w:t xml:space="preserve"> </w:t>
      </w:r>
      <w:r w:rsidRPr="001D77D9" w:rsidR="002F0387">
        <w:rPr>
          <w:lang w:val="en-GB"/>
        </w:rPr>
        <w:t>in a</w:t>
      </w:r>
      <w:r w:rsidRPr="001D77D9">
        <w:rPr>
          <w:lang w:val="en-GB"/>
        </w:rPr>
        <w:t xml:space="preserve"> </w:t>
      </w:r>
      <w:r w:rsidRPr="001D77D9" w:rsidR="00880779">
        <w:rPr>
          <w:lang w:val="en-GB"/>
        </w:rPr>
        <w:t>language</w:t>
      </w:r>
      <w:r w:rsidRPr="001D77D9" w:rsidR="002F0387">
        <w:rPr>
          <w:lang w:val="en-GB"/>
        </w:rPr>
        <w:t xml:space="preserve"> </w:t>
      </w:r>
      <w:r w:rsidRPr="001D77D9" w:rsidR="00880779">
        <w:rPr>
          <w:lang w:val="en-GB"/>
        </w:rPr>
        <w:t>other</w:t>
      </w:r>
      <w:r w:rsidRPr="001D77D9" w:rsidR="002F0387">
        <w:rPr>
          <w:lang w:val="en-GB"/>
        </w:rPr>
        <w:t xml:space="preserve"> than</w:t>
      </w:r>
      <w:r w:rsidRPr="001D77D9">
        <w:rPr>
          <w:lang w:val="en-GB"/>
        </w:rPr>
        <w:t xml:space="preserve"> </w:t>
      </w:r>
      <w:r w:rsidRPr="001D77D9" w:rsidR="00880779">
        <w:rPr>
          <w:lang w:val="en-GB"/>
        </w:rPr>
        <w:t>Turkish</w:t>
      </w:r>
      <w:r w:rsidRPr="001D77D9">
        <w:rPr>
          <w:lang w:val="en-GB"/>
        </w:rPr>
        <w:t xml:space="preserve">, </w:t>
      </w:r>
      <w:r w:rsidRPr="001D77D9">
        <w:rPr>
          <w:i/>
          <w:lang w:val="en-GB"/>
        </w:rPr>
        <w:t xml:space="preserve">Mehmet Nuri Özen </w:t>
      </w:r>
      <w:r w:rsidRPr="001D77D9" w:rsidR="002F0387">
        <w:rPr>
          <w:i/>
          <w:lang w:val="en-GB"/>
        </w:rPr>
        <w:t xml:space="preserve">and Others v. </w:t>
      </w:r>
      <w:r w:rsidRPr="001D77D9" w:rsidR="00880779">
        <w:rPr>
          <w:i/>
          <w:lang w:val="en-GB"/>
        </w:rPr>
        <w:t>Turkey</w:t>
      </w:r>
      <w:r w:rsidRPr="001D77D9">
        <w:rPr>
          <w:lang w:val="en-GB"/>
        </w:rPr>
        <w:t>, n</w:t>
      </w:r>
      <w:r w:rsidRPr="001D77D9" w:rsidR="002F0387">
        <w:rPr>
          <w:lang w:val="en-GB"/>
        </w:rPr>
        <w:t xml:space="preserve">os. </w:t>
      </w:r>
      <w:r w:rsidRPr="001D77D9">
        <w:rPr>
          <w:lang w:val="en-GB"/>
        </w:rPr>
        <w:t xml:space="preserve">15672/08, 24462/08, 27559/08, 28302/08, 28312/08, 34823/08, 40738/08, 41124/08, 43197/08, 51938/08 </w:t>
      </w:r>
      <w:r w:rsidRPr="001D77D9" w:rsidR="002F0387">
        <w:rPr>
          <w:lang w:val="en-GB"/>
        </w:rPr>
        <w:t>and</w:t>
      </w:r>
      <w:r w:rsidRPr="001D77D9">
        <w:rPr>
          <w:lang w:val="en-GB"/>
        </w:rPr>
        <w:t xml:space="preserve"> 58170/08</w:t>
      </w:r>
      <w:r w:rsidRPr="001D77D9">
        <w:rPr>
          <w:snapToGrid w:val="0"/>
          <w:lang w:val="en-GB"/>
        </w:rPr>
        <w:t xml:space="preserve">, §§ 55-62, 11 </w:t>
      </w:r>
      <w:r w:rsidRPr="001D77D9" w:rsidR="00880779">
        <w:rPr>
          <w:lang w:val="en-GB"/>
        </w:rPr>
        <w:t>January</w:t>
      </w:r>
      <w:r w:rsidRPr="001D77D9">
        <w:rPr>
          <w:snapToGrid w:val="0"/>
          <w:lang w:val="en-GB"/>
        </w:rPr>
        <w:t xml:space="preserve"> 2011).</w:t>
      </w:r>
    </w:p>
    <w:p w:rsidRPr="001D77D9" w:rsidR="00F0412F" w:rsidP="00F0412F" w:rsidRDefault="00F0412F">
      <w:pPr>
        <w:pStyle w:val="ECHRPara"/>
        <w:rPr>
          <w:i/>
          <w:lang w:val="en-GB"/>
        </w:rPr>
      </w:pPr>
      <w:r w:rsidRPr="001D77D9">
        <w:rPr>
          <w:snapToGrid w:val="0"/>
          <w:lang w:val="en-GB"/>
        </w:rPr>
        <w:fldChar w:fldCharType="begin"/>
      </w:r>
      <w:r w:rsidRPr="001D77D9">
        <w:rPr>
          <w:snapToGrid w:val="0"/>
          <w:lang w:val="en-GB"/>
        </w:rPr>
        <w:instrText xml:space="preserve"> SEQ level0 \*arabic </w:instrText>
      </w:r>
      <w:r w:rsidRPr="001D77D9">
        <w:rPr>
          <w:snapToGrid w:val="0"/>
          <w:lang w:val="en-GB"/>
        </w:rPr>
        <w:fldChar w:fldCharType="separate"/>
      </w:r>
      <w:r w:rsidR="00934B09">
        <w:rPr>
          <w:noProof/>
          <w:snapToGrid w:val="0"/>
          <w:lang w:val="en-GB"/>
        </w:rPr>
        <w:t>111</w:t>
      </w:r>
      <w:r w:rsidRPr="001D77D9">
        <w:rPr>
          <w:snapToGrid w:val="0"/>
          <w:lang w:val="en-GB"/>
        </w:rPr>
        <w:fldChar w:fldCharType="end"/>
      </w:r>
      <w:r w:rsidRPr="001D77D9">
        <w:rPr>
          <w:snapToGrid w:val="0"/>
          <w:lang w:val="en-GB"/>
        </w:rPr>
        <w:t>.  </w:t>
      </w:r>
      <w:r w:rsidRPr="001D77D9" w:rsidR="002F0387">
        <w:rPr>
          <w:snapToGrid w:val="0"/>
          <w:lang w:val="en-GB"/>
        </w:rPr>
        <w:t>This finding is</w:t>
      </w:r>
      <w:r w:rsidRPr="001D77D9">
        <w:rPr>
          <w:snapToGrid w:val="0"/>
          <w:lang w:val="en-GB"/>
        </w:rPr>
        <w:t xml:space="preserve"> </w:t>
      </w:r>
      <w:r w:rsidRPr="001D77D9" w:rsidR="00CB7CDB">
        <w:rPr>
          <w:lang w:val="en-GB"/>
        </w:rPr>
        <w:t xml:space="preserve">sufficient to enable the Court to conclude that </w:t>
      </w:r>
      <w:r w:rsidRPr="001D77D9" w:rsidR="002F0387">
        <w:rPr>
          <w:lang w:val="en-GB"/>
        </w:rPr>
        <w:t>there has been a</w:t>
      </w:r>
      <w:r w:rsidRPr="001D77D9">
        <w:rPr>
          <w:snapToGrid w:val="0"/>
          <w:lang w:val="en-GB"/>
        </w:rPr>
        <w:t xml:space="preserve"> violation </w:t>
      </w:r>
      <w:r w:rsidRPr="001D77D9" w:rsidR="002F0387">
        <w:rPr>
          <w:snapToGrid w:val="0"/>
          <w:lang w:val="en-GB"/>
        </w:rPr>
        <w:t>of A</w:t>
      </w:r>
      <w:r w:rsidRPr="001D77D9">
        <w:rPr>
          <w:snapToGrid w:val="0"/>
          <w:lang w:val="en-GB"/>
        </w:rPr>
        <w:t xml:space="preserve">rticle 10 </w:t>
      </w:r>
      <w:r w:rsidRPr="001D77D9" w:rsidR="002F0387">
        <w:rPr>
          <w:snapToGrid w:val="0"/>
          <w:lang w:val="en-GB"/>
        </w:rPr>
        <w:t>of the</w:t>
      </w:r>
      <w:r w:rsidRPr="001D77D9">
        <w:rPr>
          <w:snapToGrid w:val="0"/>
          <w:lang w:val="en-GB"/>
        </w:rPr>
        <w:t xml:space="preserve"> Convention.</w:t>
      </w:r>
    </w:p>
    <w:p w:rsidRPr="001D77D9" w:rsidR="00F0412F" w:rsidP="00F0412F" w:rsidRDefault="00934B09">
      <w:pPr>
        <w:pStyle w:val="ECHRPara"/>
        <w:rPr>
          <w:lang w:val="en-GB"/>
        </w:rPr>
      </w:pPr>
      <w:r>
        <w:rPr>
          <w:lang w:val="en-GB"/>
        </w:rPr>
        <w:t>...</w:t>
      </w:r>
    </w:p>
    <w:p w:rsidRPr="001D77D9" w:rsidR="00014566" w:rsidP="00014566" w:rsidRDefault="00BB5883">
      <w:pPr>
        <w:pStyle w:val="ECHRTitle1"/>
        <w:rPr>
          <w:lang w:val="en-GB"/>
        </w:rPr>
      </w:pPr>
      <w:r w:rsidRPr="001D77D9">
        <w:rPr>
          <w:lang w:val="en-GB"/>
        </w:rPr>
        <w:t>FOR THESE REASONS, THE COURT</w:t>
      </w:r>
      <w:r w:rsidRPr="001D77D9" w:rsidR="008E39CC">
        <w:rPr>
          <w:lang w:val="en-GB"/>
        </w:rPr>
        <w:t>,</w:t>
      </w:r>
    </w:p>
    <w:p w:rsidRPr="001D77D9" w:rsidR="00014566" w:rsidP="00C621C2" w:rsidRDefault="001C7F9D">
      <w:pPr>
        <w:pStyle w:val="JuList"/>
        <w:rPr>
          <w:lang w:val="en-GB"/>
        </w:rPr>
      </w:pPr>
      <w:r w:rsidRPr="001D77D9">
        <w:rPr>
          <w:lang w:val="en-GB"/>
        </w:rPr>
        <w:t>1.  </w:t>
      </w:r>
      <w:r w:rsidRPr="001D77D9">
        <w:rPr>
          <w:i/>
          <w:lang w:val="en-GB"/>
        </w:rPr>
        <w:t>Dec</w:t>
      </w:r>
      <w:r w:rsidRPr="001D77D9" w:rsidR="002F0387">
        <w:rPr>
          <w:i/>
          <w:lang w:val="en-GB"/>
        </w:rPr>
        <w:t>id</w:t>
      </w:r>
      <w:r w:rsidRPr="001D77D9">
        <w:rPr>
          <w:i/>
          <w:lang w:val="en-GB"/>
        </w:rPr>
        <w:t>es</w:t>
      </w:r>
      <w:r w:rsidRPr="001D77D9" w:rsidR="002F0387">
        <w:rPr>
          <w:lang w:val="en-GB"/>
        </w:rPr>
        <w:t>,</w:t>
      </w:r>
      <w:r w:rsidRPr="001D77D9">
        <w:rPr>
          <w:lang w:val="en-GB"/>
        </w:rPr>
        <w:t xml:space="preserve"> unanimously</w:t>
      </w:r>
      <w:r w:rsidRPr="001D77D9" w:rsidR="002F0387">
        <w:rPr>
          <w:lang w:val="en-GB"/>
        </w:rPr>
        <w:t>, to join the applications</w:t>
      </w:r>
      <w:r w:rsidRPr="001D77D9">
        <w:rPr>
          <w:lang w:val="en-GB"/>
        </w:rPr>
        <w:t>;</w:t>
      </w:r>
    </w:p>
    <w:p w:rsidRPr="001D77D9" w:rsidR="008718AA" w:rsidP="00C621C2" w:rsidRDefault="008718AA">
      <w:pPr>
        <w:pStyle w:val="JuList"/>
        <w:rPr>
          <w:lang w:val="en-GB"/>
        </w:rPr>
      </w:pPr>
    </w:p>
    <w:p w:rsidRPr="001D77D9" w:rsidR="002F0387" w:rsidP="00C621C2" w:rsidRDefault="002F0387">
      <w:pPr>
        <w:pStyle w:val="JuList"/>
        <w:rPr>
          <w:lang w:val="en-GB"/>
        </w:rPr>
      </w:pPr>
      <w:r w:rsidRPr="001D77D9">
        <w:rPr>
          <w:lang w:val="en-GB"/>
        </w:rPr>
        <w:tab/>
      </w:r>
      <w:r w:rsidR="00934B09">
        <w:rPr>
          <w:lang w:val="en-GB"/>
        </w:rPr>
        <w:t>...</w:t>
      </w:r>
    </w:p>
    <w:p w:rsidRPr="001D77D9" w:rsidR="00014566" w:rsidP="00DB7196" w:rsidRDefault="00014566">
      <w:pPr>
        <w:pStyle w:val="JuList"/>
        <w:ind w:left="0" w:firstLine="0"/>
        <w:rPr>
          <w:lang w:val="en-GB"/>
        </w:rPr>
      </w:pPr>
    </w:p>
    <w:p w:rsidRPr="001D77D9" w:rsidR="00014566" w:rsidP="00C621C2" w:rsidRDefault="002F0387">
      <w:pPr>
        <w:pStyle w:val="JuList"/>
        <w:rPr>
          <w:lang w:val="en-GB"/>
        </w:rPr>
      </w:pPr>
      <w:r w:rsidRPr="001D77D9">
        <w:rPr>
          <w:lang w:val="en-GB"/>
        </w:rPr>
        <w:t>3</w:t>
      </w:r>
      <w:r w:rsidRPr="001D77D9" w:rsidR="00014566">
        <w:rPr>
          <w:lang w:val="en-GB"/>
        </w:rPr>
        <w:t>.  </w:t>
      </w:r>
      <w:r w:rsidRPr="001D77D9" w:rsidR="00014566">
        <w:rPr>
          <w:i/>
          <w:lang w:val="en-GB"/>
        </w:rPr>
        <w:t>Holds</w:t>
      </w:r>
      <w:r w:rsidRPr="001D77D9">
        <w:rPr>
          <w:lang w:val="en-GB"/>
        </w:rPr>
        <w:t>,</w:t>
      </w:r>
      <w:r w:rsidRPr="001D77D9" w:rsidR="001C7F9D">
        <w:rPr>
          <w:lang w:val="en-GB"/>
        </w:rPr>
        <w:t xml:space="preserve"> unanimously,</w:t>
      </w:r>
      <w:r w:rsidRPr="001D77D9" w:rsidR="00014566">
        <w:rPr>
          <w:color w:val="000000"/>
          <w:lang w:val="en-GB"/>
        </w:rPr>
        <w:t xml:space="preserve"> </w:t>
      </w:r>
      <w:r w:rsidRPr="001D77D9" w:rsidR="00014566">
        <w:rPr>
          <w:lang w:val="en-GB"/>
        </w:rPr>
        <w:t xml:space="preserve">that there has been a violation of Article </w:t>
      </w:r>
      <w:r w:rsidRPr="001D77D9">
        <w:rPr>
          <w:lang w:val="en-GB"/>
        </w:rPr>
        <w:t xml:space="preserve">10 </w:t>
      </w:r>
      <w:r w:rsidRPr="001D77D9" w:rsidR="00014566">
        <w:rPr>
          <w:lang w:val="en-GB"/>
        </w:rPr>
        <w:t>of the Convention;</w:t>
      </w:r>
    </w:p>
    <w:p w:rsidRPr="001D77D9" w:rsidR="00014566" w:rsidP="00C621C2" w:rsidRDefault="00014566">
      <w:pPr>
        <w:pStyle w:val="JuList"/>
        <w:rPr>
          <w:lang w:val="en-GB"/>
        </w:rPr>
      </w:pPr>
    </w:p>
    <w:p w:rsidRPr="001D77D9" w:rsidR="00014566" w:rsidP="008718AA" w:rsidRDefault="00934B09">
      <w:pPr>
        <w:pStyle w:val="JuList"/>
        <w:ind w:hanging="56"/>
        <w:rPr>
          <w:lang w:val="en-GB"/>
        </w:rPr>
      </w:pPr>
      <w:r>
        <w:rPr>
          <w:lang w:val="en-GB"/>
        </w:rPr>
        <w:t>...</w:t>
      </w:r>
    </w:p>
    <w:p w:rsidRPr="001D77D9" w:rsidR="008718AA" w:rsidP="008718AA" w:rsidRDefault="008718AA">
      <w:pPr>
        <w:pStyle w:val="JuList"/>
        <w:ind w:hanging="56"/>
        <w:rPr>
          <w:lang w:val="en-GB"/>
        </w:rPr>
      </w:pPr>
    </w:p>
    <w:p w:rsidRPr="001D77D9" w:rsidR="00014566" w:rsidP="00014566" w:rsidRDefault="00014566">
      <w:pPr>
        <w:pStyle w:val="JuParaLast"/>
        <w:rPr>
          <w:lang w:val="en-GB"/>
        </w:rPr>
      </w:pPr>
      <w:r w:rsidRPr="001D77D9">
        <w:rPr>
          <w:lang w:val="en-GB"/>
        </w:rPr>
        <w:t xml:space="preserve">Done in </w:t>
      </w:r>
      <w:r w:rsidRPr="001D77D9" w:rsidR="008718AA">
        <w:rPr>
          <w:lang w:val="en-GB"/>
        </w:rPr>
        <w:t>French</w:t>
      </w:r>
      <w:r w:rsidRPr="001D77D9">
        <w:rPr>
          <w:lang w:val="en-GB"/>
        </w:rPr>
        <w:t xml:space="preserve">, and notified in writing on </w:t>
      </w:r>
      <w:r w:rsidRPr="001D77D9" w:rsidR="008718AA">
        <w:rPr>
          <w:lang w:val="en-GB"/>
        </w:rPr>
        <w:t>20 January</w:t>
      </w:r>
      <w:r w:rsidRPr="001D77D9">
        <w:rPr>
          <w:lang w:val="en-GB"/>
        </w:rPr>
        <w:t>, pursuant to Rule 77 §§ 2 and 3 of the Rules of Court.</w:t>
      </w:r>
    </w:p>
    <w:p w:rsidRPr="001D77D9" w:rsidR="00014566" w:rsidP="00C621C2" w:rsidRDefault="00014566">
      <w:pPr>
        <w:pStyle w:val="JuSigned"/>
        <w:rPr>
          <w:lang w:val="en-GB"/>
        </w:rPr>
      </w:pPr>
      <w:r w:rsidRPr="001D77D9">
        <w:rPr>
          <w:lang w:val="en-GB"/>
        </w:rPr>
        <w:tab/>
      </w:r>
      <w:r w:rsidRPr="001D77D9" w:rsidR="001C7F9D">
        <w:rPr>
          <w:lang w:val="en-GB"/>
        </w:rPr>
        <w:t>Stanley Naismith</w:t>
      </w:r>
      <w:r w:rsidRPr="001D77D9">
        <w:rPr>
          <w:lang w:val="en-GB"/>
        </w:rPr>
        <w:tab/>
      </w:r>
      <w:r w:rsidRPr="001D77D9" w:rsidR="008718AA">
        <w:rPr>
          <w:szCs w:val="24"/>
          <w:lang w:val="en-GB"/>
        </w:rPr>
        <w:t>Guido Raimondi</w:t>
      </w:r>
      <w:r w:rsidRPr="001D77D9">
        <w:rPr>
          <w:lang w:val="en-GB"/>
        </w:rPr>
        <w:tab/>
      </w:r>
      <w:r w:rsidRPr="001D77D9" w:rsidR="001C7F9D">
        <w:rPr>
          <w:iCs/>
          <w:lang w:val="en-GB"/>
        </w:rPr>
        <w:t>Registrar</w:t>
      </w:r>
      <w:r w:rsidRPr="001D77D9">
        <w:rPr>
          <w:lang w:val="en-GB"/>
        </w:rPr>
        <w:tab/>
        <w:t>President</w:t>
      </w:r>
    </w:p>
    <w:sectPr w:rsidRPr="001D77D9" w:rsidR="00014566" w:rsidSect="001C7F9D">
      <w:headerReference w:type="even" r:id="rId11"/>
      <w:headerReference w:type="default" r:id="rId12"/>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ED4" w:rsidRDefault="00D04ED4" w:rsidP="00014566">
      <w:r>
        <w:separator/>
      </w:r>
    </w:p>
  </w:endnote>
  <w:endnote w:type="continuationSeparator" w:id="0">
    <w:p w:rsidR="00D04ED4" w:rsidRDefault="00D04ED4" w:rsidP="00014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ED4" w:rsidRPr="00150BFA" w:rsidRDefault="00D04ED4" w:rsidP="00F942C9">
    <w:pPr>
      <w:jc w:val="center"/>
    </w:pPr>
    <w:r>
      <w:rPr>
        <w:noProof/>
        <w:lang w:eastAsia="ja-JP"/>
      </w:rPr>
      <w:drawing>
        <wp:inline distT="0" distB="0" distL="0" distR="0" wp14:anchorId="0F7A2FD9" wp14:editId="5D8A4D08">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rsidR="00D04ED4" w:rsidRDefault="00D04E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ED4" w:rsidRDefault="00D04ED4" w:rsidP="00014566">
      <w:r>
        <w:separator/>
      </w:r>
    </w:p>
  </w:footnote>
  <w:footnote w:type="continuationSeparator" w:id="0">
    <w:p w:rsidR="00D04ED4" w:rsidRDefault="00D04ED4" w:rsidP="000145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ED4" w:rsidRPr="001C7F9D" w:rsidRDefault="00D04ED4" w:rsidP="001C7F9D">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ED4" w:rsidRPr="00A45145" w:rsidRDefault="00D04ED4" w:rsidP="00F942C9">
    <w:pPr>
      <w:jc w:val="center"/>
    </w:pPr>
    <w:r>
      <w:rPr>
        <w:noProof/>
        <w:lang w:eastAsia="ja-JP"/>
      </w:rPr>
      <w:drawing>
        <wp:inline distT="0" distB="0" distL="0" distR="0" wp14:anchorId="3BEF036E" wp14:editId="5B63672E">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rsidR="00D04ED4" w:rsidRDefault="00D04ED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ED4" w:rsidRPr="00FF2306" w:rsidRDefault="00D04ED4" w:rsidP="00EE1DA9">
    <w:pPr>
      <w:pStyle w:val="ECHRHeader"/>
      <w:rPr>
        <w:lang w:val="en-GB"/>
      </w:rPr>
    </w:pP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934B09">
      <w:rPr>
        <w:rStyle w:val="PageNumber"/>
        <w:noProof/>
        <w:szCs w:val="18"/>
        <w:lang w:val="en-GB"/>
      </w:rPr>
      <w:t>16</w:t>
    </w:r>
    <w:r>
      <w:rPr>
        <w:rStyle w:val="PageNumber"/>
        <w:szCs w:val="18"/>
        <w:lang w:val="en-GB"/>
      </w:rPr>
      <w:fldChar w:fldCharType="end"/>
    </w:r>
    <w:r w:rsidRPr="00FF2306">
      <w:rPr>
        <w:lang w:val="en-GB"/>
      </w:rPr>
      <w:tab/>
    </w:r>
    <w:r>
      <w:rPr>
        <w:lang w:val="en-GB"/>
      </w:rPr>
      <w:t>YURTSEVER AND OTHERS v. TURKEY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4ED4" w:rsidRPr="00D60D87" w:rsidRDefault="00D04ED4" w:rsidP="00D60D87">
    <w:pPr>
      <w:pStyle w:val="ECHRHeader"/>
      <w:rPr>
        <w:lang w:val="en-GB"/>
      </w:rPr>
    </w:pPr>
    <w:r w:rsidRPr="00D60D87">
      <w:rPr>
        <w:lang w:val="en-GB"/>
      </w:rPr>
      <w:tab/>
    </w:r>
    <w:r>
      <w:rPr>
        <w:lang w:val="en-GB"/>
      </w:rPr>
      <w:t>YURTSEVER AND OTHERS v. TURKEY</w:t>
    </w:r>
    <w:r w:rsidRPr="00D60D87">
      <w:rPr>
        <w:lang w:val="en-GB"/>
      </w:rPr>
      <w:t xml:space="preserve"> </w:t>
    </w:r>
    <w:r>
      <w:rPr>
        <w:lang w:val="en-GB"/>
      </w:rPr>
      <w:t>JUDGMENT</w:t>
    </w:r>
    <w:r w:rsidRPr="00D60D87">
      <w:rPr>
        <w:lang w:val="en-GB"/>
      </w:rPr>
      <w:tab/>
    </w:r>
    <w:r>
      <w:rPr>
        <w:rStyle w:val="PageNumber"/>
        <w:szCs w:val="18"/>
        <w:lang w:val="en-GB"/>
      </w:rPr>
      <w:fldChar w:fldCharType="begin"/>
    </w:r>
    <w:r>
      <w:rPr>
        <w:rStyle w:val="PageNumber"/>
        <w:szCs w:val="18"/>
        <w:lang w:val="en-GB"/>
      </w:rPr>
      <w:instrText xml:space="preserve"> PAGE </w:instrText>
    </w:r>
    <w:r>
      <w:rPr>
        <w:rStyle w:val="PageNumber"/>
        <w:szCs w:val="18"/>
        <w:lang w:val="en-GB"/>
      </w:rPr>
      <w:fldChar w:fldCharType="separate"/>
    </w:r>
    <w:r w:rsidR="00934B09">
      <w:rPr>
        <w:rStyle w:val="PageNumber"/>
        <w:noProof/>
        <w:szCs w:val="18"/>
        <w:lang w:val="en-GB"/>
      </w:rPr>
      <w:t>1</w:t>
    </w:r>
    <w:r>
      <w:rPr>
        <w:rStyle w:val="PageNumber"/>
        <w:szCs w:val="18"/>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0180F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90ECFB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C5B8BEFC"/>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1CF73A"/>
    <w:lvl w:ilvl="0">
      <w:start w:val="1"/>
      <w:numFmt w:val="decimal"/>
      <w:pStyle w:val="ListNumber2"/>
      <w:lvlText w:val="%1."/>
      <w:lvlJc w:val="left"/>
      <w:pPr>
        <w:tabs>
          <w:tab w:val="num" w:pos="643"/>
        </w:tabs>
        <w:ind w:left="643" w:hanging="360"/>
      </w:pPr>
    </w:lvl>
  </w:abstractNum>
  <w:abstractNum w:abstractNumId="4">
    <w:nsid w:val="FFFFFF80"/>
    <w:multiLevelType w:val="singleLevel"/>
    <w:tmpl w:val="2380266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0C2C346"/>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482EC3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666B2C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2760110"/>
    <w:lvl w:ilvl="0">
      <w:start w:val="1"/>
      <w:numFmt w:val="decimal"/>
      <w:pStyle w:val="ListNumber"/>
      <w:lvlText w:val="%1."/>
      <w:lvlJc w:val="left"/>
      <w:pPr>
        <w:tabs>
          <w:tab w:val="num" w:pos="360"/>
        </w:tabs>
        <w:ind w:left="360" w:hanging="360"/>
      </w:pPr>
    </w:lvl>
  </w:abstractNum>
  <w:abstractNum w:abstractNumId="9">
    <w:nsid w:val="0066004F"/>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63F153D"/>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2">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737461D"/>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9"/>
  </w:num>
  <w:num w:numId="4">
    <w:abstractNumId w:val="13"/>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pNatAutre" w:val="0"/>
    <w:docVar w:name="DocVarPREMATURE" w:val="0"/>
    <w:docVar w:name="EMM" w:val="0"/>
    <w:docVar w:name="ETRANSMISSION" w:val="BY E-TRANSMISSION ONLY"/>
    <w:docVar w:name="L4_1Annex" w:val="0"/>
    <w:docVar w:name="L4_1Anonymity" w:val="0"/>
    <w:docVar w:name="NBEMMDOC" w:val="0"/>
    <w:docVar w:name="SignForeName" w:val="0"/>
  </w:docVars>
  <w:rsids>
    <w:rsidRoot w:val="001C7F9D"/>
    <w:rsid w:val="00000506"/>
    <w:rsid w:val="000041F8"/>
    <w:rsid w:val="000042A8"/>
    <w:rsid w:val="00004308"/>
    <w:rsid w:val="00005BF0"/>
    <w:rsid w:val="00007154"/>
    <w:rsid w:val="000078D3"/>
    <w:rsid w:val="00007B3B"/>
    <w:rsid w:val="000103AE"/>
    <w:rsid w:val="00011486"/>
    <w:rsid w:val="00011D69"/>
    <w:rsid w:val="00012AD3"/>
    <w:rsid w:val="000133BA"/>
    <w:rsid w:val="00014566"/>
    <w:rsid w:val="00015C2D"/>
    <w:rsid w:val="00015F00"/>
    <w:rsid w:val="00022C1D"/>
    <w:rsid w:val="00034987"/>
    <w:rsid w:val="0004368C"/>
    <w:rsid w:val="000602DF"/>
    <w:rsid w:val="00061B05"/>
    <w:rsid w:val="00062973"/>
    <w:rsid w:val="00062D5D"/>
    <w:rsid w:val="000632D5"/>
    <w:rsid w:val="000644EE"/>
    <w:rsid w:val="00070ADB"/>
    <w:rsid w:val="000925AD"/>
    <w:rsid w:val="000A24EB"/>
    <w:rsid w:val="000A31D1"/>
    <w:rsid w:val="000B6923"/>
    <w:rsid w:val="000C033C"/>
    <w:rsid w:val="000C4D3B"/>
    <w:rsid w:val="000C5F3C"/>
    <w:rsid w:val="000C6DCC"/>
    <w:rsid w:val="000D47AA"/>
    <w:rsid w:val="000D721F"/>
    <w:rsid w:val="000E069B"/>
    <w:rsid w:val="000E07D5"/>
    <w:rsid w:val="000E0E82"/>
    <w:rsid w:val="000E1DC5"/>
    <w:rsid w:val="000E223F"/>
    <w:rsid w:val="000E7D45"/>
    <w:rsid w:val="000F643B"/>
    <w:rsid w:val="000F7851"/>
    <w:rsid w:val="00102292"/>
    <w:rsid w:val="00104E23"/>
    <w:rsid w:val="00107FF7"/>
    <w:rsid w:val="00110553"/>
    <w:rsid w:val="00111B0C"/>
    <w:rsid w:val="00120D6C"/>
    <w:rsid w:val="001257EC"/>
    <w:rsid w:val="001309E9"/>
    <w:rsid w:val="00132C6A"/>
    <w:rsid w:val="00133D33"/>
    <w:rsid w:val="00134D64"/>
    <w:rsid w:val="00135A30"/>
    <w:rsid w:val="0013612C"/>
    <w:rsid w:val="00137FF6"/>
    <w:rsid w:val="00141650"/>
    <w:rsid w:val="001446CA"/>
    <w:rsid w:val="00144935"/>
    <w:rsid w:val="00146EAA"/>
    <w:rsid w:val="001553DE"/>
    <w:rsid w:val="00157B7E"/>
    <w:rsid w:val="001602A9"/>
    <w:rsid w:val="00160F39"/>
    <w:rsid w:val="00162A12"/>
    <w:rsid w:val="0016643C"/>
    <w:rsid w:val="00166530"/>
    <w:rsid w:val="0018273A"/>
    <w:rsid w:val="00182EA5"/>
    <w:rsid w:val="001832BD"/>
    <w:rsid w:val="0018697F"/>
    <w:rsid w:val="001943B5"/>
    <w:rsid w:val="00195134"/>
    <w:rsid w:val="001A145B"/>
    <w:rsid w:val="001A674C"/>
    <w:rsid w:val="001B3B24"/>
    <w:rsid w:val="001B7161"/>
    <w:rsid w:val="001C0F98"/>
    <w:rsid w:val="001C2A42"/>
    <w:rsid w:val="001C5D5B"/>
    <w:rsid w:val="001C7F9D"/>
    <w:rsid w:val="001D63ED"/>
    <w:rsid w:val="001D7348"/>
    <w:rsid w:val="001D77D9"/>
    <w:rsid w:val="001E035B"/>
    <w:rsid w:val="001E0961"/>
    <w:rsid w:val="001E3510"/>
    <w:rsid w:val="001E3EAE"/>
    <w:rsid w:val="001E4341"/>
    <w:rsid w:val="001E6F32"/>
    <w:rsid w:val="001F0402"/>
    <w:rsid w:val="001F2145"/>
    <w:rsid w:val="001F6262"/>
    <w:rsid w:val="001F67B0"/>
    <w:rsid w:val="001F6F1C"/>
    <w:rsid w:val="001F7B3D"/>
    <w:rsid w:val="00205F9F"/>
    <w:rsid w:val="00210338"/>
    <w:rsid w:val="002115FC"/>
    <w:rsid w:val="002133F8"/>
    <w:rsid w:val="0021423C"/>
    <w:rsid w:val="002257F0"/>
    <w:rsid w:val="00230D00"/>
    <w:rsid w:val="00231DF7"/>
    <w:rsid w:val="00231FD1"/>
    <w:rsid w:val="002339E0"/>
    <w:rsid w:val="00233CF8"/>
    <w:rsid w:val="002353D7"/>
    <w:rsid w:val="0023575D"/>
    <w:rsid w:val="00235A62"/>
    <w:rsid w:val="00237148"/>
    <w:rsid w:val="0024222D"/>
    <w:rsid w:val="0024340B"/>
    <w:rsid w:val="00244B0E"/>
    <w:rsid w:val="00244F6C"/>
    <w:rsid w:val="002517F9"/>
    <w:rsid w:val="00252EFA"/>
    <w:rsid w:val="002532C5"/>
    <w:rsid w:val="0025351F"/>
    <w:rsid w:val="00260C03"/>
    <w:rsid w:val="0026540E"/>
    <w:rsid w:val="00275123"/>
    <w:rsid w:val="00282240"/>
    <w:rsid w:val="00283DF5"/>
    <w:rsid w:val="00283F86"/>
    <w:rsid w:val="0028572A"/>
    <w:rsid w:val="00290F38"/>
    <w:rsid w:val="002948AD"/>
    <w:rsid w:val="00294C92"/>
    <w:rsid w:val="002A01CC"/>
    <w:rsid w:val="002A0A57"/>
    <w:rsid w:val="002A61B1"/>
    <w:rsid w:val="002A663C"/>
    <w:rsid w:val="002B2161"/>
    <w:rsid w:val="002B444B"/>
    <w:rsid w:val="002B5887"/>
    <w:rsid w:val="002C0692"/>
    <w:rsid w:val="002C0E27"/>
    <w:rsid w:val="002C3040"/>
    <w:rsid w:val="002D022D"/>
    <w:rsid w:val="002D24BB"/>
    <w:rsid w:val="002F0387"/>
    <w:rsid w:val="002F2AF7"/>
    <w:rsid w:val="002F6962"/>
    <w:rsid w:val="002F7E1C"/>
    <w:rsid w:val="002F7EE4"/>
    <w:rsid w:val="00301A75"/>
    <w:rsid w:val="00302959"/>
    <w:rsid w:val="00302F70"/>
    <w:rsid w:val="003032B9"/>
    <w:rsid w:val="0030336F"/>
    <w:rsid w:val="0030375E"/>
    <w:rsid w:val="0031084D"/>
    <w:rsid w:val="0031187F"/>
    <w:rsid w:val="00312A30"/>
    <w:rsid w:val="00313BE3"/>
    <w:rsid w:val="00316B88"/>
    <w:rsid w:val="00316FA0"/>
    <w:rsid w:val="00320F72"/>
    <w:rsid w:val="00323071"/>
    <w:rsid w:val="0032463E"/>
    <w:rsid w:val="00326224"/>
    <w:rsid w:val="00326DA1"/>
    <w:rsid w:val="00327CFC"/>
    <w:rsid w:val="00333090"/>
    <w:rsid w:val="00336C53"/>
    <w:rsid w:val="00337EE4"/>
    <w:rsid w:val="00340FFD"/>
    <w:rsid w:val="003506B1"/>
    <w:rsid w:val="00356AC7"/>
    <w:rsid w:val="003609FA"/>
    <w:rsid w:val="00367D8D"/>
    <w:rsid w:val="003710C8"/>
    <w:rsid w:val="003750BE"/>
    <w:rsid w:val="00376958"/>
    <w:rsid w:val="0037784B"/>
    <w:rsid w:val="0038700F"/>
    <w:rsid w:val="00387B9D"/>
    <w:rsid w:val="0039364F"/>
    <w:rsid w:val="00396686"/>
    <w:rsid w:val="0039778E"/>
    <w:rsid w:val="003B257A"/>
    <w:rsid w:val="003B4941"/>
    <w:rsid w:val="003B7DE4"/>
    <w:rsid w:val="003C219B"/>
    <w:rsid w:val="003C26A7"/>
    <w:rsid w:val="003C5714"/>
    <w:rsid w:val="003C6B9F"/>
    <w:rsid w:val="003C6E2A"/>
    <w:rsid w:val="003D0299"/>
    <w:rsid w:val="003D21BA"/>
    <w:rsid w:val="003E27EB"/>
    <w:rsid w:val="003E6D80"/>
    <w:rsid w:val="003F05FA"/>
    <w:rsid w:val="003F244A"/>
    <w:rsid w:val="003F30B8"/>
    <w:rsid w:val="003F4C45"/>
    <w:rsid w:val="003F5F7B"/>
    <w:rsid w:val="003F7D64"/>
    <w:rsid w:val="00414300"/>
    <w:rsid w:val="00414FB4"/>
    <w:rsid w:val="00420A42"/>
    <w:rsid w:val="00425C67"/>
    <w:rsid w:val="00427247"/>
    <w:rsid w:val="00427E7A"/>
    <w:rsid w:val="00436307"/>
    <w:rsid w:val="00436C49"/>
    <w:rsid w:val="00445366"/>
    <w:rsid w:val="00447F5B"/>
    <w:rsid w:val="00451255"/>
    <w:rsid w:val="00455D73"/>
    <w:rsid w:val="0045607E"/>
    <w:rsid w:val="00461DB0"/>
    <w:rsid w:val="00463926"/>
    <w:rsid w:val="004646E0"/>
    <w:rsid w:val="0046479A"/>
    <w:rsid w:val="00464C9A"/>
    <w:rsid w:val="00474F3D"/>
    <w:rsid w:val="00477E3A"/>
    <w:rsid w:val="00481ABC"/>
    <w:rsid w:val="00483E5F"/>
    <w:rsid w:val="00484824"/>
    <w:rsid w:val="00485FF9"/>
    <w:rsid w:val="004907F0"/>
    <w:rsid w:val="0049140B"/>
    <w:rsid w:val="004923A5"/>
    <w:rsid w:val="00496BFB"/>
    <w:rsid w:val="00497419"/>
    <w:rsid w:val="004A15C7"/>
    <w:rsid w:val="004B013B"/>
    <w:rsid w:val="004B112B"/>
    <w:rsid w:val="004B2FBB"/>
    <w:rsid w:val="004B3185"/>
    <w:rsid w:val="004C01E4"/>
    <w:rsid w:val="004C086C"/>
    <w:rsid w:val="004C1F56"/>
    <w:rsid w:val="004C27BC"/>
    <w:rsid w:val="004C299E"/>
    <w:rsid w:val="004C7126"/>
    <w:rsid w:val="004C75B1"/>
    <w:rsid w:val="004C781A"/>
    <w:rsid w:val="004D15F3"/>
    <w:rsid w:val="004D1E32"/>
    <w:rsid w:val="004D5311"/>
    <w:rsid w:val="004D5DCC"/>
    <w:rsid w:val="004E0501"/>
    <w:rsid w:val="004E05A7"/>
    <w:rsid w:val="004F10AF"/>
    <w:rsid w:val="004F11A4"/>
    <w:rsid w:val="004F2389"/>
    <w:rsid w:val="004F304D"/>
    <w:rsid w:val="004F61BE"/>
    <w:rsid w:val="004F66B1"/>
    <w:rsid w:val="005001AB"/>
    <w:rsid w:val="005009CA"/>
    <w:rsid w:val="005059D6"/>
    <w:rsid w:val="00511C07"/>
    <w:rsid w:val="00515740"/>
    <w:rsid w:val="005173A6"/>
    <w:rsid w:val="00520BAA"/>
    <w:rsid w:val="00521DB3"/>
    <w:rsid w:val="00525208"/>
    <w:rsid w:val="005257A5"/>
    <w:rsid w:val="005264C0"/>
    <w:rsid w:val="00526A8A"/>
    <w:rsid w:val="00530F7E"/>
    <w:rsid w:val="00531DF2"/>
    <w:rsid w:val="00533D9D"/>
    <w:rsid w:val="00534CB1"/>
    <w:rsid w:val="005442EE"/>
    <w:rsid w:val="00547353"/>
    <w:rsid w:val="005474E7"/>
    <w:rsid w:val="005512A3"/>
    <w:rsid w:val="00554DCD"/>
    <w:rsid w:val="0055599E"/>
    <w:rsid w:val="005578CE"/>
    <w:rsid w:val="00561334"/>
    <w:rsid w:val="00561C56"/>
    <w:rsid w:val="00562781"/>
    <w:rsid w:val="00563E83"/>
    <w:rsid w:val="00564950"/>
    <w:rsid w:val="0057271C"/>
    <w:rsid w:val="00572845"/>
    <w:rsid w:val="005924E7"/>
    <w:rsid w:val="00592772"/>
    <w:rsid w:val="0059574A"/>
    <w:rsid w:val="005A0DAA"/>
    <w:rsid w:val="005A0E2E"/>
    <w:rsid w:val="005A1B9B"/>
    <w:rsid w:val="005A6751"/>
    <w:rsid w:val="005A71B4"/>
    <w:rsid w:val="005B092E"/>
    <w:rsid w:val="005B152C"/>
    <w:rsid w:val="005B1EE0"/>
    <w:rsid w:val="005B2B24"/>
    <w:rsid w:val="005B4425"/>
    <w:rsid w:val="005B4B94"/>
    <w:rsid w:val="005B592F"/>
    <w:rsid w:val="005C3EE8"/>
    <w:rsid w:val="005D34F9"/>
    <w:rsid w:val="005D4190"/>
    <w:rsid w:val="005D598D"/>
    <w:rsid w:val="005D6393"/>
    <w:rsid w:val="005D67A3"/>
    <w:rsid w:val="005E2988"/>
    <w:rsid w:val="005E2A43"/>
    <w:rsid w:val="005E3085"/>
    <w:rsid w:val="005F3E08"/>
    <w:rsid w:val="005F51E1"/>
    <w:rsid w:val="005F7D33"/>
    <w:rsid w:val="0060033B"/>
    <w:rsid w:val="00602DFC"/>
    <w:rsid w:val="00611C80"/>
    <w:rsid w:val="00620692"/>
    <w:rsid w:val="006242CA"/>
    <w:rsid w:val="00627507"/>
    <w:rsid w:val="00633717"/>
    <w:rsid w:val="006344E1"/>
    <w:rsid w:val="00644F41"/>
    <w:rsid w:val="00651D02"/>
    <w:rsid w:val="006545C4"/>
    <w:rsid w:val="00660265"/>
    <w:rsid w:val="00661971"/>
    <w:rsid w:val="00661CE8"/>
    <w:rsid w:val="006623D9"/>
    <w:rsid w:val="006633BF"/>
    <w:rsid w:val="006640DA"/>
    <w:rsid w:val="0066550C"/>
    <w:rsid w:val="006706A5"/>
    <w:rsid w:val="006716F2"/>
    <w:rsid w:val="006720AC"/>
    <w:rsid w:val="00682BF2"/>
    <w:rsid w:val="00684140"/>
    <w:rsid w:val="006859CE"/>
    <w:rsid w:val="00691270"/>
    <w:rsid w:val="00694BA8"/>
    <w:rsid w:val="006A037C"/>
    <w:rsid w:val="006A36F4"/>
    <w:rsid w:val="006A406F"/>
    <w:rsid w:val="006A5D3A"/>
    <w:rsid w:val="006B2031"/>
    <w:rsid w:val="006C23D4"/>
    <w:rsid w:val="006C6CEC"/>
    <w:rsid w:val="006C7BB0"/>
    <w:rsid w:val="006D3237"/>
    <w:rsid w:val="006E2E37"/>
    <w:rsid w:val="006E3110"/>
    <w:rsid w:val="006E3CF1"/>
    <w:rsid w:val="006E4CFB"/>
    <w:rsid w:val="006E7E80"/>
    <w:rsid w:val="006F0F3C"/>
    <w:rsid w:val="006F1DF9"/>
    <w:rsid w:val="006F24DB"/>
    <w:rsid w:val="006F48CA"/>
    <w:rsid w:val="006F64DD"/>
    <w:rsid w:val="00711F71"/>
    <w:rsid w:val="00715127"/>
    <w:rsid w:val="00715E8E"/>
    <w:rsid w:val="00723580"/>
    <w:rsid w:val="00723755"/>
    <w:rsid w:val="0073136C"/>
    <w:rsid w:val="00731F0F"/>
    <w:rsid w:val="00733250"/>
    <w:rsid w:val="007334B4"/>
    <w:rsid w:val="00741404"/>
    <w:rsid w:val="007449E5"/>
    <w:rsid w:val="00746C5A"/>
    <w:rsid w:val="00747FF0"/>
    <w:rsid w:val="007527D2"/>
    <w:rsid w:val="00757BF7"/>
    <w:rsid w:val="00764D4E"/>
    <w:rsid w:val="007658AE"/>
    <w:rsid w:val="00765A1F"/>
    <w:rsid w:val="00770C9B"/>
    <w:rsid w:val="00775B6D"/>
    <w:rsid w:val="00776D68"/>
    <w:rsid w:val="007850EE"/>
    <w:rsid w:val="00785B95"/>
    <w:rsid w:val="00790E96"/>
    <w:rsid w:val="00793366"/>
    <w:rsid w:val="007966D9"/>
    <w:rsid w:val="0079681A"/>
    <w:rsid w:val="007A716F"/>
    <w:rsid w:val="007B0A15"/>
    <w:rsid w:val="007B270A"/>
    <w:rsid w:val="007B311C"/>
    <w:rsid w:val="007C0695"/>
    <w:rsid w:val="007C419A"/>
    <w:rsid w:val="007C4B06"/>
    <w:rsid w:val="007C4CC8"/>
    <w:rsid w:val="007C5426"/>
    <w:rsid w:val="007C5798"/>
    <w:rsid w:val="007C7675"/>
    <w:rsid w:val="007D1827"/>
    <w:rsid w:val="007D4832"/>
    <w:rsid w:val="007E21B2"/>
    <w:rsid w:val="007E2C4E"/>
    <w:rsid w:val="007E65C8"/>
    <w:rsid w:val="007E7D1B"/>
    <w:rsid w:val="007F0779"/>
    <w:rsid w:val="007F1905"/>
    <w:rsid w:val="007F6A83"/>
    <w:rsid w:val="00801300"/>
    <w:rsid w:val="00802C64"/>
    <w:rsid w:val="00803088"/>
    <w:rsid w:val="00805E52"/>
    <w:rsid w:val="008061D0"/>
    <w:rsid w:val="00810B17"/>
    <w:rsid w:val="00810B38"/>
    <w:rsid w:val="008204C7"/>
    <w:rsid w:val="00820992"/>
    <w:rsid w:val="00823602"/>
    <w:rsid w:val="008255F5"/>
    <w:rsid w:val="00825BAA"/>
    <w:rsid w:val="0083014E"/>
    <w:rsid w:val="0083214A"/>
    <w:rsid w:val="00834220"/>
    <w:rsid w:val="00835C22"/>
    <w:rsid w:val="00837C3B"/>
    <w:rsid w:val="008405D0"/>
    <w:rsid w:val="00842E72"/>
    <w:rsid w:val="00845723"/>
    <w:rsid w:val="00851EF9"/>
    <w:rsid w:val="00852377"/>
    <w:rsid w:val="00852FB5"/>
    <w:rsid w:val="0085569C"/>
    <w:rsid w:val="008577FD"/>
    <w:rsid w:val="00860B03"/>
    <w:rsid w:val="0086497A"/>
    <w:rsid w:val="008713A1"/>
    <w:rsid w:val="008718AA"/>
    <w:rsid w:val="008754AB"/>
    <w:rsid w:val="0088060C"/>
    <w:rsid w:val="00880779"/>
    <w:rsid w:val="00893576"/>
    <w:rsid w:val="00893E73"/>
    <w:rsid w:val="008A1BFD"/>
    <w:rsid w:val="008A43C4"/>
    <w:rsid w:val="008B02DC"/>
    <w:rsid w:val="008B57CE"/>
    <w:rsid w:val="008B659F"/>
    <w:rsid w:val="008C26DE"/>
    <w:rsid w:val="008C4450"/>
    <w:rsid w:val="008D1904"/>
    <w:rsid w:val="008D2225"/>
    <w:rsid w:val="008D40B9"/>
    <w:rsid w:val="008D4752"/>
    <w:rsid w:val="008E271C"/>
    <w:rsid w:val="008E39CC"/>
    <w:rsid w:val="008E418E"/>
    <w:rsid w:val="008E5BC6"/>
    <w:rsid w:val="008E6A25"/>
    <w:rsid w:val="008F5193"/>
    <w:rsid w:val="009013A7"/>
    <w:rsid w:val="009017FB"/>
    <w:rsid w:val="009017FC"/>
    <w:rsid w:val="00903B43"/>
    <w:rsid w:val="0090506B"/>
    <w:rsid w:val="009050C9"/>
    <w:rsid w:val="009066FC"/>
    <w:rsid w:val="00912F0B"/>
    <w:rsid w:val="009140A3"/>
    <w:rsid w:val="009144A2"/>
    <w:rsid w:val="0091510C"/>
    <w:rsid w:val="009204CC"/>
    <w:rsid w:val="009259AC"/>
    <w:rsid w:val="00926F38"/>
    <w:rsid w:val="00934301"/>
    <w:rsid w:val="00934B09"/>
    <w:rsid w:val="00936CD1"/>
    <w:rsid w:val="00941747"/>
    <w:rsid w:val="00941EFB"/>
    <w:rsid w:val="00947AFB"/>
    <w:rsid w:val="00951D7D"/>
    <w:rsid w:val="009630C7"/>
    <w:rsid w:val="00972B55"/>
    <w:rsid w:val="009743B7"/>
    <w:rsid w:val="00974690"/>
    <w:rsid w:val="0098185A"/>
    <w:rsid w:val="0098228B"/>
    <w:rsid w:val="009828DA"/>
    <w:rsid w:val="009856B3"/>
    <w:rsid w:val="00985BAB"/>
    <w:rsid w:val="00997F03"/>
    <w:rsid w:val="009A46DF"/>
    <w:rsid w:val="009B1B5F"/>
    <w:rsid w:val="009B2EC2"/>
    <w:rsid w:val="009B5FB8"/>
    <w:rsid w:val="009B6673"/>
    <w:rsid w:val="009C191B"/>
    <w:rsid w:val="009C2BD6"/>
    <w:rsid w:val="009D1AF9"/>
    <w:rsid w:val="009E1F32"/>
    <w:rsid w:val="009E5829"/>
    <w:rsid w:val="009E776C"/>
    <w:rsid w:val="009F0ED4"/>
    <w:rsid w:val="00A1726E"/>
    <w:rsid w:val="00A204CF"/>
    <w:rsid w:val="00A20C42"/>
    <w:rsid w:val="00A23D49"/>
    <w:rsid w:val="00A23D5D"/>
    <w:rsid w:val="00A27004"/>
    <w:rsid w:val="00A30C29"/>
    <w:rsid w:val="00A34DD6"/>
    <w:rsid w:val="00A36819"/>
    <w:rsid w:val="00A36989"/>
    <w:rsid w:val="00A43628"/>
    <w:rsid w:val="00A50A03"/>
    <w:rsid w:val="00A54192"/>
    <w:rsid w:val="00A60274"/>
    <w:rsid w:val="00A6035E"/>
    <w:rsid w:val="00A6144C"/>
    <w:rsid w:val="00A61F44"/>
    <w:rsid w:val="00A653E0"/>
    <w:rsid w:val="00A65FB9"/>
    <w:rsid w:val="00A66617"/>
    <w:rsid w:val="00A671F8"/>
    <w:rsid w:val="00A673A4"/>
    <w:rsid w:val="00A724AE"/>
    <w:rsid w:val="00A73329"/>
    <w:rsid w:val="00A7564C"/>
    <w:rsid w:val="00A812E6"/>
    <w:rsid w:val="00A82359"/>
    <w:rsid w:val="00A82F51"/>
    <w:rsid w:val="00A865D2"/>
    <w:rsid w:val="00A868A8"/>
    <w:rsid w:val="00A94C20"/>
    <w:rsid w:val="00A96ED6"/>
    <w:rsid w:val="00AA227F"/>
    <w:rsid w:val="00AA33AC"/>
    <w:rsid w:val="00AA3BC7"/>
    <w:rsid w:val="00AA3CDC"/>
    <w:rsid w:val="00AA754A"/>
    <w:rsid w:val="00AB099E"/>
    <w:rsid w:val="00AB1162"/>
    <w:rsid w:val="00AB4328"/>
    <w:rsid w:val="00AB5CC4"/>
    <w:rsid w:val="00AB5FA0"/>
    <w:rsid w:val="00AC0CA3"/>
    <w:rsid w:val="00AC4948"/>
    <w:rsid w:val="00AC68E0"/>
    <w:rsid w:val="00AE07F6"/>
    <w:rsid w:val="00AE0A2E"/>
    <w:rsid w:val="00AE354C"/>
    <w:rsid w:val="00AF4B07"/>
    <w:rsid w:val="00AF6186"/>
    <w:rsid w:val="00AF7A3A"/>
    <w:rsid w:val="00B137FE"/>
    <w:rsid w:val="00B155FA"/>
    <w:rsid w:val="00B1574B"/>
    <w:rsid w:val="00B160DB"/>
    <w:rsid w:val="00B20836"/>
    <w:rsid w:val="00B2276A"/>
    <w:rsid w:val="00B235BB"/>
    <w:rsid w:val="00B25736"/>
    <w:rsid w:val="00B266C9"/>
    <w:rsid w:val="00B27A44"/>
    <w:rsid w:val="00B30BBF"/>
    <w:rsid w:val="00B311FE"/>
    <w:rsid w:val="00B33C03"/>
    <w:rsid w:val="00B34936"/>
    <w:rsid w:val="00B44E56"/>
    <w:rsid w:val="00B46543"/>
    <w:rsid w:val="00B47D33"/>
    <w:rsid w:val="00B50F24"/>
    <w:rsid w:val="00B52BE0"/>
    <w:rsid w:val="00B52C10"/>
    <w:rsid w:val="00B54133"/>
    <w:rsid w:val="00B54DEC"/>
    <w:rsid w:val="00B57193"/>
    <w:rsid w:val="00B5746C"/>
    <w:rsid w:val="00B701ED"/>
    <w:rsid w:val="00B8086C"/>
    <w:rsid w:val="00B826EC"/>
    <w:rsid w:val="00B832AD"/>
    <w:rsid w:val="00B861B4"/>
    <w:rsid w:val="00B86DFE"/>
    <w:rsid w:val="00B87A83"/>
    <w:rsid w:val="00B90990"/>
    <w:rsid w:val="00B922FF"/>
    <w:rsid w:val="00B9281E"/>
    <w:rsid w:val="00B93925"/>
    <w:rsid w:val="00B95187"/>
    <w:rsid w:val="00BA2D55"/>
    <w:rsid w:val="00BA4FDB"/>
    <w:rsid w:val="00BA71B1"/>
    <w:rsid w:val="00BB05CB"/>
    <w:rsid w:val="00BB0637"/>
    <w:rsid w:val="00BB345F"/>
    <w:rsid w:val="00BB3AE7"/>
    <w:rsid w:val="00BB4D21"/>
    <w:rsid w:val="00BB5883"/>
    <w:rsid w:val="00BB68EA"/>
    <w:rsid w:val="00BC1C27"/>
    <w:rsid w:val="00BC58BF"/>
    <w:rsid w:val="00BC6BBF"/>
    <w:rsid w:val="00BD1572"/>
    <w:rsid w:val="00BD1A1A"/>
    <w:rsid w:val="00BD1A2D"/>
    <w:rsid w:val="00BE14E3"/>
    <w:rsid w:val="00BE3774"/>
    <w:rsid w:val="00BE41E5"/>
    <w:rsid w:val="00BF0BBB"/>
    <w:rsid w:val="00BF4109"/>
    <w:rsid w:val="00BF4CC3"/>
    <w:rsid w:val="00C054C7"/>
    <w:rsid w:val="00C057B5"/>
    <w:rsid w:val="00C22687"/>
    <w:rsid w:val="00C32E4D"/>
    <w:rsid w:val="00C33086"/>
    <w:rsid w:val="00C333A0"/>
    <w:rsid w:val="00C36A81"/>
    <w:rsid w:val="00C37BDA"/>
    <w:rsid w:val="00C41974"/>
    <w:rsid w:val="00C447AD"/>
    <w:rsid w:val="00C4707B"/>
    <w:rsid w:val="00C526B6"/>
    <w:rsid w:val="00C53F4A"/>
    <w:rsid w:val="00C54125"/>
    <w:rsid w:val="00C55B54"/>
    <w:rsid w:val="00C6098E"/>
    <w:rsid w:val="00C6152C"/>
    <w:rsid w:val="00C6163B"/>
    <w:rsid w:val="00C621C2"/>
    <w:rsid w:val="00C74810"/>
    <w:rsid w:val="00C80ABF"/>
    <w:rsid w:val="00C81908"/>
    <w:rsid w:val="00C90D68"/>
    <w:rsid w:val="00C939FE"/>
    <w:rsid w:val="00CA4BDA"/>
    <w:rsid w:val="00CB1B3D"/>
    <w:rsid w:val="00CB1F66"/>
    <w:rsid w:val="00CB2951"/>
    <w:rsid w:val="00CB29D9"/>
    <w:rsid w:val="00CB6387"/>
    <w:rsid w:val="00CB7CDB"/>
    <w:rsid w:val="00CD282B"/>
    <w:rsid w:val="00CD4C35"/>
    <w:rsid w:val="00CD7369"/>
    <w:rsid w:val="00CE0B0E"/>
    <w:rsid w:val="00CE3831"/>
    <w:rsid w:val="00CE64E3"/>
    <w:rsid w:val="00D00ABB"/>
    <w:rsid w:val="00D02EEC"/>
    <w:rsid w:val="00D03551"/>
    <w:rsid w:val="00D04ED4"/>
    <w:rsid w:val="00D06A63"/>
    <w:rsid w:val="00D07E0E"/>
    <w:rsid w:val="00D11478"/>
    <w:rsid w:val="00D15ED0"/>
    <w:rsid w:val="00D16770"/>
    <w:rsid w:val="00D20F6E"/>
    <w:rsid w:val="00D21B3E"/>
    <w:rsid w:val="00D21FED"/>
    <w:rsid w:val="00D24251"/>
    <w:rsid w:val="00D33D1A"/>
    <w:rsid w:val="00D343E2"/>
    <w:rsid w:val="00D349D3"/>
    <w:rsid w:val="00D34DC7"/>
    <w:rsid w:val="00D361A2"/>
    <w:rsid w:val="00D40ACE"/>
    <w:rsid w:val="00D44C2E"/>
    <w:rsid w:val="00D45414"/>
    <w:rsid w:val="00D53C0F"/>
    <w:rsid w:val="00D5436C"/>
    <w:rsid w:val="00D566BD"/>
    <w:rsid w:val="00D57A4D"/>
    <w:rsid w:val="00D60AA7"/>
    <w:rsid w:val="00D60D87"/>
    <w:rsid w:val="00D61483"/>
    <w:rsid w:val="00D6435F"/>
    <w:rsid w:val="00D74CAE"/>
    <w:rsid w:val="00D75E28"/>
    <w:rsid w:val="00D772C2"/>
    <w:rsid w:val="00D8008E"/>
    <w:rsid w:val="00D82C45"/>
    <w:rsid w:val="00D8345B"/>
    <w:rsid w:val="00D83642"/>
    <w:rsid w:val="00D908A8"/>
    <w:rsid w:val="00D977B6"/>
    <w:rsid w:val="00DA4A31"/>
    <w:rsid w:val="00DA7B04"/>
    <w:rsid w:val="00DB0C0B"/>
    <w:rsid w:val="00DB36C2"/>
    <w:rsid w:val="00DB63B8"/>
    <w:rsid w:val="00DB7196"/>
    <w:rsid w:val="00DC169B"/>
    <w:rsid w:val="00DC2AB9"/>
    <w:rsid w:val="00DC2CE2"/>
    <w:rsid w:val="00DC63F0"/>
    <w:rsid w:val="00DD063D"/>
    <w:rsid w:val="00DD10B9"/>
    <w:rsid w:val="00DD1B8F"/>
    <w:rsid w:val="00DD31CC"/>
    <w:rsid w:val="00DD6EE5"/>
    <w:rsid w:val="00DE05F3"/>
    <w:rsid w:val="00DE386C"/>
    <w:rsid w:val="00DE391F"/>
    <w:rsid w:val="00DE4D35"/>
    <w:rsid w:val="00DE7771"/>
    <w:rsid w:val="00DF0549"/>
    <w:rsid w:val="00DF098B"/>
    <w:rsid w:val="00DF11C4"/>
    <w:rsid w:val="00DF210C"/>
    <w:rsid w:val="00DF2200"/>
    <w:rsid w:val="00DF4B6A"/>
    <w:rsid w:val="00E024F2"/>
    <w:rsid w:val="00E02C09"/>
    <w:rsid w:val="00E04D59"/>
    <w:rsid w:val="00E07DA1"/>
    <w:rsid w:val="00E11D6F"/>
    <w:rsid w:val="00E123CB"/>
    <w:rsid w:val="00E1557C"/>
    <w:rsid w:val="00E20E13"/>
    <w:rsid w:val="00E21DBC"/>
    <w:rsid w:val="00E220F5"/>
    <w:rsid w:val="00E23874"/>
    <w:rsid w:val="00E275D7"/>
    <w:rsid w:val="00E27DBE"/>
    <w:rsid w:val="00E27E4E"/>
    <w:rsid w:val="00E32AB1"/>
    <w:rsid w:val="00E32C27"/>
    <w:rsid w:val="00E33331"/>
    <w:rsid w:val="00E36C71"/>
    <w:rsid w:val="00E40404"/>
    <w:rsid w:val="00E405BA"/>
    <w:rsid w:val="00E459C6"/>
    <w:rsid w:val="00E47589"/>
    <w:rsid w:val="00E63542"/>
    <w:rsid w:val="00E63A32"/>
    <w:rsid w:val="00E64915"/>
    <w:rsid w:val="00E661D4"/>
    <w:rsid w:val="00E663DC"/>
    <w:rsid w:val="00E70091"/>
    <w:rsid w:val="00E71EE1"/>
    <w:rsid w:val="00E720F5"/>
    <w:rsid w:val="00E76D47"/>
    <w:rsid w:val="00E849F7"/>
    <w:rsid w:val="00E84E5B"/>
    <w:rsid w:val="00E8532A"/>
    <w:rsid w:val="00E90302"/>
    <w:rsid w:val="00E92016"/>
    <w:rsid w:val="00E94B78"/>
    <w:rsid w:val="00E9597F"/>
    <w:rsid w:val="00E97396"/>
    <w:rsid w:val="00EA09AB"/>
    <w:rsid w:val="00EA185E"/>
    <w:rsid w:val="00EA592A"/>
    <w:rsid w:val="00EB14E4"/>
    <w:rsid w:val="00EB32A5"/>
    <w:rsid w:val="00EB34ED"/>
    <w:rsid w:val="00EB5393"/>
    <w:rsid w:val="00EB7BE0"/>
    <w:rsid w:val="00EC315E"/>
    <w:rsid w:val="00EC3498"/>
    <w:rsid w:val="00ED077C"/>
    <w:rsid w:val="00ED1190"/>
    <w:rsid w:val="00ED5285"/>
    <w:rsid w:val="00ED5EEE"/>
    <w:rsid w:val="00ED6544"/>
    <w:rsid w:val="00ED67CF"/>
    <w:rsid w:val="00EE0277"/>
    <w:rsid w:val="00EE1DA9"/>
    <w:rsid w:val="00EE3E00"/>
    <w:rsid w:val="00EE5DD2"/>
    <w:rsid w:val="00EF006B"/>
    <w:rsid w:val="00EF41F1"/>
    <w:rsid w:val="00EF4F08"/>
    <w:rsid w:val="00EF5175"/>
    <w:rsid w:val="00F0023C"/>
    <w:rsid w:val="00F00A79"/>
    <w:rsid w:val="00F00E86"/>
    <w:rsid w:val="00F0412F"/>
    <w:rsid w:val="00F076D0"/>
    <w:rsid w:val="00F07C1E"/>
    <w:rsid w:val="00F103A7"/>
    <w:rsid w:val="00F105DB"/>
    <w:rsid w:val="00F132BC"/>
    <w:rsid w:val="00F13D80"/>
    <w:rsid w:val="00F16AAA"/>
    <w:rsid w:val="00F21161"/>
    <w:rsid w:val="00F218EF"/>
    <w:rsid w:val="00F21BC7"/>
    <w:rsid w:val="00F252B7"/>
    <w:rsid w:val="00F266A2"/>
    <w:rsid w:val="00F27466"/>
    <w:rsid w:val="00F32269"/>
    <w:rsid w:val="00F35A8B"/>
    <w:rsid w:val="00F4058E"/>
    <w:rsid w:val="00F40F6E"/>
    <w:rsid w:val="00F4212B"/>
    <w:rsid w:val="00F43297"/>
    <w:rsid w:val="00F44343"/>
    <w:rsid w:val="00F44CE9"/>
    <w:rsid w:val="00F46050"/>
    <w:rsid w:val="00F56A6F"/>
    <w:rsid w:val="00F5709C"/>
    <w:rsid w:val="00F63CC7"/>
    <w:rsid w:val="00F63E58"/>
    <w:rsid w:val="00F64EF1"/>
    <w:rsid w:val="00F721FC"/>
    <w:rsid w:val="00F8765F"/>
    <w:rsid w:val="00F90767"/>
    <w:rsid w:val="00F942C9"/>
    <w:rsid w:val="00FA3B7C"/>
    <w:rsid w:val="00FA685B"/>
    <w:rsid w:val="00FB0C01"/>
    <w:rsid w:val="00FB3B41"/>
    <w:rsid w:val="00FB4F78"/>
    <w:rsid w:val="00FC18F2"/>
    <w:rsid w:val="00FC257F"/>
    <w:rsid w:val="00FC39E5"/>
    <w:rsid w:val="00FC3A78"/>
    <w:rsid w:val="00FC5FFE"/>
    <w:rsid w:val="00FC62B2"/>
    <w:rsid w:val="00FD1005"/>
    <w:rsid w:val="00FD3180"/>
    <w:rsid w:val="00FD4F89"/>
    <w:rsid w:val="00FD6286"/>
    <w:rsid w:val="00FD6C75"/>
    <w:rsid w:val="00FE1E21"/>
    <w:rsid w:val="00FE71B3"/>
    <w:rsid w:val="00FF121E"/>
    <w:rsid w:val="00FF42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57" w:unhideWhenUsed="1"/>
    <w:lsdException w:name="footer" w:semiHidden="1" w:uiPriority="57"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A96ED6"/>
    <w:pPr>
      <w:jc w:val="both"/>
    </w:pPr>
    <w:rPr>
      <w:rFonts w:eastAsiaTheme="minorEastAsia"/>
      <w:sz w:val="24"/>
    </w:rPr>
  </w:style>
  <w:style w:type="paragraph" w:styleId="Heading1">
    <w:name w:val="heading 1"/>
    <w:basedOn w:val="Normal"/>
    <w:next w:val="Normal"/>
    <w:link w:val="Heading1Char"/>
    <w:uiPriority w:val="99"/>
    <w:semiHidden/>
    <w:rsid w:val="00A96ED6"/>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9"/>
    <w:semiHidden/>
    <w:rsid w:val="00A96ED6"/>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9"/>
    <w:semiHidden/>
    <w:rsid w:val="00A96ED6"/>
    <w:pPr>
      <w:spacing w:before="200" w:line="271" w:lineRule="auto"/>
      <w:outlineLvl w:val="2"/>
    </w:pPr>
    <w:rPr>
      <w:rFonts w:asciiTheme="majorHAnsi" w:eastAsiaTheme="majorEastAsia" w:hAnsiTheme="majorHAnsi" w:cstheme="majorBidi"/>
      <w:b/>
      <w:bCs/>
      <w:color w:val="5F5F5F"/>
    </w:rPr>
  </w:style>
  <w:style w:type="paragraph" w:styleId="Heading4">
    <w:name w:val="heading 4"/>
    <w:basedOn w:val="Normal"/>
    <w:next w:val="Normal"/>
    <w:link w:val="Heading4Char"/>
    <w:uiPriority w:val="99"/>
    <w:semiHidden/>
    <w:rsid w:val="00A96ED6"/>
    <w:pPr>
      <w:spacing w:before="200"/>
      <w:outlineLvl w:val="3"/>
    </w:pPr>
    <w:rPr>
      <w:rFonts w:asciiTheme="majorHAnsi" w:eastAsiaTheme="majorEastAsia" w:hAnsiTheme="majorHAnsi" w:cstheme="majorBidi"/>
      <w:b/>
      <w:bCs/>
      <w:i/>
      <w:iCs/>
      <w:color w:val="777777"/>
    </w:rPr>
  </w:style>
  <w:style w:type="paragraph" w:styleId="Heading5">
    <w:name w:val="heading 5"/>
    <w:basedOn w:val="Normal"/>
    <w:next w:val="Normal"/>
    <w:link w:val="Heading5Char"/>
    <w:uiPriority w:val="99"/>
    <w:semiHidden/>
    <w:qFormat/>
    <w:rsid w:val="00A96ED6"/>
    <w:pPr>
      <w:spacing w:before="200"/>
      <w:outlineLvl w:val="4"/>
    </w:pPr>
    <w:rPr>
      <w:rFonts w:asciiTheme="majorHAnsi" w:eastAsiaTheme="majorEastAsia" w:hAnsiTheme="majorHAnsi" w:cstheme="majorBidi"/>
      <w:b/>
      <w:bCs/>
      <w:color w:val="808080"/>
      <w:sz w:val="22"/>
    </w:rPr>
  </w:style>
  <w:style w:type="paragraph" w:styleId="Heading6">
    <w:name w:val="heading 6"/>
    <w:basedOn w:val="Normal"/>
    <w:next w:val="Normal"/>
    <w:link w:val="Heading6Char"/>
    <w:uiPriority w:val="99"/>
    <w:semiHidden/>
    <w:rsid w:val="00A96ED6"/>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9"/>
    <w:semiHidden/>
    <w:qFormat/>
    <w:rsid w:val="00A96ED6"/>
    <w:pPr>
      <w:outlineLvl w:val="6"/>
    </w:pPr>
    <w:rPr>
      <w:rFonts w:asciiTheme="majorHAnsi" w:eastAsiaTheme="majorEastAsia" w:hAnsiTheme="majorHAnsi" w:cstheme="majorBidi"/>
      <w:i/>
      <w:iCs/>
      <w:sz w:val="22"/>
      <w:lang w:bidi="en-US"/>
    </w:rPr>
  </w:style>
  <w:style w:type="paragraph" w:styleId="Heading8">
    <w:name w:val="heading 8"/>
    <w:basedOn w:val="Normal"/>
    <w:next w:val="Normal"/>
    <w:link w:val="Heading8Char"/>
    <w:uiPriority w:val="99"/>
    <w:semiHidden/>
    <w:qFormat/>
    <w:rsid w:val="00A96ED6"/>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9"/>
    <w:semiHidden/>
    <w:qFormat/>
    <w:rsid w:val="00A96ED6"/>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A96ED6"/>
    <w:rPr>
      <w:rFonts w:ascii="Tahoma" w:hAnsi="Tahoma" w:cs="Tahoma"/>
      <w:sz w:val="16"/>
      <w:szCs w:val="16"/>
    </w:rPr>
  </w:style>
  <w:style w:type="character" w:customStyle="1" w:styleId="BalloonTextChar">
    <w:name w:val="Balloon Text Char"/>
    <w:basedOn w:val="DefaultParagraphFont"/>
    <w:link w:val="BalloonText"/>
    <w:uiPriority w:val="99"/>
    <w:semiHidden/>
    <w:rsid w:val="00A96ED6"/>
    <w:rPr>
      <w:rFonts w:ascii="Tahoma" w:eastAsiaTheme="minorEastAsia" w:hAnsi="Tahoma" w:cs="Tahoma"/>
      <w:sz w:val="16"/>
      <w:szCs w:val="16"/>
    </w:rPr>
  </w:style>
  <w:style w:type="character" w:styleId="BookTitle">
    <w:name w:val="Book Title"/>
    <w:uiPriority w:val="99"/>
    <w:semiHidden/>
    <w:qFormat/>
    <w:rsid w:val="00A96ED6"/>
    <w:rPr>
      <w:i/>
      <w:iCs/>
      <w:smallCaps/>
      <w:spacing w:val="5"/>
    </w:rPr>
  </w:style>
  <w:style w:type="paragraph" w:customStyle="1" w:styleId="ECHRHeader">
    <w:name w:val="ECHR_Header"/>
    <w:aliases w:val="Ju_Header"/>
    <w:basedOn w:val="Header"/>
    <w:uiPriority w:val="4"/>
    <w:qFormat/>
    <w:rsid w:val="00A96ED6"/>
    <w:pPr>
      <w:tabs>
        <w:tab w:val="clear" w:pos="4536"/>
        <w:tab w:val="clear" w:pos="9072"/>
        <w:tab w:val="center" w:pos="3686"/>
        <w:tab w:val="right" w:pos="7371"/>
      </w:tabs>
      <w:jc w:val="left"/>
    </w:pPr>
    <w:rPr>
      <w:sz w:val="18"/>
    </w:rPr>
  </w:style>
  <w:style w:type="paragraph" w:customStyle="1" w:styleId="ECHRFooter">
    <w:name w:val="ECHR_Footer"/>
    <w:aliases w:val="Footer_ECHR"/>
    <w:basedOn w:val="Footer"/>
    <w:uiPriority w:val="57"/>
    <w:semiHidden/>
    <w:rsid w:val="00A96ED6"/>
    <w:pPr>
      <w:jc w:val="left"/>
    </w:pPr>
    <w:rPr>
      <w:sz w:val="8"/>
    </w:rPr>
  </w:style>
  <w:style w:type="character" w:styleId="Strong">
    <w:name w:val="Strong"/>
    <w:uiPriority w:val="99"/>
    <w:semiHidden/>
    <w:qFormat/>
    <w:rsid w:val="00A96ED6"/>
    <w:rPr>
      <w:b/>
      <w:bCs/>
    </w:rPr>
  </w:style>
  <w:style w:type="paragraph" w:styleId="NoSpacing">
    <w:name w:val="No Spacing"/>
    <w:basedOn w:val="Normal"/>
    <w:link w:val="NoSpacingChar"/>
    <w:semiHidden/>
    <w:qFormat/>
    <w:rsid w:val="00A96ED6"/>
    <w:rPr>
      <w:sz w:val="22"/>
    </w:rPr>
  </w:style>
  <w:style w:type="character" w:customStyle="1" w:styleId="NoSpacingChar">
    <w:name w:val="No Spacing Char"/>
    <w:basedOn w:val="DefaultParagraphFont"/>
    <w:link w:val="NoSpacing"/>
    <w:semiHidden/>
    <w:rsid w:val="00A96ED6"/>
    <w:rPr>
      <w:rFonts w:eastAsiaTheme="minorEastAsia"/>
    </w:rPr>
  </w:style>
  <w:style w:type="paragraph" w:customStyle="1" w:styleId="ECHRFooterLine">
    <w:name w:val="ECHR_Footer_Line"/>
    <w:aliases w:val="Footer_Line"/>
    <w:basedOn w:val="Normal"/>
    <w:next w:val="ECHRFooter"/>
    <w:uiPriority w:val="57"/>
    <w:semiHidden/>
    <w:rsid w:val="00A96ED6"/>
    <w:pPr>
      <w:pBdr>
        <w:top w:val="single" w:sz="6" w:space="1" w:color="5F5F5F"/>
      </w:pBdr>
      <w:tabs>
        <w:tab w:val="center" w:pos="4536"/>
        <w:tab w:val="right" w:pos="9696"/>
      </w:tabs>
      <w:ind w:left="-680" w:right="-680"/>
      <w:jc w:val="left"/>
    </w:pPr>
    <w:rPr>
      <w:color w:val="5F5F5F"/>
    </w:rPr>
  </w:style>
  <w:style w:type="paragraph" w:customStyle="1" w:styleId="JuAppQuestion">
    <w:name w:val="Ju_App_Question"/>
    <w:basedOn w:val="Normal"/>
    <w:uiPriority w:val="5"/>
    <w:rsid w:val="00A96ED6"/>
    <w:pPr>
      <w:numPr>
        <w:numId w:val="14"/>
      </w:numPr>
      <w:jc w:val="left"/>
    </w:pPr>
    <w:rPr>
      <w:b/>
    </w:rPr>
  </w:style>
  <w:style w:type="paragraph" w:customStyle="1" w:styleId="OpiPara">
    <w:name w:val="Opi_Para"/>
    <w:basedOn w:val="ECHRPara"/>
    <w:uiPriority w:val="46"/>
    <w:qFormat/>
    <w:rsid w:val="00A96ED6"/>
  </w:style>
  <w:style w:type="paragraph" w:customStyle="1" w:styleId="JuParaSub">
    <w:name w:val="Ju_Para_Sub"/>
    <w:basedOn w:val="ECHRPara"/>
    <w:uiPriority w:val="13"/>
    <w:qFormat/>
    <w:rsid w:val="00A96ED6"/>
    <w:pPr>
      <w:ind w:left="284"/>
    </w:pPr>
  </w:style>
  <w:style w:type="paragraph" w:customStyle="1" w:styleId="ECHRTitleCentre3">
    <w:name w:val="ECHR_Title_Centre_3"/>
    <w:aliases w:val="Ju_H_Article"/>
    <w:basedOn w:val="Normal"/>
    <w:next w:val="ECHRParaQuote"/>
    <w:uiPriority w:val="27"/>
    <w:qFormat/>
    <w:rsid w:val="00A96ED6"/>
    <w:pPr>
      <w:keepNext/>
      <w:keepLines/>
      <w:spacing w:before="240" w:after="120"/>
      <w:jc w:val="center"/>
      <w:outlineLvl w:val="3"/>
    </w:pPr>
    <w:rPr>
      <w:rFonts w:asciiTheme="majorHAnsi" w:hAnsiTheme="majorHAnsi"/>
      <w:b/>
      <w:sz w:val="20"/>
      <w:lang w:bidi="en-US"/>
    </w:rPr>
  </w:style>
  <w:style w:type="paragraph" w:customStyle="1" w:styleId="ECHRTitleCentre1">
    <w:name w:val="ECHR_Title_Centre_1"/>
    <w:aliases w:val="Opi_H_Head"/>
    <w:basedOn w:val="Normal"/>
    <w:next w:val="OpiPara"/>
    <w:uiPriority w:val="39"/>
    <w:qFormat/>
    <w:rsid w:val="00A96ED6"/>
    <w:pPr>
      <w:keepNext/>
      <w:keepLines/>
      <w:spacing w:after="240"/>
      <w:jc w:val="center"/>
      <w:outlineLvl w:val="0"/>
    </w:pPr>
    <w:rPr>
      <w:rFonts w:asciiTheme="majorHAnsi" w:hAnsiTheme="majorHAnsi"/>
      <w:sz w:val="28"/>
    </w:rPr>
  </w:style>
  <w:style w:type="paragraph" w:customStyle="1" w:styleId="OpiParaSub">
    <w:name w:val="Opi_Para_Sub"/>
    <w:basedOn w:val="JuParaSub"/>
    <w:uiPriority w:val="47"/>
    <w:qFormat/>
    <w:rsid w:val="00A96ED6"/>
  </w:style>
  <w:style w:type="paragraph" w:customStyle="1" w:styleId="OpiQuot">
    <w:name w:val="Opi_Quot"/>
    <w:basedOn w:val="ECHRParaQuote"/>
    <w:uiPriority w:val="48"/>
    <w:qFormat/>
    <w:rsid w:val="00A96ED6"/>
  </w:style>
  <w:style w:type="paragraph" w:customStyle="1" w:styleId="OpiQuotSub">
    <w:name w:val="Opi_Quot_Sub"/>
    <w:basedOn w:val="JuQuotSub"/>
    <w:uiPriority w:val="49"/>
    <w:qFormat/>
    <w:rsid w:val="00A96ED6"/>
  </w:style>
  <w:style w:type="paragraph" w:customStyle="1" w:styleId="ECHRTitleCentre2">
    <w:name w:val="ECHR_Title_Centre_2"/>
    <w:aliases w:val="Dec_H_Case"/>
    <w:basedOn w:val="Normal"/>
    <w:next w:val="ECHRPara"/>
    <w:uiPriority w:val="8"/>
    <w:rsid w:val="00A96ED6"/>
    <w:pPr>
      <w:spacing w:after="240"/>
      <w:jc w:val="center"/>
      <w:outlineLvl w:val="0"/>
    </w:pPr>
    <w:rPr>
      <w:rFonts w:asciiTheme="majorHAnsi" w:hAnsiTheme="majorHAnsi"/>
    </w:rPr>
  </w:style>
  <w:style w:type="paragraph" w:customStyle="1" w:styleId="JuTitle">
    <w:name w:val="Ju_Title"/>
    <w:basedOn w:val="Normal"/>
    <w:next w:val="ECHRPara"/>
    <w:uiPriority w:val="3"/>
    <w:rsid w:val="00A96ED6"/>
    <w:pPr>
      <w:spacing w:before="720" w:after="240"/>
      <w:jc w:val="center"/>
      <w:outlineLvl w:val="0"/>
    </w:pPr>
    <w:rPr>
      <w:rFonts w:asciiTheme="majorHAnsi" w:hAnsiTheme="majorHAnsi"/>
      <w:b/>
      <w:caps/>
    </w:rPr>
  </w:style>
  <w:style w:type="paragraph" w:styleId="Title">
    <w:name w:val="Title"/>
    <w:basedOn w:val="Normal"/>
    <w:next w:val="Normal"/>
    <w:link w:val="TitleChar"/>
    <w:uiPriority w:val="99"/>
    <w:semiHidden/>
    <w:qFormat/>
    <w:rsid w:val="00A96ED6"/>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9"/>
    <w:semiHidden/>
    <w:rsid w:val="00A96ED6"/>
    <w:rPr>
      <w:rFonts w:asciiTheme="majorHAnsi" w:eastAsiaTheme="majorEastAsia" w:hAnsiTheme="majorHAnsi" w:cstheme="majorBidi"/>
      <w:spacing w:val="5"/>
      <w:sz w:val="52"/>
      <w:szCs w:val="52"/>
      <w:lang w:bidi="en-US"/>
    </w:rPr>
  </w:style>
  <w:style w:type="paragraph" w:customStyle="1" w:styleId="ECHRHeading3">
    <w:name w:val="ECHR_Heading_3"/>
    <w:aliases w:val="Ju_H_1."/>
    <w:basedOn w:val="Heading3"/>
    <w:next w:val="ECHRPara"/>
    <w:uiPriority w:val="21"/>
    <w:qFormat/>
    <w:rsid w:val="00A96ED6"/>
    <w:pPr>
      <w:keepNext/>
      <w:keepLines/>
      <w:tabs>
        <w:tab w:val="left" w:pos="731"/>
      </w:tabs>
      <w:spacing w:before="240" w:after="120" w:line="240" w:lineRule="auto"/>
      <w:ind w:left="732" w:hanging="301"/>
    </w:pPr>
    <w:rPr>
      <w:b w:val="0"/>
      <w:i/>
      <w:color w:val="auto"/>
    </w:rPr>
  </w:style>
  <w:style w:type="paragraph" w:customStyle="1" w:styleId="ECHRHeading4">
    <w:name w:val="ECHR_Heading_4"/>
    <w:aliases w:val="Ju_H_a"/>
    <w:basedOn w:val="Heading4"/>
    <w:next w:val="ECHRPara"/>
    <w:uiPriority w:val="22"/>
    <w:qFormat/>
    <w:rsid w:val="00A96ED6"/>
    <w:pPr>
      <w:keepNext/>
      <w:keepLines/>
      <w:tabs>
        <w:tab w:val="left" w:pos="975"/>
      </w:tabs>
      <w:spacing w:before="240" w:after="120"/>
      <w:ind w:left="975" w:hanging="340"/>
    </w:pPr>
    <w:rPr>
      <w:i w:val="0"/>
      <w:color w:val="auto"/>
      <w:sz w:val="20"/>
    </w:rPr>
  </w:style>
  <w:style w:type="paragraph" w:customStyle="1" w:styleId="ECHRHeading5">
    <w:name w:val="ECHR_Heading_5"/>
    <w:aliases w:val="Ju_H_i"/>
    <w:basedOn w:val="Heading5"/>
    <w:next w:val="ECHRPara"/>
    <w:uiPriority w:val="23"/>
    <w:qFormat/>
    <w:rsid w:val="00A96ED6"/>
    <w:pPr>
      <w:keepNext/>
      <w:keepLines/>
      <w:tabs>
        <w:tab w:val="left" w:pos="1191"/>
      </w:tabs>
      <w:spacing w:before="240" w:after="120"/>
      <w:ind w:left="1190" w:hanging="357"/>
    </w:pPr>
    <w:rPr>
      <w:b w:val="0"/>
      <w:i/>
      <w:color w:val="auto"/>
      <w:sz w:val="20"/>
    </w:rPr>
  </w:style>
  <w:style w:type="paragraph" w:customStyle="1" w:styleId="ECHRHeading6">
    <w:name w:val="ECHR_Heading_6"/>
    <w:aliases w:val="Ju_H_alpha"/>
    <w:basedOn w:val="Heading6"/>
    <w:next w:val="ECHRPara"/>
    <w:uiPriority w:val="24"/>
    <w:qFormat/>
    <w:rsid w:val="00A96ED6"/>
    <w:pPr>
      <w:keepNext/>
      <w:keepLines/>
      <w:tabs>
        <w:tab w:val="left" w:pos="1372"/>
      </w:tabs>
      <w:spacing w:before="240" w:after="120" w:line="240" w:lineRule="auto"/>
      <w:ind w:left="1373" w:hanging="335"/>
    </w:pPr>
    <w:rPr>
      <w:b w:val="0"/>
      <w:color w:val="auto"/>
      <w:sz w:val="20"/>
    </w:rPr>
  </w:style>
  <w:style w:type="paragraph" w:customStyle="1" w:styleId="ECHRHeading7">
    <w:name w:val="ECHR_Heading_7"/>
    <w:aliases w:val="Ju_H_–"/>
    <w:basedOn w:val="Heading7"/>
    <w:next w:val="ECHRPara"/>
    <w:uiPriority w:val="25"/>
    <w:qFormat/>
    <w:rsid w:val="00A96ED6"/>
    <w:pPr>
      <w:keepNext/>
      <w:keepLines/>
      <w:spacing w:before="240" w:after="120"/>
      <w:ind w:left="1236"/>
    </w:pPr>
    <w:rPr>
      <w:sz w:val="20"/>
    </w:rPr>
  </w:style>
  <w:style w:type="paragraph" w:customStyle="1" w:styleId="JuQuotSub">
    <w:name w:val="Ju_Quot_Sub"/>
    <w:basedOn w:val="ECHRParaQuote"/>
    <w:uiPriority w:val="15"/>
    <w:qFormat/>
    <w:rsid w:val="00A96ED6"/>
    <w:pPr>
      <w:ind w:left="567"/>
    </w:pPr>
  </w:style>
  <w:style w:type="paragraph" w:customStyle="1" w:styleId="JuInitialled">
    <w:name w:val="Ju_Initialled"/>
    <w:basedOn w:val="Normal"/>
    <w:uiPriority w:val="31"/>
    <w:qFormat/>
    <w:rsid w:val="00A96ED6"/>
    <w:pPr>
      <w:tabs>
        <w:tab w:val="center" w:pos="6407"/>
      </w:tabs>
      <w:spacing w:before="720"/>
      <w:jc w:val="right"/>
    </w:pPr>
  </w:style>
  <w:style w:type="paragraph" w:customStyle="1" w:styleId="OpiHA">
    <w:name w:val="Opi_H_A"/>
    <w:basedOn w:val="ECHRHeading1"/>
    <w:next w:val="OpiPara"/>
    <w:uiPriority w:val="41"/>
    <w:qFormat/>
    <w:rsid w:val="00A96ED6"/>
    <w:pPr>
      <w:tabs>
        <w:tab w:val="clear" w:pos="357"/>
      </w:tabs>
      <w:outlineLvl w:val="1"/>
    </w:pPr>
    <w:rPr>
      <w:b/>
    </w:rPr>
  </w:style>
  <w:style w:type="paragraph" w:styleId="Header">
    <w:name w:val="header"/>
    <w:basedOn w:val="Normal"/>
    <w:link w:val="HeaderChar"/>
    <w:uiPriority w:val="57"/>
    <w:semiHidden/>
    <w:rsid w:val="00A96ED6"/>
    <w:pPr>
      <w:tabs>
        <w:tab w:val="center" w:pos="4536"/>
        <w:tab w:val="right" w:pos="9072"/>
      </w:tabs>
    </w:pPr>
    <w:rPr>
      <w:rFonts w:eastAsiaTheme="minorHAnsi"/>
    </w:rPr>
  </w:style>
  <w:style w:type="character" w:customStyle="1" w:styleId="HeaderChar">
    <w:name w:val="Header Char"/>
    <w:basedOn w:val="DefaultParagraphFont"/>
    <w:link w:val="Header"/>
    <w:uiPriority w:val="57"/>
    <w:semiHidden/>
    <w:rsid w:val="00A96ED6"/>
    <w:rPr>
      <w:sz w:val="24"/>
    </w:rPr>
  </w:style>
  <w:style w:type="character" w:customStyle="1" w:styleId="Heading1Char">
    <w:name w:val="Heading 1 Char"/>
    <w:basedOn w:val="DefaultParagraphFont"/>
    <w:link w:val="Heading1"/>
    <w:uiPriority w:val="99"/>
    <w:semiHidden/>
    <w:rsid w:val="00A96ED6"/>
    <w:rPr>
      <w:rFonts w:asciiTheme="majorHAnsi" w:eastAsiaTheme="majorEastAsia" w:hAnsiTheme="majorHAnsi" w:cstheme="majorBidi"/>
      <w:b/>
      <w:bCs/>
      <w:color w:val="333333"/>
      <w:sz w:val="28"/>
      <w:szCs w:val="28"/>
    </w:rPr>
  </w:style>
  <w:style w:type="paragraph" w:customStyle="1" w:styleId="ECHRHeading1">
    <w:name w:val="ECHR_Heading_1"/>
    <w:aliases w:val="Ju_H_I_Roman"/>
    <w:basedOn w:val="Heading1"/>
    <w:next w:val="ECHRPara"/>
    <w:uiPriority w:val="19"/>
    <w:qFormat/>
    <w:rsid w:val="00A96ED6"/>
    <w:pPr>
      <w:keepNext/>
      <w:keepLines/>
      <w:tabs>
        <w:tab w:val="left" w:pos="357"/>
      </w:tabs>
      <w:spacing w:before="360" w:after="240"/>
      <w:ind w:left="357" w:hanging="357"/>
      <w:contextualSpacing w:val="0"/>
    </w:pPr>
    <w:rPr>
      <w:b w:val="0"/>
      <w:color w:val="auto"/>
      <w:sz w:val="24"/>
    </w:rPr>
  </w:style>
  <w:style w:type="paragraph" w:customStyle="1" w:styleId="ECHRHeading2">
    <w:name w:val="ECHR_Heading_2"/>
    <w:aliases w:val="Ju_H_A,Head_2"/>
    <w:basedOn w:val="Heading2"/>
    <w:next w:val="ECHRPara"/>
    <w:uiPriority w:val="20"/>
    <w:qFormat/>
    <w:rsid w:val="00A96ED6"/>
    <w:pPr>
      <w:keepNext/>
      <w:keepLines/>
      <w:tabs>
        <w:tab w:val="left" w:pos="584"/>
      </w:tabs>
      <w:spacing w:before="360" w:after="240"/>
      <w:ind w:left="584" w:hanging="352"/>
    </w:pPr>
    <w:rPr>
      <w:color w:val="auto"/>
      <w:sz w:val="24"/>
    </w:rPr>
  </w:style>
  <w:style w:type="character" w:customStyle="1" w:styleId="Heading2Char">
    <w:name w:val="Heading 2 Char"/>
    <w:basedOn w:val="DefaultParagraphFont"/>
    <w:link w:val="Heading2"/>
    <w:uiPriority w:val="99"/>
    <w:semiHidden/>
    <w:rsid w:val="00A96ED6"/>
    <w:rPr>
      <w:rFonts w:asciiTheme="majorHAnsi" w:eastAsiaTheme="majorEastAsia" w:hAnsiTheme="majorHAnsi" w:cstheme="majorBidi"/>
      <w:b/>
      <w:bCs/>
      <w:color w:val="4D4D4D"/>
      <w:sz w:val="26"/>
      <w:szCs w:val="26"/>
    </w:rPr>
  </w:style>
  <w:style w:type="character" w:customStyle="1" w:styleId="JUNAMES">
    <w:name w:val="JU_NAMES"/>
    <w:uiPriority w:val="17"/>
    <w:qFormat/>
    <w:rsid w:val="00A96ED6"/>
    <w:rPr>
      <w:caps w:val="0"/>
      <w:smallCaps/>
    </w:rPr>
  </w:style>
  <w:style w:type="paragraph" w:customStyle="1" w:styleId="JuCase">
    <w:name w:val="Ju_Case"/>
    <w:basedOn w:val="Normal"/>
    <w:next w:val="ECHRPara"/>
    <w:uiPriority w:val="10"/>
    <w:rsid w:val="00A96ED6"/>
    <w:pPr>
      <w:ind w:firstLine="284"/>
    </w:pPr>
    <w:rPr>
      <w:b/>
    </w:rPr>
  </w:style>
  <w:style w:type="character" w:customStyle="1" w:styleId="Heading3Char">
    <w:name w:val="Heading 3 Char"/>
    <w:basedOn w:val="DefaultParagraphFont"/>
    <w:link w:val="Heading3"/>
    <w:uiPriority w:val="99"/>
    <w:semiHidden/>
    <w:rsid w:val="00A96ED6"/>
    <w:rPr>
      <w:rFonts w:asciiTheme="majorHAnsi" w:eastAsiaTheme="majorEastAsia" w:hAnsiTheme="majorHAnsi" w:cstheme="majorBidi"/>
      <w:b/>
      <w:bCs/>
      <w:color w:val="5F5F5F"/>
      <w:sz w:val="24"/>
    </w:rPr>
  </w:style>
  <w:style w:type="character" w:customStyle="1" w:styleId="Heading4Char">
    <w:name w:val="Heading 4 Char"/>
    <w:basedOn w:val="DefaultParagraphFont"/>
    <w:link w:val="Heading4"/>
    <w:uiPriority w:val="99"/>
    <w:semiHidden/>
    <w:rsid w:val="00A96ED6"/>
    <w:rPr>
      <w:rFonts w:asciiTheme="majorHAnsi" w:eastAsiaTheme="majorEastAsia" w:hAnsiTheme="majorHAnsi" w:cstheme="majorBidi"/>
      <w:b/>
      <w:bCs/>
      <w:i/>
      <w:iCs/>
      <w:color w:val="777777"/>
      <w:sz w:val="24"/>
    </w:rPr>
  </w:style>
  <w:style w:type="character" w:customStyle="1" w:styleId="Heading5Char">
    <w:name w:val="Heading 5 Char"/>
    <w:basedOn w:val="DefaultParagraphFont"/>
    <w:link w:val="Heading5"/>
    <w:uiPriority w:val="99"/>
    <w:semiHidden/>
    <w:rsid w:val="00A96ED6"/>
    <w:rPr>
      <w:rFonts w:asciiTheme="majorHAnsi" w:eastAsiaTheme="majorEastAsia" w:hAnsiTheme="majorHAnsi" w:cstheme="majorBidi"/>
      <w:b/>
      <w:bCs/>
      <w:color w:val="808080"/>
    </w:rPr>
  </w:style>
  <w:style w:type="character" w:styleId="SubtleEmphasis">
    <w:name w:val="Subtle Emphasis"/>
    <w:uiPriority w:val="99"/>
    <w:semiHidden/>
    <w:qFormat/>
    <w:rsid w:val="00A96ED6"/>
    <w:rPr>
      <w:i/>
      <w:iCs/>
    </w:rPr>
  </w:style>
  <w:style w:type="table" w:customStyle="1" w:styleId="ECHRTable">
    <w:name w:val="ECHR_Table"/>
    <w:basedOn w:val="TableNormal"/>
    <w:rsid w:val="00860B03"/>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4C086C"/>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paragraph" w:customStyle="1" w:styleId="ECHRTitle1">
    <w:name w:val="ECHR_Title_1"/>
    <w:aliases w:val="Ju_H_Head"/>
    <w:basedOn w:val="Normal"/>
    <w:next w:val="ECHRPara"/>
    <w:uiPriority w:val="18"/>
    <w:qFormat/>
    <w:rsid w:val="00A96ED6"/>
    <w:pPr>
      <w:keepNext/>
      <w:keepLines/>
      <w:spacing w:before="720" w:after="240"/>
      <w:outlineLvl w:val="0"/>
    </w:pPr>
    <w:rPr>
      <w:rFonts w:asciiTheme="majorHAnsi" w:hAnsiTheme="majorHAnsi"/>
      <w:sz w:val="28"/>
    </w:rPr>
  </w:style>
  <w:style w:type="character" w:styleId="Emphasis">
    <w:name w:val="Emphasis"/>
    <w:uiPriority w:val="99"/>
    <w:semiHidden/>
    <w:qFormat/>
    <w:rsid w:val="00A96ED6"/>
    <w:rPr>
      <w:b/>
      <w:bCs/>
      <w:i/>
      <w:iCs/>
      <w:spacing w:val="10"/>
      <w:bdr w:val="none" w:sz="0" w:space="0" w:color="auto"/>
      <w:shd w:val="clear" w:color="auto" w:fill="auto"/>
    </w:rPr>
  </w:style>
  <w:style w:type="paragraph" w:styleId="Footer">
    <w:name w:val="footer"/>
    <w:basedOn w:val="Normal"/>
    <w:link w:val="FooterChar"/>
    <w:uiPriority w:val="57"/>
    <w:semiHidden/>
    <w:rsid w:val="00A96ED6"/>
    <w:pPr>
      <w:tabs>
        <w:tab w:val="center" w:pos="4536"/>
        <w:tab w:val="right" w:pos="9696"/>
      </w:tabs>
      <w:ind w:left="-680" w:right="-680"/>
    </w:pPr>
    <w:rPr>
      <w:rFonts w:eastAsiaTheme="minorHAnsi"/>
    </w:rPr>
  </w:style>
  <w:style w:type="character" w:customStyle="1" w:styleId="FooterChar">
    <w:name w:val="Footer Char"/>
    <w:basedOn w:val="DefaultParagraphFont"/>
    <w:link w:val="Footer"/>
    <w:uiPriority w:val="57"/>
    <w:semiHidden/>
    <w:rsid w:val="00A96ED6"/>
    <w:rPr>
      <w:sz w:val="24"/>
    </w:rPr>
  </w:style>
  <w:style w:type="character" w:styleId="FootnoteReference">
    <w:name w:val="footnote reference"/>
    <w:basedOn w:val="DefaultParagraphFont"/>
    <w:uiPriority w:val="99"/>
    <w:semiHidden/>
    <w:rsid w:val="00A96ED6"/>
    <w:rPr>
      <w:vertAlign w:val="superscript"/>
    </w:rPr>
  </w:style>
  <w:style w:type="paragraph" w:styleId="FootnoteText">
    <w:name w:val="footnote text"/>
    <w:basedOn w:val="Normal"/>
    <w:link w:val="FootnoteTextChar"/>
    <w:uiPriority w:val="99"/>
    <w:semiHidden/>
    <w:rsid w:val="00A96ED6"/>
    <w:rPr>
      <w:sz w:val="20"/>
      <w:szCs w:val="20"/>
    </w:rPr>
  </w:style>
  <w:style w:type="character" w:customStyle="1" w:styleId="FootnoteTextChar">
    <w:name w:val="Footnote Text Char"/>
    <w:basedOn w:val="DefaultParagraphFont"/>
    <w:link w:val="FootnoteText"/>
    <w:uiPriority w:val="99"/>
    <w:semiHidden/>
    <w:rsid w:val="00A96ED6"/>
    <w:rPr>
      <w:rFonts w:eastAsiaTheme="minorEastAsia"/>
      <w:sz w:val="20"/>
      <w:szCs w:val="20"/>
    </w:rPr>
  </w:style>
  <w:style w:type="character" w:customStyle="1" w:styleId="Heading6Char">
    <w:name w:val="Heading 6 Char"/>
    <w:basedOn w:val="DefaultParagraphFont"/>
    <w:link w:val="Heading6"/>
    <w:uiPriority w:val="99"/>
    <w:semiHidden/>
    <w:rsid w:val="00A96ED6"/>
    <w:rPr>
      <w:rFonts w:asciiTheme="majorHAnsi" w:eastAsiaTheme="majorEastAsia" w:hAnsiTheme="majorHAnsi" w:cstheme="majorBidi"/>
      <w:b/>
      <w:bCs/>
      <w:i/>
      <w:iCs/>
      <w:color w:val="7F7F7F" w:themeColor="text1" w:themeTint="80"/>
      <w:sz w:val="24"/>
      <w:lang w:bidi="en-US"/>
    </w:rPr>
  </w:style>
  <w:style w:type="character" w:customStyle="1" w:styleId="Heading7Char">
    <w:name w:val="Heading 7 Char"/>
    <w:basedOn w:val="DefaultParagraphFont"/>
    <w:link w:val="Heading7"/>
    <w:uiPriority w:val="99"/>
    <w:semiHidden/>
    <w:rsid w:val="00A96ED6"/>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9"/>
    <w:semiHidden/>
    <w:rsid w:val="00A96ED6"/>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9"/>
    <w:semiHidden/>
    <w:rsid w:val="00A96ED6"/>
    <w:rPr>
      <w:rFonts w:asciiTheme="majorHAnsi" w:eastAsiaTheme="majorEastAsia" w:hAnsiTheme="majorHAnsi" w:cstheme="majorBidi"/>
      <w:i/>
      <w:iCs/>
      <w:spacing w:val="5"/>
      <w:sz w:val="20"/>
      <w:szCs w:val="20"/>
      <w:lang w:bidi="en-US"/>
    </w:rPr>
  </w:style>
  <w:style w:type="character" w:styleId="Hyperlink">
    <w:name w:val="Hyperlink"/>
    <w:basedOn w:val="DefaultParagraphFont"/>
    <w:uiPriority w:val="99"/>
    <w:semiHidden/>
    <w:rsid w:val="00A96ED6"/>
    <w:rPr>
      <w:color w:val="0072BC" w:themeColor="hyperlink"/>
      <w:u w:val="single"/>
    </w:rPr>
  </w:style>
  <w:style w:type="character" w:styleId="IntenseEmphasis">
    <w:name w:val="Intense Emphasis"/>
    <w:uiPriority w:val="99"/>
    <w:semiHidden/>
    <w:qFormat/>
    <w:rsid w:val="00A96ED6"/>
    <w:rPr>
      <w:b/>
      <w:bCs/>
    </w:rPr>
  </w:style>
  <w:style w:type="paragraph" w:styleId="IntenseQuote">
    <w:name w:val="Intense Quote"/>
    <w:basedOn w:val="Normal"/>
    <w:next w:val="Normal"/>
    <w:link w:val="IntenseQuoteChar"/>
    <w:uiPriority w:val="99"/>
    <w:semiHidden/>
    <w:qFormat/>
    <w:rsid w:val="00A96ED6"/>
    <w:pPr>
      <w:pBdr>
        <w:bottom w:val="single" w:sz="4" w:space="1" w:color="auto"/>
      </w:pBdr>
      <w:spacing w:before="200" w:after="280"/>
      <w:ind w:left="1008" w:right="1152"/>
    </w:pPr>
    <w:rPr>
      <w:b/>
      <w:bCs/>
      <w:i/>
      <w:iCs/>
      <w:sz w:val="22"/>
      <w:lang w:bidi="en-US"/>
    </w:rPr>
  </w:style>
  <w:style w:type="character" w:customStyle="1" w:styleId="IntenseQuoteChar">
    <w:name w:val="Intense Quote Char"/>
    <w:basedOn w:val="DefaultParagraphFont"/>
    <w:link w:val="IntenseQuote"/>
    <w:uiPriority w:val="99"/>
    <w:semiHidden/>
    <w:rsid w:val="00A96ED6"/>
    <w:rPr>
      <w:rFonts w:eastAsiaTheme="minorEastAsia"/>
      <w:b/>
      <w:bCs/>
      <w:i/>
      <w:iCs/>
      <w:lang w:bidi="en-US"/>
    </w:rPr>
  </w:style>
  <w:style w:type="character" w:styleId="IntenseReference">
    <w:name w:val="Intense Reference"/>
    <w:uiPriority w:val="99"/>
    <w:semiHidden/>
    <w:qFormat/>
    <w:rsid w:val="00A96ED6"/>
    <w:rPr>
      <w:smallCaps/>
      <w:spacing w:val="5"/>
      <w:u w:val="single"/>
    </w:rPr>
  </w:style>
  <w:style w:type="paragraph" w:styleId="ListParagraph">
    <w:name w:val="List Paragraph"/>
    <w:basedOn w:val="Normal"/>
    <w:uiPriority w:val="99"/>
    <w:semiHidden/>
    <w:qFormat/>
    <w:rsid w:val="00A96ED6"/>
    <w:pPr>
      <w:ind w:left="720"/>
      <w:contextualSpacing/>
    </w:pPr>
  </w:style>
  <w:style w:type="table" w:customStyle="1" w:styleId="LtrTableAddress">
    <w:name w:val="Ltr_Table_Address"/>
    <w:basedOn w:val="TableNormal"/>
    <w:uiPriority w:val="99"/>
    <w:rsid w:val="001E6F32"/>
    <w:tblPr>
      <w:tblInd w:w="5103" w:type="dxa"/>
    </w:tblPr>
  </w:style>
  <w:style w:type="paragraph" w:styleId="Quote">
    <w:name w:val="Quote"/>
    <w:basedOn w:val="Normal"/>
    <w:next w:val="Normal"/>
    <w:link w:val="QuoteChar"/>
    <w:uiPriority w:val="99"/>
    <w:semiHidden/>
    <w:qFormat/>
    <w:rsid w:val="00A96ED6"/>
    <w:pPr>
      <w:spacing w:before="200"/>
      <w:ind w:left="360" w:right="360"/>
    </w:pPr>
    <w:rPr>
      <w:i/>
      <w:iCs/>
      <w:sz w:val="22"/>
      <w:lang w:bidi="en-US"/>
    </w:rPr>
  </w:style>
  <w:style w:type="character" w:customStyle="1" w:styleId="QuoteChar">
    <w:name w:val="Quote Char"/>
    <w:basedOn w:val="DefaultParagraphFont"/>
    <w:link w:val="Quote"/>
    <w:uiPriority w:val="99"/>
    <w:semiHidden/>
    <w:rsid w:val="00A96ED6"/>
    <w:rPr>
      <w:rFonts w:eastAsiaTheme="minorEastAsia"/>
      <w:i/>
      <w:iCs/>
      <w:lang w:bidi="en-US"/>
    </w:rPr>
  </w:style>
  <w:style w:type="character" w:styleId="SubtleReference">
    <w:name w:val="Subtle Reference"/>
    <w:uiPriority w:val="99"/>
    <w:semiHidden/>
    <w:qFormat/>
    <w:rsid w:val="00A96ED6"/>
    <w:rPr>
      <w:smallCaps/>
    </w:rPr>
  </w:style>
  <w:style w:type="table" w:styleId="TableGrid">
    <w:name w:val="Table Grid"/>
    <w:basedOn w:val="TableNormal"/>
    <w:uiPriority w:val="59"/>
    <w:semiHidden/>
    <w:rsid w:val="00A96ED6"/>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9"/>
    <w:semiHidden/>
    <w:rsid w:val="00A96ED6"/>
    <w:pPr>
      <w:spacing w:before="120" w:after="60"/>
      <w:ind w:left="340" w:right="340" w:hanging="340"/>
    </w:pPr>
    <w:rPr>
      <w:color w:val="0D0D0D" w:themeColor="text1" w:themeTint="F2"/>
    </w:rPr>
  </w:style>
  <w:style w:type="paragraph" w:styleId="TOC2">
    <w:name w:val="toc 2"/>
    <w:basedOn w:val="Normal"/>
    <w:next w:val="Normal"/>
    <w:autoRedefine/>
    <w:uiPriority w:val="99"/>
    <w:semiHidden/>
    <w:rsid w:val="00A96ED6"/>
    <w:pPr>
      <w:spacing w:after="60"/>
      <w:ind w:left="680" w:right="340" w:hanging="340"/>
    </w:pPr>
  </w:style>
  <w:style w:type="paragraph" w:styleId="TOC3">
    <w:name w:val="toc 3"/>
    <w:basedOn w:val="Normal"/>
    <w:next w:val="Normal"/>
    <w:autoRedefine/>
    <w:uiPriority w:val="99"/>
    <w:semiHidden/>
    <w:rsid w:val="00A96ED6"/>
    <w:pPr>
      <w:spacing w:after="60"/>
      <w:ind w:left="1020" w:right="340" w:hanging="340"/>
    </w:pPr>
  </w:style>
  <w:style w:type="paragraph" w:styleId="TOC4">
    <w:name w:val="toc 4"/>
    <w:basedOn w:val="Normal"/>
    <w:next w:val="Normal"/>
    <w:autoRedefine/>
    <w:uiPriority w:val="99"/>
    <w:semiHidden/>
    <w:rsid w:val="00A96ED6"/>
    <w:pPr>
      <w:tabs>
        <w:tab w:val="right" w:leader="dot" w:pos="9017"/>
      </w:tabs>
      <w:spacing w:after="60"/>
      <w:ind w:left="1361" w:right="340" w:hanging="340"/>
    </w:pPr>
  </w:style>
  <w:style w:type="paragraph" w:styleId="TOC5">
    <w:name w:val="toc 5"/>
    <w:basedOn w:val="Normal"/>
    <w:next w:val="Normal"/>
    <w:autoRedefine/>
    <w:uiPriority w:val="99"/>
    <w:semiHidden/>
    <w:rsid w:val="00A96ED6"/>
    <w:pPr>
      <w:spacing w:after="60"/>
      <w:ind w:left="1701" w:right="340" w:hanging="340"/>
    </w:pPr>
  </w:style>
  <w:style w:type="paragraph" w:styleId="TOCHeading">
    <w:name w:val="TOC Heading"/>
    <w:basedOn w:val="Heading1"/>
    <w:next w:val="Normal"/>
    <w:uiPriority w:val="99"/>
    <w:semiHidden/>
    <w:qFormat/>
    <w:rsid w:val="00A96ED6"/>
    <w:pPr>
      <w:outlineLvl w:val="9"/>
    </w:pPr>
    <w:rPr>
      <w:color w:val="474747" w:themeColor="accent3" w:themeShade="BF"/>
    </w:rPr>
  </w:style>
  <w:style w:type="table" w:customStyle="1" w:styleId="UGTable">
    <w:name w:val="UG_Table"/>
    <w:basedOn w:val="TableNormal"/>
    <w:uiPriority w:val="99"/>
    <w:rsid w:val="00801300"/>
    <w:rPr>
      <w:rFonts w:eastAsiaTheme="minorEastAsia"/>
      <w:sz w:val="20"/>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basedOn w:val="TableNormal"/>
    <w:uiPriority w:val="99"/>
    <w:rsid w:val="00801300"/>
    <w:rPr>
      <w:rFonts w:eastAsiaTheme="minorEastAsia"/>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basedOn w:val="TableNormal"/>
    <w:uiPriority w:val="99"/>
    <w:rsid w:val="00810B38"/>
    <w:rPr>
      <w:color w:val="000000" w:themeColor="text1"/>
      <w:sz w:val="18"/>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893576"/>
    <w:rPr>
      <w:color w:val="000000" w:themeColor="text1"/>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210338"/>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aliases w:val="DN_Table"/>
    <w:basedOn w:val="TableNormal"/>
    <w:uiPriority w:val="99"/>
    <w:rsid w:val="0090506B"/>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9"/>
    <w:semiHidden/>
    <w:rsid w:val="00A96ED6"/>
    <w:pPr>
      <w:spacing w:before="120"/>
    </w:pPr>
    <w:rPr>
      <w:rFonts w:asciiTheme="majorHAnsi" w:eastAsiaTheme="majorEastAsia" w:hAnsiTheme="majorHAnsi" w:cstheme="majorBidi"/>
      <w:b/>
      <w:bCs/>
      <w:color w:val="474747" w:themeColor="accent3" w:themeShade="BF"/>
      <w:szCs w:val="24"/>
    </w:rPr>
  </w:style>
  <w:style w:type="paragraph" w:customStyle="1" w:styleId="ECHRParaQuote">
    <w:name w:val="ECHR_Para_Quote"/>
    <w:aliases w:val="Ju_Quot,Para_Quote"/>
    <w:basedOn w:val="Normal"/>
    <w:qFormat/>
    <w:rsid w:val="00A96ED6"/>
    <w:pPr>
      <w:spacing w:before="120" w:after="120"/>
      <w:ind w:left="425" w:firstLine="142"/>
    </w:pPr>
    <w:rPr>
      <w:sz w:val="20"/>
    </w:rPr>
  </w:style>
  <w:style w:type="paragraph" w:customStyle="1" w:styleId="ECHRPara">
    <w:name w:val="ECHR_Para"/>
    <w:aliases w:val="Ju_Para"/>
    <w:basedOn w:val="Normal"/>
    <w:link w:val="ECHRParaChar"/>
    <w:uiPriority w:val="12"/>
    <w:qFormat/>
    <w:rsid w:val="00A96ED6"/>
    <w:pPr>
      <w:ind w:firstLine="284"/>
    </w:pPr>
  </w:style>
  <w:style w:type="table" w:customStyle="1" w:styleId="ECHRTableSimpleBox">
    <w:name w:val="ECHR_Table_Simple_Box"/>
    <w:basedOn w:val="TableNormal"/>
    <w:uiPriority w:val="99"/>
    <w:rsid w:val="00AE354C"/>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F218EF"/>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table" w:customStyle="1" w:styleId="ECHRTableForInternalUse">
    <w:name w:val="ECHR_Table_For_Internal_Use"/>
    <w:basedOn w:val="TableNormal"/>
    <w:uiPriority w:val="99"/>
    <w:rsid w:val="005474E7"/>
    <w:rPr>
      <w:color w:val="636363" w:themeColor="text2" w:themeShade="80"/>
      <w:sz w:val="18"/>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A96ED6"/>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table" w:customStyle="1" w:styleId="ECHRHeaderTable">
    <w:name w:val="ECHR_Header_Table"/>
    <w:basedOn w:val="TableNormal"/>
    <w:uiPriority w:val="99"/>
    <w:rsid w:val="00661971"/>
    <w:tblPr>
      <w:tblInd w:w="-680"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table" w:customStyle="1" w:styleId="ECHRTableOddBanded">
    <w:name w:val="ECHR_Table_Odd_Banded"/>
    <w:basedOn w:val="TableNormal"/>
    <w:uiPriority w:val="99"/>
    <w:rsid w:val="00860B03"/>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customStyle="1" w:styleId="ECHRDecisionBody">
    <w:name w:val="ECHR_Decision_Body"/>
    <w:aliases w:val="Ju_Judges"/>
    <w:basedOn w:val="Normal"/>
    <w:uiPriority w:val="11"/>
    <w:qFormat/>
    <w:rsid w:val="00A96ED6"/>
    <w:pPr>
      <w:tabs>
        <w:tab w:val="left" w:pos="567"/>
        <w:tab w:val="left" w:pos="1134"/>
      </w:tabs>
      <w:jc w:val="left"/>
    </w:pPr>
  </w:style>
  <w:style w:type="table" w:customStyle="1" w:styleId="ECHRHeaderTableReduced">
    <w:name w:val="ECHR_Header_Table_Reduced"/>
    <w:basedOn w:val="TableNormal"/>
    <w:uiPriority w:val="99"/>
    <w:rsid w:val="00B52BE0"/>
    <w:tblPr>
      <w:tblInd w:w="-680" w:type="dxa"/>
      <w:tblCellMar>
        <w:left w:w="0" w:type="dxa"/>
        <w:right w:w="0" w:type="dxa"/>
      </w:tblCellMar>
    </w:tblPr>
    <w:tcPr>
      <w:vAlign w:val="bottom"/>
    </w:tcPr>
    <w:tblStylePr w:type="firstRow">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List">
    <w:name w:val="Ju_List"/>
    <w:basedOn w:val="Normal"/>
    <w:uiPriority w:val="28"/>
    <w:qFormat/>
    <w:rsid w:val="00A96ED6"/>
    <w:pPr>
      <w:ind w:left="340" w:hanging="340"/>
    </w:pPr>
  </w:style>
  <w:style w:type="paragraph" w:customStyle="1" w:styleId="JuSigned">
    <w:name w:val="Ju_Signed"/>
    <w:basedOn w:val="Normal"/>
    <w:next w:val="JuParaLast"/>
    <w:uiPriority w:val="32"/>
    <w:qFormat/>
    <w:rsid w:val="00A96ED6"/>
    <w:pPr>
      <w:tabs>
        <w:tab w:val="center" w:pos="851"/>
        <w:tab w:val="center" w:pos="6407"/>
      </w:tabs>
      <w:spacing w:before="720"/>
      <w:jc w:val="left"/>
    </w:pPr>
  </w:style>
  <w:style w:type="paragraph" w:customStyle="1" w:styleId="JuParaLast">
    <w:name w:val="Ju_Para_Last"/>
    <w:basedOn w:val="Normal"/>
    <w:next w:val="ECHRPara"/>
    <w:uiPriority w:val="30"/>
    <w:qFormat/>
    <w:rsid w:val="00A96ED6"/>
    <w:pPr>
      <w:keepNext/>
      <w:keepLines/>
      <w:spacing w:before="240"/>
      <w:ind w:firstLine="284"/>
    </w:pPr>
  </w:style>
  <w:style w:type="paragraph" w:customStyle="1" w:styleId="JuCourt">
    <w:name w:val="Ju_Court"/>
    <w:basedOn w:val="Normal"/>
    <w:next w:val="Normal"/>
    <w:uiPriority w:val="16"/>
    <w:qFormat/>
    <w:rsid w:val="00A96ED6"/>
    <w:pPr>
      <w:tabs>
        <w:tab w:val="left" w:pos="907"/>
        <w:tab w:val="left" w:pos="1701"/>
        <w:tab w:val="right" w:pos="7371"/>
      </w:tabs>
      <w:spacing w:before="240"/>
      <w:ind w:left="397" w:hanging="397"/>
      <w:jc w:val="left"/>
    </w:pPr>
    <w:rPr>
      <w:lang w:bidi="en-US"/>
    </w:rPr>
  </w:style>
  <w:style w:type="character" w:styleId="PageNumber">
    <w:name w:val="page number"/>
    <w:uiPriority w:val="99"/>
    <w:semiHidden/>
    <w:rsid w:val="00014566"/>
    <w:rPr>
      <w:sz w:val="18"/>
    </w:rPr>
  </w:style>
  <w:style w:type="paragraph" w:customStyle="1" w:styleId="JuLista">
    <w:name w:val="Ju_List_a"/>
    <w:basedOn w:val="JuList"/>
    <w:uiPriority w:val="28"/>
    <w:qFormat/>
    <w:rsid w:val="00A96ED6"/>
    <w:pPr>
      <w:ind w:left="346" w:firstLine="0"/>
    </w:pPr>
  </w:style>
  <w:style w:type="paragraph" w:customStyle="1" w:styleId="JuListi">
    <w:name w:val="Ju_List_i"/>
    <w:basedOn w:val="Normal"/>
    <w:next w:val="JuLista"/>
    <w:uiPriority w:val="28"/>
    <w:qFormat/>
    <w:rsid w:val="00A96ED6"/>
    <w:pPr>
      <w:ind w:left="794"/>
    </w:pPr>
  </w:style>
  <w:style w:type="character" w:styleId="CommentReference">
    <w:name w:val="annotation reference"/>
    <w:uiPriority w:val="99"/>
    <w:semiHidden/>
    <w:rsid w:val="00014566"/>
    <w:rPr>
      <w:sz w:val="16"/>
    </w:rPr>
  </w:style>
  <w:style w:type="paragraph" w:styleId="CommentText">
    <w:name w:val="annotation text"/>
    <w:basedOn w:val="Normal"/>
    <w:link w:val="CommentTextChar"/>
    <w:semiHidden/>
    <w:rsid w:val="00014566"/>
    <w:rPr>
      <w:sz w:val="20"/>
    </w:rPr>
  </w:style>
  <w:style w:type="character" w:customStyle="1" w:styleId="CommentTextChar">
    <w:name w:val="Comment Text Char"/>
    <w:basedOn w:val="DefaultParagraphFont"/>
    <w:link w:val="CommentText"/>
    <w:semiHidden/>
    <w:rsid w:val="00014566"/>
    <w:rPr>
      <w:rFonts w:eastAsiaTheme="minorEastAsia"/>
      <w:sz w:val="20"/>
    </w:rPr>
  </w:style>
  <w:style w:type="paragraph" w:styleId="CommentSubject">
    <w:name w:val="annotation subject"/>
    <w:basedOn w:val="CommentText"/>
    <w:next w:val="CommentText"/>
    <w:link w:val="CommentSubjectChar"/>
    <w:uiPriority w:val="99"/>
    <w:semiHidden/>
    <w:rsid w:val="00014566"/>
    <w:rPr>
      <w:b/>
      <w:bCs/>
    </w:rPr>
  </w:style>
  <w:style w:type="character" w:customStyle="1" w:styleId="CommentSubjectChar">
    <w:name w:val="Comment Subject Char"/>
    <w:basedOn w:val="CommentTextChar"/>
    <w:link w:val="CommentSubject"/>
    <w:uiPriority w:val="99"/>
    <w:semiHidden/>
    <w:rsid w:val="00014566"/>
    <w:rPr>
      <w:rFonts w:eastAsiaTheme="minorEastAsia"/>
      <w:b/>
      <w:bCs/>
      <w:sz w:val="20"/>
    </w:rPr>
  </w:style>
  <w:style w:type="character" w:styleId="EndnoteReference">
    <w:name w:val="endnote reference"/>
    <w:uiPriority w:val="99"/>
    <w:semiHidden/>
    <w:rsid w:val="00014566"/>
    <w:rPr>
      <w:vertAlign w:val="superscript"/>
    </w:rPr>
  </w:style>
  <w:style w:type="paragraph" w:styleId="EndnoteText">
    <w:name w:val="endnote text"/>
    <w:basedOn w:val="Normal"/>
    <w:link w:val="EndnoteTextChar"/>
    <w:uiPriority w:val="99"/>
    <w:semiHidden/>
    <w:rsid w:val="00014566"/>
    <w:rPr>
      <w:sz w:val="20"/>
    </w:rPr>
  </w:style>
  <w:style w:type="character" w:customStyle="1" w:styleId="EndnoteTextChar">
    <w:name w:val="Endnote Text Char"/>
    <w:basedOn w:val="DefaultParagraphFont"/>
    <w:link w:val="EndnoteText"/>
    <w:uiPriority w:val="99"/>
    <w:semiHidden/>
    <w:rsid w:val="00014566"/>
    <w:rPr>
      <w:rFonts w:eastAsiaTheme="minorEastAsia"/>
      <w:sz w:val="20"/>
    </w:rPr>
  </w:style>
  <w:style w:type="character" w:styleId="FollowedHyperlink">
    <w:name w:val="FollowedHyperlink"/>
    <w:uiPriority w:val="99"/>
    <w:semiHidden/>
    <w:rsid w:val="00014566"/>
    <w:rPr>
      <w:color w:val="800080"/>
      <w:u w:val="single"/>
    </w:rPr>
  </w:style>
  <w:style w:type="paragraph" w:styleId="DocumentMap">
    <w:name w:val="Document Map"/>
    <w:basedOn w:val="Normal"/>
    <w:link w:val="DocumentMapChar"/>
    <w:uiPriority w:val="99"/>
    <w:semiHidden/>
    <w:rsid w:val="00014566"/>
    <w:pPr>
      <w:shd w:val="clear" w:color="auto" w:fill="000080"/>
    </w:pPr>
    <w:rPr>
      <w:rFonts w:ascii="Tahoma" w:hAnsi="Tahoma" w:cs="Tahoma"/>
      <w:sz w:val="20"/>
    </w:rPr>
  </w:style>
  <w:style w:type="character" w:customStyle="1" w:styleId="DocumentMapChar">
    <w:name w:val="Document Map Char"/>
    <w:basedOn w:val="DefaultParagraphFont"/>
    <w:link w:val="DocumentMap"/>
    <w:uiPriority w:val="99"/>
    <w:semiHidden/>
    <w:rsid w:val="00014566"/>
    <w:rPr>
      <w:rFonts w:ascii="Tahoma" w:eastAsiaTheme="minorEastAsia" w:hAnsi="Tahoma" w:cs="Tahoma"/>
      <w:sz w:val="20"/>
      <w:shd w:val="clear" w:color="auto" w:fill="000080"/>
    </w:rPr>
  </w:style>
  <w:style w:type="character" w:customStyle="1" w:styleId="JuNames0">
    <w:name w:val="Ju_Names"/>
    <w:rsid w:val="00014566"/>
    <w:rPr>
      <w:smallCaps/>
    </w:rPr>
  </w:style>
  <w:style w:type="paragraph" w:styleId="ListBullet">
    <w:name w:val="List Bullet"/>
    <w:basedOn w:val="Normal"/>
    <w:uiPriority w:val="99"/>
    <w:semiHidden/>
    <w:rsid w:val="00014566"/>
    <w:pPr>
      <w:numPr>
        <w:numId w:val="1"/>
      </w:numPr>
    </w:pPr>
  </w:style>
  <w:style w:type="character" w:customStyle="1" w:styleId="JuITMark">
    <w:name w:val="Ju_ITMark"/>
    <w:basedOn w:val="DefaultParagraphFont"/>
    <w:uiPriority w:val="38"/>
    <w:qFormat/>
    <w:rsid w:val="00A96ED6"/>
    <w:rPr>
      <w:vanish w:val="0"/>
      <w:color w:val="auto"/>
      <w:sz w:val="14"/>
    </w:rPr>
  </w:style>
  <w:style w:type="paragraph" w:styleId="Subtitle">
    <w:name w:val="Subtitle"/>
    <w:basedOn w:val="Normal"/>
    <w:next w:val="Normal"/>
    <w:link w:val="SubtitleChar"/>
    <w:uiPriority w:val="99"/>
    <w:semiHidden/>
    <w:qFormat/>
    <w:rsid w:val="00A96ED6"/>
    <w:pPr>
      <w:spacing w:after="600"/>
    </w:pPr>
    <w:rPr>
      <w:rFonts w:asciiTheme="majorHAnsi" w:eastAsiaTheme="majorEastAsia" w:hAnsiTheme="majorHAnsi" w:cstheme="majorBidi"/>
      <w:i/>
      <w:iCs/>
      <w:spacing w:val="13"/>
      <w:szCs w:val="24"/>
      <w:lang w:bidi="en-US"/>
    </w:rPr>
  </w:style>
  <w:style w:type="character" w:customStyle="1" w:styleId="SubtitleChar">
    <w:name w:val="Subtitle Char"/>
    <w:basedOn w:val="DefaultParagraphFont"/>
    <w:link w:val="Subtitle"/>
    <w:uiPriority w:val="99"/>
    <w:semiHidden/>
    <w:rsid w:val="00A96ED6"/>
    <w:rPr>
      <w:rFonts w:asciiTheme="majorHAnsi" w:eastAsiaTheme="majorEastAsia" w:hAnsiTheme="majorHAnsi" w:cstheme="majorBidi"/>
      <w:i/>
      <w:iCs/>
      <w:spacing w:val="13"/>
      <w:sz w:val="24"/>
      <w:szCs w:val="24"/>
      <w:lang w:bidi="en-US"/>
    </w:rPr>
  </w:style>
  <w:style w:type="numbering" w:styleId="111111">
    <w:name w:val="Outline List 2"/>
    <w:basedOn w:val="NoList"/>
    <w:uiPriority w:val="99"/>
    <w:semiHidden/>
    <w:rsid w:val="00014566"/>
    <w:pPr>
      <w:numPr>
        <w:numId w:val="2"/>
      </w:numPr>
    </w:pPr>
  </w:style>
  <w:style w:type="numbering" w:styleId="1ai">
    <w:name w:val="Outline List 1"/>
    <w:basedOn w:val="NoList"/>
    <w:uiPriority w:val="99"/>
    <w:semiHidden/>
    <w:rsid w:val="00014566"/>
    <w:pPr>
      <w:numPr>
        <w:numId w:val="3"/>
      </w:numPr>
    </w:pPr>
  </w:style>
  <w:style w:type="numbering" w:styleId="ArticleSection">
    <w:name w:val="Outline List 3"/>
    <w:basedOn w:val="NoList"/>
    <w:uiPriority w:val="99"/>
    <w:semiHidden/>
    <w:rsid w:val="00014566"/>
    <w:pPr>
      <w:numPr>
        <w:numId w:val="4"/>
      </w:numPr>
    </w:pPr>
  </w:style>
  <w:style w:type="paragraph" w:styleId="Bibliography">
    <w:name w:val="Bibliography"/>
    <w:basedOn w:val="Normal"/>
    <w:next w:val="Normal"/>
    <w:uiPriority w:val="99"/>
    <w:semiHidden/>
    <w:unhideWhenUsed/>
    <w:rsid w:val="00014566"/>
  </w:style>
  <w:style w:type="paragraph" w:styleId="BlockText">
    <w:name w:val="Block Text"/>
    <w:basedOn w:val="Normal"/>
    <w:uiPriority w:val="99"/>
    <w:semiHidden/>
    <w:rsid w:val="000145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paragraph" w:styleId="BodyText">
    <w:name w:val="Body Text"/>
    <w:basedOn w:val="Normal"/>
    <w:link w:val="BodyTextChar"/>
    <w:uiPriority w:val="99"/>
    <w:semiHidden/>
    <w:rsid w:val="00014566"/>
    <w:pPr>
      <w:spacing w:after="120"/>
    </w:pPr>
  </w:style>
  <w:style w:type="character" w:customStyle="1" w:styleId="BodyTextChar">
    <w:name w:val="Body Text Char"/>
    <w:basedOn w:val="DefaultParagraphFont"/>
    <w:link w:val="BodyText"/>
    <w:uiPriority w:val="99"/>
    <w:semiHidden/>
    <w:rsid w:val="00014566"/>
    <w:rPr>
      <w:rFonts w:eastAsiaTheme="minorEastAsia"/>
      <w:sz w:val="24"/>
    </w:rPr>
  </w:style>
  <w:style w:type="paragraph" w:styleId="BodyText2">
    <w:name w:val="Body Text 2"/>
    <w:basedOn w:val="Normal"/>
    <w:link w:val="BodyText2Char"/>
    <w:uiPriority w:val="99"/>
    <w:semiHidden/>
    <w:rsid w:val="00014566"/>
    <w:pPr>
      <w:spacing w:after="120" w:line="480" w:lineRule="auto"/>
    </w:pPr>
  </w:style>
  <w:style w:type="character" w:customStyle="1" w:styleId="BodyText2Char">
    <w:name w:val="Body Text 2 Char"/>
    <w:basedOn w:val="DefaultParagraphFont"/>
    <w:link w:val="BodyText2"/>
    <w:uiPriority w:val="99"/>
    <w:semiHidden/>
    <w:rsid w:val="00014566"/>
    <w:rPr>
      <w:rFonts w:eastAsiaTheme="minorEastAsia"/>
      <w:sz w:val="24"/>
    </w:rPr>
  </w:style>
  <w:style w:type="paragraph" w:styleId="BodyText3">
    <w:name w:val="Body Text 3"/>
    <w:basedOn w:val="Normal"/>
    <w:link w:val="BodyText3Char"/>
    <w:uiPriority w:val="99"/>
    <w:semiHidden/>
    <w:rsid w:val="00014566"/>
    <w:pPr>
      <w:spacing w:after="120"/>
    </w:pPr>
    <w:rPr>
      <w:sz w:val="16"/>
      <w:szCs w:val="16"/>
    </w:rPr>
  </w:style>
  <w:style w:type="character" w:customStyle="1" w:styleId="BodyText3Char">
    <w:name w:val="Body Text 3 Char"/>
    <w:basedOn w:val="DefaultParagraphFont"/>
    <w:link w:val="BodyText3"/>
    <w:uiPriority w:val="99"/>
    <w:semiHidden/>
    <w:rsid w:val="00014566"/>
    <w:rPr>
      <w:rFonts w:eastAsiaTheme="minorEastAsia"/>
      <w:sz w:val="16"/>
      <w:szCs w:val="16"/>
    </w:rPr>
  </w:style>
  <w:style w:type="paragraph" w:styleId="BodyTextFirstIndent">
    <w:name w:val="Body Text First Indent"/>
    <w:basedOn w:val="BodyText"/>
    <w:link w:val="BodyTextFirstIndentChar"/>
    <w:uiPriority w:val="99"/>
    <w:semiHidden/>
    <w:rsid w:val="00014566"/>
    <w:pPr>
      <w:spacing w:after="0"/>
      <w:ind w:firstLine="360"/>
    </w:pPr>
  </w:style>
  <w:style w:type="character" w:customStyle="1" w:styleId="BodyTextFirstIndentChar">
    <w:name w:val="Body Text First Indent Char"/>
    <w:basedOn w:val="BodyTextChar"/>
    <w:link w:val="BodyTextFirstIndent"/>
    <w:uiPriority w:val="99"/>
    <w:semiHidden/>
    <w:rsid w:val="00014566"/>
    <w:rPr>
      <w:rFonts w:eastAsiaTheme="minorEastAsia"/>
      <w:sz w:val="24"/>
    </w:rPr>
  </w:style>
  <w:style w:type="paragraph" w:styleId="BodyTextIndent">
    <w:name w:val="Body Text Indent"/>
    <w:basedOn w:val="Normal"/>
    <w:link w:val="BodyTextIndentChar"/>
    <w:uiPriority w:val="99"/>
    <w:semiHidden/>
    <w:rsid w:val="00014566"/>
    <w:pPr>
      <w:spacing w:after="120"/>
      <w:ind w:left="283"/>
    </w:pPr>
  </w:style>
  <w:style w:type="character" w:customStyle="1" w:styleId="BodyTextIndentChar">
    <w:name w:val="Body Text Indent Char"/>
    <w:basedOn w:val="DefaultParagraphFont"/>
    <w:link w:val="BodyTextIndent"/>
    <w:uiPriority w:val="99"/>
    <w:semiHidden/>
    <w:rsid w:val="00014566"/>
    <w:rPr>
      <w:rFonts w:eastAsiaTheme="minorEastAsia"/>
      <w:sz w:val="24"/>
    </w:rPr>
  </w:style>
  <w:style w:type="paragraph" w:styleId="BodyTextFirstIndent2">
    <w:name w:val="Body Text First Indent 2"/>
    <w:basedOn w:val="BodyTextIndent"/>
    <w:link w:val="BodyTextFirstIndent2Char"/>
    <w:uiPriority w:val="99"/>
    <w:semiHidden/>
    <w:rsid w:val="00014566"/>
    <w:pPr>
      <w:spacing w:after="0"/>
      <w:ind w:left="360" w:firstLine="360"/>
    </w:pPr>
  </w:style>
  <w:style w:type="character" w:customStyle="1" w:styleId="BodyTextFirstIndent2Char">
    <w:name w:val="Body Text First Indent 2 Char"/>
    <w:basedOn w:val="BodyTextIndentChar"/>
    <w:link w:val="BodyTextFirstIndent2"/>
    <w:uiPriority w:val="99"/>
    <w:semiHidden/>
    <w:rsid w:val="00014566"/>
    <w:rPr>
      <w:rFonts w:eastAsiaTheme="minorEastAsia"/>
      <w:sz w:val="24"/>
    </w:rPr>
  </w:style>
  <w:style w:type="paragraph" w:styleId="BodyTextIndent2">
    <w:name w:val="Body Text Indent 2"/>
    <w:basedOn w:val="Normal"/>
    <w:link w:val="BodyTextIndent2Char"/>
    <w:uiPriority w:val="99"/>
    <w:semiHidden/>
    <w:rsid w:val="00014566"/>
    <w:pPr>
      <w:spacing w:after="120" w:line="480" w:lineRule="auto"/>
      <w:ind w:left="283"/>
    </w:pPr>
  </w:style>
  <w:style w:type="character" w:customStyle="1" w:styleId="BodyTextIndent2Char">
    <w:name w:val="Body Text Indent 2 Char"/>
    <w:basedOn w:val="DefaultParagraphFont"/>
    <w:link w:val="BodyTextIndent2"/>
    <w:uiPriority w:val="99"/>
    <w:semiHidden/>
    <w:rsid w:val="00014566"/>
    <w:rPr>
      <w:rFonts w:eastAsiaTheme="minorEastAsia"/>
      <w:sz w:val="24"/>
    </w:rPr>
  </w:style>
  <w:style w:type="paragraph" w:styleId="BodyTextIndent3">
    <w:name w:val="Body Text Indent 3"/>
    <w:basedOn w:val="Normal"/>
    <w:link w:val="BodyTextIndent3Char"/>
    <w:uiPriority w:val="99"/>
    <w:semiHidden/>
    <w:rsid w:val="0001456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14566"/>
    <w:rPr>
      <w:rFonts w:eastAsiaTheme="minorEastAsia"/>
      <w:sz w:val="16"/>
      <w:szCs w:val="16"/>
    </w:rPr>
  </w:style>
  <w:style w:type="paragraph" w:styleId="Caption">
    <w:name w:val="caption"/>
    <w:basedOn w:val="Normal"/>
    <w:next w:val="Normal"/>
    <w:uiPriority w:val="99"/>
    <w:semiHidden/>
    <w:qFormat/>
    <w:rsid w:val="00014566"/>
    <w:pPr>
      <w:spacing w:after="200"/>
    </w:pPr>
    <w:rPr>
      <w:b/>
      <w:bCs/>
      <w:color w:val="0072BC" w:themeColor="accent1"/>
      <w:sz w:val="18"/>
      <w:szCs w:val="18"/>
    </w:rPr>
  </w:style>
  <w:style w:type="paragraph" w:styleId="Closing">
    <w:name w:val="Closing"/>
    <w:basedOn w:val="Normal"/>
    <w:link w:val="ClosingChar"/>
    <w:uiPriority w:val="99"/>
    <w:semiHidden/>
    <w:rsid w:val="00014566"/>
    <w:pPr>
      <w:ind w:left="4252"/>
    </w:pPr>
  </w:style>
  <w:style w:type="character" w:customStyle="1" w:styleId="ClosingChar">
    <w:name w:val="Closing Char"/>
    <w:basedOn w:val="DefaultParagraphFont"/>
    <w:link w:val="Closing"/>
    <w:uiPriority w:val="99"/>
    <w:semiHidden/>
    <w:rsid w:val="00014566"/>
    <w:rPr>
      <w:rFonts w:eastAsiaTheme="minorEastAsia"/>
      <w:sz w:val="24"/>
    </w:rPr>
  </w:style>
  <w:style w:type="table" w:styleId="ColorfulGrid">
    <w:name w:val="Colorful Grid"/>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99"/>
    <w:semiHidden/>
    <w:rsid w:val="00014566"/>
    <w:rPr>
      <w:color w:val="000000" w:themeColor="text1"/>
      <w:lang w:val="fr-FR" w:eastAsia="fr-FR"/>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99"/>
    <w:semiHidden/>
    <w:rsid w:val="00014566"/>
    <w:rPr>
      <w:color w:val="000000" w:themeColor="text1"/>
      <w:lang w:val="fr-FR" w:eastAsia="fr-FR"/>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99"/>
    <w:semiHidden/>
    <w:rsid w:val="00014566"/>
    <w:rPr>
      <w:color w:val="000000" w:themeColor="text1"/>
      <w:lang w:val="fr-FR" w:eastAsia="fr-FR"/>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99"/>
    <w:semiHidden/>
    <w:rsid w:val="00014566"/>
    <w:rPr>
      <w:color w:val="000000" w:themeColor="text1"/>
      <w:lang w:val="fr-FR" w:eastAsia="fr-FR"/>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99"/>
    <w:semiHidden/>
    <w:rsid w:val="00014566"/>
    <w:rPr>
      <w:color w:val="000000" w:themeColor="text1"/>
      <w:lang w:val="fr-FR" w:eastAsia="fr-FR"/>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99"/>
    <w:semiHidden/>
    <w:rsid w:val="00014566"/>
    <w:rPr>
      <w:color w:val="000000" w:themeColor="text1"/>
      <w:lang w:val="fr-FR" w:eastAsia="fr-FR"/>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99"/>
    <w:semiHidden/>
    <w:rsid w:val="00014566"/>
    <w:rPr>
      <w:color w:val="000000" w:themeColor="text1"/>
      <w:lang w:val="fr-FR" w:eastAsia="fr-FR"/>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99"/>
    <w:semiHidden/>
    <w:rsid w:val="00014566"/>
    <w:rPr>
      <w:color w:val="000000" w:themeColor="text1"/>
      <w:lang w:val="fr-FR" w:eastAsia="fr-FR"/>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99"/>
    <w:semiHidden/>
    <w:rsid w:val="00014566"/>
    <w:rPr>
      <w:color w:val="000000" w:themeColor="text1"/>
      <w:lang w:val="fr-FR" w:eastAsia="fr-FR"/>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99"/>
    <w:semiHidden/>
    <w:rsid w:val="00014566"/>
    <w:rPr>
      <w:color w:val="000000" w:themeColor="text1"/>
      <w:lang w:val="fr-FR" w:eastAsia="fr-FR"/>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99"/>
    <w:semiHidden/>
    <w:rsid w:val="00014566"/>
    <w:rPr>
      <w:color w:val="000000" w:themeColor="text1"/>
      <w:lang w:val="fr-FR" w:eastAsia="fr-FR"/>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99"/>
    <w:semiHidden/>
    <w:rsid w:val="00014566"/>
    <w:rPr>
      <w:color w:val="000000" w:themeColor="text1"/>
      <w:lang w:val="fr-FR" w:eastAsia="fr-FR"/>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99"/>
    <w:semiHidden/>
    <w:rsid w:val="00014566"/>
    <w:rPr>
      <w:color w:val="0072BC" w:themeColor="background1"/>
      <w:lang w:val="fr-FR" w:eastAsia="fr-FR"/>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99"/>
    <w:semiHidden/>
    <w:rsid w:val="00014566"/>
    <w:rPr>
      <w:color w:val="0072BC" w:themeColor="background1"/>
      <w:lang w:val="fr-FR" w:eastAsia="fr-FR"/>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99"/>
    <w:semiHidden/>
    <w:rsid w:val="00014566"/>
    <w:rPr>
      <w:color w:val="0072BC" w:themeColor="background1"/>
      <w:lang w:val="fr-FR" w:eastAsia="fr-FR"/>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99"/>
    <w:semiHidden/>
    <w:rsid w:val="00014566"/>
    <w:rPr>
      <w:color w:val="0072BC" w:themeColor="background1"/>
      <w:lang w:val="fr-FR" w:eastAsia="fr-FR"/>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99"/>
    <w:semiHidden/>
    <w:rsid w:val="00014566"/>
    <w:rPr>
      <w:color w:val="0072BC" w:themeColor="background1"/>
      <w:lang w:val="fr-FR" w:eastAsia="fr-FR"/>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99"/>
    <w:semiHidden/>
    <w:rsid w:val="00014566"/>
    <w:rPr>
      <w:color w:val="0072BC" w:themeColor="background1"/>
      <w:lang w:val="fr-FR" w:eastAsia="fr-FR"/>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rsid w:val="00014566"/>
  </w:style>
  <w:style w:type="character" w:customStyle="1" w:styleId="DateChar">
    <w:name w:val="Date Char"/>
    <w:basedOn w:val="DefaultParagraphFont"/>
    <w:link w:val="Date"/>
    <w:uiPriority w:val="99"/>
    <w:semiHidden/>
    <w:rsid w:val="00014566"/>
    <w:rPr>
      <w:rFonts w:eastAsiaTheme="minorEastAsia"/>
      <w:sz w:val="24"/>
    </w:rPr>
  </w:style>
  <w:style w:type="paragraph" w:styleId="E-mailSignature">
    <w:name w:val="E-mail Signature"/>
    <w:basedOn w:val="Normal"/>
    <w:link w:val="E-mailSignatureChar"/>
    <w:uiPriority w:val="99"/>
    <w:semiHidden/>
    <w:rsid w:val="00014566"/>
  </w:style>
  <w:style w:type="character" w:customStyle="1" w:styleId="E-mailSignatureChar">
    <w:name w:val="E-mail Signature Char"/>
    <w:basedOn w:val="DefaultParagraphFont"/>
    <w:link w:val="E-mailSignature"/>
    <w:uiPriority w:val="99"/>
    <w:semiHidden/>
    <w:rsid w:val="00014566"/>
    <w:rPr>
      <w:rFonts w:eastAsiaTheme="minorEastAsia"/>
      <w:sz w:val="24"/>
    </w:rPr>
  </w:style>
  <w:style w:type="paragraph" w:styleId="EnvelopeAddress">
    <w:name w:val="envelope address"/>
    <w:basedOn w:val="Normal"/>
    <w:uiPriority w:val="99"/>
    <w:semiHidden/>
    <w:rsid w:val="00014566"/>
    <w:pPr>
      <w:framePr w:w="7938" w:h="1985" w:hRule="exact" w:hSpace="141" w:wrap="auto" w:hAnchor="page" w:xAlign="center" w:yAlign="bottom"/>
      <w:ind w:left="2835"/>
    </w:pPr>
    <w:rPr>
      <w:rFonts w:asciiTheme="majorHAnsi" w:eastAsiaTheme="majorEastAsia" w:hAnsiTheme="majorHAnsi" w:cstheme="majorBidi"/>
      <w:szCs w:val="24"/>
    </w:rPr>
  </w:style>
  <w:style w:type="paragraph" w:styleId="EnvelopeReturn">
    <w:name w:val="envelope return"/>
    <w:basedOn w:val="Normal"/>
    <w:uiPriority w:val="99"/>
    <w:semiHidden/>
    <w:rsid w:val="00014566"/>
    <w:rPr>
      <w:rFonts w:asciiTheme="majorHAnsi" w:eastAsiaTheme="majorEastAsia" w:hAnsiTheme="majorHAnsi" w:cstheme="majorBidi"/>
      <w:sz w:val="20"/>
      <w:szCs w:val="20"/>
    </w:rPr>
  </w:style>
  <w:style w:type="character" w:styleId="HTMLAcronym">
    <w:name w:val="HTML Acronym"/>
    <w:basedOn w:val="DefaultParagraphFont"/>
    <w:uiPriority w:val="99"/>
    <w:semiHidden/>
    <w:rsid w:val="00014566"/>
  </w:style>
  <w:style w:type="paragraph" w:styleId="HTMLAddress">
    <w:name w:val="HTML Address"/>
    <w:basedOn w:val="Normal"/>
    <w:link w:val="HTMLAddressChar"/>
    <w:uiPriority w:val="99"/>
    <w:semiHidden/>
    <w:rsid w:val="00014566"/>
    <w:rPr>
      <w:i/>
      <w:iCs/>
    </w:rPr>
  </w:style>
  <w:style w:type="character" w:customStyle="1" w:styleId="HTMLAddressChar">
    <w:name w:val="HTML Address Char"/>
    <w:basedOn w:val="DefaultParagraphFont"/>
    <w:link w:val="HTMLAddress"/>
    <w:uiPriority w:val="99"/>
    <w:semiHidden/>
    <w:rsid w:val="00014566"/>
    <w:rPr>
      <w:rFonts w:eastAsiaTheme="minorEastAsia"/>
      <w:i/>
      <w:iCs/>
      <w:sz w:val="24"/>
    </w:rPr>
  </w:style>
  <w:style w:type="character" w:styleId="HTMLCite">
    <w:name w:val="HTML Cite"/>
    <w:basedOn w:val="DefaultParagraphFont"/>
    <w:uiPriority w:val="99"/>
    <w:semiHidden/>
    <w:rsid w:val="00014566"/>
    <w:rPr>
      <w:i/>
      <w:iCs/>
    </w:rPr>
  </w:style>
  <w:style w:type="character" w:styleId="HTMLCode">
    <w:name w:val="HTML Code"/>
    <w:basedOn w:val="DefaultParagraphFont"/>
    <w:uiPriority w:val="99"/>
    <w:semiHidden/>
    <w:rsid w:val="00014566"/>
    <w:rPr>
      <w:rFonts w:ascii="Consolas" w:hAnsi="Consolas" w:cs="Consolas"/>
      <w:sz w:val="20"/>
      <w:szCs w:val="20"/>
    </w:rPr>
  </w:style>
  <w:style w:type="character" w:styleId="HTMLDefinition">
    <w:name w:val="HTML Definition"/>
    <w:basedOn w:val="DefaultParagraphFont"/>
    <w:uiPriority w:val="99"/>
    <w:semiHidden/>
    <w:rsid w:val="00014566"/>
    <w:rPr>
      <w:i/>
      <w:iCs/>
    </w:rPr>
  </w:style>
  <w:style w:type="character" w:styleId="HTMLKeyboard">
    <w:name w:val="HTML Keyboard"/>
    <w:basedOn w:val="DefaultParagraphFont"/>
    <w:uiPriority w:val="99"/>
    <w:semiHidden/>
    <w:rsid w:val="00014566"/>
    <w:rPr>
      <w:rFonts w:ascii="Consolas" w:hAnsi="Consolas" w:cs="Consolas"/>
      <w:sz w:val="20"/>
      <w:szCs w:val="20"/>
    </w:rPr>
  </w:style>
  <w:style w:type="paragraph" w:styleId="HTMLPreformatted">
    <w:name w:val="HTML Preformatted"/>
    <w:basedOn w:val="Normal"/>
    <w:link w:val="HTMLPreformattedChar"/>
    <w:uiPriority w:val="99"/>
    <w:semiHidden/>
    <w:rsid w:val="0001456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14566"/>
    <w:rPr>
      <w:rFonts w:ascii="Consolas" w:eastAsiaTheme="minorEastAsia" w:hAnsi="Consolas" w:cs="Consolas"/>
      <w:sz w:val="20"/>
      <w:szCs w:val="20"/>
    </w:rPr>
  </w:style>
  <w:style w:type="character" w:styleId="HTMLSample">
    <w:name w:val="HTML Sample"/>
    <w:basedOn w:val="DefaultParagraphFont"/>
    <w:uiPriority w:val="99"/>
    <w:semiHidden/>
    <w:rsid w:val="00014566"/>
    <w:rPr>
      <w:rFonts w:ascii="Consolas" w:hAnsi="Consolas" w:cs="Consolas"/>
      <w:sz w:val="24"/>
      <w:szCs w:val="24"/>
    </w:rPr>
  </w:style>
  <w:style w:type="character" w:styleId="HTMLTypewriter">
    <w:name w:val="HTML Typewriter"/>
    <w:basedOn w:val="DefaultParagraphFont"/>
    <w:uiPriority w:val="99"/>
    <w:semiHidden/>
    <w:rsid w:val="00014566"/>
    <w:rPr>
      <w:rFonts w:ascii="Consolas" w:hAnsi="Consolas" w:cs="Consolas"/>
      <w:sz w:val="20"/>
      <w:szCs w:val="20"/>
    </w:rPr>
  </w:style>
  <w:style w:type="character" w:styleId="HTMLVariable">
    <w:name w:val="HTML Variable"/>
    <w:basedOn w:val="DefaultParagraphFont"/>
    <w:uiPriority w:val="99"/>
    <w:semiHidden/>
    <w:rsid w:val="00014566"/>
    <w:rPr>
      <w:i/>
      <w:iCs/>
    </w:rPr>
  </w:style>
  <w:style w:type="paragraph" w:styleId="Index1">
    <w:name w:val="index 1"/>
    <w:basedOn w:val="Normal"/>
    <w:next w:val="Normal"/>
    <w:autoRedefine/>
    <w:uiPriority w:val="99"/>
    <w:semiHidden/>
    <w:rsid w:val="00014566"/>
    <w:pPr>
      <w:ind w:left="240" w:hanging="240"/>
    </w:pPr>
  </w:style>
  <w:style w:type="paragraph" w:styleId="Index2">
    <w:name w:val="index 2"/>
    <w:basedOn w:val="Normal"/>
    <w:next w:val="Normal"/>
    <w:autoRedefine/>
    <w:uiPriority w:val="99"/>
    <w:semiHidden/>
    <w:rsid w:val="00014566"/>
    <w:pPr>
      <w:ind w:left="480" w:hanging="240"/>
    </w:pPr>
  </w:style>
  <w:style w:type="paragraph" w:styleId="Index3">
    <w:name w:val="index 3"/>
    <w:basedOn w:val="Normal"/>
    <w:next w:val="Normal"/>
    <w:autoRedefine/>
    <w:uiPriority w:val="99"/>
    <w:semiHidden/>
    <w:rsid w:val="00014566"/>
    <w:pPr>
      <w:ind w:left="720" w:hanging="240"/>
    </w:pPr>
  </w:style>
  <w:style w:type="paragraph" w:styleId="Index4">
    <w:name w:val="index 4"/>
    <w:basedOn w:val="Normal"/>
    <w:next w:val="Normal"/>
    <w:autoRedefine/>
    <w:uiPriority w:val="99"/>
    <w:semiHidden/>
    <w:rsid w:val="00014566"/>
    <w:pPr>
      <w:ind w:left="960" w:hanging="240"/>
    </w:pPr>
  </w:style>
  <w:style w:type="paragraph" w:styleId="Index5">
    <w:name w:val="index 5"/>
    <w:basedOn w:val="Normal"/>
    <w:next w:val="Normal"/>
    <w:autoRedefine/>
    <w:uiPriority w:val="99"/>
    <w:semiHidden/>
    <w:rsid w:val="00014566"/>
    <w:pPr>
      <w:ind w:left="1200" w:hanging="240"/>
    </w:pPr>
  </w:style>
  <w:style w:type="paragraph" w:styleId="Index6">
    <w:name w:val="index 6"/>
    <w:basedOn w:val="Normal"/>
    <w:next w:val="Normal"/>
    <w:autoRedefine/>
    <w:uiPriority w:val="99"/>
    <w:semiHidden/>
    <w:rsid w:val="00014566"/>
    <w:pPr>
      <w:ind w:left="1440" w:hanging="240"/>
    </w:pPr>
  </w:style>
  <w:style w:type="paragraph" w:styleId="Index7">
    <w:name w:val="index 7"/>
    <w:basedOn w:val="Normal"/>
    <w:next w:val="Normal"/>
    <w:autoRedefine/>
    <w:uiPriority w:val="99"/>
    <w:semiHidden/>
    <w:rsid w:val="00014566"/>
    <w:pPr>
      <w:ind w:left="1680" w:hanging="240"/>
    </w:pPr>
  </w:style>
  <w:style w:type="paragraph" w:styleId="Index8">
    <w:name w:val="index 8"/>
    <w:basedOn w:val="Normal"/>
    <w:next w:val="Normal"/>
    <w:autoRedefine/>
    <w:uiPriority w:val="99"/>
    <w:semiHidden/>
    <w:rsid w:val="00014566"/>
    <w:pPr>
      <w:ind w:left="1920" w:hanging="240"/>
    </w:pPr>
  </w:style>
  <w:style w:type="paragraph" w:styleId="Index9">
    <w:name w:val="index 9"/>
    <w:basedOn w:val="Normal"/>
    <w:next w:val="Normal"/>
    <w:autoRedefine/>
    <w:uiPriority w:val="99"/>
    <w:semiHidden/>
    <w:rsid w:val="00014566"/>
    <w:pPr>
      <w:ind w:left="2160" w:hanging="240"/>
    </w:pPr>
  </w:style>
  <w:style w:type="paragraph" w:styleId="IndexHeading">
    <w:name w:val="index heading"/>
    <w:basedOn w:val="Normal"/>
    <w:next w:val="Index1"/>
    <w:uiPriority w:val="99"/>
    <w:semiHidden/>
    <w:rsid w:val="00014566"/>
    <w:rPr>
      <w:rFonts w:asciiTheme="majorHAnsi" w:eastAsiaTheme="majorEastAsia" w:hAnsiTheme="majorHAnsi" w:cstheme="majorBidi"/>
      <w:b/>
      <w:bCs/>
    </w:rPr>
  </w:style>
  <w:style w:type="table" w:styleId="LightGrid">
    <w:name w:val="Light Grid"/>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99"/>
    <w:semiHidden/>
    <w:rsid w:val="00014566"/>
    <w:rPr>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rsid w:val="00014566"/>
    <w:rPr>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99"/>
    <w:semiHidden/>
    <w:rsid w:val="00014566"/>
    <w:rPr>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99"/>
    <w:semiHidden/>
    <w:rsid w:val="00014566"/>
    <w:rPr>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99"/>
    <w:semiHidden/>
    <w:rsid w:val="00014566"/>
    <w:rPr>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99"/>
    <w:semiHidden/>
    <w:rsid w:val="00014566"/>
    <w:rPr>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99"/>
    <w:semiHidden/>
    <w:rsid w:val="00014566"/>
    <w:rPr>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99"/>
    <w:semiHidden/>
    <w:rsid w:val="00014566"/>
    <w:rPr>
      <w:color w:val="000000" w:themeColor="text1" w:themeShade="BF"/>
      <w:lang w:val="fr-FR" w:eastAsia="fr-F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rsid w:val="00014566"/>
    <w:rPr>
      <w:color w:val="00548C" w:themeColor="accent1" w:themeShade="BF"/>
      <w:lang w:val="fr-FR" w:eastAsia="fr-FR"/>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99"/>
    <w:semiHidden/>
    <w:rsid w:val="00014566"/>
    <w:rPr>
      <w:color w:val="8F0000" w:themeColor="accent2" w:themeShade="BF"/>
      <w:lang w:val="fr-FR" w:eastAsia="fr-FR"/>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99"/>
    <w:semiHidden/>
    <w:rsid w:val="00014566"/>
    <w:rPr>
      <w:color w:val="474747" w:themeColor="accent3" w:themeShade="BF"/>
      <w:lang w:val="fr-FR" w:eastAsia="fr-FR"/>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99"/>
    <w:semiHidden/>
    <w:rsid w:val="00014566"/>
    <w:rPr>
      <w:color w:val="707070" w:themeColor="accent4" w:themeShade="BF"/>
      <w:lang w:val="fr-FR" w:eastAsia="fr-FR"/>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99"/>
    <w:semiHidden/>
    <w:rsid w:val="00014566"/>
    <w:rPr>
      <w:color w:val="474747" w:themeColor="accent5" w:themeShade="BF"/>
      <w:lang w:val="fr-FR" w:eastAsia="fr-FR"/>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99"/>
    <w:semiHidden/>
    <w:rsid w:val="00014566"/>
    <w:rPr>
      <w:color w:val="393939" w:themeColor="accent6" w:themeShade="BF"/>
      <w:lang w:val="fr-FR" w:eastAsia="fr-FR"/>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rsid w:val="00014566"/>
  </w:style>
  <w:style w:type="paragraph" w:styleId="List">
    <w:name w:val="List"/>
    <w:basedOn w:val="Normal"/>
    <w:uiPriority w:val="99"/>
    <w:semiHidden/>
    <w:rsid w:val="00014566"/>
    <w:pPr>
      <w:ind w:left="283" w:hanging="283"/>
      <w:contextualSpacing/>
    </w:pPr>
  </w:style>
  <w:style w:type="paragraph" w:styleId="List2">
    <w:name w:val="List 2"/>
    <w:basedOn w:val="Normal"/>
    <w:uiPriority w:val="99"/>
    <w:semiHidden/>
    <w:rsid w:val="00014566"/>
    <w:pPr>
      <w:ind w:left="566" w:hanging="283"/>
      <w:contextualSpacing/>
    </w:pPr>
  </w:style>
  <w:style w:type="paragraph" w:styleId="List3">
    <w:name w:val="List 3"/>
    <w:basedOn w:val="Normal"/>
    <w:uiPriority w:val="99"/>
    <w:semiHidden/>
    <w:rsid w:val="00014566"/>
    <w:pPr>
      <w:ind w:left="849" w:hanging="283"/>
      <w:contextualSpacing/>
    </w:pPr>
  </w:style>
  <w:style w:type="paragraph" w:styleId="List4">
    <w:name w:val="List 4"/>
    <w:basedOn w:val="Normal"/>
    <w:uiPriority w:val="99"/>
    <w:semiHidden/>
    <w:rsid w:val="00014566"/>
    <w:pPr>
      <w:ind w:left="1132" w:hanging="283"/>
      <w:contextualSpacing/>
    </w:pPr>
  </w:style>
  <w:style w:type="paragraph" w:styleId="List5">
    <w:name w:val="List 5"/>
    <w:basedOn w:val="Normal"/>
    <w:uiPriority w:val="99"/>
    <w:semiHidden/>
    <w:rsid w:val="00014566"/>
    <w:pPr>
      <w:ind w:left="1415" w:hanging="283"/>
      <w:contextualSpacing/>
    </w:pPr>
  </w:style>
  <w:style w:type="paragraph" w:styleId="ListBullet2">
    <w:name w:val="List Bullet 2"/>
    <w:basedOn w:val="Normal"/>
    <w:uiPriority w:val="99"/>
    <w:semiHidden/>
    <w:rsid w:val="00014566"/>
    <w:pPr>
      <w:numPr>
        <w:numId w:val="5"/>
      </w:numPr>
      <w:contextualSpacing/>
    </w:pPr>
  </w:style>
  <w:style w:type="paragraph" w:styleId="ListBullet3">
    <w:name w:val="List Bullet 3"/>
    <w:basedOn w:val="Normal"/>
    <w:uiPriority w:val="99"/>
    <w:semiHidden/>
    <w:rsid w:val="00014566"/>
    <w:pPr>
      <w:numPr>
        <w:numId w:val="6"/>
      </w:numPr>
      <w:contextualSpacing/>
    </w:pPr>
  </w:style>
  <w:style w:type="paragraph" w:styleId="ListBullet4">
    <w:name w:val="List Bullet 4"/>
    <w:basedOn w:val="Normal"/>
    <w:uiPriority w:val="99"/>
    <w:semiHidden/>
    <w:rsid w:val="00014566"/>
    <w:pPr>
      <w:numPr>
        <w:numId w:val="7"/>
      </w:numPr>
      <w:contextualSpacing/>
    </w:pPr>
  </w:style>
  <w:style w:type="paragraph" w:styleId="ListBullet5">
    <w:name w:val="List Bullet 5"/>
    <w:basedOn w:val="Normal"/>
    <w:uiPriority w:val="99"/>
    <w:semiHidden/>
    <w:rsid w:val="00014566"/>
    <w:pPr>
      <w:numPr>
        <w:numId w:val="8"/>
      </w:numPr>
      <w:contextualSpacing/>
    </w:pPr>
  </w:style>
  <w:style w:type="paragraph" w:styleId="ListContinue">
    <w:name w:val="List Continue"/>
    <w:basedOn w:val="Normal"/>
    <w:uiPriority w:val="99"/>
    <w:semiHidden/>
    <w:rsid w:val="00014566"/>
    <w:pPr>
      <w:spacing w:after="120"/>
      <w:ind w:left="283"/>
      <w:contextualSpacing/>
    </w:pPr>
  </w:style>
  <w:style w:type="paragraph" w:styleId="ListContinue2">
    <w:name w:val="List Continue 2"/>
    <w:basedOn w:val="Normal"/>
    <w:uiPriority w:val="99"/>
    <w:semiHidden/>
    <w:rsid w:val="00014566"/>
    <w:pPr>
      <w:spacing w:after="120"/>
      <w:ind w:left="566"/>
      <w:contextualSpacing/>
    </w:pPr>
  </w:style>
  <w:style w:type="paragraph" w:styleId="ListContinue3">
    <w:name w:val="List Continue 3"/>
    <w:basedOn w:val="Normal"/>
    <w:uiPriority w:val="99"/>
    <w:semiHidden/>
    <w:rsid w:val="00014566"/>
    <w:pPr>
      <w:spacing w:after="120"/>
      <w:ind w:left="849"/>
      <w:contextualSpacing/>
    </w:pPr>
  </w:style>
  <w:style w:type="paragraph" w:styleId="ListContinue4">
    <w:name w:val="List Continue 4"/>
    <w:basedOn w:val="Normal"/>
    <w:uiPriority w:val="99"/>
    <w:semiHidden/>
    <w:rsid w:val="00014566"/>
    <w:pPr>
      <w:spacing w:after="120"/>
      <w:ind w:left="1132"/>
      <w:contextualSpacing/>
    </w:pPr>
  </w:style>
  <w:style w:type="paragraph" w:styleId="ListContinue5">
    <w:name w:val="List Continue 5"/>
    <w:basedOn w:val="Normal"/>
    <w:uiPriority w:val="99"/>
    <w:semiHidden/>
    <w:rsid w:val="00014566"/>
    <w:pPr>
      <w:spacing w:after="120"/>
      <w:ind w:left="1415"/>
      <w:contextualSpacing/>
    </w:pPr>
  </w:style>
  <w:style w:type="paragraph" w:styleId="ListNumber">
    <w:name w:val="List Number"/>
    <w:basedOn w:val="Normal"/>
    <w:uiPriority w:val="99"/>
    <w:semiHidden/>
    <w:rsid w:val="00014566"/>
    <w:pPr>
      <w:numPr>
        <w:numId w:val="9"/>
      </w:numPr>
      <w:contextualSpacing/>
    </w:pPr>
  </w:style>
  <w:style w:type="paragraph" w:styleId="ListNumber2">
    <w:name w:val="List Number 2"/>
    <w:basedOn w:val="Normal"/>
    <w:uiPriority w:val="99"/>
    <w:semiHidden/>
    <w:rsid w:val="00014566"/>
    <w:pPr>
      <w:numPr>
        <w:numId w:val="10"/>
      </w:numPr>
      <w:contextualSpacing/>
    </w:pPr>
  </w:style>
  <w:style w:type="paragraph" w:styleId="ListNumber3">
    <w:name w:val="List Number 3"/>
    <w:basedOn w:val="Normal"/>
    <w:uiPriority w:val="99"/>
    <w:semiHidden/>
    <w:rsid w:val="00014566"/>
    <w:pPr>
      <w:numPr>
        <w:numId w:val="11"/>
      </w:numPr>
      <w:contextualSpacing/>
    </w:pPr>
  </w:style>
  <w:style w:type="paragraph" w:styleId="ListNumber4">
    <w:name w:val="List Number 4"/>
    <w:basedOn w:val="Normal"/>
    <w:uiPriority w:val="99"/>
    <w:semiHidden/>
    <w:rsid w:val="00014566"/>
    <w:pPr>
      <w:numPr>
        <w:numId w:val="12"/>
      </w:numPr>
      <w:contextualSpacing/>
    </w:pPr>
  </w:style>
  <w:style w:type="paragraph" w:styleId="ListNumber5">
    <w:name w:val="List Number 5"/>
    <w:basedOn w:val="Normal"/>
    <w:uiPriority w:val="99"/>
    <w:semiHidden/>
    <w:rsid w:val="00014566"/>
    <w:pPr>
      <w:numPr>
        <w:numId w:val="13"/>
      </w:numPr>
      <w:contextualSpacing/>
    </w:pPr>
  </w:style>
  <w:style w:type="paragraph" w:styleId="MacroText">
    <w:name w:val="macro"/>
    <w:link w:val="MacroTextChar"/>
    <w:uiPriority w:val="99"/>
    <w:semiHidden/>
    <w:rsid w:val="00014566"/>
    <w:pPr>
      <w:tabs>
        <w:tab w:val="left" w:pos="480"/>
        <w:tab w:val="left" w:pos="960"/>
        <w:tab w:val="left" w:pos="1440"/>
        <w:tab w:val="left" w:pos="1920"/>
        <w:tab w:val="left" w:pos="2400"/>
        <w:tab w:val="left" w:pos="2880"/>
        <w:tab w:val="left" w:pos="3360"/>
        <w:tab w:val="left" w:pos="3840"/>
        <w:tab w:val="left" w:pos="4320"/>
      </w:tabs>
      <w:suppressAutoHyphens/>
    </w:pPr>
    <w:rPr>
      <w:rFonts w:ascii="Consolas" w:hAnsi="Consolas" w:cs="Consolas"/>
      <w:sz w:val="20"/>
      <w:szCs w:val="20"/>
      <w:lang w:val="en-GB" w:eastAsia="fr-FR"/>
    </w:rPr>
  </w:style>
  <w:style w:type="character" w:customStyle="1" w:styleId="MacroTextChar">
    <w:name w:val="Macro Text Char"/>
    <w:basedOn w:val="DefaultParagraphFont"/>
    <w:link w:val="MacroText"/>
    <w:uiPriority w:val="99"/>
    <w:semiHidden/>
    <w:rsid w:val="00014566"/>
    <w:rPr>
      <w:rFonts w:ascii="Consolas" w:hAnsi="Consolas" w:cs="Consolas"/>
      <w:sz w:val="20"/>
      <w:szCs w:val="20"/>
      <w:lang w:val="en-GB" w:eastAsia="fr-FR"/>
    </w:rPr>
  </w:style>
  <w:style w:type="table" w:styleId="MediumGrid1">
    <w:name w:val="Medium Grid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99"/>
    <w:semiHidden/>
    <w:rsid w:val="00014566"/>
    <w:rPr>
      <w:lang w:val="fr-FR" w:eastAsia="fr-FR"/>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99"/>
    <w:semiHidden/>
    <w:rsid w:val="00014566"/>
    <w:rPr>
      <w:color w:val="000000" w:themeColor="text1"/>
      <w:lang w:val="fr-FR" w:eastAsia="fr-FR"/>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rsid w:val="00014566"/>
    <w:rPr>
      <w:color w:val="000000" w:themeColor="text1"/>
      <w:lang w:val="fr-FR" w:eastAsia="fr-FR"/>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99"/>
    <w:semiHidden/>
    <w:rsid w:val="00014566"/>
    <w:rPr>
      <w:color w:val="000000" w:themeColor="text1"/>
      <w:lang w:val="fr-FR" w:eastAsia="fr-FR"/>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99"/>
    <w:semiHidden/>
    <w:rsid w:val="00014566"/>
    <w:rPr>
      <w:color w:val="000000" w:themeColor="text1"/>
      <w:lang w:val="fr-FR" w:eastAsia="fr-FR"/>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99"/>
    <w:semiHidden/>
    <w:rsid w:val="00014566"/>
    <w:rPr>
      <w:color w:val="000000" w:themeColor="text1"/>
      <w:lang w:val="fr-FR" w:eastAsia="fr-FR"/>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99"/>
    <w:semiHidden/>
    <w:rsid w:val="00014566"/>
    <w:rPr>
      <w:color w:val="000000" w:themeColor="text1"/>
      <w:lang w:val="fr-FR" w:eastAsia="fr-FR"/>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99"/>
    <w:semiHidden/>
    <w:rsid w:val="00014566"/>
    <w:rPr>
      <w:rFonts w:asciiTheme="majorHAnsi" w:eastAsiaTheme="majorEastAsia" w:hAnsiTheme="majorHAnsi" w:cstheme="majorBidi"/>
      <w:color w:val="000000" w:themeColor="text1"/>
      <w:lang w:val="fr-FR" w:eastAsia="fr-FR"/>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99"/>
    <w:semiHidden/>
    <w:rsid w:val="00014566"/>
    <w:rPr>
      <w:lang w:val="fr-FR" w:eastAsia="fr-FR"/>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rsid w:val="00014566"/>
    <w:rPr>
      <w:lang w:val="fr-FR" w:eastAsia="fr-FR"/>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99"/>
    <w:semiHidden/>
    <w:rsid w:val="00014566"/>
    <w:rPr>
      <w:lang w:val="fr-FR" w:eastAsia="fr-FR"/>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99"/>
    <w:semiHidden/>
    <w:rsid w:val="00014566"/>
    <w:rPr>
      <w:lang w:val="fr-FR" w:eastAsia="fr-FR"/>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99"/>
    <w:semiHidden/>
    <w:rsid w:val="00014566"/>
    <w:rPr>
      <w:lang w:val="fr-FR" w:eastAsia="fr-FR"/>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99"/>
    <w:semiHidden/>
    <w:rsid w:val="00014566"/>
    <w:rPr>
      <w:lang w:val="fr-FR" w:eastAsia="fr-FR"/>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99"/>
    <w:semiHidden/>
    <w:rsid w:val="00014566"/>
    <w:rPr>
      <w:lang w:val="fr-FR" w:eastAsia="fr-FR"/>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99"/>
    <w:semiHidden/>
    <w:rsid w:val="00014566"/>
    <w:rPr>
      <w:lang w:val="fr-FR"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0145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1456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014566"/>
    <w:rPr>
      <w:rFonts w:ascii="Times New Roman" w:hAnsi="Times New Roman" w:cs="Times New Roman"/>
      <w:szCs w:val="24"/>
    </w:rPr>
  </w:style>
  <w:style w:type="paragraph" w:styleId="NormalIndent">
    <w:name w:val="Normal Indent"/>
    <w:basedOn w:val="Normal"/>
    <w:uiPriority w:val="99"/>
    <w:semiHidden/>
    <w:rsid w:val="00014566"/>
    <w:pPr>
      <w:ind w:left="720"/>
    </w:pPr>
  </w:style>
  <w:style w:type="paragraph" w:styleId="NoteHeading">
    <w:name w:val="Note Heading"/>
    <w:basedOn w:val="Normal"/>
    <w:next w:val="Normal"/>
    <w:link w:val="NoteHeadingChar"/>
    <w:uiPriority w:val="99"/>
    <w:semiHidden/>
    <w:rsid w:val="00014566"/>
  </w:style>
  <w:style w:type="character" w:customStyle="1" w:styleId="NoteHeadingChar">
    <w:name w:val="Note Heading Char"/>
    <w:basedOn w:val="DefaultParagraphFont"/>
    <w:link w:val="NoteHeading"/>
    <w:uiPriority w:val="99"/>
    <w:semiHidden/>
    <w:rsid w:val="00014566"/>
    <w:rPr>
      <w:rFonts w:eastAsiaTheme="minorEastAsia"/>
      <w:sz w:val="24"/>
    </w:rPr>
  </w:style>
  <w:style w:type="character" w:styleId="PlaceholderText">
    <w:name w:val="Placeholder Text"/>
    <w:basedOn w:val="DefaultParagraphFont"/>
    <w:uiPriority w:val="99"/>
    <w:semiHidden/>
    <w:rsid w:val="00014566"/>
    <w:rPr>
      <w:color w:val="808080"/>
    </w:rPr>
  </w:style>
  <w:style w:type="paragraph" w:styleId="PlainText">
    <w:name w:val="Plain Text"/>
    <w:basedOn w:val="Normal"/>
    <w:link w:val="PlainTextChar"/>
    <w:uiPriority w:val="99"/>
    <w:semiHidden/>
    <w:rsid w:val="00014566"/>
    <w:rPr>
      <w:rFonts w:ascii="Consolas" w:hAnsi="Consolas" w:cs="Consolas"/>
      <w:sz w:val="21"/>
      <w:szCs w:val="21"/>
    </w:rPr>
  </w:style>
  <w:style w:type="character" w:customStyle="1" w:styleId="PlainTextChar">
    <w:name w:val="Plain Text Char"/>
    <w:basedOn w:val="DefaultParagraphFont"/>
    <w:link w:val="PlainText"/>
    <w:uiPriority w:val="99"/>
    <w:semiHidden/>
    <w:rsid w:val="00014566"/>
    <w:rPr>
      <w:rFonts w:ascii="Consolas" w:eastAsiaTheme="minorEastAsia" w:hAnsi="Consolas" w:cs="Consolas"/>
      <w:sz w:val="21"/>
      <w:szCs w:val="21"/>
    </w:rPr>
  </w:style>
  <w:style w:type="paragraph" w:styleId="Salutation">
    <w:name w:val="Salutation"/>
    <w:basedOn w:val="Normal"/>
    <w:next w:val="Normal"/>
    <w:link w:val="SalutationChar"/>
    <w:uiPriority w:val="99"/>
    <w:semiHidden/>
    <w:rsid w:val="00014566"/>
  </w:style>
  <w:style w:type="character" w:customStyle="1" w:styleId="SalutationChar">
    <w:name w:val="Salutation Char"/>
    <w:basedOn w:val="DefaultParagraphFont"/>
    <w:link w:val="Salutation"/>
    <w:uiPriority w:val="99"/>
    <w:semiHidden/>
    <w:rsid w:val="00014566"/>
    <w:rPr>
      <w:rFonts w:eastAsiaTheme="minorEastAsia"/>
      <w:sz w:val="24"/>
    </w:rPr>
  </w:style>
  <w:style w:type="paragraph" w:styleId="Signature">
    <w:name w:val="Signature"/>
    <w:basedOn w:val="Normal"/>
    <w:link w:val="SignatureChar"/>
    <w:uiPriority w:val="99"/>
    <w:semiHidden/>
    <w:rsid w:val="00014566"/>
    <w:pPr>
      <w:ind w:left="4252"/>
    </w:pPr>
  </w:style>
  <w:style w:type="character" w:customStyle="1" w:styleId="SignatureChar">
    <w:name w:val="Signature Char"/>
    <w:basedOn w:val="DefaultParagraphFont"/>
    <w:link w:val="Signature"/>
    <w:uiPriority w:val="99"/>
    <w:semiHidden/>
    <w:rsid w:val="00014566"/>
    <w:rPr>
      <w:rFonts w:eastAsiaTheme="minorEastAsia"/>
      <w:sz w:val="24"/>
    </w:rPr>
  </w:style>
  <w:style w:type="table" w:styleId="Table3Deffects1">
    <w:name w:val="Table 3D effects 1"/>
    <w:basedOn w:val="TableNormal"/>
    <w:uiPriority w:val="99"/>
    <w:semiHidden/>
    <w:rsid w:val="00014566"/>
    <w:pPr>
      <w:suppressAutoHyphens/>
    </w:pPr>
    <w:rPr>
      <w:lang w:val="fr-FR" w:eastAsia="fr-FR"/>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014566"/>
    <w:pPr>
      <w:suppressAutoHyphens/>
    </w:pPr>
    <w:rPr>
      <w:lang w:val="fr-FR" w:eastAsia="fr-FR"/>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014566"/>
    <w:pPr>
      <w:suppressAutoHyphens/>
    </w:pPr>
    <w:rPr>
      <w:lang w:val="fr-FR" w:eastAsia="fr-FR"/>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014566"/>
    <w:pPr>
      <w:suppressAutoHyphens/>
    </w:pPr>
    <w:rPr>
      <w:lang w:val="fr-FR" w:eastAsia="fr-FR"/>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014566"/>
    <w:pPr>
      <w:suppressAutoHyphens/>
    </w:pPr>
    <w:rPr>
      <w:color w:val="000080"/>
      <w:lang w:val="fr-FR" w:eastAsia="fr-FR"/>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014566"/>
    <w:pPr>
      <w:suppressAutoHyphens/>
    </w:pPr>
    <w:rPr>
      <w:lang w:val="fr-FR" w:eastAsia="fr-FR"/>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014566"/>
    <w:pPr>
      <w:suppressAutoHyphens/>
    </w:pPr>
    <w:rPr>
      <w:color w:val="FFFFFF"/>
      <w:lang w:val="fr-FR" w:eastAsia="fr-FR"/>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014566"/>
    <w:pPr>
      <w:suppressAutoHyphens/>
    </w:pPr>
    <w:rPr>
      <w:lang w:val="fr-FR" w:eastAsia="fr-FR"/>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014566"/>
    <w:pPr>
      <w:suppressAutoHyphens/>
    </w:pPr>
    <w:rPr>
      <w:lang w:val="fr-FR" w:eastAsia="fr-FR"/>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014566"/>
    <w:pPr>
      <w:suppressAutoHyphens/>
    </w:pPr>
    <w:rPr>
      <w:b/>
      <w:bCs/>
      <w:lang w:val="fr-FR" w:eastAsia="fr-FR"/>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014566"/>
    <w:pPr>
      <w:suppressAutoHyphens/>
    </w:pPr>
    <w:rPr>
      <w:b/>
      <w:bCs/>
      <w:lang w:val="fr-FR" w:eastAsia="fr-FR"/>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014566"/>
    <w:pPr>
      <w:suppressAutoHyphens/>
    </w:pPr>
    <w:rPr>
      <w:b/>
      <w:bCs/>
      <w:lang w:val="fr-FR" w:eastAsia="fr-FR"/>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014566"/>
    <w:pPr>
      <w:suppressAutoHyphens/>
    </w:pPr>
    <w:rPr>
      <w:lang w:val="fr-FR" w:eastAsia="fr-FR"/>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rsid w:val="00014566"/>
    <w:pPr>
      <w:suppressAutoHyphens/>
    </w:pPr>
    <w:rPr>
      <w:lang w:val="fr-FR" w:eastAsia="fr-FR"/>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rsid w:val="00014566"/>
    <w:pPr>
      <w:suppressAutoHyphens/>
    </w:pPr>
    <w:rPr>
      <w:lang w:val="fr-FR" w:eastAsia="fr-FR"/>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014566"/>
    <w:pPr>
      <w:suppressAutoHyphens/>
    </w:pPr>
    <w:rPr>
      <w:lang w:val="fr-FR" w:eastAsia="fr-FR"/>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014566"/>
    <w:pPr>
      <w:suppressAutoHyphens/>
    </w:pPr>
    <w:rPr>
      <w:lang w:val="fr-FR" w:eastAsia="fr-FR"/>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014566"/>
    <w:pPr>
      <w:suppressAutoHyphens/>
    </w:pPr>
    <w:rPr>
      <w:lang w:val="fr-FR" w:eastAsia="fr-FR"/>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014566"/>
    <w:pPr>
      <w:suppressAutoHyphens/>
    </w:pPr>
    <w:rPr>
      <w:lang w:val="fr-FR" w:eastAsia="fr-FR"/>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rsid w:val="00014566"/>
    <w:pPr>
      <w:suppressAutoHyphens/>
    </w:pPr>
    <w:rPr>
      <w:b/>
      <w:bCs/>
      <w:lang w:val="fr-FR" w:eastAsia="fr-FR"/>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rsid w:val="00014566"/>
    <w:pPr>
      <w:suppressAutoHyphens/>
    </w:pPr>
    <w:rPr>
      <w:lang w:val="fr-FR" w:eastAsia="fr-FR"/>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014566"/>
    <w:pPr>
      <w:suppressAutoHyphens/>
    </w:pPr>
    <w:rPr>
      <w:lang w:val="fr-FR" w:eastAsia="fr-FR"/>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014566"/>
    <w:pPr>
      <w:suppressAutoHyphens/>
    </w:pPr>
    <w:rPr>
      <w:lang w:val="fr-FR" w:eastAsia="fr-FR"/>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014566"/>
    <w:pPr>
      <w:suppressAutoHyphens/>
    </w:pPr>
    <w:rPr>
      <w:lang w:val="fr-FR" w:eastAsia="fr-FR"/>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014566"/>
    <w:pPr>
      <w:suppressAutoHyphens/>
    </w:pPr>
    <w:rPr>
      <w:lang w:val="fr-FR" w:eastAsia="fr-FR"/>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014566"/>
    <w:pPr>
      <w:suppressAutoHyphens/>
    </w:pPr>
    <w:rPr>
      <w:lang w:val="fr-FR" w:eastAsia="fr-FR"/>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014566"/>
    <w:pPr>
      <w:ind w:left="240" w:hanging="240"/>
    </w:pPr>
  </w:style>
  <w:style w:type="paragraph" w:styleId="TableofFigures">
    <w:name w:val="table of figures"/>
    <w:basedOn w:val="Normal"/>
    <w:next w:val="Normal"/>
    <w:uiPriority w:val="99"/>
    <w:semiHidden/>
    <w:rsid w:val="00014566"/>
  </w:style>
  <w:style w:type="table" w:styleId="TableProfessional">
    <w:name w:val="Table Professional"/>
    <w:basedOn w:val="TableNormal"/>
    <w:uiPriority w:val="99"/>
    <w:semiHidden/>
    <w:rsid w:val="00014566"/>
    <w:pPr>
      <w:suppressAutoHyphens/>
    </w:pPr>
    <w:rPr>
      <w:lang w:val="fr-FR" w:eastAsia="fr-FR"/>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014566"/>
    <w:pPr>
      <w:suppressAutoHyphens/>
    </w:pPr>
    <w:rPr>
      <w:lang w:val="fr-FR" w:eastAsia="fr-FR"/>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014566"/>
    <w:pPr>
      <w:suppressAutoHyphens/>
    </w:pPr>
    <w:rPr>
      <w:lang w:val="fr-FR" w:eastAsia="fr-FR"/>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014566"/>
    <w:pPr>
      <w:suppressAutoHyphens/>
    </w:pPr>
    <w:rPr>
      <w:lang w:val="fr-FR" w:eastAsia="fr-FR"/>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014566"/>
    <w:pPr>
      <w:suppressAutoHyphens/>
    </w:pPr>
    <w:rPr>
      <w:lang w:val="fr-FR" w:eastAsia="fr-FR"/>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014566"/>
    <w:pPr>
      <w:suppressAutoHyphens/>
    </w:pPr>
    <w:rPr>
      <w:lang w:val="fr-FR" w:eastAsia="fr-FR"/>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014566"/>
    <w:pPr>
      <w:suppressAutoHyphens/>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014566"/>
    <w:pPr>
      <w:suppressAutoHyphens/>
    </w:pPr>
    <w:rPr>
      <w:lang w:val="fr-FR" w:eastAsia="fr-FR"/>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014566"/>
    <w:pPr>
      <w:suppressAutoHyphens/>
    </w:pPr>
    <w:rPr>
      <w:lang w:val="fr-FR" w:eastAsia="fr-FR"/>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014566"/>
    <w:pPr>
      <w:suppressAutoHyphens/>
    </w:pPr>
    <w:rPr>
      <w:lang w:val="fr-FR" w:eastAsia="fr-FR"/>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9"/>
    <w:semiHidden/>
    <w:rsid w:val="00014566"/>
    <w:pPr>
      <w:spacing w:after="100"/>
      <w:ind w:left="1200"/>
    </w:pPr>
  </w:style>
  <w:style w:type="paragraph" w:styleId="TOC7">
    <w:name w:val="toc 7"/>
    <w:basedOn w:val="Normal"/>
    <w:next w:val="Normal"/>
    <w:autoRedefine/>
    <w:uiPriority w:val="99"/>
    <w:semiHidden/>
    <w:rsid w:val="00014566"/>
    <w:pPr>
      <w:spacing w:after="100"/>
      <w:ind w:left="1440"/>
    </w:pPr>
  </w:style>
  <w:style w:type="paragraph" w:styleId="TOC8">
    <w:name w:val="toc 8"/>
    <w:basedOn w:val="Normal"/>
    <w:next w:val="Normal"/>
    <w:autoRedefine/>
    <w:uiPriority w:val="99"/>
    <w:semiHidden/>
    <w:rsid w:val="00014566"/>
    <w:pPr>
      <w:spacing w:after="100"/>
      <w:ind w:left="1680"/>
    </w:pPr>
  </w:style>
  <w:style w:type="paragraph" w:styleId="TOC9">
    <w:name w:val="toc 9"/>
    <w:basedOn w:val="Normal"/>
    <w:next w:val="Normal"/>
    <w:autoRedefine/>
    <w:uiPriority w:val="99"/>
    <w:semiHidden/>
    <w:rsid w:val="00014566"/>
    <w:pPr>
      <w:spacing w:after="100"/>
      <w:ind w:left="1920"/>
    </w:pPr>
  </w:style>
  <w:style w:type="paragraph" w:customStyle="1" w:styleId="OpiTranslation">
    <w:name w:val="Opi_Translation"/>
    <w:basedOn w:val="Normal"/>
    <w:next w:val="OpiPara"/>
    <w:uiPriority w:val="40"/>
    <w:qFormat/>
    <w:rsid w:val="00A96ED6"/>
    <w:pPr>
      <w:jc w:val="center"/>
      <w:outlineLvl w:val="0"/>
    </w:pPr>
    <w:rPr>
      <w:i/>
    </w:rPr>
  </w:style>
  <w:style w:type="paragraph" w:customStyle="1" w:styleId="DecHTitle">
    <w:name w:val="Dec_H_Title"/>
    <w:basedOn w:val="ECHRTitleCentre1"/>
    <w:uiPriority w:val="7"/>
    <w:rsid w:val="00A96ED6"/>
  </w:style>
  <w:style w:type="paragraph" w:customStyle="1" w:styleId="DecList">
    <w:name w:val="Dec_List"/>
    <w:basedOn w:val="Normal"/>
    <w:uiPriority w:val="9"/>
    <w:rsid w:val="00A96ED6"/>
    <w:pPr>
      <w:spacing w:before="240"/>
      <w:ind w:left="284"/>
    </w:pPr>
  </w:style>
  <w:style w:type="paragraph" w:customStyle="1" w:styleId="OpiH1">
    <w:name w:val="Opi_H_1"/>
    <w:basedOn w:val="ECHRHeading2"/>
    <w:uiPriority w:val="42"/>
    <w:qFormat/>
    <w:rsid w:val="00A96ED6"/>
    <w:pPr>
      <w:ind w:left="635" w:hanging="357"/>
      <w:outlineLvl w:val="2"/>
    </w:pPr>
  </w:style>
  <w:style w:type="paragraph" w:customStyle="1" w:styleId="OpiHa0">
    <w:name w:val="Opi_H_a"/>
    <w:basedOn w:val="ECHRHeading3"/>
    <w:uiPriority w:val="43"/>
    <w:qFormat/>
    <w:rsid w:val="00A96ED6"/>
    <w:pPr>
      <w:ind w:left="833" w:hanging="357"/>
      <w:outlineLvl w:val="3"/>
    </w:pPr>
    <w:rPr>
      <w:b/>
      <w:i w:val="0"/>
      <w:sz w:val="20"/>
    </w:rPr>
  </w:style>
  <w:style w:type="paragraph" w:customStyle="1" w:styleId="OpiHi">
    <w:name w:val="Opi_H_i"/>
    <w:basedOn w:val="ECHRHeading4"/>
    <w:uiPriority w:val="44"/>
    <w:qFormat/>
    <w:rsid w:val="00A96ED6"/>
    <w:pPr>
      <w:ind w:left="1037" w:hanging="357"/>
      <w:outlineLvl w:val="4"/>
    </w:pPr>
    <w:rPr>
      <w:b w:val="0"/>
      <w:i/>
    </w:rPr>
  </w:style>
  <w:style w:type="paragraph" w:customStyle="1" w:styleId="DummyStyle">
    <w:name w:val="Dummy_Style"/>
    <w:basedOn w:val="Normal"/>
    <w:semiHidden/>
    <w:qFormat/>
    <w:rsid w:val="00A96ED6"/>
    <w:rPr>
      <w:color w:val="00B050"/>
    </w:rPr>
  </w:style>
  <w:style w:type="character" w:customStyle="1" w:styleId="ECHRParaChar">
    <w:name w:val="ECHR_Para Char"/>
    <w:aliases w:val="Ju_Para Char"/>
    <w:link w:val="ECHRPara"/>
    <w:uiPriority w:val="12"/>
    <w:rsid w:val="00E11D6F"/>
    <w:rPr>
      <w:rFonts w:eastAsiaTheme="minorEastAsia"/>
      <w:sz w:val="24"/>
    </w:rPr>
  </w:style>
  <w:style w:type="character" w:customStyle="1" w:styleId="sb8d990e2">
    <w:name w:val="sb8d990e2"/>
    <w:basedOn w:val="DefaultParagraphFont"/>
    <w:rsid w:val="00C33086"/>
  </w:style>
  <w:style w:type="character" w:customStyle="1" w:styleId="s6b621b36">
    <w:name w:val="s6b621b36"/>
    <w:basedOn w:val="DefaultParagraphFont"/>
    <w:rsid w:val="008A1BFD"/>
  </w:style>
  <w:style w:type="paragraph" w:customStyle="1" w:styleId="jupara">
    <w:name w:val="jupara"/>
    <w:basedOn w:val="Normal"/>
    <w:rsid w:val="00934B09"/>
    <w:pPr>
      <w:ind w:firstLine="284"/>
    </w:pPr>
    <w:rPr>
      <w:rFonts w:ascii="Times New Roman" w:eastAsia="Times New Roman" w:hAnsi="Times New Roman" w:cs="Times New Roman"/>
      <w:szCs w:val="24"/>
      <w:lang w:val="en-GB" w:eastAsia="en-GB"/>
    </w:rPr>
  </w:style>
  <w:style w:type="paragraph" w:customStyle="1" w:styleId="jucase0">
    <w:name w:val="jucase"/>
    <w:basedOn w:val="Normal"/>
    <w:rsid w:val="00934B09"/>
    <w:pPr>
      <w:ind w:firstLine="284"/>
    </w:pPr>
    <w:rPr>
      <w:rFonts w:ascii="Times New Roman" w:eastAsia="Times New Roman" w:hAnsi="Times New Roman" w:cs="Times New Roman"/>
      <w:b/>
      <w:bCs/>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6D5CE5-28D2-4690-A96B-DE3BCE4E4A71}"/>
</file>

<file path=customXml/itemProps2.xml><?xml version="1.0" encoding="utf-8"?>
<ds:datastoreItem xmlns:ds="http://schemas.openxmlformats.org/officeDocument/2006/customXml" ds:itemID="{7C0C7D7D-884C-4185-93E0-1BFA2780C50D}"/>
</file>

<file path=customXml/itemProps3.xml><?xml version="1.0" encoding="utf-8"?>
<ds:datastoreItem xmlns:ds="http://schemas.openxmlformats.org/officeDocument/2006/customXml" ds:itemID="{B41C5419-7FBB-4A81-961F-AD5DB54DBC8A}"/>
</file>

<file path=customXml/itemProps4.xml><?xml version="1.0" encoding="utf-8"?>
<ds:datastoreItem xmlns:ds="http://schemas.openxmlformats.org/officeDocument/2006/customXml" ds:itemID="{83D1B4A4-D46D-48BA-8BFF-8EAC5FC86407}"/>
</file>

<file path=docProps/app.xml><?xml version="1.0" encoding="utf-8"?>
<Properties xmlns="http://schemas.openxmlformats.org/officeDocument/2006/extended-properties" xmlns:vt="http://schemas.openxmlformats.org/officeDocument/2006/docPropsVTypes">
  <Template>Normal.dotm</Template>
  <TotalTime>1</TotalTime>
  <Pages>1</Pages>
  <Words>6881</Words>
  <Characters>39227</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46016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lastModifiedBy/>
  <cp:revision>2</cp:revision>
  <dcterms:created xsi:type="dcterms:W3CDTF">2017-08-02T12:54:00Z</dcterms:created>
  <dcterms:modified xsi:type="dcterms:W3CDTF">2017-08-02T12:54:00Z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