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4.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566" w:rsidP="0079033E" w:rsidRDefault="00014566">
      <w:pPr>
        <w:pStyle w:val="ECHRDecisionBody"/>
        <w:jc w:val="center"/>
        <w:rPr>
          <w:lang w:val="en-GB"/>
        </w:rPr>
      </w:pPr>
      <w:bookmarkStart w:name="_GoBack" w:id="0"/>
      <w:bookmarkEnd w:id="0"/>
    </w:p>
    <w:p w:rsidR="001421D4" w:rsidP="0079033E" w:rsidRDefault="001421D4">
      <w:pPr>
        <w:pStyle w:val="ECHRDecisionBody"/>
        <w:jc w:val="center"/>
        <w:rPr>
          <w:lang w:val="en-GB"/>
        </w:rPr>
      </w:pPr>
    </w:p>
    <w:p w:rsidRPr="00062973" w:rsidR="001421D4" w:rsidP="0079033E" w:rsidRDefault="001421D4">
      <w:pPr>
        <w:pStyle w:val="ECHRDecisionBody"/>
        <w:jc w:val="center"/>
        <w:rPr>
          <w:lang w:val="en-GB"/>
        </w:rPr>
      </w:pPr>
    </w:p>
    <w:p w:rsidRPr="00062973" w:rsidR="00014566" w:rsidP="00014566" w:rsidRDefault="009A7F71">
      <w:pPr>
        <w:jc w:val="center"/>
        <w:rPr>
          <w:lang w:val="en-GB"/>
        </w:rPr>
      </w:pPr>
      <w:r>
        <w:rPr>
          <w:lang w:val="en-GB"/>
        </w:rPr>
        <w:t>FIRST SECTION</w:t>
      </w:r>
    </w:p>
    <w:p w:rsidR="00014566" w:rsidP="00014566" w:rsidRDefault="00014566">
      <w:pPr>
        <w:jc w:val="center"/>
        <w:rPr>
          <w:lang w:val="en-GB"/>
        </w:rPr>
      </w:pPr>
    </w:p>
    <w:p w:rsidR="001421D4" w:rsidP="00014566" w:rsidRDefault="001421D4">
      <w:pPr>
        <w:jc w:val="center"/>
        <w:rPr>
          <w:lang w:val="en-GB"/>
        </w:rPr>
      </w:pPr>
    </w:p>
    <w:p w:rsidR="001421D4" w:rsidP="00014566" w:rsidRDefault="001421D4">
      <w:pPr>
        <w:jc w:val="center"/>
        <w:rPr>
          <w:lang w:val="en-GB"/>
        </w:rPr>
      </w:pPr>
    </w:p>
    <w:p w:rsidR="001421D4" w:rsidP="00014566" w:rsidRDefault="001421D4">
      <w:pPr>
        <w:jc w:val="center"/>
        <w:rPr>
          <w:lang w:val="en-GB"/>
        </w:rPr>
      </w:pPr>
    </w:p>
    <w:p w:rsidR="0079033E" w:rsidP="00014566" w:rsidRDefault="0079033E">
      <w:pPr>
        <w:jc w:val="center"/>
        <w:rPr>
          <w:lang w:val="en-GB"/>
        </w:rPr>
      </w:pPr>
    </w:p>
    <w:p w:rsidR="001421D4" w:rsidP="00014566" w:rsidRDefault="001421D4">
      <w:pPr>
        <w:jc w:val="center"/>
        <w:rPr>
          <w:lang w:val="en-GB"/>
        </w:rPr>
      </w:pPr>
    </w:p>
    <w:p w:rsidR="001421D4" w:rsidP="00014566" w:rsidRDefault="001421D4">
      <w:pPr>
        <w:jc w:val="center"/>
        <w:rPr>
          <w:lang w:val="en-GB"/>
        </w:rPr>
      </w:pPr>
    </w:p>
    <w:p w:rsidRPr="00062973" w:rsidR="001421D4" w:rsidP="00014566" w:rsidRDefault="001421D4">
      <w:pPr>
        <w:jc w:val="center"/>
        <w:rPr>
          <w:lang w:val="en-GB"/>
        </w:rPr>
      </w:pPr>
    </w:p>
    <w:p w:rsidRPr="008B659F" w:rsidR="00014566" w:rsidP="00014566" w:rsidRDefault="00014566">
      <w:pPr>
        <w:jc w:val="center"/>
        <w:rPr>
          <w:b/>
          <w:lang w:val="en-GB"/>
        </w:rPr>
      </w:pPr>
      <w:bookmarkStart w:name="To" w:id="1"/>
      <w:r w:rsidRPr="008B659F">
        <w:rPr>
          <w:b/>
          <w:lang w:val="en-GB"/>
        </w:rPr>
        <w:t xml:space="preserve">CASE OF </w:t>
      </w:r>
      <w:bookmarkEnd w:id="1"/>
      <w:r w:rsidR="0061330A">
        <w:rPr>
          <w:b/>
          <w:lang w:val="en-GB"/>
        </w:rPr>
        <w:t xml:space="preserve">SERGEY </w:t>
      </w:r>
      <w:r w:rsidR="009A7F71">
        <w:rPr>
          <w:b/>
        </w:rPr>
        <w:t xml:space="preserve">LEBEDEV </w:t>
      </w:r>
      <w:r w:rsidR="003F6C82">
        <w:rPr>
          <w:b/>
        </w:rPr>
        <w:t xml:space="preserve">AND OTHERS </w:t>
      </w:r>
      <w:r w:rsidR="009A7F71">
        <w:rPr>
          <w:b/>
        </w:rPr>
        <w:t>v. RUSSIA</w:t>
      </w:r>
    </w:p>
    <w:p w:rsidRPr="00062973" w:rsidR="00014566" w:rsidP="00014566" w:rsidRDefault="00014566">
      <w:pPr>
        <w:jc w:val="center"/>
        <w:rPr>
          <w:lang w:val="en-GB"/>
        </w:rPr>
      </w:pPr>
    </w:p>
    <w:p w:rsidRPr="00D53C0F" w:rsidR="00014566" w:rsidP="00014566" w:rsidRDefault="00014566">
      <w:pPr>
        <w:jc w:val="center"/>
        <w:rPr>
          <w:i/>
          <w:lang w:val="en-GB"/>
        </w:rPr>
      </w:pPr>
      <w:r w:rsidRPr="00D53C0F">
        <w:rPr>
          <w:i/>
          <w:lang w:val="en-GB"/>
        </w:rPr>
        <w:t>(</w:t>
      </w:r>
      <w:r w:rsidRPr="00D53C0F" w:rsidR="009A7F71">
        <w:rPr>
          <w:i/>
          <w:lang w:val="en-GB"/>
        </w:rPr>
        <w:t xml:space="preserve">Applications nos. </w:t>
      </w:r>
      <w:r w:rsidRPr="00393A15" w:rsidR="00393A15">
        <w:rPr>
          <w:i/>
          <w:lang w:val="en-GB"/>
        </w:rPr>
        <w:t>2500/07, 43089/07, 48809/07, 52271/07 and 54706/07</w:t>
      </w:r>
      <w:r w:rsidRPr="00D53C0F">
        <w:rPr>
          <w:i/>
          <w:lang w:val="en-GB"/>
        </w:rPr>
        <w:t>)</w:t>
      </w:r>
    </w:p>
    <w:p w:rsidRPr="00062973" w:rsidR="00014566" w:rsidP="00014566" w:rsidRDefault="00014566">
      <w:pPr>
        <w:jc w:val="center"/>
        <w:rPr>
          <w:lang w:val="en-GB"/>
        </w:rPr>
      </w:pPr>
    </w:p>
    <w:p w:rsidRPr="00062973" w:rsidR="00014566" w:rsidP="00014566" w:rsidRDefault="00014566">
      <w:pPr>
        <w:jc w:val="center"/>
        <w:rPr>
          <w:lang w:val="en-GB"/>
        </w:rPr>
      </w:pPr>
    </w:p>
    <w:p w:rsidRPr="00062973" w:rsidR="00014566" w:rsidP="00014566" w:rsidRDefault="00014566">
      <w:pPr>
        <w:jc w:val="center"/>
        <w:rPr>
          <w:lang w:val="en-GB"/>
        </w:rPr>
      </w:pPr>
    </w:p>
    <w:p w:rsidR="001421D4" w:rsidP="00014566" w:rsidRDefault="001421D4">
      <w:pPr>
        <w:jc w:val="center"/>
        <w:rPr>
          <w:lang w:val="en-GB"/>
        </w:rPr>
      </w:pPr>
    </w:p>
    <w:p w:rsidR="001421D4" w:rsidP="00014566" w:rsidRDefault="001421D4">
      <w:pPr>
        <w:jc w:val="center"/>
        <w:rPr>
          <w:lang w:val="en-GB"/>
        </w:rPr>
      </w:pPr>
    </w:p>
    <w:p w:rsidR="0079033E" w:rsidP="00014566" w:rsidRDefault="0079033E">
      <w:pPr>
        <w:jc w:val="center"/>
        <w:rPr>
          <w:lang w:val="en-GB"/>
        </w:rPr>
      </w:pPr>
    </w:p>
    <w:p w:rsidR="001421D4" w:rsidP="00014566" w:rsidRDefault="001421D4">
      <w:pPr>
        <w:jc w:val="center"/>
        <w:rPr>
          <w:lang w:val="en-GB"/>
        </w:rPr>
      </w:pPr>
    </w:p>
    <w:p w:rsidRPr="00062973" w:rsidR="001421D4" w:rsidP="00014566" w:rsidRDefault="001421D4">
      <w:pPr>
        <w:jc w:val="center"/>
        <w:rPr>
          <w:lang w:val="en-GB"/>
        </w:rPr>
      </w:pPr>
    </w:p>
    <w:p w:rsidRPr="001421D4" w:rsidR="00014566" w:rsidP="001421D4" w:rsidRDefault="001421D4">
      <w:pPr>
        <w:jc w:val="center"/>
        <w:rPr>
          <w:szCs w:val="24"/>
          <w:lang w:val="en-GB"/>
        </w:rPr>
      </w:pPr>
      <w:r>
        <w:rPr>
          <w:szCs w:val="24"/>
          <w:lang w:val="en-GB"/>
        </w:rPr>
        <w:t>JUDGMENT</w:t>
      </w:r>
    </w:p>
    <w:p w:rsidR="001421D4" w:rsidP="001421D4" w:rsidRDefault="001421D4">
      <w:pPr>
        <w:pStyle w:val="JuCase"/>
        <w:ind w:firstLine="0"/>
        <w:jc w:val="center"/>
        <w:rPr>
          <w:b w:val="0"/>
          <w:lang w:val="en-GB"/>
        </w:rPr>
      </w:pPr>
    </w:p>
    <w:p w:rsidR="001421D4" w:rsidP="001421D4" w:rsidRDefault="001421D4">
      <w:pPr>
        <w:pStyle w:val="JuCase"/>
        <w:ind w:firstLine="0"/>
        <w:jc w:val="center"/>
        <w:rPr>
          <w:b w:val="0"/>
          <w:lang w:val="en-GB"/>
        </w:rPr>
      </w:pPr>
    </w:p>
    <w:p w:rsidR="001421D4" w:rsidP="001421D4" w:rsidRDefault="001421D4">
      <w:pPr>
        <w:pStyle w:val="JuCase"/>
        <w:ind w:firstLine="0"/>
        <w:jc w:val="center"/>
        <w:rPr>
          <w:b w:val="0"/>
          <w:lang w:val="en-GB"/>
        </w:rPr>
      </w:pPr>
      <w:r>
        <w:rPr>
          <w:b w:val="0"/>
          <w:lang w:val="en-GB"/>
        </w:rPr>
        <w:t>STRASBOURG</w:t>
      </w:r>
    </w:p>
    <w:p w:rsidR="001421D4" w:rsidP="001421D4" w:rsidRDefault="001421D4">
      <w:pPr>
        <w:pStyle w:val="JuCase"/>
        <w:ind w:firstLine="0"/>
        <w:jc w:val="center"/>
        <w:rPr>
          <w:b w:val="0"/>
          <w:lang w:val="en-GB"/>
        </w:rPr>
      </w:pPr>
    </w:p>
    <w:p w:rsidR="001421D4" w:rsidP="001421D4" w:rsidRDefault="001421D4">
      <w:pPr>
        <w:pStyle w:val="JuCase"/>
        <w:ind w:firstLine="0"/>
        <w:jc w:val="center"/>
        <w:rPr>
          <w:b w:val="0"/>
          <w:lang w:val="en-GB"/>
        </w:rPr>
      </w:pPr>
      <w:r>
        <w:rPr>
          <w:b w:val="0"/>
          <w:lang w:val="en-GB"/>
        </w:rPr>
        <w:t>30 April 2015</w:t>
      </w:r>
    </w:p>
    <w:p w:rsidR="001421D4" w:rsidP="001421D4" w:rsidRDefault="001421D4">
      <w:pPr>
        <w:pStyle w:val="JuCase"/>
        <w:ind w:firstLine="0"/>
        <w:jc w:val="center"/>
        <w:rPr>
          <w:b w:val="0"/>
          <w:lang w:val="en-GB"/>
        </w:rPr>
      </w:pPr>
    </w:p>
    <w:p w:rsidR="001421D4" w:rsidP="001421D4" w:rsidRDefault="001421D4">
      <w:pPr>
        <w:pStyle w:val="JuCase"/>
        <w:ind w:firstLine="0"/>
        <w:jc w:val="center"/>
        <w:rPr>
          <w:b w:val="0"/>
          <w:lang w:val="en-GB"/>
        </w:rPr>
      </w:pPr>
    </w:p>
    <w:p w:rsidR="001421D4" w:rsidP="001421D4" w:rsidRDefault="001421D4">
      <w:pPr>
        <w:jc w:val="center"/>
        <w:rPr>
          <w:lang w:val="en-GB"/>
        </w:rPr>
      </w:pPr>
    </w:p>
    <w:p w:rsidR="001421D4" w:rsidP="001421D4" w:rsidRDefault="001421D4">
      <w:pPr>
        <w:jc w:val="center"/>
        <w:rPr>
          <w:lang w:val="en-GB"/>
        </w:rPr>
      </w:pPr>
    </w:p>
    <w:p w:rsidRPr="001421D4" w:rsidR="001421D4" w:rsidP="001421D4" w:rsidRDefault="001421D4">
      <w:pPr>
        <w:jc w:val="center"/>
        <w:rPr>
          <w:lang w:val="en-GB"/>
        </w:rPr>
      </w:pPr>
    </w:p>
    <w:p w:rsidR="001421D4" w:rsidP="001421D4" w:rsidRDefault="001421D4">
      <w:pPr>
        <w:pStyle w:val="JuCase"/>
        <w:ind w:firstLine="0"/>
        <w:rPr>
          <w:b w:val="0"/>
          <w:i/>
          <w:sz w:val="22"/>
          <w:lang w:val="en-GB"/>
        </w:rPr>
      </w:pPr>
      <w:r>
        <w:rPr>
          <w:b w:val="0"/>
          <w:i/>
          <w:sz w:val="22"/>
          <w:lang w:val="en-GB"/>
        </w:rPr>
        <w:t>This judgment is final but it may be subject to editorial revision.</w:t>
      </w:r>
    </w:p>
    <w:p w:rsidR="0079033E" w:rsidP="0079033E" w:rsidRDefault="0079033E">
      <w:pPr>
        <w:rPr>
          <w:lang w:val="en-GB"/>
        </w:rPr>
      </w:pPr>
    </w:p>
    <w:p w:rsidRPr="0079033E" w:rsidR="0079033E" w:rsidP="0079033E" w:rsidRDefault="0079033E">
      <w:pPr>
        <w:rPr>
          <w:lang w:val="en-GB"/>
        </w:rPr>
        <w:sectPr w:rsidRPr="0079033E" w:rsidR="0079033E" w:rsidSect="001421D4">
          <w:headerReference w:type="default" r:id="rId8"/>
          <w:headerReference w:type="first" r:id="rId9"/>
          <w:footerReference w:type="first" r:id="rId10"/>
          <w:footnotePr>
            <w:numRestart w:val="eachPage"/>
          </w:footnotePr>
          <w:pgSz w:w="11906" w:h="16838" w:code="9"/>
          <w:pgMar w:top="2274" w:right="2274" w:bottom="2274" w:left="2274" w:header="1701" w:footer="720" w:gutter="0"/>
          <w:pgNumType w:start="1"/>
          <w:cols w:space="720"/>
          <w:titlePg/>
          <w:docGrid w:linePitch="326"/>
        </w:sectPr>
      </w:pPr>
    </w:p>
    <w:p w:rsidRPr="00062973" w:rsidR="00014566" w:rsidP="00D60D87" w:rsidRDefault="00014566">
      <w:pPr>
        <w:pStyle w:val="JuCase"/>
        <w:rPr>
          <w:bCs/>
          <w:lang w:val="en-GB"/>
        </w:rPr>
      </w:pPr>
      <w:r w:rsidRPr="00062973">
        <w:rPr>
          <w:lang w:val="en-GB"/>
        </w:rPr>
        <w:t xml:space="preserve">In the case of </w:t>
      </w:r>
      <w:r w:rsidR="00C52BF9">
        <w:rPr>
          <w:lang w:val="en-GB"/>
        </w:rPr>
        <w:t xml:space="preserve">Sergey </w:t>
      </w:r>
      <w:proofErr w:type="spellStart"/>
      <w:r w:rsidR="009A7F71">
        <w:t>Lebedev</w:t>
      </w:r>
      <w:proofErr w:type="spellEnd"/>
      <w:r w:rsidR="009A7F71">
        <w:t xml:space="preserve"> </w:t>
      </w:r>
      <w:r w:rsidR="00021A29">
        <w:t xml:space="preserve">and Others </w:t>
      </w:r>
      <w:r w:rsidR="009A7F71">
        <w:t>v. Russia</w:t>
      </w:r>
      <w:r w:rsidRPr="00062973">
        <w:rPr>
          <w:lang w:val="en-GB"/>
        </w:rPr>
        <w:t>,</w:t>
      </w:r>
    </w:p>
    <w:p w:rsidRPr="00062973" w:rsidR="00014566" w:rsidP="005E2A43" w:rsidRDefault="00014566">
      <w:pPr>
        <w:pStyle w:val="ECHRPara"/>
        <w:rPr>
          <w:lang w:val="en-GB"/>
        </w:rPr>
      </w:pPr>
      <w:r w:rsidRPr="00062973">
        <w:rPr>
          <w:lang w:val="en-GB"/>
        </w:rPr>
        <w:t>The European Court of Human Rights (</w:t>
      </w:r>
      <w:r w:rsidR="009A7F71">
        <w:rPr>
          <w:lang w:val="en-GB"/>
        </w:rPr>
        <w:t>First Section</w:t>
      </w:r>
      <w:r w:rsidRPr="00062973">
        <w:rPr>
          <w:lang w:val="en-GB"/>
        </w:rPr>
        <w:t xml:space="preserve">), sitting as a </w:t>
      </w:r>
      <w:r w:rsidRPr="00062973" w:rsidR="009A7F71">
        <w:rPr>
          <w:lang w:val="en-GB"/>
        </w:rPr>
        <w:t>Committee</w:t>
      </w:r>
      <w:r w:rsidRPr="00062973">
        <w:rPr>
          <w:lang w:val="en-GB"/>
        </w:rPr>
        <w:t xml:space="preserve"> composed of:</w:t>
      </w:r>
    </w:p>
    <w:p w:rsidRPr="00B7190B" w:rsidR="00014566" w:rsidP="00B7190B" w:rsidRDefault="001421D4">
      <w:pPr>
        <w:pStyle w:val="ECHRDecisionBody"/>
      </w:pPr>
      <w:r w:rsidRPr="001421D4">
        <w:tab/>
      </w:r>
      <w:proofErr w:type="spellStart"/>
      <w:r w:rsidRPr="00B7190B">
        <w:t>Khanlar</w:t>
      </w:r>
      <w:proofErr w:type="spellEnd"/>
      <w:r w:rsidRPr="00B7190B">
        <w:t xml:space="preserve"> </w:t>
      </w:r>
      <w:proofErr w:type="spellStart"/>
      <w:r w:rsidRPr="00B7190B">
        <w:t>Hajiyev</w:t>
      </w:r>
      <w:proofErr w:type="spellEnd"/>
      <w:r w:rsidRPr="00B7190B">
        <w:t>, President,</w:t>
      </w:r>
      <w:r w:rsidRPr="00B7190B">
        <w:br/>
      </w:r>
      <w:r w:rsidRPr="00B7190B">
        <w:tab/>
        <w:t xml:space="preserve">Julia </w:t>
      </w:r>
      <w:proofErr w:type="spellStart"/>
      <w:r w:rsidRPr="00B7190B">
        <w:t>Laffranque</w:t>
      </w:r>
      <w:proofErr w:type="spellEnd"/>
      <w:r w:rsidRPr="00B7190B">
        <w:t>,</w:t>
      </w:r>
      <w:r w:rsidRPr="00B7190B">
        <w:br/>
      </w:r>
      <w:r w:rsidRPr="00B7190B">
        <w:tab/>
        <w:t xml:space="preserve">Dmitry </w:t>
      </w:r>
      <w:proofErr w:type="spellStart"/>
      <w:r w:rsidRPr="00B7190B">
        <w:t>Dedov</w:t>
      </w:r>
      <w:proofErr w:type="spellEnd"/>
      <w:r w:rsidRPr="00B7190B">
        <w:t>, judges</w:t>
      </w:r>
      <w:proofErr w:type="gramStart"/>
      <w:r w:rsidRPr="00B7190B">
        <w:t>,</w:t>
      </w:r>
      <w:proofErr w:type="gramEnd"/>
      <w:r w:rsidRPr="00B7190B" w:rsidR="00014566">
        <w:br/>
        <w:t xml:space="preserve">and </w:t>
      </w:r>
      <w:r w:rsidRPr="00B7190B" w:rsidR="009A7F71">
        <w:t>André Wampach</w:t>
      </w:r>
      <w:r w:rsidRPr="00B7190B" w:rsidR="00014566">
        <w:t xml:space="preserve">, </w:t>
      </w:r>
      <w:r w:rsidRPr="00B7190B" w:rsidR="009A7F71">
        <w:t>Deputy Section Registrar</w:t>
      </w:r>
      <w:r w:rsidRPr="00B7190B" w:rsidR="00014566">
        <w:t>,</w:t>
      </w:r>
    </w:p>
    <w:p w:rsidRPr="00062973" w:rsidR="00014566" w:rsidP="00C621C2" w:rsidRDefault="00014566">
      <w:pPr>
        <w:pStyle w:val="ECHRPara"/>
        <w:rPr>
          <w:lang w:val="en-GB"/>
        </w:rPr>
      </w:pPr>
      <w:r w:rsidRPr="00062973">
        <w:rPr>
          <w:lang w:val="en-GB"/>
        </w:rPr>
        <w:t xml:space="preserve">Having deliberated in private on </w:t>
      </w:r>
      <w:r w:rsidR="001421D4">
        <w:rPr>
          <w:lang w:val="en-GB"/>
        </w:rPr>
        <w:t>7 April 2015</w:t>
      </w:r>
      <w:r w:rsidRPr="00062973">
        <w:rPr>
          <w:lang w:val="en-GB"/>
        </w:rPr>
        <w:t>,</w:t>
      </w:r>
    </w:p>
    <w:p w:rsidRPr="00062973" w:rsidR="00014566" w:rsidP="00C621C2" w:rsidRDefault="00014566">
      <w:pPr>
        <w:pStyle w:val="ECHRPara"/>
        <w:rPr>
          <w:lang w:val="en-GB"/>
        </w:rPr>
      </w:pPr>
      <w:r w:rsidRPr="00062973">
        <w:rPr>
          <w:lang w:val="en-GB"/>
        </w:rPr>
        <w:t>Delivers the following judgment, which was adopted on that date:</w:t>
      </w:r>
    </w:p>
    <w:p w:rsidRPr="00062973" w:rsidR="00014566" w:rsidP="00014566" w:rsidRDefault="00014566">
      <w:pPr>
        <w:pStyle w:val="ECHRTitle1"/>
        <w:rPr>
          <w:lang w:val="en-GB"/>
        </w:rPr>
      </w:pPr>
      <w:r w:rsidRPr="00062973">
        <w:rPr>
          <w:lang w:val="en-GB"/>
        </w:rPr>
        <w:t>PROCEDURE</w:t>
      </w:r>
    </w:p>
    <w:p w:rsidR="009A7F71" w:rsidP="00BF66C9" w:rsidRDefault="009A7F71">
      <w:pPr>
        <w:pStyle w:val="ECHRPara"/>
        <w:rPr>
          <w:lang w:val="en-GB"/>
        </w:rPr>
      </w:pPr>
      <w:r>
        <w:rPr>
          <w:lang w:val="en-GB"/>
        </w:rPr>
        <w:fldChar w:fldCharType="begin"/>
      </w:r>
      <w:r>
        <w:rPr>
          <w:lang w:val="en-GB"/>
        </w:rPr>
        <w:instrText xml:space="preserve"> SEQ level0 \*arabic </w:instrText>
      </w:r>
      <w:r>
        <w:rPr>
          <w:lang w:val="en-GB"/>
        </w:rPr>
        <w:fldChar w:fldCharType="separate"/>
      </w:r>
      <w:r w:rsidR="00A7005F">
        <w:rPr>
          <w:noProof/>
          <w:lang w:val="en-GB"/>
        </w:rPr>
        <w:t>1</w:t>
      </w:r>
      <w:r>
        <w:rPr>
          <w:lang w:val="en-GB"/>
        </w:rPr>
        <w:fldChar w:fldCharType="end"/>
      </w:r>
      <w:r w:rsidRPr="00062973" w:rsidR="00014566">
        <w:rPr>
          <w:lang w:val="en-GB"/>
        </w:rPr>
        <w:t xml:space="preserve">.  The case originated in </w:t>
      </w:r>
      <w:r w:rsidR="00393A15">
        <w:rPr>
          <w:lang w:val="en-GB"/>
        </w:rPr>
        <w:t>five</w:t>
      </w:r>
      <w:r w:rsidRPr="00062973">
        <w:rPr>
          <w:lang w:val="en-GB"/>
        </w:rPr>
        <w:t xml:space="preserve"> applications (nos. </w:t>
      </w:r>
      <w:r>
        <w:rPr>
          <w:lang w:val="en-GB"/>
        </w:rPr>
        <w:t>2500/07</w:t>
      </w:r>
      <w:r w:rsidR="00393A15">
        <w:rPr>
          <w:lang w:val="en-GB"/>
        </w:rPr>
        <w:t>, 43089/07, 48809/07, 52271/07</w:t>
      </w:r>
      <w:r w:rsidRPr="00062973">
        <w:rPr>
          <w:lang w:val="en-GB"/>
        </w:rPr>
        <w:t xml:space="preserve"> and </w:t>
      </w:r>
      <w:r w:rsidR="00393A15">
        <w:rPr>
          <w:lang w:val="en-GB"/>
        </w:rPr>
        <w:t>54706/07</w:t>
      </w:r>
      <w:r w:rsidRPr="00062973">
        <w:rPr>
          <w:lang w:val="en-GB"/>
        </w:rPr>
        <w:t>)</w:t>
      </w:r>
      <w:r w:rsidRPr="00062973" w:rsidR="00014566">
        <w:rPr>
          <w:lang w:val="en-GB"/>
        </w:rPr>
        <w:t xml:space="preserve"> against </w:t>
      </w:r>
      <w:r>
        <w:rPr>
          <w:lang w:val="en-GB"/>
        </w:rPr>
        <w:t>the Russian Federation</w:t>
      </w:r>
      <w:r w:rsidRPr="00062973" w:rsidR="00014566">
        <w:rPr>
          <w:lang w:val="en-GB"/>
        </w:rPr>
        <w:t xml:space="preserve"> lodged with the </w:t>
      </w:r>
      <w:r w:rsidRPr="00062973">
        <w:rPr>
          <w:lang w:val="en-GB"/>
        </w:rPr>
        <w:t>Court under Article 34</w:t>
      </w:r>
      <w:r w:rsidRPr="00062973" w:rsidR="00014566">
        <w:rPr>
          <w:lang w:val="en-GB"/>
        </w:rPr>
        <w:t xml:space="preserve"> of the Convention for the Protection of Human Rights and Fundamental Freedoms (“the Convention”) by </w:t>
      </w:r>
      <w:r w:rsidR="00BF66C9">
        <w:rPr>
          <w:lang w:val="en-GB"/>
        </w:rPr>
        <w:t>five</w:t>
      </w:r>
      <w:r w:rsidRPr="00062973">
        <w:rPr>
          <w:lang w:val="en-GB"/>
        </w:rPr>
        <w:t xml:space="preserve"> </w:t>
      </w:r>
      <w:r>
        <w:rPr>
          <w:lang w:val="en-GB"/>
        </w:rPr>
        <w:t>Russian</w:t>
      </w:r>
      <w:r w:rsidR="00BF66C9">
        <w:rPr>
          <w:lang w:val="en-GB"/>
        </w:rPr>
        <w:t xml:space="preserve"> nationals. </w:t>
      </w:r>
      <w:r w:rsidRPr="00BF66C9" w:rsidR="00BF66C9">
        <w:rPr>
          <w:lang w:val="en-GB"/>
        </w:rPr>
        <w:t>The application numbers, the dates of lodging the applications and the dates of their communication, the applicants</w:t>
      </w:r>
      <w:r w:rsidR="00B033EC">
        <w:rPr>
          <w:lang w:val="en-GB"/>
        </w:rPr>
        <w:t>’</w:t>
      </w:r>
      <w:r w:rsidRPr="00BF66C9" w:rsidR="00BF66C9">
        <w:rPr>
          <w:lang w:val="en-GB"/>
        </w:rPr>
        <w:t xml:space="preserve"> names, their personal details and the names of their legal representatives as well as the information as to the relevant domestic judgments are set out in Appendix below.</w:t>
      </w:r>
    </w:p>
    <w:p w:rsidRPr="00BF66C9" w:rsidR="00BF66C9" w:rsidP="00BF66C9" w:rsidRDefault="009A7F71">
      <w:pPr>
        <w:pStyle w:val="ECHRPara"/>
        <w:rPr>
          <w:lang w:val="en-GB"/>
        </w:rPr>
      </w:pPr>
      <w:r>
        <w:rPr>
          <w:lang w:val="pt-BR"/>
        </w:rPr>
        <w:fldChar w:fldCharType="begin"/>
      </w:r>
      <w:r>
        <w:rPr>
          <w:lang w:val="pt-BR"/>
        </w:rPr>
        <w:instrText xml:space="preserve"> SEQ level0 \*arabic </w:instrText>
      </w:r>
      <w:r>
        <w:rPr>
          <w:lang w:val="pt-BR"/>
        </w:rPr>
        <w:fldChar w:fldCharType="separate"/>
      </w:r>
      <w:r w:rsidR="00A7005F">
        <w:rPr>
          <w:noProof/>
          <w:lang w:val="pt-BR"/>
        </w:rPr>
        <w:t>2</w:t>
      </w:r>
      <w:r>
        <w:rPr>
          <w:lang w:val="pt-BR"/>
        </w:rPr>
        <w:fldChar w:fldCharType="end"/>
      </w:r>
      <w:r w:rsidRPr="008B659F" w:rsidR="00014566">
        <w:rPr>
          <w:lang w:val="pt-BR"/>
        </w:rPr>
        <w:t>.  </w:t>
      </w:r>
      <w:r w:rsidRPr="00BF66C9" w:rsidR="00BF66C9">
        <w:rPr>
          <w:lang w:val="en-GB"/>
        </w:rPr>
        <w:t xml:space="preserve">The Russian Government (“the Government”) were represented by Mr G. </w:t>
      </w:r>
      <w:proofErr w:type="spellStart"/>
      <w:r w:rsidRPr="00BF66C9" w:rsidR="00BF66C9">
        <w:rPr>
          <w:lang w:val="en-GB"/>
        </w:rPr>
        <w:t>Matyushkin</w:t>
      </w:r>
      <w:proofErr w:type="spellEnd"/>
      <w:r w:rsidRPr="00BF66C9" w:rsidR="00BF66C9">
        <w:rPr>
          <w:lang w:val="en-GB"/>
        </w:rPr>
        <w:t>, Representative of the Russian Federation at the European Court of Human Rights.</w:t>
      </w:r>
    </w:p>
    <w:p w:rsidR="00BF66C9" w:rsidP="00BF66C9" w:rsidRDefault="009A7F71">
      <w:pPr>
        <w:pStyle w:val="ECHRPara"/>
        <w:rPr>
          <w:lang w:val="en-GB"/>
        </w:rPr>
      </w:pPr>
      <w:r>
        <w:rPr>
          <w:lang w:val="en-GB"/>
        </w:rPr>
        <w:fldChar w:fldCharType="begin"/>
      </w:r>
      <w:r>
        <w:rPr>
          <w:lang w:val="en-GB"/>
        </w:rPr>
        <w:instrText xml:space="preserve"> SEQ level0 \*arabic </w:instrText>
      </w:r>
      <w:r>
        <w:rPr>
          <w:lang w:val="en-GB"/>
        </w:rPr>
        <w:fldChar w:fldCharType="separate"/>
      </w:r>
      <w:r w:rsidR="00A7005F">
        <w:rPr>
          <w:noProof/>
          <w:lang w:val="en-GB"/>
        </w:rPr>
        <w:t>3</w:t>
      </w:r>
      <w:r>
        <w:rPr>
          <w:lang w:val="en-GB"/>
        </w:rPr>
        <w:fldChar w:fldCharType="end"/>
      </w:r>
      <w:r w:rsidRPr="00062973" w:rsidR="00014566">
        <w:rPr>
          <w:lang w:val="en-GB"/>
        </w:rPr>
        <w:t>.  </w:t>
      </w:r>
      <w:r w:rsidRPr="00BF66C9" w:rsidR="00BF66C9">
        <w:rPr>
          <w:lang w:val="en-GB"/>
        </w:rPr>
        <w:t>The applicants each alleged that they had been convicted of drug offences following entrapment by the police in violation of Article 6 of the Convention.</w:t>
      </w:r>
    </w:p>
    <w:p w:rsidRPr="00BF66C9" w:rsidR="00BF66C9" w:rsidP="00BF66C9" w:rsidRDefault="00BF66C9">
      <w:pPr>
        <w:pStyle w:val="ECHRPara"/>
        <w:rPr>
          <w:lang w:val="en-GB"/>
        </w:rPr>
      </w:pPr>
      <w:r>
        <w:rPr>
          <w:lang w:val="en-GB"/>
        </w:rPr>
        <w:fldChar w:fldCharType="begin"/>
      </w:r>
      <w:r>
        <w:rPr>
          <w:lang w:val="en-GB"/>
        </w:rPr>
        <w:instrText xml:space="preserve"> SEQ level0 \*arabic </w:instrText>
      </w:r>
      <w:r>
        <w:rPr>
          <w:lang w:val="en-GB"/>
        </w:rPr>
        <w:fldChar w:fldCharType="separate"/>
      </w:r>
      <w:r w:rsidR="00A7005F">
        <w:rPr>
          <w:noProof/>
          <w:lang w:val="en-GB"/>
        </w:rPr>
        <w:t>4</w:t>
      </w:r>
      <w:r>
        <w:rPr>
          <w:lang w:val="en-GB"/>
        </w:rPr>
        <w:fldChar w:fldCharType="end"/>
      </w:r>
      <w:r>
        <w:rPr>
          <w:lang w:val="en-GB"/>
        </w:rPr>
        <w:t>.  </w:t>
      </w:r>
      <w:r w:rsidRPr="00BF66C9">
        <w:rPr>
          <w:lang w:val="en-GB"/>
        </w:rPr>
        <w:t>On the dates indicated in the Appendix the President of the First Section decided to give the notice of the applications to the Government. In accordance with Article 26 § 1 of the Convention as amended by Protocol No. 14, the applications were assigned to a Committee of three Judges. It was also decided that the Committee would rule on the admissibility and merits of the applications at the same time.</w:t>
      </w:r>
    </w:p>
    <w:p w:rsidRPr="00062973" w:rsidR="00014566" w:rsidP="00B033EC" w:rsidRDefault="00014566">
      <w:pPr>
        <w:pStyle w:val="ECHRTitle1"/>
        <w:rPr>
          <w:lang w:val="en-GB"/>
        </w:rPr>
      </w:pPr>
      <w:r w:rsidRPr="00062973">
        <w:rPr>
          <w:lang w:val="en-GB"/>
        </w:rPr>
        <w:t>THE FACTS</w:t>
      </w:r>
    </w:p>
    <w:p w:rsidRPr="00062973" w:rsidR="00014566" w:rsidP="00B033EC" w:rsidRDefault="00014566">
      <w:pPr>
        <w:pStyle w:val="ECHRHeading1"/>
        <w:rPr>
          <w:lang w:val="en-GB"/>
        </w:rPr>
      </w:pPr>
      <w:r w:rsidRPr="00062973">
        <w:rPr>
          <w:lang w:val="en-GB"/>
        </w:rPr>
        <w:t>I.  THE CIRCUMSTANCES OF THE CASE</w:t>
      </w:r>
    </w:p>
    <w:p w:rsidRPr="00BF66C9" w:rsidR="00BF66C9" w:rsidP="00B033EC" w:rsidRDefault="009A7F71">
      <w:pPr>
        <w:pStyle w:val="ECHRPara"/>
        <w:keepNext/>
        <w:keepLines/>
        <w:rPr>
          <w:lang w:val="en-GB"/>
        </w:rPr>
      </w:pPr>
      <w:r>
        <w:rPr>
          <w:lang w:val="en-GB"/>
        </w:rPr>
        <w:fldChar w:fldCharType="begin"/>
      </w:r>
      <w:r>
        <w:rPr>
          <w:lang w:val="en-GB"/>
        </w:rPr>
        <w:instrText xml:space="preserve"> SEQ level0 \*arabic </w:instrText>
      </w:r>
      <w:r>
        <w:rPr>
          <w:lang w:val="en-GB"/>
        </w:rPr>
        <w:fldChar w:fldCharType="separate"/>
      </w:r>
      <w:r w:rsidR="00A7005F">
        <w:rPr>
          <w:noProof/>
          <w:lang w:val="en-GB"/>
        </w:rPr>
        <w:t>5</w:t>
      </w:r>
      <w:r>
        <w:rPr>
          <w:lang w:val="en-GB"/>
        </w:rPr>
        <w:fldChar w:fldCharType="end"/>
      </w:r>
      <w:r w:rsidRPr="00062973" w:rsidR="00014566">
        <w:rPr>
          <w:lang w:val="en-GB"/>
        </w:rPr>
        <w:t>.  </w:t>
      </w:r>
      <w:r w:rsidRPr="00BF66C9" w:rsidR="00BF66C9">
        <w:rPr>
          <w:lang w:val="en-GB"/>
        </w:rPr>
        <w:t>The applicants were each targeted in undercover operations conducted by the police in the form of a test purchase of drugs under sections 7 and 8 of the Operational-Search Activities Act of 12 August 1995 (no. 144-FZ). Those operations led to their criminal conviction for drug dealing.</w:t>
      </w:r>
    </w:p>
    <w:p w:rsidR="0030794A" w:rsidP="00C621C2" w:rsidRDefault="009A7F71">
      <w:pPr>
        <w:pStyle w:val="ECHRPara"/>
        <w:rPr>
          <w:lang w:val="en-GB"/>
        </w:rPr>
      </w:pPr>
      <w:r>
        <w:rPr>
          <w:lang w:val="en-GB"/>
        </w:rPr>
        <w:fldChar w:fldCharType="begin"/>
      </w:r>
      <w:r>
        <w:rPr>
          <w:lang w:val="en-GB"/>
        </w:rPr>
        <w:instrText xml:space="preserve"> SEQ level0 \*arabic </w:instrText>
      </w:r>
      <w:r>
        <w:rPr>
          <w:lang w:val="en-GB"/>
        </w:rPr>
        <w:fldChar w:fldCharType="separate"/>
      </w:r>
      <w:r w:rsidR="00A7005F">
        <w:rPr>
          <w:noProof/>
          <w:lang w:val="en-GB"/>
        </w:rPr>
        <w:t>6</w:t>
      </w:r>
      <w:r>
        <w:rPr>
          <w:lang w:val="en-GB"/>
        </w:rPr>
        <w:fldChar w:fldCharType="end"/>
      </w:r>
      <w:r w:rsidRPr="00062973" w:rsidR="00014566">
        <w:rPr>
          <w:lang w:val="en-GB"/>
        </w:rPr>
        <w:t>.  </w:t>
      </w:r>
      <w:r w:rsidRPr="00BF66C9" w:rsidR="00BF66C9">
        <w:rPr>
          <w:lang w:val="en-GB"/>
        </w:rPr>
        <w:t>The applicants disagreed with their conviction and argued that the police incited them to commit drug-related offences.</w:t>
      </w:r>
    </w:p>
    <w:p w:rsidRPr="00062973" w:rsidR="00014566" w:rsidP="00014566" w:rsidRDefault="00BF66C9">
      <w:pPr>
        <w:pStyle w:val="ECHRHeading1"/>
        <w:rPr>
          <w:lang w:val="en-GB"/>
        </w:rPr>
      </w:pPr>
      <w:r>
        <w:rPr>
          <w:lang w:val="en-GB"/>
        </w:rPr>
        <w:t>II.</w:t>
      </w:r>
      <w:proofErr w:type="gramStart"/>
      <w:r>
        <w:rPr>
          <w:lang w:val="en-GB"/>
        </w:rPr>
        <w:t>  RELEVANT</w:t>
      </w:r>
      <w:proofErr w:type="gramEnd"/>
      <w:r>
        <w:rPr>
          <w:lang w:val="en-GB"/>
        </w:rPr>
        <w:t xml:space="preserve"> DOMESTIC LAW</w:t>
      </w:r>
    </w:p>
    <w:p w:rsidRPr="00BF66C9" w:rsidR="00BF66C9" w:rsidP="00BF66C9" w:rsidRDefault="009A7F71">
      <w:pPr>
        <w:pStyle w:val="ECHRPara"/>
        <w:rPr>
          <w:lang w:val="en-GB"/>
        </w:rPr>
      </w:pPr>
      <w:r>
        <w:rPr>
          <w:lang w:val="en-GB"/>
        </w:rPr>
        <w:fldChar w:fldCharType="begin"/>
      </w:r>
      <w:r>
        <w:rPr>
          <w:lang w:val="en-GB"/>
        </w:rPr>
        <w:instrText xml:space="preserve"> SEQ level0 \*arabic </w:instrText>
      </w:r>
      <w:r>
        <w:rPr>
          <w:lang w:val="en-GB"/>
        </w:rPr>
        <w:fldChar w:fldCharType="separate"/>
      </w:r>
      <w:r w:rsidR="00A7005F">
        <w:rPr>
          <w:noProof/>
          <w:lang w:val="en-GB"/>
        </w:rPr>
        <w:t>7</w:t>
      </w:r>
      <w:r>
        <w:rPr>
          <w:lang w:val="en-GB"/>
        </w:rPr>
        <w:fldChar w:fldCharType="end"/>
      </w:r>
      <w:r w:rsidRPr="00062973" w:rsidR="00014566">
        <w:rPr>
          <w:lang w:val="en-GB"/>
        </w:rPr>
        <w:t>.  </w:t>
      </w:r>
      <w:r w:rsidRPr="00BF66C9" w:rsidR="00BF66C9">
        <w:rPr>
          <w:lang w:val="en-GB"/>
        </w:rPr>
        <w:t>The relevant domestic law governing the use of undercover techniques at the material time is summed up in the Court</w:t>
      </w:r>
      <w:r w:rsidR="00B033EC">
        <w:rPr>
          <w:lang w:val="en-GB"/>
        </w:rPr>
        <w:t>’</w:t>
      </w:r>
      <w:r w:rsidRPr="00BF66C9" w:rsidR="00BF66C9">
        <w:rPr>
          <w:lang w:val="en-GB"/>
        </w:rPr>
        <w:t xml:space="preserve">s judgments in the cases of </w:t>
      </w:r>
      <w:proofErr w:type="spellStart"/>
      <w:r w:rsidRPr="00BF66C9" w:rsidR="00BF66C9">
        <w:rPr>
          <w:i/>
          <w:lang w:val="en-GB"/>
        </w:rPr>
        <w:t>Lagutin</w:t>
      </w:r>
      <w:proofErr w:type="spellEnd"/>
      <w:r w:rsidRPr="00BF66C9" w:rsidR="00BF66C9">
        <w:rPr>
          <w:i/>
          <w:lang w:val="en-GB"/>
        </w:rPr>
        <w:t xml:space="preserve"> and Others v. Russia</w:t>
      </w:r>
      <w:r w:rsidRPr="00BF66C9" w:rsidR="00BF66C9">
        <w:rPr>
          <w:lang w:val="en-GB"/>
        </w:rPr>
        <w:t xml:space="preserve">, nos. 6228/09, 19123/09, 19678/07, 52340/08 and 7451/09, 24 April 2014; </w:t>
      </w:r>
      <w:proofErr w:type="spellStart"/>
      <w:r w:rsidRPr="00BF66C9" w:rsidR="00BF66C9">
        <w:rPr>
          <w:i/>
          <w:iCs/>
          <w:lang w:val="en-GB"/>
        </w:rPr>
        <w:t>Veselov</w:t>
      </w:r>
      <w:proofErr w:type="spellEnd"/>
      <w:r w:rsidRPr="00BF66C9" w:rsidR="00BF66C9">
        <w:rPr>
          <w:i/>
          <w:iCs/>
          <w:lang w:val="en-GB"/>
        </w:rPr>
        <w:t xml:space="preserve"> and Others v. Russia</w:t>
      </w:r>
      <w:r w:rsidRPr="00BF66C9" w:rsidR="00BF66C9">
        <w:rPr>
          <w:lang w:val="en-GB"/>
        </w:rPr>
        <w:t>, nos. 23200/10, 24009/07 and 556/10, 2 October 2012;</w:t>
      </w:r>
      <w:r w:rsidRPr="00BF66C9" w:rsidR="00BF66C9">
        <w:rPr>
          <w:b/>
          <w:bCs/>
          <w:lang w:val="en-GB"/>
        </w:rPr>
        <w:t xml:space="preserve"> </w:t>
      </w:r>
      <w:r w:rsidRPr="00BF66C9" w:rsidR="00BF66C9">
        <w:rPr>
          <w:i/>
          <w:iCs/>
          <w:lang w:val="en-GB"/>
        </w:rPr>
        <w:t>Bannikova v. Russia</w:t>
      </w:r>
      <w:r w:rsidRPr="00BF66C9" w:rsidR="00BF66C9">
        <w:rPr>
          <w:lang w:val="en-GB"/>
        </w:rPr>
        <w:t xml:space="preserve">, no. 18757/06, 14 October 2010; </w:t>
      </w:r>
      <w:proofErr w:type="spellStart"/>
      <w:r w:rsidRPr="00BF66C9" w:rsidR="00BF66C9">
        <w:rPr>
          <w:i/>
          <w:iCs/>
          <w:lang w:val="en-GB"/>
        </w:rPr>
        <w:t>Vanyan</w:t>
      </w:r>
      <w:proofErr w:type="spellEnd"/>
      <w:r w:rsidRPr="00BF66C9" w:rsidR="00BF66C9">
        <w:rPr>
          <w:lang w:val="en-GB"/>
        </w:rPr>
        <w:t xml:space="preserve"> </w:t>
      </w:r>
      <w:r w:rsidRPr="00BF66C9" w:rsidR="00BF66C9">
        <w:rPr>
          <w:i/>
          <w:iCs/>
          <w:lang w:val="en-GB"/>
        </w:rPr>
        <w:t>v. Russia</w:t>
      </w:r>
      <w:r w:rsidRPr="00BF66C9" w:rsidR="00BF66C9">
        <w:rPr>
          <w:lang w:val="en-GB"/>
        </w:rPr>
        <w:t xml:space="preserve">, no. 53203/99, 15 December 2005; </w:t>
      </w:r>
      <w:proofErr w:type="spellStart"/>
      <w:r w:rsidRPr="00BF66C9" w:rsidR="00BF66C9">
        <w:rPr>
          <w:i/>
          <w:iCs/>
          <w:lang w:val="en-GB"/>
        </w:rPr>
        <w:t>Khudobin</w:t>
      </w:r>
      <w:proofErr w:type="spellEnd"/>
      <w:r w:rsidRPr="00BF66C9" w:rsidR="00BF66C9">
        <w:rPr>
          <w:lang w:val="en-GB"/>
        </w:rPr>
        <w:t xml:space="preserve"> </w:t>
      </w:r>
      <w:r w:rsidRPr="00BF66C9" w:rsidR="00BF66C9">
        <w:rPr>
          <w:i/>
          <w:iCs/>
          <w:lang w:val="en-GB"/>
        </w:rPr>
        <w:t>v. Russia</w:t>
      </w:r>
      <w:r w:rsidRPr="00BF66C9" w:rsidR="00BF66C9">
        <w:rPr>
          <w:lang w:val="en-GB"/>
        </w:rPr>
        <w:t>, no. 59696/00, ECHR 2006</w:t>
      </w:r>
      <w:r w:rsidRPr="00BF66C9" w:rsidR="00BF66C9">
        <w:rPr>
          <w:lang w:val="en-GB"/>
        </w:rPr>
        <w:noBreakHyphen/>
        <w:t>... (</w:t>
      </w:r>
      <w:proofErr w:type="gramStart"/>
      <w:r w:rsidRPr="00BF66C9" w:rsidR="00BF66C9">
        <w:rPr>
          <w:lang w:val="en-GB"/>
        </w:rPr>
        <w:t>extracts</w:t>
      </w:r>
      <w:proofErr w:type="gramEnd"/>
      <w:r w:rsidRPr="00BF66C9" w:rsidR="00BF66C9">
        <w:rPr>
          <w:lang w:val="en-GB"/>
        </w:rPr>
        <w:t>).</w:t>
      </w:r>
    </w:p>
    <w:p w:rsidRPr="00062973" w:rsidR="00014566" w:rsidP="00014566" w:rsidRDefault="00014566">
      <w:pPr>
        <w:pStyle w:val="ECHRTitle1"/>
        <w:rPr>
          <w:lang w:val="en-GB"/>
        </w:rPr>
      </w:pPr>
      <w:r w:rsidRPr="00062973">
        <w:rPr>
          <w:lang w:val="en-GB"/>
        </w:rPr>
        <w:t>THE LAW</w:t>
      </w:r>
    </w:p>
    <w:p w:rsidRPr="00BF66C9" w:rsidR="00BF66C9" w:rsidP="00BF66C9" w:rsidRDefault="00BF66C9">
      <w:pPr>
        <w:pStyle w:val="ECHRHeading1"/>
        <w:rPr>
          <w:lang w:val="en-GB"/>
        </w:rPr>
      </w:pPr>
      <w:r w:rsidRPr="00BF66C9">
        <w:rPr>
          <w:lang w:val="en-GB"/>
        </w:rPr>
        <w:t>I.  JOINDER OF THE APPLICATIONS</w:t>
      </w:r>
    </w:p>
    <w:p w:rsidR="0030794A" w:rsidP="00B86BF8" w:rsidRDefault="00BF66C9">
      <w:pPr>
        <w:pStyle w:val="ECHRPara"/>
        <w:rPr>
          <w:lang w:val="en-GB"/>
        </w:rPr>
      </w:pPr>
      <w:r>
        <w:rPr>
          <w:lang w:val="en-GB"/>
        </w:rPr>
        <w:fldChar w:fldCharType="begin"/>
      </w:r>
      <w:r>
        <w:rPr>
          <w:lang w:val="en-GB"/>
        </w:rPr>
        <w:instrText xml:space="preserve"> SEQ level0 \*arabic </w:instrText>
      </w:r>
      <w:r>
        <w:rPr>
          <w:lang w:val="en-GB"/>
        </w:rPr>
        <w:fldChar w:fldCharType="separate"/>
      </w:r>
      <w:r w:rsidR="00A7005F">
        <w:rPr>
          <w:noProof/>
          <w:lang w:val="en-GB"/>
        </w:rPr>
        <w:t>8</w:t>
      </w:r>
      <w:r>
        <w:rPr>
          <w:lang w:val="en-GB"/>
        </w:rPr>
        <w:fldChar w:fldCharType="end"/>
      </w:r>
      <w:r>
        <w:rPr>
          <w:lang w:val="en-GB"/>
        </w:rPr>
        <w:t>.  </w:t>
      </w:r>
      <w:r w:rsidRPr="00BF66C9">
        <w:rPr>
          <w:lang w:val="en-GB"/>
        </w:rPr>
        <w:t>In accordance with Rule 42 § 1 of the Rules of Court, the Court decides to join the applications, given that they concern similar facts and raise identical issues under the Convention.</w:t>
      </w:r>
    </w:p>
    <w:p w:rsidRPr="00062973" w:rsidR="00014566" w:rsidP="00014566" w:rsidRDefault="00BF66C9">
      <w:pPr>
        <w:pStyle w:val="ECHRHeading1"/>
        <w:rPr>
          <w:lang w:val="en-GB"/>
        </w:rPr>
      </w:pPr>
      <w:r>
        <w:rPr>
          <w:lang w:val="en-GB"/>
        </w:rPr>
        <w:t xml:space="preserve">II. </w:t>
      </w:r>
      <w:r w:rsidRPr="00062973" w:rsidR="00014566">
        <w:rPr>
          <w:lang w:val="en-GB"/>
        </w:rPr>
        <w:t xml:space="preserve">ALLEGED VIOLATION OF ARTICLE </w:t>
      </w:r>
      <w:r w:rsidRPr="00BF66C9">
        <w:rPr>
          <w:lang w:val="en-GB"/>
        </w:rPr>
        <w:t>6 § 1</w:t>
      </w:r>
      <w:r w:rsidR="0030794A">
        <w:rPr>
          <w:lang w:val="en-GB"/>
        </w:rPr>
        <w:t xml:space="preserve"> </w:t>
      </w:r>
      <w:r w:rsidRPr="00062973" w:rsidR="00014566">
        <w:rPr>
          <w:lang w:val="en-GB"/>
        </w:rPr>
        <w:t>OF THE CONVENTION</w:t>
      </w:r>
    </w:p>
    <w:p w:rsidRPr="00062973" w:rsidR="00014566" w:rsidP="00BF66C9" w:rsidRDefault="009A7F71">
      <w:pPr>
        <w:pStyle w:val="ECHRPara"/>
        <w:rPr>
          <w:lang w:val="en-GB"/>
        </w:rPr>
      </w:pPr>
      <w:r>
        <w:rPr>
          <w:lang w:val="en-GB"/>
        </w:rPr>
        <w:fldChar w:fldCharType="begin"/>
      </w:r>
      <w:r>
        <w:rPr>
          <w:lang w:val="en-GB"/>
        </w:rPr>
        <w:instrText xml:space="preserve"> SEQ level0 \*arabic </w:instrText>
      </w:r>
      <w:r>
        <w:rPr>
          <w:lang w:val="en-GB"/>
        </w:rPr>
        <w:fldChar w:fldCharType="separate"/>
      </w:r>
      <w:r w:rsidR="00A7005F">
        <w:rPr>
          <w:noProof/>
          <w:lang w:val="en-GB"/>
        </w:rPr>
        <w:t>9</w:t>
      </w:r>
      <w:r>
        <w:rPr>
          <w:lang w:val="en-GB"/>
        </w:rPr>
        <w:fldChar w:fldCharType="end"/>
      </w:r>
      <w:r w:rsidRPr="00062973" w:rsidR="00014566">
        <w:rPr>
          <w:lang w:val="en-GB"/>
        </w:rPr>
        <w:t>.  The applicant</w:t>
      </w:r>
      <w:r w:rsidRPr="00062973">
        <w:rPr>
          <w:lang w:val="en-GB"/>
        </w:rPr>
        <w:t>s</w:t>
      </w:r>
      <w:r w:rsidR="00BF66C9">
        <w:rPr>
          <w:lang w:val="en-GB"/>
        </w:rPr>
        <w:t xml:space="preserve"> complained that </w:t>
      </w:r>
      <w:r w:rsidRPr="00BF66C9" w:rsidR="00BF66C9">
        <w:rPr>
          <w:lang w:val="en-GB"/>
        </w:rPr>
        <w:t>that they had been unfairly convicted of drug offences that they had been incited by the police to commit and that their plea of entrapment had not been properly examined in the domestic proceedings, in violation of Article 6 of the Convention, which reads as follows:</w:t>
      </w:r>
    </w:p>
    <w:p w:rsidRPr="00062973" w:rsidR="00014566" w:rsidP="00BF66C9" w:rsidRDefault="00BF66C9">
      <w:pPr>
        <w:pStyle w:val="ECHRParaQuote"/>
        <w:rPr>
          <w:lang w:val="en-GB"/>
        </w:rPr>
      </w:pPr>
      <w:r>
        <w:t>“In the determination of ... any criminal charge against him, everyone is entitled to a fair ... hearing ... by [a] ... tribunal ...”</w:t>
      </w:r>
    </w:p>
    <w:p w:rsidR="00014566" w:rsidP="00014566" w:rsidRDefault="00014566">
      <w:pPr>
        <w:pStyle w:val="ECHRHeading2"/>
        <w:outlineLvl w:val="0"/>
        <w:rPr>
          <w:lang w:val="en-GB"/>
        </w:rPr>
      </w:pPr>
      <w:r w:rsidRPr="00062973">
        <w:rPr>
          <w:lang w:val="en-GB"/>
        </w:rPr>
        <w:t>A.  Admissibility</w:t>
      </w:r>
    </w:p>
    <w:p w:rsidR="0030794A" w:rsidP="008E623D" w:rsidRDefault="008E623D">
      <w:pPr>
        <w:pStyle w:val="ECHRHeading3"/>
        <w:rPr>
          <w:lang w:val="en-GB"/>
        </w:rPr>
      </w:pPr>
      <w:r>
        <w:rPr>
          <w:lang w:val="en-GB"/>
        </w:rPr>
        <w:t>1.</w:t>
      </w:r>
      <w:r w:rsidR="00B033EC">
        <w:rPr>
          <w:lang w:val="en-GB"/>
        </w:rPr>
        <w:t>  </w:t>
      </w:r>
      <w:r>
        <w:rPr>
          <w:lang w:val="en-GB"/>
        </w:rPr>
        <w:t>Submissions by the parties</w:t>
      </w:r>
    </w:p>
    <w:p w:rsidR="00B7190B" w:rsidP="00BF66C9" w:rsidRDefault="00B7190B">
      <w:pPr>
        <w:pStyle w:val="ECHRPara"/>
        <w:rPr>
          <w:lang w:val="en-GB"/>
        </w:rPr>
      </w:pPr>
    </w:p>
    <w:p w:rsidR="0030794A" w:rsidP="00BF66C9" w:rsidRDefault="000B3564">
      <w:pPr>
        <w:pStyle w:val="ECHRPara"/>
        <w:rPr>
          <w:lang w:val="en-GB"/>
        </w:rPr>
      </w:pPr>
      <w:r>
        <w:rPr>
          <w:lang w:val="en-GB"/>
        </w:rPr>
        <w:fldChar w:fldCharType="begin"/>
      </w:r>
      <w:r>
        <w:rPr>
          <w:lang w:val="en-GB"/>
        </w:rPr>
        <w:instrText xml:space="preserve"> SEQ level0 \*arabic </w:instrText>
      </w:r>
      <w:r>
        <w:rPr>
          <w:lang w:val="en-GB"/>
        </w:rPr>
        <w:fldChar w:fldCharType="separate"/>
      </w:r>
      <w:r w:rsidR="00A7005F">
        <w:rPr>
          <w:noProof/>
          <w:lang w:val="en-GB"/>
        </w:rPr>
        <w:t>10</w:t>
      </w:r>
      <w:r>
        <w:rPr>
          <w:lang w:val="en-GB"/>
        </w:rPr>
        <w:fldChar w:fldCharType="end"/>
      </w:r>
      <w:r>
        <w:rPr>
          <w:lang w:val="en-GB"/>
        </w:rPr>
        <w:t>.  </w:t>
      </w:r>
      <w:r w:rsidRPr="00BF66C9" w:rsidR="00BF66C9">
        <w:rPr>
          <w:lang w:val="en-GB"/>
        </w:rPr>
        <w:t xml:space="preserve">The Government submitted that </w:t>
      </w:r>
      <w:r w:rsidR="00E74986">
        <w:rPr>
          <w:lang w:val="en-GB"/>
        </w:rPr>
        <w:t>M</w:t>
      </w:r>
      <w:r w:rsidR="00A9248C">
        <w:rPr>
          <w:lang w:val="en-GB"/>
        </w:rPr>
        <w:t xml:space="preserve">r </w:t>
      </w:r>
      <w:proofErr w:type="spellStart"/>
      <w:r w:rsidR="00A9248C">
        <w:rPr>
          <w:lang w:val="en-GB"/>
        </w:rPr>
        <w:t>Lebedev</w:t>
      </w:r>
      <w:proofErr w:type="spellEnd"/>
      <w:r w:rsidR="00A9248C">
        <w:rPr>
          <w:lang w:val="en-GB"/>
        </w:rPr>
        <w:t xml:space="preserve">, </w:t>
      </w:r>
      <w:r w:rsidR="00E74986">
        <w:rPr>
          <w:lang w:val="en-GB"/>
        </w:rPr>
        <w:t xml:space="preserve">Ms </w:t>
      </w:r>
      <w:proofErr w:type="spellStart"/>
      <w:r w:rsidR="00E74986">
        <w:rPr>
          <w:lang w:val="en-GB"/>
        </w:rPr>
        <w:t>Cherkasova</w:t>
      </w:r>
      <w:proofErr w:type="spellEnd"/>
      <w:r w:rsidR="00E74986">
        <w:rPr>
          <w:lang w:val="en-GB"/>
        </w:rPr>
        <w:t xml:space="preserve"> </w:t>
      </w:r>
      <w:r w:rsidR="00A9248C">
        <w:rPr>
          <w:lang w:val="en-GB"/>
        </w:rPr>
        <w:t xml:space="preserve">and Mr </w:t>
      </w:r>
      <w:proofErr w:type="spellStart"/>
      <w:r w:rsidR="00A9248C">
        <w:rPr>
          <w:lang w:val="en-GB"/>
        </w:rPr>
        <w:t>Krivda</w:t>
      </w:r>
      <w:proofErr w:type="spellEnd"/>
      <w:r w:rsidR="00A9248C">
        <w:rPr>
          <w:lang w:val="en-GB"/>
        </w:rPr>
        <w:t xml:space="preserve"> </w:t>
      </w:r>
      <w:r w:rsidR="00E74986">
        <w:rPr>
          <w:lang w:val="en-GB"/>
        </w:rPr>
        <w:t>(application</w:t>
      </w:r>
      <w:r w:rsidR="00C52BF9">
        <w:rPr>
          <w:lang w:val="en-GB"/>
        </w:rPr>
        <w:t>s</w:t>
      </w:r>
      <w:r w:rsidR="00E74986">
        <w:rPr>
          <w:lang w:val="en-GB"/>
        </w:rPr>
        <w:t xml:space="preserve"> nos.</w:t>
      </w:r>
      <w:r w:rsidRPr="00BF66C9" w:rsidR="00BF66C9">
        <w:rPr>
          <w:lang w:val="en-GB"/>
        </w:rPr>
        <w:t xml:space="preserve"> </w:t>
      </w:r>
      <w:r w:rsidRPr="00E74986" w:rsidR="00E74986">
        <w:rPr>
          <w:lang w:val="en-GB"/>
        </w:rPr>
        <w:t>2500/07</w:t>
      </w:r>
      <w:r w:rsidR="00A9248C">
        <w:rPr>
          <w:lang w:val="en-GB"/>
        </w:rPr>
        <w:t xml:space="preserve">, </w:t>
      </w:r>
      <w:r w:rsidRPr="00E74986" w:rsidR="00E74986">
        <w:rPr>
          <w:lang w:val="en-GB"/>
        </w:rPr>
        <w:t>43089/07</w:t>
      </w:r>
      <w:r w:rsidR="00A9248C">
        <w:rPr>
          <w:lang w:val="en-GB"/>
        </w:rPr>
        <w:t xml:space="preserve"> and 54706/07</w:t>
      </w:r>
      <w:r w:rsidR="00E74986">
        <w:rPr>
          <w:lang w:val="en-GB"/>
        </w:rPr>
        <w:t xml:space="preserve">) </w:t>
      </w:r>
      <w:r w:rsidRPr="00BF66C9" w:rsidR="00BF66C9">
        <w:rPr>
          <w:lang w:val="en-GB"/>
        </w:rPr>
        <w:t>who were each convicted of two</w:t>
      </w:r>
      <w:r w:rsidR="00E10C5E">
        <w:rPr>
          <w:lang w:val="en-GB"/>
        </w:rPr>
        <w:t xml:space="preserve"> or more</w:t>
      </w:r>
      <w:r w:rsidRPr="00BF66C9" w:rsidR="00BF66C9">
        <w:rPr>
          <w:lang w:val="en-GB"/>
        </w:rPr>
        <w:t xml:space="preserve"> episodes of </w:t>
      </w:r>
      <w:r w:rsidR="00E74986">
        <w:rPr>
          <w:lang w:val="en-GB"/>
        </w:rPr>
        <w:t>drug</w:t>
      </w:r>
      <w:r>
        <w:rPr>
          <w:lang w:val="en-GB"/>
        </w:rPr>
        <w:t xml:space="preserve"> sale</w:t>
      </w:r>
      <w:r w:rsidR="00260F20">
        <w:rPr>
          <w:lang w:val="en-GB"/>
        </w:rPr>
        <w:t xml:space="preserve"> </w:t>
      </w:r>
      <w:r w:rsidRPr="00BF66C9" w:rsidR="00BF66C9">
        <w:rPr>
          <w:lang w:val="en-GB"/>
        </w:rPr>
        <w:t xml:space="preserve">could no longer claim to be victims of the alleged violation. In particular, the Government argued that the domestic courts had reopened the criminal proceedings in </w:t>
      </w:r>
      <w:r w:rsidR="00A9248C">
        <w:rPr>
          <w:lang w:val="en-GB"/>
        </w:rPr>
        <w:t>their</w:t>
      </w:r>
      <w:r w:rsidRPr="00BF66C9" w:rsidR="00BF66C9">
        <w:rPr>
          <w:lang w:val="en-GB"/>
        </w:rPr>
        <w:t xml:space="preserve"> cases and mitigated the sentences imposed </w:t>
      </w:r>
      <w:r w:rsidR="00E10C5E">
        <w:rPr>
          <w:lang w:val="en-GB"/>
        </w:rPr>
        <w:t xml:space="preserve">on each of them </w:t>
      </w:r>
      <w:r w:rsidRPr="00BF66C9" w:rsidR="00BF66C9">
        <w:rPr>
          <w:lang w:val="en-GB"/>
        </w:rPr>
        <w:t>for the first episode of drug sale. The domestic courts had also vacated each of the applicants</w:t>
      </w:r>
      <w:r w:rsidR="00B033EC">
        <w:rPr>
          <w:lang w:val="en-GB"/>
        </w:rPr>
        <w:t>’</w:t>
      </w:r>
      <w:r w:rsidRPr="00BF66C9" w:rsidR="00BF66C9">
        <w:rPr>
          <w:lang w:val="en-GB"/>
        </w:rPr>
        <w:t xml:space="preserve"> </w:t>
      </w:r>
      <w:r>
        <w:rPr>
          <w:lang w:val="en-GB"/>
        </w:rPr>
        <w:t xml:space="preserve">conviction in relation to the remaining </w:t>
      </w:r>
      <w:r w:rsidRPr="00BF66C9" w:rsidR="00BF66C9">
        <w:rPr>
          <w:lang w:val="en-GB"/>
        </w:rPr>
        <w:t>episode</w:t>
      </w:r>
      <w:r>
        <w:rPr>
          <w:lang w:val="en-GB"/>
        </w:rPr>
        <w:t>s which took place after the first test purchase</w:t>
      </w:r>
      <w:r w:rsidRPr="00BF66C9" w:rsidR="00BF66C9">
        <w:rPr>
          <w:lang w:val="en-GB"/>
        </w:rPr>
        <w:t>.</w:t>
      </w:r>
    </w:p>
    <w:p w:rsidR="0030794A" w:rsidP="00E74986" w:rsidRDefault="001F27DA">
      <w:pPr>
        <w:pStyle w:val="ECHRPara"/>
        <w:rPr>
          <w:lang w:val="en-GB"/>
        </w:rPr>
      </w:pPr>
      <w:r>
        <w:rPr>
          <w:lang w:val="en-GB"/>
        </w:rPr>
        <w:fldChar w:fldCharType="begin"/>
      </w:r>
      <w:r>
        <w:rPr>
          <w:lang w:val="en-GB"/>
        </w:rPr>
        <w:instrText xml:space="preserve"> SEQ level0 \*arabic </w:instrText>
      </w:r>
      <w:r>
        <w:rPr>
          <w:lang w:val="en-GB"/>
        </w:rPr>
        <w:fldChar w:fldCharType="separate"/>
      </w:r>
      <w:r w:rsidR="00A7005F">
        <w:rPr>
          <w:noProof/>
          <w:lang w:val="en-GB"/>
        </w:rPr>
        <w:t>11</w:t>
      </w:r>
      <w:r>
        <w:rPr>
          <w:lang w:val="en-GB"/>
        </w:rPr>
        <w:fldChar w:fldCharType="end"/>
      </w:r>
      <w:r>
        <w:rPr>
          <w:lang w:val="en-GB"/>
        </w:rPr>
        <w:t>.  </w:t>
      </w:r>
      <w:r w:rsidR="000B3564">
        <w:rPr>
          <w:lang w:val="en-GB"/>
        </w:rPr>
        <w:t>M</w:t>
      </w:r>
      <w:r w:rsidR="00E10C5E">
        <w:rPr>
          <w:lang w:val="en-GB"/>
        </w:rPr>
        <w:t xml:space="preserve">r </w:t>
      </w:r>
      <w:proofErr w:type="spellStart"/>
      <w:r w:rsidR="00E10C5E">
        <w:rPr>
          <w:lang w:val="en-GB"/>
        </w:rPr>
        <w:t>Lebedev</w:t>
      </w:r>
      <w:proofErr w:type="spellEnd"/>
      <w:r w:rsidR="00E10C5E">
        <w:rPr>
          <w:lang w:val="en-GB"/>
        </w:rPr>
        <w:t xml:space="preserve">, </w:t>
      </w:r>
      <w:r w:rsidR="000B3564">
        <w:rPr>
          <w:lang w:val="en-GB"/>
        </w:rPr>
        <w:t xml:space="preserve">Ms </w:t>
      </w:r>
      <w:proofErr w:type="spellStart"/>
      <w:r w:rsidR="000B3564">
        <w:rPr>
          <w:lang w:val="en-GB"/>
        </w:rPr>
        <w:t>Cherkasova</w:t>
      </w:r>
      <w:proofErr w:type="spellEnd"/>
      <w:r w:rsidR="00E10C5E">
        <w:rPr>
          <w:lang w:val="en-GB"/>
        </w:rPr>
        <w:t xml:space="preserve"> and Mr </w:t>
      </w:r>
      <w:proofErr w:type="spellStart"/>
      <w:r w:rsidR="00E10C5E">
        <w:rPr>
          <w:lang w:val="en-GB"/>
        </w:rPr>
        <w:t>Krivda</w:t>
      </w:r>
      <w:proofErr w:type="spellEnd"/>
      <w:r w:rsidRPr="00E74986" w:rsidR="00E74986">
        <w:rPr>
          <w:lang w:val="en-GB"/>
        </w:rPr>
        <w:t xml:space="preserve"> acknowledged that the domestic courts had re-examined the cases in their favour in the new proceedings. However, they argued that the domestic courts had not properly addressed their pleas of entrapment and as a result, the conviction on the first episode of drug sale had stayed. Therefore, they had not lost their victim status.</w:t>
      </w:r>
    </w:p>
    <w:p w:rsidR="0030794A" w:rsidP="00CA7E30" w:rsidRDefault="008E623D">
      <w:pPr>
        <w:pStyle w:val="ECHRHeading3"/>
        <w:rPr>
          <w:lang w:val="en-GB"/>
        </w:rPr>
      </w:pPr>
      <w:r>
        <w:rPr>
          <w:lang w:val="en-GB"/>
        </w:rPr>
        <w:t>2</w:t>
      </w:r>
      <w:r w:rsidRPr="000B3564" w:rsidR="000B3564">
        <w:rPr>
          <w:lang w:val="en-GB"/>
        </w:rPr>
        <w:t>.  </w:t>
      </w:r>
      <w:r w:rsidR="005A0421">
        <w:rPr>
          <w:lang w:val="en-GB"/>
        </w:rPr>
        <w:t xml:space="preserve">The </w:t>
      </w:r>
      <w:r>
        <w:rPr>
          <w:lang w:val="en-GB"/>
        </w:rPr>
        <w:t>Court</w:t>
      </w:r>
      <w:r w:rsidR="00B033EC">
        <w:rPr>
          <w:lang w:val="en-GB"/>
        </w:rPr>
        <w:t>’</w:t>
      </w:r>
      <w:r>
        <w:rPr>
          <w:lang w:val="en-GB"/>
        </w:rPr>
        <w:t>s assessment</w:t>
      </w:r>
    </w:p>
    <w:p w:rsidR="0030794A" w:rsidP="000B3564" w:rsidRDefault="00CA7E30">
      <w:pPr>
        <w:pStyle w:val="JuParaSub"/>
        <w:ind w:left="0"/>
        <w:rPr>
          <w:lang w:val="en-GB"/>
        </w:rPr>
      </w:pPr>
      <w:r>
        <w:rPr>
          <w:lang w:val="en-GB"/>
        </w:rPr>
        <w:fldChar w:fldCharType="begin"/>
      </w:r>
      <w:r>
        <w:rPr>
          <w:lang w:val="en-GB"/>
        </w:rPr>
        <w:instrText xml:space="preserve"> SEQ level0 \*arabic </w:instrText>
      </w:r>
      <w:r>
        <w:rPr>
          <w:lang w:val="en-GB"/>
        </w:rPr>
        <w:fldChar w:fldCharType="separate"/>
      </w:r>
      <w:r w:rsidR="00A7005F">
        <w:rPr>
          <w:noProof/>
          <w:lang w:val="en-GB"/>
        </w:rPr>
        <w:t>12</w:t>
      </w:r>
      <w:r>
        <w:rPr>
          <w:lang w:val="en-GB"/>
        </w:rPr>
        <w:fldChar w:fldCharType="end"/>
      </w:r>
      <w:r>
        <w:rPr>
          <w:lang w:val="en-GB"/>
        </w:rPr>
        <w:t>.  T</w:t>
      </w:r>
      <w:r w:rsidR="001F27DA">
        <w:rPr>
          <w:lang w:val="en-GB"/>
        </w:rPr>
        <w:t>he Court</w:t>
      </w:r>
      <w:r>
        <w:rPr>
          <w:lang w:val="en-GB"/>
        </w:rPr>
        <w:t xml:space="preserve"> notes from the outset that it </w:t>
      </w:r>
      <w:r w:rsidR="002C34C4">
        <w:rPr>
          <w:lang w:val="en-GB"/>
        </w:rPr>
        <w:t xml:space="preserve">has already </w:t>
      </w:r>
      <w:r w:rsidR="001F27DA">
        <w:rPr>
          <w:lang w:val="en-GB"/>
        </w:rPr>
        <w:t xml:space="preserve">considered the </w:t>
      </w:r>
      <w:r>
        <w:rPr>
          <w:lang w:val="en-GB"/>
        </w:rPr>
        <w:t xml:space="preserve">identical </w:t>
      </w:r>
      <w:r w:rsidR="001F27DA">
        <w:rPr>
          <w:lang w:val="en-GB"/>
        </w:rPr>
        <w:t xml:space="preserve">issue of loss of </w:t>
      </w:r>
      <w:r w:rsidR="00E90D58">
        <w:rPr>
          <w:lang w:val="en-GB"/>
        </w:rPr>
        <w:t xml:space="preserve">victim </w:t>
      </w:r>
      <w:r w:rsidR="001F27DA">
        <w:rPr>
          <w:lang w:val="en-GB"/>
        </w:rPr>
        <w:t xml:space="preserve">status </w:t>
      </w:r>
      <w:r w:rsidR="004E5774">
        <w:rPr>
          <w:lang w:val="en-GB"/>
        </w:rPr>
        <w:t>in</w:t>
      </w:r>
      <w:r w:rsidR="000B3564">
        <w:rPr>
          <w:lang w:val="en-GB"/>
        </w:rPr>
        <w:t xml:space="preserve"> </w:t>
      </w:r>
      <w:r w:rsidR="005A0421">
        <w:rPr>
          <w:lang w:val="en-GB"/>
        </w:rPr>
        <w:t xml:space="preserve">a </w:t>
      </w:r>
      <w:r w:rsidR="001F27DA">
        <w:rPr>
          <w:lang w:val="en-GB"/>
        </w:rPr>
        <w:t xml:space="preserve">recent </w:t>
      </w:r>
      <w:r w:rsidR="00E90D58">
        <w:rPr>
          <w:lang w:val="en-GB"/>
        </w:rPr>
        <w:t>Russian case concerning entrapment.</w:t>
      </w:r>
      <w:r w:rsidR="008D5E41">
        <w:rPr>
          <w:lang w:val="en-GB"/>
        </w:rPr>
        <w:t xml:space="preserve"> </w:t>
      </w:r>
      <w:r w:rsidR="002C34C4">
        <w:rPr>
          <w:lang w:val="en-GB"/>
        </w:rPr>
        <w:t>The Court held that the applic</w:t>
      </w:r>
      <w:r w:rsidR="00B86BF8">
        <w:rPr>
          <w:lang w:val="en-GB"/>
        </w:rPr>
        <w:t>ants who were convicted of drug</w:t>
      </w:r>
      <w:r w:rsidR="00B86BF8">
        <w:rPr>
          <w:lang w:val="en-GB"/>
        </w:rPr>
        <w:noBreakHyphen/>
      </w:r>
      <w:r w:rsidR="002C34C4">
        <w:rPr>
          <w:lang w:val="en-GB"/>
        </w:rPr>
        <w:t xml:space="preserve">dealing and whose criminal cases were later re-examined by the domestic courts had not ceased to be victims of the alleged violation of the Convention because the re-examination of their criminal cases had not been effective and in conformity with the requirements </w:t>
      </w:r>
      <w:r w:rsidRPr="00C97715" w:rsidR="002C34C4">
        <w:rPr>
          <w:lang w:val="en-GB"/>
        </w:rPr>
        <w:t xml:space="preserve">of Article 6 of the Convention and </w:t>
      </w:r>
      <w:r w:rsidR="002C34C4">
        <w:rPr>
          <w:lang w:val="en-GB"/>
        </w:rPr>
        <w:t xml:space="preserve">the </w:t>
      </w:r>
      <w:r w:rsidRPr="00C97715" w:rsidR="002C34C4">
        <w:rPr>
          <w:lang w:val="en-GB"/>
        </w:rPr>
        <w:t>re</w:t>
      </w:r>
      <w:r w:rsidR="002C34C4">
        <w:rPr>
          <w:lang w:val="en-GB"/>
        </w:rPr>
        <w:t xml:space="preserve">spective case-law of the Court (see </w:t>
      </w:r>
      <w:proofErr w:type="spellStart"/>
      <w:r w:rsidRPr="00E90D58" w:rsidR="002C34C4">
        <w:rPr>
          <w:i/>
          <w:lang w:val="en-GB"/>
        </w:rPr>
        <w:t>Yeremtsov</w:t>
      </w:r>
      <w:proofErr w:type="spellEnd"/>
      <w:r w:rsidRPr="00E90D58" w:rsidR="002C34C4">
        <w:rPr>
          <w:i/>
          <w:lang w:val="en-GB"/>
        </w:rPr>
        <w:t xml:space="preserve"> and Others v. Russia</w:t>
      </w:r>
      <w:r w:rsidR="002C34C4">
        <w:rPr>
          <w:lang w:val="en-GB"/>
        </w:rPr>
        <w:t xml:space="preserve">, 20696/06, </w:t>
      </w:r>
      <w:r w:rsidRPr="00E90D58" w:rsidR="002C34C4">
        <w:rPr>
          <w:lang w:val="en-GB"/>
        </w:rPr>
        <w:t>22504/06, 41167/06, 6193/07</w:t>
      </w:r>
      <w:r w:rsidR="002C34C4">
        <w:rPr>
          <w:lang w:val="en-GB"/>
        </w:rPr>
        <w:t xml:space="preserve"> </w:t>
      </w:r>
      <w:r w:rsidRPr="00E90D58" w:rsidR="002C34C4">
        <w:rPr>
          <w:lang w:val="en-GB"/>
        </w:rPr>
        <w:t>and 18589/07</w:t>
      </w:r>
      <w:r w:rsidR="002C34C4">
        <w:rPr>
          <w:lang w:val="en-GB"/>
        </w:rPr>
        <w:t xml:space="preserve">, </w:t>
      </w:r>
      <w:r w:rsidRPr="00E90D58" w:rsidR="002C34C4">
        <w:rPr>
          <w:rFonts w:cstheme="minorHAnsi"/>
          <w:lang w:val="en-GB"/>
        </w:rPr>
        <w:t>§§</w:t>
      </w:r>
      <w:r w:rsidR="00B86BF8">
        <w:rPr>
          <w:lang w:val="en-GB"/>
        </w:rPr>
        <w:t> </w:t>
      </w:r>
      <w:r w:rsidR="002C34C4">
        <w:rPr>
          <w:lang w:val="en-GB"/>
        </w:rPr>
        <w:t>17-21, 27 November 2014)</w:t>
      </w:r>
      <w:r w:rsidR="00260F20">
        <w:rPr>
          <w:lang w:val="en-GB"/>
        </w:rPr>
        <w:t>.</w:t>
      </w:r>
    </w:p>
    <w:p w:rsidRPr="000B3564" w:rsidR="000B3564" w:rsidP="002C34C4" w:rsidRDefault="00EE0553">
      <w:pPr>
        <w:pStyle w:val="ECHRPara"/>
        <w:rPr>
          <w:lang w:val="en-GB"/>
        </w:rPr>
      </w:pPr>
      <w:r>
        <w:rPr>
          <w:lang w:val="en-GB"/>
        </w:rPr>
        <w:fldChar w:fldCharType="begin"/>
      </w:r>
      <w:r>
        <w:rPr>
          <w:lang w:val="en-GB"/>
        </w:rPr>
        <w:instrText xml:space="preserve"> SEQ level0 \*arabic </w:instrText>
      </w:r>
      <w:r>
        <w:rPr>
          <w:lang w:val="en-GB"/>
        </w:rPr>
        <w:fldChar w:fldCharType="separate"/>
      </w:r>
      <w:r w:rsidR="00A7005F">
        <w:rPr>
          <w:noProof/>
          <w:lang w:val="en-GB"/>
        </w:rPr>
        <w:t>13</w:t>
      </w:r>
      <w:r>
        <w:rPr>
          <w:lang w:val="en-GB"/>
        </w:rPr>
        <w:fldChar w:fldCharType="end"/>
      </w:r>
      <w:r>
        <w:rPr>
          <w:lang w:val="en-GB"/>
        </w:rPr>
        <w:t>.  </w:t>
      </w:r>
      <w:r w:rsidR="002C34C4">
        <w:rPr>
          <w:lang w:val="en-GB"/>
        </w:rPr>
        <w:t>In particular, i</w:t>
      </w:r>
      <w:r w:rsidR="008D5E41">
        <w:rPr>
          <w:lang w:val="en-GB"/>
        </w:rPr>
        <w:t>n the case of</w:t>
      </w:r>
      <w:r w:rsidR="00E90D58">
        <w:rPr>
          <w:lang w:val="en-GB"/>
        </w:rPr>
        <w:t xml:space="preserve"> </w:t>
      </w:r>
      <w:proofErr w:type="spellStart"/>
      <w:r w:rsidRPr="008D5E41" w:rsidR="008D5E41">
        <w:rPr>
          <w:i/>
          <w:lang w:val="en-GB"/>
        </w:rPr>
        <w:t>Yeremtsov</w:t>
      </w:r>
      <w:proofErr w:type="spellEnd"/>
      <w:r w:rsidRPr="008D5E41" w:rsidR="008D5E41">
        <w:rPr>
          <w:i/>
          <w:lang w:val="en-GB"/>
        </w:rPr>
        <w:t xml:space="preserve"> and Others </w:t>
      </w:r>
      <w:r w:rsidR="008D5E41">
        <w:rPr>
          <w:lang w:val="en-GB"/>
        </w:rPr>
        <w:t xml:space="preserve">the </w:t>
      </w:r>
      <w:r w:rsidR="005A0421">
        <w:rPr>
          <w:lang w:val="en-GB"/>
        </w:rPr>
        <w:t>Court</w:t>
      </w:r>
      <w:r w:rsidR="002C34C4">
        <w:rPr>
          <w:lang w:val="en-GB"/>
        </w:rPr>
        <w:t xml:space="preserve"> found that during the re-examination of the applicants</w:t>
      </w:r>
      <w:r w:rsidR="00B033EC">
        <w:rPr>
          <w:lang w:val="en-GB"/>
        </w:rPr>
        <w:t>’</w:t>
      </w:r>
      <w:r w:rsidR="002C34C4">
        <w:rPr>
          <w:lang w:val="en-GB"/>
        </w:rPr>
        <w:t xml:space="preserve"> cases, t</w:t>
      </w:r>
      <w:r w:rsidRPr="008D5E41" w:rsidR="002C34C4">
        <w:rPr>
          <w:lang w:val="en-GB"/>
        </w:rPr>
        <w:t xml:space="preserve">he domestic courts </w:t>
      </w:r>
      <w:r w:rsidRPr="00C97715" w:rsidR="002C34C4">
        <w:rPr>
          <w:lang w:val="en-GB"/>
        </w:rPr>
        <w:t>simply reiterated the reasoning of the first-instance court</w:t>
      </w:r>
      <w:r w:rsidR="002C34C4">
        <w:rPr>
          <w:lang w:val="en-GB"/>
        </w:rPr>
        <w:t xml:space="preserve"> in relation to the first episode</w:t>
      </w:r>
      <w:r w:rsidRPr="00C97715" w:rsidR="002C34C4">
        <w:rPr>
          <w:lang w:val="en-GB"/>
        </w:rPr>
        <w:t xml:space="preserve"> and </w:t>
      </w:r>
      <w:r w:rsidR="002C34C4">
        <w:rPr>
          <w:lang w:val="en-GB"/>
        </w:rPr>
        <w:t xml:space="preserve">held that only remaining episodes of drug sale had amounted to entrapment </w:t>
      </w:r>
      <w:r w:rsidRPr="00C97715" w:rsidR="002C34C4">
        <w:rPr>
          <w:lang w:val="en-GB"/>
        </w:rPr>
        <w:t xml:space="preserve">because </w:t>
      </w:r>
      <w:r w:rsidR="002C34C4">
        <w:rPr>
          <w:lang w:val="en-GB"/>
        </w:rPr>
        <w:t>they</w:t>
      </w:r>
      <w:r w:rsidRPr="00C97715" w:rsidR="002C34C4">
        <w:rPr>
          <w:lang w:val="en-GB"/>
        </w:rPr>
        <w:t xml:space="preserve"> had pursued no legitimate goal, such as </w:t>
      </w:r>
      <w:r w:rsidR="002C34C4">
        <w:rPr>
          <w:lang w:val="en-GB"/>
        </w:rPr>
        <w:t xml:space="preserve">crime detection and prevention. The domestic courts </w:t>
      </w:r>
      <w:r w:rsidRPr="008D5E41" w:rsidR="002C34C4">
        <w:rPr>
          <w:lang w:val="en-GB"/>
        </w:rPr>
        <w:t>did not examine the essential arguments of the applicants</w:t>
      </w:r>
      <w:r w:rsidR="00B033EC">
        <w:rPr>
          <w:lang w:val="en-GB"/>
        </w:rPr>
        <w:t>’</w:t>
      </w:r>
      <w:r w:rsidRPr="008D5E41" w:rsidR="002C34C4">
        <w:rPr>
          <w:lang w:val="en-GB"/>
        </w:rPr>
        <w:t xml:space="preserve"> complaints, namely, that the police had had no valid reasons to mount each of the undercover operations and that they had impermissibly incited the applicants to sell drugs. They did not request any materials concerning the substance of incriminating operational information and accepted just the uncorroborated statements of police officers to that effect</w:t>
      </w:r>
      <w:r w:rsidR="002C34C4">
        <w:rPr>
          <w:i/>
          <w:lang w:val="en-GB"/>
        </w:rPr>
        <w:t xml:space="preserve"> </w:t>
      </w:r>
      <w:r w:rsidRPr="002C34C4" w:rsidR="002C34C4">
        <w:rPr>
          <w:lang w:val="en-GB"/>
        </w:rPr>
        <w:t>(see</w:t>
      </w:r>
      <w:r w:rsidR="002C34C4">
        <w:rPr>
          <w:i/>
          <w:lang w:val="en-GB"/>
        </w:rPr>
        <w:t xml:space="preserve"> </w:t>
      </w:r>
      <w:proofErr w:type="spellStart"/>
      <w:r w:rsidRPr="008D5E41" w:rsidR="002C34C4">
        <w:rPr>
          <w:i/>
          <w:lang w:val="en-GB"/>
        </w:rPr>
        <w:t>Yeremtsov</w:t>
      </w:r>
      <w:proofErr w:type="spellEnd"/>
      <w:r w:rsidRPr="008D5E41" w:rsidR="002C34C4">
        <w:rPr>
          <w:i/>
          <w:lang w:val="en-GB"/>
        </w:rPr>
        <w:t xml:space="preserve"> and Others</w:t>
      </w:r>
      <w:r w:rsidRPr="002C34C4" w:rsidR="002C34C4">
        <w:rPr>
          <w:lang w:val="en-GB"/>
        </w:rPr>
        <w:t xml:space="preserve">, cited above, </w:t>
      </w:r>
      <w:r w:rsidRPr="002C34C4" w:rsidR="002C34C4">
        <w:rPr>
          <w:rFonts w:cstheme="minorHAnsi"/>
          <w:lang w:val="en-GB"/>
        </w:rPr>
        <w:t>§§</w:t>
      </w:r>
      <w:r w:rsidRPr="002C34C4" w:rsidR="002C34C4">
        <w:rPr>
          <w:lang w:val="en-GB"/>
        </w:rPr>
        <w:t xml:space="preserve"> 18-19).</w:t>
      </w:r>
    </w:p>
    <w:p w:rsidR="00B033EC" w:rsidP="00B45E72" w:rsidRDefault="008E623D">
      <w:pPr>
        <w:pStyle w:val="ECHRPara"/>
        <w:rPr>
          <w:lang w:val="en-GB"/>
        </w:rPr>
      </w:pPr>
      <w:r>
        <w:rPr>
          <w:lang w:val="en-GB"/>
        </w:rPr>
        <w:fldChar w:fldCharType="begin"/>
      </w:r>
      <w:r>
        <w:rPr>
          <w:lang w:val="en-GB"/>
        </w:rPr>
        <w:instrText xml:space="preserve"> SEQ level0 \*arabic </w:instrText>
      </w:r>
      <w:r>
        <w:rPr>
          <w:lang w:val="en-GB"/>
        </w:rPr>
        <w:fldChar w:fldCharType="separate"/>
      </w:r>
      <w:r w:rsidR="00A7005F">
        <w:rPr>
          <w:noProof/>
          <w:lang w:val="en-GB"/>
        </w:rPr>
        <w:t>14</w:t>
      </w:r>
      <w:r>
        <w:rPr>
          <w:lang w:val="en-GB"/>
        </w:rPr>
        <w:fldChar w:fldCharType="end"/>
      </w:r>
      <w:r>
        <w:rPr>
          <w:lang w:val="en-GB"/>
        </w:rPr>
        <w:t>.  </w:t>
      </w:r>
      <w:r w:rsidRPr="00E90D58" w:rsidR="00E90D58">
        <w:rPr>
          <w:lang w:val="en-GB"/>
        </w:rPr>
        <w:t xml:space="preserve">Turning to the facts of Mr </w:t>
      </w:r>
      <w:proofErr w:type="spellStart"/>
      <w:r w:rsidRPr="00E90D58" w:rsidR="00E90D58">
        <w:rPr>
          <w:lang w:val="en-GB"/>
        </w:rPr>
        <w:t>Lebedev</w:t>
      </w:r>
      <w:r w:rsidR="00B033EC">
        <w:rPr>
          <w:lang w:val="en-GB"/>
        </w:rPr>
        <w:t>’</w:t>
      </w:r>
      <w:r w:rsidR="00E90D58">
        <w:rPr>
          <w:lang w:val="en-GB"/>
        </w:rPr>
        <w:t>s</w:t>
      </w:r>
      <w:proofErr w:type="spellEnd"/>
      <w:r w:rsidRPr="00E90D58" w:rsidR="00E90D58">
        <w:rPr>
          <w:lang w:val="en-GB"/>
        </w:rPr>
        <w:t xml:space="preserve">, Ms </w:t>
      </w:r>
      <w:proofErr w:type="spellStart"/>
      <w:r w:rsidRPr="00E90D58" w:rsidR="00E90D58">
        <w:rPr>
          <w:lang w:val="en-GB"/>
        </w:rPr>
        <w:t>Cherkasova</w:t>
      </w:r>
      <w:r w:rsidR="00B033EC">
        <w:rPr>
          <w:lang w:val="en-GB"/>
        </w:rPr>
        <w:t>’</w:t>
      </w:r>
      <w:r w:rsidR="00E90D58">
        <w:rPr>
          <w:lang w:val="en-GB"/>
        </w:rPr>
        <w:t>s</w:t>
      </w:r>
      <w:proofErr w:type="spellEnd"/>
      <w:r w:rsidR="005F32F3">
        <w:rPr>
          <w:lang w:val="en-GB"/>
        </w:rPr>
        <w:t xml:space="preserve"> and Mr </w:t>
      </w:r>
      <w:proofErr w:type="spellStart"/>
      <w:r w:rsidRPr="00E90D58" w:rsidR="00E90D58">
        <w:rPr>
          <w:lang w:val="en-GB"/>
        </w:rPr>
        <w:t>Krivda</w:t>
      </w:r>
      <w:r w:rsidR="00B033EC">
        <w:rPr>
          <w:lang w:val="en-GB"/>
        </w:rPr>
        <w:t>’</w:t>
      </w:r>
      <w:r w:rsidR="00E90D58">
        <w:rPr>
          <w:lang w:val="en-GB"/>
        </w:rPr>
        <w:t>s</w:t>
      </w:r>
      <w:proofErr w:type="spellEnd"/>
      <w:r w:rsidR="00E90D58">
        <w:rPr>
          <w:lang w:val="en-GB"/>
        </w:rPr>
        <w:t xml:space="preserve"> applications</w:t>
      </w:r>
      <w:r>
        <w:rPr>
          <w:lang w:val="en-GB"/>
        </w:rPr>
        <w:t>,</w:t>
      </w:r>
      <w:r w:rsidR="00E90D58">
        <w:rPr>
          <w:lang w:val="en-GB"/>
        </w:rPr>
        <w:t xml:space="preserve"> the</w:t>
      </w:r>
      <w:r>
        <w:rPr>
          <w:lang w:val="en-GB"/>
        </w:rPr>
        <w:t xml:space="preserve"> Court </w:t>
      </w:r>
      <w:r w:rsidRPr="008B5732">
        <w:t>observes that</w:t>
      </w:r>
      <w:r>
        <w:t xml:space="preserve"> similarly to the applicants in</w:t>
      </w:r>
      <w:r w:rsidRPr="008D1443">
        <w:rPr>
          <w:i/>
        </w:rPr>
        <w:t xml:space="preserve"> </w:t>
      </w:r>
      <w:r w:rsidRPr="00F65620">
        <w:t>the case of</w:t>
      </w:r>
      <w:r>
        <w:rPr>
          <w:i/>
        </w:rPr>
        <w:t xml:space="preserve"> </w:t>
      </w:r>
      <w:proofErr w:type="spellStart"/>
      <w:r w:rsidRPr="008E623D">
        <w:rPr>
          <w:i/>
          <w:lang w:val="en-GB"/>
        </w:rPr>
        <w:t>Yeremtsov</w:t>
      </w:r>
      <w:proofErr w:type="spellEnd"/>
      <w:r w:rsidRPr="008E623D">
        <w:rPr>
          <w:i/>
          <w:lang w:val="en-GB"/>
        </w:rPr>
        <w:t xml:space="preserve"> and Others</w:t>
      </w:r>
      <w:r>
        <w:rPr>
          <w:lang w:val="en-GB"/>
        </w:rPr>
        <w:t>, the applicants in the present case did not lose their victim status</w:t>
      </w:r>
      <w:r w:rsidR="00772E79">
        <w:rPr>
          <w:lang w:val="en-GB"/>
        </w:rPr>
        <w:t>. T</w:t>
      </w:r>
      <w:r>
        <w:rPr>
          <w:lang w:val="en-GB"/>
        </w:rPr>
        <w:t>he re-examination of their criminal cases by the domestic courts</w:t>
      </w:r>
      <w:r w:rsidR="002C34C4">
        <w:rPr>
          <w:lang w:val="en-GB"/>
        </w:rPr>
        <w:t xml:space="preserve"> was conducted in</w:t>
      </w:r>
      <w:r w:rsidR="005F32F3">
        <w:rPr>
          <w:lang w:val="en-GB"/>
        </w:rPr>
        <w:t xml:space="preserve"> an exact same manner as the re</w:t>
      </w:r>
      <w:r w:rsidR="005F32F3">
        <w:rPr>
          <w:lang w:val="en-GB"/>
        </w:rPr>
        <w:noBreakHyphen/>
      </w:r>
      <w:r w:rsidR="002C34C4">
        <w:rPr>
          <w:lang w:val="en-GB"/>
        </w:rPr>
        <w:t>examination of the applicants</w:t>
      </w:r>
      <w:r w:rsidR="00B033EC">
        <w:rPr>
          <w:lang w:val="en-GB"/>
        </w:rPr>
        <w:t>’</w:t>
      </w:r>
      <w:r w:rsidR="002C34C4">
        <w:rPr>
          <w:lang w:val="en-GB"/>
        </w:rPr>
        <w:t xml:space="preserve"> cases </w:t>
      </w:r>
      <w:r w:rsidRPr="002C34C4" w:rsidR="002C34C4">
        <w:rPr>
          <w:lang w:val="en-GB"/>
        </w:rPr>
        <w:t>in the case of</w:t>
      </w:r>
      <w:r w:rsidR="002C34C4">
        <w:rPr>
          <w:i/>
          <w:lang w:val="en-GB"/>
        </w:rPr>
        <w:t xml:space="preserve"> </w:t>
      </w:r>
      <w:proofErr w:type="spellStart"/>
      <w:r w:rsidRPr="002C34C4" w:rsidR="002C34C4">
        <w:rPr>
          <w:i/>
          <w:lang w:val="en-GB"/>
        </w:rPr>
        <w:t>Yeremtsov</w:t>
      </w:r>
      <w:proofErr w:type="spellEnd"/>
      <w:r w:rsidRPr="002C34C4" w:rsidR="002C34C4">
        <w:rPr>
          <w:i/>
          <w:lang w:val="en-GB"/>
        </w:rPr>
        <w:t xml:space="preserve"> and Others</w:t>
      </w:r>
      <w:r w:rsidR="008D5E41">
        <w:rPr>
          <w:lang w:val="en-GB"/>
        </w:rPr>
        <w:t xml:space="preserve">, </w:t>
      </w:r>
      <w:r w:rsidR="002C34C4">
        <w:rPr>
          <w:lang w:val="en-GB"/>
        </w:rPr>
        <w:t xml:space="preserve">and it did not appear </w:t>
      </w:r>
      <w:r w:rsidR="00E71E13">
        <w:rPr>
          <w:lang w:val="en-GB"/>
        </w:rPr>
        <w:t xml:space="preserve">to be </w:t>
      </w:r>
      <w:r w:rsidR="002C34C4">
        <w:rPr>
          <w:lang w:val="en-GB"/>
        </w:rPr>
        <w:t xml:space="preserve">effective. The domestic courts in the present case did not consider the arguments which lied </w:t>
      </w:r>
      <w:r w:rsidR="00FA610C">
        <w:rPr>
          <w:lang w:val="en-GB"/>
        </w:rPr>
        <w:t>at</w:t>
      </w:r>
      <w:r w:rsidR="002C34C4">
        <w:rPr>
          <w:lang w:val="en-GB"/>
        </w:rPr>
        <w:t xml:space="preserve"> the heart of the applicants</w:t>
      </w:r>
      <w:r w:rsidR="00B033EC">
        <w:rPr>
          <w:lang w:val="en-GB"/>
        </w:rPr>
        <w:t>’</w:t>
      </w:r>
      <w:r w:rsidR="002C34C4">
        <w:rPr>
          <w:lang w:val="en-GB"/>
        </w:rPr>
        <w:t xml:space="preserve"> complaints about entrapment and as such,</w:t>
      </w:r>
      <w:r w:rsidR="00FA610C">
        <w:rPr>
          <w:lang w:val="en-GB"/>
        </w:rPr>
        <w:t xml:space="preserve"> similarly to the domestic courts in</w:t>
      </w:r>
      <w:r w:rsidRPr="00FA610C" w:rsidR="00FA610C">
        <w:rPr>
          <w:i/>
          <w:lang w:val="en-GB"/>
        </w:rPr>
        <w:t xml:space="preserve"> </w:t>
      </w:r>
      <w:r w:rsidRPr="00FA610C" w:rsidR="00FA610C">
        <w:rPr>
          <w:lang w:val="en-GB"/>
        </w:rPr>
        <w:t>the case of</w:t>
      </w:r>
      <w:r w:rsidR="00FA610C">
        <w:rPr>
          <w:i/>
          <w:lang w:val="en-GB"/>
        </w:rPr>
        <w:t xml:space="preserve"> </w:t>
      </w:r>
      <w:proofErr w:type="spellStart"/>
      <w:r w:rsidRPr="00FA610C" w:rsidR="00FA610C">
        <w:rPr>
          <w:i/>
          <w:lang w:val="en-GB"/>
        </w:rPr>
        <w:t>Yeremtsov</w:t>
      </w:r>
      <w:proofErr w:type="spellEnd"/>
      <w:r w:rsidRPr="00FA610C" w:rsidR="00FA610C">
        <w:rPr>
          <w:i/>
          <w:lang w:val="en-GB"/>
        </w:rPr>
        <w:t xml:space="preserve"> and Others</w:t>
      </w:r>
      <w:r w:rsidR="00FA610C">
        <w:rPr>
          <w:lang w:val="en-GB"/>
        </w:rPr>
        <w:t xml:space="preserve">, </w:t>
      </w:r>
      <w:r w:rsidR="002C34C4">
        <w:rPr>
          <w:lang w:val="en-GB"/>
        </w:rPr>
        <w:t>they were not in the position to assess whether violation, if any, of the applican</w:t>
      </w:r>
      <w:r w:rsidR="00FA610C">
        <w:rPr>
          <w:lang w:val="en-GB"/>
        </w:rPr>
        <w:t>ts</w:t>
      </w:r>
      <w:r w:rsidR="00B033EC">
        <w:rPr>
          <w:lang w:val="en-GB"/>
        </w:rPr>
        <w:t>’</w:t>
      </w:r>
      <w:r w:rsidR="00FA610C">
        <w:rPr>
          <w:lang w:val="en-GB"/>
        </w:rPr>
        <w:t xml:space="preserve"> Article 6 rights took place</w:t>
      </w:r>
      <w:r w:rsidR="002C34C4">
        <w:rPr>
          <w:lang w:val="en-GB"/>
        </w:rPr>
        <w:t xml:space="preserve"> in the course of undercover operation. Thus, a</w:t>
      </w:r>
      <w:r w:rsidR="008D5E41">
        <w:rPr>
          <w:lang w:val="en-GB"/>
        </w:rPr>
        <w:t>lbeit favourable for the applicants in the outcome,</w:t>
      </w:r>
      <w:r>
        <w:rPr>
          <w:lang w:val="en-GB"/>
        </w:rPr>
        <w:t xml:space="preserve"> </w:t>
      </w:r>
      <w:r w:rsidR="002C34C4">
        <w:rPr>
          <w:lang w:val="en-GB"/>
        </w:rPr>
        <w:t xml:space="preserve">the re-examination of their cases nevertheless </w:t>
      </w:r>
      <w:r w:rsidR="008D5E41">
        <w:rPr>
          <w:lang w:val="en-GB"/>
        </w:rPr>
        <w:t>fell short of the standards developed in the Court</w:t>
      </w:r>
      <w:r w:rsidR="00B033EC">
        <w:rPr>
          <w:lang w:val="en-GB"/>
        </w:rPr>
        <w:t>’</w:t>
      </w:r>
      <w:r w:rsidR="008D5E41">
        <w:rPr>
          <w:lang w:val="en-GB"/>
        </w:rPr>
        <w:t>s jurisprudence in the light of Article 6 of the Convention</w:t>
      </w:r>
      <w:r w:rsidR="005A0421">
        <w:rPr>
          <w:lang w:val="en-GB"/>
        </w:rPr>
        <w:t xml:space="preserve"> (see</w:t>
      </w:r>
      <w:r w:rsidR="0061330A">
        <w:rPr>
          <w:i/>
          <w:lang w:val="en-GB"/>
        </w:rPr>
        <w:t xml:space="preserve"> </w:t>
      </w:r>
      <w:proofErr w:type="spellStart"/>
      <w:r w:rsidR="0061330A">
        <w:rPr>
          <w:i/>
          <w:lang w:val="en-GB"/>
        </w:rPr>
        <w:t>Yeremtsov</w:t>
      </w:r>
      <w:proofErr w:type="spellEnd"/>
      <w:r w:rsidR="0061330A">
        <w:rPr>
          <w:i/>
          <w:lang w:val="en-GB"/>
        </w:rPr>
        <w:t xml:space="preserve"> and Others</w:t>
      </w:r>
      <w:r w:rsidR="00B45E72">
        <w:rPr>
          <w:lang w:val="en-GB"/>
        </w:rPr>
        <w:t>, cited above, §§ 12</w:t>
      </w:r>
      <w:r w:rsidR="00B45E72">
        <w:rPr>
          <w:lang w:val="en-GB"/>
        </w:rPr>
        <w:noBreakHyphen/>
      </w:r>
      <w:r w:rsidR="005A0421">
        <w:rPr>
          <w:lang w:val="en-GB"/>
        </w:rPr>
        <w:t>16)</w:t>
      </w:r>
      <w:r w:rsidR="008D5E41">
        <w:rPr>
          <w:lang w:val="en-GB"/>
        </w:rPr>
        <w:t>.</w:t>
      </w:r>
    </w:p>
    <w:p w:rsidR="008D5E41" w:rsidP="002C34C4" w:rsidRDefault="008E623D">
      <w:pPr>
        <w:pStyle w:val="ECHRPara"/>
        <w:rPr>
          <w:lang w:val="en-GB"/>
        </w:rPr>
      </w:pPr>
      <w:r>
        <w:rPr>
          <w:lang w:val="en-GB"/>
        </w:rPr>
        <w:fldChar w:fldCharType="begin"/>
      </w:r>
      <w:r>
        <w:rPr>
          <w:lang w:val="en-GB"/>
        </w:rPr>
        <w:instrText xml:space="preserve"> SEQ level0 \*arabic </w:instrText>
      </w:r>
      <w:r>
        <w:rPr>
          <w:lang w:val="en-GB"/>
        </w:rPr>
        <w:fldChar w:fldCharType="separate"/>
      </w:r>
      <w:r w:rsidR="00A7005F">
        <w:rPr>
          <w:noProof/>
          <w:lang w:val="en-GB"/>
        </w:rPr>
        <w:t>15</w:t>
      </w:r>
      <w:r>
        <w:rPr>
          <w:lang w:val="en-GB"/>
        </w:rPr>
        <w:fldChar w:fldCharType="end"/>
      </w:r>
      <w:r>
        <w:rPr>
          <w:lang w:val="en-GB"/>
        </w:rPr>
        <w:t>.  </w:t>
      </w:r>
      <w:r w:rsidR="00372993">
        <w:rPr>
          <w:lang w:val="en-GB"/>
        </w:rPr>
        <w:t>Having regard to the above, t</w:t>
      </w:r>
      <w:r w:rsidR="002C34C4">
        <w:rPr>
          <w:lang w:val="en-GB"/>
        </w:rPr>
        <w:t>he Court</w:t>
      </w:r>
      <w:r w:rsidR="00372993">
        <w:rPr>
          <w:lang w:val="en-GB"/>
        </w:rPr>
        <w:t xml:space="preserve"> </w:t>
      </w:r>
      <w:r w:rsidR="002C34C4">
        <w:rPr>
          <w:lang w:val="en-GB"/>
        </w:rPr>
        <w:t>dismisses the Government</w:t>
      </w:r>
      <w:r w:rsidR="00B033EC">
        <w:rPr>
          <w:lang w:val="en-GB"/>
        </w:rPr>
        <w:t>’</w:t>
      </w:r>
      <w:r w:rsidR="002C34C4">
        <w:rPr>
          <w:lang w:val="en-GB"/>
        </w:rPr>
        <w:t xml:space="preserve">s objection as to the loss of victim status by </w:t>
      </w:r>
      <w:r w:rsidRPr="00372993" w:rsidR="00372993">
        <w:rPr>
          <w:lang w:val="en-GB"/>
        </w:rPr>
        <w:t xml:space="preserve">Mr </w:t>
      </w:r>
      <w:proofErr w:type="spellStart"/>
      <w:r w:rsidRPr="00372993" w:rsidR="00372993">
        <w:rPr>
          <w:lang w:val="en-GB"/>
        </w:rPr>
        <w:t>Lebedev</w:t>
      </w:r>
      <w:proofErr w:type="spellEnd"/>
      <w:r w:rsidRPr="00372993" w:rsidR="00372993">
        <w:rPr>
          <w:lang w:val="en-GB"/>
        </w:rPr>
        <w:t xml:space="preserve">, Ms </w:t>
      </w:r>
      <w:proofErr w:type="spellStart"/>
      <w:r w:rsidRPr="00372993" w:rsidR="00372993">
        <w:rPr>
          <w:lang w:val="en-GB"/>
        </w:rPr>
        <w:t>Cherkasova</w:t>
      </w:r>
      <w:proofErr w:type="spellEnd"/>
      <w:r w:rsidRPr="00372993" w:rsidR="00372993">
        <w:rPr>
          <w:lang w:val="en-GB"/>
        </w:rPr>
        <w:t xml:space="preserve"> and Mr </w:t>
      </w:r>
      <w:proofErr w:type="spellStart"/>
      <w:r w:rsidRPr="00372993" w:rsidR="00372993">
        <w:rPr>
          <w:lang w:val="en-GB"/>
        </w:rPr>
        <w:t>Krivda</w:t>
      </w:r>
      <w:proofErr w:type="spellEnd"/>
      <w:r w:rsidRPr="00372993" w:rsidR="00372993">
        <w:rPr>
          <w:lang w:val="en-GB"/>
        </w:rPr>
        <w:t xml:space="preserve"> </w:t>
      </w:r>
      <w:r w:rsidR="002C34C4">
        <w:rPr>
          <w:lang w:val="en-GB"/>
        </w:rPr>
        <w:t xml:space="preserve">and finds that </w:t>
      </w:r>
      <w:r w:rsidRPr="002C34C4" w:rsidR="002C34C4">
        <w:t>they remain to be victims of the alleged violation of Article 6.</w:t>
      </w:r>
    </w:p>
    <w:p w:rsidR="00BF66C9" w:rsidP="00B45E72" w:rsidRDefault="00E90D58">
      <w:pPr>
        <w:pStyle w:val="ECHRPara"/>
        <w:rPr>
          <w:lang w:val="en-GB"/>
        </w:rPr>
      </w:pPr>
      <w:r>
        <w:rPr>
          <w:lang w:val="en-GB"/>
        </w:rPr>
        <w:fldChar w:fldCharType="begin"/>
      </w:r>
      <w:r>
        <w:rPr>
          <w:lang w:val="en-GB"/>
        </w:rPr>
        <w:instrText xml:space="preserve"> SEQ level0 \*arabic </w:instrText>
      </w:r>
      <w:r>
        <w:rPr>
          <w:lang w:val="en-GB"/>
        </w:rPr>
        <w:fldChar w:fldCharType="separate"/>
      </w:r>
      <w:r w:rsidR="00A7005F">
        <w:rPr>
          <w:noProof/>
          <w:lang w:val="en-GB"/>
        </w:rPr>
        <w:t>16</w:t>
      </w:r>
      <w:r>
        <w:rPr>
          <w:lang w:val="en-GB"/>
        </w:rPr>
        <w:fldChar w:fldCharType="end"/>
      </w:r>
      <w:r>
        <w:rPr>
          <w:lang w:val="en-GB"/>
        </w:rPr>
        <w:t>.  </w:t>
      </w:r>
      <w:r w:rsidRPr="002C34C4" w:rsidR="002C34C4">
        <w:t xml:space="preserve">The Court </w:t>
      </w:r>
      <w:r w:rsidR="00372993">
        <w:t xml:space="preserve">also </w:t>
      </w:r>
      <w:r w:rsidRPr="002C34C4" w:rsidR="002C34C4">
        <w:t>finds that the complaints regarding entrapment brought by all five applicants under Article 6 § 1 are not manifestly ill</w:t>
      </w:r>
      <w:r w:rsidRPr="002C34C4" w:rsidR="002C34C4">
        <w:noBreakHyphen/>
        <w:t>founded within the meaning of Article 35 § 3 (a) of the Convention. It further notes that they are not inadmissible on any other grounds. They must therefore be declared admissible.</w:t>
      </w:r>
    </w:p>
    <w:p w:rsidRPr="00062973" w:rsidR="00014566" w:rsidP="00014566" w:rsidRDefault="00014566">
      <w:pPr>
        <w:pStyle w:val="ECHRHeading2"/>
        <w:outlineLvl w:val="0"/>
        <w:rPr>
          <w:lang w:val="en-GB"/>
        </w:rPr>
      </w:pPr>
      <w:r w:rsidRPr="00062973">
        <w:rPr>
          <w:lang w:val="en-GB"/>
        </w:rPr>
        <w:t>B.  Merits</w:t>
      </w:r>
    </w:p>
    <w:p w:rsidR="0030794A" w:rsidP="00CD661F" w:rsidRDefault="009A7F71">
      <w:pPr>
        <w:pStyle w:val="ECHRPara"/>
        <w:rPr>
          <w:lang w:val="en-GB"/>
        </w:rPr>
      </w:pPr>
      <w:r>
        <w:rPr>
          <w:lang w:val="en-GB"/>
        </w:rPr>
        <w:fldChar w:fldCharType="begin"/>
      </w:r>
      <w:r>
        <w:rPr>
          <w:lang w:val="en-GB"/>
        </w:rPr>
        <w:instrText xml:space="preserve"> SEQ level0 \*arabic </w:instrText>
      </w:r>
      <w:r>
        <w:rPr>
          <w:lang w:val="en-GB"/>
        </w:rPr>
        <w:fldChar w:fldCharType="separate"/>
      </w:r>
      <w:r w:rsidR="00A7005F">
        <w:rPr>
          <w:noProof/>
          <w:lang w:val="en-GB"/>
        </w:rPr>
        <w:t>17</w:t>
      </w:r>
      <w:r>
        <w:rPr>
          <w:lang w:val="en-GB"/>
        </w:rPr>
        <w:fldChar w:fldCharType="end"/>
      </w:r>
      <w:r w:rsidRPr="00062973" w:rsidR="00014566">
        <w:rPr>
          <w:lang w:val="en-GB"/>
        </w:rPr>
        <w:t>.  </w:t>
      </w:r>
      <w:r w:rsidR="00CD661F">
        <w:rPr>
          <w:lang w:val="en-GB"/>
        </w:rPr>
        <w:t>T</w:t>
      </w:r>
      <w:r w:rsidRPr="00CD661F" w:rsidR="00CD661F">
        <w:rPr>
          <w:lang w:val="en-GB"/>
        </w:rPr>
        <w:t>he Government claimed that the test purchases conducted in each of the</w:t>
      </w:r>
      <w:r w:rsidR="00CD661F">
        <w:rPr>
          <w:lang w:val="en-GB"/>
        </w:rPr>
        <w:t xml:space="preserve"> present cases</w:t>
      </w:r>
      <w:r w:rsidRPr="00CD661F" w:rsidR="00CD661F">
        <w:rPr>
          <w:lang w:val="en-GB"/>
        </w:rPr>
        <w:t xml:space="preserve"> had been lawful and had involved no entrapment by </w:t>
      </w:r>
      <w:r w:rsidR="00CD661F">
        <w:rPr>
          <w:lang w:val="en-GB"/>
        </w:rPr>
        <w:t xml:space="preserve">the </w:t>
      </w:r>
      <w:r w:rsidRPr="00CD661F" w:rsidR="00CD661F">
        <w:rPr>
          <w:lang w:val="en-GB"/>
        </w:rPr>
        <w:t>police. They maintained that the police had ordered the test purchases on the basis of incriminating confidential information and that the applicants voluntarily had agreed to sell drugs. They also submitted that the applicants had their cases reviewed by the domestic courts and that they had been provided with necessary procedural safeguards in the course of proceedings.</w:t>
      </w:r>
    </w:p>
    <w:p w:rsidR="0030794A" w:rsidP="00CD661F" w:rsidRDefault="00CD661F">
      <w:pPr>
        <w:pStyle w:val="ECHRPara"/>
        <w:rPr>
          <w:lang w:val="en-GB"/>
        </w:rPr>
      </w:pPr>
      <w:r>
        <w:rPr>
          <w:lang w:val="en-GB"/>
        </w:rPr>
        <w:fldChar w:fldCharType="begin"/>
      </w:r>
      <w:r>
        <w:rPr>
          <w:lang w:val="en-GB"/>
        </w:rPr>
        <w:instrText xml:space="preserve"> SEQ level0 \*arabic </w:instrText>
      </w:r>
      <w:r>
        <w:rPr>
          <w:lang w:val="en-GB"/>
        </w:rPr>
        <w:fldChar w:fldCharType="separate"/>
      </w:r>
      <w:r w:rsidR="00A7005F">
        <w:rPr>
          <w:noProof/>
          <w:lang w:val="en-GB"/>
        </w:rPr>
        <w:t>18</w:t>
      </w:r>
      <w:r>
        <w:rPr>
          <w:lang w:val="en-GB"/>
        </w:rPr>
        <w:fldChar w:fldCharType="end"/>
      </w:r>
      <w:r>
        <w:rPr>
          <w:lang w:val="en-GB"/>
        </w:rPr>
        <w:t>.  </w:t>
      </w:r>
      <w:r w:rsidRPr="00CD661F">
        <w:rPr>
          <w:lang w:val="en-GB"/>
        </w:rPr>
        <w:t>Each of the five applicants claimed that the police had no reasons to mount undercover operations and that the actions of the police amounted to entrapment. They further argued that the domestic courts had not properly examined their allegations that the offences they were charged with had been instigated by the police.</w:t>
      </w:r>
    </w:p>
    <w:p w:rsidR="0030794A" w:rsidP="00EE0553" w:rsidRDefault="00CD661F">
      <w:pPr>
        <w:pStyle w:val="ECHRPara"/>
        <w:rPr>
          <w:lang w:val="en-GB"/>
        </w:rPr>
      </w:pPr>
      <w:r>
        <w:rPr>
          <w:lang w:val="en-GB"/>
        </w:rPr>
        <w:fldChar w:fldCharType="begin"/>
      </w:r>
      <w:r>
        <w:rPr>
          <w:lang w:val="en-GB"/>
        </w:rPr>
        <w:instrText xml:space="preserve"> SEQ level0 \*arabic </w:instrText>
      </w:r>
      <w:r>
        <w:rPr>
          <w:lang w:val="en-GB"/>
        </w:rPr>
        <w:fldChar w:fldCharType="separate"/>
      </w:r>
      <w:r w:rsidR="00A7005F">
        <w:rPr>
          <w:noProof/>
          <w:lang w:val="en-GB"/>
        </w:rPr>
        <w:t>19</w:t>
      </w:r>
      <w:r>
        <w:rPr>
          <w:lang w:val="en-GB"/>
        </w:rPr>
        <w:fldChar w:fldCharType="end"/>
      </w:r>
      <w:r>
        <w:rPr>
          <w:lang w:val="en-GB"/>
        </w:rPr>
        <w:t>.  </w:t>
      </w:r>
      <w:r w:rsidRPr="00EE0553" w:rsidR="00EE0553">
        <w:rPr>
          <w:lang w:val="en-GB"/>
        </w:rPr>
        <w:t xml:space="preserve">The Court reiterates that the absence in the Russian legal system of clear and foreseeable procedure for authorising test purchases remains a structural problem which exposes the applicants to arbitrary action by the police and prevents the domestic courts from conducting an effective judicial review of their entrapment pleas (see </w:t>
      </w:r>
      <w:proofErr w:type="spellStart"/>
      <w:r w:rsidRPr="00EE0553" w:rsidR="00EE0553">
        <w:rPr>
          <w:i/>
          <w:lang w:val="en-GB"/>
        </w:rPr>
        <w:t>Lagutin</w:t>
      </w:r>
      <w:proofErr w:type="spellEnd"/>
      <w:r w:rsidRPr="00EE0553" w:rsidR="00EE0553">
        <w:rPr>
          <w:i/>
          <w:lang w:val="en-GB"/>
        </w:rPr>
        <w:t xml:space="preserve"> and Others</w:t>
      </w:r>
      <w:r w:rsidRPr="00EE0553" w:rsidR="00EE0553">
        <w:rPr>
          <w:lang w:val="en-GB"/>
        </w:rPr>
        <w:t xml:space="preserve">, § 134, and </w:t>
      </w:r>
      <w:proofErr w:type="spellStart"/>
      <w:r w:rsidRPr="00EE0553" w:rsidR="00EE0553">
        <w:rPr>
          <w:i/>
          <w:lang w:val="en-GB"/>
        </w:rPr>
        <w:t>Veselov</w:t>
      </w:r>
      <w:proofErr w:type="spellEnd"/>
      <w:r w:rsidRPr="00EE0553" w:rsidR="00EE0553">
        <w:rPr>
          <w:i/>
          <w:lang w:val="en-GB"/>
        </w:rPr>
        <w:t xml:space="preserve"> and Others</w:t>
      </w:r>
      <w:r w:rsidRPr="00EE0553" w:rsidR="00EE0553">
        <w:rPr>
          <w:lang w:val="en-GB"/>
        </w:rPr>
        <w:t>, § 126, both cited above). The present case is identical to other Russian cases on entrapment in which the Court consistently found violation on account of the deficient existing procedure for authorisation and administration of test purchases of drugs</w:t>
      </w:r>
      <w:r w:rsidRPr="00EE0553" w:rsidR="00EE0553">
        <w:rPr>
          <w:i/>
          <w:lang w:val="en-GB"/>
        </w:rPr>
        <w:t xml:space="preserve"> </w:t>
      </w:r>
      <w:r w:rsidRPr="00EE0553" w:rsidR="00EE0553">
        <w:rPr>
          <w:lang w:val="en-GB"/>
        </w:rPr>
        <w:t>(see</w:t>
      </w:r>
      <w:r w:rsidRPr="00EE0553" w:rsidR="00EE0553">
        <w:rPr>
          <w:i/>
          <w:lang w:val="en-GB"/>
        </w:rPr>
        <w:t xml:space="preserve"> </w:t>
      </w:r>
      <w:proofErr w:type="spellStart"/>
      <w:r w:rsidRPr="00E71E13" w:rsidR="00E71E13">
        <w:rPr>
          <w:i/>
          <w:lang w:val="en-GB"/>
        </w:rPr>
        <w:t>Yeremtsov</w:t>
      </w:r>
      <w:proofErr w:type="spellEnd"/>
      <w:r w:rsidRPr="00E71E13" w:rsidR="00E71E13">
        <w:rPr>
          <w:i/>
          <w:lang w:val="en-GB"/>
        </w:rPr>
        <w:t xml:space="preserve"> and Others, </w:t>
      </w:r>
      <w:proofErr w:type="spellStart"/>
      <w:r w:rsidRPr="00EE0553" w:rsidR="00EE0553">
        <w:rPr>
          <w:i/>
          <w:lang w:val="en-GB"/>
        </w:rPr>
        <w:t>Lagutin</w:t>
      </w:r>
      <w:proofErr w:type="spellEnd"/>
      <w:r w:rsidRPr="00EE0553" w:rsidR="00EE0553">
        <w:rPr>
          <w:i/>
          <w:lang w:val="en-GB"/>
        </w:rPr>
        <w:t xml:space="preserve"> and Others</w:t>
      </w:r>
      <w:r w:rsidRPr="00EE0553" w:rsidR="00EE0553">
        <w:rPr>
          <w:lang w:val="en-GB"/>
        </w:rPr>
        <w:t xml:space="preserve">, </w:t>
      </w:r>
      <w:proofErr w:type="spellStart"/>
      <w:r w:rsidRPr="00EE0553" w:rsidR="00EE0553">
        <w:rPr>
          <w:i/>
          <w:iCs/>
          <w:lang w:val="en-GB"/>
        </w:rPr>
        <w:t>Veselov</w:t>
      </w:r>
      <w:proofErr w:type="spellEnd"/>
      <w:r w:rsidRPr="00EE0553" w:rsidR="00EE0553">
        <w:rPr>
          <w:i/>
          <w:iCs/>
          <w:lang w:val="en-GB"/>
        </w:rPr>
        <w:t xml:space="preserve"> and Others, </w:t>
      </w:r>
      <w:proofErr w:type="spellStart"/>
      <w:r w:rsidRPr="00EE0553" w:rsidR="00EE0553">
        <w:rPr>
          <w:i/>
          <w:iCs/>
          <w:lang w:val="en-GB"/>
        </w:rPr>
        <w:t>Vanyan</w:t>
      </w:r>
      <w:proofErr w:type="spellEnd"/>
      <w:r w:rsidRPr="00EE0553" w:rsidR="00EE0553">
        <w:rPr>
          <w:i/>
          <w:iCs/>
          <w:lang w:val="en-GB"/>
        </w:rPr>
        <w:t>,</w:t>
      </w:r>
      <w:r w:rsidRPr="00EE0553" w:rsidR="00EE0553">
        <w:rPr>
          <w:lang w:val="en-GB"/>
        </w:rPr>
        <w:t xml:space="preserve"> and </w:t>
      </w:r>
      <w:proofErr w:type="spellStart"/>
      <w:r w:rsidRPr="00EE0553" w:rsidR="00EE0553">
        <w:rPr>
          <w:i/>
          <w:iCs/>
          <w:lang w:val="en-GB"/>
        </w:rPr>
        <w:t>Khudobin</w:t>
      </w:r>
      <w:proofErr w:type="spellEnd"/>
      <w:r w:rsidRPr="00EE0553" w:rsidR="00EE0553">
        <w:rPr>
          <w:i/>
          <w:iCs/>
          <w:lang w:val="en-GB"/>
        </w:rPr>
        <w:t xml:space="preserve">, </w:t>
      </w:r>
      <w:r w:rsidRPr="00EE0553" w:rsidR="00EE0553">
        <w:rPr>
          <w:iCs/>
          <w:lang w:val="en-GB"/>
        </w:rPr>
        <w:t>all cited above</w:t>
      </w:r>
      <w:r w:rsidRPr="00EE0553" w:rsidR="00EE0553">
        <w:rPr>
          <w:lang w:val="en-GB"/>
        </w:rPr>
        <w:t>).</w:t>
      </w:r>
    </w:p>
    <w:p w:rsidRPr="00062973" w:rsidR="00014566" w:rsidP="00CD661F" w:rsidRDefault="009A7F71">
      <w:pPr>
        <w:pStyle w:val="ECHRPara"/>
        <w:rPr>
          <w:lang w:val="en-GB"/>
        </w:rPr>
      </w:pPr>
      <w:r>
        <w:rPr>
          <w:lang w:val="en-GB"/>
        </w:rPr>
        <w:fldChar w:fldCharType="begin"/>
      </w:r>
      <w:r>
        <w:rPr>
          <w:lang w:val="en-GB"/>
        </w:rPr>
        <w:instrText xml:space="preserve"> SEQ level0 \*arabic </w:instrText>
      </w:r>
      <w:r>
        <w:rPr>
          <w:lang w:val="en-GB"/>
        </w:rPr>
        <w:fldChar w:fldCharType="separate"/>
      </w:r>
      <w:r w:rsidR="00A7005F">
        <w:rPr>
          <w:noProof/>
          <w:lang w:val="en-GB"/>
        </w:rPr>
        <w:t>20</w:t>
      </w:r>
      <w:r>
        <w:rPr>
          <w:lang w:val="en-GB"/>
        </w:rPr>
        <w:fldChar w:fldCharType="end"/>
      </w:r>
      <w:r w:rsidRPr="00062973" w:rsidR="00014566">
        <w:rPr>
          <w:lang w:val="en-GB"/>
        </w:rPr>
        <w:t>.  </w:t>
      </w:r>
      <w:r w:rsidRPr="00EE0553" w:rsidR="00EE0553">
        <w:rPr>
          <w:lang w:val="en-GB"/>
        </w:rPr>
        <w:t>Therefore, the Court finds no reason to depart from its earlier findings on the matter and holds that the criminal proceedings against all five applicants were incompatible with a notion of a fair trial. Having regard to its well-established law on the subject, the Court considers that there has been a violation of Article 6 of the Convention with regard to each of the five applicants.</w:t>
      </w:r>
    </w:p>
    <w:p w:rsidRPr="00062973" w:rsidR="00014566" w:rsidP="00014566" w:rsidRDefault="00CD661F">
      <w:pPr>
        <w:pStyle w:val="ECHRHeading1"/>
        <w:rPr>
          <w:lang w:val="en-GB"/>
        </w:rPr>
      </w:pPr>
      <w:r>
        <w:rPr>
          <w:lang w:val="en-GB"/>
        </w:rPr>
        <w:t>III</w:t>
      </w:r>
      <w:r w:rsidRPr="00062973" w:rsidR="00014566">
        <w:rPr>
          <w:lang w:val="en-GB"/>
        </w:rPr>
        <w:t>.</w:t>
      </w:r>
      <w:proofErr w:type="gramStart"/>
      <w:r w:rsidRPr="00062973" w:rsidR="00014566">
        <w:rPr>
          <w:lang w:val="en-GB"/>
        </w:rPr>
        <w:t>  OTHER</w:t>
      </w:r>
      <w:proofErr w:type="gramEnd"/>
      <w:r w:rsidRPr="00062973" w:rsidR="00014566">
        <w:rPr>
          <w:lang w:val="en-GB"/>
        </w:rPr>
        <w:t xml:space="preserve"> ALLEGED VIOLATIONS OF THE CONVENTION</w:t>
      </w:r>
    </w:p>
    <w:p w:rsidRPr="00062973" w:rsidR="00014566" w:rsidP="00E71E13" w:rsidRDefault="009A7F71">
      <w:pPr>
        <w:pStyle w:val="ECHRPara"/>
        <w:rPr>
          <w:lang w:val="en-GB"/>
        </w:rPr>
      </w:pPr>
      <w:r>
        <w:rPr>
          <w:lang w:val="en-GB"/>
        </w:rPr>
        <w:fldChar w:fldCharType="begin"/>
      </w:r>
      <w:r>
        <w:rPr>
          <w:lang w:val="en-GB"/>
        </w:rPr>
        <w:instrText xml:space="preserve"> SEQ level0 \*arabic </w:instrText>
      </w:r>
      <w:r>
        <w:rPr>
          <w:lang w:val="en-GB"/>
        </w:rPr>
        <w:fldChar w:fldCharType="separate"/>
      </w:r>
      <w:r w:rsidR="00A7005F">
        <w:rPr>
          <w:noProof/>
          <w:lang w:val="en-GB"/>
        </w:rPr>
        <w:t>21</w:t>
      </w:r>
      <w:r>
        <w:rPr>
          <w:lang w:val="en-GB"/>
        </w:rPr>
        <w:fldChar w:fldCharType="end"/>
      </w:r>
      <w:r w:rsidRPr="00062973" w:rsidR="00014566">
        <w:rPr>
          <w:lang w:val="en-GB"/>
        </w:rPr>
        <w:t>.  </w:t>
      </w:r>
      <w:r w:rsidRPr="00CD661F" w:rsidR="00CD661F">
        <w:rPr>
          <w:lang w:val="en-GB"/>
        </w:rPr>
        <w:t>Lastly, the applicants raised additional complaints with reference to various Articles of the Convention and its Protocols. The Court has examined these complaints as submitted by the applicants. However, in the light of all the material in its possession, and in so far as the matters complained of are within its competence, it finds that they do not disclose any appearance of a violation of the rights and freedoms set out in the Convention or its Protocols. It follows that this part of the applications is manifestly ill-founded and must be rejected in accordance with Article 35 §§ 3 (a) and 4 of the Convention.</w:t>
      </w:r>
    </w:p>
    <w:p w:rsidRPr="00062973" w:rsidR="00014566" w:rsidP="00014566" w:rsidRDefault="00CD661F">
      <w:pPr>
        <w:pStyle w:val="ECHRHeading1"/>
        <w:rPr>
          <w:lang w:val="en-GB"/>
        </w:rPr>
      </w:pPr>
      <w:r>
        <w:rPr>
          <w:lang w:val="en-GB"/>
        </w:rPr>
        <w:t>IV</w:t>
      </w:r>
      <w:r w:rsidRPr="00062973" w:rsidR="00014566">
        <w:rPr>
          <w:lang w:val="en-GB"/>
        </w:rPr>
        <w:t>.</w:t>
      </w:r>
      <w:proofErr w:type="gramStart"/>
      <w:r w:rsidRPr="00062973" w:rsidR="00014566">
        <w:rPr>
          <w:lang w:val="en-GB"/>
        </w:rPr>
        <w:t>  APPLICATION</w:t>
      </w:r>
      <w:proofErr w:type="gramEnd"/>
      <w:r w:rsidRPr="00062973" w:rsidR="00014566">
        <w:rPr>
          <w:lang w:val="en-GB"/>
        </w:rPr>
        <w:t xml:space="preserve"> OF ARTICLE 41 OF THE CONVENTION</w:t>
      </w:r>
    </w:p>
    <w:p w:rsidRPr="00062973" w:rsidR="00014566" w:rsidP="00C621C2" w:rsidRDefault="009A7F71">
      <w:pPr>
        <w:pStyle w:val="ECHRPara"/>
        <w:rPr>
          <w:lang w:val="en-GB"/>
        </w:rPr>
      </w:pPr>
      <w:r>
        <w:rPr>
          <w:lang w:val="en-GB"/>
        </w:rPr>
        <w:fldChar w:fldCharType="begin"/>
      </w:r>
      <w:r>
        <w:rPr>
          <w:lang w:val="en-GB"/>
        </w:rPr>
        <w:instrText xml:space="preserve"> SEQ level0 \*arabic </w:instrText>
      </w:r>
      <w:r>
        <w:rPr>
          <w:lang w:val="en-GB"/>
        </w:rPr>
        <w:fldChar w:fldCharType="separate"/>
      </w:r>
      <w:r w:rsidR="00A7005F">
        <w:rPr>
          <w:noProof/>
          <w:lang w:val="en-GB"/>
        </w:rPr>
        <w:t>22</w:t>
      </w:r>
      <w:r>
        <w:rPr>
          <w:lang w:val="en-GB"/>
        </w:rPr>
        <w:fldChar w:fldCharType="end"/>
      </w:r>
      <w:r w:rsidRPr="00062973" w:rsidR="00014566">
        <w:rPr>
          <w:lang w:val="en-GB"/>
        </w:rPr>
        <w:t>.  Article 41 of the Convention provides:</w:t>
      </w:r>
    </w:p>
    <w:p w:rsidRPr="00062973" w:rsidR="00014566" w:rsidP="00014566" w:rsidRDefault="00014566">
      <w:pPr>
        <w:pStyle w:val="ECHRParaQuote"/>
        <w:keepNext/>
        <w:keepLines/>
        <w:rPr>
          <w:lang w:val="en-GB"/>
        </w:rPr>
      </w:pPr>
      <w:r w:rsidRPr="00062973">
        <w:rPr>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372993" w:rsidR="00C96224" w:rsidP="009861E2" w:rsidRDefault="009A7F71">
      <w:pPr>
        <w:pStyle w:val="ECHRPara"/>
      </w:pPr>
      <w:r>
        <w:rPr>
          <w:lang w:val="en-GB"/>
        </w:rPr>
        <w:fldChar w:fldCharType="begin"/>
      </w:r>
      <w:r>
        <w:rPr>
          <w:lang w:val="en-GB"/>
        </w:rPr>
        <w:instrText xml:space="preserve"> SEQ level0 \*arabic </w:instrText>
      </w:r>
      <w:r>
        <w:rPr>
          <w:lang w:val="en-GB"/>
        </w:rPr>
        <w:fldChar w:fldCharType="separate"/>
      </w:r>
      <w:r w:rsidR="00A7005F">
        <w:rPr>
          <w:noProof/>
          <w:lang w:val="en-GB"/>
        </w:rPr>
        <w:t>23</w:t>
      </w:r>
      <w:r>
        <w:rPr>
          <w:lang w:val="en-GB"/>
        </w:rPr>
        <w:fldChar w:fldCharType="end"/>
      </w:r>
      <w:r w:rsidRPr="00062973" w:rsidR="00014566">
        <w:rPr>
          <w:lang w:val="en-GB"/>
        </w:rPr>
        <w:t>.  </w:t>
      </w:r>
      <w:r w:rsidRPr="00372993" w:rsidR="00372993">
        <w:t>The Court notes that</w:t>
      </w:r>
      <w:r w:rsidR="00372993">
        <w:t xml:space="preserve"> </w:t>
      </w:r>
      <w:proofErr w:type="spellStart"/>
      <w:r w:rsidR="00372993">
        <w:t>Mr</w:t>
      </w:r>
      <w:proofErr w:type="spellEnd"/>
      <w:r w:rsidR="00372993">
        <w:t xml:space="preserve"> </w:t>
      </w:r>
      <w:proofErr w:type="spellStart"/>
      <w:r w:rsidR="00C96224">
        <w:t>Lebedev</w:t>
      </w:r>
      <w:r w:rsidR="00B033EC">
        <w:t>’</w:t>
      </w:r>
      <w:r w:rsidR="00372993">
        <w:t>s</w:t>
      </w:r>
      <w:proofErr w:type="spellEnd"/>
      <w:r w:rsidR="00372993">
        <w:t xml:space="preserve"> just satisfaction claim was</w:t>
      </w:r>
      <w:r w:rsidRPr="00372993" w:rsidR="00372993">
        <w:t xml:space="preserve"> submitted on </w:t>
      </w:r>
      <w:r w:rsidR="00372993">
        <w:t>3 August 2013</w:t>
      </w:r>
      <w:r w:rsidRPr="00372993" w:rsidR="00372993">
        <w:t>, almost t</w:t>
      </w:r>
      <w:r w:rsidR="00372993">
        <w:t>hree</w:t>
      </w:r>
      <w:r w:rsidRPr="00372993" w:rsidR="00372993">
        <w:t xml:space="preserve"> months after the expiry of the allotted time-limit for so doing. This time-limit was imposed upon the Court</w:t>
      </w:r>
      <w:r w:rsidR="00B033EC">
        <w:t>’</w:t>
      </w:r>
      <w:r w:rsidRPr="00372993" w:rsidR="00372993">
        <w:t>s transmission of the Government</w:t>
      </w:r>
      <w:r w:rsidR="00B033EC">
        <w:t>’</w:t>
      </w:r>
      <w:r w:rsidRPr="00372993" w:rsidR="00372993">
        <w:t xml:space="preserve">s initial observations. The applicant has therefore failed to comply with </w:t>
      </w:r>
      <w:bookmarkStart w:name="HIT17" w:id="2"/>
      <w:bookmarkEnd w:id="2"/>
      <w:r w:rsidRPr="00372993" w:rsidR="00372993">
        <w:t xml:space="preserve">Rule </w:t>
      </w:r>
      <w:bookmarkStart w:name="HIT18" w:id="3"/>
      <w:bookmarkEnd w:id="3"/>
      <w:r w:rsidRPr="00372993" w:rsidR="00372993">
        <w:t xml:space="preserve">60 §§ 2 and 3 of the Rules of Court and paragraph 5 of the Practice Direction on Just Satisfaction Claims, which, in so far as relevant, provides that the Court “will also reject </w:t>
      </w:r>
      <w:r w:rsidR="001421D4">
        <w:t>...</w:t>
      </w:r>
      <w:r w:rsidR="00C96224">
        <w:t xml:space="preserve"> </w:t>
      </w:r>
      <w:r w:rsidRPr="00372993" w:rsidR="00372993">
        <w:t>claims lodged out of time”. The appl</w:t>
      </w:r>
      <w:r w:rsidR="00C96224">
        <w:t>icant</w:t>
      </w:r>
      <w:r w:rsidR="00B033EC">
        <w:t>’</w:t>
      </w:r>
      <w:r w:rsidR="00C96224">
        <w:t>s just satisfaction claim</w:t>
      </w:r>
      <w:r w:rsidRPr="00372993" w:rsidR="00372993">
        <w:t xml:space="preserve"> must therefore be dismissed</w:t>
      </w:r>
      <w:r w:rsidR="00C96224">
        <w:t>.</w:t>
      </w:r>
    </w:p>
    <w:p w:rsidRPr="00062973" w:rsidR="00014566" w:rsidP="00C96224" w:rsidRDefault="00014566">
      <w:pPr>
        <w:pStyle w:val="ECHRHeading2"/>
        <w:rPr>
          <w:lang w:val="en-GB"/>
        </w:rPr>
      </w:pPr>
      <w:r w:rsidRPr="00062973">
        <w:rPr>
          <w:lang w:val="en-GB"/>
        </w:rPr>
        <w:t>A.  Damage</w:t>
      </w:r>
    </w:p>
    <w:p w:rsidR="0030794A" w:rsidP="00C621C2" w:rsidRDefault="009A7F71">
      <w:pPr>
        <w:pStyle w:val="ECHRPara"/>
        <w:rPr>
          <w:lang w:val="en-GB"/>
        </w:rPr>
      </w:pPr>
      <w:r>
        <w:rPr>
          <w:lang w:val="en-GB"/>
        </w:rPr>
        <w:fldChar w:fldCharType="begin"/>
      </w:r>
      <w:r>
        <w:rPr>
          <w:lang w:val="en-GB"/>
        </w:rPr>
        <w:instrText xml:space="preserve"> SEQ level0 \*arabic </w:instrText>
      </w:r>
      <w:r>
        <w:rPr>
          <w:lang w:val="en-GB"/>
        </w:rPr>
        <w:fldChar w:fldCharType="separate"/>
      </w:r>
      <w:r w:rsidR="00A7005F">
        <w:rPr>
          <w:noProof/>
          <w:lang w:val="en-GB"/>
        </w:rPr>
        <w:t>24</w:t>
      </w:r>
      <w:r>
        <w:rPr>
          <w:lang w:val="en-GB"/>
        </w:rPr>
        <w:fldChar w:fldCharType="end"/>
      </w:r>
      <w:r w:rsidRPr="00062973" w:rsidR="00014566">
        <w:rPr>
          <w:lang w:val="en-GB"/>
        </w:rPr>
        <w:t xml:space="preserve">.  The </w:t>
      </w:r>
      <w:r w:rsidR="00C96224">
        <w:rPr>
          <w:lang w:val="en-GB"/>
        </w:rPr>
        <w:t xml:space="preserve">remaining </w:t>
      </w:r>
      <w:r w:rsidRPr="00062973" w:rsidR="00014566">
        <w:rPr>
          <w:lang w:val="en-GB"/>
        </w:rPr>
        <w:t>applicant</w:t>
      </w:r>
      <w:r w:rsidRPr="00062973">
        <w:rPr>
          <w:lang w:val="en-GB"/>
        </w:rPr>
        <w:t>s</w:t>
      </w:r>
      <w:r w:rsidRPr="00062973" w:rsidR="00014566">
        <w:rPr>
          <w:lang w:val="en-GB"/>
        </w:rPr>
        <w:t xml:space="preserve"> claimed </w:t>
      </w:r>
      <w:r w:rsidR="00C96224">
        <w:rPr>
          <w:lang w:val="en-GB"/>
        </w:rPr>
        <w:t>the following amounts</w:t>
      </w:r>
      <w:r w:rsidRPr="00062973" w:rsidR="00014566">
        <w:rPr>
          <w:lang w:val="en-GB"/>
        </w:rPr>
        <w:t xml:space="preserve"> in respect of </w:t>
      </w:r>
      <w:r w:rsidR="00C96224">
        <w:rPr>
          <w:lang w:val="en-GB"/>
        </w:rPr>
        <w:t>non-pecuniary damage:</w:t>
      </w:r>
    </w:p>
    <w:p w:rsidR="0030794A" w:rsidP="00C96224" w:rsidRDefault="00C96224">
      <w:pPr>
        <w:pStyle w:val="ECHRPara"/>
        <w:numPr>
          <w:ilvl w:val="0"/>
          <w:numId w:val="22"/>
        </w:numPr>
        <w:rPr>
          <w:lang w:val="en-GB"/>
        </w:rPr>
      </w:pPr>
      <w:r>
        <w:rPr>
          <w:lang w:val="en-GB"/>
        </w:rPr>
        <w:t xml:space="preserve">Ms </w:t>
      </w:r>
      <w:proofErr w:type="spellStart"/>
      <w:r>
        <w:rPr>
          <w:lang w:val="en-GB"/>
        </w:rPr>
        <w:t>Cherkasova</w:t>
      </w:r>
      <w:proofErr w:type="spellEnd"/>
      <w:r>
        <w:rPr>
          <w:lang w:val="en-GB"/>
        </w:rPr>
        <w:t xml:space="preserve"> – 40,000 euros (EUR);</w:t>
      </w:r>
    </w:p>
    <w:p w:rsidR="0030794A" w:rsidP="00C96224" w:rsidRDefault="00C96224">
      <w:pPr>
        <w:pStyle w:val="ECHRPara"/>
        <w:numPr>
          <w:ilvl w:val="0"/>
          <w:numId w:val="22"/>
        </w:numPr>
        <w:rPr>
          <w:lang w:val="en-GB"/>
        </w:rPr>
      </w:pPr>
      <w:r>
        <w:rPr>
          <w:lang w:val="en-GB"/>
        </w:rPr>
        <w:t>Mr Makarov – EUR 10,000;</w:t>
      </w:r>
    </w:p>
    <w:p w:rsidR="00C96224" w:rsidP="00C96224" w:rsidRDefault="00C96224">
      <w:pPr>
        <w:pStyle w:val="ECHRPara"/>
        <w:numPr>
          <w:ilvl w:val="0"/>
          <w:numId w:val="22"/>
        </w:numPr>
        <w:rPr>
          <w:lang w:val="en-GB"/>
        </w:rPr>
      </w:pPr>
      <w:r>
        <w:rPr>
          <w:lang w:val="en-GB"/>
        </w:rPr>
        <w:t xml:space="preserve">Mr </w:t>
      </w:r>
      <w:proofErr w:type="spellStart"/>
      <w:r>
        <w:rPr>
          <w:lang w:val="en-GB"/>
        </w:rPr>
        <w:t>Platonov</w:t>
      </w:r>
      <w:proofErr w:type="spellEnd"/>
      <w:r>
        <w:rPr>
          <w:lang w:val="en-GB"/>
        </w:rPr>
        <w:t xml:space="preserve"> – EUR 15,000;</w:t>
      </w:r>
    </w:p>
    <w:p w:rsidRPr="00062973" w:rsidR="00C96224" w:rsidP="00C96224" w:rsidRDefault="00C96224">
      <w:pPr>
        <w:pStyle w:val="ECHRPara"/>
        <w:numPr>
          <w:ilvl w:val="0"/>
          <w:numId w:val="22"/>
        </w:numPr>
        <w:rPr>
          <w:lang w:val="en-GB"/>
        </w:rPr>
      </w:pPr>
      <w:r>
        <w:rPr>
          <w:lang w:val="en-GB"/>
        </w:rPr>
        <w:t xml:space="preserve">Mr </w:t>
      </w:r>
      <w:proofErr w:type="spellStart"/>
      <w:r>
        <w:rPr>
          <w:lang w:val="en-GB"/>
        </w:rPr>
        <w:t>Krivda</w:t>
      </w:r>
      <w:proofErr w:type="spellEnd"/>
      <w:r>
        <w:rPr>
          <w:lang w:val="en-GB"/>
        </w:rPr>
        <w:t xml:space="preserve"> – EUR 2,900.</w:t>
      </w:r>
    </w:p>
    <w:p w:rsidRPr="00062973" w:rsidR="00014566" w:rsidP="00C621C2" w:rsidRDefault="009A7F71">
      <w:pPr>
        <w:pStyle w:val="ECHRPara"/>
        <w:rPr>
          <w:lang w:val="en-GB"/>
        </w:rPr>
      </w:pPr>
      <w:r>
        <w:rPr>
          <w:lang w:val="en-GB"/>
        </w:rPr>
        <w:fldChar w:fldCharType="begin"/>
      </w:r>
      <w:r>
        <w:rPr>
          <w:lang w:val="en-GB"/>
        </w:rPr>
        <w:instrText xml:space="preserve"> SEQ level0 \*arabic </w:instrText>
      </w:r>
      <w:r>
        <w:rPr>
          <w:lang w:val="en-GB"/>
        </w:rPr>
        <w:fldChar w:fldCharType="separate"/>
      </w:r>
      <w:r w:rsidR="00A7005F">
        <w:rPr>
          <w:noProof/>
          <w:lang w:val="en-GB"/>
        </w:rPr>
        <w:t>25</w:t>
      </w:r>
      <w:r>
        <w:rPr>
          <w:lang w:val="en-GB"/>
        </w:rPr>
        <w:fldChar w:fldCharType="end"/>
      </w:r>
      <w:r w:rsidRPr="00062973" w:rsidR="00014566">
        <w:rPr>
          <w:lang w:val="en-GB"/>
        </w:rPr>
        <w:t xml:space="preserve">.  The Government </w:t>
      </w:r>
      <w:r w:rsidR="00C96224">
        <w:t xml:space="preserve">contested </w:t>
      </w:r>
      <w:r w:rsidRPr="00C96224" w:rsidR="00C96224">
        <w:t>claims</w:t>
      </w:r>
      <w:r w:rsidR="00C96224">
        <w:t xml:space="preserve"> submitted by</w:t>
      </w:r>
      <w:r w:rsidRPr="00C96224" w:rsidR="00C96224">
        <w:t xml:space="preserve"> as excessive. They considered that the finding of a violation, if any, would constitute sufficient just satisfaction for the applicants.</w:t>
      </w:r>
    </w:p>
    <w:p w:rsidR="0030794A" w:rsidP="00C96224" w:rsidRDefault="009A7F71">
      <w:pPr>
        <w:pStyle w:val="ECHRPara"/>
        <w:rPr>
          <w:lang w:val="en-GB"/>
        </w:rPr>
      </w:pPr>
      <w:r>
        <w:rPr>
          <w:lang w:val="en-GB"/>
        </w:rPr>
        <w:fldChar w:fldCharType="begin"/>
      </w:r>
      <w:r>
        <w:rPr>
          <w:lang w:val="en-GB"/>
        </w:rPr>
        <w:instrText xml:space="preserve"> SEQ level0 \*arabic </w:instrText>
      </w:r>
      <w:r>
        <w:rPr>
          <w:lang w:val="en-GB"/>
        </w:rPr>
        <w:fldChar w:fldCharType="separate"/>
      </w:r>
      <w:r w:rsidR="00A7005F">
        <w:rPr>
          <w:noProof/>
          <w:lang w:val="en-GB"/>
        </w:rPr>
        <w:t>26</w:t>
      </w:r>
      <w:r>
        <w:rPr>
          <w:lang w:val="en-GB"/>
        </w:rPr>
        <w:fldChar w:fldCharType="end"/>
      </w:r>
      <w:r w:rsidRPr="00062973" w:rsidR="00014566">
        <w:rPr>
          <w:lang w:val="en-GB"/>
        </w:rPr>
        <w:t>.  </w:t>
      </w:r>
      <w:r w:rsidRPr="00C96224" w:rsidR="00C96224">
        <w:t xml:space="preserve">The Court considers that in the present case an award of just satisfaction must take account of the fact that the applicants did not have a fair trial because they were convicted of drug offences arguably instigated by the police in violation of Article 6 of the Convention. They undeniably sustained non-pecuniary damage as a result of the violation of their rights. However, the sums claimed </w:t>
      </w:r>
      <w:r w:rsidR="00FA610C">
        <w:t xml:space="preserve">by </w:t>
      </w:r>
      <w:proofErr w:type="spellStart"/>
      <w:r w:rsidRPr="00FA610C" w:rsidR="00FA610C">
        <w:t>M</w:t>
      </w:r>
      <w:r w:rsidR="00B45E72">
        <w:t>s</w:t>
      </w:r>
      <w:proofErr w:type="spellEnd"/>
      <w:r w:rsidR="00B45E72">
        <w:t xml:space="preserve"> </w:t>
      </w:r>
      <w:proofErr w:type="spellStart"/>
      <w:r w:rsidR="00B45E72">
        <w:t>Cherkasova</w:t>
      </w:r>
      <w:proofErr w:type="spellEnd"/>
      <w:r w:rsidR="00B45E72">
        <w:t xml:space="preserve">, </w:t>
      </w:r>
      <w:proofErr w:type="spellStart"/>
      <w:r w:rsidR="00B45E72">
        <w:t>Mr</w:t>
      </w:r>
      <w:proofErr w:type="spellEnd"/>
      <w:r w:rsidR="00B45E72">
        <w:t xml:space="preserve"> Makarov and </w:t>
      </w:r>
      <w:proofErr w:type="spellStart"/>
      <w:r w:rsidR="00B45E72">
        <w:t>Mr</w:t>
      </w:r>
      <w:proofErr w:type="spellEnd"/>
      <w:r w:rsidR="00B45E72">
        <w:t> </w:t>
      </w:r>
      <w:proofErr w:type="spellStart"/>
      <w:r w:rsidRPr="00FA610C" w:rsidR="00FA610C">
        <w:t>Platonov</w:t>
      </w:r>
      <w:proofErr w:type="spellEnd"/>
      <w:r w:rsidRPr="00FA610C" w:rsidR="00FA610C">
        <w:t xml:space="preserve"> </w:t>
      </w:r>
      <w:r w:rsidRPr="00C96224" w:rsidR="00C96224">
        <w:t xml:space="preserve">appear to be excessive. </w:t>
      </w:r>
      <w:proofErr w:type="gramStart"/>
      <w:r w:rsidRPr="00C96224" w:rsidR="00C96224">
        <w:t xml:space="preserve">Making its assessment on an equitable basis, the Court awards EUR 3,000 to </w:t>
      </w:r>
      <w:proofErr w:type="spellStart"/>
      <w:r w:rsidR="00C96224">
        <w:t>M</w:t>
      </w:r>
      <w:r w:rsidR="00B45E72">
        <w:t>s</w:t>
      </w:r>
      <w:proofErr w:type="spellEnd"/>
      <w:r w:rsidR="00B45E72">
        <w:t xml:space="preserve"> </w:t>
      </w:r>
      <w:proofErr w:type="spellStart"/>
      <w:r w:rsidR="00B45E72">
        <w:t>Cherkasova</w:t>
      </w:r>
      <w:proofErr w:type="spellEnd"/>
      <w:r w:rsidR="00B45E72">
        <w:t xml:space="preserve">, </w:t>
      </w:r>
      <w:proofErr w:type="spellStart"/>
      <w:r w:rsidR="00B45E72">
        <w:t>Mr</w:t>
      </w:r>
      <w:proofErr w:type="spellEnd"/>
      <w:r w:rsidR="00B45E72">
        <w:t xml:space="preserve"> Makarov and </w:t>
      </w:r>
      <w:proofErr w:type="spellStart"/>
      <w:r w:rsidR="00B45E72">
        <w:t>Mr</w:t>
      </w:r>
      <w:proofErr w:type="spellEnd"/>
      <w:r w:rsidR="00B45E72">
        <w:t> </w:t>
      </w:r>
      <w:proofErr w:type="spellStart"/>
      <w:r w:rsidR="00C96224">
        <w:t>Platonov</w:t>
      </w:r>
      <w:proofErr w:type="spellEnd"/>
      <w:r w:rsidR="00FA610C">
        <w:t>, each,</w:t>
      </w:r>
      <w:r w:rsidR="00C96224">
        <w:t xml:space="preserve"> and EUR 2,900 to </w:t>
      </w:r>
      <w:proofErr w:type="spellStart"/>
      <w:r w:rsidR="00C96224">
        <w:t>Mr</w:t>
      </w:r>
      <w:proofErr w:type="spellEnd"/>
      <w:r w:rsidR="00C96224">
        <w:t xml:space="preserve"> </w:t>
      </w:r>
      <w:proofErr w:type="spellStart"/>
      <w:r w:rsidR="00C96224">
        <w:t>Krivda</w:t>
      </w:r>
      <w:proofErr w:type="spellEnd"/>
      <w:r w:rsidR="00C96224">
        <w:t xml:space="preserve"> i</w:t>
      </w:r>
      <w:r w:rsidRPr="00C96224" w:rsidR="00C96224">
        <w:t>n respect of non</w:t>
      </w:r>
      <w:r w:rsidRPr="00C96224" w:rsidR="00C96224">
        <w:noBreakHyphen/>
        <w:t>pecuniary damage, plus any tax that may be chargeable on that amount.</w:t>
      </w:r>
      <w:proofErr w:type="gramEnd"/>
    </w:p>
    <w:p w:rsidR="00082533" w:rsidP="00082533" w:rsidRDefault="00014566">
      <w:pPr>
        <w:pStyle w:val="ECHRHeading2"/>
        <w:rPr>
          <w:lang w:val="en-GB"/>
        </w:rPr>
      </w:pPr>
      <w:r w:rsidRPr="00062973">
        <w:rPr>
          <w:lang w:val="en-GB"/>
        </w:rPr>
        <w:t>B.  Costs and expenses</w:t>
      </w:r>
    </w:p>
    <w:p w:rsidR="0030794A" w:rsidP="00082533" w:rsidRDefault="00082533">
      <w:pPr>
        <w:pStyle w:val="ECHRHeading3"/>
        <w:rPr>
          <w:lang w:val="en-GB"/>
        </w:rPr>
      </w:pPr>
      <w:r>
        <w:rPr>
          <w:lang w:val="en-GB"/>
        </w:rPr>
        <w:t>1.</w:t>
      </w:r>
      <w:r w:rsidR="00B033EC">
        <w:rPr>
          <w:lang w:val="en-GB"/>
        </w:rPr>
        <w:t>  </w:t>
      </w:r>
      <w:r>
        <w:rPr>
          <w:lang w:val="en-GB"/>
        </w:rPr>
        <w:t>Mr Makarov</w:t>
      </w:r>
    </w:p>
    <w:p w:rsidR="00082533" w:rsidP="00C621C2" w:rsidRDefault="009A7F71">
      <w:pPr>
        <w:pStyle w:val="ECHRPara"/>
      </w:pPr>
      <w:r>
        <w:rPr>
          <w:lang w:val="en-GB"/>
        </w:rPr>
        <w:fldChar w:fldCharType="begin"/>
      </w:r>
      <w:r>
        <w:rPr>
          <w:lang w:val="en-GB"/>
        </w:rPr>
        <w:instrText xml:space="preserve"> SEQ level0 \*arabic </w:instrText>
      </w:r>
      <w:r>
        <w:rPr>
          <w:lang w:val="en-GB"/>
        </w:rPr>
        <w:fldChar w:fldCharType="separate"/>
      </w:r>
      <w:r w:rsidR="00A7005F">
        <w:rPr>
          <w:noProof/>
          <w:lang w:val="en-GB"/>
        </w:rPr>
        <w:t>27</w:t>
      </w:r>
      <w:r>
        <w:rPr>
          <w:lang w:val="en-GB"/>
        </w:rPr>
        <w:fldChar w:fldCharType="end"/>
      </w:r>
      <w:r w:rsidRPr="00062973" w:rsidR="00014566">
        <w:rPr>
          <w:lang w:val="en-GB"/>
        </w:rPr>
        <w:t>.  </w:t>
      </w:r>
      <w:r w:rsidR="00487821">
        <w:rPr>
          <w:lang w:val="en-GB"/>
        </w:rPr>
        <w:t xml:space="preserve">Mr Makarov claimed </w:t>
      </w:r>
      <w:r w:rsidR="00082533">
        <w:t xml:space="preserve">EUR 4,000 </w:t>
      </w:r>
      <w:r w:rsidRPr="00487821" w:rsidR="00487821">
        <w:t>for the cost</w:t>
      </w:r>
      <w:r w:rsidR="00487821">
        <w:t xml:space="preserve"> of the proceedings before the </w:t>
      </w:r>
      <w:r w:rsidRPr="00487821" w:rsidR="00487821">
        <w:t>Court</w:t>
      </w:r>
      <w:r w:rsidR="00487821">
        <w:t>, pursuant to the contractual obligation with his lawyers</w:t>
      </w:r>
      <w:r w:rsidR="00082533">
        <w:t>.</w:t>
      </w:r>
      <w:r w:rsidR="00487821">
        <w:t xml:space="preserve"> He submitted </w:t>
      </w:r>
      <w:r w:rsidRPr="00487821" w:rsidR="00487821">
        <w:t xml:space="preserve">a copy of </w:t>
      </w:r>
      <w:r w:rsidR="00487821">
        <w:t>the agreement on legal services.</w:t>
      </w:r>
    </w:p>
    <w:p w:rsidR="00082533" w:rsidP="00C621C2" w:rsidRDefault="00B033EC">
      <w:pPr>
        <w:pStyle w:val="ECHRPara"/>
      </w:pPr>
      <w:fldSimple w:instr=" SEQ level0 \*arabic ">
        <w:r w:rsidR="00A7005F">
          <w:rPr>
            <w:noProof/>
          </w:rPr>
          <w:t>28</w:t>
        </w:r>
      </w:fldSimple>
      <w:r w:rsidR="00082533">
        <w:t xml:space="preserve">.  The Government </w:t>
      </w:r>
      <w:r w:rsidRPr="00082533" w:rsidR="00082533">
        <w:t>stressed that the applicant did not provide any evidence in support of his claim to show that those expenses had actually been incurred by him.</w:t>
      </w:r>
    </w:p>
    <w:p w:rsidR="0030794A" w:rsidP="00487821" w:rsidRDefault="00B033EC">
      <w:pPr>
        <w:pStyle w:val="ECHRPara"/>
      </w:pPr>
      <w:fldSimple w:instr=" SEQ level0 \*arabic ">
        <w:r w:rsidR="00A7005F">
          <w:rPr>
            <w:noProof/>
          </w:rPr>
          <w:t>29</w:t>
        </w:r>
      </w:fldSimple>
      <w:r w:rsidR="00082533">
        <w:t>.  </w:t>
      </w:r>
      <w:r w:rsidRPr="00487821" w:rsidR="00487821">
        <w:t>According to the Court</w:t>
      </w:r>
      <w:r>
        <w:t>’</w:t>
      </w:r>
      <w:r w:rsidRPr="00487821" w:rsidR="00487821">
        <w:t xml:space="preserve">s case-law, an applicant is entitled to the reimbursement of costs and expenses only in so far as it has been shown that these have been actually and necessarily incurred and are reasonable as to quantum. Even if the applicant has not yet actually paid part of the legal fees and expenses, </w:t>
      </w:r>
      <w:r w:rsidR="00487821">
        <w:t xml:space="preserve">but </w:t>
      </w:r>
      <w:r w:rsidRPr="00487821" w:rsidR="00487821">
        <w:t xml:space="preserve">he is bound to pay them pursuant to a contractual obligation then they were “actually incurred” (see </w:t>
      </w:r>
      <w:proofErr w:type="spellStart"/>
      <w:r w:rsidRPr="00487821" w:rsidR="00487821">
        <w:rPr>
          <w:i/>
        </w:rPr>
        <w:t>Tebieti</w:t>
      </w:r>
      <w:proofErr w:type="spellEnd"/>
      <w:r w:rsidRPr="00487821" w:rsidR="00487821">
        <w:rPr>
          <w:i/>
        </w:rPr>
        <w:t xml:space="preserve"> </w:t>
      </w:r>
      <w:proofErr w:type="spellStart"/>
      <w:r w:rsidRPr="00487821" w:rsidR="00487821">
        <w:rPr>
          <w:i/>
        </w:rPr>
        <w:t>Mühafize</w:t>
      </w:r>
      <w:proofErr w:type="spellEnd"/>
      <w:r w:rsidRPr="00487821" w:rsidR="00487821">
        <w:rPr>
          <w:i/>
        </w:rPr>
        <w:t xml:space="preserve"> </w:t>
      </w:r>
      <w:proofErr w:type="spellStart"/>
      <w:r w:rsidRPr="00487821" w:rsidR="00487821">
        <w:rPr>
          <w:i/>
        </w:rPr>
        <w:t>Cemiyyeti</w:t>
      </w:r>
      <w:proofErr w:type="spellEnd"/>
      <w:r w:rsidRPr="00487821" w:rsidR="00487821">
        <w:rPr>
          <w:i/>
        </w:rPr>
        <w:t xml:space="preserve"> and </w:t>
      </w:r>
      <w:proofErr w:type="spellStart"/>
      <w:r w:rsidRPr="00487821" w:rsidR="00487821">
        <w:rPr>
          <w:i/>
        </w:rPr>
        <w:t>Israfilov</w:t>
      </w:r>
      <w:proofErr w:type="spellEnd"/>
      <w:r w:rsidRPr="00487821" w:rsidR="00487821">
        <w:rPr>
          <w:i/>
        </w:rPr>
        <w:t xml:space="preserve"> v. Azerbaijan</w:t>
      </w:r>
      <w:r w:rsidRPr="00487821" w:rsidR="00487821">
        <w:t>, no. 37083/03, § 106, ECHR 2009</w:t>
      </w:r>
      <w:r w:rsidR="00525BD8">
        <w:t>,</w:t>
      </w:r>
      <w:r w:rsidRPr="00487821" w:rsidR="00487821">
        <w:t xml:space="preserve"> and </w:t>
      </w:r>
      <w:r w:rsidRPr="00487821" w:rsidR="00487821">
        <w:rPr>
          <w:i/>
        </w:rPr>
        <w:t>L.H. v. Latvia</w:t>
      </w:r>
      <w:r w:rsidRPr="00487821" w:rsidR="00487821">
        <w:t>, no. 52019/07,</w:t>
      </w:r>
      <w:r w:rsidRPr="0034226F" w:rsidR="0034226F">
        <w:t xml:space="preserve"> §</w:t>
      </w:r>
      <w:r w:rsidR="0034226F">
        <w:t xml:space="preserve"> 68,</w:t>
      </w:r>
      <w:r w:rsidRPr="00487821" w:rsidR="00487821">
        <w:t xml:space="preserve"> 29 April 2014).</w:t>
      </w:r>
    </w:p>
    <w:p w:rsidR="00487821" w:rsidP="00487821" w:rsidRDefault="00B033EC">
      <w:pPr>
        <w:pStyle w:val="ECHRPara"/>
      </w:pPr>
      <w:fldSimple w:instr=" SEQ level0 \*arabic ">
        <w:r w:rsidR="00A7005F">
          <w:rPr>
            <w:noProof/>
          </w:rPr>
          <w:t>30</w:t>
        </w:r>
      </w:fldSimple>
      <w:r w:rsidR="00487821">
        <w:t>.  </w:t>
      </w:r>
      <w:r w:rsidRPr="00082533" w:rsidR="00082533">
        <w:t>In the present case, regard being had to the documents in its possession, the above criteria and to the fact that the applicant was granted legal aid in the amount of</w:t>
      </w:r>
      <w:r w:rsidR="00B45E72">
        <w:t xml:space="preserve"> </w:t>
      </w:r>
      <w:r w:rsidRPr="00B45E72" w:rsidR="00B45E72">
        <w:t>EUR</w:t>
      </w:r>
      <w:r w:rsidRPr="00082533" w:rsidR="00082533">
        <w:t xml:space="preserve"> 850 from the Court</w:t>
      </w:r>
      <w:r w:rsidR="00FB4618">
        <w:t xml:space="preserve"> </w:t>
      </w:r>
      <w:r w:rsidR="0034226F">
        <w:t xml:space="preserve">earlier </w:t>
      </w:r>
      <w:r w:rsidR="00FB4618">
        <w:t xml:space="preserve">in the course of </w:t>
      </w:r>
      <w:r w:rsidR="0034226F">
        <w:t xml:space="preserve">the </w:t>
      </w:r>
      <w:r w:rsidR="00FB4618">
        <w:t>proceedings</w:t>
      </w:r>
      <w:r w:rsidRPr="00082533" w:rsidR="00082533">
        <w:t>, it awards th</w:t>
      </w:r>
      <w:r w:rsidR="00487821">
        <w:t xml:space="preserve">e applicant EUR </w:t>
      </w:r>
      <w:r w:rsidR="00082533">
        <w:t>3</w:t>
      </w:r>
      <w:r w:rsidRPr="00082533" w:rsidR="00082533">
        <w:t>,150 under this head.</w:t>
      </w:r>
    </w:p>
    <w:p w:rsidRPr="00487821" w:rsidR="00487821" w:rsidP="00487821" w:rsidRDefault="00487821">
      <w:pPr>
        <w:pStyle w:val="ECHRHeading3"/>
        <w:rPr>
          <w:lang w:val="en-GB"/>
        </w:rPr>
      </w:pPr>
      <w:r w:rsidRPr="00487821">
        <w:t>2.</w:t>
      </w:r>
      <w:r w:rsidR="00B033EC">
        <w:t>  </w:t>
      </w:r>
      <w:proofErr w:type="spellStart"/>
      <w:r w:rsidRPr="00487821">
        <w:t>Mr</w:t>
      </w:r>
      <w:proofErr w:type="spellEnd"/>
      <w:r w:rsidRPr="00487821">
        <w:t xml:space="preserve"> </w:t>
      </w:r>
      <w:proofErr w:type="spellStart"/>
      <w:r w:rsidRPr="00487821">
        <w:t>Krivda</w:t>
      </w:r>
      <w:proofErr w:type="spellEnd"/>
    </w:p>
    <w:p w:rsidR="0030794A" w:rsidP="00C621C2" w:rsidRDefault="00487821">
      <w:pPr>
        <w:pStyle w:val="ECHRPara"/>
      </w:pPr>
      <w:r>
        <w:rPr>
          <w:lang w:val="en-GB"/>
        </w:rPr>
        <w:fldChar w:fldCharType="begin"/>
      </w:r>
      <w:r>
        <w:rPr>
          <w:lang w:val="en-GB"/>
        </w:rPr>
        <w:instrText xml:space="preserve"> SEQ level0 \*arabic </w:instrText>
      </w:r>
      <w:r>
        <w:rPr>
          <w:lang w:val="en-GB"/>
        </w:rPr>
        <w:fldChar w:fldCharType="separate"/>
      </w:r>
      <w:r w:rsidR="00A7005F">
        <w:rPr>
          <w:noProof/>
          <w:lang w:val="en-GB"/>
        </w:rPr>
        <w:t>31</w:t>
      </w:r>
      <w:r>
        <w:rPr>
          <w:lang w:val="en-GB"/>
        </w:rPr>
        <w:fldChar w:fldCharType="end"/>
      </w:r>
      <w:r>
        <w:rPr>
          <w:lang w:val="en-GB"/>
        </w:rPr>
        <w:t xml:space="preserve">.  Mr </w:t>
      </w:r>
      <w:proofErr w:type="spellStart"/>
      <w:r>
        <w:rPr>
          <w:lang w:val="en-GB"/>
        </w:rPr>
        <w:t>Krivda</w:t>
      </w:r>
      <w:proofErr w:type="spellEnd"/>
      <w:r>
        <w:rPr>
          <w:lang w:val="en-GB"/>
        </w:rPr>
        <w:t xml:space="preserve"> claimed </w:t>
      </w:r>
      <w:r>
        <w:t xml:space="preserve">EUR 1,400 </w:t>
      </w:r>
      <w:r w:rsidRPr="00487821">
        <w:t>for legal representation in the domestic proceedings</w:t>
      </w:r>
      <w:r>
        <w:t xml:space="preserve"> and EUR 800 for</w:t>
      </w:r>
      <w:r w:rsidRPr="00487821">
        <w:t xml:space="preserve"> legal representation before the Court</w:t>
      </w:r>
      <w:r>
        <w:t>.</w:t>
      </w:r>
      <w:r w:rsidRPr="00487821">
        <w:t xml:space="preserve"> The applicant submitted no documents in support of his claim for legal costs</w:t>
      </w:r>
      <w:r>
        <w:t>.</w:t>
      </w:r>
    </w:p>
    <w:p w:rsidRPr="00062973" w:rsidR="00014566" w:rsidP="00C621C2" w:rsidRDefault="009A7F71">
      <w:pPr>
        <w:pStyle w:val="ECHRPara"/>
        <w:rPr>
          <w:lang w:val="en-GB"/>
        </w:rPr>
      </w:pPr>
      <w:r>
        <w:rPr>
          <w:lang w:val="en-GB"/>
        </w:rPr>
        <w:fldChar w:fldCharType="begin"/>
      </w:r>
      <w:r>
        <w:rPr>
          <w:lang w:val="en-GB"/>
        </w:rPr>
        <w:instrText xml:space="preserve"> SEQ level0 \*arabic </w:instrText>
      </w:r>
      <w:r>
        <w:rPr>
          <w:lang w:val="en-GB"/>
        </w:rPr>
        <w:fldChar w:fldCharType="separate"/>
      </w:r>
      <w:r w:rsidR="00A7005F">
        <w:rPr>
          <w:noProof/>
          <w:lang w:val="en-GB"/>
        </w:rPr>
        <w:t>32</w:t>
      </w:r>
      <w:r>
        <w:rPr>
          <w:lang w:val="en-GB"/>
        </w:rPr>
        <w:fldChar w:fldCharType="end"/>
      </w:r>
      <w:r w:rsidRPr="00062973" w:rsidR="00014566">
        <w:rPr>
          <w:lang w:val="en-GB"/>
        </w:rPr>
        <w:t xml:space="preserve">.  The Government </w:t>
      </w:r>
      <w:r w:rsidRPr="00487821" w:rsidR="00487821">
        <w:t>replied that the applicant had not submitted any proof of the costs and expenses he had incurred.</w:t>
      </w:r>
    </w:p>
    <w:p w:rsidRPr="00062973" w:rsidR="00014566" w:rsidP="00C621C2" w:rsidRDefault="009A7F71">
      <w:pPr>
        <w:pStyle w:val="ECHRPara"/>
        <w:rPr>
          <w:lang w:val="en-GB"/>
        </w:rPr>
      </w:pPr>
      <w:r>
        <w:rPr>
          <w:lang w:val="en-GB"/>
        </w:rPr>
        <w:fldChar w:fldCharType="begin"/>
      </w:r>
      <w:r>
        <w:rPr>
          <w:lang w:val="en-GB"/>
        </w:rPr>
        <w:instrText xml:space="preserve"> SEQ level0 \*arabic </w:instrText>
      </w:r>
      <w:r>
        <w:rPr>
          <w:lang w:val="en-GB"/>
        </w:rPr>
        <w:fldChar w:fldCharType="separate"/>
      </w:r>
      <w:r w:rsidR="00A7005F">
        <w:rPr>
          <w:noProof/>
          <w:lang w:val="en-GB"/>
        </w:rPr>
        <w:t>33</w:t>
      </w:r>
      <w:r>
        <w:rPr>
          <w:lang w:val="en-GB"/>
        </w:rPr>
        <w:fldChar w:fldCharType="end"/>
      </w:r>
      <w:r w:rsidRPr="00062973" w:rsidR="00014566">
        <w:rPr>
          <w:lang w:val="en-GB"/>
        </w:rPr>
        <w:t>.  </w:t>
      </w:r>
      <w:r w:rsidRPr="00422CE7" w:rsidR="00422CE7">
        <w:t>According to the Court</w:t>
      </w:r>
      <w:r w:rsidR="00B033EC">
        <w:t>’</w:t>
      </w:r>
      <w:r w:rsidRPr="00422CE7" w:rsidR="00422CE7">
        <w:t>s case-law, an applicant is entitled to the reimbursement of costs and expenses only in so far as it has been shown that these have been actually and necessarily incurred and are reasonable as to quantum</w:t>
      </w:r>
      <w:r w:rsidR="00422CE7">
        <w:t xml:space="preserve"> (see paragraph 29 above)</w:t>
      </w:r>
      <w:r w:rsidRPr="00422CE7" w:rsidR="00422CE7">
        <w:t xml:space="preserve">. In the present case, having regard to the documents in its possession and the above criteria, the Court will not make any award to </w:t>
      </w:r>
      <w:proofErr w:type="spellStart"/>
      <w:r w:rsidRPr="00422CE7" w:rsidR="00422CE7">
        <w:t>Mr</w:t>
      </w:r>
      <w:proofErr w:type="spellEnd"/>
      <w:r w:rsidRPr="00422CE7" w:rsidR="00422CE7">
        <w:t xml:space="preserve"> </w:t>
      </w:r>
      <w:proofErr w:type="spellStart"/>
      <w:r w:rsidR="00422CE7">
        <w:t>Krivda</w:t>
      </w:r>
      <w:proofErr w:type="spellEnd"/>
      <w:r w:rsidRPr="00422CE7" w:rsidR="00422CE7">
        <w:t xml:space="preserve"> under this head.</w:t>
      </w:r>
    </w:p>
    <w:p w:rsidRPr="00062973" w:rsidR="00014566" w:rsidP="00014566" w:rsidRDefault="00014566">
      <w:pPr>
        <w:pStyle w:val="ECHRHeading2"/>
        <w:outlineLvl w:val="0"/>
        <w:rPr>
          <w:lang w:val="en-GB"/>
        </w:rPr>
      </w:pPr>
      <w:r w:rsidRPr="00062973">
        <w:rPr>
          <w:lang w:val="en-GB"/>
        </w:rPr>
        <w:t>C.  Default interest</w:t>
      </w:r>
    </w:p>
    <w:p w:rsidRPr="00062973" w:rsidR="00014566" w:rsidP="00C621C2" w:rsidRDefault="009A7F71">
      <w:pPr>
        <w:pStyle w:val="ECHRPara"/>
        <w:rPr>
          <w:lang w:val="en-GB"/>
        </w:rPr>
      </w:pPr>
      <w:r>
        <w:rPr>
          <w:lang w:val="en-GB"/>
        </w:rPr>
        <w:fldChar w:fldCharType="begin"/>
      </w:r>
      <w:r>
        <w:rPr>
          <w:lang w:val="en-GB"/>
        </w:rPr>
        <w:instrText xml:space="preserve"> SEQ level0 \*arabic </w:instrText>
      </w:r>
      <w:r>
        <w:rPr>
          <w:lang w:val="en-GB"/>
        </w:rPr>
        <w:fldChar w:fldCharType="separate"/>
      </w:r>
      <w:r w:rsidR="00A7005F">
        <w:rPr>
          <w:noProof/>
          <w:lang w:val="en-GB"/>
        </w:rPr>
        <w:t>34</w:t>
      </w:r>
      <w:r>
        <w:rPr>
          <w:lang w:val="en-GB"/>
        </w:rPr>
        <w:fldChar w:fldCharType="end"/>
      </w:r>
      <w:r w:rsidRPr="00062973" w:rsidR="00014566">
        <w:rPr>
          <w:lang w:val="en-GB"/>
        </w:rPr>
        <w:t>.  The Court considers it appropriate that the default interest rate should be based on the marginal lending rate of the European Central Bank, to which should be added three percentage points.</w:t>
      </w:r>
    </w:p>
    <w:p w:rsidRPr="00062973" w:rsidR="00014566" w:rsidP="00014566" w:rsidRDefault="00BB5883">
      <w:pPr>
        <w:pStyle w:val="ECHRTitle1"/>
        <w:rPr>
          <w:lang w:val="en-GB"/>
        </w:rPr>
      </w:pPr>
      <w:r>
        <w:rPr>
          <w:lang w:val="en-GB"/>
        </w:rPr>
        <w:t>FOR THESE REASONS, THE COURT</w:t>
      </w:r>
      <w:r w:rsidRPr="00062973" w:rsidR="009A7F71">
        <w:rPr>
          <w:lang w:val="en-GB"/>
        </w:rPr>
        <w:t>, UNANIMOUSLY,</w:t>
      </w:r>
    </w:p>
    <w:p w:rsidR="0030794A" w:rsidP="00C621C2" w:rsidRDefault="009A7F71">
      <w:pPr>
        <w:pStyle w:val="JuList"/>
        <w:rPr>
          <w:lang w:val="en-GB"/>
        </w:rPr>
      </w:pPr>
      <w:r w:rsidRPr="006F24DB">
        <w:rPr>
          <w:lang w:val="en-GB"/>
        </w:rPr>
        <w:t>1.  </w:t>
      </w:r>
      <w:r w:rsidRPr="00422CE7" w:rsidR="00422CE7">
        <w:rPr>
          <w:i/>
          <w:lang w:val="en-GB"/>
        </w:rPr>
        <w:t>Decides</w:t>
      </w:r>
      <w:r w:rsidR="00422CE7">
        <w:rPr>
          <w:lang w:val="en-GB"/>
        </w:rPr>
        <w:t xml:space="preserve"> to join the applications;</w:t>
      </w:r>
    </w:p>
    <w:p w:rsidR="00422CE7" w:rsidP="00C621C2" w:rsidRDefault="00422CE7">
      <w:pPr>
        <w:pStyle w:val="JuList"/>
        <w:rPr>
          <w:lang w:val="en-GB"/>
        </w:rPr>
      </w:pPr>
    </w:p>
    <w:p w:rsidR="00014566" w:rsidP="009861E2" w:rsidRDefault="00952ED6">
      <w:pPr>
        <w:pStyle w:val="JuList"/>
      </w:pPr>
      <w:r>
        <w:rPr>
          <w:lang w:val="en-GB"/>
        </w:rPr>
        <w:t>2.  </w:t>
      </w:r>
      <w:proofErr w:type="gramStart"/>
      <w:r w:rsidRPr="006F24DB" w:rsidR="009A7F71">
        <w:rPr>
          <w:i/>
          <w:lang w:val="en-GB"/>
        </w:rPr>
        <w:t>Declares</w:t>
      </w:r>
      <w:proofErr w:type="gramEnd"/>
      <w:r w:rsidR="009861E2">
        <w:rPr>
          <w:color w:val="000000"/>
          <w:lang w:val="en-GB"/>
        </w:rPr>
        <w:t xml:space="preserve"> </w:t>
      </w:r>
      <w:r w:rsidRPr="009861E2" w:rsidR="009861E2">
        <w:t>the complaints concerning the applicants</w:t>
      </w:r>
      <w:r w:rsidR="00B033EC">
        <w:t>’</w:t>
      </w:r>
      <w:r w:rsidRPr="009861E2" w:rsidR="009861E2">
        <w:t xml:space="preserve"> conviction for criminal offences </w:t>
      </w:r>
      <w:r w:rsidR="009861E2">
        <w:t xml:space="preserve">that were incited by the police </w:t>
      </w:r>
      <w:r w:rsidRPr="009861E2" w:rsidR="009861E2">
        <w:t>admissible and the remainder of the applications inadmissible;</w:t>
      </w:r>
    </w:p>
    <w:p w:rsidRPr="00062973" w:rsidR="009861E2" w:rsidP="009861E2" w:rsidRDefault="009861E2">
      <w:pPr>
        <w:pStyle w:val="JuList"/>
        <w:rPr>
          <w:lang w:val="en-GB"/>
        </w:rPr>
      </w:pPr>
    </w:p>
    <w:p w:rsidRPr="00062973" w:rsidR="00014566" w:rsidP="00C621C2" w:rsidRDefault="009861E2">
      <w:pPr>
        <w:pStyle w:val="JuList"/>
        <w:rPr>
          <w:lang w:val="en-GB"/>
        </w:rPr>
      </w:pPr>
      <w:r>
        <w:rPr>
          <w:lang w:val="en-GB"/>
        </w:rPr>
        <w:t>3</w:t>
      </w:r>
      <w:r w:rsidRPr="00062973" w:rsidR="00014566">
        <w:rPr>
          <w:lang w:val="en-GB"/>
        </w:rPr>
        <w:t>.  </w:t>
      </w:r>
      <w:r w:rsidRPr="00062973" w:rsidR="00014566">
        <w:rPr>
          <w:i/>
          <w:lang w:val="en-GB"/>
        </w:rPr>
        <w:t>Holds</w:t>
      </w:r>
      <w:r w:rsidRPr="00062973" w:rsidR="00014566">
        <w:rPr>
          <w:color w:val="000000"/>
          <w:lang w:val="en-GB"/>
        </w:rPr>
        <w:t xml:space="preserve"> </w:t>
      </w:r>
      <w:r w:rsidRPr="00062973" w:rsidR="00014566">
        <w:rPr>
          <w:lang w:val="en-GB"/>
        </w:rPr>
        <w:t xml:space="preserve">that there has been a violation of Article </w:t>
      </w:r>
      <w:r>
        <w:rPr>
          <w:lang w:val="en-GB"/>
        </w:rPr>
        <w:t xml:space="preserve">6 </w:t>
      </w:r>
      <w:r>
        <w:rPr>
          <w:rFonts w:cstheme="minorHAnsi"/>
          <w:lang w:val="en-GB"/>
        </w:rPr>
        <w:t>§ 1</w:t>
      </w:r>
      <w:r>
        <w:rPr>
          <w:lang w:val="en-GB"/>
        </w:rPr>
        <w:t xml:space="preserve"> </w:t>
      </w:r>
      <w:r w:rsidRPr="00062973" w:rsidR="00014566">
        <w:rPr>
          <w:lang w:val="en-GB"/>
        </w:rPr>
        <w:t>of the Convention</w:t>
      </w:r>
      <w:r>
        <w:rPr>
          <w:lang w:val="en-GB"/>
        </w:rPr>
        <w:t xml:space="preserve"> in respect of all five applicants</w:t>
      </w:r>
      <w:r w:rsidRPr="00062973" w:rsidR="00014566">
        <w:rPr>
          <w:lang w:val="en-GB"/>
        </w:rPr>
        <w:t>;</w:t>
      </w:r>
    </w:p>
    <w:p w:rsidRPr="00062973" w:rsidR="00014566" w:rsidP="009861E2" w:rsidRDefault="00014566">
      <w:pPr>
        <w:pStyle w:val="JuList"/>
        <w:ind w:left="0" w:firstLine="0"/>
        <w:rPr>
          <w:lang w:val="en-GB"/>
        </w:rPr>
      </w:pPr>
    </w:p>
    <w:p w:rsidR="009A7F71" w:rsidP="00C621C2" w:rsidRDefault="009861E2">
      <w:pPr>
        <w:pStyle w:val="JuList"/>
        <w:rPr>
          <w:lang w:val="en-GB"/>
        </w:rPr>
      </w:pPr>
      <w:r>
        <w:rPr>
          <w:lang w:val="en-GB"/>
        </w:rPr>
        <w:t>4</w:t>
      </w:r>
      <w:r w:rsidRPr="00062973" w:rsidR="00014566">
        <w:rPr>
          <w:lang w:val="en-GB"/>
        </w:rPr>
        <w:t>.  </w:t>
      </w:r>
      <w:r w:rsidRPr="00062973" w:rsidR="00014566">
        <w:rPr>
          <w:i/>
          <w:lang w:val="en-GB"/>
        </w:rPr>
        <w:t>Holds</w:t>
      </w:r>
    </w:p>
    <w:p w:rsidRPr="00062973" w:rsidR="00014566" w:rsidP="00014566" w:rsidRDefault="00014566">
      <w:pPr>
        <w:pStyle w:val="JuLista"/>
        <w:rPr>
          <w:lang w:val="en-GB"/>
        </w:rPr>
      </w:pPr>
      <w:r w:rsidRPr="00062973">
        <w:rPr>
          <w:lang w:val="en-GB"/>
        </w:rPr>
        <w:t>(a)  </w:t>
      </w:r>
      <w:proofErr w:type="gramStart"/>
      <w:r w:rsidRPr="00062973">
        <w:rPr>
          <w:lang w:val="en-GB"/>
        </w:rPr>
        <w:t>that</w:t>
      </w:r>
      <w:proofErr w:type="gramEnd"/>
      <w:r w:rsidR="009861E2">
        <w:rPr>
          <w:lang w:val="en-GB"/>
        </w:rPr>
        <w:t xml:space="preserve"> the respondent State is to pay </w:t>
      </w:r>
      <w:proofErr w:type="spellStart"/>
      <w:r w:rsidR="009861E2">
        <w:t>Ms</w:t>
      </w:r>
      <w:proofErr w:type="spellEnd"/>
      <w:r w:rsidR="009861E2">
        <w:t xml:space="preserve"> </w:t>
      </w:r>
      <w:proofErr w:type="spellStart"/>
      <w:r w:rsidR="009861E2">
        <w:t>Cherkasova</w:t>
      </w:r>
      <w:proofErr w:type="spellEnd"/>
      <w:r w:rsidR="009861E2">
        <w:t xml:space="preserve">, </w:t>
      </w:r>
      <w:proofErr w:type="spellStart"/>
      <w:r w:rsidR="009861E2">
        <w:t>Mr</w:t>
      </w:r>
      <w:proofErr w:type="spellEnd"/>
      <w:r w:rsidR="009861E2">
        <w:t xml:space="preserve"> Makarov</w:t>
      </w:r>
      <w:r w:rsidR="00E71E13">
        <w:t xml:space="preserve">, </w:t>
      </w:r>
      <w:proofErr w:type="spellStart"/>
      <w:r w:rsidR="00952ED6">
        <w:t>Mr</w:t>
      </w:r>
      <w:proofErr w:type="spellEnd"/>
      <w:r w:rsidR="00952ED6">
        <w:t> </w:t>
      </w:r>
      <w:proofErr w:type="spellStart"/>
      <w:r w:rsidRPr="009861E2" w:rsidR="009861E2">
        <w:t>Platonov</w:t>
      </w:r>
      <w:proofErr w:type="spellEnd"/>
      <w:r w:rsidR="009861E2">
        <w:t xml:space="preserve"> and </w:t>
      </w:r>
      <w:proofErr w:type="spellStart"/>
      <w:r w:rsidR="009861E2">
        <w:t>Mr</w:t>
      </w:r>
      <w:proofErr w:type="spellEnd"/>
      <w:r w:rsidR="009861E2">
        <w:t xml:space="preserve"> </w:t>
      </w:r>
      <w:proofErr w:type="spellStart"/>
      <w:r w:rsidR="009861E2">
        <w:t>Krivda</w:t>
      </w:r>
      <w:proofErr w:type="spellEnd"/>
      <w:r w:rsidRPr="00062973">
        <w:rPr>
          <w:lang w:val="en-GB"/>
        </w:rPr>
        <w:t>, within three months</w:t>
      </w:r>
      <w:r w:rsidR="009A7F71">
        <w:rPr>
          <w:lang w:val="en-GB"/>
        </w:rPr>
        <w:t xml:space="preserve"> </w:t>
      </w:r>
      <w:r w:rsidRPr="00062973">
        <w:rPr>
          <w:lang w:val="en-GB"/>
        </w:rPr>
        <w:t>the following amounts</w:t>
      </w:r>
      <w:r w:rsidRPr="00E9597F">
        <w:rPr>
          <w:lang w:val="en-GB"/>
        </w:rPr>
        <w:t>,</w:t>
      </w:r>
      <w:r w:rsidRPr="00062973">
        <w:rPr>
          <w:b/>
          <w:lang w:val="en-GB"/>
        </w:rPr>
        <w:t xml:space="preserve"> </w:t>
      </w:r>
      <w:r w:rsidRPr="00525BD8">
        <w:rPr>
          <w:lang w:val="en-GB"/>
        </w:rPr>
        <w:t xml:space="preserve">to be converted into </w:t>
      </w:r>
      <w:r w:rsidRPr="00525BD8">
        <w:rPr>
          <w:color w:val="000000"/>
          <w:lang w:val="en-GB"/>
        </w:rPr>
        <w:t xml:space="preserve">the </w:t>
      </w:r>
      <w:r w:rsidRPr="00525BD8" w:rsidR="009861E2">
        <w:rPr>
          <w:color w:val="000000"/>
          <w:lang w:val="en-GB"/>
        </w:rPr>
        <w:t>currency of the respondent State</w:t>
      </w:r>
      <w:r w:rsidR="009861E2">
        <w:rPr>
          <w:lang w:val="en-GB"/>
        </w:rPr>
        <w:t xml:space="preserve"> </w:t>
      </w:r>
      <w:r w:rsidRPr="00062973">
        <w:rPr>
          <w:lang w:val="en-GB"/>
        </w:rPr>
        <w:t>at the rate applicable at the date of settlement:</w:t>
      </w:r>
    </w:p>
    <w:p w:rsidR="00014566" w:rsidP="009861E2" w:rsidRDefault="00014566">
      <w:pPr>
        <w:pStyle w:val="JuListi"/>
        <w:rPr>
          <w:lang w:val="en-GB"/>
        </w:rPr>
      </w:pPr>
      <w:r w:rsidRPr="00062973">
        <w:rPr>
          <w:lang w:val="en-GB"/>
        </w:rPr>
        <w:t>(</w:t>
      </w:r>
      <w:proofErr w:type="spellStart"/>
      <w:r w:rsidRPr="00062973">
        <w:rPr>
          <w:lang w:val="en-GB"/>
        </w:rPr>
        <w:t>i</w:t>
      </w:r>
      <w:proofErr w:type="spellEnd"/>
      <w:r w:rsidRPr="00062973">
        <w:rPr>
          <w:lang w:val="en-GB"/>
        </w:rPr>
        <w:t xml:space="preserve">)  EUR </w:t>
      </w:r>
      <w:r w:rsidR="009861E2">
        <w:rPr>
          <w:lang w:val="en-GB"/>
        </w:rPr>
        <w:t>3,000</w:t>
      </w:r>
      <w:r w:rsidRPr="00062973">
        <w:rPr>
          <w:lang w:val="en-GB"/>
        </w:rPr>
        <w:t xml:space="preserve"> (</w:t>
      </w:r>
      <w:r w:rsidR="009861E2">
        <w:rPr>
          <w:lang w:val="en-GB"/>
        </w:rPr>
        <w:t>three thousand</w:t>
      </w:r>
      <w:r w:rsidR="00A7005F">
        <w:rPr>
          <w:lang w:val="en-GB"/>
        </w:rPr>
        <w:t xml:space="preserve"> euros)</w:t>
      </w:r>
      <w:r w:rsidRPr="00A7005F" w:rsidR="00A7005F">
        <w:t xml:space="preserve"> </w:t>
      </w:r>
      <w:r w:rsidR="00A7005F">
        <w:t xml:space="preserve">to </w:t>
      </w:r>
      <w:proofErr w:type="spellStart"/>
      <w:r w:rsidR="00952ED6">
        <w:t>Ms</w:t>
      </w:r>
      <w:proofErr w:type="spellEnd"/>
      <w:r w:rsidR="00952ED6">
        <w:t xml:space="preserve"> </w:t>
      </w:r>
      <w:proofErr w:type="spellStart"/>
      <w:r w:rsidR="00952ED6">
        <w:t>Cherkasova</w:t>
      </w:r>
      <w:proofErr w:type="spellEnd"/>
      <w:r w:rsidR="00952ED6">
        <w:t xml:space="preserve">, </w:t>
      </w:r>
      <w:proofErr w:type="spellStart"/>
      <w:r w:rsidR="00952ED6">
        <w:t>Mr</w:t>
      </w:r>
      <w:proofErr w:type="spellEnd"/>
      <w:r w:rsidR="00952ED6">
        <w:t> </w:t>
      </w:r>
      <w:r w:rsidRPr="00A7005F" w:rsidR="00A7005F">
        <w:t>Makarov</w:t>
      </w:r>
      <w:r w:rsidR="00A7005F">
        <w:t xml:space="preserve"> and </w:t>
      </w:r>
      <w:proofErr w:type="spellStart"/>
      <w:r w:rsidR="00A7005F">
        <w:t>Mr</w:t>
      </w:r>
      <w:proofErr w:type="spellEnd"/>
      <w:r w:rsidR="00A7005F">
        <w:t xml:space="preserve"> </w:t>
      </w:r>
      <w:proofErr w:type="spellStart"/>
      <w:r w:rsidR="00A7005F">
        <w:t>Platonov</w:t>
      </w:r>
      <w:proofErr w:type="spellEnd"/>
      <w:r w:rsidRPr="00062973">
        <w:rPr>
          <w:lang w:val="en-GB"/>
        </w:rPr>
        <w:t>, plus any tax that may be chargeable,</w:t>
      </w:r>
      <w:r w:rsidR="009861E2">
        <w:rPr>
          <w:lang w:val="en-GB"/>
        </w:rPr>
        <w:t xml:space="preserve"> </w:t>
      </w:r>
      <w:r w:rsidRPr="00062973">
        <w:rPr>
          <w:lang w:val="en-GB"/>
        </w:rPr>
        <w:t xml:space="preserve">in respect of </w:t>
      </w:r>
      <w:r w:rsidR="009861E2">
        <w:rPr>
          <w:lang w:val="en-GB"/>
        </w:rPr>
        <w:t xml:space="preserve">non-pecuniary </w:t>
      </w:r>
      <w:r w:rsidRPr="00062973">
        <w:rPr>
          <w:lang w:val="en-GB"/>
        </w:rPr>
        <w:t>damage</w:t>
      </w:r>
      <w:r w:rsidRPr="009861E2" w:rsidR="009861E2">
        <w:rPr>
          <w:lang w:val="en-GB"/>
        </w:rPr>
        <w:t xml:space="preserve"> plus any tax that may be chargeable on this amount</w:t>
      </w:r>
      <w:r w:rsidRPr="00062973">
        <w:rPr>
          <w:lang w:val="en-GB"/>
        </w:rPr>
        <w:t>;</w:t>
      </w:r>
    </w:p>
    <w:p w:rsidR="00A7005F" w:rsidP="00A7005F" w:rsidRDefault="00A7005F">
      <w:pPr>
        <w:pStyle w:val="JuLista"/>
        <w:ind w:firstLine="374"/>
        <w:rPr>
          <w:lang w:val="en-GB"/>
        </w:rPr>
      </w:pPr>
      <w:r>
        <w:rPr>
          <w:lang w:val="en-GB"/>
        </w:rPr>
        <w:t xml:space="preserve"> (ii) EUR 2,900 (two thousand nine hundred euros) to Mr </w:t>
      </w:r>
      <w:proofErr w:type="spellStart"/>
      <w:r>
        <w:rPr>
          <w:lang w:val="en-GB"/>
        </w:rPr>
        <w:t>Krivda</w:t>
      </w:r>
      <w:proofErr w:type="spellEnd"/>
    </w:p>
    <w:p w:rsidRPr="00A7005F" w:rsidR="00A7005F" w:rsidP="00A7005F" w:rsidRDefault="00A7005F">
      <w:pPr>
        <w:pStyle w:val="JuLista"/>
        <w:ind w:left="851"/>
        <w:rPr>
          <w:lang w:val="en-GB"/>
        </w:rPr>
      </w:pPr>
      <w:proofErr w:type="gramStart"/>
      <w:r w:rsidRPr="00A7005F">
        <w:rPr>
          <w:lang w:val="en-GB"/>
        </w:rPr>
        <w:t>plus</w:t>
      </w:r>
      <w:proofErr w:type="gramEnd"/>
      <w:r w:rsidRPr="00A7005F">
        <w:rPr>
          <w:lang w:val="en-GB"/>
        </w:rPr>
        <w:t xml:space="preserve"> any tax that may be chargeable, in respect of non-pecuniary damage plus any tax that may be chargeable on this amount;</w:t>
      </w:r>
    </w:p>
    <w:p w:rsidRPr="00062973" w:rsidR="00014566" w:rsidP="00014566" w:rsidRDefault="00014566">
      <w:pPr>
        <w:pStyle w:val="JuListi"/>
        <w:rPr>
          <w:lang w:val="en-GB"/>
        </w:rPr>
      </w:pPr>
      <w:r w:rsidRPr="00062973">
        <w:rPr>
          <w:lang w:val="en-GB"/>
        </w:rPr>
        <w:t>(ii</w:t>
      </w:r>
      <w:r w:rsidR="00A7005F">
        <w:rPr>
          <w:lang w:val="en-GB"/>
        </w:rPr>
        <w:t>i</w:t>
      </w:r>
      <w:r w:rsidRPr="00062973">
        <w:rPr>
          <w:lang w:val="en-GB"/>
        </w:rPr>
        <w:t xml:space="preserve">)  EUR </w:t>
      </w:r>
      <w:r w:rsidR="009861E2">
        <w:rPr>
          <w:lang w:val="en-GB"/>
        </w:rPr>
        <w:t>3,150</w:t>
      </w:r>
      <w:r w:rsidRPr="00062973">
        <w:rPr>
          <w:lang w:val="en-GB"/>
        </w:rPr>
        <w:t xml:space="preserve"> (</w:t>
      </w:r>
      <w:r w:rsidR="009861E2">
        <w:rPr>
          <w:lang w:val="en-GB"/>
        </w:rPr>
        <w:t>three thousand</w:t>
      </w:r>
      <w:r w:rsidR="00952ED6">
        <w:rPr>
          <w:lang w:val="en-GB"/>
        </w:rPr>
        <w:t xml:space="preserve"> one hundred fifty euros) to Mr </w:t>
      </w:r>
      <w:r w:rsidR="009861E2">
        <w:rPr>
          <w:lang w:val="en-GB"/>
        </w:rPr>
        <w:t xml:space="preserve">Makarov in respect of costs and expenses, </w:t>
      </w:r>
      <w:r w:rsidRPr="00062973">
        <w:rPr>
          <w:lang w:val="en-GB"/>
        </w:rPr>
        <w:t>plus</w:t>
      </w:r>
      <w:r w:rsidR="009861E2">
        <w:rPr>
          <w:lang w:val="en-GB"/>
        </w:rPr>
        <w:t xml:space="preserve"> any tax that may be chargeable on this amount</w:t>
      </w:r>
      <w:r w:rsidRPr="00062973">
        <w:rPr>
          <w:lang w:val="en-GB"/>
        </w:rPr>
        <w:t>;</w:t>
      </w:r>
    </w:p>
    <w:p w:rsidRPr="00062973" w:rsidR="00014566" w:rsidP="00014566" w:rsidRDefault="009861E2">
      <w:pPr>
        <w:pStyle w:val="JuLista"/>
        <w:rPr>
          <w:lang w:val="en-GB"/>
        </w:rPr>
      </w:pPr>
      <w:r w:rsidRPr="00062973">
        <w:rPr>
          <w:lang w:val="en-GB"/>
        </w:rPr>
        <w:t xml:space="preserve"> </w:t>
      </w:r>
      <w:r w:rsidRPr="00062973" w:rsidR="00014566">
        <w:rPr>
          <w:lang w:val="en-GB"/>
        </w:rPr>
        <w:t>(b)  that from the expiry of the above-mentioned three months until settlement simple interest shall be payable on the above amounts at a rate equal to the marginal lending rate of the European Central Bank during the default period plus three percentage points;</w:t>
      </w:r>
    </w:p>
    <w:p w:rsidRPr="00062973" w:rsidR="00014566" w:rsidP="00C621C2" w:rsidRDefault="00014566">
      <w:pPr>
        <w:pStyle w:val="JuList"/>
        <w:rPr>
          <w:lang w:val="en-GB"/>
        </w:rPr>
      </w:pPr>
    </w:p>
    <w:p w:rsidRPr="00062973" w:rsidR="00014566" w:rsidP="00C621C2" w:rsidRDefault="009861E2">
      <w:pPr>
        <w:pStyle w:val="JuList"/>
        <w:rPr>
          <w:lang w:val="en-GB"/>
        </w:rPr>
      </w:pPr>
      <w:r>
        <w:rPr>
          <w:lang w:val="en-GB"/>
        </w:rPr>
        <w:t>5</w:t>
      </w:r>
      <w:r w:rsidRPr="00062973" w:rsidR="00014566">
        <w:rPr>
          <w:lang w:val="en-GB"/>
        </w:rPr>
        <w:t>.  </w:t>
      </w:r>
      <w:r w:rsidRPr="00062973" w:rsidR="00014566">
        <w:rPr>
          <w:i/>
          <w:lang w:val="en-GB"/>
        </w:rPr>
        <w:t>Dismisses</w:t>
      </w:r>
      <w:r w:rsidRPr="00062973" w:rsidR="00014566">
        <w:rPr>
          <w:color w:val="000000"/>
          <w:lang w:val="en-GB"/>
        </w:rPr>
        <w:t xml:space="preserve"> </w:t>
      </w:r>
      <w:r w:rsidRPr="00062973" w:rsidR="00014566">
        <w:rPr>
          <w:lang w:val="en-GB"/>
        </w:rPr>
        <w:t>the remainder of the applicant</w:t>
      </w:r>
      <w:r w:rsidRPr="00062973" w:rsidR="009A7F71">
        <w:rPr>
          <w:lang w:val="en-GB"/>
        </w:rPr>
        <w:t>s</w:t>
      </w:r>
      <w:r w:rsidR="00B033EC">
        <w:rPr>
          <w:lang w:val="en-GB"/>
        </w:rPr>
        <w:t>’</w:t>
      </w:r>
      <w:r w:rsidRPr="00062973" w:rsidR="00014566">
        <w:rPr>
          <w:lang w:val="en-GB"/>
        </w:rPr>
        <w:t xml:space="preserve"> claim for just satisfaction.</w:t>
      </w:r>
    </w:p>
    <w:p w:rsidRPr="00062973" w:rsidR="00014566" w:rsidP="00014566" w:rsidRDefault="00014566">
      <w:pPr>
        <w:pStyle w:val="JuParaLast"/>
        <w:rPr>
          <w:lang w:val="en-GB"/>
        </w:rPr>
      </w:pPr>
      <w:r w:rsidRPr="00062973">
        <w:rPr>
          <w:lang w:val="en-GB"/>
        </w:rPr>
        <w:t xml:space="preserve">Done in English, and notified in writing on </w:t>
      </w:r>
      <w:r w:rsidR="00BC1D22">
        <w:rPr>
          <w:lang w:val="en-GB"/>
        </w:rPr>
        <w:t>30 April 2015</w:t>
      </w:r>
      <w:r w:rsidRPr="00062973">
        <w:rPr>
          <w:lang w:val="en-GB"/>
        </w:rPr>
        <w:t>, pursuant to Rule 77 §§ 2 and 3 of the Rules of Court.</w:t>
      </w:r>
    </w:p>
    <w:p w:rsidR="00014566" w:rsidP="00C621C2" w:rsidRDefault="00014566">
      <w:pPr>
        <w:pStyle w:val="JuSigned"/>
        <w:rPr>
          <w:lang w:val="en-GB"/>
        </w:rPr>
      </w:pPr>
      <w:r w:rsidRPr="00062973">
        <w:rPr>
          <w:lang w:val="en-GB"/>
        </w:rPr>
        <w:tab/>
      </w:r>
      <w:r w:rsidR="009A7F71">
        <w:rPr>
          <w:lang w:val="en-GB"/>
        </w:rPr>
        <w:t>André</w:t>
      </w:r>
      <w:r w:rsidRPr="00062973" w:rsidR="009A7F71">
        <w:rPr>
          <w:lang w:val="en-GB"/>
        </w:rPr>
        <w:t xml:space="preserve"> </w:t>
      </w:r>
      <w:r w:rsidR="009A7F71">
        <w:rPr>
          <w:lang w:val="en-GB"/>
        </w:rPr>
        <w:t>Wampach</w:t>
      </w:r>
      <w:r w:rsidRPr="00062973">
        <w:rPr>
          <w:lang w:val="en-GB"/>
        </w:rPr>
        <w:tab/>
      </w:r>
      <w:proofErr w:type="spellStart"/>
      <w:r w:rsidRPr="00BC1D22" w:rsidR="00BC1D22">
        <w:rPr>
          <w:szCs w:val="24"/>
        </w:rPr>
        <w:t>Khanlar</w:t>
      </w:r>
      <w:proofErr w:type="spellEnd"/>
      <w:r w:rsidRPr="00BC1D22" w:rsidR="00BC1D22">
        <w:rPr>
          <w:szCs w:val="24"/>
        </w:rPr>
        <w:t xml:space="preserve"> </w:t>
      </w:r>
      <w:proofErr w:type="spellStart"/>
      <w:r w:rsidRPr="00BC1D22" w:rsidR="00BC1D22">
        <w:rPr>
          <w:szCs w:val="24"/>
        </w:rPr>
        <w:t>Hajiyev</w:t>
      </w:r>
      <w:proofErr w:type="spellEnd"/>
      <w:r w:rsidR="00E1557C">
        <w:rPr>
          <w:szCs w:val="24"/>
          <w:lang w:val="en-GB"/>
        </w:rPr>
        <w:br/>
      </w:r>
      <w:r w:rsidRPr="00062973">
        <w:rPr>
          <w:lang w:val="en-GB"/>
        </w:rPr>
        <w:tab/>
      </w:r>
      <w:r w:rsidRPr="00062973" w:rsidR="009A7F71">
        <w:rPr>
          <w:lang w:val="en-GB"/>
        </w:rPr>
        <w:t xml:space="preserve">Deputy </w:t>
      </w:r>
      <w:r w:rsidRPr="00062973" w:rsidR="009A7F71">
        <w:rPr>
          <w:iCs/>
          <w:lang w:val="en-GB"/>
        </w:rPr>
        <w:t>Registrar</w:t>
      </w:r>
      <w:r w:rsidRPr="00062973">
        <w:rPr>
          <w:lang w:val="en-GB"/>
        </w:rPr>
        <w:tab/>
        <w:t>President</w:t>
      </w:r>
    </w:p>
    <w:p w:rsidRPr="00B033EC" w:rsidR="00B033EC" w:rsidP="00B033EC" w:rsidRDefault="00B033EC">
      <w:pPr>
        <w:pStyle w:val="JuParaLast"/>
        <w:rPr>
          <w:lang w:val="en-GB"/>
        </w:rPr>
      </w:pPr>
    </w:p>
    <w:p w:rsidR="004D7D4C" w:rsidRDefault="004D7D4C">
      <w:pPr>
        <w:jc w:val="left"/>
        <w:rPr>
          <w:lang w:val="en-GB"/>
        </w:rPr>
      </w:pPr>
      <w:r>
        <w:rPr>
          <w:lang w:val="en-GB"/>
        </w:rPr>
        <w:br w:type="page"/>
      </w:r>
    </w:p>
    <w:p w:rsidRPr="004D7D4C" w:rsidR="004D7D4C" w:rsidP="004D7D4C" w:rsidRDefault="004D7D4C">
      <w:pPr>
        <w:jc w:val="center"/>
        <w:rPr>
          <w:b/>
          <w:lang w:val="en-GB"/>
        </w:rPr>
      </w:pPr>
      <w:r w:rsidRPr="004D7D4C">
        <w:rPr>
          <w:b/>
          <w:lang w:val="en-GB"/>
        </w:rPr>
        <w:t>APPENDIX</w:t>
      </w:r>
    </w:p>
    <w:p w:rsidR="004D7D4C" w:rsidRDefault="004D7D4C">
      <w:pPr>
        <w:jc w:val="left"/>
        <w:rPr>
          <w:lang w:val="en-GB"/>
        </w:rPr>
      </w:pPr>
    </w:p>
    <w:tbl>
      <w:tblPr>
        <w:tblStyle w:val="ECHRListTable"/>
        <w:tblW w:w="9639" w:type="dxa"/>
        <w:tblInd w:w="-1026" w:type="dxa"/>
        <w:tblLayout w:type="fixed"/>
        <w:tblLook w:val="05E0" w:firstRow="1" w:lastRow="1" w:firstColumn="1" w:lastColumn="1" w:noHBand="0" w:noVBand="1"/>
      </w:tblPr>
      <w:tblGrid>
        <w:gridCol w:w="567"/>
        <w:gridCol w:w="1418"/>
        <w:gridCol w:w="1843"/>
        <w:gridCol w:w="2126"/>
        <w:gridCol w:w="1843"/>
        <w:gridCol w:w="1842"/>
      </w:tblGrid>
      <w:tr w:rsidR="00667854" w:rsidTr="00667854">
        <w:trPr>
          <w:cnfStyle w:val="100000000000" w:firstRow="1" w:lastRow="0" w:firstColumn="0" w:lastColumn="0" w:oddVBand="0" w:evenVBand="0" w:oddHBand="0" w:evenHBand="0" w:firstRowFirstColumn="0" w:firstRowLastColumn="0" w:lastRowFirstColumn="0" w:lastRowLastColumn="0"/>
        </w:trPr>
        <w:tc>
          <w:tcPr>
            <w:tcW w:w="567" w:type="dxa"/>
          </w:tcPr>
          <w:p w:rsidR="004D7D4C" w:rsidP="004D7D4C" w:rsidRDefault="004D7D4C">
            <w:pPr>
              <w:jc w:val="left"/>
              <w:rPr>
                <w:lang w:val="en-GB"/>
              </w:rPr>
            </w:pPr>
            <w:bookmarkStart w:name="AppTableStart" w:id="4"/>
            <w:bookmarkEnd w:id="4"/>
            <w:r>
              <w:rPr>
                <w:lang w:val="en-GB"/>
              </w:rPr>
              <w:t>No</w:t>
            </w:r>
          </w:p>
        </w:tc>
        <w:tc>
          <w:tcPr>
            <w:tcW w:w="1418" w:type="dxa"/>
          </w:tcPr>
          <w:p w:rsidR="004D7D4C" w:rsidP="004D7D4C" w:rsidRDefault="004D7D4C">
            <w:pPr>
              <w:jc w:val="left"/>
              <w:rPr>
                <w:lang w:val="en-GB"/>
              </w:rPr>
            </w:pPr>
            <w:r>
              <w:t>Application No</w:t>
            </w:r>
          </w:p>
        </w:tc>
        <w:tc>
          <w:tcPr>
            <w:tcW w:w="1843" w:type="dxa"/>
          </w:tcPr>
          <w:p w:rsidR="004D7D4C" w:rsidP="004D7D4C" w:rsidRDefault="00FA610C">
            <w:pPr>
              <w:jc w:val="left"/>
              <w:rPr>
                <w:lang w:val="en-GB"/>
              </w:rPr>
            </w:pPr>
            <w:r w:rsidRPr="00FA610C">
              <w:rPr>
                <w:lang w:val="en-US"/>
              </w:rPr>
              <w:t>Dates of introduction and communication</w:t>
            </w:r>
          </w:p>
        </w:tc>
        <w:tc>
          <w:tcPr>
            <w:tcW w:w="2126" w:type="dxa"/>
          </w:tcPr>
          <w:p w:rsidRPr="004D7D4C" w:rsidR="004D7D4C" w:rsidP="004D7D4C" w:rsidRDefault="004D7D4C">
            <w:pPr>
              <w:jc w:val="left"/>
              <w:rPr>
                <w:lang w:val="en-US"/>
              </w:rPr>
            </w:pPr>
            <w:r w:rsidRPr="004D7D4C">
              <w:rPr>
                <w:lang w:val="en-US"/>
              </w:rPr>
              <w:t>Applicant</w:t>
            </w:r>
            <w:r w:rsidR="00B033EC">
              <w:rPr>
                <w:lang w:val="en-US"/>
              </w:rPr>
              <w:t>’</w:t>
            </w:r>
            <w:r>
              <w:rPr>
                <w:lang w:val="en-US"/>
              </w:rPr>
              <w:t>s name</w:t>
            </w:r>
          </w:p>
          <w:p w:rsidRPr="004D7D4C" w:rsidR="004D7D4C" w:rsidP="004D7D4C" w:rsidRDefault="004D7D4C">
            <w:pPr>
              <w:jc w:val="left"/>
              <w:rPr>
                <w:lang w:val="en-US"/>
              </w:rPr>
            </w:pPr>
            <w:r w:rsidRPr="004D7D4C">
              <w:rPr>
                <w:lang w:val="en-US"/>
              </w:rPr>
              <w:t>Date of birth</w:t>
            </w:r>
          </w:p>
          <w:p w:rsidR="004D7D4C" w:rsidP="004D7D4C" w:rsidRDefault="004D7D4C">
            <w:pPr>
              <w:jc w:val="left"/>
              <w:rPr>
                <w:lang w:val="en-GB"/>
              </w:rPr>
            </w:pPr>
            <w:r w:rsidRPr="004D7D4C">
              <w:rPr>
                <w:lang w:val="en-US"/>
              </w:rPr>
              <w:t>Place of residence</w:t>
            </w:r>
          </w:p>
        </w:tc>
        <w:tc>
          <w:tcPr>
            <w:tcW w:w="1843" w:type="dxa"/>
          </w:tcPr>
          <w:p w:rsidR="004D7D4C" w:rsidP="004D7D4C" w:rsidRDefault="004D7D4C">
            <w:pPr>
              <w:jc w:val="left"/>
              <w:rPr>
                <w:lang w:val="en-GB"/>
              </w:rPr>
            </w:pPr>
            <w:proofErr w:type="spellStart"/>
            <w:r>
              <w:t>Represented</w:t>
            </w:r>
            <w:proofErr w:type="spellEnd"/>
            <w:r>
              <w:t xml:space="preserve"> by</w:t>
            </w:r>
          </w:p>
        </w:tc>
        <w:tc>
          <w:tcPr>
            <w:tcW w:w="1842" w:type="dxa"/>
          </w:tcPr>
          <w:p w:rsidR="004D7D4C" w:rsidP="004D7D4C" w:rsidRDefault="004D7D4C">
            <w:pPr>
              <w:jc w:val="left"/>
              <w:rPr>
                <w:lang w:val="en-GB"/>
              </w:rPr>
            </w:pPr>
            <w:r>
              <w:rPr>
                <w:lang w:val="en-GB"/>
              </w:rPr>
              <w:t>Final Judgment</w:t>
            </w:r>
          </w:p>
        </w:tc>
      </w:tr>
      <w:tr w:rsidR="004D7D4C" w:rsidTr="00667854">
        <w:tc>
          <w:tcPr>
            <w:tcW w:w="567" w:type="dxa"/>
          </w:tcPr>
          <w:p w:rsidRPr="004D7D4C" w:rsidR="004D7D4C" w:rsidP="004D7D4C" w:rsidRDefault="004D7D4C">
            <w:pPr>
              <w:pStyle w:val="ListParagraph"/>
              <w:numPr>
                <w:ilvl w:val="0"/>
                <w:numId w:val="24"/>
              </w:numPr>
              <w:tabs>
                <w:tab w:val="num" w:pos="283"/>
              </w:tabs>
              <w:ind w:left="0" w:firstLine="0"/>
              <w:jc w:val="left"/>
              <w:rPr>
                <w:lang w:val="en-GB"/>
              </w:rPr>
            </w:pPr>
          </w:p>
        </w:tc>
        <w:tc>
          <w:tcPr>
            <w:tcW w:w="1418" w:type="dxa"/>
          </w:tcPr>
          <w:p w:rsidR="004D7D4C" w:rsidP="004D7D4C" w:rsidRDefault="004D7D4C">
            <w:pPr>
              <w:jc w:val="left"/>
              <w:rPr>
                <w:lang w:val="en-GB"/>
              </w:rPr>
            </w:pPr>
            <w:r>
              <w:t>2500/07</w:t>
            </w:r>
          </w:p>
        </w:tc>
        <w:tc>
          <w:tcPr>
            <w:tcW w:w="1843" w:type="dxa"/>
          </w:tcPr>
          <w:p w:rsidR="004D7D4C" w:rsidP="004D7D4C" w:rsidRDefault="004D7D4C">
            <w:pPr>
              <w:jc w:val="left"/>
            </w:pPr>
            <w:r>
              <w:t>01/12/2006</w:t>
            </w:r>
          </w:p>
          <w:p w:rsidR="00FA610C" w:rsidP="004D7D4C" w:rsidRDefault="00FA610C">
            <w:pPr>
              <w:jc w:val="left"/>
            </w:pPr>
          </w:p>
          <w:p w:rsidR="009E5322" w:rsidP="004D7D4C" w:rsidRDefault="009E5322">
            <w:pPr>
              <w:jc w:val="left"/>
            </w:pPr>
            <w:r>
              <w:t>09/11/2012</w:t>
            </w:r>
          </w:p>
          <w:p w:rsidR="00FA610C" w:rsidP="004D7D4C" w:rsidRDefault="00FA610C">
            <w:pPr>
              <w:jc w:val="left"/>
              <w:rPr>
                <w:lang w:val="en-GB"/>
              </w:rPr>
            </w:pPr>
          </w:p>
        </w:tc>
        <w:tc>
          <w:tcPr>
            <w:tcW w:w="2126" w:type="dxa"/>
          </w:tcPr>
          <w:p w:rsidR="0030794A" w:rsidP="004D7D4C" w:rsidRDefault="004D7D4C">
            <w:pPr>
              <w:jc w:val="left"/>
              <w:rPr>
                <w:b/>
              </w:rPr>
            </w:pPr>
            <w:proofErr w:type="spellStart"/>
            <w:r>
              <w:rPr>
                <w:b/>
              </w:rPr>
              <w:t>Sergey</w:t>
            </w:r>
            <w:proofErr w:type="spellEnd"/>
            <w:r>
              <w:rPr>
                <w:b/>
              </w:rPr>
              <w:t xml:space="preserve"> </w:t>
            </w:r>
            <w:proofErr w:type="spellStart"/>
            <w:r>
              <w:rPr>
                <w:b/>
              </w:rPr>
              <w:t>Vladimirovich</w:t>
            </w:r>
            <w:proofErr w:type="spellEnd"/>
            <w:r>
              <w:rPr>
                <w:b/>
              </w:rPr>
              <w:t xml:space="preserve"> LEBEDEV</w:t>
            </w:r>
          </w:p>
          <w:p w:rsidR="004D7D4C" w:rsidP="004D7D4C" w:rsidRDefault="004D7D4C">
            <w:pPr>
              <w:jc w:val="left"/>
            </w:pPr>
            <w:r>
              <w:t>26/05/1982</w:t>
            </w:r>
          </w:p>
          <w:p w:rsidR="004D7D4C" w:rsidP="004D7D4C" w:rsidRDefault="004D7D4C">
            <w:pPr>
              <w:jc w:val="left"/>
            </w:pPr>
            <w:proofErr w:type="spellStart"/>
            <w:r>
              <w:t>Ulyanovsk</w:t>
            </w:r>
            <w:proofErr w:type="spellEnd"/>
          </w:p>
          <w:p w:rsidRPr="004D7D4C" w:rsidR="004D7D4C" w:rsidP="004D7D4C" w:rsidRDefault="004D7D4C">
            <w:pPr>
              <w:jc w:val="left"/>
              <w:rPr>
                <w:lang w:val="en-GB"/>
              </w:rPr>
            </w:pPr>
          </w:p>
        </w:tc>
        <w:tc>
          <w:tcPr>
            <w:tcW w:w="1843" w:type="dxa"/>
          </w:tcPr>
          <w:p w:rsidR="004D7D4C" w:rsidP="004D7D4C" w:rsidRDefault="00391DB8">
            <w:pPr>
              <w:jc w:val="left"/>
              <w:rPr>
                <w:lang w:val="en-GB"/>
              </w:rPr>
            </w:pPr>
            <w:proofErr w:type="spellStart"/>
            <w:r>
              <w:t>Yelena</w:t>
            </w:r>
            <w:proofErr w:type="spellEnd"/>
            <w:r>
              <w:t xml:space="preserve"> </w:t>
            </w:r>
            <w:proofErr w:type="spellStart"/>
            <w:r>
              <w:t>Vyacheslavovn</w:t>
            </w:r>
            <w:r w:rsidR="004D7D4C">
              <w:t>a</w:t>
            </w:r>
            <w:proofErr w:type="spellEnd"/>
            <w:r w:rsidR="004D7D4C">
              <w:t xml:space="preserve"> ILYINA</w:t>
            </w:r>
          </w:p>
        </w:tc>
        <w:tc>
          <w:tcPr>
            <w:tcW w:w="1842" w:type="dxa"/>
          </w:tcPr>
          <w:p w:rsidR="004D7D4C" w:rsidP="004D7D4C" w:rsidRDefault="00391DB8">
            <w:pPr>
              <w:jc w:val="left"/>
              <w:rPr>
                <w:lang w:val="en-GB"/>
              </w:rPr>
            </w:pPr>
            <w:r>
              <w:rPr>
                <w:lang w:val="en-GB"/>
              </w:rPr>
              <w:t>Ulyanovsk Regional Court, 28/01/2013</w:t>
            </w:r>
            <w:r w:rsidR="00667854">
              <w:rPr>
                <w:lang w:val="en-GB"/>
              </w:rPr>
              <w:t xml:space="preserve"> (re</w:t>
            </w:r>
            <w:r w:rsidR="00667854">
              <w:rPr>
                <w:lang w:val="en-GB"/>
              </w:rPr>
              <w:noBreakHyphen/>
            </w:r>
            <w:r w:rsidR="000D084A">
              <w:rPr>
                <w:lang w:val="en-GB"/>
              </w:rPr>
              <w:t>examination proceedings)</w:t>
            </w:r>
          </w:p>
          <w:p w:rsidR="000D084A" w:rsidP="004D7D4C" w:rsidRDefault="000D084A">
            <w:pPr>
              <w:jc w:val="left"/>
              <w:rPr>
                <w:lang w:val="en-GB"/>
              </w:rPr>
            </w:pPr>
          </w:p>
        </w:tc>
      </w:tr>
      <w:tr w:rsidR="004D7D4C" w:rsidTr="00667854">
        <w:tc>
          <w:tcPr>
            <w:tcW w:w="567" w:type="dxa"/>
          </w:tcPr>
          <w:p w:rsidRPr="004D7D4C" w:rsidR="004D7D4C" w:rsidP="004D7D4C" w:rsidRDefault="004D7D4C">
            <w:pPr>
              <w:pStyle w:val="ListParagraph"/>
              <w:numPr>
                <w:ilvl w:val="0"/>
                <w:numId w:val="24"/>
              </w:numPr>
              <w:tabs>
                <w:tab w:val="num" w:pos="283"/>
              </w:tabs>
              <w:ind w:left="0" w:firstLine="0"/>
              <w:jc w:val="left"/>
              <w:rPr>
                <w:lang w:val="en-GB"/>
              </w:rPr>
            </w:pPr>
          </w:p>
        </w:tc>
        <w:tc>
          <w:tcPr>
            <w:tcW w:w="1418" w:type="dxa"/>
          </w:tcPr>
          <w:p w:rsidR="004D7D4C" w:rsidP="004D7D4C" w:rsidRDefault="004D7D4C">
            <w:pPr>
              <w:jc w:val="left"/>
            </w:pPr>
            <w:r>
              <w:t>43089/07</w:t>
            </w:r>
          </w:p>
        </w:tc>
        <w:tc>
          <w:tcPr>
            <w:tcW w:w="1843" w:type="dxa"/>
          </w:tcPr>
          <w:p w:rsidR="004D7D4C" w:rsidP="004D7D4C" w:rsidRDefault="004D7D4C">
            <w:pPr>
              <w:jc w:val="left"/>
            </w:pPr>
            <w:r>
              <w:t>01/10/2007</w:t>
            </w:r>
          </w:p>
          <w:p w:rsidR="009E5322" w:rsidP="004D7D4C" w:rsidRDefault="009E5322">
            <w:pPr>
              <w:jc w:val="left"/>
            </w:pPr>
          </w:p>
          <w:p w:rsidR="009E5322" w:rsidP="004D7D4C" w:rsidRDefault="009E5322">
            <w:pPr>
              <w:jc w:val="left"/>
            </w:pPr>
            <w:r>
              <w:t>13/12/2012</w:t>
            </w:r>
          </w:p>
        </w:tc>
        <w:tc>
          <w:tcPr>
            <w:tcW w:w="2126" w:type="dxa"/>
          </w:tcPr>
          <w:p w:rsidR="0030794A" w:rsidP="004D7D4C" w:rsidRDefault="004D7D4C">
            <w:pPr>
              <w:jc w:val="left"/>
              <w:rPr>
                <w:b/>
              </w:rPr>
            </w:pPr>
            <w:proofErr w:type="spellStart"/>
            <w:r>
              <w:rPr>
                <w:b/>
              </w:rPr>
              <w:t>Natalya</w:t>
            </w:r>
            <w:proofErr w:type="spellEnd"/>
            <w:r>
              <w:rPr>
                <w:b/>
              </w:rPr>
              <w:t xml:space="preserve"> </w:t>
            </w:r>
            <w:proofErr w:type="spellStart"/>
            <w:r>
              <w:rPr>
                <w:b/>
              </w:rPr>
              <w:t>Fedorovna</w:t>
            </w:r>
            <w:proofErr w:type="spellEnd"/>
            <w:r>
              <w:rPr>
                <w:b/>
              </w:rPr>
              <w:t xml:space="preserve"> CHERKASOVA</w:t>
            </w:r>
          </w:p>
          <w:p w:rsidR="004D7D4C" w:rsidP="004D7D4C" w:rsidRDefault="004D7D4C">
            <w:pPr>
              <w:jc w:val="left"/>
            </w:pPr>
            <w:r>
              <w:t>16/07/1981</w:t>
            </w:r>
          </w:p>
          <w:p w:rsidR="004D7D4C" w:rsidP="004D7D4C" w:rsidRDefault="00391DB8">
            <w:pPr>
              <w:jc w:val="left"/>
            </w:pPr>
            <w:proofErr w:type="spellStart"/>
            <w:r>
              <w:t>Pyt-Yakh</w:t>
            </w:r>
            <w:proofErr w:type="spellEnd"/>
          </w:p>
          <w:p w:rsidRPr="004D7D4C" w:rsidR="004D7D4C" w:rsidP="004D7D4C" w:rsidRDefault="004D7D4C">
            <w:pPr>
              <w:jc w:val="left"/>
            </w:pPr>
          </w:p>
        </w:tc>
        <w:tc>
          <w:tcPr>
            <w:tcW w:w="1843" w:type="dxa"/>
          </w:tcPr>
          <w:p w:rsidR="004D7D4C" w:rsidP="004D7D4C" w:rsidRDefault="004D7D4C">
            <w:pPr>
              <w:jc w:val="left"/>
            </w:pPr>
            <w:r>
              <w:t xml:space="preserve">Oleg </w:t>
            </w:r>
            <w:proofErr w:type="spellStart"/>
            <w:r>
              <w:t>Ivanovich</w:t>
            </w:r>
            <w:proofErr w:type="spellEnd"/>
            <w:r>
              <w:t xml:space="preserve"> RODNENKO</w:t>
            </w:r>
          </w:p>
        </w:tc>
        <w:tc>
          <w:tcPr>
            <w:tcW w:w="1842" w:type="dxa"/>
          </w:tcPr>
          <w:p w:rsidR="004D7D4C" w:rsidP="004D7D4C" w:rsidRDefault="000D084A">
            <w:pPr>
              <w:jc w:val="left"/>
              <w:rPr>
                <w:lang w:val="en-GB"/>
              </w:rPr>
            </w:pPr>
            <w:r>
              <w:rPr>
                <w:lang w:val="en-GB"/>
              </w:rPr>
              <w:t>Khanty-Mansi</w:t>
            </w:r>
            <w:r w:rsidR="00667854">
              <w:rPr>
                <w:lang w:val="en-GB"/>
              </w:rPr>
              <w:t xml:space="preserve"> Regional Court, 15/03/2013 (re</w:t>
            </w:r>
            <w:r w:rsidR="00667854">
              <w:rPr>
                <w:lang w:val="en-GB"/>
              </w:rPr>
              <w:noBreakHyphen/>
            </w:r>
            <w:r>
              <w:rPr>
                <w:lang w:val="en-GB"/>
              </w:rPr>
              <w:t>examination proceedings)</w:t>
            </w:r>
          </w:p>
          <w:p w:rsidR="000D084A" w:rsidP="004D7D4C" w:rsidRDefault="000D084A">
            <w:pPr>
              <w:jc w:val="left"/>
              <w:rPr>
                <w:lang w:val="en-GB"/>
              </w:rPr>
            </w:pPr>
          </w:p>
        </w:tc>
      </w:tr>
      <w:tr w:rsidR="004D7D4C" w:rsidTr="00667854">
        <w:tc>
          <w:tcPr>
            <w:tcW w:w="567" w:type="dxa"/>
          </w:tcPr>
          <w:p w:rsidRPr="004D7D4C" w:rsidR="004D7D4C" w:rsidP="004D7D4C" w:rsidRDefault="004D7D4C">
            <w:pPr>
              <w:pStyle w:val="ListParagraph"/>
              <w:numPr>
                <w:ilvl w:val="0"/>
                <w:numId w:val="24"/>
              </w:numPr>
              <w:tabs>
                <w:tab w:val="num" w:pos="283"/>
              </w:tabs>
              <w:ind w:left="0" w:firstLine="0"/>
              <w:jc w:val="left"/>
              <w:rPr>
                <w:lang w:val="en-GB"/>
              </w:rPr>
            </w:pPr>
          </w:p>
        </w:tc>
        <w:tc>
          <w:tcPr>
            <w:tcW w:w="1418" w:type="dxa"/>
          </w:tcPr>
          <w:p w:rsidR="004D7D4C" w:rsidP="004D7D4C" w:rsidRDefault="004D7D4C">
            <w:pPr>
              <w:jc w:val="left"/>
            </w:pPr>
            <w:r>
              <w:t>48809/07</w:t>
            </w:r>
          </w:p>
        </w:tc>
        <w:tc>
          <w:tcPr>
            <w:tcW w:w="1843" w:type="dxa"/>
          </w:tcPr>
          <w:p w:rsidR="004D7D4C" w:rsidP="004D7D4C" w:rsidRDefault="004D7D4C">
            <w:pPr>
              <w:jc w:val="left"/>
            </w:pPr>
            <w:r>
              <w:t>08/10/2007</w:t>
            </w:r>
          </w:p>
          <w:p w:rsidR="00A7005F" w:rsidP="004D7D4C" w:rsidRDefault="00A7005F">
            <w:pPr>
              <w:jc w:val="left"/>
            </w:pPr>
          </w:p>
          <w:p w:rsidR="00A7005F" w:rsidP="004D7D4C" w:rsidRDefault="00A7005F">
            <w:pPr>
              <w:jc w:val="left"/>
            </w:pPr>
            <w:r w:rsidRPr="00A7005F">
              <w:rPr>
                <w:lang w:val="en-US"/>
              </w:rPr>
              <w:t>13/12/2012</w:t>
            </w:r>
          </w:p>
        </w:tc>
        <w:tc>
          <w:tcPr>
            <w:tcW w:w="2126" w:type="dxa"/>
          </w:tcPr>
          <w:p w:rsidR="0030794A" w:rsidP="004D7D4C" w:rsidRDefault="004D7D4C">
            <w:pPr>
              <w:jc w:val="left"/>
              <w:rPr>
                <w:b/>
              </w:rPr>
            </w:pPr>
            <w:proofErr w:type="spellStart"/>
            <w:r>
              <w:rPr>
                <w:b/>
              </w:rPr>
              <w:t>Nikolay</w:t>
            </w:r>
            <w:proofErr w:type="spellEnd"/>
            <w:r>
              <w:rPr>
                <w:b/>
              </w:rPr>
              <w:t xml:space="preserve"> </w:t>
            </w:r>
            <w:proofErr w:type="spellStart"/>
            <w:r>
              <w:rPr>
                <w:b/>
              </w:rPr>
              <w:t>Borisovich</w:t>
            </w:r>
            <w:proofErr w:type="spellEnd"/>
            <w:r>
              <w:rPr>
                <w:b/>
              </w:rPr>
              <w:t xml:space="preserve"> MAKAROV</w:t>
            </w:r>
          </w:p>
          <w:p w:rsidR="004D7D4C" w:rsidP="004D7D4C" w:rsidRDefault="004D7D4C">
            <w:pPr>
              <w:jc w:val="left"/>
            </w:pPr>
            <w:r>
              <w:t>01/01/1965</w:t>
            </w:r>
          </w:p>
          <w:p w:rsidR="004D7D4C" w:rsidP="004D7D4C" w:rsidRDefault="00FB4618">
            <w:pPr>
              <w:jc w:val="left"/>
            </w:pPr>
            <w:proofErr w:type="spellStart"/>
            <w:r>
              <w:t>Chelyabinsk</w:t>
            </w:r>
            <w:proofErr w:type="spellEnd"/>
          </w:p>
          <w:p w:rsidRPr="004D7D4C" w:rsidR="004D7D4C" w:rsidP="004D7D4C" w:rsidRDefault="004D7D4C">
            <w:pPr>
              <w:jc w:val="left"/>
            </w:pPr>
          </w:p>
        </w:tc>
        <w:tc>
          <w:tcPr>
            <w:tcW w:w="1843" w:type="dxa"/>
          </w:tcPr>
          <w:p w:rsidR="004D7D4C" w:rsidP="004D7D4C" w:rsidRDefault="004D7D4C">
            <w:pPr>
              <w:jc w:val="left"/>
            </w:pPr>
            <w:r>
              <w:t xml:space="preserve">Kirill </w:t>
            </w:r>
            <w:proofErr w:type="spellStart"/>
            <w:r>
              <w:t>Borisovich</w:t>
            </w:r>
            <w:proofErr w:type="spellEnd"/>
            <w:r>
              <w:t xml:space="preserve"> POLOZOV</w:t>
            </w:r>
          </w:p>
        </w:tc>
        <w:tc>
          <w:tcPr>
            <w:tcW w:w="1842" w:type="dxa"/>
          </w:tcPr>
          <w:p w:rsidR="004D7D4C" w:rsidP="004D7D4C" w:rsidRDefault="000D084A">
            <w:pPr>
              <w:jc w:val="left"/>
              <w:rPr>
                <w:lang w:val="en-GB"/>
              </w:rPr>
            </w:pPr>
            <w:r>
              <w:rPr>
                <w:lang w:val="en-GB"/>
              </w:rPr>
              <w:t>Chelyabinsk Regional Court, 15/05/2007</w:t>
            </w:r>
          </w:p>
        </w:tc>
      </w:tr>
      <w:tr w:rsidR="004D7D4C" w:rsidTr="00667854">
        <w:tc>
          <w:tcPr>
            <w:tcW w:w="567" w:type="dxa"/>
          </w:tcPr>
          <w:p w:rsidRPr="004D7D4C" w:rsidR="004D7D4C" w:rsidP="004D7D4C" w:rsidRDefault="004D7D4C">
            <w:pPr>
              <w:pStyle w:val="ListParagraph"/>
              <w:numPr>
                <w:ilvl w:val="0"/>
                <w:numId w:val="24"/>
              </w:numPr>
              <w:tabs>
                <w:tab w:val="num" w:pos="283"/>
              </w:tabs>
              <w:ind w:left="0" w:firstLine="0"/>
              <w:jc w:val="left"/>
              <w:rPr>
                <w:lang w:val="en-GB"/>
              </w:rPr>
            </w:pPr>
          </w:p>
        </w:tc>
        <w:tc>
          <w:tcPr>
            <w:tcW w:w="1418" w:type="dxa"/>
          </w:tcPr>
          <w:p w:rsidR="004D7D4C" w:rsidP="004D7D4C" w:rsidRDefault="004D7D4C">
            <w:pPr>
              <w:jc w:val="left"/>
            </w:pPr>
            <w:r>
              <w:t>52271/07</w:t>
            </w:r>
          </w:p>
        </w:tc>
        <w:tc>
          <w:tcPr>
            <w:tcW w:w="1843" w:type="dxa"/>
          </w:tcPr>
          <w:p w:rsidR="004D7D4C" w:rsidP="004D7D4C" w:rsidRDefault="004D7D4C">
            <w:pPr>
              <w:jc w:val="left"/>
            </w:pPr>
            <w:r>
              <w:t>12/11/2007</w:t>
            </w:r>
          </w:p>
          <w:p w:rsidR="00A7005F" w:rsidP="004D7D4C" w:rsidRDefault="00A7005F">
            <w:pPr>
              <w:jc w:val="left"/>
            </w:pPr>
          </w:p>
          <w:p w:rsidR="00A7005F" w:rsidP="004D7D4C" w:rsidRDefault="00A7005F">
            <w:pPr>
              <w:jc w:val="left"/>
            </w:pPr>
            <w:r>
              <w:t>25/11/2010</w:t>
            </w:r>
          </w:p>
        </w:tc>
        <w:tc>
          <w:tcPr>
            <w:tcW w:w="2126" w:type="dxa"/>
          </w:tcPr>
          <w:p w:rsidR="0030794A" w:rsidP="004D7D4C" w:rsidRDefault="004D7D4C">
            <w:pPr>
              <w:jc w:val="left"/>
              <w:rPr>
                <w:b/>
              </w:rPr>
            </w:pPr>
            <w:r>
              <w:rPr>
                <w:b/>
              </w:rPr>
              <w:t xml:space="preserve">Anton </w:t>
            </w:r>
            <w:proofErr w:type="spellStart"/>
            <w:r>
              <w:rPr>
                <w:b/>
              </w:rPr>
              <w:t>Viktorovich</w:t>
            </w:r>
            <w:proofErr w:type="spellEnd"/>
            <w:r>
              <w:rPr>
                <w:b/>
              </w:rPr>
              <w:t xml:space="preserve"> PLATONOV</w:t>
            </w:r>
          </w:p>
          <w:p w:rsidR="004D7D4C" w:rsidP="004D7D4C" w:rsidRDefault="004D7D4C">
            <w:pPr>
              <w:jc w:val="left"/>
            </w:pPr>
            <w:r>
              <w:t>01/03/1987</w:t>
            </w:r>
          </w:p>
          <w:p w:rsidR="004D7D4C" w:rsidP="004D7D4C" w:rsidRDefault="00FB4618">
            <w:pPr>
              <w:jc w:val="left"/>
            </w:pPr>
            <w:proofErr w:type="spellStart"/>
            <w:r>
              <w:t>Chelyabinsk</w:t>
            </w:r>
            <w:proofErr w:type="spellEnd"/>
          </w:p>
          <w:p w:rsidRPr="004D7D4C" w:rsidR="004D7D4C" w:rsidP="004D7D4C" w:rsidRDefault="004D7D4C">
            <w:pPr>
              <w:jc w:val="left"/>
            </w:pPr>
          </w:p>
        </w:tc>
        <w:tc>
          <w:tcPr>
            <w:tcW w:w="1843" w:type="dxa"/>
          </w:tcPr>
          <w:p w:rsidR="004D7D4C" w:rsidP="004D7D4C" w:rsidRDefault="004D7D4C">
            <w:pPr>
              <w:jc w:val="left"/>
            </w:pPr>
            <w:r>
              <w:t xml:space="preserve">Yuriy </w:t>
            </w:r>
            <w:proofErr w:type="spellStart"/>
            <w:r>
              <w:t>Semenovich</w:t>
            </w:r>
            <w:proofErr w:type="spellEnd"/>
            <w:r>
              <w:t xml:space="preserve"> TURBIN</w:t>
            </w:r>
          </w:p>
        </w:tc>
        <w:tc>
          <w:tcPr>
            <w:tcW w:w="1842" w:type="dxa"/>
          </w:tcPr>
          <w:p w:rsidR="004D7D4C" w:rsidP="004D7D4C" w:rsidRDefault="000D084A">
            <w:pPr>
              <w:jc w:val="left"/>
              <w:rPr>
                <w:lang w:val="en-GB"/>
              </w:rPr>
            </w:pPr>
            <w:r w:rsidRPr="000D084A">
              <w:rPr>
                <w:lang w:val="en-GB"/>
              </w:rPr>
              <w:t>Chelyabinsk Regional Court,</w:t>
            </w:r>
            <w:r>
              <w:rPr>
                <w:lang w:val="en-GB"/>
              </w:rPr>
              <w:t xml:space="preserve"> 08/06/2007</w:t>
            </w:r>
          </w:p>
        </w:tc>
      </w:tr>
      <w:tr w:rsidR="004D7D4C" w:rsidTr="00667854">
        <w:tc>
          <w:tcPr>
            <w:tcW w:w="567" w:type="dxa"/>
          </w:tcPr>
          <w:p w:rsidRPr="004D7D4C" w:rsidR="004D7D4C" w:rsidP="004D7D4C" w:rsidRDefault="004D7D4C">
            <w:pPr>
              <w:pStyle w:val="ListParagraph"/>
              <w:numPr>
                <w:ilvl w:val="0"/>
                <w:numId w:val="24"/>
              </w:numPr>
              <w:tabs>
                <w:tab w:val="num" w:pos="283"/>
              </w:tabs>
              <w:ind w:left="0" w:firstLine="0"/>
              <w:jc w:val="left"/>
              <w:rPr>
                <w:lang w:val="en-GB"/>
              </w:rPr>
            </w:pPr>
          </w:p>
        </w:tc>
        <w:tc>
          <w:tcPr>
            <w:tcW w:w="1418" w:type="dxa"/>
          </w:tcPr>
          <w:p w:rsidR="004D7D4C" w:rsidP="004D7D4C" w:rsidRDefault="004D7D4C">
            <w:pPr>
              <w:jc w:val="left"/>
            </w:pPr>
            <w:r>
              <w:t>54706/07</w:t>
            </w:r>
          </w:p>
        </w:tc>
        <w:tc>
          <w:tcPr>
            <w:tcW w:w="1843" w:type="dxa"/>
          </w:tcPr>
          <w:p w:rsidR="004D7D4C" w:rsidP="004D7D4C" w:rsidRDefault="004D7D4C">
            <w:pPr>
              <w:jc w:val="left"/>
            </w:pPr>
            <w:r>
              <w:t>22/11/2007</w:t>
            </w:r>
          </w:p>
          <w:p w:rsidR="00A7005F" w:rsidP="004D7D4C" w:rsidRDefault="00A7005F">
            <w:pPr>
              <w:jc w:val="left"/>
            </w:pPr>
          </w:p>
          <w:p w:rsidR="00A7005F" w:rsidP="004D7D4C" w:rsidRDefault="00A7005F">
            <w:pPr>
              <w:jc w:val="left"/>
            </w:pPr>
            <w:r>
              <w:t>16/01/2013</w:t>
            </w:r>
          </w:p>
        </w:tc>
        <w:tc>
          <w:tcPr>
            <w:tcW w:w="2126" w:type="dxa"/>
          </w:tcPr>
          <w:p w:rsidR="0030794A" w:rsidP="004D7D4C" w:rsidRDefault="004D7D4C">
            <w:pPr>
              <w:jc w:val="left"/>
              <w:rPr>
                <w:b/>
              </w:rPr>
            </w:pPr>
            <w:proofErr w:type="spellStart"/>
            <w:r>
              <w:rPr>
                <w:b/>
              </w:rPr>
              <w:t>Sergey</w:t>
            </w:r>
            <w:proofErr w:type="spellEnd"/>
            <w:r>
              <w:rPr>
                <w:b/>
              </w:rPr>
              <w:t xml:space="preserve"> </w:t>
            </w:r>
            <w:proofErr w:type="spellStart"/>
            <w:r>
              <w:rPr>
                <w:b/>
              </w:rPr>
              <w:t>Vikentyevich</w:t>
            </w:r>
            <w:proofErr w:type="spellEnd"/>
            <w:r>
              <w:rPr>
                <w:b/>
              </w:rPr>
              <w:t xml:space="preserve"> KRIVDA</w:t>
            </w:r>
          </w:p>
          <w:p w:rsidR="004D7D4C" w:rsidP="004D7D4C" w:rsidRDefault="004D7D4C">
            <w:pPr>
              <w:jc w:val="left"/>
            </w:pPr>
            <w:r>
              <w:t>22/10/1980</w:t>
            </w:r>
          </w:p>
          <w:p w:rsidR="004D7D4C" w:rsidP="004D7D4C" w:rsidRDefault="004D7D4C">
            <w:pPr>
              <w:jc w:val="left"/>
            </w:pPr>
            <w:proofErr w:type="spellStart"/>
            <w:r>
              <w:t>Tyumen</w:t>
            </w:r>
            <w:proofErr w:type="spellEnd"/>
          </w:p>
          <w:p w:rsidRPr="004D7D4C" w:rsidR="004D7D4C" w:rsidP="004D7D4C" w:rsidRDefault="004D7D4C">
            <w:pPr>
              <w:jc w:val="left"/>
            </w:pPr>
          </w:p>
        </w:tc>
        <w:tc>
          <w:tcPr>
            <w:tcW w:w="1843" w:type="dxa"/>
          </w:tcPr>
          <w:p w:rsidR="004D7D4C" w:rsidP="004D7D4C" w:rsidRDefault="004D7D4C">
            <w:pPr>
              <w:jc w:val="left"/>
            </w:pPr>
          </w:p>
        </w:tc>
        <w:tc>
          <w:tcPr>
            <w:tcW w:w="1842" w:type="dxa"/>
          </w:tcPr>
          <w:p w:rsidR="004D7D4C" w:rsidP="004D7D4C" w:rsidRDefault="000D084A">
            <w:pPr>
              <w:jc w:val="left"/>
              <w:rPr>
                <w:lang w:val="en-GB"/>
              </w:rPr>
            </w:pPr>
            <w:proofErr w:type="spellStart"/>
            <w:r>
              <w:rPr>
                <w:lang w:val="en-GB"/>
              </w:rPr>
              <w:t>Tymen</w:t>
            </w:r>
            <w:proofErr w:type="spellEnd"/>
            <w:r w:rsidR="00667854">
              <w:rPr>
                <w:lang w:val="en-GB"/>
              </w:rPr>
              <w:t xml:space="preserve"> Regional Court, 13/06/2013 (re</w:t>
            </w:r>
            <w:r w:rsidR="00667854">
              <w:rPr>
                <w:lang w:val="en-GB"/>
              </w:rPr>
              <w:noBreakHyphen/>
            </w:r>
            <w:r>
              <w:rPr>
                <w:lang w:val="en-GB"/>
              </w:rPr>
              <w:t>examination proceedings)</w:t>
            </w:r>
          </w:p>
        </w:tc>
        <w:bookmarkStart w:name="TableEnd" w:id="5"/>
        <w:bookmarkEnd w:id="5"/>
      </w:tr>
    </w:tbl>
    <w:p w:rsidRPr="00667854" w:rsidR="004D15F3" w:rsidP="00436307" w:rsidRDefault="004D15F3"/>
    <w:sectPr w:rsidRPr="00667854" w:rsidR="004D15F3" w:rsidSect="001421D4">
      <w:headerReference w:type="even" r:id="rId11"/>
      <w:headerReference w:type="default" r:id="rId12"/>
      <w:footnotePr>
        <w:numRestart w:val="eachPage"/>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A15" w:rsidRDefault="00393A15" w:rsidP="00014566">
      <w:r>
        <w:separator/>
      </w:r>
    </w:p>
  </w:endnote>
  <w:endnote w:type="continuationSeparator" w:id="0">
    <w:p w:rsidR="00393A15" w:rsidRDefault="00393A15" w:rsidP="00014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1D4" w:rsidRPr="00150BFA" w:rsidRDefault="001421D4" w:rsidP="0020718E">
    <w:pPr>
      <w:jc w:val="center"/>
    </w:pPr>
    <w:r>
      <w:rPr>
        <w:noProof/>
        <w:lang w:eastAsia="ja-JP"/>
      </w:rPr>
      <w:drawing>
        <wp:inline distT="0" distB="0" distL="0" distR="0" wp14:anchorId="5734E593" wp14:editId="235814F1">
          <wp:extent cx="771525" cy="619125"/>
          <wp:effectExtent l="0" t="0" r="9525" b="9525"/>
          <wp:docPr id="21" name="Picture 21"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1421D4" w:rsidRDefault="001421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A15" w:rsidRDefault="00393A15" w:rsidP="00014566">
      <w:r>
        <w:separator/>
      </w:r>
    </w:p>
  </w:footnote>
  <w:footnote w:type="continuationSeparator" w:id="0">
    <w:p w:rsidR="00393A15" w:rsidRDefault="00393A15" w:rsidP="000145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A15" w:rsidRPr="001421D4" w:rsidRDefault="00393A15" w:rsidP="001421D4">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1D4" w:rsidRPr="00A45145" w:rsidRDefault="001421D4" w:rsidP="00A45145">
    <w:pPr>
      <w:jc w:val="center"/>
    </w:pPr>
    <w:r>
      <w:rPr>
        <w:noProof/>
        <w:lang w:eastAsia="ja-JP"/>
      </w:rPr>
      <w:drawing>
        <wp:inline distT="0" distB="0" distL="0" distR="0" wp14:anchorId="51C37BD2" wp14:editId="5371FE48">
          <wp:extent cx="2962275" cy="1219200"/>
          <wp:effectExtent l="0" t="0" r="9525" b="0"/>
          <wp:docPr id="20" name="Picture 20"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1421D4" w:rsidRDefault="001421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1D4" w:rsidRPr="00FF2306" w:rsidRDefault="001421D4"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B033EC">
      <w:rPr>
        <w:rStyle w:val="PageNumber"/>
        <w:noProof/>
        <w:szCs w:val="18"/>
        <w:lang w:val="en-GB"/>
      </w:rPr>
      <w:t>8</w:t>
    </w:r>
    <w:r>
      <w:rPr>
        <w:rStyle w:val="PageNumber"/>
        <w:szCs w:val="18"/>
        <w:lang w:val="en-GB"/>
      </w:rPr>
      <w:fldChar w:fldCharType="end"/>
    </w:r>
    <w:r w:rsidRPr="00FF2306">
      <w:rPr>
        <w:lang w:val="en-GB"/>
      </w:rPr>
      <w:tab/>
    </w:r>
    <w:r>
      <w:rPr>
        <w:lang w:val="en-GB"/>
      </w:rPr>
      <w:t xml:space="preserve">SERGEY LEBEDEV </w:t>
    </w:r>
    <w:r w:rsidRPr="003F6C82">
      <w:rPr>
        <w:lang w:val="en-GB"/>
      </w:rPr>
      <w:t xml:space="preserve">AND OTHER </w:t>
    </w:r>
    <w:r w:rsidR="00AE0755" w:rsidRPr="00AE0755">
      <w:rPr>
        <w:lang w:val="en-GB"/>
      </w:rPr>
      <w:t xml:space="preserve">APPLICATIONS </w:t>
    </w:r>
    <w:r>
      <w:rPr>
        <w:lang w:val="en-GB"/>
      </w:rPr>
      <w:t>v. RUSSIA</w:t>
    </w:r>
    <w:r w:rsidRPr="00FF2306">
      <w:rPr>
        <w:lang w:val="en-GB"/>
      </w:rPr>
      <w:t xml:space="preserve"> </w:t>
    </w:r>
    <w:r>
      <w:rPr>
        <w:lang w:val="en-GB"/>
      </w:rPr>
      <w:t>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1D4" w:rsidRPr="00D60D87" w:rsidRDefault="001421D4" w:rsidP="00D60D87">
    <w:pPr>
      <w:pStyle w:val="ECHRHeader"/>
      <w:rPr>
        <w:lang w:val="en-GB"/>
      </w:rPr>
    </w:pPr>
    <w:r w:rsidRPr="00D60D87">
      <w:rPr>
        <w:lang w:val="en-GB"/>
      </w:rPr>
      <w:tab/>
    </w:r>
    <w:r w:rsidR="00AE0755">
      <w:rPr>
        <w:lang w:val="en-GB"/>
      </w:rPr>
      <w:t>SERGEY LEBEDEV AND OTHER APPLICATIONS</w:t>
    </w:r>
    <w:r>
      <w:rPr>
        <w:lang w:val="en-GB"/>
      </w:rPr>
      <w:t xml:space="preserve"> v. RUSSIA</w:t>
    </w:r>
    <w:r w:rsidRPr="00D60D87">
      <w:rPr>
        <w:lang w:val="en-GB"/>
      </w:rPr>
      <w:t xml:space="preserve"> </w:t>
    </w:r>
    <w:r>
      <w:rPr>
        <w:lang w:val="en-GB"/>
      </w:rPr>
      <w:t>JUDGMENT</w:t>
    </w:r>
    <w:r w:rsidRPr="00D60D87">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B033EC">
      <w:rPr>
        <w:rStyle w:val="PageNumber"/>
        <w:noProof/>
        <w:szCs w:val="18"/>
        <w:lang w:val="en-GB"/>
      </w:rPr>
      <w:t>1</w:t>
    </w:r>
    <w:r>
      <w:rPr>
        <w:rStyle w:val="PageNumber"/>
        <w:szCs w:val="18"/>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03214980"/>
    <w:multiLevelType w:val="hybridMultilevel"/>
    <w:tmpl w:val="E084B848"/>
    <w:lvl w:ilvl="0" w:tplc="9918D98A">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9084CE6"/>
    <w:multiLevelType w:val="hybridMultilevel"/>
    <w:tmpl w:val="B4F6B524"/>
    <w:lvl w:ilvl="0" w:tplc="9918D98A">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nsid w:val="2AF7039A"/>
    <w:multiLevelType w:val="multilevel"/>
    <w:tmpl w:val="9B34AC6C"/>
    <w:lvl w:ilvl="0">
      <w:start w:val="1"/>
      <w:numFmt w:val="decimal"/>
      <w:lvlText w:val="%1."/>
      <w:lvlJc w:val="left"/>
      <w:pPr>
        <w:tabs>
          <w:tab w:val="num" w:pos="964"/>
        </w:tabs>
        <w:ind w:left="964" w:hanging="397"/>
      </w:pPr>
      <w:rPr>
        <w:rFonts w:hint="default"/>
      </w:rPr>
    </w:lvl>
    <w:lvl w:ilvl="1">
      <w:start w:val="1"/>
      <w:numFmt w:val="lowerLetter"/>
      <w:lvlText w:val="%2."/>
      <w:lvlJc w:val="left"/>
      <w:pPr>
        <w:tabs>
          <w:tab w:val="num" w:pos="1361"/>
        </w:tabs>
        <w:ind w:left="1361" w:hanging="397"/>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703"/>
        </w:tabs>
        <w:ind w:left="1703" w:hanging="284"/>
      </w:pPr>
      <w:rPr>
        <w:rFonts w:hint="default"/>
      </w:rPr>
    </w:lvl>
    <w:lvl w:ilvl="4">
      <w:start w:val="1"/>
      <w:numFmt w:val="lowerLetter"/>
      <w:lvlText w:val="(%5)"/>
      <w:lvlJc w:val="left"/>
      <w:pPr>
        <w:tabs>
          <w:tab w:val="num" w:pos="1987"/>
        </w:tabs>
        <w:ind w:left="1987" w:hanging="284"/>
      </w:pPr>
      <w:rPr>
        <w:rFonts w:hint="default"/>
      </w:rPr>
    </w:lvl>
    <w:lvl w:ilvl="5">
      <w:start w:val="1"/>
      <w:numFmt w:val="lowerRoman"/>
      <w:lvlText w:val="(%6)"/>
      <w:lvlJc w:val="left"/>
      <w:pPr>
        <w:tabs>
          <w:tab w:val="num" w:pos="2271"/>
        </w:tabs>
        <w:ind w:left="2271" w:hanging="284"/>
      </w:pPr>
      <w:rPr>
        <w:rFonts w:hint="default"/>
      </w:rPr>
    </w:lvl>
    <w:lvl w:ilvl="6">
      <w:start w:val="1"/>
      <w:numFmt w:val="decimal"/>
      <w:lvlText w:val="%7."/>
      <w:lvlJc w:val="left"/>
      <w:pPr>
        <w:tabs>
          <w:tab w:val="num" w:pos="2555"/>
        </w:tabs>
        <w:ind w:left="2555" w:hanging="284"/>
      </w:pPr>
      <w:rPr>
        <w:rFonts w:hint="default"/>
      </w:rPr>
    </w:lvl>
    <w:lvl w:ilvl="7">
      <w:start w:val="1"/>
      <w:numFmt w:val="lowerLetter"/>
      <w:lvlText w:val="%8."/>
      <w:lvlJc w:val="left"/>
      <w:pPr>
        <w:tabs>
          <w:tab w:val="num" w:pos="2839"/>
        </w:tabs>
        <w:ind w:left="2839" w:hanging="284"/>
      </w:pPr>
      <w:rPr>
        <w:rFonts w:hint="default"/>
      </w:rPr>
    </w:lvl>
    <w:lvl w:ilvl="8">
      <w:start w:val="1"/>
      <w:numFmt w:val="lowerRoman"/>
      <w:lvlText w:val="%9."/>
      <w:lvlJc w:val="left"/>
      <w:pPr>
        <w:tabs>
          <w:tab w:val="num" w:pos="3123"/>
        </w:tabs>
        <w:ind w:left="3123" w:hanging="284"/>
      </w:pPr>
      <w:rPr>
        <w:rFonts w:hint="default"/>
      </w:rPr>
    </w:lvl>
  </w:abstractNum>
  <w:abstractNum w:abstractNumId="14">
    <w:nsid w:val="388D47DE"/>
    <w:multiLevelType w:val="multilevel"/>
    <w:tmpl w:val="8012C870"/>
    <w:lvl w:ilvl="0">
      <w:start w:val="1"/>
      <w:numFmt w:val="decimal"/>
      <w:lvlText w:val="%1."/>
      <w:lvlJc w:val="left"/>
      <w:pPr>
        <w:ind w:left="992" w:hanging="425"/>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492F51A1"/>
    <w:multiLevelType w:val="multilevel"/>
    <w:tmpl w:val="F842BC8C"/>
    <w:lvl w:ilvl="0">
      <w:start w:val="1"/>
      <w:numFmt w:val="bullet"/>
      <w:lvlText w:val=""/>
      <w:lvlJc w:val="left"/>
      <w:pPr>
        <w:tabs>
          <w:tab w:val="num" w:pos="851"/>
        </w:tabs>
        <w:ind w:left="851" w:hanging="284"/>
      </w:pPr>
      <w:rPr>
        <w:rFonts w:ascii="Wingdings" w:hAnsi="Wingdings" w:hint="default"/>
        <w:color w:val="0072BC" w:themeColor="background1"/>
      </w:rPr>
    </w:lvl>
    <w:lvl w:ilvl="1">
      <w:start w:val="1"/>
      <w:numFmt w:val="bullet"/>
      <w:lvlText w:val=""/>
      <w:lvlJc w:val="left"/>
      <w:pPr>
        <w:tabs>
          <w:tab w:val="num" w:pos="1134"/>
        </w:tabs>
        <w:ind w:left="1135" w:hanging="284"/>
      </w:pPr>
      <w:rPr>
        <w:rFonts w:ascii="Wingdings" w:hAnsi="Wingdings" w:hint="default"/>
        <w:color w:val="0072BC" w:themeColor="background1"/>
      </w:rPr>
    </w:lvl>
    <w:lvl w:ilvl="2">
      <w:start w:val="1"/>
      <w:numFmt w:val="bullet"/>
      <w:lvlText w:val=""/>
      <w:lvlJc w:val="left"/>
      <w:pPr>
        <w:tabs>
          <w:tab w:val="num" w:pos="1418"/>
        </w:tabs>
        <w:ind w:left="1419" w:hanging="284"/>
      </w:pPr>
      <w:rPr>
        <w:rFonts w:ascii="Wingdings" w:hAnsi="Wingdings" w:hint="default"/>
        <w:color w:val="7F7F7F" w:themeColor="text1" w:themeTint="80"/>
      </w:rPr>
    </w:lvl>
    <w:lvl w:ilvl="3">
      <w:start w:val="1"/>
      <w:numFmt w:val="bullet"/>
      <w:lvlText w:val=""/>
      <w:lvlJc w:val="left"/>
      <w:pPr>
        <w:tabs>
          <w:tab w:val="num" w:pos="1701"/>
        </w:tabs>
        <w:ind w:left="1703" w:hanging="284"/>
      </w:pPr>
      <w:rPr>
        <w:rFonts w:ascii="Wingdings" w:hAnsi="Wingdings" w:hint="default"/>
        <w:color w:val="7F7F7F" w:themeColor="text1" w:themeTint="80"/>
      </w:rPr>
    </w:lvl>
    <w:lvl w:ilvl="4">
      <w:start w:val="1"/>
      <w:numFmt w:val="bullet"/>
      <w:lvlText w:val=""/>
      <w:lvlJc w:val="left"/>
      <w:pPr>
        <w:tabs>
          <w:tab w:val="num" w:pos="1760"/>
        </w:tabs>
        <w:ind w:left="1987" w:hanging="284"/>
      </w:pPr>
      <w:rPr>
        <w:rFonts w:ascii="Wingdings" w:hAnsi="Wingdings" w:hint="default"/>
        <w:color w:val="0072BC" w:themeColor="background1"/>
      </w:rPr>
    </w:lvl>
    <w:lvl w:ilvl="5">
      <w:start w:val="1"/>
      <w:numFmt w:val="bullet"/>
      <w:lvlText w:val=""/>
      <w:lvlJc w:val="left"/>
      <w:pPr>
        <w:tabs>
          <w:tab w:val="num" w:pos="2044"/>
        </w:tabs>
        <w:ind w:left="2271" w:hanging="284"/>
      </w:pPr>
      <w:rPr>
        <w:rFonts w:ascii="Wingdings" w:hAnsi="Wingdings" w:hint="default"/>
        <w:color w:val="5F5F5F" w:themeColor="accent5"/>
      </w:rPr>
    </w:lvl>
    <w:lvl w:ilvl="6">
      <w:start w:val="1"/>
      <w:numFmt w:val="bullet"/>
      <w:lvlText w:val=""/>
      <w:lvlJc w:val="left"/>
      <w:pPr>
        <w:tabs>
          <w:tab w:val="num" w:pos="2328"/>
        </w:tabs>
        <w:ind w:left="2555" w:hanging="284"/>
      </w:pPr>
      <w:rPr>
        <w:rFonts w:ascii="Symbol" w:hAnsi="Symbol" w:hint="default"/>
      </w:rPr>
    </w:lvl>
    <w:lvl w:ilvl="7">
      <w:start w:val="1"/>
      <w:numFmt w:val="bullet"/>
      <w:lvlText w:val="o"/>
      <w:lvlJc w:val="left"/>
      <w:pPr>
        <w:tabs>
          <w:tab w:val="num" w:pos="2612"/>
        </w:tabs>
        <w:ind w:left="2839" w:hanging="284"/>
      </w:pPr>
      <w:rPr>
        <w:rFonts w:ascii="Courier New" w:hAnsi="Courier New" w:hint="default"/>
      </w:rPr>
    </w:lvl>
    <w:lvl w:ilvl="8">
      <w:start w:val="1"/>
      <w:numFmt w:val="bullet"/>
      <w:lvlText w:val=""/>
      <w:lvlJc w:val="left"/>
      <w:pPr>
        <w:tabs>
          <w:tab w:val="num" w:pos="2896"/>
        </w:tabs>
        <w:ind w:left="3123" w:hanging="284"/>
      </w:pPr>
      <w:rPr>
        <w:rFonts w:ascii="Wingdings" w:hAnsi="Wingdings" w:hint="default"/>
      </w:rPr>
    </w:lvl>
  </w:abstractNum>
  <w:abstractNum w:abstractNumId="16">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7">
    <w:nsid w:val="71D13E41"/>
    <w:multiLevelType w:val="hybridMultilevel"/>
    <w:tmpl w:val="1242E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903243"/>
    <w:multiLevelType w:val="multilevel"/>
    <w:tmpl w:val="E884A926"/>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7737461D"/>
    <w:multiLevelType w:val="multilevel"/>
    <w:tmpl w:val="040C0023"/>
    <w:styleLink w:val="ArticleSection"/>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5"/>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3"/>
  </w:num>
  <w:num w:numId="6">
    <w:abstractNumId w:val="15"/>
  </w:num>
  <w:num w:numId="7">
    <w:abstractNumId w:val="13"/>
  </w:num>
  <w:num w:numId="8">
    <w:abstractNumId w:val="16"/>
  </w:num>
  <w:num w:numId="9">
    <w:abstractNumId w:val="11"/>
  </w:num>
  <w:num w:numId="10">
    <w:abstractNumId w:val="9"/>
  </w:num>
  <w:num w:numId="11">
    <w:abstractNumId w:val="1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8"/>
  </w:num>
  <w:num w:numId="22">
    <w:abstractNumId w:val="10"/>
  </w:num>
  <w:num w:numId="23">
    <w:abstractNumId w:val="12"/>
  </w:num>
  <w:num w:numId="24">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Application" w:val="4"/>
    <w:docVar w:name="NBEMMDOC" w:val="0"/>
    <w:docVar w:name="SignForeName" w:val="0"/>
  </w:docVars>
  <w:rsids>
    <w:rsidRoot w:val="009A7F71"/>
    <w:rsid w:val="000041F8"/>
    <w:rsid w:val="000042A8"/>
    <w:rsid w:val="00004308"/>
    <w:rsid w:val="00005BF0"/>
    <w:rsid w:val="00007154"/>
    <w:rsid w:val="000103AE"/>
    <w:rsid w:val="00011D69"/>
    <w:rsid w:val="00012AD3"/>
    <w:rsid w:val="00014566"/>
    <w:rsid w:val="00015C2D"/>
    <w:rsid w:val="00015F00"/>
    <w:rsid w:val="00021A29"/>
    <w:rsid w:val="00022C1D"/>
    <w:rsid w:val="00034987"/>
    <w:rsid w:val="000602DF"/>
    <w:rsid w:val="00061B05"/>
    <w:rsid w:val="00062973"/>
    <w:rsid w:val="00062D5D"/>
    <w:rsid w:val="000632D5"/>
    <w:rsid w:val="000644EE"/>
    <w:rsid w:val="00082533"/>
    <w:rsid w:val="000925AD"/>
    <w:rsid w:val="000A24EB"/>
    <w:rsid w:val="000B3564"/>
    <w:rsid w:val="000B6923"/>
    <w:rsid w:val="000C033C"/>
    <w:rsid w:val="000C5F3C"/>
    <w:rsid w:val="000C6DCC"/>
    <w:rsid w:val="000D084A"/>
    <w:rsid w:val="000D47AA"/>
    <w:rsid w:val="000D721F"/>
    <w:rsid w:val="000E069B"/>
    <w:rsid w:val="000E0E82"/>
    <w:rsid w:val="000E1DC5"/>
    <w:rsid w:val="000E223F"/>
    <w:rsid w:val="000E7D45"/>
    <w:rsid w:val="000F7851"/>
    <w:rsid w:val="00104E23"/>
    <w:rsid w:val="00111B0C"/>
    <w:rsid w:val="00120D6C"/>
    <w:rsid w:val="001257EC"/>
    <w:rsid w:val="00132C6A"/>
    <w:rsid w:val="00133D33"/>
    <w:rsid w:val="00134D64"/>
    <w:rsid w:val="00135A30"/>
    <w:rsid w:val="0013612C"/>
    <w:rsid w:val="00137FF6"/>
    <w:rsid w:val="00141650"/>
    <w:rsid w:val="001421D4"/>
    <w:rsid w:val="00162A12"/>
    <w:rsid w:val="00166530"/>
    <w:rsid w:val="001832BD"/>
    <w:rsid w:val="001943B5"/>
    <w:rsid w:val="00195134"/>
    <w:rsid w:val="001A145B"/>
    <w:rsid w:val="001A674C"/>
    <w:rsid w:val="001B3B24"/>
    <w:rsid w:val="001C0F98"/>
    <w:rsid w:val="001C2A42"/>
    <w:rsid w:val="001D63ED"/>
    <w:rsid w:val="001D7348"/>
    <w:rsid w:val="001E035B"/>
    <w:rsid w:val="001E0961"/>
    <w:rsid w:val="001E3EAE"/>
    <w:rsid w:val="001E6F32"/>
    <w:rsid w:val="001F2145"/>
    <w:rsid w:val="001F27DA"/>
    <w:rsid w:val="001F6262"/>
    <w:rsid w:val="001F67B0"/>
    <w:rsid w:val="001F7B3D"/>
    <w:rsid w:val="00205F9F"/>
    <w:rsid w:val="00210338"/>
    <w:rsid w:val="002115FC"/>
    <w:rsid w:val="002133F8"/>
    <w:rsid w:val="0021423C"/>
    <w:rsid w:val="00230D00"/>
    <w:rsid w:val="00231DF7"/>
    <w:rsid w:val="00231FD1"/>
    <w:rsid w:val="002339E0"/>
    <w:rsid w:val="00233CF8"/>
    <w:rsid w:val="0023575D"/>
    <w:rsid w:val="00237148"/>
    <w:rsid w:val="0024222D"/>
    <w:rsid w:val="00244B0E"/>
    <w:rsid w:val="00244F6C"/>
    <w:rsid w:val="002532C5"/>
    <w:rsid w:val="00260C03"/>
    <w:rsid w:val="00260F20"/>
    <w:rsid w:val="0026540E"/>
    <w:rsid w:val="00275123"/>
    <w:rsid w:val="00282240"/>
    <w:rsid w:val="0028572A"/>
    <w:rsid w:val="002948AD"/>
    <w:rsid w:val="00294C92"/>
    <w:rsid w:val="002A01CC"/>
    <w:rsid w:val="002A61B1"/>
    <w:rsid w:val="002A663C"/>
    <w:rsid w:val="002B444B"/>
    <w:rsid w:val="002B5887"/>
    <w:rsid w:val="002C0692"/>
    <w:rsid w:val="002C0E27"/>
    <w:rsid w:val="002C3040"/>
    <w:rsid w:val="002C34C4"/>
    <w:rsid w:val="002D022D"/>
    <w:rsid w:val="002D24BB"/>
    <w:rsid w:val="002F2AF7"/>
    <w:rsid w:val="002F7E1C"/>
    <w:rsid w:val="00301A75"/>
    <w:rsid w:val="00302F70"/>
    <w:rsid w:val="0030336F"/>
    <w:rsid w:val="0030375E"/>
    <w:rsid w:val="0030794A"/>
    <w:rsid w:val="00312A30"/>
    <w:rsid w:val="00320F72"/>
    <w:rsid w:val="0032463E"/>
    <w:rsid w:val="00326224"/>
    <w:rsid w:val="00337EE4"/>
    <w:rsid w:val="00340FFD"/>
    <w:rsid w:val="0034226F"/>
    <w:rsid w:val="003442FF"/>
    <w:rsid w:val="003506B1"/>
    <w:rsid w:val="00356AC7"/>
    <w:rsid w:val="003609FA"/>
    <w:rsid w:val="003710C8"/>
    <w:rsid w:val="00372993"/>
    <w:rsid w:val="003750BE"/>
    <w:rsid w:val="00387B9D"/>
    <w:rsid w:val="00391DB8"/>
    <w:rsid w:val="0039364F"/>
    <w:rsid w:val="00393A15"/>
    <w:rsid w:val="00396686"/>
    <w:rsid w:val="0039778E"/>
    <w:rsid w:val="003A4500"/>
    <w:rsid w:val="003B4941"/>
    <w:rsid w:val="003C5714"/>
    <w:rsid w:val="003C6B9F"/>
    <w:rsid w:val="003C6E2A"/>
    <w:rsid w:val="003D0299"/>
    <w:rsid w:val="003E6D80"/>
    <w:rsid w:val="003F05FA"/>
    <w:rsid w:val="003F244A"/>
    <w:rsid w:val="003F30B8"/>
    <w:rsid w:val="003F4C45"/>
    <w:rsid w:val="003F5F7B"/>
    <w:rsid w:val="003F6C82"/>
    <w:rsid w:val="003F7D64"/>
    <w:rsid w:val="00414300"/>
    <w:rsid w:val="00422CE7"/>
    <w:rsid w:val="00425C67"/>
    <w:rsid w:val="00427E7A"/>
    <w:rsid w:val="00436307"/>
    <w:rsid w:val="00436C49"/>
    <w:rsid w:val="00445366"/>
    <w:rsid w:val="00447F5B"/>
    <w:rsid w:val="00461DB0"/>
    <w:rsid w:val="00463926"/>
    <w:rsid w:val="004646E0"/>
    <w:rsid w:val="00464C9A"/>
    <w:rsid w:val="00474F3D"/>
    <w:rsid w:val="00477E3A"/>
    <w:rsid w:val="00483E5F"/>
    <w:rsid w:val="00485FF9"/>
    <w:rsid w:val="00487821"/>
    <w:rsid w:val="004907F0"/>
    <w:rsid w:val="0049140B"/>
    <w:rsid w:val="004923A5"/>
    <w:rsid w:val="00496BFB"/>
    <w:rsid w:val="004A15C7"/>
    <w:rsid w:val="004B013B"/>
    <w:rsid w:val="004B112B"/>
    <w:rsid w:val="004C01E4"/>
    <w:rsid w:val="004C086C"/>
    <w:rsid w:val="004C1F56"/>
    <w:rsid w:val="004C27BC"/>
    <w:rsid w:val="004D15F3"/>
    <w:rsid w:val="004D5311"/>
    <w:rsid w:val="004D5DCC"/>
    <w:rsid w:val="004D7D4C"/>
    <w:rsid w:val="004E5774"/>
    <w:rsid w:val="004F10AF"/>
    <w:rsid w:val="004F11A4"/>
    <w:rsid w:val="004F2389"/>
    <w:rsid w:val="004F304D"/>
    <w:rsid w:val="004F61BE"/>
    <w:rsid w:val="004F66B1"/>
    <w:rsid w:val="00511C07"/>
    <w:rsid w:val="005173A6"/>
    <w:rsid w:val="00520BAA"/>
    <w:rsid w:val="00525208"/>
    <w:rsid w:val="005257A5"/>
    <w:rsid w:val="00525BD8"/>
    <w:rsid w:val="005264C0"/>
    <w:rsid w:val="00526A8A"/>
    <w:rsid w:val="00531DF2"/>
    <w:rsid w:val="005442EE"/>
    <w:rsid w:val="00547353"/>
    <w:rsid w:val="005474E7"/>
    <w:rsid w:val="005512A3"/>
    <w:rsid w:val="005578CE"/>
    <w:rsid w:val="00562781"/>
    <w:rsid w:val="00563E83"/>
    <w:rsid w:val="0057271C"/>
    <w:rsid w:val="00572845"/>
    <w:rsid w:val="00592772"/>
    <w:rsid w:val="0059574A"/>
    <w:rsid w:val="005A0421"/>
    <w:rsid w:val="005A1B9B"/>
    <w:rsid w:val="005A6751"/>
    <w:rsid w:val="005B092E"/>
    <w:rsid w:val="005B152C"/>
    <w:rsid w:val="005B1EE0"/>
    <w:rsid w:val="005B2B24"/>
    <w:rsid w:val="005B4425"/>
    <w:rsid w:val="005B4B94"/>
    <w:rsid w:val="005C3EE8"/>
    <w:rsid w:val="005D34F9"/>
    <w:rsid w:val="005D4190"/>
    <w:rsid w:val="005D67A3"/>
    <w:rsid w:val="005E00DB"/>
    <w:rsid w:val="005E2988"/>
    <w:rsid w:val="005E2A43"/>
    <w:rsid w:val="005E3085"/>
    <w:rsid w:val="005F32F3"/>
    <w:rsid w:val="005F51E1"/>
    <w:rsid w:val="00611C80"/>
    <w:rsid w:val="0061330A"/>
    <w:rsid w:val="00620692"/>
    <w:rsid w:val="006242CA"/>
    <w:rsid w:val="00627507"/>
    <w:rsid w:val="00633717"/>
    <w:rsid w:val="006344E1"/>
    <w:rsid w:val="006545C4"/>
    <w:rsid w:val="00661971"/>
    <w:rsid w:val="00661CE8"/>
    <w:rsid w:val="006623D9"/>
    <w:rsid w:val="0066550C"/>
    <w:rsid w:val="00667854"/>
    <w:rsid w:val="006716F2"/>
    <w:rsid w:val="00682BF2"/>
    <w:rsid w:val="006859CE"/>
    <w:rsid w:val="00691270"/>
    <w:rsid w:val="00694BA8"/>
    <w:rsid w:val="006A037C"/>
    <w:rsid w:val="006A36F4"/>
    <w:rsid w:val="006A406F"/>
    <w:rsid w:val="006A5D3A"/>
    <w:rsid w:val="006C23D4"/>
    <w:rsid w:val="006C7BB0"/>
    <w:rsid w:val="006D3237"/>
    <w:rsid w:val="006E2E37"/>
    <w:rsid w:val="006E3CF1"/>
    <w:rsid w:val="006E7E80"/>
    <w:rsid w:val="006F1DF9"/>
    <w:rsid w:val="006F24DB"/>
    <w:rsid w:val="006F48CA"/>
    <w:rsid w:val="006F64DD"/>
    <w:rsid w:val="00715127"/>
    <w:rsid w:val="00715E8E"/>
    <w:rsid w:val="00723580"/>
    <w:rsid w:val="00723755"/>
    <w:rsid w:val="0073136C"/>
    <w:rsid w:val="00731F0F"/>
    <w:rsid w:val="00733250"/>
    <w:rsid w:val="00741404"/>
    <w:rsid w:val="007449E5"/>
    <w:rsid w:val="00746C5A"/>
    <w:rsid w:val="00747FF0"/>
    <w:rsid w:val="00764D4E"/>
    <w:rsid w:val="00765A1F"/>
    <w:rsid w:val="00772E79"/>
    <w:rsid w:val="00775B6D"/>
    <w:rsid w:val="00776D68"/>
    <w:rsid w:val="007850EE"/>
    <w:rsid w:val="00785B95"/>
    <w:rsid w:val="0079033E"/>
    <w:rsid w:val="00790E96"/>
    <w:rsid w:val="00793366"/>
    <w:rsid w:val="007A716F"/>
    <w:rsid w:val="007B270A"/>
    <w:rsid w:val="007C0695"/>
    <w:rsid w:val="007C419A"/>
    <w:rsid w:val="007C4CC8"/>
    <w:rsid w:val="007C5426"/>
    <w:rsid w:val="007C5798"/>
    <w:rsid w:val="007D4832"/>
    <w:rsid w:val="007E21B2"/>
    <w:rsid w:val="007E2C4E"/>
    <w:rsid w:val="007F1905"/>
    <w:rsid w:val="00801300"/>
    <w:rsid w:val="00802C64"/>
    <w:rsid w:val="00805E52"/>
    <w:rsid w:val="008061D0"/>
    <w:rsid w:val="00810B38"/>
    <w:rsid w:val="008204C7"/>
    <w:rsid w:val="00820992"/>
    <w:rsid w:val="00823602"/>
    <w:rsid w:val="008255F5"/>
    <w:rsid w:val="0083014E"/>
    <w:rsid w:val="0083214A"/>
    <w:rsid w:val="00834220"/>
    <w:rsid w:val="00845723"/>
    <w:rsid w:val="00851EF9"/>
    <w:rsid w:val="008577FD"/>
    <w:rsid w:val="00860B03"/>
    <w:rsid w:val="0086497A"/>
    <w:rsid w:val="008713A1"/>
    <w:rsid w:val="008754AB"/>
    <w:rsid w:val="0088060C"/>
    <w:rsid w:val="00893576"/>
    <w:rsid w:val="00893E73"/>
    <w:rsid w:val="008A43C4"/>
    <w:rsid w:val="008B02DC"/>
    <w:rsid w:val="008B57CE"/>
    <w:rsid w:val="008B659F"/>
    <w:rsid w:val="008C26DE"/>
    <w:rsid w:val="008D2225"/>
    <w:rsid w:val="008D4752"/>
    <w:rsid w:val="008D5E41"/>
    <w:rsid w:val="008E271C"/>
    <w:rsid w:val="008E418E"/>
    <w:rsid w:val="008E5BC6"/>
    <w:rsid w:val="008E623D"/>
    <w:rsid w:val="008E6A25"/>
    <w:rsid w:val="008F5193"/>
    <w:rsid w:val="009013A7"/>
    <w:rsid w:val="009017FB"/>
    <w:rsid w:val="009017FC"/>
    <w:rsid w:val="00903B43"/>
    <w:rsid w:val="0090506B"/>
    <w:rsid w:val="009050C9"/>
    <w:rsid w:val="009066FC"/>
    <w:rsid w:val="009140A3"/>
    <w:rsid w:val="009144A2"/>
    <w:rsid w:val="0091510C"/>
    <w:rsid w:val="009259AC"/>
    <w:rsid w:val="00926F38"/>
    <w:rsid w:val="00934301"/>
    <w:rsid w:val="00936CD1"/>
    <w:rsid w:val="00941747"/>
    <w:rsid w:val="00941EFB"/>
    <w:rsid w:val="00947AFB"/>
    <w:rsid w:val="00951D7D"/>
    <w:rsid w:val="00952ED6"/>
    <w:rsid w:val="009630C7"/>
    <w:rsid w:val="00972B55"/>
    <w:rsid w:val="009743B7"/>
    <w:rsid w:val="0098228B"/>
    <w:rsid w:val="009828DA"/>
    <w:rsid w:val="00985BAB"/>
    <w:rsid w:val="009861E2"/>
    <w:rsid w:val="00997F03"/>
    <w:rsid w:val="009A46DF"/>
    <w:rsid w:val="009A7F71"/>
    <w:rsid w:val="009B1B5F"/>
    <w:rsid w:val="009B2EC2"/>
    <w:rsid w:val="009B6673"/>
    <w:rsid w:val="009C191B"/>
    <w:rsid w:val="009C2BD6"/>
    <w:rsid w:val="009E1F32"/>
    <w:rsid w:val="009E5322"/>
    <w:rsid w:val="009E5829"/>
    <w:rsid w:val="009E776C"/>
    <w:rsid w:val="00A1726E"/>
    <w:rsid w:val="00A204CF"/>
    <w:rsid w:val="00A23D49"/>
    <w:rsid w:val="00A27004"/>
    <w:rsid w:val="00A30C29"/>
    <w:rsid w:val="00A34DD6"/>
    <w:rsid w:val="00A36819"/>
    <w:rsid w:val="00A36989"/>
    <w:rsid w:val="00A43628"/>
    <w:rsid w:val="00A54192"/>
    <w:rsid w:val="00A6035E"/>
    <w:rsid w:val="00A6144C"/>
    <w:rsid w:val="00A66617"/>
    <w:rsid w:val="00A671F8"/>
    <w:rsid w:val="00A673A4"/>
    <w:rsid w:val="00A7005F"/>
    <w:rsid w:val="00A724AE"/>
    <w:rsid w:val="00A73329"/>
    <w:rsid w:val="00A82359"/>
    <w:rsid w:val="00A865D2"/>
    <w:rsid w:val="00A9248C"/>
    <w:rsid w:val="00A94C20"/>
    <w:rsid w:val="00AA227F"/>
    <w:rsid w:val="00AA3BC7"/>
    <w:rsid w:val="00AA754A"/>
    <w:rsid w:val="00AB099E"/>
    <w:rsid w:val="00AB4328"/>
    <w:rsid w:val="00AB5FA0"/>
    <w:rsid w:val="00AE0755"/>
    <w:rsid w:val="00AE0A2E"/>
    <w:rsid w:val="00AE354C"/>
    <w:rsid w:val="00AF4B07"/>
    <w:rsid w:val="00AF6186"/>
    <w:rsid w:val="00AF7A3A"/>
    <w:rsid w:val="00B033EC"/>
    <w:rsid w:val="00B160DB"/>
    <w:rsid w:val="00B20836"/>
    <w:rsid w:val="00B235BB"/>
    <w:rsid w:val="00B27A44"/>
    <w:rsid w:val="00B30BBF"/>
    <w:rsid w:val="00B33C03"/>
    <w:rsid w:val="00B44E56"/>
    <w:rsid w:val="00B45E72"/>
    <w:rsid w:val="00B46543"/>
    <w:rsid w:val="00B47D33"/>
    <w:rsid w:val="00B52BE0"/>
    <w:rsid w:val="00B54133"/>
    <w:rsid w:val="00B701ED"/>
    <w:rsid w:val="00B7190B"/>
    <w:rsid w:val="00B8086C"/>
    <w:rsid w:val="00B8606D"/>
    <w:rsid w:val="00B861B4"/>
    <w:rsid w:val="00B86BF8"/>
    <w:rsid w:val="00B86DFE"/>
    <w:rsid w:val="00B90990"/>
    <w:rsid w:val="00B922FF"/>
    <w:rsid w:val="00B9281E"/>
    <w:rsid w:val="00B93925"/>
    <w:rsid w:val="00B95187"/>
    <w:rsid w:val="00BA2D55"/>
    <w:rsid w:val="00BA71B1"/>
    <w:rsid w:val="00BB0637"/>
    <w:rsid w:val="00BB345F"/>
    <w:rsid w:val="00BB5883"/>
    <w:rsid w:val="00BB68EA"/>
    <w:rsid w:val="00BC1C27"/>
    <w:rsid w:val="00BC1D22"/>
    <w:rsid w:val="00BC6BBF"/>
    <w:rsid w:val="00BD1572"/>
    <w:rsid w:val="00BE14E3"/>
    <w:rsid w:val="00BE3774"/>
    <w:rsid w:val="00BE41E5"/>
    <w:rsid w:val="00BF0BBB"/>
    <w:rsid w:val="00BF4109"/>
    <w:rsid w:val="00BF4CC3"/>
    <w:rsid w:val="00BF66C9"/>
    <w:rsid w:val="00C054C7"/>
    <w:rsid w:val="00C057B5"/>
    <w:rsid w:val="00C22687"/>
    <w:rsid w:val="00C32E4D"/>
    <w:rsid w:val="00C333A0"/>
    <w:rsid w:val="00C36A81"/>
    <w:rsid w:val="00C41974"/>
    <w:rsid w:val="00C447AD"/>
    <w:rsid w:val="00C52BF9"/>
    <w:rsid w:val="00C53F4A"/>
    <w:rsid w:val="00C54125"/>
    <w:rsid w:val="00C55B54"/>
    <w:rsid w:val="00C6098E"/>
    <w:rsid w:val="00C6152C"/>
    <w:rsid w:val="00C621C2"/>
    <w:rsid w:val="00C74810"/>
    <w:rsid w:val="00C90D68"/>
    <w:rsid w:val="00C939FE"/>
    <w:rsid w:val="00C96224"/>
    <w:rsid w:val="00CA4BDA"/>
    <w:rsid w:val="00CA7E30"/>
    <w:rsid w:val="00CB1F66"/>
    <w:rsid w:val="00CB2951"/>
    <w:rsid w:val="00CD282B"/>
    <w:rsid w:val="00CD4C35"/>
    <w:rsid w:val="00CD661F"/>
    <w:rsid w:val="00CD7369"/>
    <w:rsid w:val="00CE0B0E"/>
    <w:rsid w:val="00CE3831"/>
    <w:rsid w:val="00D00ABB"/>
    <w:rsid w:val="00D02EEC"/>
    <w:rsid w:val="00D03551"/>
    <w:rsid w:val="00D06A63"/>
    <w:rsid w:val="00D07E0E"/>
    <w:rsid w:val="00D11478"/>
    <w:rsid w:val="00D15ED0"/>
    <w:rsid w:val="00D21B3E"/>
    <w:rsid w:val="00D21FED"/>
    <w:rsid w:val="00D24251"/>
    <w:rsid w:val="00D343E2"/>
    <w:rsid w:val="00D361A2"/>
    <w:rsid w:val="00D44C2E"/>
    <w:rsid w:val="00D45414"/>
    <w:rsid w:val="00D53C0F"/>
    <w:rsid w:val="00D566BD"/>
    <w:rsid w:val="00D57A4D"/>
    <w:rsid w:val="00D60AA7"/>
    <w:rsid w:val="00D60D87"/>
    <w:rsid w:val="00D6435F"/>
    <w:rsid w:val="00D653D0"/>
    <w:rsid w:val="00D75E28"/>
    <w:rsid w:val="00D772C2"/>
    <w:rsid w:val="00D8008E"/>
    <w:rsid w:val="00D82C45"/>
    <w:rsid w:val="00D908A8"/>
    <w:rsid w:val="00D977B6"/>
    <w:rsid w:val="00DA4A31"/>
    <w:rsid w:val="00DA7B04"/>
    <w:rsid w:val="00DB36C2"/>
    <w:rsid w:val="00DB7196"/>
    <w:rsid w:val="00DC169B"/>
    <w:rsid w:val="00DC2AB9"/>
    <w:rsid w:val="00DC63F0"/>
    <w:rsid w:val="00DD6EE5"/>
    <w:rsid w:val="00DE386C"/>
    <w:rsid w:val="00DE4D35"/>
    <w:rsid w:val="00DF0549"/>
    <w:rsid w:val="00DF098B"/>
    <w:rsid w:val="00DF11C4"/>
    <w:rsid w:val="00DF210C"/>
    <w:rsid w:val="00DF4B6A"/>
    <w:rsid w:val="00E02C09"/>
    <w:rsid w:val="00E04D59"/>
    <w:rsid w:val="00E07DA1"/>
    <w:rsid w:val="00E10C5E"/>
    <w:rsid w:val="00E123CB"/>
    <w:rsid w:val="00E1557C"/>
    <w:rsid w:val="00E20E13"/>
    <w:rsid w:val="00E21DBC"/>
    <w:rsid w:val="00E275D7"/>
    <w:rsid w:val="00E27DBE"/>
    <w:rsid w:val="00E32AB1"/>
    <w:rsid w:val="00E36C71"/>
    <w:rsid w:val="00E40404"/>
    <w:rsid w:val="00E459C6"/>
    <w:rsid w:val="00E47589"/>
    <w:rsid w:val="00E64915"/>
    <w:rsid w:val="00E661D4"/>
    <w:rsid w:val="00E70091"/>
    <w:rsid w:val="00E71E13"/>
    <w:rsid w:val="00E720F5"/>
    <w:rsid w:val="00E74986"/>
    <w:rsid w:val="00E76D47"/>
    <w:rsid w:val="00E849F7"/>
    <w:rsid w:val="00E90302"/>
    <w:rsid w:val="00E90D58"/>
    <w:rsid w:val="00E9597F"/>
    <w:rsid w:val="00E97396"/>
    <w:rsid w:val="00EA185E"/>
    <w:rsid w:val="00EA592A"/>
    <w:rsid w:val="00EB14E4"/>
    <w:rsid w:val="00EB32A5"/>
    <w:rsid w:val="00EB34ED"/>
    <w:rsid w:val="00EB7BE0"/>
    <w:rsid w:val="00EC315E"/>
    <w:rsid w:val="00ED077C"/>
    <w:rsid w:val="00ED1190"/>
    <w:rsid w:val="00ED6544"/>
    <w:rsid w:val="00ED6D4E"/>
    <w:rsid w:val="00EE0277"/>
    <w:rsid w:val="00EE0553"/>
    <w:rsid w:val="00EE1DA9"/>
    <w:rsid w:val="00EE3E00"/>
    <w:rsid w:val="00EE5DD2"/>
    <w:rsid w:val="00EF41F1"/>
    <w:rsid w:val="00EF4F08"/>
    <w:rsid w:val="00F00A79"/>
    <w:rsid w:val="00F00E86"/>
    <w:rsid w:val="00F07C1E"/>
    <w:rsid w:val="00F105DB"/>
    <w:rsid w:val="00F132BC"/>
    <w:rsid w:val="00F13D80"/>
    <w:rsid w:val="00F16AAA"/>
    <w:rsid w:val="00F21161"/>
    <w:rsid w:val="00F218EF"/>
    <w:rsid w:val="00F21BC7"/>
    <w:rsid w:val="00F266A2"/>
    <w:rsid w:val="00F32269"/>
    <w:rsid w:val="00F56A6F"/>
    <w:rsid w:val="00F5709C"/>
    <w:rsid w:val="00F64EF1"/>
    <w:rsid w:val="00F8765F"/>
    <w:rsid w:val="00F90767"/>
    <w:rsid w:val="00FA610C"/>
    <w:rsid w:val="00FA685B"/>
    <w:rsid w:val="00FB0C01"/>
    <w:rsid w:val="00FB4618"/>
    <w:rsid w:val="00FC18F2"/>
    <w:rsid w:val="00FC39E5"/>
    <w:rsid w:val="00FC3A78"/>
    <w:rsid w:val="00FC3BA4"/>
    <w:rsid w:val="00FC5FFE"/>
    <w:rsid w:val="00FD1005"/>
    <w:rsid w:val="00FD3180"/>
    <w:rsid w:val="00FD6C75"/>
    <w:rsid w:val="00FE71B3"/>
    <w:rsid w:val="00FF42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5E2A43"/>
    <w:pPr>
      <w:jc w:val="both"/>
    </w:pPr>
    <w:rPr>
      <w:rFonts w:eastAsiaTheme="minorEastAsia"/>
      <w:sz w:val="24"/>
    </w:rPr>
  </w:style>
  <w:style w:type="paragraph" w:styleId="Heading1">
    <w:name w:val="heading 1"/>
    <w:basedOn w:val="Normal"/>
    <w:next w:val="Normal"/>
    <w:link w:val="Heading1Char"/>
    <w:uiPriority w:val="99"/>
    <w:semiHidden/>
    <w:rsid w:val="00941747"/>
    <w:pPr>
      <w:numPr>
        <w:numId w:val="11"/>
      </w:numPr>
      <w:spacing w:before="480"/>
      <w:contextualSpacing/>
      <w:jc w:val="left"/>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941747"/>
    <w:pPr>
      <w:numPr>
        <w:ilvl w:val="1"/>
        <w:numId w:val="11"/>
      </w:numPr>
      <w:spacing w:before="200"/>
      <w:jc w:val="left"/>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941747"/>
    <w:pPr>
      <w:numPr>
        <w:ilvl w:val="2"/>
        <w:numId w:val="11"/>
      </w:numPr>
      <w:spacing w:before="200" w:line="271" w:lineRule="auto"/>
      <w:jc w:val="left"/>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941747"/>
    <w:pPr>
      <w:numPr>
        <w:ilvl w:val="3"/>
        <w:numId w:val="11"/>
      </w:numPr>
      <w:spacing w:before="200"/>
      <w:jc w:val="left"/>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014566"/>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941747"/>
    <w:pPr>
      <w:numPr>
        <w:ilvl w:val="5"/>
        <w:numId w:val="11"/>
      </w:numPr>
      <w:spacing w:line="271" w:lineRule="auto"/>
      <w:jc w:val="left"/>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014566"/>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014566"/>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014566"/>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41747"/>
    <w:rPr>
      <w:rFonts w:ascii="Tahoma" w:hAnsi="Tahoma" w:cs="Tahoma"/>
      <w:sz w:val="16"/>
      <w:szCs w:val="16"/>
    </w:rPr>
  </w:style>
  <w:style w:type="character" w:customStyle="1" w:styleId="BalloonTextChar">
    <w:name w:val="Balloon Text Char"/>
    <w:basedOn w:val="DefaultParagraphFont"/>
    <w:link w:val="BalloonText"/>
    <w:uiPriority w:val="99"/>
    <w:semiHidden/>
    <w:rsid w:val="00A671F8"/>
    <w:rPr>
      <w:rFonts w:ascii="Tahoma" w:eastAsiaTheme="minorEastAsia" w:hAnsi="Tahoma" w:cs="Tahoma"/>
      <w:sz w:val="16"/>
      <w:szCs w:val="16"/>
    </w:rPr>
  </w:style>
  <w:style w:type="character" w:styleId="BookTitle">
    <w:name w:val="Book Title"/>
    <w:uiPriority w:val="99"/>
    <w:semiHidden/>
    <w:qFormat/>
    <w:rsid w:val="00014566"/>
    <w:rPr>
      <w:i/>
      <w:iCs/>
      <w:smallCaps/>
      <w:spacing w:val="5"/>
    </w:rPr>
  </w:style>
  <w:style w:type="paragraph" w:customStyle="1" w:styleId="ECHRHeader">
    <w:name w:val="ECHR_Header"/>
    <w:aliases w:val="Ju_Header"/>
    <w:basedOn w:val="Header"/>
    <w:uiPriority w:val="4"/>
    <w:qFormat/>
    <w:rsid w:val="00014566"/>
    <w:pPr>
      <w:tabs>
        <w:tab w:val="clear" w:pos="4536"/>
        <w:tab w:val="clear" w:pos="9696"/>
        <w:tab w:val="center" w:pos="3686"/>
        <w:tab w:val="right" w:pos="7371"/>
      </w:tabs>
      <w:ind w:left="0" w:right="0"/>
      <w:jc w:val="left"/>
    </w:pPr>
    <w:rPr>
      <w:rFonts w:eastAsiaTheme="minorHAnsi"/>
      <w:sz w:val="18"/>
    </w:rPr>
  </w:style>
  <w:style w:type="paragraph" w:customStyle="1" w:styleId="OpiPara">
    <w:name w:val="Opi_Para"/>
    <w:basedOn w:val="Normal"/>
    <w:uiPriority w:val="46"/>
    <w:qFormat/>
    <w:rsid w:val="00C621C2"/>
    <w:pPr>
      <w:ind w:firstLine="284"/>
    </w:pPr>
  </w:style>
  <w:style w:type="character" w:styleId="Strong">
    <w:name w:val="Strong"/>
    <w:uiPriority w:val="99"/>
    <w:semiHidden/>
    <w:qFormat/>
    <w:rsid w:val="00014566"/>
    <w:rPr>
      <w:b/>
      <w:bCs/>
    </w:rPr>
  </w:style>
  <w:style w:type="paragraph" w:styleId="NoSpacing">
    <w:name w:val="No Spacing"/>
    <w:basedOn w:val="Normal"/>
    <w:link w:val="NoSpacingChar"/>
    <w:semiHidden/>
    <w:qFormat/>
    <w:rsid w:val="00014566"/>
    <w:rPr>
      <w:sz w:val="22"/>
    </w:rPr>
  </w:style>
  <w:style w:type="character" w:customStyle="1" w:styleId="NoSpacingChar">
    <w:name w:val="No Spacing Char"/>
    <w:basedOn w:val="DefaultParagraphFont"/>
    <w:link w:val="NoSpacing"/>
    <w:semiHidden/>
    <w:rsid w:val="00014566"/>
    <w:rPr>
      <w:rFonts w:eastAsiaTheme="minorEastAsia"/>
    </w:rPr>
  </w:style>
  <w:style w:type="paragraph" w:customStyle="1" w:styleId="JuParaSub">
    <w:name w:val="Ju_Para_Sub"/>
    <w:basedOn w:val="Normal"/>
    <w:uiPriority w:val="13"/>
    <w:qFormat/>
    <w:rsid w:val="00C621C2"/>
    <w:pPr>
      <w:ind w:left="284" w:firstLine="284"/>
    </w:pPr>
  </w:style>
  <w:style w:type="paragraph" w:customStyle="1" w:styleId="OpiParaSub">
    <w:name w:val="Opi_Para_Sub"/>
    <w:basedOn w:val="JuParaSub"/>
    <w:uiPriority w:val="47"/>
    <w:qFormat/>
    <w:rsid w:val="00014566"/>
  </w:style>
  <w:style w:type="paragraph" w:customStyle="1" w:styleId="OpiQuot">
    <w:name w:val="Opi_Quot"/>
    <w:basedOn w:val="ECHRParaQuote"/>
    <w:uiPriority w:val="48"/>
    <w:qFormat/>
    <w:rsid w:val="00014566"/>
  </w:style>
  <w:style w:type="paragraph" w:customStyle="1" w:styleId="OpiQuotSub">
    <w:name w:val="Opi_Quot_Sub"/>
    <w:basedOn w:val="JuQuotSub"/>
    <w:uiPriority w:val="49"/>
    <w:qFormat/>
    <w:rsid w:val="00014566"/>
  </w:style>
  <w:style w:type="paragraph" w:customStyle="1" w:styleId="ECHRTitleCentre3">
    <w:name w:val="ECHR_Title_Centre_3"/>
    <w:aliases w:val="Ju_H_Article"/>
    <w:basedOn w:val="Normal"/>
    <w:next w:val="ECHRParaQuote"/>
    <w:uiPriority w:val="27"/>
    <w:qFormat/>
    <w:rsid w:val="00014566"/>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014566"/>
    <w:pPr>
      <w:keepNext/>
      <w:keepLines/>
      <w:spacing w:after="240"/>
      <w:jc w:val="center"/>
      <w:outlineLvl w:val="0"/>
    </w:pPr>
    <w:rPr>
      <w:rFonts w:asciiTheme="majorHAnsi" w:hAnsiTheme="majorHAnsi"/>
      <w:sz w:val="28"/>
    </w:rPr>
  </w:style>
  <w:style w:type="paragraph" w:customStyle="1" w:styleId="JuQuotSub">
    <w:name w:val="Ju_Quot_Sub"/>
    <w:basedOn w:val="ECHRParaQuote"/>
    <w:uiPriority w:val="15"/>
    <w:qFormat/>
    <w:rsid w:val="00014566"/>
    <w:pPr>
      <w:ind w:left="567"/>
    </w:pPr>
  </w:style>
  <w:style w:type="paragraph" w:customStyle="1" w:styleId="JuInitialled">
    <w:name w:val="Ju_Initialled"/>
    <w:basedOn w:val="Normal"/>
    <w:uiPriority w:val="31"/>
    <w:qFormat/>
    <w:rsid w:val="00014566"/>
    <w:pPr>
      <w:tabs>
        <w:tab w:val="center" w:pos="6407"/>
      </w:tabs>
      <w:spacing w:before="720"/>
      <w:jc w:val="right"/>
    </w:pPr>
  </w:style>
  <w:style w:type="paragraph" w:customStyle="1" w:styleId="OpiHA">
    <w:name w:val="Opi_H_A"/>
    <w:basedOn w:val="ECHRHeading1"/>
    <w:next w:val="OpiPara"/>
    <w:uiPriority w:val="41"/>
    <w:qFormat/>
    <w:rsid w:val="00014566"/>
    <w:pPr>
      <w:outlineLvl w:val="1"/>
    </w:pPr>
    <w:rPr>
      <w:bCs w:val="0"/>
    </w:rPr>
  </w:style>
  <w:style w:type="character" w:customStyle="1" w:styleId="JUNAMES">
    <w:name w:val="JU_NAMES"/>
    <w:uiPriority w:val="17"/>
    <w:qFormat/>
    <w:rsid w:val="00014566"/>
    <w:rPr>
      <w:caps w:val="0"/>
      <w:smallCaps/>
    </w:rPr>
  </w:style>
  <w:style w:type="paragraph" w:customStyle="1" w:styleId="OpiTranslation">
    <w:name w:val="Opi_Translation"/>
    <w:basedOn w:val="Normal"/>
    <w:next w:val="OpiPara"/>
    <w:uiPriority w:val="40"/>
    <w:qFormat/>
    <w:rsid w:val="00014566"/>
    <w:pPr>
      <w:jc w:val="center"/>
      <w:outlineLvl w:val="0"/>
    </w:pPr>
    <w:rPr>
      <w:i/>
    </w:rPr>
  </w:style>
  <w:style w:type="paragraph" w:styleId="Title">
    <w:name w:val="Title"/>
    <w:basedOn w:val="Normal"/>
    <w:next w:val="Normal"/>
    <w:link w:val="TitleChar"/>
    <w:uiPriority w:val="99"/>
    <w:semiHidden/>
    <w:qFormat/>
    <w:rsid w:val="00014566"/>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014566"/>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Normal"/>
    <w:uiPriority w:val="21"/>
    <w:qFormat/>
    <w:rsid w:val="00014566"/>
    <w:pPr>
      <w:keepNext/>
      <w:keepLines/>
      <w:numPr>
        <w:ilvl w:val="0"/>
        <w:numId w:val="0"/>
      </w:numPr>
      <w:tabs>
        <w:tab w:val="left" w:pos="731"/>
      </w:tabs>
      <w:spacing w:before="240" w:after="120" w:line="240" w:lineRule="auto"/>
      <w:ind w:left="732" w:hanging="301"/>
      <w:jc w:val="both"/>
    </w:pPr>
    <w:rPr>
      <w:b w:val="0"/>
      <w:i/>
      <w:color w:val="auto"/>
    </w:rPr>
  </w:style>
  <w:style w:type="paragraph" w:customStyle="1" w:styleId="ECHRHeading4">
    <w:name w:val="ECHR_Heading_4"/>
    <w:aliases w:val="Ju_H_a"/>
    <w:basedOn w:val="Heading4"/>
    <w:next w:val="Normal"/>
    <w:uiPriority w:val="22"/>
    <w:qFormat/>
    <w:rsid w:val="00014566"/>
    <w:pPr>
      <w:keepNext/>
      <w:keepLines/>
      <w:numPr>
        <w:ilvl w:val="0"/>
        <w:numId w:val="0"/>
      </w:numPr>
      <w:tabs>
        <w:tab w:val="left" w:pos="975"/>
      </w:tabs>
      <w:spacing w:before="240" w:after="120"/>
      <w:ind w:left="975" w:hanging="340"/>
      <w:jc w:val="both"/>
    </w:pPr>
    <w:rPr>
      <w:i w:val="0"/>
      <w:color w:val="auto"/>
      <w:sz w:val="20"/>
    </w:rPr>
  </w:style>
  <w:style w:type="paragraph" w:customStyle="1" w:styleId="ECHRHeading5">
    <w:name w:val="ECHR_Heading_5"/>
    <w:aliases w:val="Ju_H_i"/>
    <w:basedOn w:val="Heading5"/>
    <w:next w:val="Normal"/>
    <w:uiPriority w:val="23"/>
    <w:qFormat/>
    <w:rsid w:val="00014566"/>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Normal"/>
    <w:uiPriority w:val="24"/>
    <w:qFormat/>
    <w:rsid w:val="00014566"/>
    <w:pPr>
      <w:keepNext/>
      <w:keepLines/>
      <w:numPr>
        <w:ilvl w:val="0"/>
        <w:numId w:val="0"/>
      </w:numPr>
      <w:tabs>
        <w:tab w:val="left" w:pos="1372"/>
      </w:tabs>
      <w:spacing w:before="240" w:after="120" w:line="240" w:lineRule="auto"/>
      <w:ind w:left="1373" w:hanging="335"/>
      <w:jc w:val="both"/>
    </w:pPr>
    <w:rPr>
      <w:b w:val="0"/>
      <w:color w:val="auto"/>
      <w:sz w:val="20"/>
    </w:rPr>
  </w:style>
  <w:style w:type="paragraph" w:customStyle="1" w:styleId="ECHRHeading7">
    <w:name w:val="ECHR_Heading_7"/>
    <w:aliases w:val="Ju_H_–"/>
    <w:basedOn w:val="Heading7"/>
    <w:next w:val="Normal"/>
    <w:uiPriority w:val="25"/>
    <w:qFormat/>
    <w:rsid w:val="00014566"/>
    <w:pPr>
      <w:keepNext/>
      <w:keepLines/>
      <w:spacing w:before="240" w:after="120"/>
      <w:ind w:left="1236"/>
    </w:pPr>
    <w:rPr>
      <w:sz w:val="20"/>
    </w:rPr>
  </w:style>
  <w:style w:type="paragraph" w:customStyle="1" w:styleId="OpiH1">
    <w:name w:val="Opi_H_1"/>
    <w:basedOn w:val="ECHRHeading2"/>
    <w:uiPriority w:val="42"/>
    <w:qFormat/>
    <w:rsid w:val="00014566"/>
    <w:pPr>
      <w:ind w:left="635" w:hanging="357"/>
      <w:outlineLvl w:val="2"/>
    </w:pPr>
  </w:style>
  <w:style w:type="paragraph" w:customStyle="1" w:styleId="OpiHa0">
    <w:name w:val="Opi_H_a"/>
    <w:basedOn w:val="ECHRHeading3"/>
    <w:uiPriority w:val="43"/>
    <w:qFormat/>
    <w:rsid w:val="00014566"/>
    <w:pPr>
      <w:ind w:left="833" w:hanging="357"/>
      <w:outlineLvl w:val="3"/>
    </w:pPr>
    <w:rPr>
      <w:b/>
      <w:i w:val="0"/>
      <w:sz w:val="20"/>
    </w:rPr>
  </w:style>
  <w:style w:type="paragraph" w:customStyle="1" w:styleId="OpiHi">
    <w:name w:val="Opi_H_i"/>
    <w:basedOn w:val="ECHRHeading4"/>
    <w:uiPriority w:val="44"/>
    <w:qFormat/>
    <w:rsid w:val="00014566"/>
    <w:pPr>
      <w:ind w:left="1037" w:hanging="357"/>
      <w:outlineLvl w:val="4"/>
    </w:pPr>
    <w:rPr>
      <w:b w:val="0"/>
      <w:i/>
    </w:rPr>
  </w:style>
  <w:style w:type="paragraph" w:styleId="Header">
    <w:name w:val="header"/>
    <w:basedOn w:val="Normal"/>
    <w:link w:val="HeaderChar"/>
    <w:uiPriority w:val="57"/>
    <w:semiHidden/>
    <w:rsid w:val="00941747"/>
    <w:pPr>
      <w:tabs>
        <w:tab w:val="center" w:pos="4536"/>
        <w:tab w:val="right" w:pos="9696"/>
      </w:tabs>
      <w:ind w:left="-680" w:right="-680"/>
    </w:pPr>
  </w:style>
  <w:style w:type="character" w:customStyle="1" w:styleId="HeaderChar">
    <w:name w:val="Header Char"/>
    <w:basedOn w:val="DefaultParagraphFont"/>
    <w:link w:val="Header"/>
    <w:uiPriority w:val="57"/>
    <w:semiHidden/>
    <w:rsid w:val="008D4752"/>
  </w:style>
  <w:style w:type="character" w:customStyle="1" w:styleId="Heading1Char">
    <w:name w:val="Heading 1 Char"/>
    <w:basedOn w:val="DefaultParagraphFont"/>
    <w:link w:val="Heading1"/>
    <w:uiPriority w:val="99"/>
    <w:semiHidden/>
    <w:rsid w:val="00A671F8"/>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Normal"/>
    <w:uiPriority w:val="19"/>
    <w:qFormat/>
    <w:rsid w:val="00014566"/>
    <w:pPr>
      <w:keepNext/>
      <w:keepLines/>
      <w:numPr>
        <w:numId w:val="0"/>
      </w:numPr>
      <w:tabs>
        <w:tab w:val="left" w:pos="357"/>
      </w:tabs>
      <w:spacing w:before="360" w:after="240"/>
      <w:ind w:left="357" w:hanging="357"/>
      <w:contextualSpacing w:val="0"/>
      <w:jc w:val="both"/>
    </w:pPr>
    <w:rPr>
      <w:b w:val="0"/>
      <w:color w:val="auto"/>
      <w:sz w:val="24"/>
    </w:rPr>
  </w:style>
  <w:style w:type="paragraph" w:customStyle="1" w:styleId="ECHRHeading2">
    <w:name w:val="ECHR_Heading_2"/>
    <w:aliases w:val="Ju_H_A"/>
    <w:basedOn w:val="Heading2"/>
    <w:next w:val="Normal"/>
    <w:uiPriority w:val="20"/>
    <w:qFormat/>
    <w:rsid w:val="00014566"/>
    <w:pPr>
      <w:keepNext/>
      <w:keepLines/>
      <w:numPr>
        <w:ilvl w:val="0"/>
        <w:numId w:val="0"/>
      </w:numPr>
      <w:tabs>
        <w:tab w:val="left" w:pos="584"/>
      </w:tabs>
      <w:spacing w:before="360" w:after="240"/>
      <w:ind w:left="584" w:hanging="352"/>
      <w:jc w:val="both"/>
    </w:pPr>
    <w:rPr>
      <w:color w:val="auto"/>
      <w:sz w:val="24"/>
    </w:rPr>
  </w:style>
  <w:style w:type="character" w:customStyle="1" w:styleId="Heading2Char">
    <w:name w:val="Heading 2 Char"/>
    <w:basedOn w:val="DefaultParagraphFont"/>
    <w:link w:val="Heading2"/>
    <w:uiPriority w:val="99"/>
    <w:semiHidden/>
    <w:rsid w:val="00A671F8"/>
    <w:rPr>
      <w:rFonts w:asciiTheme="majorHAnsi" w:eastAsiaTheme="majorEastAsia" w:hAnsiTheme="majorHAnsi" w:cstheme="majorBidi"/>
      <w:b/>
      <w:bCs/>
      <w:color w:val="4D4D4D"/>
      <w:sz w:val="26"/>
      <w:szCs w:val="26"/>
    </w:rPr>
  </w:style>
  <w:style w:type="paragraph" w:customStyle="1" w:styleId="DummyStyle">
    <w:name w:val="Dummy_Style"/>
    <w:basedOn w:val="Normal"/>
    <w:semiHidden/>
    <w:qFormat/>
    <w:rsid w:val="00014566"/>
    <w:rPr>
      <w:color w:val="00B050"/>
    </w:rPr>
  </w:style>
  <w:style w:type="paragraph" w:customStyle="1" w:styleId="JuCase">
    <w:name w:val="Ju_Case"/>
    <w:basedOn w:val="Normal"/>
    <w:next w:val="Normal"/>
    <w:uiPriority w:val="10"/>
    <w:rsid w:val="00D60D87"/>
    <w:pPr>
      <w:ind w:firstLine="284"/>
    </w:pPr>
    <w:rPr>
      <w:b/>
    </w:rPr>
  </w:style>
  <w:style w:type="character" w:customStyle="1" w:styleId="Heading3Char">
    <w:name w:val="Heading 3 Char"/>
    <w:basedOn w:val="DefaultParagraphFont"/>
    <w:link w:val="Heading3"/>
    <w:uiPriority w:val="99"/>
    <w:semiHidden/>
    <w:rsid w:val="00A671F8"/>
    <w:rPr>
      <w:rFonts w:asciiTheme="majorHAnsi" w:eastAsiaTheme="majorEastAsia" w:hAnsiTheme="majorHAnsi" w:cstheme="majorBidi"/>
      <w:b/>
      <w:bCs/>
      <w:color w:val="5F5F5F"/>
    </w:rPr>
  </w:style>
  <w:style w:type="character" w:customStyle="1" w:styleId="Heading4Char">
    <w:name w:val="Heading 4 Char"/>
    <w:basedOn w:val="DefaultParagraphFont"/>
    <w:link w:val="Heading4"/>
    <w:uiPriority w:val="99"/>
    <w:semiHidden/>
    <w:rsid w:val="00A671F8"/>
    <w:rPr>
      <w:rFonts w:asciiTheme="majorHAnsi" w:eastAsiaTheme="majorEastAsia" w:hAnsiTheme="majorHAnsi" w:cstheme="majorBidi"/>
      <w:b/>
      <w:bCs/>
      <w:i/>
      <w:iCs/>
      <w:color w:val="777777"/>
    </w:rPr>
  </w:style>
  <w:style w:type="character" w:customStyle="1" w:styleId="Heading5Char">
    <w:name w:val="Heading 5 Char"/>
    <w:basedOn w:val="DefaultParagraphFont"/>
    <w:link w:val="Heading5"/>
    <w:uiPriority w:val="99"/>
    <w:semiHidden/>
    <w:rsid w:val="00014566"/>
    <w:rPr>
      <w:rFonts w:asciiTheme="majorHAnsi" w:eastAsiaTheme="majorEastAsia" w:hAnsiTheme="majorHAnsi" w:cstheme="majorBidi"/>
      <w:b/>
      <w:bCs/>
      <w:color w:val="808080"/>
    </w:rPr>
  </w:style>
  <w:style w:type="character" w:styleId="SubtleEmphasis">
    <w:name w:val="Subtle Emphasis"/>
    <w:uiPriority w:val="99"/>
    <w:semiHidden/>
    <w:qFormat/>
    <w:rsid w:val="00014566"/>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Normal"/>
    <w:uiPriority w:val="18"/>
    <w:qFormat/>
    <w:rsid w:val="00014566"/>
    <w:pPr>
      <w:keepNext/>
      <w:keepLines/>
      <w:spacing w:before="720" w:after="240"/>
      <w:outlineLvl w:val="0"/>
    </w:pPr>
    <w:rPr>
      <w:rFonts w:asciiTheme="majorHAnsi" w:hAnsiTheme="majorHAnsi"/>
      <w:sz w:val="28"/>
    </w:rPr>
  </w:style>
  <w:style w:type="character" w:styleId="Emphasis">
    <w:name w:val="Emphasis"/>
    <w:uiPriority w:val="99"/>
    <w:semiHidden/>
    <w:qFormat/>
    <w:rsid w:val="00014566"/>
    <w:rPr>
      <w:b/>
      <w:bCs/>
      <w:i/>
      <w:iCs/>
      <w:spacing w:val="10"/>
      <w:bdr w:val="none" w:sz="0" w:space="0" w:color="auto"/>
      <w:shd w:val="clear" w:color="auto" w:fill="auto"/>
    </w:rPr>
  </w:style>
  <w:style w:type="paragraph" w:styleId="Footer">
    <w:name w:val="footer"/>
    <w:basedOn w:val="Normal"/>
    <w:link w:val="FooterChar"/>
    <w:uiPriority w:val="57"/>
    <w:semiHidden/>
    <w:rsid w:val="00941747"/>
    <w:pPr>
      <w:tabs>
        <w:tab w:val="center" w:pos="4536"/>
        <w:tab w:val="right" w:pos="9696"/>
      </w:tabs>
      <w:ind w:left="-680" w:right="-680"/>
    </w:pPr>
  </w:style>
  <w:style w:type="character" w:customStyle="1" w:styleId="FooterChar">
    <w:name w:val="Footer Char"/>
    <w:basedOn w:val="DefaultParagraphFont"/>
    <w:link w:val="Footer"/>
    <w:uiPriority w:val="57"/>
    <w:semiHidden/>
    <w:rsid w:val="008D4752"/>
  </w:style>
  <w:style w:type="character" w:styleId="FootnoteReference">
    <w:name w:val="footnote reference"/>
    <w:basedOn w:val="DefaultParagraphFont"/>
    <w:uiPriority w:val="99"/>
    <w:semiHidden/>
    <w:rsid w:val="00941747"/>
    <w:rPr>
      <w:vertAlign w:val="superscript"/>
    </w:rPr>
  </w:style>
  <w:style w:type="paragraph" w:styleId="FootnoteText">
    <w:name w:val="footnote text"/>
    <w:basedOn w:val="Normal"/>
    <w:link w:val="FootnoteTextChar"/>
    <w:uiPriority w:val="99"/>
    <w:semiHidden/>
    <w:rsid w:val="00941747"/>
    <w:rPr>
      <w:sz w:val="20"/>
      <w:szCs w:val="20"/>
    </w:rPr>
  </w:style>
  <w:style w:type="character" w:customStyle="1" w:styleId="FootnoteTextChar">
    <w:name w:val="Footnote Text Char"/>
    <w:basedOn w:val="DefaultParagraphFont"/>
    <w:link w:val="FootnoteText"/>
    <w:uiPriority w:val="99"/>
    <w:semiHidden/>
    <w:rsid w:val="00A671F8"/>
    <w:rPr>
      <w:rFonts w:eastAsiaTheme="minorEastAsia"/>
      <w:sz w:val="20"/>
      <w:szCs w:val="20"/>
    </w:rPr>
  </w:style>
  <w:style w:type="character" w:customStyle="1" w:styleId="Heading6Char">
    <w:name w:val="Heading 6 Char"/>
    <w:basedOn w:val="DefaultParagraphFont"/>
    <w:link w:val="Heading6"/>
    <w:uiPriority w:val="99"/>
    <w:semiHidden/>
    <w:rsid w:val="00A671F8"/>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9"/>
    <w:semiHidden/>
    <w:rsid w:val="00014566"/>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014566"/>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014566"/>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941747"/>
    <w:rPr>
      <w:color w:val="0072BC" w:themeColor="hyperlink"/>
      <w:u w:val="single"/>
    </w:rPr>
  </w:style>
  <w:style w:type="character" w:styleId="IntenseEmphasis">
    <w:name w:val="Intense Emphasis"/>
    <w:uiPriority w:val="99"/>
    <w:semiHidden/>
    <w:qFormat/>
    <w:rsid w:val="00014566"/>
    <w:rPr>
      <w:b/>
      <w:bCs/>
    </w:rPr>
  </w:style>
  <w:style w:type="paragraph" w:styleId="IntenseQuote">
    <w:name w:val="Intense Quote"/>
    <w:basedOn w:val="Normal"/>
    <w:next w:val="Normal"/>
    <w:link w:val="IntenseQuoteChar"/>
    <w:uiPriority w:val="99"/>
    <w:semiHidden/>
    <w:qFormat/>
    <w:rsid w:val="00014566"/>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014566"/>
    <w:rPr>
      <w:rFonts w:eastAsiaTheme="minorEastAsia"/>
      <w:b/>
      <w:bCs/>
      <w:i/>
      <w:iCs/>
      <w:lang w:bidi="en-US"/>
    </w:rPr>
  </w:style>
  <w:style w:type="character" w:styleId="IntenseReference">
    <w:name w:val="Intense Reference"/>
    <w:uiPriority w:val="99"/>
    <w:semiHidden/>
    <w:qFormat/>
    <w:rsid w:val="00014566"/>
    <w:rPr>
      <w:smallCaps/>
      <w:spacing w:val="5"/>
      <w:u w:val="single"/>
    </w:rPr>
  </w:style>
  <w:style w:type="paragraph" w:styleId="ListParagraph">
    <w:name w:val="List Paragraph"/>
    <w:basedOn w:val="Normal"/>
    <w:uiPriority w:val="99"/>
    <w:semiHidden/>
    <w:qFormat/>
    <w:rsid w:val="00014566"/>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014566"/>
    <w:pPr>
      <w:spacing w:before="200"/>
      <w:ind w:left="360" w:right="360"/>
    </w:pPr>
    <w:rPr>
      <w:i/>
      <w:iCs/>
      <w:sz w:val="22"/>
      <w:lang w:bidi="en-US"/>
    </w:rPr>
  </w:style>
  <w:style w:type="character" w:customStyle="1" w:styleId="QuoteChar">
    <w:name w:val="Quote Char"/>
    <w:basedOn w:val="DefaultParagraphFont"/>
    <w:link w:val="Quote"/>
    <w:uiPriority w:val="99"/>
    <w:semiHidden/>
    <w:rsid w:val="00014566"/>
    <w:rPr>
      <w:rFonts w:eastAsiaTheme="minorEastAsia"/>
      <w:i/>
      <w:iCs/>
      <w:lang w:bidi="en-US"/>
    </w:rPr>
  </w:style>
  <w:style w:type="character" w:styleId="SubtleReference">
    <w:name w:val="Subtle Reference"/>
    <w:uiPriority w:val="99"/>
    <w:semiHidden/>
    <w:qFormat/>
    <w:rsid w:val="00014566"/>
    <w:rPr>
      <w:smallCaps/>
    </w:rPr>
  </w:style>
  <w:style w:type="table" w:styleId="TableGrid">
    <w:name w:val="Table Grid"/>
    <w:basedOn w:val="TableNormal"/>
    <w:uiPriority w:val="59"/>
    <w:semiHidden/>
    <w:rsid w:val="00941747"/>
    <w:rPr>
      <w:rFonts w:eastAsiaTheme="minorEastAsi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EA185E"/>
    <w:pPr>
      <w:spacing w:before="120" w:after="60"/>
      <w:ind w:left="340" w:right="340" w:hanging="340"/>
    </w:pPr>
    <w:rPr>
      <w:color w:val="0D0D0D" w:themeColor="text1" w:themeTint="F2"/>
    </w:rPr>
  </w:style>
  <w:style w:type="paragraph" w:styleId="TOC2">
    <w:name w:val="toc 2"/>
    <w:basedOn w:val="Normal"/>
    <w:next w:val="Normal"/>
    <w:autoRedefine/>
    <w:uiPriority w:val="99"/>
    <w:semiHidden/>
    <w:rsid w:val="00EA185E"/>
    <w:pPr>
      <w:spacing w:after="60"/>
      <w:ind w:left="680" w:right="340" w:hanging="340"/>
    </w:pPr>
  </w:style>
  <w:style w:type="paragraph" w:styleId="TOC3">
    <w:name w:val="toc 3"/>
    <w:basedOn w:val="Normal"/>
    <w:next w:val="Normal"/>
    <w:autoRedefine/>
    <w:uiPriority w:val="99"/>
    <w:semiHidden/>
    <w:rsid w:val="00EA185E"/>
    <w:pPr>
      <w:spacing w:after="60"/>
      <w:ind w:left="1020" w:right="340" w:hanging="340"/>
    </w:pPr>
  </w:style>
  <w:style w:type="paragraph" w:styleId="TOC4">
    <w:name w:val="toc 4"/>
    <w:basedOn w:val="Normal"/>
    <w:next w:val="Normal"/>
    <w:autoRedefine/>
    <w:uiPriority w:val="99"/>
    <w:semiHidden/>
    <w:rsid w:val="00EA185E"/>
    <w:pPr>
      <w:tabs>
        <w:tab w:val="right" w:leader="dot" w:pos="9017"/>
      </w:tabs>
      <w:spacing w:after="60"/>
      <w:ind w:left="1361" w:right="340" w:hanging="340"/>
    </w:pPr>
  </w:style>
  <w:style w:type="paragraph" w:styleId="TOC5">
    <w:name w:val="toc 5"/>
    <w:basedOn w:val="Normal"/>
    <w:next w:val="Normal"/>
    <w:autoRedefine/>
    <w:uiPriority w:val="99"/>
    <w:semiHidden/>
    <w:rsid w:val="00B46543"/>
    <w:pPr>
      <w:spacing w:after="60"/>
      <w:ind w:left="1701" w:right="340" w:hanging="340"/>
    </w:pPr>
  </w:style>
  <w:style w:type="paragraph" w:styleId="TOCHeading">
    <w:name w:val="TOC Heading"/>
    <w:basedOn w:val="Heading1"/>
    <w:next w:val="Normal"/>
    <w:uiPriority w:val="99"/>
    <w:semiHidden/>
    <w:qFormat/>
    <w:rsid w:val="00014566"/>
    <w:pPr>
      <w:numPr>
        <w:numId w:val="0"/>
      </w:numPr>
      <w:jc w:val="both"/>
      <w:outlineLvl w:val="9"/>
    </w:pPr>
    <w:rPr>
      <w:color w:val="474747" w:themeColor="accent3" w:themeShade="BF"/>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C333A0"/>
    <w:pPr>
      <w:spacing w:before="120"/>
    </w:pPr>
    <w:rPr>
      <w:rFonts w:asciiTheme="majorHAnsi" w:eastAsiaTheme="majorEastAsia" w:hAnsiTheme="majorHAnsi" w:cstheme="majorBidi"/>
      <w:b/>
      <w:bCs/>
      <w:color w:val="474747" w:themeColor="accent3" w:themeShade="BF"/>
      <w:szCs w:val="24"/>
    </w:rPr>
  </w:style>
  <w:style w:type="paragraph" w:customStyle="1" w:styleId="ECHRParaQuote">
    <w:name w:val="ECHR_Para_Quote"/>
    <w:aliases w:val="Ju_Quot"/>
    <w:basedOn w:val="Normal"/>
    <w:uiPriority w:val="14"/>
    <w:qFormat/>
    <w:rsid w:val="00014566"/>
    <w:pPr>
      <w:spacing w:before="120" w:after="120"/>
      <w:ind w:left="425" w:firstLine="142"/>
    </w:pPr>
    <w:rPr>
      <w:sz w:val="20"/>
    </w:rPr>
  </w:style>
  <w:style w:type="paragraph" w:customStyle="1" w:styleId="ECHRPara">
    <w:name w:val="ECHR_Para"/>
    <w:aliases w:val="Ju_Para,Left,First line:  0 cm"/>
    <w:basedOn w:val="Normal"/>
    <w:link w:val="JuParaCar"/>
    <w:uiPriority w:val="12"/>
    <w:qFormat/>
    <w:rsid w:val="00C621C2"/>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4D7D4C"/>
    <w:rPr>
      <w:lang w:val="fr-FR" w:eastAsia="fr-FR"/>
    </w:rPr>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DF0549"/>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C621C2"/>
    <w:pPr>
      <w:ind w:left="340" w:hanging="340"/>
    </w:pPr>
  </w:style>
  <w:style w:type="paragraph" w:customStyle="1" w:styleId="JuSigned">
    <w:name w:val="Ju_Signed"/>
    <w:basedOn w:val="Normal"/>
    <w:next w:val="JuParaLast"/>
    <w:uiPriority w:val="32"/>
    <w:qFormat/>
    <w:rsid w:val="00C621C2"/>
    <w:pPr>
      <w:tabs>
        <w:tab w:val="center" w:pos="851"/>
        <w:tab w:val="center" w:pos="6407"/>
      </w:tabs>
      <w:spacing w:before="720"/>
      <w:jc w:val="left"/>
    </w:pPr>
  </w:style>
  <w:style w:type="paragraph" w:customStyle="1" w:styleId="JuParaLast">
    <w:name w:val="Ju_Para_Last"/>
    <w:basedOn w:val="Normal"/>
    <w:next w:val="Normal"/>
    <w:uiPriority w:val="30"/>
    <w:qFormat/>
    <w:rsid w:val="00014566"/>
    <w:pPr>
      <w:keepNext/>
      <w:keepLines/>
      <w:spacing w:before="240"/>
      <w:ind w:firstLine="284"/>
    </w:pPr>
  </w:style>
  <w:style w:type="paragraph" w:customStyle="1" w:styleId="JuCourt">
    <w:name w:val="Ju_Court"/>
    <w:basedOn w:val="Normal"/>
    <w:next w:val="Normal"/>
    <w:uiPriority w:val="16"/>
    <w:qFormat/>
    <w:rsid w:val="00014566"/>
    <w:pPr>
      <w:tabs>
        <w:tab w:val="left" w:pos="907"/>
        <w:tab w:val="left" w:pos="1701"/>
        <w:tab w:val="right" w:pos="7371"/>
      </w:tabs>
      <w:spacing w:before="240"/>
      <w:ind w:left="397" w:hanging="397"/>
      <w:jc w:val="left"/>
    </w:pPr>
    <w:rPr>
      <w:lang w:bidi="en-US"/>
    </w:rPr>
  </w:style>
  <w:style w:type="character" w:styleId="PageNumber">
    <w:name w:val="page number"/>
    <w:uiPriority w:val="99"/>
    <w:semiHidden/>
    <w:rsid w:val="00014566"/>
    <w:rPr>
      <w:sz w:val="18"/>
    </w:rPr>
  </w:style>
  <w:style w:type="paragraph" w:customStyle="1" w:styleId="JuLista">
    <w:name w:val="Ju_List_a"/>
    <w:basedOn w:val="Normal"/>
    <w:uiPriority w:val="28"/>
    <w:qFormat/>
    <w:rsid w:val="00C621C2"/>
    <w:pPr>
      <w:ind w:left="346"/>
    </w:pPr>
  </w:style>
  <w:style w:type="paragraph" w:customStyle="1" w:styleId="JuListi">
    <w:name w:val="Ju_List_i"/>
    <w:basedOn w:val="Normal"/>
    <w:next w:val="JuLista"/>
    <w:uiPriority w:val="28"/>
    <w:qFormat/>
    <w:rsid w:val="00014566"/>
    <w:pPr>
      <w:ind w:left="794"/>
    </w:pPr>
  </w:style>
  <w:style w:type="character" w:styleId="CommentReference">
    <w:name w:val="annotation reference"/>
    <w:uiPriority w:val="99"/>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character" w:customStyle="1" w:styleId="JuNames0">
    <w:name w:val="Ju_Names"/>
    <w:rsid w:val="00014566"/>
    <w:rPr>
      <w:smallCaps/>
    </w:rPr>
  </w:style>
  <w:style w:type="paragraph" w:styleId="ListBullet">
    <w:name w:val="List Bullet"/>
    <w:basedOn w:val="Normal"/>
    <w:uiPriority w:val="99"/>
    <w:semiHidden/>
    <w:rsid w:val="00014566"/>
    <w:pPr>
      <w:numPr>
        <w:numId w:val="8"/>
      </w:numPr>
    </w:pPr>
  </w:style>
  <w:style w:type="character" w:customStyle="1" w:styleId="JuITMark">
    <w:name w:val="Ju_ITMark"/>
    <w:basedOn w:val="DefaultParagraphFont"/>
    <w:uiPriority w:val="38"/>
    <w:qFormat/>
    <w:rsid w:val="00014566"/>
    <w:rPr>
      <w:vanish w:val="0"/>
      <w:color w:val="auto"/>
      <w:sz w:val="14"/>
    </w:rPr>
  </w:style>
  <w:style w:type="paragraph" w:styleId="Subtitle">
    <w:name w:val="Subtitle"/>
    <w:basedOn w:val="Normal"/>
    <w:next w:val="Normal"/>
    <w:link w:val="SubtitleChar"/>
    <w:uiPriority w:val="99"/>
    <w:semiHidden/>
    <w:qFormat/>
    <w:rsid w:val="00014566"/>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014566"/>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9"/>
      </w:numPr>
    </w:pPr>
  </w:style>
  <w:style w:type="numbering" w:styleId="1ai">
    <w:name w:val="Outline List 1"/>
    <w:basedOn w:val="NoList"/>
    <w:uiPriority w:val="99"/>
    <w:semiHidden/>
    <w:rsid w:val="00014566"/>
    <w:pPr>
      <w:numPr>
        <w:numId w:val="10"/>
      </w:numPr>
    </w:pPr>
  </w:style>
  <w:style w:type="numbering" w:styleId="ArticleSection">
    <w:name w:val="Outline List 3"/>
    <w:basedOn w:val="NoList"/>
    <w:uiPriority w:val="99"/>
    <w:semiHidden/>
    <w:rsid w:val="00014566"/>
    <w:pPr>
      <w:numPr>
        <w:numId w:val="11"/>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12"/>
      </w:numPr>
      <w:contextualSpacing/>
    </w:pPr>
  </w:style>
  <w:style w:type="paragraph" w:styleId="ListBullet3">
    <w:name w:val="List Bullet 3"/>
    <w:basedOn w:val="Normal"/>
    <w:uiPriority w:val="99"/>
    <w:semiHidden/>
    <w:rsid w:val="00014566"/>
    <w:pPr>
      <w:numPr>
        <w:numId w:val="13"/>
      </w:numPr>
      <w:contextualSpacing/>
    </w:pPr>
  </w:style>
  <w:style w:type="paragraph" w:styleId="ListBullet4">
    <w:name w:val="List Bullet 4"/>
    <w:basedOn w:val="Normal"/>
    <w:uiPriority w:val="99"/>
    <w:semiHidden/>
    <w:rsid w:val="00014566"/>
    <w:pPr>
      <w:numPr>
        <w:numId w:val="14"/>
      </w:numPr>
      <w:contextualSpacing/>
    </w:pPr>
  </w:style>
  <w:style w:type="paragraph" w:styleId="ListBullet5">
    <w:name w:val="List Bullet 5"/>
    <w:basedOn w:val="Normal"/>
    <w:uiPriority w:val="99"/>
    <w:semiHidden/>
    <w:rsid w:val="00014566"/>
    <w:pPr>
      <w:numPr>
        <w:numId w:val="15"/>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16"/>
      </w:numPr>
      <w:contextualSpacing/>
    </w:pPr>
  </w:style>
  <w:style w:type="paragraph" w:styleId="ListNumber2">
    <w:name w:val="List Number 2"/>
    <w:basedOn w:val="Normal"/>
    <w:uiPriority w:val="99"/>
    <w:semiHidden/>
    <w:rsid w:val="00014566"/>
    <w:pPr>
      <w:numPr>
        <w:numId w:val="17"/>
      </w:numPr>
      <w:contextualSpacing/>
    </w:pPr>
  </w:style>
  <w:style w:type="paragraph" w:styleId="ListNumber3">
    <w:name w:val="List Number 3"/>
    <w:basedOn w:val="Normal"/>
    <w:uiPriority w:val="99"/>
    <w:semiHidden/>
    <w:rsid w:val="00014566"/>
    <w:pPr>
      <w:numPr>
        <w:numId w:val="18"/>
      </w:numPr>
      <w:contextualSpacing/>
    </w:pPr>
  </w:style>
  <w:style w:type="paragraph" w:styleId="ListNumber4">
    <w:name w:val="List Number 4"/>
    <w:basedOn w:val="Normal"/>
    <w:uiPriority w:val="99"/>
    <w:semiHidden/>
    <w:rsid w:val="00014566"/>
    <w:pPr>
      <w:numPr>
        <w:numId w:val="19"/>
      </w:numPr>
      <w:contextualSpacing/>
    </w:pPr>
  </w:style>
  <w:style w:type="paragraph" w:styleId="ListNumber5">
    <w:name w:val="List Number 5"/>
    <w:basedOn w:val="Normal"/>
    <w:uiPriority w:val="99"/>
    <w:semiHidden/>
    <w:rsid w:val="00014566"/>
    <w:pPr>
      <w:numPr>
        <w:numId w:val="20"/>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014566"/>
    <w:rPr>
      <w:color w:val="808080"/>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014566"/>
    <w:pPr>
      <w:spacing w:after="100"/>
      <w:ind w:left="1200"/>
    </w:pPr>
  </w:style>
  <w:style w:type="paragraph" w:styleId="TOC7">
    <w:name w:val="toc 7"/>
    <w:basedOn w:val="Normal"/>
    <w:next w:val="Normal"/>
    <w:autoRedefine/>
    <w:uiPriority w:val="99"/>
    <w:semiHidden/>
    <w:rsid w:val="00014566"/>
    <w:pPr>
      <w:spacing w:after="100"/>
      <w:ind w:left="1440"/>
    </w:p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character" w:customStyle="1" w:styleId="JuParaCar">
    <w:name w:val="Ju_Para Car"/>
    <w:link w:val="ECHRPara"/>
    <w:uiPriority w:val="12"/>
    <w:rsid w:val="008D5E41"/>
    <w:rPr>
      <w:rFonts w:eastAsiaTheme="minorEastAs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661673">
      <w:bodyDiv w:val="1"/>
      <w:marLeft w:val="0"/>
      <w:marRight w:val="0"/>
      <w:marTop w:val="0"/>
      <w:marBottom w:val="0"/>
      <w:divBdr>
        <w:top w:val="none" w:sz="0" w:space="0" w:color="auto"/>
        <w:left w:val="none" w:sz="0" w:space="0" w:color="auto"/>
        <w:bottom w:val="none" w:sz="0" w:space="0" w:color="auto"/>
        <w:right w:val="none" w:sz="0" w:space="0" w:color="auto"/>
      </w:divBdr>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98B3EE-BB43-4186-9019-430734211DDD}"/>
</file>

<file path=customXml/itemProps2.xml><?xml version="1.0" encoding="utf-8"?>
<ds:datastoreItem xmlns:ds="http://schemas.openxmlformats.org/officeDocument/2006/customXml" ds:itemID="{79B09D67-E07A-42FA-BA1A-99327F257656}"/>
</file>

<file path=customXml/itemProps3.xml><?xml version="1.0" encoding="utf-8"?>
<ds:datastoreItem xmlns:ds="http://schemas.openxmlformats.org/officeDocument/2006/customXml" ds:itemID="{946407A9-A90B-4D4E-90F8-CF581FE2BFE6}"/>
</file>

<file path=customXml/itemProps4.xml><?xml version="1.0" encoding="utf-8"?>
<ds:datastoreItem xmlns:ds="http://schemas.openxmlformats.org/officeDocument/2006/customXml" ds:itemID="{EDEC8BC6-EC17-4EE0-85A2-97A080C159DA}"/>
</file>

<file path=docProps/app.xml><?xml version="1.0" encoding="utf-8"?>
<Properties xmlns="http://schemas.openxmlformats.org/officeDocument/2006/extended-properties" xmlns:vt="http://schemas.openxmlformats.org/officeDocument/2006/docPropsVTypes">
  <Template>Normal.dotm</Template>
  <TotalTime>0</TotalTime>
  <Pages>1</Pages>
  <Words>2753</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18410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lastModifiedBy/>
  <cp:revision>1</cp:revision>
  <dcterms:created xsi:type="dcterms:W3CDTF">2015-07-21T09:36:00Z</dcterms:created>
  <dcterms:modified xsi:type="dcterms:W3CDTF">2015-07-21T09:36:00Z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