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66" w:rsidP="00600982" w:rsidRDefault="00014566">
      <w:pPr>
        <w:jc w:val="center"/>
        <w:rPr>
          <w:lang w:val="en-GB"/>
        </w:rPr>
      </w:pPr>
      <w:bookmarkStart w:name="_GoBack" w:id="0"/>
      <w:bookmarkEnd w:id="0"/>
    </w:p>
    <w:p w:rsidR="009B6D31" w:rsidP="00600982" w:rsidRDefault="009B6D31">
      <w:pPr>
        <w:jc w:val="center"/>
        <w:rPr>
          <w:lang w:val="en-GB"/>
        </w:rPr>
      </w:pPr>
    </w:p>
    <w:p w:rsidRPr="00062973" w:rsidR="009B6D31" w:rsidP="00600982" w:rsidRDefault="009B6D31">
      <w:pPr>
        <w:jc w:val="center"/>
        <w:rPr>
          <w:lang w:val="en-GB"/>
        </w:rPr>
      </w:pPr>
    </w:p>
    <w:p w:rsidRPr="00062973" w:rsidR="00014566" w:rsidP="00014566" w:rsidRDefault="00DD6A30">
      <w:pPr>
        <w:jc w:val="center"/>
        <w:rPr>
          <w:lang w:val="en-GB"/>
        </w:rPr>
      </w:pPr>
      <w:r>
        <w:rPr>
          <w:lang w:val="en-GB"/>
        </w:rPr>
        <w:t>FIRST SECTION</w:t>
      </w:r>
    </w:p>
    <w:p w:rsidR="00014566" w:rsidP="00014566" w:rsidRDefault="00014566">
      <w:pPr>
        <w:jc w:val="center"/>
        <w:rPr>
          <w:lang w:val="en-GB"/>
        </w:rPr>
      </w:pPr>
    </w:p>
    <w:p w:rsidR="009B6D31" w:rsidP="00014566" w:rsidRDefault="009B6D31">
      <w:pPr>
        <w:jc w:val="center"/>
        <w:rPr>
          <w:lang w:val="en-GB"/>
        </w:rPr>
      </w:pPr>
    </w:p>
    <w:p w:rsidR="009B6D31" w:rsidP="00014566" w:rsidRDefault="009B6D31">
      <w:pPr>
        <w:jc w:val="center"/>
        <w:rPr>
          <w:lang w:val="en-GB"/>
        </w:rPr>
      </w:pPr>
    </w:p>
    <w:p w:rsidR="009B6D31" w:rsidP="00014566" w:rsidRDefault="009B6D31">
      <w:pPr>
        <w:jc w:val="center"/>
        <w:rPr>
          <w:lang w:val="en-GB"/>
        </w:rPr>
      </w:pPr>
    </w:p>
    <w:p w:rsidR="00F73EE2" w:rsidP="00014566" w:rsidRDefault="00F73EE2">
      <w:pPr>
        <w:jc w:val="center"/>
        <w:rPr>
          <w:lang w:val="en-GB"/>
        </w:rPr>
      </w:pPr>
    </w:p>
    <w:p w:rsidR="009B6D31" w:rsidP="00014566" w:rsidRDefault="009B6D31">
      <w:pPr>
        <w:jc w:val="center"/>
        <w:rPr>
          <w:lang w:val="en-GB"/>
        </w:rPr>
      </w:pPr>
    </w:p>
    <w:p w:rsidRPr="00062973" w:rsidR="009B6D31" w:rsidP="00014566" w:rsidRDefault="009B6D31">
      <w:pPr>
        <w:jc w:val="center"/>
        <w:rPr>
          <w:lang w:val="en-GB"/>
        </w:rPr>
      </w:pPr>
    </w:p>
    <w:p w:rsidRPr="008B659F" w:rsidR="00014566" w:rsidP="00014566" w:rsidRDefault="00014566">
      <w:pPr>
        <w:jc w:val="center"/>
        <w:rPr>
          <w:b/>
          <w:lang w:val="en-GB"/>
        </w:rPr>
      </w:pPr>
      <w:bookmarkStart w:name="To" w:id="1"/>
      <w:r w:rsidRPr="008B659F">
        <w:rPr>
          <w:b/>
          <w:lang w:val="en-GB"/>
        </w:rPr>
        <w:t xml:space="preserve">CASE OF </w:t>
      </w:r>
      <w:bookmarkEnd w:id="1"/>
      <w:r w:rsidRPr="00265276" w:rsidR="00265276">
        <w:rPr>
          <w:b/>
          <w:lang w:val="en-GB"/>
        </w:rPr>
        <w:t xml:space="preserve">ALEKSANDR </w:t>
      </w:r>
      <w:r w:rsidR="00DD6A30">
        <w:rPr>
          <w:b/>
        </w:rPr>
        <w:t>DMITRIYEV v. RUSSIA</w:t>
      </w:r>
    </w:p>
    <w:p w:rsidRPr="00062973" w:rsidR="00014566" w:rsidP="00014566" w:rsidRDefault="00014566">
      <w:pPr>
        <w:jc w:val="center"/>
        <w:rPr>
          <w:lang w:val="en-GB"/>
        </w:rPr>
      </w:pPr>
    </w:p>
    <w:p w:rsidRPr="00D53C0F" w:rsidR="00014566" w:rsidP="00014566" w:rsidRDefault="00014566">
      <w:pPr>
        <w:jc w:val="center"/>
        <w:rPr>
          <w:i/>
          <w:lang w:val="en-GB"/>
        </w:rPr>
      </w:pPr>
      <w:r w:rsidRPr="00D53C0F">
        <w:rPr>
          <w:i/>
          <w:lang w:val="en-GB"/>
        </w:rPr>
        <w:t>(</w:t>
      </w:r>
      <w:r w:rsidRPr="00D53C0F" w:rsidR="00DD6A30">
        <w:rPr>
          <w:i/>
        </w:rPr>
        <w:t xml:space="preserve">Application no. </w:t>
      </w:r>
      <w:r w:rsidR="00DD6A30">
        <w:rPr>
          <w:i/>
        </w:rPr>
        <w:t>12993/05</w:t>
      </w:r>
      <w:r w:rsidRPr="00D53C0F">
        <w:rPr>
          <w:i/>
          <w:lang w:val="en-GB"/>
        </w:rPr>
        <w:t>)</w:t>
      </w:r>
    </w:p>
    <w:p w:rsidRPr="00062973" w:rsidR="00014566" w:rsidP="00014566" w:rsidRDefault="00014566">
      <w:pPr>
        <w:jc w:val="center"/>
        <w:rPr>
          <w:lang w:val="en-GB"/>
        </w:rPr>
      </w:pPr>
    </w:p>
    <w:p w:rsidRPr="00062973" w:rsidR="00014566" w:rsidP="00014566" w:rsidRDefault="00014566">
      <w:pPr>
        <w:jc w:val="center"/>
        <w:rPr>
          <w:lang w:val="en-GB"/>
        </w:rPr>
      </w:pPr>
    </w:p>
    <w:p w:rsidRPr="00062973" w:rsidR="009B6D31" w:rsidP="00014566" w:rsidRDefault="009B6D31">
      <w:pPr>
        <w:jc w:val="center"/>
        <w:rPr>
          <w:lang w:val="en-GB"/>
        </w:rPr>
      </w:pPr>
    </w:p>
    <w:p w:rsidRPr="00062973" w:rsidR="00014566" w:rsidP="00014566" w:rsidRDefault="00014566">
      <w:pPr>
        <w:jc w:val="center"/>
        <w:rPr>
          <w:lang w:val="en-GB"/>
        </w:rPr>
      </w:pPr>
    </w:p>
    <w:p w:rsidRPr="00062973" w:rsidR="00014566" w:rsidP="00014566" w:rsidRDefault="00014566">
      <w:pPr>
        <w:jc w:val="center"/>
        <w:rPr>
          <w:lang w:val="en-GB"/>
        </w:rPr>
      </w:pPr>
    </w:p>
    <w:p w:rsidR="00014566" w:rsidP="00014566" w:rsidRDefault="00014566">
      <w:pPr>
        <w:jc w:val="center"/>
        <w:rPr>
          <w:lang w:val="en-GB"/>
        </w:rPr>
      </w:pPr>
    </w:p>
    <w:p w:rsidR="00F73EE2" w:rsidP="00014566" w:rsidRDefault="00F73EE2">
      <w:pPr>
        <w:jc w:val="center"/>
        <w:rPr>
          <w:lang w:val="en-GB"/>
        </w:rPr>
      </w:pPr>
    </w:p>
    <w:p w:rsidRPr="00062973" w:rsidR="00F73EE2" w:rsidP="00014566" w:rsidRDefault="00F73EE2">
      <w:pPr>
        <w:jc w:val="center"/>
        <w:rPr>
          <w:lang w:val="en-GB"/>
        </w:rPr>
      </w:pPr>
    </w:p>
    <w:p w:rsidRPr="009B6D31" w:rsidR="00014566" w:rsidP="009B6D31" w:rsidRDefault="009B6D31">
      <w:pPr>
        <w:jc w:val="center"/>
        <w:rPr>
          <w:szCs w:val="24"/>
          <w:lang w:val="en-GB"/>
        </w:rPr>
      </w:pPr>
      <w:r>
        <w:rPr>
          <w:szCs w:val="24"/>
          <w:lang w:val="en-GB"/>
        </w:rPr>
        <w:t>JUDGMENT</w:t>
      </w:r>
    </w:p>
    <w:p w:rsidR="00AE7D37" w:rsidP="00AE7D37" w:rsidRDefault="00AE7D37">
      <w:pPr>
        <w:jc w:val="center"/>
        <w:rPr>
          <w:lang w:val="en-GB"/>
        </w:rPr>
      </w:pPr>
    </w:p>
    <w:p w:rsidRPr="00AE7D37" w:rsidR="00AE7D37" w:rsidP="00AE7D37" w:rsidRDefault="00AE7D37">
      <w:pPr>
        <w:jc w:val="center"/>
        <w:rPr>
          <w:lang w:val="en-GB"/>
        </w:rPr>
      </w:pPr>
    </w:p>
    <w:p w:rsidRPr="00600982" w:rsidR="009B6D31" w:rsidP="00600982" w:rsidRDefault="009B6D31">
      <w:pPr>
        <w:jc w:val="center"/>
        <w:rPr>
          <w:lang w:val="en-GB"/>
        </w:rPr>
      </w:pPr>
      <w:r>
        <w:rPr>
          <w:lang w:val="en-GB"/>
        </w:rPr>
        <w:t>STRASBOURG</w:t>
      </w:r>
    </w:p>
    <w:p w:rsidRPr="00600982" w:rsidR="009B6D31" w:rsidP="00600982" w:rsidRDefault="009B6D31">
      <w:pPr>
        <w:jc w:val="center"/>
        <w:rPr>
          <w:lang w:val="en-GB"/>
        </w:rPr>
      </w:pPr>
    </w:p>
    <w:p w:rsidRPr="00600982" w:rsidR="009B6D31" w:rsidP="00600982" w:rsidRDefault="009B6D31">
      <w:pPr>
        <w:jc w:val="center"/>
        <w:rPr>
          <w:lang w:val="en-GB"/>
        </w:rPr>
      </w:pPr>
      <w:r>
        <w:rPr>
          <w:lang w:val="en-GB"/>
        </w:rPr>
        <w:t>7</w:t>
      </w:r>
      <w:r w:rsidR="00F73EE2">
        <w:rPr>
          <w:lang w:val="en-GB"/>
        </w:rPr>
        <w:t xml:space="preserve"> </w:t>
      </w:r>
      <w:r>
        <w:rPr>
          <w:lang w:val="en-GB"/>
        </w:rPr>
        <w:t>May 2015</w:t>
      </w:r>
    </w:p>
    <w:p w:rsidRPr="00600982" w:rsidR="009B6D31" w:rsidP="00600982" w:rsidRDefault="009B6D31">
      <w:pPr>
        <w:jc w:val="center"/>
        <w:rPr>
          <w:lang w:val="en-GB"/>
        </w:rPr>
      </w:pPr>
    </w:p>
    <w:p w:rsidR="00F73EE2" w:rsidP="00600982" w:rsidRDefault="00F73EE2">
      <w:pPr>
        <w:jc w:val="center"/>
        <w:rPr>
          <w:lang w:val="en-GB"/>
        </w:rPr>
      </w:pPr>
    </w:p>
    <w:p w:rsidR="00C471A6" w:rsidP="00C471A6" w:rsidRDefault="00C471A6">
      <w:pPr>
        <w:pStyle w:val="jucase0"/>
        <w:ind w:firstLine="0"/>
        <w:jc w:val="center"/>
        <w:rPr>
          <w:color w:val="FF0000"/>
          <w:sz w:val="28"/>
          <w:szCs w:val="28"/>
          <w:u w:val="single"/>
        </w:rPr>
      </w:pPr>
      <w:r>
        <w:rPr>
          <w:color w:val="FF0000"/>
          <w:sz w:val="28"/>
          <w:szCs w:val="28"/>
          <w:u w:val="single"/>
        </w:rPr>
        <w:t>FINAL</w:t>
      </w:r>
    </w:p>
    <w:p w:rsidR="00C471A6" w:rsidP="00C471A6" w:rsidRDefault="00C471A6">
      <w:pPr>
        <w:pStyle w:val="jupara"/>
        <w:tabs>
          <w:tab w:val="left" w:pos="4650"/>
        </w:tabs>
        <w:ind w:firstLine="0"/>
        <w:jc w:val="left"/>
        <w:rPr>
          <w:color w:val="FF0000"/>
          <w:sz w:val="28"/>
          <w:szCs w:val="28"/>
        </w:rPr>
      </w:pPr>
      <w:r>
        <w:rPr>
          <w:color w:val="FF0000"/>
          <w:sz w:val="28"/>
          <w:szCs w:val="28"/>
        </w:rPr>
        <w:tab/>
      </w:r>
    </w:p>
    <w:p w:rsidR="00C471A6" w:rsidP="00C471A6" w:rsidRDefault="00C471A6">
      <w:pPr>
        <w:pStyle w:val="jupara"/>
        <w:ind w:firstLine="0"/>
        <w:jc w:val="center"/>
        <w:rPr>
          <w:color w:val="FF0000"/>
          <w:sz w:val="28"/>
          <w:szCs w:val="28"/>
        </w:rPr>
      </w:pPr>
      <w:r>
        <w:rPr>
          <w:color w:val="FF0000"/>
          <w:sz w:val="28"/>
          <w:szCs w:val="28"/>
        </w:rPr>
        <w:t>07/08/2015</w:t>
      </w:r>
    </w:p>
    <w:p w:rsidR="00C471A6" w:rsidP="00C471A6" w:rsidRDefault="00C471A6">
      <w:pPr>
        <w:pStyle w:val="jupara"/>
        <w:ind w:firstLine="0"/>
        <w:jc w:val="center"/>
      </w:pPr>
    </w:p>
    <w:p w:rsidR="00C471A6" w:rsidP="00C471A6" w:rsidRDefault="00C471A6">
      <w:pPr>
        <w:jc w:val="center"/>
        <w:rPr>
          <w:i/>
          <w:iCs/>
          <w:sz w:val="22"/>
        </w:rPr>
      </w:pPr>
      <w:r>
        <w:rPr>
          <w:i/>
          <w:iCs/>
          <w:sz w:val="22"/>
        </w:rPr>
        <w:t>This judgment has become final under Article 44 § 2 of the Convention. It may be subject to editorial revision.</w:t>
      </w:r>
    </w:p>
    <w:p w:rsidRPr="009B6D31" w:rsidR="009B6D31" w:rsidP="009B6D31" w:rsidRDefault="009B6D31">
      <w:pPr>
        <w:rPr>
          <w:lang w:val="en-GB"/>
        </w:rPr>
        <w:sectPr w:rsidRPr="009B6D31" w:rsidR="009B6D31" w:rsidSect="009B6D31">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062973" w:rsidR="00014566" w:rsidP="00D60D87" w:rsidRDefault="00014566">
      <w:pPr>
        <w:pStyle w:val="JuCase"/>
        <w:rPr>
          <w:bCs/>
          <w:lang w:val="en-GB"/>
        </w:rPr>
      </w:pPr>
      <w:r w:rsidRPr="00062973">
        <w:rPr>
          <w:lang w:val="en-GB"/>
        </w:rPr>
        <w:t xml:space="preserve">In the case of </w:t>
      </w:r>
      <w:r w:rsidR="00265276">
        <w:rPr>
          <w:lang w:val="en-GB"/>
        </w:rPr>
        <w:t xml:space="preserve">Aleksandr </w:t>
      </w:r>
      <w:r w:rsidR="00DD6A30">
        <w:t>Dmitriyev v. Russia</w:t>
      </w:r>
      <w:r w:rsidRPr="00062973">
        <w:rPr>
          <w:lang w:val="en-GB"/>
        </w:rPr>
        <w:t>,</w:t>
      </w:r>
    </w:p>
    <w:p w:rsidRPr="00062973" w:rsidR="00014566" w:rsidP="005E2A43" w:rsidRDefault="00014566">
      <w:pPr>
        <w:pStyle w:val="ECHRPara"/>
        <w:rPr>
          <w:lang w:val="en-GB"/>
        </w:rPr>
      </w:pPr>
      <w:r w:rsidRPr="00062973">
        <w:rPr>
          <w:lang w:val="en-GB"/>
        </w:rPr>
        <w:t>The European Court of Human Rights (</w:t>
      </w:r>
      <w:r w:rsidR="00DD6A30">
        <w:rPr>
          <w:lang w:val="en-GB"/>
        </w:rPr>
        <w:t>First Section</w:t>
      </w:r>
      <w:r w:rsidRPr="00062973">
        <w:rPr>
          <w:lang w:val="en-GB"/>
        </w:rPr>
        <w:t xml:space="preserve">), sitting as a </w:t>
      </w:r>
      <w:r w:rsidR="00DD6A30">
        <w:rPr>
          <w:lang w:val="en-GB"/>
        </w:rPr>
        <w:t>Chamber</w:t>
      </w:r>
      <w:r w:rsidRPr="00062973">
        <w:rPr>
          <w:lang w:val="en-GB"/>
        </w:rPr>
        <w:t xml:space="preserve"> composed of:</w:t>
      </w:r>
    </w:p>
    <w:p w:rsidRPr="00062973" w:rsidR="00014566" w:rsidP="00DF0549" w:rsidRDefault="009B6D31">
      <w:pPr>
        <w:pStyle w:val="ECHRDecisionBody"/>
        <w:rPr>
          <w:lang w:val="en-GB"/>
        </w:rPr>
      </w:pPr>
      <w:r w:rsidRPr="009B6D31">
        <w:tab/>
        <w:t>Isabelle</w:t>
      </w:r>
      <w:r>
        <w:t xml:space="preserve"> </w:t>
      </w:r>
      <w:r w:rsidRPr="009B6D31">
        <w:t>Berro</w:t>
      </w:r>
      <w:r>
        <w:t>,</w:t>
      </w:r>
      <w:r w:rsidRPr="009B6D31">
        <w:rPr>
          <w:i/>
        </w:rPr>
        <w:t xml:space="preserve"> President,</w:t>
      </w:r>
      <w:r>
        <w:rPr>
          <w:i/>
        </w:rPr>
        <w:br/>
      </w:r>
      <w:r w:rsidRPr="009B6D31">
        <w:tab/>
        <w:t>Elisabeth</w:t>
      </w:r>
      <w:r>
        <w:t xml:space="preserve"> </w:t>
      </w:r>
      <w:r w:rsidRPr="009B6D31">
        <w:t>Steiner</w:t>
      </w:r>
      <w:r>
        <w:t>,</w:t>
      </w:r>
      <w:r>
        <w:rPr>
          <w:i/>
        </w:rPr>
        <w:br/>
      </w:r>
      <w:r w:rsidRPr="009B6D31">
        <w:tab/>
        <w:t>Khanlar</w:t>
      </w:r>
      <w:r>
        <w:t xml:space="preserve"> </w:t>
      </w:r>
      <w:r w:rsidRPr="009B6D31">
        <w:t>Hajiyev</w:t>
      </w:r>
      <w:r>
        <w:t>,</w:t>
      </w:r>
      <w:r>
        <w:rPr>
          <w:i/>
        </w:rPr>
        <w:br/>
      </w:r>
      <w:r w:rsidRPr="009B6D31">
        <w:tab/>
        <w:t>Mirjana</w:t>
      </w:r>
      <w:r>
        <w:t xml:space="preserve"> </w:t>
      </w:r>
      <w:r w:rsidRPr="009B6D31">
        <w:t>Lazarova Trajkovska</w:t>
      </w:r>
      <w:r>
        <w:t>,</w:t>
      </w:r>
      <w:r>
        <w:rPr>
          <w:i/>
        </w:rPr>
        <w:br/>
      </w:r>
      <w:r w:rsidRPr="009B6D31">
        <w:tab/>
        <w:t>Julia</w:t>
      </w:r>
      <w:r>
        <w:t xml:space="preserve"> </w:t>
      </w:r>
      <w:r w:rsidRPr="009B6D31">
        <w:t>Laffranque</w:t>
      </w:r>
      <w:r>
        <w:t>,</w:t>
      </w:r>
      <w:r>
        <w:rPr>
          <w:i/>
        </w:rPr>
        <w:br/>
      </w:r>
      <w:r w:rsidRPr="009B6D31">
        <w:tab/>
        <w:t>Ksenija</w:t>
      </w:r>
      <w:r>
        <w:t xml:space="preserve"> </w:t>
      </w:r>
      <w:r w:rsidRPr="009B6D31">
        <w:t>Turković</w:t>
      </w:r>
      <w:r>
        <w:t>,</w:t>
      </w:r>
      <w:r>
        <w:rPr>
          <w:i/>
        </w:rPr>
        <w:br/>
      </w:r>
      <w:r w:rsidRPr="009B6D31">
        <w:tab/>
        <w:t>Dmitry</w:t>
      </w:r>
      <w:r>
        <w:t xml:space="preserve"> </w:t>
      </w:r>
      <w:r w:rsidRPr="009B6D31">
        <w:t>Dedov</w:t>
      </w:r>
      <w:r>
        <w:t>,</w:t>
      </w:r>
      <w:r w:rsidRPr="009B6D31">
        <w:rPr>
          <w:i/>
        </w:rPr>
        <w:t xml:space="preserve"> judges,</w:t>
      </w:r>
      <w:r w:rsidRPr="00062973" w:rsidR="00014566">
        <w:rPr>
          <w:szCs w:val="24"/>
          <w:lang w:val="en-GB"/>
        </w:rPr>
        <w:br/>
      </w:r>
      <w:r w:rsidRPr="00062973" w:rsidR="00014566">
        <w:rPr>
          <w:lang w:val="en-GB"/>
        </w:rPr>
        <w:t xml:space="preserve">and </w:t>
      </w:r>
      <w:r w:rsidR="00DD6A30">
        <w:rPr>
          <w:lang w:val="en-GB"/>
        </w:rPr>
        <w:t>Søren</w:t>
      </w:r>
      <w:r w:rsidRPr="00062973" w:rsidR="00DD6A30">
        <w:rPr>
          <w:lang w:val="en-GB"/>
        </w:rPr>
        <w:t xml:space="preserve"> </w:t>
      </w:r>
      <w:r w:rsidR="00DD6A30">
        <w:rPr>
          <w:lang w:val="en-GB"/>
        </w:rPr>
        <w:t>Nielsen</w:t>
      </w:r>
      <w:r w:rsidRPr="00062973" w:rsidR="00014566">
        <w:rPr>
          <w:lang w:val="en-GB"/>
        </w:rPr>
        <w:t xml:space="preserve">, </w:t>
      </w:r>
      <w:r w:rsidRPr="00062973" w:rsidR="00DD6A30">
        <w:rPr>
          <w:i/>
          <w:lang w:val="en-GB"/>
        </w:rPr>
        <w:t xml:space="preserve">Section </w:t>
      </w:r>
      <w:r w:rsidRPr="00062973" w:rsidR="00DD6A30">
        <w:rPr>
          <w:i/>
          <w:iCs/>
          <w:lang w:val="en-GB"/>
        </w:rPr>
        <w:t>Registrar</w:t>
      </w:r>
      <w:r w:rsidRPr="00062973" w:rsidR="00014566">
        <w:rPr>
          <w:i/>
          <w:lang w:val="en-GB"/>
        </w:rPr>
        <w:t>,</w:t>
      </w:r>
    </w:p>
    <w:p w:rsidRPr="00062973" w:rsidR="00014566" w:rsidP="00C621C2" w:rsidRDefault="00014566">
      <w:pPr>
        <w:pStyle w:val="ECHRPara"/>
        <w:rPr>
          <w:lang w:val="en-GB"/>
        </w:rPr>
      </w:pPr>
      <w:r w:rsidRPr="00062973">
        <w:rPr>
          <w:lang w:val="en-GB"/>
        </w:rPr>
        <w:t xml:space="preserve">Having deliberated in private on </w:t>
      </w:r>
      <w:r w:rsidR="00F73EE2">
        <w:rPr>
          <w:lang w:val="en-GB"/>
        </w:rPr>
        <w:t>14 Ap</w:t>
      </w:r>
      <w:r w:rsidR="009B6D31">
        <w:rPr>
          <w:lang w:val="en-GB"/>
        </w:rPr>
        <w:t>ril 2015</w:t>
      </w:r>
      <w:r w:rsidRPr="00062973">
        <w:rPr>
          <w:lang w:val="en-GB"/>
        </w:rPr>
        <w:t>,</w:t>
      </w:r>
    </w:p>
    <w:p w:rsidRPr="00062973" w:rsidR="00014566" w:rsidP="00C621C2" w:rsidRDefault="00014566">
      <w:pPr>
        <w:pStyle w:val="ECHRPara"/>
        <w:rPr>
          <w:lang w:val="en-GB"/>
        </w:rPr>
      </w:pPr>
      <w:r w:rsidRPr="00062973">
        <w:rPr>
          <w:lang w:val="en-GB"/>
        </w:rPr>
        <w:t>Delivers the following judgment, which was adopted on that date:</w:t>
      </w:r>
    </w:p>
    <w:p w:rsidRPr="00062973" w:rsidR="00014566" w:rsidP="00014566" w:rsidRDefault="00014566">
      <w:pPr>
        <w:pStyle w:val="ECHRTitle1"/>
        <w:rPr>
          <w:lang w:val="en-GB"/>
        </w:rPr>
      </w:pPr>
      <w:r w:rsidRPr="00062973">
        <w:rPr>
          <w:lang w:val="en-GB"/>
        </w:rPr>
        <w:t>PROCEDURE</w:t>
      </w:r>
    </w:p>
    <w:p w:rsidR="00DD6A30" w:rsidP="00C621C2" w:rsidRDefault="00DD6A30">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1</w:t>
      </w:r>
      <w:r>
        <w:rPr>
          <w:lang w:val="en-GB"/>
        </w:rPr>
        <w:fldChar w:fldCharType="end"/>
      </w:r>
      <w:r w:rsidRPr="00062973" w:rsidR="00014566">
        <w:rPr>
          <w:lang w:val="en-GB"/>
        </w:rPr>
        <w:t xml:space="preserve">.  The case originated in </w:t>
      </w:r>
      <w:r w:rsidRPr="00062973">
        <w:rPr>
          <w:lang w:val="en-GB"/>
        </w:rPr>
        <w:t xml:space="preserve">an application (no. </w:t>
      </w:r>
      <w:r>
        <w:rPr>
          <w:lang w:val="en-GB"/>
        </w:rPr>
        <w:t>12993/05</w:t>
      </w:r>
      <w:r w:rsidRPr="00062973">
        <w:rPr>
          <w:lang w:val="en-GB"/>
        </w:rPr>
        <w:t>)</w:t>
      </w:r>
      <w:r w:rsidRPr="00062973" w:rsidR="00014566">
        <w:rPr>
          <w:lang w:val="en-GB"/>
        </w:rPr>
        <w:t xml:space="preserve"> against </w:t>
      </w:r>
      <w:r>
        <w:rPr>
          <w:lang w:val="en-GB"/>
        </w:rPr>
        <w:t>the Russian Federation</w:t>
      </w:r>
      <w:r w:rsidRPr="00062973" w:rsidR="00014566">
        <w:rPr>
          <w:lang w:val="en-GB"/>
        </w:rPr>
        <w:t xml:space="preserve"> lodged with the </w:t>
      </w:r>
      <w:r w:rsidRPr="00062973">
        <w:rPr>
          <w:lang w:val="en-GB"/>
        </w:rPr>
        <w:t>Court under Article 34</w:t>
      </w:r>
      <w:r w:rsidRPr="00062973" w:rsidR="00014566">
        <w:rPr>
          <w:lang w:val="en-GB"/>
        </w:rPr>
        <w:t xml:space="preserve"> of the Convention for the Protection of Human Rights and Fundamental Freedoms (“the Convention”) by </w:t>
      </w:r>
      <w:r w:rsidRPr="00062973">
        <w:rPr>
          <w:lang w:val="en-GB"/>
        </w:rPr>
        <w:t xml:space="preserve">a </w:t>
      </w:r>
      <w:r>
        <w:rPr>
          <w:lang w:val="en-GB"/>
        </w:rPr>
        <w:t>Russian</w:t>
      </w:r>
      <w:r w:rsidRPr="00062973">
        <w:rPr>
          <w:lang w:val="en-GB"/>
        </w:rPr>
        <w:t xml:space="preserve"> national, </w:t>
      </w:r>
      <w:r>
        <w:rPr>
          <w:lang w:val="en-GB"/>
        </w:rPr>
        <w:t>Mr</w:t>
      </w:r>
      <w:r w:rsidRPr="00062973">
        <w:rPr>
          <w:lang w:val="en-GB"/>
        </w:rPr>
        <w:t xml:space="preserve"> </w:t>
      </w:r>
      <w:r>
        <w:rPr>
          <w:lang w:val="en-GB"/>
        </w:rPr>
        <w:t>Aleksandr Viktorovich</w:t>
      </w:r>
      <w:r w:rsidRPr="00062973">
        <w:rPr>
          <w:lang w:val="en-GB"/>
        </w:rPr>
        <w:t xml:space="preserve"> </w:t>
      </w:r>
      <w:r>
        <w:rPr>
          <w:lang w:val="en-GB"/>
        </w:rPr>
        <w:t>Dmitriyev</w:t>
      </w:r>
      <w:r w:rsidRPr="00062973">
        <w:rPr>
          <w:lang w:val="en-GB"/>
        </w:rPr>
        <w:t xml:space="preserve"> (“the applicant”), on </w:t>
      </w:r>
      <w:r>
        <w:rPr>
          <w:lang w:val="en-GB"/>
        </w:rPr>
        <w:t>18 February 2005</w:t>
      </w:r>
      <w:r w:rsidRPr="00062973" w:rsidR="00014566">
        <w:rPr>
          <w:lang w:val="en-GB"/>
        </w:rPr>
        <w:t>.</w:t>
      </w:r>
    </w:p>
    <w:p w:rsidR="00600982" w:rsidP="00C621C2" w:rsidRDefault="00DD6A30">
      <w:pPr>
        <w:pStyle w:val="ECHRPara"/>
        <w:rPr>
          <w:lang w:val="en-GB"/>
        </w:rPr>
      </w:pPr>
      <w:r>
        <w:rPr>
          <w:lang w:val="pt-BR"/>
        </w:rPr>
        <w:fldChar w:fldCharType="begin"/>
      </w:r>
      <w:r>
        <w:rPr>
          <w:lang w:val="pt-BR"/>
        </w:rPr>
        <w:instrText xml:space="preserve"> SEQ level0 \*arabic </w:instrText>
      </w:r>
      <w:r>
        <w:rPr>
          <w:lang w:val="pt-BR"/>
        </w:rPr>
        <w:fldChar w:fldCharType="separate"/>
      </w:r>
      <w:r w:rsidR="00F73EE2">
        <w:rPr>
          <w:noProof/>
          <w:lang w:val="pt-BR"/>
        </w:rPr>
        <w:t>2</w:t>
      </w:r>
      <w:r>
        <w:rPr>
          <w:lang w:val="pt-BR"/>
        </w:rPr>
        <w:fldChar w:fldCharType="end"/>
      </w:r>
      <w:r w:rsidRPr="008B659F" w:rsidR="00014566">
        <w:rPr>
          <w:lang w:val="pt-BR"/>
        </w:rPr>
        <w:t>.  </w:t>
      </w:r>
      <w:r w:rsidRPr="008B659F">
        <w:rPr>
          <w:lang w:val="pt-BR"/>
        </w:rPr>
        <w:t xml:space="preserve">The applicant, who had been granted legal aid, was represented by </w:t>
      </w:r>
      <w:r>
        <w:rPr>
          <w:lang w:val="pt-BR"/>
        </w:rPr>
        <w:t>Ms A. Polozova</w:t>
      </w:r>
      <w:r w:rsidRPr="008B659F">
        <w:rPr>
          <w:lang w:val="pt-BR"/>
        </w:rPr>
        <w:t xml:space="preserve">, </w:t>
      </w:r>
      <w:r>
        <w:rPr>
          <w:lang w:val="pt-BR"/>
        </w:rPr>
        <w:t>a lawyer</w:t>
      </w:r>
      <w:r w:rsidRPr="008B659F">
        <w:rPr>
          <w:lang w:val="pt-BR"/>
        </w:rPr>
        <w:t xml:space="preserve"> practising in </w:t>
      </w:r>
      <w:r>
        <w:rPr>
          <w:lang w:val="pt-BR"/>
        </w:rPr>
        <w:t>Moscow</w:t>
      </w:r>
      <w:r w:rsidRPr="008B659F">
        <w:rPr>
          <w:lang w:val="pt-BR"/>
        </w:rPr>
        <w:t xml:space="preserve">. </w:t>
      </w:r>
      <w:r w:rsidRPr="008B659F" w:rsidR="00014566">
        <w:rPr>
          <w:lang w:val="pt-BR"/>
        </w:rPr>
        <w:t xml:space="preserve">The </w:t>
      </w:r>
      <w:r>
        <w:rPr>
          <w:lang w:val="pt-BR"/>
        </w:rPr>
        <w:t>Russian</w:t>
      </w:r>
      <w:r w:rsidRPr="008B659F" w:rsidR="00014566">
        <w:rPr>
          <w:lang w:val="pt-BR"/>
        </w:rPr>
        <w:t xml:space="preserve"> Government (“the Government”) were represented by</w:t>
      </w:r>
      <w:r>
        <w:rPr>
          <w:lang w:val="pt-BR"/>
        </w:rPr>
        <w:t xml:space="preserve"> </w:t>
      </w:r>
      <w:r w:rsidRPr="00796C9C">
        <w:t xml:space="preserve">Mr G. Matyushkin, Representative of the </w:t>
      </w:r>
      <w:r w:rsidRPr="008257A2">
        <w:rPr>
          <w:rStyle w:val="ECHRParaChar"/>
        </w:rPr>
        <w:t>Russian Federation at the European Court of Human Rights</w:t>
      </w:r>
      <w:r>
        <w:rPr>
          <w:rStyle w:val="ECHRParaChar"/>
        </w:rPr>
        <w:t>.</w:t>
      </w:r>
    </w:p>
    <w:p w:rsidRPr="00062973" w:rsidR="00014566" w:rsidP="00DD6A30" w:rsidRDefault="00DD6A30">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3</w:t>
      </w:r>
      <w:r>
        <w:rPr>
          <w:lang w:val="en-GB"/>
        </w:rPr>
        <w:fldChar w:fldCharType="end"/>
      </w:r>
      <w:r w:rsidRPr="00062973">
        <w:rPr>
          <w:lang w:val="en-GB"/>
        </w:rPr>
        <w:t>.  The applicant alleged, in particular,</w:t>
      </w:r>
      <w:r>
        <w:rPr>
          <w:lang w:val="en-GB"/>
        </w:rPr>
        <w:t xml:space="preserve"> </w:t>
      </w:r>
      <w:r>
        <w:t>that he had been held in poor con</w:t>
      </w:r>
      <w:r w:rsidR="009917A0">
        <w:t>ditions of detention and</w:t>
      </w:r>
      <w:r>
        <w:t xml:space="preserve"> that his pre-trial detention had been unreasonably long</w:t>
      </w:r>
      <w:r w:rsidRPr="00062973">
        <w:rPr>
          <w:lang w:val="en-GB"/>
        </w:rPr>
        <w:t>.</w:t>
      </w:r>
    </w:p>
    <w:p w:rsidRPr="00062973" w:rsidR="00014566" w:rsidP="00C621C2" w:rsidRDefault="00DD6A30">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4</w:t>
      </w:r>
      <w:r>
        <w:rPr>
          <w:lang w:val="en-GB"/>
        </w:rPr>
        <w:fldChar w:fldCharType="end"/>
      </w:r>
      <w:r w:rsidRPr="00062973" w:rsidR="00014566">
        <w:rPr>
          <w:lang w:val="en-GB"/>
        </w:rPr>
        <w:t>.  </w:t>
      </w:r>
      <w:r w:rsidRPr="00062973">
        <w:rPr>
          <w:lang w:val="en-GB"/>
        </w:rPr>
        <w:t xml:space="preserve">On </w:t>
      </w:r>
      <w:r>
        <w:rPr>
          <w:szCs w:val="24"/>
          <w:lang w:val="en-GB"/>
        </w:rPr>
        <w:t>16 February 2009</w:t>
      </w:r>
      <w:r w:rsidRPr="00062973" w:rsidR="00014566">
        <w:rPr>
          <w:lang w:val="en-GB"/>
        </w:rPr>
        <w:t xml:space="preserve"> the </w:t>
      </w:r>
      <w:r w:rsidRPr="00062973">
        <w:rPr>
          <w:lang w:val="en-GB"/>
        </w:rPr>
        <w:t>application was communicated to the Government</w:t>
      </w:r>
      <w:r w:rsidRPr="00062973" w:rsidR="00014566">
        <w:rPr>
          <w:lang w:val="en-GB"/>
        </w:rPr>
        <w:t>.</w:t>
      </w:r>
    </w:p>
    <w:p w:rsidRPr="00062973" w:rsidR="00014566" w:rsidP="00294C92" w:rsidRDefault="00014566">
      <w:pPr>
        <w:pStyle w:val="ECHRTitle1"/>
        <w:rPr>
          <w:lang w:val="en-GB"/>
        </w:rPr>
      </w:pPr>
      <w:r w:rsidRPr="00062973">
        <w:rPr>
          <w:lang w:val="en-GB"/>
        </w:rPr>
        <w:t>THE FACTS</w:t>
      </w:r>
    </w:p>
    <w:p w:rsidRPr="00062973" w:rsidR="00014566" w:rsidP="00014566" w:rsidRDefault="00014566">
      <w:pPr>
        <w:pStyle w:val="ECHRHeading1"/>
        <w:rPr>
          <w:lang w:val="en-GB"/>
        </w:rPr>
      </w:pPr>
      <w:r w:rsidRPr="00062973">
        <w:rPr>
          <w:lang w:val="en-GB"/>
        </w:rPr>
        <w:t>I.  THE CIRCUMSTANCES OF THE CASE</w:t>
      </w:r>
    </w:p>
    <w:p w:rsidR="00600982" w:rsidP="00C621C2" w:rsidRDefault="00DD6A30">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5</w:t>
      </w:r>
      <w:r>
        <w:rPr>
          <w:lang w:val="en-GB"/>
        </w:rPr>
        <w:fldChar w:fldCharType="end"/>
      </w:r>
      <w:r w:rsidRPr="00062973" w:rsidR="00014566">
        <w:rPr>
          <w:lang w:val="en-GB"/>
        </w:rPr>
        <w:t xml:space="preserve">.  The </w:t>
      </w:r>
      <w:r w:rsidRPr="00062973">
        <w:rPr>
          <w:lang w:val="en-GB"/>
        </w:rPr>
        <w:t xml:space="preserve">applicant was born in </w:t>
      </w:r>
      <w:r>
        <w:rPr>
          <w:lang w:val="en-GB"/>
        </w:rPr>
        <w:t>1980</w:t>
      </w:r>
      <w:r w:rsidRPr="00062973">
        <w:rPr>
          <w:lang w:val="en-GB"/>
        </w:rPr>
        <w:t xml:space="preserve"> and </w:t>
      </w:r>
      <w:r w:rsidRPr="009A46DF">
        <w:t>lives</w:t>
      </w:r>
      <w:r w:rsidRPr="00062973" w:rsidR="00014566">
        <w:rPr>
          <w:lang w:val="en-GB"/>
        </w:rPr>
        <w:t xml:space="preserve"> in </w:t>
      </w:r>
      <w:r w:rsidR="00F50F3E">
        <w:rPr>
          <w:lang w:val="en-GB"/>
        </w:rPr>
        <w:t>the town of Kozelsk, the Kaluga region</w:t>
      </w:r>
      <w:r w:rsidRPr="00062973" w:rsidR="00014566">
        <w:rPr>
          <w:lang w:val="en-GB"/>
        </w:rPr>
        <w:t>.</w:t>
      </w:r>
    </w:p>
    <w:p w:rsidR="00600982" w:rsidP="00F50F3E" w:rsidRDefault="006A67EE">
      <w:pPr>
        <w:pStyle w:val="ECHRHeading2"/>
        <w:rPr>
          <w:rFonts w:eastAsia="Times New Roman"/>
          <w:lang w:val="en-GB" w:eastAsia="fr-FR"/>
        </w:rPr>
      </w:pPr>
      <w:r>
        <w:rPr>
          <w:rFonts w:eastAsia="Times New Roman"/>
          <w:lang w:val="en-GB" w:eastAsia="fr-FR"/>
        </w:rPr>
        <w:t>A</w:t>
      </w:r>
      <w:r w:rsidRPr="00DD6A30" w:rsidR="00DD6A30">
        <w:rPr>
          <w:rFonts w:eastAsia="Times New Roman"/>
          <w:lang w:val="en-GB" w:eastAsia="fr-FR"/>
        </w:rPr>
        <w:t>.  </w:t>
      </w:r>
      <w:r w:rsidR="00381A16">
        <w:rPr>
          <w:rFonts w:eastAsia="Times New Roman"/>
          <w:lang w:val="en-GB" w:eastAsia="fr-FR"/>
        </w:rPr>
        <w:t>Criminal proceedings against the applicant and his detention</w:t>
      </w:r>
    </w:p>
    <w:bookmarkStart w:name="arrest" w:id="2"/>
    <w:p w:rsidR="00600982"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6</w:t>
      </w:r>
      <w:r>
        <w:rPr>
          <w:rFonts w:eastAsia="Times New Roman"/>
          <w:lang w:val="en-GB" w:eastAsia="fr-FR"/>
        </w:rPr>
        <w:fldChar w:fldCharType="end"/>
      </w:r>
      <w:bookmarkEnd w:id="2"/>
      <w:r w:rsidR="001D18ED">
        <w:rPr>
          <w:rFonts w:eastAsia="Times New Roman"/>
          <w:lang w:val="en-GB" w:eastAsia="fr-FR"/>
        </w:rPr>
        <w:t>.  </w:t>
      </w:r>
      <w:r w:rsidR="004041B4">
        <w:rPr>
          <w:rFonts w:eastAsia="Times New Roman"/>
          <w:lang w:val="en-GB" w:eastAsia="fr-FR"/>
        </w:rPr>
        <w:t xml:space="preserve">On 20 April 2003 the applicant </w:t>
      </w:r>
      <w:r w:rsidR="000C0DFF">
        <w:rPr>
          <w:rFonts w:eastAsia="Times New Roman"/>
          <w:lang w:val="en-GB" w:eastAsia="fr-FR"/>
        </w:rPr>
        <w:t xml:space="preserve">was arrested on suspicion of involvement in </w:t>
      </w:r>
      <w:r w:rsidR="001D18ED">
        <w:rPr>
          <w:rFonts w:eastAsia="Times New Roman"/>
          <w:lang w:val="en-GB" w:eastAsia="fr-FR"/>
        </w:rPr>
        <w:t xml:space="preserve">infliction of </w:t>
      </w:r>
      <w:r w:rsidRPr="00DD6A30" w:rsidR="001D18ED">
        <w:rPr>
          <w:rFonts w:eastAsia="Times New Roman"/>
          <w:lang w:val="en-GB" w:eastAsia="fr-FR"/>
        </w:rPr>
        <w:t>bodily injuries</w:t>
      </w:r>
      <w:r w:rsidR="001D18ED">
        <w:rPr>
          <w:rFonts w:eastAsia="Times New Roman"/>
          <w:lang w:val="en-GB" w:eastAsia="fr-FR"/>
        </w:rPr>
        <w:t xml:space="preserve"> leading to death</w:t>
      </w:r>
      <w:r w:rsidR="000C0DFF">
        <w:rPr>
          <w:rFonts w:eastAsia="Times New Roman"/>
          <w:lang w:val="en-GB" w:eastAsia="fr-FR"/>
        </w:rPr>
        <w:t>.</w:t>
      </w:r>
    </w:p>
    <w:p w:rsidR="000C0DFF" w:rsidP="00A53DF1" w:rsidRDefault="006558FE">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7</w:t>
      </w:r>
      <w:r>
        <w:rPr>
          <w:rFonts w:eastAsia="Times New Roman"/>
          <w:lang w:val="en-GB" w:eastAsia="fr-FR"/>
        </w:rPr>
        <w:fldChar w:fldCharType="end"/>
      </w:r>
      <w:r>
        <w:rPr>
          <w:rFonts w:eastAsia="Times New Roman"/>
          <w:lang w:val="en-GB" w:eastAsia="fr-FR"/>
        </w:rPr>
        <w:t>.  </w:t>
      </w:r>
      <w:r w:rsidR="00372B7A">
        <w:rPr>
          <w:rFonts w:eastAsia="Times New Roman"/>
          <w:lang w:val="en-GB" w:eastAsia="fr-FR"/>
        </w:rPr>
        <w:t>On 22 April 2003 the Kozelskiy district c</w:t>
      </w:r>
      <w:r w:rsidRPr="00DD6A30" w:rsidR="00DD6A30">
        <w:rPr>
          <w:rFonts w:eastAsia="Times New Roman"/>
          <w:lang w:val="en-GB" w:eastAsia="fr-FR"/>
        </w:rPr>
        <w:t xml:space="preserve">ourt of the Kaluga </w:t>
      </w:r>
      <w:r w:rsidR="00372B7A">
        <w:rPr>
          <w:rFonts w:eastAsia="Times New Roman"/>
          <w:lang w:val="en-GB" w:eastAsia="fr-FR"/>
        </w:rPr>
        <w:t>r</w:t>
      </w:r>
      <w:r w:rsidRPr="00DD6A30" w:rsidR="00DD6A30">
        <w:rPr>
          <w:rFonts w:eastAsia="Times New Roman"/>
          <w:lang w:val="en-GB" w:eastAsia="fr-FR"/>
        </w:rPr>
        <w:t xml:space="preserve">egion </w:t>
      </w:r>
      <w:r w:rsidR="00372B7A">
        <w:rPr>
          <w:rFonts w:eastAsia="Times New Roman"/>
          <w:lang w:val="en-GB" w:eastAsia="fr-FR"/>
        </w:rPr>
        <w:t xml:space="preserve">(“the district court”) </w:t>
      </w:r>
      <w:r w:rsidRPr="00DD6A30" w:rsidR="00DD6A30">
        <w:rPr>
          <w:rFonts w:eastAsia="Times New Roman"/>
          <w:lang w:val="en-GB" w:eastAsia="fr-FR"/>
        </w:rPr>
        <w:t>authorised the applicant</w:t>
      </w:r>
      <w:r w:rsidR="00C471A6">
        <w:rPr>
          <w:rFonts w:eastAsia="Times New Roman"/>
          <w:lang w:val="en-GB" w:eastAsia="fr-FR"/>
        </w:rPr>
        <w:t>’</w:t>
      </w:r>
      <w:r w:rsidRPr="00DD6A30" w:rsidR="00DD6A30">
        <w:rPr>
          <w:rFonts w:eastAsia="Times New Roman"/>
          <w:lang w:val="en-GB" w:eastAsia="fr-FR"/>
        </w:rPr>
        <w:t xml:space="preserve">s continued detention with reference to the gravity of the charges against him </w:t>
      </w:r>
      <w:r w:rsidR="00323716">
        <w:rPr>
          <w:rFonts w:eastAsia="Times New Roman"/>
          <w:lang w:val="en-GB" w:eastAsia="fr-FR"/>
        </w:rPr>
        <w:t>and his previous conviction</w:t>
      </w:r>
      <w:r w:rsidR="004041B4">
        <w:rPr>
          <w:rFonts w:eastAsia="Times New Roman"/>
          <w:lang w:val="en-GB" w:eastAsia="fr-FR"/>
        </w:rPr>
        <w:t xml:space="preserve"> </w:t>
      </w:r>
      <w:r w:rsidR="00D74C37">
        <w:rPr>
          <w:rFonts w:eastAsia="Times New Roman"/>
          <w:lang w:val="en-GB" w:eastAsia="fr-FR"/>
        </w:rPr>
        <w:t>of</w:t>
      </w:r>
      <w:r w:rsidR="004041B4">
        <w:rPr>
          <w:rFonts w:eastAsia="Times New Roman"/>
          <w:lang w:val="en-GB" w:eastAsia="fr-FR"/>
        </w:rPr>
        <w:t xml:space="preserve"> theft</w:t>
      </w:r>
      <w:r w:rsidR="000C0DFF">
        <w:rPr>
          <w:rFonts w:eastAsia="Times New Roman"/>
          <w:lang w:val="en-GB" w:eastAsia="fr-FR"/>
        </w:rPr>
        <w:t xml:space="preserve">. The court considered </w:t>
      </w:r>
      <w:r w:rsidR="000460F2">
        <w:rPr>
          <w:rFonts w:eastAsia="Times New Roman"/>
          <w:lang w:val="en-GB" w:eastAsia="fr-FR"/>
        </w:rPr>
        <w:t>that if at large the applicant c</w:t>
      </w:r>
      <w:r w:rsidRPr="00DD6A30" w:rsidR="00DD6A30">
        <w:rPr>
          <w:rFonts w:eastAsia="Times New Roman"/>
          <w:lang w:val="en-GB" w:eastAsia="fr-FR"/>
        </w:rPr>
        <w:t xml:space="preserve">ould obstruct the proceedings and continue his criminal activities. </w:t>
      </w:r>
      <w:r w:rsidR="000460F2">
        <w:rPr>
          <w:rFonts w:eastAsia="Times New Roman"/>
          <w:lang w:val="en-GB" w:eastAsia="fr-FR"/>
        </w:rPr>
        <w:t>On 7 May 2003 the Kaluga regional court (“the regional court”) upheld the decision.</w:t>
      </w:r>
    </w:p>
    <w:p w:rsidRPr="00DD6A30"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8</w:t>
      </w:r>
      <w:r>
        <w:rPr>
          <w:rFonts w:eastAsia="Times New Roman"/>
          <w:lang w:val="en-GB" w:eastAsia="fr-FR"/>
        </w:rPr>
        <w:fldChar w:fldCharType="end"/>
      </w:r>
      <w:r>
        <w:rPr>
          <w:rFonts w:eastAsia="Times New Roman"/>
          <w:lang w:val="en-GB" w:eastAsia="fr-FR"/>
        </w:rPr>
        <w:t>.  On 18 June 2003 the district c</w:t>
      </w:r>
      <w:r w:rsidRPr="00DD6A30" w:rsidR="00DD6A30">
        <w:rPr>
          <w:rFonts w:eastAsia="Times New Roman"/>
          <w:lang w:val="en-GB" w:eastAsia="fr-FR"/>
        </w:rPr>
        <w:t>ourt extended the applicant</w:t>
      </w:r>
      <w:r w:rsidR="00C471A6">
        <w:rPr>
          <w:rFonts w:eastAsia="Times New Roman"/>
          <w:lang w:val="en-GB" w:eastAsia="fr-FR"/>
        </w:rPr>
        <w:t>’</w:t>
      </w:r>
      <w:r w:rsidRPr="00DD6A30" w:rsidR="00DD6A30">
        <w:rPr>
          <w:rFonts w:eastAsia="Times New Roman"/>
          <w:lang w:val="en-GB" w:eastAsia="fr-FR"/>
        </w:rPr>
        <w:t xml:space="preserve">s detention in view of the gravity of the charges, the fact that the applicant had a criminal record, was not employed and, if </w:t>
      </w:r>
      <w:r w:rsidR="007007E5">
        <w:rPr>
          <w:rFonts w:eastAsia="Times New Roman"/>
          <w:lang w:val="en-GB" w:eastAsia="fr-FR"/>
        </w:rPr>
        <w:t>released</w:t>
      </w:r>
      <w:r w:rsidRPr="00DD6A30" w:rsidR="00DD6A30">
        <w:rPr>
          <w:rFonts w:eastAsia="Times New Roman"/>
          <w:lang w:val="en-GB" w:eastAsia="fr-FR"/>
        </w:rPr>
        <w:t>, could reoffend or obstruct the</w:t>
      </w:r>
      <w:r w:rsidR="007007E5">
        <w:rPr>
          <w:rFonts w:eastAsia="Times New Roman"/>
          <w:lang w:val="en-GB" w:eastAsia="fr-FR"/>
        </w:rPr>
        <w:t xml:space="preserve"> criminal</w:t>
      </w:r>
      <w:r w:rsidRPr="00DD6A30" w:rsidR="00DD6A30">
        <w:rPr>
          <w:rFonts w:eastAsia="Times New Roman"/>
          <w:lang w:val="en-GB" w:eastAsia="fr-FR"/>
        </w:rPr>
        <w:t xml:space="preserve"> proceedings</w:t>
      </w:r>
      <w:r w:rsidR="007007E5">
        <w:rPr>
          <w:rFonts w:eastAsia="Times New Roman"/>
          <w:lang w:val="en-GB" w:eastAsia="fr-FR"/>
        </w:rPr>
        <w:t xml:space="preserve"> against him</w:t>
      </w:r>
      <w:r w:rsidRPr="00DD6A30" w:rsidR="00DD6A30">
        <w:rPr>
          <w:rFonts w:eastAsia="Times New Roman"/>
          <w:lang w:val="en-GB" w:eastAsia="fr-FR"/>
        </w:rPr>
        <w:t>. The judge also noted that the materials adduced by the prosecution disclosed that there was a serious case against the applicant. The applicant did not appeal.</w:t>
      </w:r>
    </w:p>
    <w:bookmarkStart w:name="release1" w:id="3"/>
    <w:p w:rsidR="00600982"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9</w:t>
      </w:r>
      <w:r>
        <w:rPr>
          <w:rFonts w:eastAsia="Times New Roman"/>
          <w:lang w:val="en-GB" w:eastAsia="fr-FR"/>
        </w:rPr>
        <w:fldChar w:fldCharType="end"/>
      </w:r>
      <w:bookmarkEnd w:id="3"/>
      <w:r>
        <w:rPr>
          <w:rFonts w:eastAsia="Times New Roman"/>
          <w:lang w:val="en-GB" w:eastAsia="fr-FR"/>
        </w:rPr>
        <w:t>.  </w:t>
      </w:r>
      <w:r w:rsidR="000460F2">
        <w:rPr>
          <w:rFonts w:eastAsia="Times New Roman"/>
          <w:lang w:val="en-GB" w:eastAsia="fr-FR"/>
        </w:rPr>
        <w:t>On 20</w:t>
      </w:r>
      <w:r w:rsidRPr="00DD6A30" w:rsidR="00DD6A30">
        <w:rPr>
          <w:rFonts w:eastAsia="Times New Roman"/>
          <w:lang w:val="en-GB" w:eastAsia="fr-FR"/>
        </w:rPr>
        <w:t xml:space="preserve"> July 2003</w:t>
      </w:r>
      <w:r w:rsidR="00D5176C">
        <w:rPr>
          <w:rFonts w:eastAsia="Times New Roman"/>
          <w:lang w:val="en-GB" w:eastAsia="fr-FR"/>
        </w:rPr>
        <w:t>,</w:t>
      </w:r>
      <w:r>
        <w:rPr>
          <w:rFonts w:eastAsia="Times New Roman"/>
          <w:lang w:val="en-GB" w:eastAsia="fr-FR"/>
        </w:rPr>
        <w:t xml:space="preserve"> upon completion of certain investigative measures</w:t>
      </w:r>
      <w:r w:rsidR="00D5176C">
        <w:rPr>
          <w:rFonts w:eastAsia="Times New Roman"/>
          <w:lang w:val="en-GB" w:eastAsia="fr-FR"/>
        </w:rPr>
        <w:t>,</w:t>
      </w:r>
      <w:r w:rsidRPr="00DD6A30" w:rsidR="00DD6A30">
        <w:rPr>
          <w:rFonts w:eastAsia="Times New Roman"/>
          <w:lang w:val="en-GB" w:eastAsia="fr-FR"/>
        </w:rPr>
        <w:t xml:space="preserve"> </w:t>
      </w:r>
      <w:r w:rsidR="000460F2">
        <w:rPr>
          <w:rFonts w:eastAsia="Times New Roman"/>
          <w:lang w:val="en-GB" w:eastAsia="fr-FR"/>
        </w:rPr>
        <w:t>the prosecutor</w:t>
      </w:r>
      <w:r w:rsidR="00C471A6">
        <w:rPr>
          <w:rFonts w:eastAsia="Times New Roman"/>
          <w:lang w:val="en-GB" w:eastAsia="fr-FR"/>
        </w:rPr>
        <w:t>’</w:t>
      </w:r>
      <w:r w:rsidR="000460F2">
        <w:rPr>
          <w:rFonts w:eastAsia="Times New Roman"/>
          <w:lang w:val="en-GB" w:eastAsia="fr-FR"/>
        </w:rPr>
        <w:t>s office decided to release the applicant</w:t>
      </w:r>
      <w:r w:rsidRPr="00DD6A30" w:rsidR="00DD6A30">
        <w:rPr>
          <w:rFonts w:eastAsia="Times New Roman"/>
          <w:lang w:val="en-GB" w:eastAsia="fr-FR"/>
        </w:rPr>
        <w:t xml:space="preserve"> </w:t>
      </w:r>
      <w:r>
        <w:rPr>
          <w:rFonts w:eastAsia="Times New Roman"/>
          <w:lang w:val="en-GB" w:eastAsia="fr-FR"/>
        </w:rPr>
        <w:t>from custody</w:t>
      </w:r>
      <w:r w:rsidR="000460F2">
        <w:rPr>
          <w:rFonts w:eastAsia="Times New Roman"/>
          <w:lang w:val="en-GB" w:eastAsia="fr-FR"/>
        </w:rPr>
        <w:t>.</w:t>
      </w:r>
    </w:p>
    <w:p w:rsidR="00600982" w:rsidP="00A53DF1" w:rsidRDefault="00AE4270">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10</w:t>
      </w:r>
      <w:r>
        <w:rPr>
          <w:rFonts w:eastAsia="Times New Roman"/>
          <w:lang w:val="en-GB" w:eastAsia="fr-FR"/>
        </w:rPr>
        <w:fldChar w:fldCharType="end"/>
      </w:r>
      <w:r>
        <w:rPr>
          <w:rFonts w:eastAsia="Times New Roman"/>
          <w:lang w:val="en-GB" w:eastAsia="fr-FR"/>
        </w:rPr>
        <w:t>.  </w:t>
      </w:r>
      <w:r w:rsidR="000460F2">
        <w:rPr>
          <w:rFonts w:eastAsia="Times New Roman"/>
          <w:lang w:val="en-GB" w:eastAsia="fr-FR"/>
        </w:rPr>
        <w:t>On 22 July 2003 the applicant was released</w:t>
      </w:r>
      <w:r w:rsidR="00372B7A">
        <w:rPr>
          <w:rFonts w:eastAsia="Times New Roman"/>
          <w:lang w:val="en-GB" w:eastAsia="fr-FR"/>
        </w:rPr>
        <w:t xml:space="preserve"> </w:t>
      </w:r>
      <w:r w:rsidRPr="00DD6A30" w:rsidR="00DD6A30">
        <w:rPr>
          <w:rFonts w:eastAsia="Times New Roman"/>
          <w:lang w:val="en-GB" w:eastAsia="fr-FR"/>
        </w:rPr>
        <w:t xml:space="preserve">under an undertaking not to leave </w:t>
      </w:r>
      <w:r w:rsidR="00372B7A">
        <w:rPr>
          <w:rFonts w:eastAsia="Times New Roman"/>
          <w:lang w:val="en-GB" w:eastAsia="fr-FR"/>
        </w:rPr>
        <w:t>his place of residence</w:t>
      </w:r>
      <w:r w:rsidRPr="00DD6A30" w:rsidR="00DD6A30">
        <w:rPr>
          <w:rFonts w:eastAsia="Times New Roman"/>
          <w:lang w:val="en-GB" w:eastAsia="fr-FR"/>
        </w:rPr>
        <w:t>.</w:t>
      </w:r>
    </w:p>
    <w:p w:rsidRPr="00A53DF1" w:rsidR="00DD6A30" w:rsidP="00600982" w:rsidRDefault="00372B7A">
      <w:pPr>
        <w:pStyle w:val="ECHRPara"/>
        <w:rPr>
          <w:rStyle w:val="ECHRParaChar"/>
        </w:rPr>
      </w:pPr>
      <w:r>
        <w:rPr>
          <w:rFonts w:ascii="Times New Roman" w:hAnsi="Times New Roman" w:eastAsia="Times New Roman" w:cs="Times New Roman"/>
          <w:szCs w:val="20"/>
          <w:lang w:val="en-GB" w:eastAsia="fr-FR"/>
        </w:rPr>
        <w:fldChar w:fldCharType="begin"/>
      </w:r>
      <w:r>
        <w:rPr>
          <w:rFonts w:ascii="Times New Roman" w:hAnsi="Times New Roman" w:eastAsia="Times New Roman" w:cs="Times New Roman"/>
          <w:szCs w:val="20"/>
          <w:lang w:val="en-GB" w:eastAsia="fr-FR"/>
        </w:rPr>
        <w:instrText xml:space="preserve"> SEQ level0 \*arabic </w:instrText>
      </w:r>
      <w:r>
        <w:rPr>
          <w:rFonts w:ascii="Times New Roman" w:hAnsi="Times New Roman" w:eastAsia="Times New Roman" w:cs="Times New Roman"/>
          <w:szCs w:val="20"/>
          <w:lang w:val="en-GB" w:eastAsia="fr-FR"/>
        </w:rPr>
        <w:fldChar w:fldCharType="separate"/>
      </w:r>
      <w:r w:rsidR="00F73EE2">
        <w:rPr>
          <w:rFonts w:ascii="Times New Roman" w:hAnsi="Times New Roman" w:eastAsia="Times New Roman" w:cs="Times New Roman"/>
          <w:noProof/>
          <w:szCs w:val="20"/>
          <w:lang w:val="en-GB" w:eastAsia="fr-FR"/>
        </w:rPr>
        <w:t>11</w:t>
      </w:r>
      <w:r>
        <w:rPr>
          <w:rFonts w:ascii="Times New Roman" w:hAnsi="Times New Roman" w:eastAsia="Times New Roman" w:cs="Times New Roman"/>
          <w:szCs w:val="20"/>
          <w:lang w:val="en-GB" w:eastAsia="fr-FR"/>
        </w:rPr>
        <w:fldChar w:fldCharType="end"/>
      </w:r>
      <w:r>
        <w:rPr>
          <w:rFonts w:ascii="Times New Roman" w:hAnsi="Times New Roman" w:eastAsia="Times New Roman" w:cs="Times New Roman"/>
          <w:szCs w:val="20"/>
          <w:lang w:val="en-GB" w:eastAsia="fr-FR"/>
        </w:rPr>
        <w:t>.  </w:t>
      </w:r>
      <w:r w:rsidRPr="00A53DF1">
        <w:rPr>
          <w:rStyle w:val="ECHRParaChar"/>
        </w:rPr>
        <w:t>On 19 May 2004 the district c</w:t>
      </w:r>
      <w:r w:rsidRPr="00A53DF1" w:rsidR="00DD6A30">
        <w:rPr>
          <w:rStyle w:val="ECHRParaChar"/>
        </w:rPr>
        <w:t>ourt convicted the applicant as charged and sentenced hi</w:t>
      </w:r>
      <w:r w:rsidRPr="00A53DF1">
        <w:rPr>
          <w:rStyle w:val="ECHRParaChar"/>
        </w:rPr>
        <w:t>m to ten years and six months</w:t>
      </w:r>
      <w:r w:rsidR="00C471A6">
        <w:rPr>
          <w:rStyle w:val="ECHRParaChar"/>
        </w:rPr>
        <w:t>’</w:t>
      </w:r>
      <w:r w:rsidRPr="00A53DF1" w:rsidR="00DD6A30">
        <w:rPr>
          <w:rStyle w:val="ECHRParaChar"/>
        </w:rPr>
        <w:t xml:space="preserve"> imprisonment. The period of detention from 20 April to 22 July 2003 was counted toward</w:t>
      </w:r>
      <w:r w:rsidRPr="00A53DF1">
        <w:rPr>
          <w:rStyle w:val="ECHRParaChar"/>
        </w:rPr>
        <w:t>s</w:t>
      </w:r>
      <w:r w:rsidRPr="00A53DF1" w:rsidR="00DD6A30">
        <w:rPr>
          <w:rStyle w:val="ECHRParaChar"/>
        </w:rPr>
        <w:t xml:space="preserve"> the sentence. The applicant was immediately taken into custody.</w:t>
      </w:r>
    </w:p>
    <w:bookmarkStart w:name="quash1" w:id="4"/>
    <w:p w:rsidRPr="00DD6A30"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12</w:t>
      </w:r>
      <w:r>
        <w:rPr>
          <w:rFonts w:eastAsia="Times New Roman"/>
          <w:lang w:val="en-GB" w:eastAsia="fr-FR"/>
        </w:rPr>
        <w:fldChar w:fldCharType="end"/>
      </w:r>
      <w:bookmarkEnd w:id="4"/>
      <w:r>
        <w:rPr>
          <w:rFonts w:eastAsia="Times New Roman"/>
          <w:lang w:val="en-GB" w:eastAsia="fr-FR"/>
        </w:rPr>
        <w:t>.  On 20 July 2004 the Kaluga regional c</w:t>
      </w:r>
      <w:r w:rsidRPr="00DD6A30" w:rsidR="00DD6A30">
        <w:rPr>
          <w:rFonts w:eastAsia="Times New Roman"/>
          <w:lang w:val="en-GB" w:eastAsia="fr-FR"/>
        </w:rPr>
        <w:t>ourt</w:t>
      </w:r>
      <w:r w:rsidR="000460F2">
        <w:rPr>
          <w:rFonts w:eastAsia="Times New Roman"/>
          <w:lang w:val="en-GB" w:eastAsia="fr-FR"/>
        </w:rPr>
        <w:t xml:space="preserve"> </w:t>
      </w:r>
      <w:r>
        <w:rPr>
          <w:rFonts w:eastAsia="Times New Roman"/>
          <w:lang w:val="en-GB" w:eastAsia="fr-FR"/>
        </w:rPr>
        <w:t xml:space="preserve">quashed the conviction on appeal and </w:t>
      </w:r>
      <w:r w:rsidRPr="00DD6A30" w:rsidR="00DD6A30">
        <w:rPr>
          <w:rFonts w:eastAsia="Times New Roman"/>
          <w:lang w:val="en-GB" w:eastAsia="fr-FR"/>
        </w:rPr>
        <w:t>ordered a re</w:t>
      </w:r>
      <w:r>
        <w:rPr>
          <w:rFonts w:eastAsia="Times New Roman"/>
          <w:lang w:val="en-GB" w:eastAsia="fr-FR"/>
        </w:rPr>
        <w:t>-</w:t>
      </w:r>
      <w:r w:rsidRPr="00DD6A30" w:rsidR="00DD6A30">
        <w:rPr>
          <w:rFonts w:eastAsia="Times New Roman"/>
          <w:lang w:val="en-GB" w:eastAsia="fr-FR"/>
        </w:rPr>
        <w:t>trial. It also held that the applicant should remain in custody; the court cited no legal ground for the preventive measure and set no time-limit.</w:t>
      </w:r>
    </w:p>
    <w:bookmarkStart w:name="nr1" w:id="5"/>
    <w:p w:rsidRPr="00DD6A30"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13</w:t>
      </w:r>
      <w:r>
        <w:rPr>
          <w:rFonts w:eastAsia="Times New Roman"/>
          <w:lang w:val="en-GB" w:eastAsia="fr-FR"/>
        </w:rPr>
        <w:fldChar w:fldCharType="end"/>
      </w:r>
      <w:bookmarkEnd w:id="5"/>
      <w:r>
        <w:rPr>
          <w:rFonts w:eastAsia="Times New Roman"/>
          <w:lang w:val="en-GB" w:eastAsia="fr-FR"/>
        </w:rPr>
        <w:t>.  </w:t>
      </w:r>
      <w:r w:rsidRPr="00DD6A30" w:rsidR="00DD6A30">
        <w:rPr>
          <w:rFonts w:eastAsia="Times New Roman"/>
          <w:lang w:val="en-GB" w:eastAsia="fr-FR"/>
        </w:rPr>
        <w:t xml:space="preserve">On 8 October, 9 December 2004 and 20 January 2005 the </w:t>
      </w:r>
      <w:r>
        <w:rPr>
          <w:rFonts w:eastAsia="Times New Roman"/>
          <w:lang w:val="en-GB" w:eastAsia="fr-FR"/>
        </w:rPr>
        <w:t>district court</w:t>
      </w:r>
      <w:r w:rsidRPr="00DD6A30" w:rsidR="00DD6A30">
        <w:rPr>
          <w:rFonts w:eastAsia="Times New Roman"/>
          <w:lang w:val="en-GB" w:eastAsia="fr-FR"/>
        </w:rPr>
        <w:t xml:space="preserve"> repeatedly returned the case to the prosecutor, </w:t>
      </w:r>
      <w:r w:rsidRPr="00DD6A30" w:rsidR="00DD6A30">
        <w:rPr>
          <w:rFonts w:eastAsia="Times New Roman"/>
          <w:i/>
          <w:lang w:val="en-GB" w:eastAsia="fr-FR"/>
        </w:rPr>
        <w:t>inter alia</w:t>
      </w:r>
      <w:r w:rsidRPr="00DD6A30" w:rsidR="00DD6A30">
        <w:rPr>
          <w:rFonts w:eastAsia="Times New Roman"/>
          <w:lang w:val="en-GB" w:eastAsia="fr-FR"/>
        </w:rPr>
        <w:t xml:space="preserve">, in view of certain deficiencies in the bill of indictment. On all occasions the judge </w:t>
      </w:r>
      <w:r w:rsidR="00A51B0C">
        <w:rPr>
          <w:rFonts w:eastAsia="Times New Roman"/>
          <w:lang w:val="en-GB" w:eastAsia="fr-FR"/>
        </w:rPr>
        <w:t>found that the applicant should remain in custody</w:t>
      </w:r>
      <w:r w:rsidR="00B228CA">
        <w:rPr>
          <w:rFonts w:eastAsia="Times New Roman"/>
          <w:lang w:val="en-GB" w:eastAsia="fr-FR"/>
        </w:rPr>
        <w:t xml:space="preserve"> without citing any legal grounds for it</w:t>
      </w:r>
      <w:r w:rsidR="00A51B0C">
        <w:rPr>
          <w:rFonts w:eastAsia="Times New Roman"/>
          <w:lang w:val="en-GB" w:eastAsia="fr-FR"/>
        </w:rPr>
        <w:t xml:space="preserve">. </w:t>
      </w:r>
      <w:r w:rsidR="004C42F5">
        <w:rPr>
          <w:rFonts w:eastAsia="Times New Roman"/>
          <w:lang w:val="en-GB" w:eastAsia="fr-FR"/>
        </w:rPr>
        <w:t>The decisions of 8 October 2004 and 20 January contained no reasons for extending the detention while that of 9 December 2004 dismissed the applicant</w:t>
      </w:r>
      <w:r w:rsidR="00C471A6">
        <w:rPr>
          <w:rFonts w:eastAsia="Times New Roman"/>
          <w:lang w:val="en-GB" w:eastAsia="fr-FR"/>
        </w:rPr>
        <w:t>’</w:t>
      </w:r>
      <w:r w:rsidR="004C42F5">
        <w:rPr>
          <w:rFonts w:eastAsia="Times New Roman"/>
          <w:lang w:val="en-GB" w:eastAsia="fr-FR"/>
        </w:rPr>
        <w:t xml:space="preserve">s request for release with a reference to the gravity of charges. </w:t>
      </w:r>
      <w:r w:rsidR="00A51B0C">
        <w:rPr>
          <w:rFonts w:eastAsia="Times New Roman"/>
          <w:lang w:val="en-GB" w:eastAsia="fr-FR"/>
        </w:rPr>
        <w:t>The applicant</w:t>
      </w:r>
      <w:r w:rsidRPr="00DD6A30" w:rsidR="00DD6A30">
        <w:rPr>
          <w:rFonts w:eastAsia="Times New Roman"/>
          <w:lang w:val="en-GB" w:eastAsia="fr-FR"/>
        </w:rPr>
        <w:t xml:space="preserve"> did not appeal.</w:t>
      </w:r>
    </w:p>
    <w:bookmarkStart w:name="nr2" w:id="6"/>
    <w:bookmarkStart w:name="nr3" w:id="7"/>
    <w:p w:rsidR="00600982"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14</w:t>
      </w:r>
      <w:r>
        <w:rPr>
          <w:rFonts w:eastAsia="Times New Roman"/>
          <w:lang w:val="en-GB" w:eastAsia="fr-FR"/>
        </w:rPr>
        <w:fldChar w:fldCharType="end"/>
      </w:r>
      <w:bookmarkEnd w:id="6"/>
      <w:bookmarkEnd w:id="7"/>
      <w:r>
        <w:rPr>
          <w:rFonts w:eastAsia="Times New Roman"/>
          <w:lang w:val="en-GB" w:eastAsia="fr-FR"/>
        </w:rPr>
        <w:t>.  On 20 January 2005 the district c</w:t>
      </w:r>
      <w:r w:rsidRPr="00DD6A30" w:rsidR="00DD6A30">
        <w:rPr>
          <w:rFonts w:eastAsia="Times New Roman"/>
          <w:lang w:val="en-GB" w:eastAsia="fr-FR"/>
        </w:rPr>
        <w:t>ourt extended the applicant</w:t>
      </w:r>
      <w:r w:rsidR="00C471A6">
        <w:rPr>
          <w:rFonts w:eastAsia="Times New Roman"/>
          <w:lang w:val="en-GB" w:eastAsia="fr-FR"/>
        </w:rPr>
        <w:t>’</w:t>
      </w:r>
      <w:r w:rsidRPr="00DD6A30" w:rsidR="00DD6A30">
        <w:rPr>
          <w:rFonts w:eastAsia="Times New Roman"/>
          <w:lang w:val="en-GB" w:eastAsia="fr-FR"/>
        </w:rPr>
        <w:t>s detention until 20 April 2005. It gave no reasons except for the fact that the trial was pending.</w:t>
      </w:r>
    </w:p>
    <w:p w:rsidRPr="00DD6A30"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15</w:t>
      </w:r>
      <w:r>
        <w:rPr>
          <w:rFonts w:eastAsia="Times New Roman"/>
          <w:lang w:val="en-GB" w:eastAsia="fr-FR"/>
        </w:rPr>
        <w:fldChar w:fldCharType="end"/>
      </w:r>
      <w:r>
        <w:rPr>
          <w:rFonts w:eastAsia="Times New Roman"/>
          <w:lang w:val="en-GB" w:eastAsia="fr-FR"/>
        </w:rPr>
        <w:t>.  </w:t>
      </w:r>
      <w:r w:rsidRPr="00DD6A30" w:rsidR="00DD6A30">
        <w:rPr>
          <w:rFonts w:eastAsia="Times New Roman"/>
          <w:lang w:val="en-GB" w:eastAsia="fr-FR"/>
        </w:rPr>
        <w:t>On 5 February 2005 the applicant pleaded guilty while being questioned in the presence of his lawyer and signed the record.</w:t>
      </w:r>
      <w:r w:rsidR="006E5EFA">
        <w:rPr>
          <w:rFonts w:eastAsia="Times New Roman"/>
          <w:lang w:val="en-GB" w:eastAsia="fr-FR"/>
        </w:rPr>
        <w:t xml:space="preserve"> Later he withdrew his plea.</w:t>
      </w:r>
    </w:p>
    <w:bookmarkStart w:name="conviction2" w:id="8"/>
    <w:p w:rsidR="00372B7A"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16</w:t>
      </w:r>
      <w:r>
        <w:rPr>
          <w:rFonts w:eastAsia="Times New Roman"/>
          <w:lang w:val="en-GB" w:eastAsia="fr-FR"/>
        </w:rPr>
        <w:fldChar w:fldCharType="end"/>
      </w:r>
      <w:bookmarkEnd w:id="8"/>
      <w:r>
        <w:rPr>
          <w:rFonts w:eastAsia="Times New Roman"/>
          <w:lang w:val="en-GB" w:eastAsia="fr-FR"/>
        </w:rPr>
        <w:t>.  On 7 April 2005 the district c</w:t>
      </w:r>
      <w:r w:rsidRPr="00DD6A30" w:rsidR="00DD6A30">
        <w:rPr>
          <w:rFonts w:eastAsia="Times New Roman"/>
          <w:lang w:val="en-GB" w:eastAsia="fr-FR"/>
        </w:rPr>
        <w:t xml:space="preserve">ourt convicted the applicant of </w:t>
      </w:r>
      <w:r>
        <w:rPr>
          <w:rFonts w:eastAsia="Times New Roman"/>
          <w:lang w:val="en-GB" w:eastAsia="fr-FR"/>
        </w:rPr>
        <w:t>inflicting</w:t>
      </w:r>
      <w:r w:rsidRPr="00DD6A30" w:rsidR="00DD6A30">
        <w:rPr>
          <w:rFonts w:eastAsia="Times New Roman"/>
          <w:lang w:val="en-GB" w:eastAsia="fr-FR"/>
        </w:rPr>
        <w:t xml:space="preserve"> bodily injuries</w:t>
      </w:r>
      <w:r>
        <w:rPr>
          <w:rFonts w:eastAsia="Times New Roman"/>
          <w:lang w:val="en-GB" w:eastAsia="fr-FR"/>
        </w:rPr>
        <w:t xml:space="preserve"> leading to death</w:t>
      </w:r>
      <w:r w:rsidRPr="00DD6A30" w:rsidR="00DD6A30">
        <w:rPr>
          <w:rFonts w:eastAsia="Times New Roman"/>
          <w:lang w:val="en-GB" w:eastAsia="fr-FR"/>
        </w:rPr>
        <w:t xml:space="preserve">. </w:t>
      </w:r>
      <w:r w:rsidR="00450FD4">
        <w:rPr>
          <w:rFonts w:eastAsia="Times New Roman"/>
          <w:lang w:val="en-GB" w:eastAsia="fr-FR"/>
        </w:rPr>
        <w:t>The defence and the prosecution lodged their respective appeals.</w:t>
      </w:r>
    </w:p>
    <w:bookmarkStart w:name="quash2" w:id="9"/>
    <w:p w:rsidRPr="00DD6A30"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17</w:t>
      </w:r>
      <w:r>
        <w:rPr>
          <w:rFonts w:eastAsia="Times New Roman"/>
          <w:lang w:val="en-GB" w:eastAsia="fr-FR"/>
        </w:rPr>
        <w:fldChar w:fldCharType="end"/>
      </w:r>
      <w:bookmarkEnd w:id="9"/>
      <w:r>
        <w:rPr>
          <w:rFonts w:eastAsia="Times New Roman"/>
          <w:lang w:val="en-GB" w:eastAsia="fr-FR"/>
        </w:rPr>
        <w:t>.  On 10 June 2005 the regional c</w:t>
      </w:r>
      <w:r w:rsidRPr="00DD6A30" w:rsidR="00DD6A30">
        <w:rPr>
          <w:rFonts w:eastAsia="Times New Roman"/>
          <w:lang w:val="en-GB" w:eastAsia="fr-FR"/>
        </w:rPr>
        <w:t xml:space="preserve">ourt </w:t>
      </w:r>
      <w:r>
        <w:rPr>
          <w:rFonts w:eastAsia="Times New Roman"/>
          <w:lang w:val="en-GB" w:eastAsia="fr-FR"/>
        </w:rPr>
        <w:t xml:space="preserve">sitting on appeal </w:t>
      </w:r>
      <w:r w:rsidRPr="00DD6A30" w:rsidR="00DD6A30">
        <w:rPr>
          <w:rFonts w:eastAsia="Times New Roman"/>
          <w:lang w:val="en-GB" w:eastAsia="fr-FR"/>
        </w:rPr>
        <w:t>found that the first-instance court should have excluded testimonies given without counsel</w:t>
      </w:r>
      <w:r>
        <w:rPr>
          <w:rFonts w:eastAsia="Times New Roman"/>
          <w:lang w:val="en-GB" w:eastAsia="fr-FR"/>
        </w:rPr>
        <w:t>, quashed the judgment of 7 April 2005</w:t>
      </w:r>
      <w:r w:rsidRPr="00DD6A30" w:rsidR="00DD6A30">
        <w:rPr>
          <w:rFonts w:eastAsia="Times New Roman"/>
          <w:lang w:val="en-GB" w:eastAsia="fr-FR"/>
        </w:rPr>
        <w:t xml:space="preserve"> and ordered a re-trial. The </w:t>
      </w:r>
      <w:r>
        <w:rPr>
          <w:rFonts w:eastAsia="Times New Roman"/>
          <w:lang w:val="en-GB" w:eastAsia="fr-FR"/>
        </w:rPr>
        <w:t>regional</w:t>
      </w:r>
      <w:r w:rsidRPr="00DD6A30" w:rsidR="00DD6A30">
        <w:rPr>
          <w:rFonts w:eastAsia="Times New Roman"/>
          <w:lang w:val="en-GB" w:eastAsia="fr-FR"/>
        </w:rPr>
        <w:t xml:space="preserve"> court also held without any reasons being given that the applicant should remain in custody, and extended the applicant</w:t>
      </w:r>
      <w:r w:rsidR="00C471A6">
        <w:rPr>
          <w:rFonts w:eastAsia="Times New Roman"/>
          <w:lang w:val="en-GB" w:eastAsia="fr-FR"/>
        </w:rPr>
        <w:t>’</w:t>
      </w:r>
      <w:r w:rsidRPr="00DD6A30" w:rsidR="00DD6A30">
        <w:rPr>
          <w:rFonts w:eastAsia="Times New Roman"/>
          <w:lang w:val="en-GB" w:eastAsia="fr-FR"/>
        </w:rPr>
        <w:t>s detention until 1 August 2005.</w:t>
      </w:r>
    </w:p>
    <w:p w:rsidRPr="00A53DF1" w:rsidR="00DD6A30" w:rsidP="00600982" w:rsidRDefault="00372B7A">
      <w:pPr>
        <w:pStyle w:val="ECHRPara"/>
        <w:rPr>
          <w:rStyle w:val="ECHRParaChar"/>
        </w:rPr>
      </w:pPr>
      <w:r>
        <w:rPr>
          <w:rFonts w:ascii="Times New Roman" w:hAnsi="Times New Roman" w:eastAsia="Times New Roman" w:cs="Times New Roman"/>
          <w:szCs w:val="20"/>
          <w:lang w:val="en-GB" w:eastAsia="fr-FR"/>
        </w:rPr>
        <w:fldChar w:fldCharType="begin"/>
      </w:r>
      <w:r>
        <w:rPr>
          <w:rFonts w:ascii="Times New Roman" w:hAnsi="Times New Roman" w:eastAsia="Times New Roman" w:cs="Times New Roman"/>
          <w:szCs w:val="20"/>
          <w:lang w:val="en-GB" w:eastAsia="fr-FR"/>
        </w:rPr>
        <w:instrText xml:space="preserve"> SEQ level0 \*arabic </w:instrText>
      </w:r>
      <w:r>
        <w:rPr>
          <w:rFonts w:ascii="Times New Roman" w:hAnsi="Times New Roman" w:eastAsia="Times New Roman" w:cs="Times New Roman"/>
          <w:szCs w:val="20"/>
          <w:lang w:val="en-GB" w:eastAsia="fr-FR"/>
        </w:rPr>
        <w:fldChar w:fldCharType="separate"/>
      </w:r>
      <w:r w:rsidR="00F73EE2">
        <w:rPr>
          <w:rFonts w:ascii="Times New Roman" w:hAnsi="Times New Roman" w:eastAsia="Times New Roman" w:cs="Times New Roman"/>
          <w:noProof/>
          <w:szCs w:val="20"/>
          <w:lang w:val="en-GB" w:eastAsia="fr-FR"/>
        </w:rPr>
        <w:t>18</w:t>
      </w:r>
      <w:r>
        <w:rPr>
          <w:rFonts w:ascii="Times New Roman" w:hAnsi="Times New Roman" w:eastAsia="Times New Roman" w:cs="Times New Roman"/>
          <w:szCs w:val="20"/>
          <w:lang w:val="en-GB" w:eastAsia="fr-FR"/>
        </w:rPr>
        <w:fldChar w:fldCharType="end"/>
      </w:r>
      <w:r>
        <w:rPr>
          <w:rFonts w:ascii="Times New Roman" w:hAnsi="Times New Roman" w:eastAsia="Times New Roman" w:cs="Times New Roman"/>
          <w:szCs w:val="20"/>
          <w:lang w:val="en-GB" w:eastAsia="fr-FR"/>
        </w:rPr>
        <w:t>.  </w:t>
      </w:r>
      <w:r w:rsidRPr="00A53DF1" w:rsidR="00DD6A30">
        <w:rPr>
          <w:rStyle w:val="ECHRParaChar"/>
        </w:rPr>
        <w:t xml:space="preserve">In July 2005 counsel requested that the applicant be released pending </w:t>
      </w:r>
      <w:r w:rsidR="00091958">
        <w:rPr>
          <w:rStyle w:val="ECHRParaChar"/>
        </w:rPr>
        <w:t xml:space="preserve">the </w:t>
      </w:r>
      <w:r w:rsidRPr="00A53DF1">
        <w:rPr>
          <w:rStyle w:val="ECHRParaChar"/>
        </w:rPr>
        <w:t>re-</w:t>
      </w:r>
      <w:r w:rsidRPr="00A53DF1" w:rsidR="00DD6A30">
        <w:rPr>
          <w:rStyle w:val="ECHRParaChar"/>
        </w:rPr>
        <w:t xml:space="preserve">trial. On 25 July 2005 the </w:t>
      </w:r>
      <w:r w:rsidRPr="00A53DF1">
        <w:rPr>
          <w:rStyle w:val="ECHRParaChar"/>
        </w:rPr>
        <w:t>district c</w:t>
      </w:r>
      <w:r w:rsidRPr="00A53DF1" w:rsidR="00DD6A30">
        <w:rPr>
          <w:rStyle w:val="ECHRParaChar"/>
        </w:rPr>
        <w:t xml:space="preserve">ourt rejected that </w:t>
      </w:r>
      <w:r w:rsidR="00091958">
        <w:rPr>
          <w:rStyle w:val="ECHRParaChar"/>
        </w:rPr>
        <w:t>request</w:t>
      </w:r>
      <w:r w:rsidRPr="00A53DF1" w:rsidR="00DD6A30">
        <w:rPr>
          <w:rStyle w:val="ECHRParaChar"/>
        </w:rPr>
        <w:t>,</w:t>
      </w:r>
      <w:r w:rsidR="00600982">
        <w:rPr>
          <w:rFonts w:ascii="Times New Roman" w:hAnsi="Times New Roman" w:eastAsia="Times New Roman" w:cs="Times New Roman"/>
          <w:i/>
          <w:szCs w:val="20"/>
          <w:lang w:val="en-GB" w:eastAsia="fr-FR"/>
        </w:rPr>
        <w:t xml:space="preserve"> inter </w:t>
      </w:r>
      <w:r w:rsidRPr="00DD6A30" w:rsidR="00DD6A30">
        <w:rPr>
          <w:rFonts w:ascii="Times New Roman" w:hAnsi="Times New Roman" w:eastAsia="Times New Roman" w:cs="Times New Roman"/>
          <w:i/>
          <w:szCs w:val="20"/>
          <w:lang w:val="en-GB" w:eastAsia="fr-FR"/>
        </w:rPr>
        <w:t xml:space="preserve">alia, </w:t>
      </w:r>
      <w:r w:rsidRPr="00A53DF1" w:rsidR="00DD6A30">
        <w:rPr>
          <w:rStyle w:val="ECHRParaChar"/>
        </w:rPr>
        <w:t xml:space="preserve">with reference to the gravity of the charges and the </w:t>
      </w:r>
      <w:r w:rsidRPr="00A53DF1" w:rsidR="00323716">
        <w:rPr>
          <w:rStyle w:val="ECHRParaChar"/>
        </w:rPr>
        <w:t>applicant</w:t>
      </w:r>
      <w:r w:rsidR="00C471A6">
        <w:rPr>
          <w:rStyle w:val="ECHRParaChar"/>
        </w:rPr>
        <w:t>’</w:t>
      </w:r>
      <w:r w:rsidRPr="00A53DF1" w:rsidR="00323716">
        <w:rPr>
          <w:rStyle w:val="ECHRParaChar"/>
        </w:rPr>
        <w:t>s previous conviction</w:t>
      </w:r>
      <w:r w:rsidRPr="00A53DF1" w:rsidR="00DD6A30">
        <w:rPr>
          <w:rStyle w:val="ECHRParaChar"/>
        </w:rPr>
        <w:t xml:space="preserve">. The court extended his detention until 1 November 2005. The applicant appealed arguing that on 22 July 2003 he had already been released upon </w:t>
      </w:r>
      <w:r w:rsidR="00C27E0F">
        <w:rPr>
          <w:rStyle w:val="ECHRParaChar"/>
        </w:rPr>
        <w:t xml:space="preserve">an </w:t>
      </w:r>
      <w:r w:rsidRPr="00A53DF1" w:rsidR="00DD6A30">
        <w:rPr>
          <w:rStyle w:val="ECHRParaChar"/>
        </w:rPr>
        <w:t xml:space="preserve">undertaking not to leave </w:t>
      </w:r>
      <w:r w:rsidRPr="00A53DF1">
        <w:rPr>
          <w:rStyle w:val="ECHRParaChar"/>
        </w:rPr>
        <w:t>his place of residence</w:t>
      </w:r>
      <w:r w:rsidRPr="00A53DF1" w:rsidR="00DD6A30">
        <w:rPr>
          <w:rStyle w:val="ECHRParaChar"/>
        </w:rPr>
        <w:t xml:space="preserve">, which he </w:t>
      </w:r>
      <w:r w:rsidRPr="00A53DF1" w:rsidR="00323716">
        <w:rPr>
          <w:rStyle w:val="ECHRParaChar"/>
        </w:rPr>
        <w:t xml:space="preserve">had </w:t>
      </w:r>
      <w:r w:rsidRPr="00A53DF1" w:rsidR="00DD6A30">
        <w:rPr>
          <w:rStyle w:val="ECHRParaChar"/>
        </w:rPr>
        <w:t>com</w:t>
      </w:r>
      <w:r w:rsidRPr="00A53DF1">
        <w:rPr>
          <w:rStyle w:val="ECHRParaChar"/>
        </w:rPr>
        <w:t>plied</w:t>
      </w:r>
      <w:r w:rsidRPr="00A53DF1" w:rsidR="00323716">
        <w:rPr>
          <w:rStyle w:val="ECHRParaChar"/>
        </w:rPr>
        <w:t xml:space="preserve"> with</w:t>
      </w:r>
      <w:r w:rsidRPr="00A53DF1">
        <w:rPr>
          <w:rStyle w:val="ECHRParaChar"/>
        </w:rPr>
        <w:t>. On 2 September 2005 the regional c</w:t>
      </w:r>
      <w:r w:rsidRPr="00A53DF1" w:rsidR="00DD6A30">
        <w:rPr>
          <w:rStyle w:val="ECHRParaChar"/>
        </w:rPr>
        <w:t>ourt upheld the order of 25 July 2005.</w:t>
      </w:r>
    </w:p>
    <w:p w:rsidRPr="00DD6A30"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19</w:t>
      </w:r>
      <w:r>
        <w:rPr>
          <w:rFonts w:eastAsia="Times New Roman"/>
          <w:lang w:val="en-GB" w:eastAsia="fr-FR"/>
        </w:rPr>
        <w:fldChar w:fldCharType="end"/>
      </w:r>
      <w:r>
        <w:rPr>
          <w:rFonts w:eastAsia="Times New Roman"/>
          <w:lang w:val="en-GB" w:eastAsia="fr-FR"/>
        </w:rPr>
        <w:t>.  </w:t>
      </w:r>
      <w:r w:rsidRPr="00DD6A30" w:rsidR="00DD6A30">
        <w:rPr>
          <w:rFonts w:eastAsia="Times New Roman"/>
          <w:lang w:val="en-GB" w:eastAsia="fr-FR"/>
        </w:rPr>
        <w:t xml:space="preserve">On 26 October 2005 </w:t>
      </w:r>
      <w:r w:rsidR="00A94F75">
        <w:rPr>
          <w:rFonts w:eastAsia="Times New Roman"/>
          <w:lang w:val="en-GB" w:eastAsia="fr-FR"/>
        </w:rPr>
        <w:t xml:space="preserve">the district court ordered </w:t>
      </w:r>
      <w:r w:rsidRPr="00DD6A30" w:rsidR="00DD6A30">
        <w:rPr>
          <w:rFonts w:eastAsia="Times New Roman"/>
          <w:lang w:val="en-GB" w:eastAsia="fr-FR"/>
        </w:rPr>
        <w:t>the applicant</w:t>
      </w:r>
      <w:r w:rsidR="00C471A6">
        <w:rPr>
          <w:rFonts w:eastAsia="Times New Roman"/>
          <w:lang w:val="en-GB" w:eastAsia="fr-FR"/>
        </w:rPr>
        <w:t>’</w:t>
      </w:r>
      <w:r w:rsidR="00A94F75">
        <w:rPr>
          <w:rFonts w:eastAsia="Times New Roman"/>
          <w:lang w:val="en-GB" w:eastAsia="fr-FR"/>
        </w:rPr>
        <w:t>s release under an undertaking not to leave the place of his residence. The applicant was immediately released.</w:t>
      </w:r>
    </w:p>
    <w:p w:rsidR="00600982"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20</w:t>
      </w:r>
      <w:r>
        <w:rPr>
          <w:rFonts w:eastAsia="Times New Roman"/>
          <w:lang w:val="en-GB" w:eastAsia="fr-FR"/>
        </w:rPr>
        <w:fldChar w:fldCharType="end"/>
      </w:r>
      <w:r>
        <w:rPr>
          <w:rFonts w:eastAsia="Times New Roman"/>
          <w:lang w:val="en-GB" w:eastAsia="fr-FR"/>
        </w:rPr>
        <w:t>.  On 20 December 2005 the district c</w:t>
      </w:r>
      <w:r w:rsidRPr="00DD6A30" w:rsidR="00DD6A30">
        <w:rPr>
          <w:rFonts w:eastAsia="Times New Roman"/>
          <w:lang w:val="en-GB" w:eastAsia="fr-FR"/>
        </w:rPr>
        <w:t xml:space="preserve">ourt convicted </w:t>
      </w:r>
      <w:r>
        <w:rPr>
          <w:rFonts w:eastAsia="Times New Roman"/>
          <w:lang w:val="en-GB" w:eastAsia="fr-FR"/>
        </w:rPr>
        <w:t>the applicant</w:t>
      </w:r>
      <w:r w:rsidRPr="00DD6A30" w:rsidR="00DD6A30">
        <w:rPr>
          <w:rFonts w:eastAsia="Times New Roman"/>
          <w:lang w:val="en-GB" w:eastAsia="fr-FR"/>
        </w:rPr>
        <w:t xml:space="preserve"> as charged and sentenced him to seven years</w:t>
      </w:r>
      <w:r w:rsidR="00C471A6">
        <w:rPr>
          <w:rFonts w:eastAsia="Times New Roman"/>
          <w:lang w:val="en-GB" w:eastAsia="fr-FR"/>
        </w:rPr>
        <w:t>’</w:t>
      </w:r>
      <w:r w:rsidRPr="00DD6A30" w:rsidR="00DD6A30">
        <w:rPr>
          <w:rFonts w:eastAsia="Times New Roman"/>
          <w:lang w:val="en-GB" w:eastAsia="fr-FR"/>
        </w:rPr>
        <w:t xml:space="preserve"> imprisonment. The applicant was immediately taken into custody.</w:t>
      </w:r>
    </w:p>
    <w:p w:rsidR="00DD6A30" w:rsidP="00A53DF1" w:rsidRDefault="00372B7A">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21</w:t>
      </w:r>
      <w:r>
        <w:rPr>
          <w:rFonts w:eastAsia="Times New Roman"/>
          <w:lang w:val="en-GB" w:eastAsia="fr-FR"/>
        </w:rPr>
        <w:fldChar w:fldCharType="end"/>
      </w:r>
      <w:r>
        <w:rPr>
          <w:rFonts w:eastAsia="Times New Roman"/>
          <w:lang w:val="en-GB" w:eastAsia="fr-FR"/>
        </w:rPr>
        <w:t>.  On 21 February 2006 the regional c</w:t>
      </w:r>
      <w:r w:rsidRPr="00DD6A30" w:rsidR="00DD6A30">
        <w:rPr>
          <w:rFonts w:eastAsia="Times New Roman"/>
          <w:lang w:val="en-GB" w:eastAsia="fr-FR"/>
        </w:rPr>
        <w:t>ourt upheld the judgment</w:t>
      </w:r>
      <w:r>
        <w:rPr>
          <w:rFonts w:eastAsia="Times New Roman"/>
          <w:lang w:val="en-GB" w:eastAsia="fr-FR"/>
        </w:rPr>
        <w:t xml:space="preserve"> of 20 December 2005 thus making it final</w:t>
      </w:r>
      <w:r w:rsidRPr="00DD6A30" w:rsidR="00DD6A30">
        <w:rPr>
          <w:rFonts w:eastAsia="Times New Roman"/>
          <w:lang w:val="en-GB" w:eastAsia="fr-FR"/>
        </w:rPr>
        <w:t>.</w:t>
      </w:r>
    </w:p>
    <w:p w:rsidRPr="00DD6A30" w:rsidR="00C63409" w:rsidP="00A53DF1" w:rsidRDefault="00C63409">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22</w:t>
      </w:r>
      <w:r>
        <w:rPr>
          <w:rFonts w:eastAsia="Times New Roman"/>
          <w:lang w:val="en-GB" w:eastAsia="fr-FR"/>
        </w:rPr>
        <w:fldChar w:fldCharType="end"/>
      </w:r>
      <w:r>
        <w:rPr>
          <w:rFonts w:eastAsia="Times New Roman"/>
          <w:lang w:val="en-GB" w:eastAsia="fr-FR"/>
        </w:rPr>
        <w:t xml:space="preserve">.  On 20 November 2008 the Zheleznodorozhny district court of Penza decided to apply to the applicant measures of compulsory psychiatric treatment. The applicant was then transferred to </w:t>
      </w:r>
      <w:r w:rsidR="00537129">
        <w:rPr>
          <w:rFonts w:eastAsia="Times New Roman"/>
          <w:lang w:val="en-GB" w:eastAsia="fr-FR"/>
        </w:rPr>
        <w:t xml:space="preserve">a </w:t>
      </w:r>
      <w:r>
        <w:rPr>
          <w:rFonts w:eastAsia="Times New Roman"/>
          <w:lang w:val="en-GB" w:eastAsia="fr-FR"/>
        </w:rPr>
        <w:t xml:space="preserve">psychiatric hospital in </w:t>
      </w:r>
      <w:r w:rsidR="00A4399C">
        <w:rPr>
          <w:rFonts w:eastAsia="Times New Roman"/>
          <w:lang w:val="en-GB" w:eastAsia="fr-FR"/>
        </w:rPr>
        <w:t xml:space="preserve">the </w:t>
      </w:r>
      <w:r>
        <w:rPr>
          <w:rFonts w:eastAsia="Times New Roman"/>
          <w:lang w:val="en-GB" w:eastAsia="fr-FR"/>
        </w:rPr>
        <w:t>town of Sychevka in the Smolensk region.</w:t>
      </w:r>
    </w:p>
    <w:p w:rsidR="00DD6A30" w:rsidP="006A67EE" w:rsidRDefault="006A67EE">
      <w:pPr>
        <w:pStyle w:val="ECHRHeading2"/>
        <w:rPr>
          <w:rFonts w:eastAsia="Times New Roman"/>
          <w:lang w:val="en-GB" w:eastAsia="fr-FR"/>
        </w:rPr>
      </w:pPr>
      <w:r>
        <w:rPr>
          <w:rFonts w:eastAsia="Times New Roman"/>
          <w:lang w:val="en-GB" w:eastAsia="fr-FR"/>
        </w:rPr>
        <w:t>B</w:t>
      </w:r>
      <w:r w:rsidRPr="00DD6A30" w:rsidR="00DD6A30">
        <w:rPr>
          <w:rFonts w:eastAsia="Times New Roman"/>
          <w:lang w:val="en-GB" w:eastAsia="fr-FR"/>
        </w:rPr>
        <w:t>.  Conditions of detention</w:t>
      </w:r>
      <w:r>
        <w:rPr>
          <w:rFonts w:eastAsia="Times New Roman"/>
          <w:lang w:val="en-GB" w:eastAsia="fr-FR"/>
        </w:rPr>
        <w:t xml:space="preserve"> in IZ-16/1 of Kazan between 15 August and 24 October 2008</w:t>
      </w:r>
    </w:p>
    <w:p w:rsidRPr="006A67EE" w:rsidR="006A67EE" w:rsidP="006A67EE" w:rsidRDefault="006A67EE">
      <w:pPr>
        <w:pStyle w:val="ECHRHeading3"/>
        <w:rPr>
          <w:lang w:val="en-GB" w:eastAsia="fr-FR"/>
        </w:rPr>
      </w:pPr>
      <w:r>
        <w:rPr>
          <w:lang w:val="en-GB" w:eastAsia="fr-FR"/>
        </w:rPr>
        <w:t>1.  The applicant</w:t>
      </w:r>
      <w:r w:rsidR="00C471A6">
        <w:rPr>
          <w:lang w:val="en-GB" w:eastAsia="fr-FR"/>
        </w:rPr>
        <w:t>’</w:t>
      </w:r>
      <w:r>
        <w:rPr>
          <w:lang w:val="en-GB" w:eastAsia="fr-FR"/>
        </w:rPr>
        <w:t>s version</w:t>
      </w:r>
    </w:p>
    <w:bookmarkStart w:name="release2" w:id="10"/>
    <w:bookmarkStart w:name="condt" w:id="11"/>
    <w:p w:rsidR="00512E02" w:rsidP="00A53DF1" w:rsidRDefault="00745A76">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23</w:t>
      </w:r>
      <w:r>
        <w:rPr>
          <w:rFonts w:eastAsia="Times New Roman"/>
          <w:lang w:val="en-GB" w:eastAsia="fr-FR"/>
        </w:rPr>
        <w:fldChar w:fldCharType="end"/>
      </w:r>
      <w:bookmarkEnd w:id="10"/>
      <w:bookmarkEnd w:id="11"/>
      <w:r>
        <w:rPr>
          <w:rFonts w:eastAsia="Times New Roman"/>
          <w:lang w:val="en-GB" w:eastAsia="fr-FR"/>
        </w:rPr>
        <w:t>.  </w:t>
      </w:r>
      <w:r w:rsidR="00512E02">
        <w:rPr>
          <w:rFonts w:eastAsia="Times New Roman"/>
          <w:lang w:val="en-GB" w:eastAsia="fr-FR"/>
        </w:rPr>
        <w:t>In the applicant</w:t>
      </w:r>
      <w:r w:rsidR="00C471A6">
        <w:rPr>
          <w:rFonts w:eastAsia="Times New Roman"/>
          <w:lang w:val="en-GB" w:eastAsia="fr-FR"/>
        </w:rPr>
        <w:t>’</w:t>
      </w:r>
      <w:r w:rsidR="00512E02">
        <w:rPr>
          <w:rFonts w:eastAsia="Times New Roman"/>
          <w:lang w:val="en-GB" w:eastAsia="fr-FR"/>
        </w:rPr>
        <w:t xml:space="preserve">s </w:t>
      </w:r>
      <w:r w:rsidR="009B1045">
        <w:rPr>
          <w:rFonts w:eastAsia="Times New Roman"/>
          <w:lang w:val="en-GB" w:eastAsia="fr-FR"/>
        </w:rPr>
        <w:t xml:space="preserve">initial </w:t>
      </w:r>
      <w:r w:rsidR="00512E02">
        <w:rPr>
          <w:rFonts w:eastAsia="Times New Roman"/>
          <w:lang w:val="en-GB" w:eastAsia="fr-FR"/>
        </w:rPr>
        <w:t>submission, he</w:t>
      </w:r>
      <w:r w:rsidRPr="00DD6A30" w:rsidR="00DD6A30">
        <w:rPr>
          <w:rFonts w:eastAsia="Times New Roman"/>
          <w:lang w:val="en-GB" w:eastAsia="fr-FR"/>
        </w:rPr>
        <w:t xml:space="preserve"> </w:t>
      </w:r>
      <w:r w:rsidR="00C27E0F">
        <w:rPr>
          <w:rFonts w:eastAsia="Times New Roman"/>
          <w:lang w:val="en-GB" w:eastAsia="fr-FR"/>
        </w:rPr>
        <w:t xml:space="preserve">submitted that he </w:t>
      </w:r>
      <w:r w:rsidRPr="00DD6A30" w:rsidR="00DD6A30">
        <w:rPr>
          <w:rFonts w:eastAsia="Times New Roman"/>
          <w:lang w:val="en-GB" w:eastAsia="fr-FR"/>
        </w:rPr>
        <w:t xml:space="preserve">was kept in </w:t>
      </w:r>
      <w:r w:rsidR="00C27E0F">
        <w:rPr>
          <w:rFonts w:eastAsia="Times New Roman"/>
          <w:lang w:val="en-GB" w:eastAsia="fr-FR"/>
        </w:rPr>
        <w:t>IZ-</w:t>
      </w:r>
      <w:r w:rsidRPr="00DD6A30" w:rsidR="00DD6A30">
        <w:rPr>
          <w:rFonts w:eastAsia="Times New Roman"/>
          <w:lang w:val="en-GB" w:eastAsia="fr-FR"/>
        </w:rPr>
        <w:t>16/1</w:t>
      </w:r>
      <w:r w:rsidR="00512E02">
        <w:rPr>
          <w:rFonts w:eastAsia="Times New Roman"/>
          <w:lang w:val="en-GB" w:eastAsia="fr-FR"/>
        </w:rPr>
        <w:t xml:space="preserve"> of Kazan</w:t>
      </w:r>
      <w:r w:rsidRPr="009B1045" w:rsidR="009B1045">
        <w:rPr>
          <w:rFonts w:eastAsia="Times New Roman"/>
          <w:lang w:val="en-GB" w:eastAsia="fr-FR"/>
        </w:rPr>
        <w:t xml:space="preserve"> </w:t>
      </w:r>
      <w:r w:rsidR="009B1045">
        <w:rPr>
          <w:rFonts w:eastAsia="Times New Roman"/>
          <w:lang w:val="en-GB" w:eastAsia="fr-FR"/>
        </w:rPr>
        <w:t>between</w:t>
      </w:r>
      <w:r w:rsidRPr="00DD6A30" w:rsidR="009B1045">
        <w:rPr>
          <w:rFonts w:eastAsia="Times New Roman"/>
          <w:lang w:val="en-GB" w:eastAsia="fr-FR"/>
        </w:rPr>
        <w:t xml:space="preserve"> 15 </w:t>
      </w:r>
      <w:r w:rsidR="009B1045">
        <w:rPr>
          <w:rFonts w:eastAsia="Times New Roman"/>
          <w:lang w:val="en-GB" w:eastAsia="fr-FR"/>
        </w:rPr>
        <w:t>July</w:t>
      </w:r>
      <w:r w:rsidRPr="00DD6A30" w:rsidR="009B1045">
        <w:rPr>
          <w:rFonts w:eastAsia="Times New Roman"/>
          <w:lang w:val="en-GB" w:eastAsia="fr-FR"/>
        </w:rPr>
        <w:t xml:space="preserve"> </w:t>
      </w:r>
      <w:r w:rsidR="009B1045">
        <w:rPr>
          <w:rFonts w:eastAsia="Times New Roman"/>
          <w:lang w:val="en-GB" w:eastAsia="fr-FR"/>
        </w:rPr>
        <w:t>and</w:t>
      </w:r>
      <w:r w:rsidRPr="00DD6A30" w:rsidR="009B1045">
        <w:rPr>
          <w:rFonts w:eastAsia="Times New Roman"/>
          <w:lang w:val="en-GB" w:eastAsia="fr-FR"/>
        </w:rPr>
        <w:t xml:space="preserve"> 24 </w:t>
      </w:r>
      <w:r w:rsidR="009B1045">
        <w:rPr>
          <w:rFonts w:eastAsia="Times New Roman"/>
          <w:lang w:val="en-GB" w:eastAsia="fr-FR"/>
        </w:rPr>
        <w:t>September</w:t>
      </w:r>
      <w:r w:rsidRPr="00DD6A30" w:rsidR="009B1045">
        <w:rPr>
          <w:rFonts w:eastAsia="Times New Roman"/>
          <w:lang w:val="en-GB" w:eastAsia="fr-FR"/>
        </w:rPr>
        <w:t xml:space="preserve"> 2008</w:t>
      </w:r>
      <w:r w:rsidRPr="00DD6A30" w:rsidR="00DD6A30">
        <w:rPr>
          <w:rFonts w:eastAsia="Times New Roman"/>
          <w:lang w:val="en-GB" w:eastAsia="fr-FR"/>
        </w:rPr>
        <w:t xml:space="preserve">. </w:t>
      </w:r>
      <w:r w:rsidRPr="00DD6A30" w:rsidR="00E4528B">
        <w:rPr>
          <w:rFonts w:eastAsia="Times New Roman"/>
          <w:lang w:val="en-GB" w:eastAsia="fr-FR"/>
        </w:rPr>
        <w:t xml:space="preserve">During that period (except for two weeks) </w:t>
      </w:r>
      <w:r w:rsidR="00E4528B">
        <w:rPr>
          <w:rFonts w:eastAsia="Times New Roman"/>
          <w:lang w:val="en-GB" w:eastAsia="fr-FR"/>
        </w:rPr>
        <w:t>the applicant</w:t>
      </w:r>
      <w:r w:rsidRPr="00DD6A30" w:rsidR="00E4528B">
        <w:rPr>
          <w:rFonts w:eastAsia="Times New Roman"/>
          <w:lang w:val="en-GB" w:eastAsia="fr-FR"/>
        </w:rPr>
        <w:t xml:space="preserve"> had no individual bed in the cell and had to sleep in shifts </w:t>
      </w:r>
      <w:r w:rsidR="00E4528B">
        <w:rPr>
          <w:rFonts w:eastAsia="Times New Roman"/>
          <w:lang w:val="en-GB" w:eastAsia="fr-FR"/>
        </w:rPr>
        <w:t xml:space="preserve">with two or three </w:t>
      </w:r>
      <w:r w:rsidR="003E26F2">
        <w:rPr>
          <w:rFonts w:eastAsia="Times New Roman"/>
          <w:lang w:val="en-GB" w:eastAsia="fr-FR"/>
        </w:rPr>
        <w:t xml:space="preserve">other </w:t>
      </w:r>
      <w:r w:rsidR="00E4528B">
        <w:rPr>
          <w:rFonts w:eastAsia="Times New Roman"/>
          <w:lang w:val="en-GB" w:eastAsia="fr-FR"/>
        </w:rPr>
        <w:t>inmates, which deprived him of an opportun</w:t>
      </w:r>
      <w:r w:rsidRPr="00DD6A30" w:rsidR="00E4528B">
        <w:rPr>
          <w:rFonts w:eastAsia="Times New Roman"/>
          <w:lang w:val="en-GB" w:eastAsia="fr-FR"/>
        </w:rPr>
        <w:t>ity to have a sufficient time for sleep.</w:t>
      </w:r>
    </w:p>
    <w:p w:rsidR="00600982" w:rsidP="00A53DF1" w:rsidRDefault="00745A76">
      <w:pPr>
        <w:pStyle w:val="ECHRPara"/>
        <w:rPr>
          <w:rFonts w:eastAsia="Times New Roman"/>
          <w:lang w:val="en-GB" w:eastAsia="fr-FR"/>
        </w:rPr>
      </w:pPr>
      <w:r>
        <w:rPr>
          <w:rFonts w:eastAsia="Times New Roman"/>
          <w:lang w:val="en-GB" w:eastAsia="fr-FR"/>
        </w:rPr>
        <w:fldChar w:fldCharType="begin"/>
      </w:r>
      <w:r>
        <w:rPr>
          <w:rFonts w:eastAsia="Times New Roman"/>
          <w:lang w:val="en-GB" w:eastAsia="fr-FR"/>
        </w:rPr>
        <w:instrText xml:space="preserve"> SEQ level0 \*arabic </w:instrText>
      </w:r>
      <w:r>
        <w:rPr>
          <w:rFonts w:eastAsia="Times New Roman"/>
          <w:lang w:val="en-GB" w:eastAsia="fr-FR"/>
        </w:rPr>
        <w:fldChar w:fldCharType="separate"/>
      </w:r>
      <w:r w:rsidR="00F73EE2">
        <w:rPr>
          <w:rFonts w:eastAsia="Times New Roman"/>
          <w:noProof/>
          <w:lang w:val="en-GB" w:eastAsia="fr-FR"/>
        </w:rPr>
        <w:t>24</w:t>
      </w:r>
      <w:r>
        <w:rPr>
          <w:rFonts w:eastAsia="Times New Roman"/>
          <w:lang w:val="en-GB" w:eastAsia="fr-FR"/>
        </w:rPr>
        <w:fldChar w:fldCharType="end"/>
      </w:r>
      <w:r>
        <w:rPr>
          <w:rFonts w:eastAsia="Times New Roman"/>
          <w:lang w:val="en-GB" w:eastAsia="fr-FR"/>
        </w:rPr>
        <w:t>.  </w:t>
      </w:r>
      <w:r w:rsidR="00E4528B">
        <w:rPr>
          <w:rFonts w:eastAsia="Times New Roman"/>
          <w:lang w:val="en-GB" w:eastAsia="fr-FR"/>
        </w:rPr>
        <w:t xml:space="preserve">In his observations on the admissibility and merits of the application of 5 October 2009 the applicant clarified that he had stayed in the </w:t>
      </w:r>
      <w:r w:rsidR="00C27E0F">
        <w:rPr>
          <w:rFonts w:eastAsia="Times New Roman"/>
          <w:lang w:val="en-GB" w:eastAsia="fr-FR"/>
        </w:rPr>
        <w:t>facility</w:t>
      </w:r>
      <w:r w:rsidR="00E4528B">
        <w:rPr>
          <w:rFonts w:eastAsia="Times New Roman"/>
          <w:lang w:val="en-GB" w:eastAsia="fr-FR"/>
        </w:rPr>
        <w:t xml:space="preserve"> in question between 15 August and 24 October 2008.</w:t>
      </w:r>
    </w:p>
    <w:p w:rsidR="006A67EE" w:rsidP="006A67EE" w:rsidRDefault="006A67EE">
      <w:pPr>
        <w:pStyle w:val="ECHRHeading3"/>
        <w:rPr>
          <w:rFonts w:eastAsia="Times New Roman"/>
          <w:lang w:val="en-GB" w:eastAsia="fr-FR"/>
        </w:rPr>
      </w:pPr>
      <w:r>
        <w:rPr>
          <w:rFonts w:eastAsia="Times New Roman"/>
          <w:lang w:val="en-GB" w:eastAsia="fr-FR"/>
        </w:rPr>
        <w:t>2.  The Government</w:t>
      </w:r>
      <w:r w:rsidR="00C471A6">
        <w:rPr>
          <w:rFonts w:eastAsia="Times New Roman"/>
          <w:lang w:val="en-GB" w:eastAsia="fr-FR"/>
        </w:rPr>
        <w:t>’</w:t>
      </w:r>
      <w:r>
        <w:rPr>
          <w:rFonts w:eastAsia="Times New Roman"/>
          <w:lang w:val="en-GB" w:eastAsia="fr-FR"/>
        </w:rPr>
        <w:t>s version</w:t>
      </w:r>
    </w:p>
    <w:p w:rsidRPr="00A53DF1" w:rsidR="00745A76" w:rsidP="00A53DF1" w:rsidRDefault="00442CC2">
      <w:pPr>
        <w:pStyle w:val="ECHRPara"/>
      </w:pPr>
      <w:r>
        <w:fldChar w:fldCharType="begin"/>
      </w:r>
      <w:r>
        <w:instrText xml:space="preserve"> SEQ level0 \*arabic </w:instrText>
      </w:r>
      <w:r>
        <w:fldChar w:fldCharType="separate"/>
      </w:r>
      <w:r w:rsidR="00F73EE2">
        <w:rPr>
          <w:noProof/>
        </w:rPr>
        <w:t>25</w:t>
      </w:r>
      <w:r>
        <w:rPr>
          <w:noProof/>
        </w:rPr>
        <w:fldChar w:fldCharType="end"/>
      </w:r>
      <w:r w:rsidRPr="00A53DF1" w:rsidR="00745A76">
        <w:t xml:space="preserve">.  The applicant was kept in </w:t>
      </w:r>
      <w:r w:rsidR="00926917">
        <w:t>IZ-</w:t>
      </w:r>
      <w:r w:rsidRPr="00A53DF1" w:rsidR="00745A76">
        <w:t>16/1</w:t>
      </w:r>
      <w:r w:rsidR="00B02A46">
        <w:t xml:space="preserve"> </w:t>
      </w:r>
      <w:r w:rsidR="009B6D31">
        <w:t>during two periods of time: (a) </w:t>
      </w:r>
      <w:r w:rsidRPr="00A53DF1" w:rsidR="005E1BD6">
        <w:t>between</w:t>
      </w:r>
      <w:r w:rsidRPr="00A53DF1" w:rsidR="00745A76">
        <w:t xml:space="preserve"> 15 August </w:t>
      </w:r>
      <w:r w:rsidRPr="00A53DF1" w:rsidR="005E1BD6">
        <w:t xml:space="preserve">and 24 September </w:t>
      </w:r>
      <w:r w:rsidR="00760BF7">
        <w:t>2008; and (b) between 22 and 24 </w:t>
      </w:r>
      <w:r w:rsidRPr="00A53DF1" w:rsidR="005E1BD6">
        <w:t xml:space="preserve">October </w:t>
      </w:r>
      <w:r w:rsidRPr="00A53DF1" w:rsidR="00745A76">
        <w:t xml:space="preserve">2008. He was transferred </w:t>
      </w:r>
      <w:r w:rsidR="00B02A46">
        <w:t>there</w:t>
      </w:r>
      <w:r w:rsidR="00926917">
        <w:t xml:space="preserve"> </w:t>
      </w:r>
      <w:r w:rsidR="001072D7">
        <w:t xml:space="preserve">temporarily </w:t>
      </w:r>
      <w:r w:rsidR="009B6D31">
        <w:t>from the post</w:t>
      </w:r>
      <w:r w:rsidR="009B6D31">
        <w:noBreakHyphen/>
      </w:r>
      <w:r w:rsidR="00926917">
        <w:t>conviction detention facility in which he had been serving his sentence</w:t>
      </w:r>
      <w:r w:rsidRPr="00A53DF1" w:rsidR="00745A76">
        <w:t xml:space="preserve"> </w:t>
      </w:r>
      <w:r w:rsidRPr="00A53DF1" w:rsidR="004D68F2">
        <w:t xml:space="preserve">so that he could undergo </w:t>
      </w:r>
      <w:r w:rsidRPr="00A53DF1" w:rsidR="00745A76">
        <w:t>a psychiatric expert assessment.</w:t>
      </w:r>
      <w:r w:rsidR="00710C85">
        <w:t xml:space="preserve"> Between 24 </w:t>
      </w:r>
      <w:r w:rsidRPr="00A53DF1" w:rsidR="005E1BD6">
        <w:t xml:space="preserve">September and 22 October 2008 the applicant stayed in </w:t>
      </w:r>
      <w:r w:rsidRPr="00A53DF1" w:rsidR="00537129">
        <w:t xml:space="preserve">a </w:t>
      </w:r>
      <w:r w:rsidRPr="00A53DF1" w:rsidR="005E1BD6">
        <w:t>psychiatr</w:t>
      </w:r>
      <w:r w:rsidRPr="00A53DF1" w:rsidR="00017B95">
        <w:t>ic</w:t>
      </w:r>
      <w:r w:rsidRPr="00A53DF1" w:rsidR="005E1BD6">
        <w:t xml:space="preserve"> hospital.</w:t>
      </w:r>
    </w:p>
    <w:p w:rsidRPr="00A53DF1" w:rsidR="006A67EE" w:rsidP="00A53DF1" w:rsidRDefault="00442CC2">
      <w:pPr>
        <w:pStyle w:val="ECHRPara"/>
      </w:pPr>
      <w:r>
        <w:fldChar w:fldCharType="begin"/>
      </w:r>
      <w:r>
        <w:instrText xml:space="preserve"> SEQ level0 \*arabic </w:instrText>
      </w:r>
      <w:r>
        <w:fldChar w:fldCharType="separate"/>
      </w:r>
      <w:r w:rsidR="00F73EE2">
        <w:rPr>
          <w:noProof/>
        </w:rPr>
        <w:t>26</w:t>
      </w:r>
      <w:r>
        <w:rPr>
          <w:noProof/>
        </w:rPr>
        <w:fldChar w:fldCharType="end"/>
      </w:r>
      <w:r w:rsidRPr="00A53DF1" w:rsidR="005E1BD6">
        <w:t>.  The applicant was kept in cells nos. 5 (from 15 until 17 August 2008), 6 (from 17 August until 19 Septem</w:t>
      </w:r>
      <w:r w:rsidRPr="00A53DF1" w:rsidR="00A53DF1">
        <w:t>ber 2008), 11 (from 19 until 24 </w:t>
      </w:r>
      <w:r w:rsidRPr="00A53DF1" w:rsidR="005E1BD6">
        <w:t xml:space="preserve">September 2008), </w:t>
      </w:r>
      <w:r w:rsidRPr="00A53DF1" w:rsidR="00B07CF3">
        <w:t xml:space="preserve">and </w:t>
      </w:r>
      <w:r w:rsidRPr="00A53DF1" w:rsidR="005E1BD6">
        <w:t>46 (from 22 until 24 October 2008).</w:t>
      </w:r>
    </w:p>
    <w:p w:rsidR="008A1441" w:rsidP="008A1441" w:rsidRDefault="00442CC2">
      <w:pPr>
        <w:pStyle w:val="ECHRPara"/>
      </w:pPr>
      <w:r>
        <w:fldChar w:fldCharType="begin"/>
      </w:r>
      <w:r>
        <w:instrText xml:space="preserve"> SEQ level</w:instrText>
      </w:r>
      <w:r>
        <w:instrText xml:space="preserve">0 \*arabic </w:instrText>
      </w:r>
      <w:r>
        <w:fldChar w:fldCharType="separate"/>
      </w:r>
      <w:r w:rsidR="00F73EE2">
        <w:rPr>
          <w:noProof/>
        </w:rPr>
        <w:t>27</w:t>
      </w:r>
      <w:r>
        <w:rPr>
          <w:noProof/>
        </w:rPr>
        <w:fldChar w:fldCharType="end"/>
      </w:r>
      <w:r w:rsidRPr="00A53DF1" w:rsidR="005E1BD6">
        <w:t>.  </w:t>
      </w:r>
      <w:r w:rsidRPr="00A53DF1" w:rsidR="00B07CF3">
        <w:t>The cells presented the following characteristics:</w:t>
      </w:r>
    </w:p>
    <w:p w:rsidR="008A1441" w:rsidP="008A1441" w:rsidRDefault="008A1441">
      <w:pPr>
        <w:pStyle w:val="ECHRPara"/>
        <w:rPr>
          <w:lang w:val="en-GB" w:eastAsia="fr-FR"/>
        </w:rPr>
      </w:pPr>
      <w:r>
        <w:rPr>
          <w:lang w:val="en-GB" w:eastAsia="fr-FR"/>
        </w:rPr>
        <w:t>-  </w:t>
      </w:r>
      <w:r w:rsidR="00B07CF3">
        <w:rPr>
          <w:lang w:val="en-GB" w:eastAsia="fr-FR"/>
        </w:rPr>
        <w:t>cell</w:t>
      </w:r>
      <w:r w:rsidR="002C3539">
        <w:rPr>
          <w:lang w:val="en-GB" w:eastAsia="fr-FR"/>
        </w:rPr>
        <w:t xml:space="preserve"> </w:t>
      </w:r>
      <w:r w:rsidR="00E33F77">
        <w:rPr>
          <w:lang w:val="en-GB" w:eastAsia="fr-FR"/>
        </w:rPr>
        <w:t xml:space="preserve">no. </w:t>
      </w:r>
      <w:r w:rsidR="002C3539">
        <w:rPr>
          <w:lang w:val="en-GB" w:eastAsia="fr-FR"/>
        </w:rPr>
        <w:t>5: 20.</w:t>
      </w:r>
      <w:r w:rsidR="00B07CF3">
        <w:rPr>
          <w:lang w:val="en-GB" w:eastAsia="fr-FR"/>
        </w:rPr>
        <w:t>06 square metres and five sleeping places;</w:t>
      </w:r>
    </w:p>
    <w:p w:rsidR="008A1441" w:rsidP="008A1441" w:rsidRDefault="008A1441">
      <w:pPr>
        <w:pStyle w:val="ECHRPara"/>
        <w:rPr>
          <w:lang w:val="en-GB" w:eastAsia="fr-FR"/>
        </w:rPr>
      </w:pPr>
      <w:r>
        <w:rPr>
          <w:lang w:val="en-GB" w:eastAsia="fr-FR"/>
        </w:rPr>
        <w:t>-  </w:t>
      </w:r>
      <w:r w:rsidR="002C3539">
        <w:rPr>
          <w:lang w:val="en-GB" w:eastAsia="fr-FR"/>
        </w:rPr>
        <w:t xml:space="preserve">cell </w:t>
      </w:r>
      <w:r w:rsidR="00E33F77">
        <w:rPr>
          <w:lang w:val="en-GB" w:eastAsia="fr-FR"/>
        </w:rPr>
        <w:t xml:space="preserve">no. </w:t>
      </w:r>
      <w:r w:rsidR="002C3539">
        <w:rPr>
          <w:lang w:val="en-GB" w:eastAsia="fr-FR"/>
        </w:rPr>
        <w:t>6: 16.</w:t>
      </w:r>
      <w:r w:rsidR="00B07CF3">
        <w:rPr>
          <w:lang w:val="en-GB" w:eastAsia="fr-FR"/>
        </w:rPr>
        <w:t>2 square metres and four sleeping places;</w:t>
      </w:r>
    </w:p>
    <w:p w:rsidR="008A1441" w:rsidP="008A1441" w:rsidRDefault="008A1441">
      <w:pPr>
        <w:pStyle w:val="ECHRPara"/>
        <w:rPr>
          <w:lang w:val="en-GB" w:eastAsia="fr-FR"/>
        </w:rPr>
      </w:pPr>
      <w:r>
        <w:rPr>
          <w:lang w:val="en-GB" w:eastAsia="fr-FR"/>
        </w:rPr>
        <w:t>-  </w:t>
      </w:r>
      <w:r w:rsidR="002C3539">
        <w:rPr>
          <w:lang w:val="en-GB" w:eastAsia="fr-FR"/>
        </w:rPr>
        <w:t xml:space="preserve">cell </w:t>
      </w:r>
      <w:r w:rsidR="00E33F77">
        <w:rPr>
          <w:lang w:val="en-GB" w:eastAsia="fr-FR"/>
        </w:rPr>
        <w:t xml:space="preserve">no. </w:t>
      </w:r>
      <w:r w:rsidR="002C3539">
        <w:rPr>
          <w:lang w:val="en-GB" w:eastAsia="fr-FR"/>
        </w:rPr>
        <w:t>11: 20.</w:t>
      </w:r>
      <w:r w:rsidR="00B07CF3">
        <w:rPr>
          <w:lang w:val="en-GB" w:eastAsia="fr-FR"/>
        </w:rPr>
        <w:t>98 square metres and five sleeping places;</w:t>
      </w:r>
    </w:p>
    <w:p w:rsidR="00B07CF3" w:rsidP="008A1441" w:rsidRDefault="008A1441">
      <w:pPr>
        <w:pStyle w:val="ECHRPara"/>
        <w:rPr>
          <w:lang w:val="en-GB" w:eastAsia="fr-FR"/>
        </w:rPr>
      </w:pPr>
      <w:r>
        <w:rPr>
          <w:lang w:val="en-GB" w:eastAsia="fr-FR"/>
        </w:rPr>
        <w:t>-  </w:t>
      </w:r>
      <w:r w:rsidR="002C3539">
        <w:rPr>
          <w:lang w:val="en-GB" w:eastAsia="fr-FR"/>
        </w:rPr>
        <w:t xml:space="preserve">cell </w:t>
      </w:r>
      <w:r w:rsidR="00E33F77">
        <w:rPr>
          <w:lang w:val="en-GB" w:eastAsia="fr-FR"/>
        </w:rPr>
        <w:t xml:space="preserve">no. </w:t>
      </w:r>
      <w:r w:rsidR="002C3539">
        <w:rPr>
          <w:lang w:val="en-GB" w:eastAsia="fr-FR"/>
        </w:rPr>
        <w:t>46: 12.</w:t>
      </w:r>
      <w:r w:rsidR="00B07CF3">
        <w:rPr>
          <w:lang w:val="en-GB" w:eastAsia="fr-FR"/>
        </w:rPr>
        <w:t>4 square metres and three sleeping places.</w:t>
      </w:r>
    </w:p>
    <w:p w:rsidRPr="006A67EE" w:rsidR="002E6C1F" w:rsidP="002E6C1F" w:rsidRDefault="002E6C1F">
      <w:pPr>
        <w:pStyle w:val="ECHRPara"/>
        <w:rPr>
          <w:lang w:val="en-GB" w:eastAsia="fr-FR"/>
        </w:rPr>
      </w:pPr>
      <w:r>
        <w:rPr>
          <w:lang w:eastAsia="fr-FR"/>
        </w:rPr>
        <w:fldChar w:fldCharType="begin"/>
      </w:r>
      <w:r>
        <w:rPr>
          <w:lang w:eastAsia="fr-FR"/>
        </w:rPr>
        <w:instrText xml:space="preserve"> SEQ level0 \*arabic </w:instrText>
      </w:r>
      <w:r>
        <w:rPr>
          <w:lang w:eastAsia="fr-FR"/>
        </w:rPr>
        <w:fldChar w:fldCharType="separate"/>
      </w:r>
      <w:r w:rsidR="00F73EE2">
        <w:rPr>
          <w:noProof/>
          <w:lang w:eastAsia="fr-FR"/>
        </w:rPr>
        <w:t>28</w:t>
      </w:r>
      <w:r>
        <w:rPr>
          <w:lang w:eastAsia="fr-FR"/>
        </w:rPr>
        <w:fldChar w:fldCharType="end"/>
      </w:r>
      <w:r>
        <w:rPr>
          <w:lang w:eastAsia="fr-FR"/>
        </w:rPr>
        <w:t>.  The temperature in the cells was around +20 degrees Celsius. There was a ventilation system in each cell. There were windows that let in enough light. Lavatories were separated from the rest of the cells with partitions.</w:t>
      </w:r>
    </w:p>
    <w:bookmarkStart w:name="logs" w:id="12"/>
    <w:p w:rsidR="002C3539" w:rsidP="002C3539" w:rsidRDefault="006A029A">
      <w:pPr>
        <w:pStyle w:val="ECHRPara"/>
        <w:rPr>
          <w:lang w:eastAsia="fr-FR"/>
        </w:rPr>
      </w:pPr>
      <w:r>
        <w:rPr>
          <w:lang w:val="en-GB" w:eastAsia="fr-FR"/>
        </w:rPr>
        <w:fldChar w:fldCharType="begin"/>
      </w:r>
      <w:r>
        <w:rPr>
          <w:lang w:val="en-GB" w:eastAsia="fr-FR"/>
        </w:rPr>
        <w:instrText xml:space="preserve"> SEQ level0 \*arabic </w:instrText>
      </w:r>
      <w:r>
        <w:rPr>
          <w:lang w:val="en-GB" w:eastAsia="fr-FR"/>
        </w:rPr>
        <w:fldChar w:fldCharType="separate"/>
      </w:r>
      <w:r w:rsidR="00F73EE2">
        <w:rPr>
          <w:noProof/>
          <w:lang w:val="en-GB" w:eastAsia="fr-FR"/>
        </w:rPr>
        <w:t>29</w:t>
      </w:r>
      <w:r>
        <w:rPr>
          <w:lang w:val="en-GB" w:eastAsia="fr-FR"/>
        </w:rPr>
        <w:fldChar w:fldCharType="end"/>
      </w:r>
      <w:bookmarkEnd w:id="12"/>
      <w:r>
        <w:rPr>
          <w:lang w:val="en-GB" w:eastAsia="fr-FR"/>
        </w:rPr>
        <w:t>.  </w:t>
      </w:r>
      <w:r w:rsidR="00EE1944">
        <w:rPr>
          <w:lang w:val="en-GB" w:eastAsia="fr-FR"/>
        </w:rPr>
        <w:t>The Government</w:t>
      </w:r>
      <w:r w:rsidR="00A23CD8">
        <w:rPr>
          <w:lang w:val="en-GB" w:eastAsia="fr-FR"/>
        </w:rPr>
        <w:t>, relying</w:t>
      </w:r>
      <w:r w:rsidR="00EE1944">
        <w:rPr>
          <w:lang w:val="en-GB" w:eastAsia="fr-FR"/>
        </w:rPr>
        <w:t xml:space="preserve"> </w:t>
      </w:r>
      <w:r w:rsidR="00A23CD8">
        <w:rPr>
          <w:lang w:val="en-GB" w:eastAsia="fr-FR"/>
        </w:rPr>
        <w:t xml:space="preserve">on </w:t>
      </w:r>
      <w:r w:rsidR="00A23CD8">
        <w:rPr>
          <w:lang w:eastAsia="fr-FR"/>
        </w:rPr>
        <w:t>the certificates</w:t>
      </w:r>
      <w:r w:rsidRPr="002A16D2" w:rsidR="00A23CD8">
        <w:rPr>
          <w:lang w:eastAsia="fr-FR"/>
        </w:rPr>
        <w:t xml:space="preserve"> issued by the prison governor on </w:t>
      </w:r>
      <w:r w:rsidR="00A23CD8">
        <w:rPr>
          <w:lang w:eastAsia="fr-FR"/>
        </w:rPr>
        <w:t>12 May</w:t>
      </w:r>
      <w:r w:rsidRPr="002A16D2" w:rsidR="00A23CD8">
        <w:rPr>
          <w:lang w:eastAsia="fr-FR"/>
        </w:rPr>
        <w:t xml:space="preserve"> 2009</w:t>
      </w:r>
      <w:r w:rsidR="00A23CD8">
        <w:rPr>
          <w:lang w:eastAsia="fr-FR"/>
        </w:rPr>
        <w:t xml:space="preserve">, </w:t>
      </w:r>
      <w:r w:rsidR="00EE1944">
        <w:rPr>
          <w:lang w:val="en-GB" w:eastAsia="fr-FR"/>
        </w:rPr>
        <w:t xml:space="preserve">submitted that </w:t>
      </w:r>
      <w:r w:rsidR="00176733">
        <w:rPr>
          <w:lang w:val="en-GB" w:eastAsia="fr-FR"/>
        </w:rPr>
        <w:t>the number of inmates kept in each of the above cells had not exceeded the number of sleeping places and that, w</w:t>
      </w:r>
      <w:r w:rsidR="00EE1944">
        <w:rPr>
          <w:lang w:val="en-GB" w:eastAsia="fr-FR"/>
        </w:rPr>
        <w:t xml:space="preserve">hile in </w:t>
      </w:r>
      <w:r w:rsidR="000843DB">
        <w:rPr>
          <w:lang w:val="en-GB" w:eastAsia="fr-FR"/>
        </w:rPr>
        <w:t>IZ-</w:t>
      </w:r>
      <w:r w:rsidR="00EE1944">
        <w:rPr>
          <w:lang w:val="en-GB" w:eastAsia="fr-FR"/>
        </w:rPr>
        <w:t>16/1</w:t>
      </w:r>
      <w:r w:rsidR="00176733">
        <w:rPr>
          <w:lang w:val="en-GB" w:eastAsia="fr-FR"/>
        </w:rPr>
        <w:t>,</w:t>
      </w:r>
      <w:r w:rsidR="00EE1944">
        <w:rPr>
          <w:lang w:val="en-GB" w:eastAsia="fr-FR"/>
        </w:rPr>
        <w:t xml:space="preserve"> the applicant at all times had h</w:t>
      </w:r>
      <w:r w:rsidR="008D07FB">
        <w:rPr>
          <w:lang w:val="en-GB" w:eastAsia="fr-FR"/>
        </w:rPr>
        <w:t xml:space="preserve">ad an individual sleeping place; he </w:t>
      </w:r>
      <w:r w:rsidR="00EE1944">
        <w:rPr>
          <w:lang w:val="en-GB" w:eastAsia="fr-FR"/>
        </w:rPr>
        <w:t xml:space="preserve">had been provided with a set of bed linen. </w:t>
      </w:r>
      <w:r w:rsidRPr="002A16D2" w:rsidR="002A16D2">
        <w:rPr>
          <w:lang w:eastAsia="fr-FR"/>
        </w:rPr>
        <w:t xml:space="preserve">They also produced </w:t>
      </w:r>
      <w:r w:rsidR="00A23CD8">
        <w:rPr>
          <w:lang w:eastAsia="fr-FR"/>
        </w:rPr>
        <w:t>three</w:t>
      </w:r>
      <w:r w:rsidRPr="002A16D2" w:rsidR="002A16D2">
        <w:rPr>
          <w:lang w:eastAsia="fr-FR"/>
        </w:rPr>
        <w:t xml:space="preserve"> statements by </w:t>
      </w:r>
      <w:r w:rsidR="00A23CD8">
        <w:rPr>
          <w:lang w:eastAsia="fr-FR"/>
        </w:rPr>
        <w:t xml:space="preserve">detainees kept in </w:t>
      </w:r>
      <w:r w:rsidR="000843DB">
        <w:rPr>
          <w:lang w:eastAsia="fr-FR"/>
        </w:rPr>
        <w:t>IZ-</w:t>
      </w:r>
      <w:r w:rsidR="00A23CD8">
        <w:rPr>
          <w:lang w:eastAsia="fr-FR"/>
        </w:rPr>
        <w:t xml:space="preserve">16/1 in </w:t>
      </w:r>
      <w:r w:rsidR="00600982">
        <w:rPr>
          <w:lang w:eastAsia="fr-FR"/>
        </w:rPr>
        <w:t xml:space="preserve">cells nos. 6 and </w:t>
      </w:r>
      <w:r w:rsidR="00A23CD8">
        <w:rPr>
          <w:lang w:eastAsia="fr-FR"/>
        </w:rPr>
        <w:t>11 from December 2008 and April 2009, respectively</w:t>
      </w:r>
      <w:r w:rsidRPr="002A16D2" w:rsidR="002A16D2">
        <w:rPr>
          <w:lang w:eastAsia="fr-FR"/>
        </w:rPr>
        <w:t>. Finally, they enclosed</w:t>
      </w:r>
      <w:r w:rsidRPr="002A1133" w:rsidR="002A1133">
        <w:t xml:space="preserve"> </w:t>
      </w:r>
      <w:r w:rsidRPr="002A1133" w:rsidR="002A1133">
        <w:rPr>
          <w:lang w:eastAsia="fr-FR"/>
        </w:rPr>
        <w:t>the applicant</w:t>
      </w:r>
      <w:r w:rsidR="00C471A6">
        <w:rPr>
          <w:lang w:eastAsia="fr-FR"/>
        </w:rPr>
        <w:t>’</w:t>
      </w:r>
      <w:r w:rsidRPr="002A1133" w:rsidR="002A1133">
        <w:rPr>
          <w:lang w:eastAsia="fr-FR"/>
        </w:rPr>
        <w:t xml:space="preserve">s cell register </w:t>
      </w:r>
      <w:r w:rsidR="002A1133">
        <w:rPr>
          <w:lang w:eastAsia="fr-FR"/>
        </w:rPr>
        <w:t xml:space="preserve">and </w:t>
      </w:r>
      <w:r w:rsidR="00CC5756">
        <w:rPr>
          <w:lang w:eastAsia="fr-FR"/>
        </w:rPr>
        <w:t>extracts</w:t>
      </w:r>
      <w:r w:rsidRPr="002A16D2" w:rsidR="002A16D2">
        <w:rPr>
          <w:lang w:eastAsia="fr-FR"/>
        </w:rPr>
        <w:t xml:space="preserve"> from the prison population register of </w:t>
      </w:r>
      <w:r w:rsidR="000843DB">
        <w:rPr>
          <w:lang w:eastAsia="fr-FR"/>
        </w:rPr>
        <w:t>IZ-</w:t>
      </w:r>
      <w:r w:rsidRPr="002A16D2" w:rsidR="002A16D2">
        <w:rPr>
          <w:lang w:eastAsia="fr-FR"/>
        </w:rPr>
        <w:t>16/1</w:t>
      </w:r>
      <w:r w:rsidR="00CC5756">
        <w:rPr>
          <w:lang w:eastAsia="fr-FR"/>
        </w:rPr>
        <w:t xml:space="preserve"> </w:t>
      </w:r>
      <w:r w:rsidRPr="002A16D2" w:rsidR="002A16D2">
        <w:rPr>
          <w:lang w:eastAsia="fr-FR"/>
        </w:rPr>
        <w:t xml:space="preserve">covering </w:t>
      </w:r>
      <w:r w:rsidR="00CC5756">
        <w:rPr>
          <w:lang w:eastAsia="fr-FR"/>
        </w:rPr>
        <w:t xml:space="preserve">each day in the periods </w:t>
      </w:r>
      <w:r w:rsidR="00AA5749">
        <w:rPr>
          <w:lang w:eastAsia="fr-FR"/>
        </w:rPr>
        <w:t>from</w:t>
      </w:r>
      <w:r w:rsidR="00CC5756">
        <w:rPr>
          <w:lang w:eastAsia="fr-FR"/>
        </w:rPr>
        <w:t xml:space="preserve"> </w:t>
      </w:r>
      <w:r w:rsidR="00AA5749">
        <w:rPr>
          <w:lang w:eastAsia="fr-FR"/>
        </w:rPr>
        <w:t xml:space="preserve">15 until </w:t>
      </w:r>
      <w:r w:rsidR="00583989">
        <w:rPr>
          <w:lang w:eastAsia="fr-FR"/>
        </w:rPr>
        <w:t xml:space="preserve">25 August 2008; </w:t>
      </w:r>
      <w:r w:rsidR="00AA5749">
        <w:rPr>
          <w:lang w:eastAsia="fr-FR"/>
        </w:rPr>
        <w:t xml:space="preserve">from </w:t>
      </w:r>
      <w:r w:rsidR="00583989">
        <w:rPr>
          <w:lang w:eastAsia="fr-FR"/>
        </w:rPr>
        <w:t xml:space="preserve">27 August </w:t>
      </w:r>
      <w:r w:rsidR="00AA5749">
        <w:rPr>
          <w:lang w:eastAsia="fr-FR"/>
        </w:rPr>
        <w:t>until</w:t>
      </w:r>
      <w:r w:rsidR="00A53DF1">
        <w:rPr>
          <w:lang w:eastAsia="fr-FR"/>
        </w:rPr>
        <w:t xml:space="preserve"> 23 </w:t>
      </w:r>
      <w:r w:rsidR="00583989">
        <w:rPr>
          <w:lang w:eastAsia="fr-FR"/>
        </w:rPr>
        <w:t>September 2008;</w:t>
      </w:r>
      <w:r w:rsidR="00CC5756">
        <w:rPr>
          <w:lang w:eastAsia="fr-FR"/>
        </w:rPr>
        <w:t xml:space="preserve"> and </w:t>
      </w:r>
      <w:r w:rsidR="00AA5749">
        <w:rPr>
          <w:lang w:eastAsia="fr-FR"/>
        </w:rPr>
        <w:t xml:space="preserve">from </w:t>
      </w:r>
      <w:r w:rsidR="00583989">
        <w:rPr>
          <w:lang w:eastAsia="fr-FR"/>
        </w:rPr>
        <w:t xml:space="preserve">23 </w:t>
      </w:r>
      <w:r w:rsidR="00AA5749">
        <w:rPr>
          <w:lang w:eastAsia="fr-FR"/>
        </w:rPr>
        <w:t xml:space="preserve">until </w:t>
      </w:r>
      <w:r w:rsidR="00583989">
        <w:rPr>
          <w:lang w:eastAsia="fr-FR"/>
        </w:rPr>
        <w:t>24 October 2008</w:t>
      </w:r>
      <w:r w:rsidR="00CC5756">
        <w:rPr>
          <w:lang w:eastAsia="fr-FR"/>
        </w:rPr>
        <w:t xml:space="preserve">. </w:t>
      </w:r>
      <w:r w:rsidRPr="002A16D2" w:rsidR="002A16D2">
        <w:rPr>
          <w:lang w:eastAsia="fr-FR"/>
        </w:rPr>
        <w:t xml:space="preserve">The extracts showed that during the respective periods of </w:t>
      </w:r>
      <w:r w:rsidR="00CC5756">
        <w:rPr>
          <w:lang w:eastAsia="fr-FR"/>
        </w:rPr>
        <w:t>the applicant</w:t>
      </w:r>
      <w:r w:rsidR="00C471A6">
        <w:rPr>
          <w:lang w:eastAsia="fr-FR"/>
        </w:rPr>
        <w:t>’</w:t>
      </w:r>
      <w:r w:rsidR="00CC5756">
        <w:rPr>
          <w:lang w:eastAsia="fr-FR"/>
        </w:rPr>
        <w:t>s</w:t>
      </w:r>
      <w:r w:rsidRPr="002A16D2" w:rsidR="002A16D2">
        <w:rPr>
          <w:lang w:eastAsia="fr-FR"/>
        </w:rPr>
        <w:t xml:space="preserve"> stay</w:t>
      </w:r>
      <w:r w:rsidR="000E5AE2">
        <w:rPr>
          <w:lang w:eastAsia="fr-FR"/>
        </w:rPr>
        <w:t xml:space="preserve"> cell </w:t>
      </w:r>
      <w:r w:rsidR="00E33F77">
        <w:rPr>
          <w:lang w:eastAsia="fr-FR"/>
        </w:rPr>
        <w:t xml:space="preserve">no. </w:t>
      </w:r>
      <w:r w:rsidR="000E5AE2">
        <w:rPr>
          <w:lang w:eastAsia="fr-FR"/>
        </w:rPr>
        <w:t>5</w:t>
      </w:r>
      <w:r w:rsidRPr="002A16D2" w:rsidR="002A16D2">
        <w:rPr>
          <w:lang w:eastAsia="fr-FR"/>
        </w:rPr>
        <w:t xml:space="preserve"> </w:t>
      </w:r>
      <w:r w:rsidR="009B2354">
        <w:rPr>
          <w:lang w:eastAsia="fr-FR"/>
        </w:rPr>
        <w:t xml:space="preserve">had </w:t>
      </w:r>
      <w:r w:rsidRPr="002A16D2" w:rsidR="002A16D2">
        <w:rPr>
          <w:lang w:eastAsia="fr-FR"/>
        </w:rPr>
        <w:t xml:space="preserve">housed </w:t>
      </w:r>
      <w:r w:rsidR="00F140F7">
        <w:rPr>
          <w:lang w:eastAsia="fr-FR"/>
        </w:rPr>
        <w:t>four to five persons, cell</w:t>
      </w:r>
      <w:r w:rsidR="00E33F77">
        <w:rPr>
          <w:lang w:eastAsia="fr-FR"/>
        </w:rPr>
        <w:t xml:space="preserve"> no.</w:t>
      </w:r>
      <w:r w:rsidR="00600982">
        <w:rPr>
          <w:lang w:eastAsia="fr-FR"/>
        </w:rPr>
        <w:t xml:space="preserve"> 6 – two </w:t>
      </w:r>
      <w:r w:rsidR="00F140F7">
        <w:rPr>
          <w:lang w:eastAsia="fr-FR"/>
        </w:rPr>
        <w:t>to four persons</w:t>
      </w:r>
      <w:r w:rsidRPr="002A16D2" w:rsidR="002A16D2">
        <w:rPr>
          <w:lang w:eastAsia="fr-FR"/>
        </w:rPr>
        <w:t xml:space="preserve">, cell </w:t>
      </w:r>
      <w:r w:rsidR="00E33F77">
        <w:rPr>
          <w:lang w:eastAsia="fr-FR"/>
        </w:rPr>
        <w:t xml:space="preserve">no. 11 - </w:t>
      </w:r>
      <w:r w:rsidR="00AE6597">
        <w:rPr>
          <w:lang w:eastAsia="fr-FR"/>
        </w:rPr>
        <w:t>five p</w:t>
      </w:r>
      <w:r w:rsidR="009B6D31">
        <w:rPr>
          <w:lang w:eastAsia="fr-FR"/>
        </w:rPr>
        <w:t>ersons, a</w:t>
      </w:r>
      <w:r w:rsidR="00600982">
        <w:rPr>
          <w:lang w:eastAsia="fr-FR"/>
        </w:rPr>
        <w:t xml:space="preserve">nd cell no. 46 – three </w:t>
      </w:r>
      <w:r w:rsidR="00AE6597">
        <w:rPr>
          <w:lang w:eastAsia="fr-FR"/>
        </w:rPr>
        <w:t>persons</w:t>
      </w:r>
      <w:r w:rsidRPr="002A16D2" w:rsidR="002A16D2">
        <w:rPr>
          <w:lang w:eastAsia="fr-FR"/>
        </w:rPr>
        <w:t>.</w:t>
      </w:r>
    </w:p>
    <w:p w:rsidRPr="00062973" w:rsidR="00014566" w:rsidP="00014566" w:rsidRDefault="00014566">
      <w:pPr>
        <w:pStyle w:val="ECHRHeading1"/>
        <w:rPr>
          <w:lang w:val="en-GB"/>
        </w:rPr>
      </w:pPr>
      <w:r w:rsidRPr="00062973">
        <w:rPr>
          <w:lang w:val="en-GB"/>
        </w:rPr>
        <w:t xml:space="preserve">II.  RELEVANT DOMESTIC LAW </w:t>
      </w:r>
      <w:r w:rsidR="00C76CDF">
        <w:rPr>
          <w:lang w:val="en-GB"/>
        </w:rPr>
        <w:t>AND INTERNATIONAL MATERIALS</w:t>
      </w:r>
    </w:p>
    <w:p w:rsidR="009754B1" w:rsidP="00220A62" w:rsidRDefault="00DD6A30">
      <w:pPr>
        <w:pStyle w:val="ECHRPara"/>
        <w:rPr>
          <w:snapToGrid w:val="0"/>
          <w:szCs w:val="24"/>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30</w:t>
      </w:r>
      <w:r>
        <w:rPr>
          <w:lang w:val="en-GB"/>
        </w:rPr>
        <w:fldChar w:fldCharType="end"/>
      </w:r>
      <w:r w:rsidRPr="00062973" w:rsidR="00014566">
        <w:rPr>
          <w:lang w:val="en-GB"/>
        </w:rPr>
        <w:t>.  </w:t>
      </w:r>
      <w:r w:rsidRPr="00220A62" w:rsidR="009754B1">
        <w:t>The relevant provisions of domestic and international law on condi</w:t>
      </w:r>
      <w:r w:rsidR="009754B1">
        <w:t xml:space="preserve">tions of detention are set out </w:t>
      </w:r>
      <w:r w:rsidRPr="00220A62" w:rsidR="009754B1">
        <w:t>in the Court</w:t>
      </w:r>
      <w:r w:rsidR="00C471A6">
        <w:t>’</w:t>
      </w:r>
      <w:r w:rsidRPr="00220A62" w:rsidR="009754B1">
        <w:t xml:space="preserve">s judgment in the </w:t>
      </w:r>
      <w:r w:rsidR="009754B1">
        <w:t>judgment</w:t>
      </w:r>
      <w:r w:rsidRPr="00220A62" w:rsidR="009754B1">
        <w:t xml:space="preserve"> of </w:t>
      </w:r>
      <w:r w:rsidRPr="00B668D2" w:rsidR="009754B1">
        <w:rPr>
          <w:i/>
          <w:lang w:val="en-GB"/>
        </w:rPr>
        <w:t>Ananyev and Others v. Russia</w:t>
      </w:r>
      <w:r w:rsidR="009754B1">
        <w:rPr>
          <w:lang w:val="en-GB"/>
        </w:rPr>
        <w:t xml:space="preserve"> (</w:t>
      </w:r>
      <w:r w:rsidRPr="00B668D2" w:rsidR="009754B1">
        <w:rPr>
          <w:lang w:val="en-GB"/>
        </w:rPr>
        <w:t>nos. 42525/07 and 60800/08</w:t>
      </w:r>
      <w:r w:rsidRPr="00B668D2" w:rsidR="009754B1">
        <w:rPr>
          <w:snapToGrid w:val="0"/>
          <w:szCs w:val="24"/>
          <w:lang w:val="en-GB"/>
        </w:rPr>
        <w:t>, §</w:t>
      </w:r>
      <w:r w:rsidR="009754B1">
        <w:rPr>
          <w:rFonts w:cstheme="minorHAnsi"/>
          <w:snapToGrid w:val="0"/>
          <w:szCs w:val="24"/>
          <w:lang w:val="en-GB"/>
        </w:rPr>
        <w:t>§</w:t>
      </w:r>
      <w:r w:rsidR="009754B1">
        <w:rPr>
          <w:snapToGrid w:val="0"/>
          <w:szCs w:val="24"/>
          <w:lang w:val="en-GB"/>
        </w:rPr>
        <w:t xml:space="preserve"> 25-65</w:t>
      </w:r>
      <w:r w:rsidRPr="00B668D2" w:rsidR="009754B1">
        <w:rPr>
          <w:snapToGrid w:val="0"/>
          <w:szCs w:val="24"/>
          <w:lang w:val="en-GB"/>
        </w:rPr>
        <w:t>, 10 January 2012</w:t>
      </w:r>
      <w:r w:rsidR="009754B1">
        <w:rPr>
          <w:snapToGrid w:val="0"/>
          <w:szCs w:val="24"/>
          <w:lang w:val="en-GB"/>
        </w:rPr>
        <w:t>).</w:t>
      </w:r>
    </w:p>
    <w:p w:rsidR="00600982" w:rsidP="009754B1" w:rsidRDefault="009754B1">
      <w:pPr>
        <w:pStyle w:val="ECHRPara"/>
      </w:pPr>
      <w:r>
        <w:rPr>
          <w:snapToGrid w:val="0"/>
          <w:szCs w:val="24"/>
          <w:lang w:val="en-GB"/>
        </w:rPr>
        <w:fldChar w:fldCharType="begin"/>
      </w:r>
      <w:r>
        <w:rPr>
          <w:snapToGrid w:val="0"/>
          <w:szCs w:val="24"/>
          <w:lang w:val="en-GB"/>
        </w:rPr>
        <w:instrText xml:space="preserve"> SEQ level0 \*arabic </w:instrText>
      </w:r>
      <w:r>
        <w:rPr>
          <w:snapToGrid w:val="0"/>
          <w:szCs w:val="24"/>
          <w:lang w:val="en-GB"/>
        </w:rPr>
        <w:fldChar w:fldCharType="separate"/>
      </w:r>
      <w:r w:rsidR="00F73EE2">
        <w:rPr>
          <w:noProof/>
          <w:snapToGrid w:val="0"/>
          <w:szCs w:val="24"/>
          <w:lang w:val="en-GB"/>
        </w:rPr>
        <w:t>31</w:t>
      </w:r>
      <w:r>
        <w:rPr>
          <w:snapToGrid w:val="0"/>
          <w:szCs w:val="24"/>
          <w:lang w:val="en-GB"/>
        </w:rPr>
        <w:fldChar w:fldCharType="end"/>
      </w:r>
      <w:r>
        <w:rPr>
          <w:snapToGrid w:val="0"/>
          <w:szCs w:val="24"/>
          <w:lang w:val="en-GB"/>
        </w:rPr>
        <w:t>.  </w:t>
      </w:r>
      <w:r w:rsidRPr="00220A62" w:rsidR="00220A62">
        <w:t xml:space="preserve">The Russian legal regulations for detention are explained in the judgment of </w:t>
      </w:r>
      <w:r w:rsidRPr="009754B1" w:rsidR="00220A62">
        <w:rPr>
          <w:i/>
        </w:rPr>
        <w:t>Isayev v. Russia</w:t>
      </w:r>
      <w:r w:rsidRPr="00220A62" w:rsidR="00220A62">
        <w:t xml:space="preserve"> (no.</w:t>
      </w:r>
      <w:r>
        <w:t xml:space="preserve"> 20756/04, §§ 67-80, 22 October 2009).</w:t>
      </w:r>
    </w:p>
    <w:p w:rsidRPr="00062973" w:rsidR="00014566" w:rsidP="00014566" w:rsidRDefault="00014566">
      <w:pPr>
        <w:pStyle w:val="ECHRTitle1"/>
        <w:rPr>
          <w:lang w:val="en-GB"/>
        </w:rPr>
      </w:pPr>
      <w:r w:rsidRPr="00062973">
        <w:rPr>
          <w:lang w:val="en-GB"/>
        </w:rPr>
        <w:t>THE LAW</w:t>
      </w:r>
    </w:p>
    <w:p w:rsidRPr="00062973" w:rsidR="00014566" w:rsidP="00014566" w:rsidRDefault="00014566">
      <w:pPr>
        <w:pStyle w:val="ECHRHeading1"/>
        <w:rPr>
          <w:lang w:val="en-GB"/>
        </w:rPr>
      </w:pPr>
      <w:r w:rsidRPr="00062973">
        <w:rPr>
          <w:lang w:val="en-GB"/>
        </w:rPr>
        <w:t>I.  ALLEGED VIOLATION OF ARTICLE</w:t>
      </w:r>
      <w:r w:rsidR="00F50F3E">
        <w:rPr>
          <w:lang w:val="en-GB"/>
        </w:rPr>
        <w:t>S</w:t>
      </w:r>
      <w:r w:rsidRPr="00062973">
        <w:rPr>
          <w:lang w:val="en-GB"/>
        </w:rPr>
        <w:t xml:space="preserve"> </w:t>
      </w:r>
      <w:r w:rsidR="00F50F3E">
        <w:rPr>
          <w:lang w:val="en-GB"/>
        </w:rPr>
        <w:t>3</w:t>
      </w:r>
      <w:r w:rsidRPr="00062973">
        <w:rPr>
          <w:lang w:val="en-GB"/>
        </w:rPr>
        <w:t xml:space="preserve"> </w:t>
      </w:r>
      <w:r w:rsidR="00F50F3E">
        <w:rPr>
          <w:lang w:val="en-GB"/>
        </w:rPr>
        <w:t xml:space="preserve">AND 13 </w:t>
      </w:r>
      <w:r w:rsidRPr="00062973">
        <w:rPr>
          <w:lang w:val="en-GB"/>
        </w:rPr>
        <w:t>OF THE CONVENTION</w:t>
      </w:r>
    </w:p>
    <w:p w:rsidR="00600982" w:rsidP="00C621C2" w:rsidRDefault="00DD6A30">
      <w:pPr>
        <w:pStyle w:val="ECHRPara"/>
      </w:pPr>
      <w:r>
        <w:rPr>
          <w:lang w:val="en-GB"/>
        </w:rPr>
        <w:fldChar w:fldCharType="begin"/>
      </w:r>
      <w:r>
        <w:rPr>
          <w:lang w:val="en-GB"/>
        </w:rPr>
        <w:instrText xml:space="preserve"> SEQ level0 \*arabic </w:instrText>
      </w:r>
      <w:r>
        <w:rPr>
          <w:lang w:val="en-GB"/>
        </w:rPr>
        <w:fldChar w:fldCharType="separate"/>
      </w:r>
      <w:r w:rsidR="00F73EE2">
        <w:rPr>
          <w:noProof/>
          <w:lang w:val="en-GB"/>
        </w:rPr>
        <w:t>32</w:t>
      </w:r>
      <w:r>
        <w:rPr>
          <w:lang w:val="en-GB"/>
        </w:rPr>
        <w:fldChar w:fldCharType="end"/>
      </w:r>
      <w:r w:rsidRPr="00062973" w:rsidR="00014566">
        <w:rPr>
          <w:lang w:val="en-GB"/>
        </w:rPr>
        <w:t>.  </w:t>
      </w:r>
      <w:r w:rsidRPr="00F50F3E" w:rsidR="00F50F3E">
        <w:t>The applicant complained that the con</w:t>
      </w:r>
      <w:r w:rsidR="00F50F3E">
        <w:t>ditions of his dete</w:t>
      </w:r>
      <w:r w:rsidR="00C05DA8">
        <w:t xml:space="preserve">ntion in </w:t>
      </w:r>
      <w:r w:rsidR="00270E7B">
        <w:t>IZ</w:t>
      </w:r>
      <w:r w:rsidR="00270E7B">
        <w:noBreakHyphen/>
      </w:r>
      <w:r w:rsidR="00C05DA8">
        <w:t xml:space="preserve">16/1 </w:t>
      </w:r>
      <w:r w:rsidR="00637CB2">
        <w:t xml:space="preserve">of Kazan </w:t>
      </w:r>
      <w:r w:rsidR="00330B0B">
        <w:t xml:space="preserve">from </w:t>
      </w:r>
      <w:r w:rsidRPr="00330B0B" w:rsidR="00330B0B">
        <w:rPr>
          <w:lang w:val="en-GB"/>
        </w:rPr>
        <w:t xml:space="preserve">15 August </w:t>
      </w:r>
      <w:r w:rsidR="00330B0B">
        <w:rPr>
          <w:lang w:val="en-GB"/>
        </w:rPr>
        <w:t>to</w:t>
      </w:r>
      <w:r w:rsidRPr="00330B0B" w:rsidR="00330B0B">
        <w:rPr>
          <w:lang w:val="en-GB"/>
        </w:rPr>
        <w:t xml:space="preserve"> 24 October 2008</w:t>
      </w:r>
      <w:r w:rsidR="00330B0B">
        <w:rPr>
          <w:lang w:val="en-GB"/>
        </w:rPr>
        <w:t xml:space="preserve"> </w:t>
      </w:r>
      <w:r w:rsidRPr="00F50F3E" w:rsidR="00F50F3E">
        <w:t>violated Article 3 of the Convention, which reads as follows:</w:t>
      </w:r>
    </w:p>
    <w:p w:rsidR="00F50F3E" w:rsidP="00F50F3E" w:rsidRDefault="00F50F3E">
      <w:pPr>
        <w:pStyle w:val="ECHRParaQuote"/>
      </w:pPr>
      <w:r>
        <w:t>“No one shall be subjected to torture or to inhuman or degrading treatment or punishment.”</w:t>
      </w:r>
    </w:p>
    <w:p w:rsidR="007C7C5B" w:rsidP="007C7C5B" w:rsidRDefault="007C7C5B">
      <w:pPr>
        <w:pStyle w:val="ECHRPara"/>
      </w:pPr>
      <w:r>
        <w:t xml:space="preserve">He further implied that he did not have </w:t>
      </w:r>
      <w:r w:rsidR="00491A1E">
        <w:t xml:space="preserve">at his disposal </w:t>
      </w:r>
      <w:r>
        <w:t>effective domestic remed</w:t>
      </w:r>
      <w:r w:rsidR="00491A1E">
        <w:t xml:space="preserve">ies </w:t>
      </w:r>
      <w:r>
        <w:t>for the alleged violation of Article 3 as required by Article 13 of the Convention, which reads as follows:</w:t>
      </w:r>
    </w:p>
    <w:p w:rsidR="007C7C5B" w:rsidP="007C7C5B" w:rsidRDefault="007C7C5B">
      <w:pPr>
        <w:pStyle w:val="ECHRParaQuote"/>
      </w:pPr>
      <w:r>
        <w:t>“Everyone whose rights and freedoms as set forth in [the] Convention are violated shall have an effective remedy before a national authority notwithstanding that the violation has been committed by persons acting in an official capacity.”</w:t>
      </w:r>
    </w:p>
    <w:p w:rsidR="00342A82" w:rsidP="00342A82" w:rsidRDefault="00342A82">
      <w:pPr>
        <w:pStyle w:val="ECHRHeading2"/>
        <w:rPr>
          <w:lang w:val="en-GB"/>
        </w:rPr>
      </w:pPr>
      <w:r>
        <w:rPr>
          <w:lang w:val="en-GB"/>
        </w:rPr>
        <w:t>A.  The parties</w:t>
      </w:r>
      <w:r w:rsidR="00C471A6">
        <w:rPr>
          <w:lang w:val="en-GB"/>
        </w:rPr>
        <w:t>’</w:t>
      </w:r>
      <w:r>
        <w:rPr>
          <w:lang w:val="en-GB"/>
        </w:rPr>
        <w:t xml:space="preserve"> submissions</w:t>
      </w:r>
    </w:p>
    <w:p w:rsidR="00600982" w:rsidP="00F50F3E" w:rsidRDefault="00DD6A30">
      <w:pPr>
        <w:pStyle w:val="ECHRPara"/>
      </w:pPr>
      <w:r>
        <w:rPr>
          <w:lang w:val="en-GB"/>
        </w:rPr>
        <w:fldChar w:fldCharType="begin"/>
      </w:r>
      <w:r>
        <w:rPr>
          <w:lang w:val="en-GB"/>
        </w:rPr>
        <w:instrText xml:space="preserve"> SEQ level0 \*arabic </w:instrText>
      </w:r>
      <w:r>
        <w:rPr>
          <w:lang w:val="en-GB"/>
        </w:rPr>
        <w:fldChar w:fldCharType="separate"/>
      </w:r>
      <w:r w:rsidR="00F73EE2">
        <w:rPr>
          <w:noProof/>
          <w:lang w:val="en-GB"/>
        </w:rPr>
        <w:t>33</w:t>
      </w:r>
      <w:r>
        <w:rPr>
          <w:lang w:val="en-GB"/>
        </w:rPr>
        <w:fldChar w:fldCharType="end"/>
      </w:r>
      <w:r w:rsidR="00F50F3E">
        <w:rPr>
          <w:lang w:val="en-GB"/>
        </w:rPr>
        <w:t xml:space="preserve">.  The Government </w:t>
      </w:r>
      <w:r w:rsidRPr="00F50F3E" w:rsidR="00F50F3E">
        <w:t>argued, firstly, that the applicant had failed to exhaust domestic remedies in respect of his complaint</w:t>
      </w:r>
      <w:r w:rsidR="00F50F3E">
        <w:t xml:space="preserve"> as he could have applied to a court for compensation of damages caused by allegedly poor conditions of detention</w:t>
      </w:r>
      <w:r w:rsidRPr="00F50F3E" w:rsidR="00F50F3E">
        <w:t>.</w:t>
      </w:r>
      <w:r w:rsidR="000130FF">
        <w:t xml:space="preserve"> </w:t>
      </w:r>
      <w:r w:rsidRPr="000130FF" w:rsidR="000130FF">
        <w:t xml:space="preserve">The procedure for making claims was established </w:t>
      </w:r>
      <w:r w:rsidR="000130FF">
        <w:t>i</w:t>
      </w:r>
      <w:r w:rsidRPr="000130FF" w:rsidR="000130FF">
        <w:t xml:space="preserve">n Chapter 25 of the </w:t>
      </w:r>
      <w:r w:rsidR="000130FF">
        <w:t xml:space="preserve">Russian </w:t>
      </w:r>
      <w:r w:rsidRPr="000130FF" w:rsidR="000130FF">
        <w:t>Code of Civil Procedure, as clarified by the Supreme Court</w:t>
      </w:r>
      <w:r w:rsidR="00C471A6">
        <w:t>’</w:t>
      </w:r>
      <w:r w:rsidRPr="000130FF" w:rsidR="000130FF">
        <w:t xml:space="preserve">s Ruling no. 2 of 10 February 2009. </w:t>
      </w:r>
      <w:r w:rsidR="00F50F3E">
        <w:t>They further claimed that the conditions of the applicant</w:t>
      </w:r>
      <w:r w:rsidR="00C471A6">
        <w:t>’</w:t>
      </w:r>
      <w:r w:rsidR="00F50F3E">
        <w:t xml:space="preserve">s detention in </w:t>
      </w:r>
      <w:r w:rsidR="00D53EF9">
        <w:t>IZ-1</w:t>
      </w:r>
      <w:r w:rsidR="00F50F3E">
        <w:t xml:space="preserve">6/1 of Kazan had been fully compatible with the standards </w:t>
      </w:r>
      <w:r w:rsidR="002D7F30">
        <w:t>of Article 3 of the Convention</w:t>
      </w:r>
      <w:r w:rsidR="007C7C5B">
        <w:t>.</w:t>
      </w:r>
      <w:r w:rsidR="00DB1B88">
        <w:t xml:space="preserve"> They also asserted that the applicant</w:t>
      </w:r>
      <w:r w:rsidR="00DB45BC">
        <w:t>, in their opinion,</w:t>
      </w:r>
      <w:r w:rsidR="00DB1B88">
        <w:t xml:space="preserve"> had</w:t>
      </w:r>
      <w:r w:rsidR="00DB45BC">
        <w:t xml:space="preserve"> </w:t>
      </w:r>
      <w:r w:rsidR="00DB1B88">
        <w:t xml:space="preserve">failed to substantiate his allegations by any evidence, such as, for example, statements of other inmates who had shared </w:t>
      </w:r>
      <w:r w:rsidR="00D04D50">
        <w:t>the</w:t>
      </w:r>
      <w:r w:rsidR="00DB1B88">
        <w:t xml:space="preserve"> cells</w:t>
      </w:r>
      <w:r w:rsidR="00D04D50">
        <w:t xml:space="preserve"> with him</w:t>
      </w:r>
      <w:r w:rsidR="00DB1B88">
        <w:t>.</w:t>
      </w:r>
    </w:p>
    <w:p w:rsidR="00C05DA8" w:rsidP="00F50F3E" w:rsidRDefault="00442CC2">
      <w:pPr>
        <w:pStyle w:val="ECHRPara"/>
      </w:pPr>
      <w:r>
        <w:fldChar w:fldCharType="begin"/>
      </w:r>
      <w:r>
        <w:instrText xml:space="preserve"> SEQ level0 \*arabic </w:instrText>
      </w:r>
      <w:r>
        <w:fldChar w:fldCharType="separate"/>
      </w:r>
      <w:r w:rsidR="00F73EE2">
        <w:rPr>
          <w:noProof/>
        </w:rPr>
        <w:t>34</w:t>
      </w:r>
      <w:r>
        <w:rPr>
          <w:noProof/>
        </w:rPr>
        <w:fldChar w:fldCharType="end"/>
      </w:r>
      <w:r w:rsidR="00C05DA8">
        <w:t xml:space="preserve">.  The applicant maintained his complaint and insisted that he had to sleep on a bed in turns with two or three other inmates. </w:t>
      </w:r>
      <w:r w:rsidR="00B637CA">
        <w:t xml:space="preserve">However, he did not submit any evidence in support of his claims. </w:t>
      </w:r>
      <w:r w:rsidR="00C05DA8">
        <w:t>Further, the applicant argued that in any event it followed from the Government</w:t>
      </w:r>
      <w:r w:rsidR="00C471A6">
        <w:t>’</w:t>
      </w:r>
      <w:r w:rsidR="00C05DA8">
        <w:t>s submissions that the floor surface divided by number of beds in the cells in which he had been kept had afforded only four square metres per person</w:t>
      </w:r>
      <w:r w:rsidR="00D53EF9">
        <w:t>, less than seven square metres, which, in the applicant</w:t>
      </w:r>
      <w:r w:rsidR="00C471A6">
        <w:t>’</w:t>
      </w:r>
      <w:r w:rsidR="00D53EF9">
        <w:t xml:space="preserve">s view, was the minimum </w:t>
      </w:r>
      <w:r w:rsidR="00C05DA8">
        <w:t xml:space="preserve">recommended by </w:t>
      </w:r>
      <w:r w:rsidRPr="00C05DA8" w:rsidR="00C05DA8">
        <w:t>the European Committee for the Prevention of Torture and Inhuman or Degrading Treatment or Punishment</w:t>
      </w:r>
      <w:r w:rsidR="00530CEC">
        <w:t xml:space="preserve"> (“CPT”)</w:t>
      </w:r>
      <w:r w:rsidR="00C05DA8">
        <w:t>.</w:t>
      </w:r>
    </w:p>
    <w:p w:rsidRPr="00F50F3E" w:rsidR="00A51D3A" w:rsidP="00A51D3A" w:rsidRDefault="00342A82">
      <w:pPr>
        <w:pStyle w:val="ECHRHeading2"/>
      </w:pPr>
      <w:r>
        <w:t>B</w:t>
      </w:r>
      <w:r w:rsidR="00A51D3A">
        <w:t>.  </w:t>
      </w:r>
      <w:r>
        <w:t>The Court</w:t>
      </w:r>
      <w:r w:rsidR="00C471A6">
        <w:t>’</w:t>
      </w:r>
      <w:r>
        <w:t>s assessment</w:t>
      </w:r>
    </w:p>
    <w:p w:rsidR="00CD1888" w:rsidP="00CD1888" w:rsidRDefault="00CD1888">
      <w:pPr>
        <w:pStyle w:val="ECHRHeading3"/>
        <w:rPr>
          <w:lang w:val="en-GB"/>
        </w:rPr>
      </w:pPr>
      <w:r>
        <w:rPr>
          <w:lang w:val="en-GB"/>
        </w:rPr>
        <w:t>1.  Conditions of detention complaint</w:t>
      </w:r>
    </w:p>
    <w:p w:rsidRPr="00342A82" w:rsidR="00342A82" w:rsidP="00342A82" w:rsidRDefault="00342A82">
      <w:pPr>
        <w:pStyle w:val="ECHRPara"/>
      </w:pPr>
      <w:r>
        <w:rPr>
          <w:lang w:val="en-GB"/>
        </w:rPr>
        <w:fldChar w:fldCharType="begin"/>
      </w:r>
      <w:r>
        <w:rPr>
          <w:lang w:val="en-GB"/>
        </w:rPr>
        <w:instrText xml:space="preserve"> SEQ level0 \*arabic </w:instrText>
      </w:r>
      <w:r>
        <w:rPr>
          <w:lang w:val="en-GB"/>
        </w:rPr>
        <w:fldChar w:fldCharType="separate"/>
      </w:r>
      <w:r w:rsidR="00F73EE2">
        <w:rPr>
          <w:noProof/>
          <w:lang w:val="en-GB"/>
        </w:rPr>
        <w:t>35</w:t>
      </w:r>
      <w:r>
        <w:rPr>
          <w:lang w:val="en-GB"/>
        </w:rPr>
        <w:fldChar w:fldCharType="end"/>
      </w:r>
      <w:r>
        <w:rPr>
          <w:lang w:val="en-GB"/>
        </w:rPr>
        <w:t>.  </w:t>
      </w:r>
      <w:r w:rsidRPr="00342A82">
        <w:t>The Court does not lose sight of the Government</w:t>
      </w:r>
      <w:r w:rsidR="00C471A6">
        <w:t>’</w:t>
      </w:r>
      <w:r w:rsidRPr="00342A82">
        <w:t>s non-exhaustion objection, but it does not consider it necessary to examine the issue at this juncture be</w:t>
      </w:r>
      <w:r w:rsidR="001D18ED">
        <w:t>cause the applicant</w:t>
      </w:r>
      <w:r w:rsidR="00C471A6">
        <w:t>’</w:t>
      </w:r>
      <w:r w:rsidR="001D18ED">
        <w:t>s complaint</w:t>
      </w:r>
      <w:r w:rsidRPr="00342A82">
        <w:t xml:space="preserve"> about the conditions of his detention </w:t>
      </w:r>
      <w:r w:rsidR="001D18ED">
        <w:t>is</w:t>
      </w:r>
      <w:r w:rsidRPr="00342A82">
        <w:t xml:space="preserve"> in any event inadmissible for the following reasons.</w:t>
      </w:r>
    </w:p>
    <w:p w:rsidR="001D18ED" w:rsidP="00197400" w:rsidRDefault="00442CC2">
      <w:pPr>
        <w:pStyle w:val="ECHRPara"/>
      </w:pPr>
      <w:r>
        <w:fldChar w:fldCharType="begin"/>
      </w:r>
      <w:r>
        <w:instrText xml:space="preserve"> SEQ level0 \*arabic </w:instrText>
      </w:r>
      <w:r>
        <w:fldChar w:fldCharType="separate"/>
      </w:r>
      <w:r w:rsidR="00F73EE2">
        <w:rPr>
          <w:noProof/>
        </w:rPr>
        <w:t>36</w:t>
      </w:r>
      <w:r>
        <w:rPr>
          <w:noProof/>
        </w:rPr>
        <w:fldChar w:fldCharType="end"/>
      </w:r>
      <w:r w:rsidR="004872A1">
        <w:t>.  </w:t>
      </w:r>
      <w:r w:rsidR="00460F2E">
        <w:t>T</w:t>
      </w:r>
      <w:r w:rsidR="001D18ED">
        <w:t xml:space="preserve">he Court </w:t>
      </w:r>
      <w:r w:rsidR="00803BEB">
        <w:t>reiterates</w:t>
      </w:r>
      <w:r w:rsidR="00460F2E">
        <w:t xml:space="preserve"> that</w:t>
      </w:r>
      <w:r w:rsidR="0057776A">
        <w:t xml:space="preserve"> </w:t>
      </w:r>
      <w:r w:rsidR="00460F2E">
        <w:t xml:space="preserve">poor conditions of detention in </w:t>
      </w:r>
      <w:r w:rsidR="00D96B42">
        <w:t xml:space="preserve">the </w:t>
      </w:r>
      <w:r w:rsidR="00460F2E">
        <w:t xml:space="preserve">Russian </w:t>
      </w:r>
      <w:r w:rsidR="00AD4824">
        <w:t>detention facili</w:t>
      </w:r>
      <w:r w:rsidR="00EE37FC">
        <w:t>ties of the same type as IZ-16/1, which normally serves as a remand prison,</w:t>
      </w:r>
      <w:r w:rsidR="00AF44F8">
        <w:t xml:space="preserve"> </w:t>
      </w:r>
      <w:r w:rsidR="00803BEB">
        <w:t>have been acknowledged to represent</w:t>
      </w:r>
      <w:r w:rsidR="00C25EEE">
        <w:t xml:space="preserve"> a structural</w:t>
      </w:r>
      <w:r w:rsidR="0057776A">
        <w:t xml:space="preserve"> problem</w:t>
      </w:r>
      <w:r w:rsidRPr="0039536E" w:rsidR="0039536E">
        <w:t xml:space="preserve"> </w:t>
      </w:r>
      <w:r w:rsidR="008A596E">
        <w:t xml:space="preserve">of non-compliance with the standards of Article 3 of the Convention </w:t>
      </w:r>
      <w:r w:rsidR="0039536E">
        <w:t>(</w:t>
      </w:r>
      <w:r w:rsidR="005C507D">
        <w:t>see </w:t>
      </w:r>
      <w:r w:rsidRPr="0039536E" w:rsidR="0039536E">
        <w:rPr>
          <w:i/>
        </w:rPr>
        <w:t>Ananyev and Others</w:t>
      </w:r>
      <w:r w:rsidRPr="0039536E" w:rsidR="0039536E">
        <w:t>, cited above</w:t>
      </w:r>
      <w:r w:rsidR="0039536E">
        <w:t xml:space="preserve">, </w:t>
      </w:r>
      <w:r w:rsidR="0039536E">
        <w:rPr>
          <w:rFonts w:cstheme="minorHAnsi"/>
        </w:rPr>
        <w:t>§§</w:t>
      </w:r>
      <w:r w:rsidR="00AD4824">
        <w:t> 184</w:t>
      </w:r>
      <w:r w:rsidR="00AD4824">
        <w:noBreakHyphen/>
      </w:r>
      <w:r w:rsidR="0039536E">
        <w:t>90).</w:t>
      </w:r>
      <w:r w:rsidR="0057776A">
        <w:t xml:space="preserve"> </w:t>
      </w:r>
      <w:r w:rsidR="00AF44F8">
        <w:t xml:space="preserve">However, it </w:t>
      </w:r>
      <w:r w:rsidRPr="00427849" w:rsidR="00AF44F8">
        <w:rPr>
          <w:lang w:val="en-GB"/>
        </w:rPr>
        <w:t>emphasises</w:t>
      </w:r>
      <w:r w:rsidR="00AF44F8">
        <w:t xml:space="preserve"> that</w:t>
      </w:r>
      <w:r w:rsidR="00803BEB">
        <w:t xml:space="preserve">, </w:t>
      </w:r>
      <w:r w:rsidR="00427849">
        <w:t>in o</w:t>
      </w:r>
      <w:r w:rsidR="00803BEB">
        <w:t>rder to enable the Court to examine the merits of a complaint about conditions of detention under Article 3 of the Convention,</w:t>
      </w:r>
      <w:r w:rsidR="001D18ED">
        <w:t xml:space="preserve"> </w:t>
      </w:r>
      <w:r w:rsidRPr="001D18ED" w:rsidR="001D18ED">
        <w:t>an applicant must provide an elaborate and consistent account of the conditions of his or her detention mentioning the specific elements, such as for instance the dates of his or her transfer between facilities, which would enable the Court to determine that the complaint is not manifestly ill-founded or ina</w:t>
      </w:r>
      <w:r w:rsidR="00692CEA">
        <w:t xml:space="preserve">dmissible on any other grounds </w:t>
      </w:r>
      <w:r w:rsidR="001D18ED">
        <w:t>(</w:t>
      </w:r>
      <w:r w:rsidR="00AF44F8">
        <w:t>ibid.</w:t>
      </w:r>
      <w:r w:rsidR="001D18ED">
        <w:t xml:space="preserve">, </w:t>
      </w:r>
      <w:r w:rsidR="001D18ED">
        <w:rPr>
          <w:rFonts w:cstheme="minorHAnsi"/>
        </w:rPr>
        <w:t>§</w:t>
      </w:r>
      <w:r w:rsidR="001D18ED">
        <w:t xml:space="preserve"> 122)</w:t>
      </w:r>
      <w:r w:rsidRPr="001D18ED" w:rsidR="001D18ED">
        <w:t>.</w:t>
      </w:r>
      <w:r w:rsidR="001D18ED">
        <w:t xml:space="preserve"> </w:t>
      </w:r>
      <w:r w:rsidR="00197400">
        <w:t>The Court points o</w:t>
      </w:r>
      <w:r w:rsidR="00427849">
        <w:t>ut in this connection that the applicant</w:t>
      </w:r>
      <w:r w:rsidR="00C471A6">
        <w:t>’</w:t>
      </w:r>
      <w:r w:rsidR="00427849">
        <w:t>s initial description of his grievance was limited to a statement that he had shared a sleeping pl</w:t>
      </w:r>
      <w:r w:rsidR="004B5693">
        <w:t xml:space="preserve">ace with two or three inmates and that the dates mentioned by him were erroneous (see paragraph </w:t>
      </w:r>
      <w:r w:rsidR="004B5693">
        <w:fldChar w:fldCharType="begin"/>
      </w:r>
      <w:r w:rsidR="004B5693">
        <w:instrText xml:space="preserve"> REF condt \h </w:instrText>
      </w:r>
      <w:r w:rsidR="004B5693">
        <w:fldChar w:fldCharType="separate"/>
      </w:r>
      <w:r w:rsidR="00F73EE2">
        <w:rPr>
          <w:rFonts w:eastAsia="Times New Roman"/>
          <w:noProof/>
          <w:lang w:val="en-GB" w:eastAsia="fr-FR"/>
        </w:rPr>
        <w:t>23</w:t>
      </w:r>
      <w:r w:rsidR="004B5693">
        <w:fldChar w:fldCharType="end"/>
      </w:r>
      <w:r w:rsidR="004B5693">
        <w:t xml:space="preserve"> above).</w:t>
      </w:r>
    </w:p>
    <w:p w:rsidR="00600982" w:rsidP="00394D80" w:rsidRDefault="00442CC2">
      <w:pPr>
        <w:pStyle w:val="ECHRPara"/>
      </w:pPr>
      <w:r>
        <w:fldChar w:fldCharType="begin"/>
      </w:r>
      <w:r>
        <w:instrText xml:space="preserve"> SEQ level0 \*arabic </w:instrText>
      </w:r>
      <w:r>
        <w:fldChar w:fldCharType="separate"/>
      </w:r>
      <w:r w:rsidR="00F73EE2">
        <w:rPr>
          <w:noProof/>
        </w:rPr>
        <w:t>37</w:t>
      </w:r>
      <w:r>
        <w:rPr>
          <w:noProof/>
        </w:rPr>
        <w:fldChar w:fldCharType="end"/>
      </w:r>
      <w:r w:rsidR="00394D80">
        <w:t>.  </w:t>
      </w:r>
      <w:r w:rsidR="00197400">
        <w:t xml:space="preserve">The Government, in their turn, provided </w:t>
      </w:r>
      <w:r w:rsidRPr="00197400" w:rsidR="00197400">
        <w:t xml:space="preserve">extracts from the inmate population </w:t>
      </w:r>
      <w:r w:rsidR="00172921">
        <w:t>register</w:t>
      </w:r>
      <w:r w:rsidRPr="00197400" w:rsidR="00197400">
        <w:t xml:space="preserve"> </w:t>
      </w:r>
      <w:r w:rsidRPr="00394D80" w:rsidR="0003663D">
        <w:t xml:space="preserve">for </w:t>
      </w:r>
      <w:r w:rsidR="0003663D">
        <w:t>the majority of the days</w:t>
      </w:r>
      <w:r w:rsidRPr="00394D80" w:rsidR="0003663D">
        <w:t xml:space="preserve"> that the applicant spent in </w:t>
      </w:r>
      <w:r w:rsidR="00D96B42">
        <w:t>IZ-</w:t>
      </w:r>
      <w:r w:rsidR="0003663D">
        <w:t xml:space="preserve">16/1 </w:t>
      </w:r>
      <w:r w:rsidRPr="00197400" w:rsidR="00197400">
        <w:t xml:space="preserve">and </w:t>
      </w:r>
      <w:r w:rsidR="00375719">
        <w:t xml:space="preserve">a copy of </w:t>
      </w:r>
      <w:r w:rsidRPr="00197400" w:rsidR="00197400">
        <w:t>the applicant</w:t>
      </w:r>
      <w:r w:rsidR="00C471A6">
        <w:t>’</w:t>
      </w:r>
      <w:r w:rsidRPr="00197400" w:rsidR="00197400">
        <w:t>s cell register</w:t>
      </w:r>
      <w:r w:rsidR="00857B69">
        <w:t xml:space="preserve"> (see paragraph </w:t>
      </w:r>
      <w:r w:rsidR="00857B69">
        <w:fldChar w:fldCharType="begin"/>
      </w:r>
      <w:r w:rsidR="00857B69">
        <w:instrText xml:space="preserve"> REF logs \h </w:instrText>
      </w:r>
      <w:r w:rsidR="00857B69">
        <w:fldChar w:fldCharType="separate"/>
      </w:r>
      <w:r w:rsidR="00F73EE2">
        <w:rPr>
          <w:noProof/>
          <w:lang w:val="en-GB" w:eastAsia="fr-FR"/>
        </w:rPr>
        <w:t>29</w:t>
      </w:r>
      <w:r w:rsidR="00857B69">
        <w:fldChar w:fldCharType="end"/>
      </w:r>
      <w:r w:rsidR="00857B69">
        <w:t xml:space="preserve"> above). </w:t>
      </w:r>
      <w:r w:rsidR="00394D80">
        <w:t>Given that the applicant did not</w:t>
      </w:r>
      <w:r w:rsidR="00857B69">
        <w:t xml:space="preserve"> contest their authenticity</w:t>
      </w:r>
      <w:r w:rsidR="00394D80">
        <w:t>, t</w:t>
      </w:r>
      <w:r w:rsidRPr="00394D80" w:rsidR="00394D80">
        <w:t>he Court is satisfied that th</w:t>
      </w:r>
      <w:r w:rsidR="00394D80">
        <w:t>os</w:t>
      </w:r>
      <w:r w:rsidRPr="00394D80" w:rsidR="00394D80">
        <w:t>e extracts were the original documents which had been prepared during the period</w:t>
      </w:r>
      <w:r w:rsidR="00394D80">
        <w:t>s</w:t>
      </w:r>
      <w:r w:rsidRPr="00394D80" w:rsidR="00394D80">
        <w:t xml:space="preserve"> under examination and which showed the number of sleeping places in the cells where the applicant had stayed and the actual number of inmates who had been present in those cells on those dates. </w:t>
      </w:r>
      <w:r w:rsidR="001A2038">
        <w:t>T</w:t>
      </w:r>
      <w:r w:rsidRPr="00394D80" w:rsidR="00394D80">
        <w:t>he Court</w:t>
      </w:r>
      <w:r w:rsidR="001A2038">
        <w:t>, accordingly,</w:t>
      </w:r>
      <w:r w:rsidRPr="00394D80" w:rsidR="00394D80">
        <w:t xml:space="preserve"> lends credence to the primary documents produced by the Government (see </w:t>
      </w:r>
      <w:r w:rsidR="00600982">
        <w:rPr>
          <w:i/>
        </w:rPr>
        <w:t xml:space="preserve">Fetisov and Others v. </w:t>
      </w:r>
      <w:r w:rsidRPr="00394D80" w:rsidR="00394D80">
        <w:rPr>
          <w:i/>
        </w:rPr>
        <w:t>Russia</w:t>
      </w:r>
      <w:r w:rsidRPr="00394D80" w:rsidR="00394D80">
        <w:t>, nos</w:t>
      </w:r>
      <w:r w:rsidRPr="0008581A" w:rsidR="00394D80">
        <w:t>.</w:t>
      </w:r>
      <w:r w:rsidR="005C507D">
        <w:t> </w:t>
      </w:r>
      <w:r w:rsidR="0008581A">
        <w:t>43710/07</w:t>
      </w:r>
      <w:r w:rsidRPr="0008581A" w:rsidR="00394D80">
        <w:t xml:space="preserve">, </w:t>
      </w:r>
      <w:r w:rsidR="0008581A">
        <w:t xml:space="preserve">6023/08, </w:t>
      </w:r>
      <w:hyperlink w:tgtFrame="_blank" w:history="1" w:anchor="{&quot;appno&quot;:[&quot;11248/08&quot;]}" r:id="rId11">
        <w:r w:rsidRPr="0008581A" w:rsidR="00394D80">
          <w:rPr>
            <w:rStyle w:val="Hyperlink"/>
            <w:color w:val="auto"/>
            <w:u w:val="none"/>
          </w:rPr>
          <w:t>11248/08</w:t>
        </w:r>
      </w:hyperlink>
      <w:r w:rsidRPr="0008581A" w:rsidR="00394D80">
        <w:t xml:space="preserve">, </w:t>
      </w:r>
      <w:hyperlink w:tgtFrame="_blank" w:history="1" w:anchor="{&quot;appno&quot;:[&quot;27668/08&quot;]}" r:id="rId12">
        <w:r w:rsidRPr="0008581A" w:rsidR="00394D80">
          <w:rPr>
            <w:rStyle w:val="Hyperlink"/>
            <w:color w:val="auto"/>
            <w:u w:val="none"/>
          </w:rPr>
          <w:t>27668/08</w:t>
        </w:r>
      </w:hyperlink>
      <w:r w:rsidRPr="0008581A" w:rsidR="00394D80">
        <w:t xml:space="preserve">, </w:t>
      </w:r>
      <w:hyperlink w:tgtFrame="_blank" w:history="1" w:anchor="{&quot;appno&quot;:[&quot;31242/08&quot;]}" r:id="rId13">
        <w:r w:rsidRPr="0008581A" w:rsidR="00394D80">
          <w:rPr>
            <w:rStyle w:val="Hyperlink"/>
            <w:color w:val="auto"/>
            <w:u w:val="none"/>
          </w:rPr>
          <w:t>31242/08</w:t>
        </w:r>
      </w:hyperlink>
      <w:r w:rsidRPr="0008581A" w:rsidR="00394D80">
        <w:t xml:space="preserve"> and </w:t>
      </w:r>
      <w:hyperlink w:tgtFrame="_blank" w:history="1" w:anchor="{&quot;appno&quot;:[&quot;52133/08&quot;]}" r:id="rId14">
        <w:r w:rsidRPr="0008581A" w:rsidR="00394D80">
          <w:rPr>
            <w:rStyle w:val="Hyperlink"/>
            <w:color w:val="auto"/>
            <w:u w:val="none"/>
          </w:rPr>
          <w:t>52133/08</w:t>
        </w:r>
      </w:hyperlink>
      <w:r w:rsidR="0003663D">
        <w:t>, § </w:t>
      </w:r>
      <w:r w:rsidRPr="0008581A" w:rsidR="00394D80">
        <w:t>134, 17 Janua</w:t>
      </w:r>
      <w:r w:rsidR="009B6D31">
        <w:t>ry 2012,</w:t>
      </w:r>
      <w:r w:rsidRPr="0008581A" w:rsidR="00394D80">
        <w:t xml:space="preserve"> and </w:t>
      </w:r>
      <w:r w:rsidRPr="0008581A" w:rsidR="00394D80">
        <w:rPr>
          <w:i/>
        </w:rPr>
        <w:t>Sergey Chebotarev</w:t>
      </w:r>
      <w:r w:rsidRPr="0008581A" w:rsidR="00394D80">
        <w:t xml:space="preserve"> </w:t>
      </w:r>
      <w:r w:rsidRPr="0008581A" w:rsidR="00394D80">
        <w:rPr>
          <w:i/>
        </w:rPr>
        <w:t>v. Russia</w:t>
      </w:r>
      <w:r w:rsidR="002C0ECB">
        <w:t>, no. </w:t>
      </w:r>
      <w:r w:rsidR="0003663D">
        <w:t>61510/09, §§ </w:t>
      </w:r>
      <w:r w:rsidRPr="0008581A" w:rsidR="00394D80">
        <w:t>41-</w:t>
      </w:r>
      <w:r w:rsidRPr="00394D80" w:rsidR="00394D80">
        <w:t>42, 7 May 2014).</w:t>
      </w:r>
      <w:r w:rsidR="00394D80">
        <w:t xml:space="preserve"> </w:t>
      </w:r>
      <w:r w:rsidR="00534602">
        <w:t xml:space="preserve">It follows from the extracts in question that in every cell in which the applicant was kept the number of inmates </w:t>
      </w:r>
      <w:r w:rsidR="009A7B76">
        <w:t>did not exceed</w:t>
      </w:r>
      <w:r w:rsidR="00534602">
        <w:t xml:space="preserve"> the number of</w:t>
      </w:r>
      <w:r w:rsidR="009A7B76">
        <w:t xml:space="preserve"> sleeping places available.</w:t>
      </w:r>
    </w:p>
    <w:p w:rsidRPr="0008581A" w:rsidR="000A7C3A" w:rsidP="000A7C3A" w:rsidRDefault="00C471A6">
      <w:pPr>
        <w:pStyle w:val="ECHRPara"/>
      </w:pPr>
      <w:fldSimple w:instr=" SEQ level0 \*arabic ">
        <w:r w:rsidR="00F73EE2">
          <w:rPr>
            <w:noProof/>
          </w:rPr>
          <w:t>38</w:t>
        </w:r>
      </w:fldSimple>
      <w:r w:rsidRPr="00394D80" w:rsidR="000A7C3A">
        <w:t>.  </w:t>
      </w:r>
      <w:r w:rsidRPr="00394D80" w:rsidR="001A2038">
        <w:t xml:space="preserve">The Court </w:t>
      </w:r>
      <w:r w:rsidR="001A2038">
        <w:t>further notes that i</w:t>
      </w:r>
      <w:r w:rsidR="000A7C3A">
        <w:t xml:space="preserve">t was not contested by the parties that, while in </w:t>
      </w:r>
      <w:r w:rsidR="00D66FDF">
        <w:t>IZ-</w:t>
      </w:r>
      <w:r w:rsidR="000A7C3A">
        <w:t xml:space="preserve">16/1, </w:t>
      </w:r>
      <w:r w:rsidRPr="00394D80" w:rsidR="000A7C3A">
        <w:t>the appl</w:t>
      </w:r>
      <w:r w:rsidR="00A53DF1">
        <w:t>icant disposed of at least four </w:t>
      </w:r>
      <w:r w:rsidRPr="00394D80" w:rsidR="000A7C3A">
        <w:t xml:space="preserve">square </w:t>
      </w:r>
      <w:r w:rsidRPr="00394D80" w:rsidR="00A53DF1">
        <w:t>meters</w:t>
      </w:r>
      <w:r w:rsidRPr="00394D80" w:rsidR="000A7C3A">
        <w:t xml:space="preserve"> of personal space</w:t>
      </w:r>
      <w:r w:rsidR="001A2038">
        <w:t>.</w:t>
      </w:r>
      <w:r w:rsidRPr="00394D80" w:rsidR="000A7C3A">
        <w:t xml:space="preserve"> </w:t>
      </w:r>
      <w:r w:rsidR="001A2038">
        <w:t>T</w:t>
      </w:r>
      <w:r w:rsidRPr="00394D80" w:rsidR="000A7C3A">
        <w:t xml:space="preserve">he applicant did not invoke any other elements lack of which was considered as grounds for finding a violation of Article 3 of the Convention in </w:t>
      </w:r>
      <w:r w:rsidR="00491D69">
        <w:t xml:space="preserve">the </w:t>
      </w:r>
      <w:r w:rsidRPr="00394D80" w:rsidR="000A7C3A">
        <w:t xml:space="preserve">cases </w:t>
      </w:r>
      <w:r w:rsidR="00491D69">
        <w:t xml:space="preserve">previously examined by the Court </w:t>
      </w:r>
      <w:r w:rsidRPr="00394D80" w:rsidR="000A7C3A">
        <w:t>wher</w:t>
      </w:r>
      <w:r w:rsidR="00F07DA1">
        <w:t xml:space="preserve">e detention facilities </w:t>
      </w:r>
      <w:r w:rsidR="004F7E2C">
        <w:t>had</w:t>
      </w:r>
      <w:r w:rsidR="00F07DA1">
        <w:t xml:space="preserve"> not </w:t>
      </w:r>
      <w:r w:rsidR="004F7E2C">
        <w:t xml:space="preserve">been </w:t>
      </w:r>
      <w:r w:rsidRPr="00394D80" w:rsidR="000A7C3A">
        <w:t xml:space="preserve">overcrowded, such as access to natural light or air, availability of ventilation, adequacy of heating arrangements, the possibility of using the toilet in private, and compliance </w:t>
      </w:r>
      <w:r w:rsidRPr="0008581A" w:rsidR="000A7C3A">
        <w:t xml:space="preserve">with basic sanitary and hygienic requirements (see, by contrast, </w:t>
      </w:r>
      <w:r w:rsidR="00A53DF1">
        <w:rPr>
          <w:i/>
        </w:rPr>
        <w:t>Vlasov v. </w:t>
      </w:r>
      <w:r w:rsidRPr="0008581A" w:rsidR="000A7C3A">
        <w:rPr>
          <w:i/>
        </w:rPr>
        <w:t>Russia</w:t>
      </w:r>
      <w:r w:rsidR="000E3D95">
        <w:t>, no. </w:t>
      </w:r>
      <w:hyperlink w:tgtFrame="_blank" w:history="1" w:anchor="{&quot;appno&quot;:[&quot;78146/01&quot;]}" r:id="rId15">
        <w:r w:rsidRPr="0008581A" w:rsidR="000A7C3A">
          <w:rPr>
            <w:rStyle w:val="Hyperlink"/>
            <w:color w:val="auto"/>
            <w:u w:val="none"/>
          </w:rPr>
          <w:t>78146/01</w:t>
        </w:r>
      </w:hyperlink>
      <w:r w:rsidR="00F66D2B">
        <w:t>, § </w:t>
      </w:r>
      <w:r w:rsidR="001A2038">
        <w:t>84, 12 </w:t>
      </w:r>
      <w:r w:rsidRPr="0008581A" w:rsidR="000A7C3A">
        <w:t>June 2008</w:t>
      </w:r>
      <w:r w:rsidR="009B6D31">
        <w:t>;</w:t>
      </w:r>
      <w:r w:rsidRPr="0008581A" w:rsidR="000A7C3A">
        <w:t xml:space="preserve"> </w:t>
      </w:r>
      <w:r w:rsidRPr="0008581A" w:rsidR="000A7C3A">
        <w:rPr>
          <w:i/>
        </w:rPr>
        <w:t>Babushkin v. Russia</w:t>
      </w:r>
      <w:r w:rsidR="00A53DF1">
        <w:t>, no. </w:t>
      </w:r>
      <w:hyperlink w:tgtFrame="_blank" w:history="1" w:anchor="{&quot;appno&quot;:[&quot;67253/01&quot;]}" r:id="rId16">
        <w:r w:rsidRPr="0008581A" w:rsidR="000A7C3A">
          <w:rPr>
            <w:rStyle w:val="Hyperlink"/>
            <w:color w:val="auto"/>
            <w:u w:val="none"/>
          </w:rPr>
          <w:t>67253/01</w:t>
        </w:r>
      </w:hyperlink>
      <w:r w:rsidRPr="0008581A" w:rsidR="000A7C3A">
        <w:t>, § 44, 18 October 2007</w:t>
      </w:r>
      <w:r w:rsidR="009B6D31">
        <w:t>;</w:t>
      </w:r>
      <w:r w:rsidRPr="0008581A" w:rsidR="000A7C3A">
        <w:t xml:space="preserve"> and </w:t>
      </w:r>
      <w:r w:rsidRPr="0008581A" w:rsidR="000A7C3A">
        <w:rPr>
          <w:i/>
        </w:rPr>
        <w:t>Trepashkin v. Russia</w:t>
      </w:r>
      <w:r w:rsidR="00A53DF1">
        <w:t>, no. </w:t>
      </w:r>
      <w:hyperlink w:tgtFrame="_blank" w:history="1" w:anchor="{&quot;appno&quot;:[&quot;36898/03&quot;]}" r:id="rId17">
        <w:r w:rsidRPr="0008581A" w:rsidR="000A7C3A">
          <w:rPr>
            <w:rStyle w:val="Hyperlink"/>
            <w:color w:val="auto"/>
            <w:u w:val="none"/>
          </w:rPr>
          <w:t>36898/03</w:t>
        </w:r>
      </w:hyperlink>
      <w:r w:rsidRPr="0008581A" w:rsidR="000A7C3A">
        <w:t>, § 94, 19 July 2007).</w:t>
      </w:r>
    </w:p>
    <w:p w:rsidR="00964C74" w:rsidP="00394D80" w:rsidRDefault="00442CC2">
      <w:pPr>
        <w:pStyle w:val="ECHRPara"/>
      </w:pPr>
      <w:r>
        <w:fldChar w:fldCharType="begin"/>
      </w:r>
      <w:r>
        <w:instrText xml:space="preserve"> SEQ level0 \*arabic </w:instrText>
      </w:r>
      <w:r>
        <w:fldChar w:fldCharType="separate"/>
      </w:r>
      <w:r w:rsidR="00F73EE2">
        <w:rPr>
          <w:noProof/>
        </w:rPr>
        <w:t>39</w:t>
      </w:r>
      <w:r>
        <w:rPr>
          <w:noProof/>
        </w:rPr>
        <w:fldChar w:fldCharType="end"/>
      </w:r>
      <w:r w:rsidR="001A2038">
        <w:t>.  </w:t>
      </w:r>
      <w:r w:rsidR="00F4293F">
        <w:t>Given</w:t>
      </w:r>
      <w:r w:rsidR="00394D80">
        <w:t xml:space="preserve"> that the applicant failed to </w:t>
      </w:r>
      <w:r w:rsidR="00286064">
        <w:t xml:space="preserve">elaborate his description of the allegedly inhuman and/or degrading conditions of his detention in </w:t>
      </w:r>
      <w:r w:rsidR="00B1020D">
        <w:t>IZ-</w:t>
      </w:r>
      <w:r w:rsidR="00286064">
        <w:t xml:space="preserve">16/1 </w:t>
      </w:r>
      <w:r w:rsidR="00480D2E">
        <w:t xml:space="preserve">and to </w:t>
      </w:r>
      <w:r w:rsidR="00394D80">
        <w:t xml:space="preserve">support his </w:t>
      </w:r>
      <w:r w:rsidR="00964C74">
        <w:t>claims</w:t>
      </w:r>
      <w:r w:rsidR="00394D80">
        <w:t xml:space="preserve"> </w:t>
      </w:r>
      <w:r w:rsidR="00352A2A">
        <w:t xml:space="preserve">of overcrowding </w:t>
      </w:r>
      <w:r w:rsidR="00394D80">
        <w:t xml:space="preserve">with any relevant materials, such as, for example, written statements by other inmates who had shared </w:t>
      </w:r>
      <w:r w:rsidR="001D10B5">
        <w:t>the</w:t>
      </w:r>
      <w:r w:rsidR="00394D80">
        <w:t xml:space="preserve"> cell</w:t>
      </w:r>
      <w:r w:rsidR="001D10B5">
        <w:t>s</w:t>
      </w:r>
      <w:r w:rsidR="00394D80">
        <w:t xml:space="preserve"> with him, the Court </w:t>
      </w:r>
      <w:r w:rsidRPr="00964C74" w:rsidR="00964C74">
        <w:t>has been unable to establish that there was a shortage of sleeping places</w:t>
      </w:r>
      <w:r w:rsidR="00964C74">
        <w:t xml:space="preserve"> in the applicant</w:t>
      </w:r>
      <w:r w:rsidR="00C471A6">
        <w:t>’</w:t>
      </w:r>
      <w:r w:rsidR="00964C74">
        <w:t>s cells (</w:t>
      </w:r>
      <w:r w:rsidR="005C057F">
        <w:t xml:space="preserve">see </w:t>
      </w:r>
      <w:r w:rsidR="00600982">
        <w:rPr>
          <w:i/>
        </w:rPr>
        <w:t xml:space="preserve">Sergey </w:t>
      </w:r>
      <w:r w:rsidRPr="005C057F" w:rsidR="005C057F">
        <w:rPr>
          <w:i/>
        </w:rPr>
        <w:t>Chebotarev</w:t>
      </w:r>
      <w:r w:rsidR="005C057F">
        <w:t>, cited above</w:t>
      </w:r>
      <w:r w:rsidR="00964C74">
        <w:t xml:space="preserve">, </w:t>
      </w:r>
      <w:r w:rsidR="00964C74">
        <w:rPr>
          <w:rFonts w:cstheme="minorHAnsi"/>
        </w:rPr>
        <w:t>§</w:t>
      </w:r>
      <w:r w:rsidR="00964C74">
        <w:t xml:space="preserve"> 103). It is thus</w:t>
      </w:r>
      <w:r w:rsidR="00394D80">
        <w:t xml:space="preserve"> bound to conclude that the applicant</w:t>
      </w:r>
      <w:r w:rsidR="00C471A6">
        <w:t>’</w:t>
      </w:r>
      <w:r w:rsidR="00394D80">
        <w:t xml:space="preserve">s </w:t>
      </w:r>
      <w:r w:rsidR="00964C74">
        <w:t>complaint about</w:t>
      </w:r>
      <w:r w:rsidR="00394D80">
        <w:t xml:space="preserve"> </w:t>
      </w:r>
      <w:r w:rsidRPr="00964C74" w:rsidR="00964C74">
        <w:t>lack of an individual sleeping place</w:t>
      </w:r>
      <w:r w:rsidR="00964C74">
        <w:t xml:space="preserve"> </w:t>
      </w:r>
      <w:r w:rsidR="00394D80">
        <w:t>was not sufficiently substantiated</w:t>
      </w:r>
      <w:r w:rsidR="00964C74">
        <w:t>.</w:t>
      </w:r>
    </w:p>
    <w:p w:rsidR="00BE39B6" w:rsidP="00BE39B6" w:rsidRDefault="00442CC2">
      <w:pPr>
        <w:pStyle w:val="ECHRPara"/>
      </w:pPr>
      <w:r>
        <w:fldChar w:fldCharType="begin"/>
      </w:r>
      <w:r>
        <w:instrText xml:space="preserve"> SEQ level0 \*arabic </w:instrText>
      </w:r>
      <w:r>
        <w:fldChar w:fldCharType="separate"/>
      </w:r>
      <w:r w:rsidR="00F73EE2">
        <w:rPr>
          <w:noProof/>
        </w:rPr>
        <w:t>40</w:t>
      </w:r>
      <w:r>
        <w:rPr>
          <w:noProof/>
        </w:rPr>
        <w:fldChar w:fldCharType="end"/>
      </w:r>
      <w:r w:rsidR="00964C74">
        <w:t>.  </w:t>
      </w:r>
      <w:r w:rsidR="00C82E42">
        <w:t xml:space="preserve">Having considered all available materials before it, </w:t>
      </w:r>
      <w:r w:rsidR="00BE39B6">
        <w:t>t</w:t>
      </w:r>
      <w:r w:rsidR="00964C74">
        <w:t xml:space="preserve">he Court </w:t>
      </w:r>
      <w:r w:rsidRPr="00BE39B6" w:rsidR="00BE39B6">
        <w:t>cannot establish that the overall conditions of the applicant</w:t>
      </w:r>
      <w:r w:rsidR="00C471A6">
        <w:t>’</w:t>
      </w:r>
      <w:r w:rsidRPr="00BE39B6" w:rsidR="00BE39B6">
        <w:t xml:space="preserve">s detention in </w:t>
      </w:r>
      <w:r w:rsidR="000C3C72">
        <w:t>IZ-</w:t>
      </w:r>
      <w:r w:rsidR="00C82E42">
        <w:t>16/1 of Kazan</w:t>
      </w:r>
      <w:r w:rsidRPr="00BE39B6" w:rsidR="00BE39B6">
        <w:t xml:space="preserve"> reached the threshold of severity required to characterise the treatment as inhuman or degrading within the meaning of Article 3 of the Convention.</w:t>
      </w:r>
    </w:p>
    <w:p w:rsidR="00CD1888" w:rsidP="00C621C2" w:rsidRDefault="00442CC2">
      <w:pPr>
        <w:pStyle w:val="ECHRPara"/>
      </w:pPr>
      <w:r>
        <w:fldChar w:fldCharType="begin"/>
      </w:r>
      <w:r>
        <w:instrText xml:space="preserve"> SEQ level0 \*arabic </w:instrText>
      </w:r>
      <w:r>
        <w:fldChar w:fldCharType="separate"/>
      </w:r>
      <w:r w:rsidR="00F73EE2">
        <w:rPr>
          <w:noProof/>
        </w:rPr>
        <w:t>41</w:t>
      </w:r>
      <w:r>
        <w:rPr>
          <w:noProof/>
        </w:rPr>
        <w:fldChar w:fldCharType="end"/>
      </w:r>
      <w:r w:rsidR="00F73EE2">
        <w:t>.  </w:t>
      </w:r>
      <w:r w:rsidR="00C82E42">
        <w:t xml:space="preserve">The </w:t>
      </w:r>
      <w:r w:rsidRPr="00BE39B6" w:rsidR="00BE39B6">
        <w:t xml:space="preserve">Court </w:t>
      </w:r>
      <w:r w:rsidR="00C82E42">
        <w:t xml:space="preserve">thus </w:t>
      </w:r>
      <w:r w:rsidRPr="00BE39B6" w:rsidR="00BE39B6">
        <w:t>concludes</w:t>
      </w:r>
      <w:r w:rsidR="00C82E42">
        <w:t xml:space="preserve"> that the applicant</w:t>
      </w:r>
      <w:r w:rsidR="00C471A6">
        <w:t>’</w:t>
      </w:r>
      <w:r w:rsidR="00C82E42">
        <w:t>s complaint</w:t>
      </w:r>
      <w:r w:rsidRPr="00BE39B6" w:rsidR="00BE39B6">
        <w:t xml:space="preserve"> </w:t>
      </w:r>
      <w:r w:rsidR="00C82E42">
        <w:t>under Article 3 of the Convention is</w:t>
      </w:r>
      <w:r w:rsidRPr="00BE39B6" w:rsidR="00BE39B6">
        <w:t xml:space="preserve"> manifestly ill-founded and must be rejected in accordance with Article 35 §§ 3 (a) and 4 of the Convention.</w:t>
      </w:r>
    </w:p>
    <w:p w:rsidRPr="00CD1888" w:rsidR="00CD1888" w:rsidP="00CD1888" w:rsidRDefault="00A53DF1">
      <w:pPr>
        <w:pStyle w:val="ECHRHeading3"/>
      </w:pPr>
      <w:r>
        <w:t>2.  </w:t>
      </w:r>
      <w:r w:rsidRPr="00CD1888" w:rsidR="00CD1888">
        <w:t xml:space="preserve">Complaint </w:t>
      </w:r>
      <w:r w:rsidR="004C29D9">
        <w:t>about</w:t>
      </w:r>
      <w:r w:rsidRPr="00CD1888" w:rsidR="00CD1888">
        <w:t xml:space="preserve"> lack of an effective remedy</w:t>
      </w:r>
    </w:p>
    <w:p w:rsidRPr="00CD1888" w:rsidR="00CD1888" w:rsidP="00CD1888" w:rsidRDefault="00442CC2">
      <w:pPr>
        <w:pStyle w:val="ECHRPara"/>
      </w:pPr>
      <w:r>
        <w:fldChar w:fldCharType="begin"/>
      </w:r>
      <w:r>
        <w:instrText xml:space="preserve"> SEQ level0 \*arabic </w:instrText>
      </w:r>
      <w:r>
        <w:fldChar w:fldCharType="separate"/>
      </w:r>
      <w:r w:rsidR="00F73EE2">
        <w:rPr>
          <w:noProof/>
        </w:rPr>
        <w:t>42</w:t>
      </w:r>
      <w:r>
        <w:rPr>
          <w:noProof/>
        </w:rPr>
        <w:fldChar w:fldCharType="end"/>
      </w:r>
      <w:r w:rsidR="00CD1888">
        <w:t>.  </w:t>
      </w:r>
      <w:r w:rsidRPr="00CD1888" w:rsidR="00CD1888">
        <w:t xml:space="preserve">The applicant also </w:t>
      </w:r>
      <w:r w:rsidR="00D35C6F">
        <w:t>vaguely alleged</w:t>
      </w:r>
      <w:r w:rsidRPr="00CD1888" w:rsidR="00CD1888">
        <w:t xml:space="preserve"> that he had not had an effective domestic remedy for his complaints pertaining to the conditions of his detention, in breach of Article 13 of the Convention. The </w:t>
      </w:r>
      <w:bookmarkStart w:name="HIT1" w:id="13"/>
      <w:bookmarkEnd w:id="13"/>
      <w:r w:rsidRPr="00CD1888" w:rsidR="00CD1888">
        <w:t xml:space="preserve">Court </w:t>
      </w:r>
      <w:bookmarkStart w:name="HIT2" w:id="14"/>
      <w:bookmarkEnd w:id="14"/>
      <w:r w:rsidRPr="00CD1888" w:rsidR="00CD1888">
        <w:t xml:space="preserve">reiterates that a </w:t>
      </w:r>
      <w:bookmarkStart w:name="HIT3" w:id="15"/>
      <w:bookmarkEnd w:id="15"/>
      <w:r w:rsidRPr="00CD1888" w:rsidR="00CD1888">
        <w:t xml:space="preserve">complaint </w:t>
      </w:r>
      <w:bookmarkStart w:name="HIT4" w:id="16"/>
      <w:bookmarkEnd w:id="16"/>
      <w:r w:rsidRPr="003A4A09" w:rsidR="00CD1888">
        <w:t xml:space="preserve">may </w:t>
      </w:r>
      <w:bookmarkStart w:name="HIT5" w:id="17"/>
      <w:bookmarkEnd w:id="17"/>
      <w:r w:rsidRPr="003A4A09" w:rsidR="00CD1888">
        <w:t xml:space="preserve">only be </w:t>
      </w:r>
      <w:bookmarkStart w:name="HIT6" w:id="18"/>
      <w:bookmarkEnd w:id="18"/>
      <w:r w:rsidRPr="003A4A09" w:rsidR="00CD1888">
        <w:t xml:space="preserve">made under </w:t>
      </w:r>
      <w:bookmarkStart w:name="HIT7" w:id="19"/>
      <w:bookmarkEnd w:id="19"/>
      <w:r w:rsidRPr="003A4A09" w:rsidR="00CD1888">
        <w:t xml:space="preserve">Article </w:t>
      </w:r>
      <w:bookmarkStart w:name="HIT8" w:id="20"/>
      <w:bookmarkEnd w:id="20"/>
      <w:r w:rsidRPr="003A4A09" w:rsidR="00CD1888">
        <w:t xml:space="preserve">13 in </w:t>
      </w:r>
      <w:bookmarkStart w:name="HIT9" w:id="21"/>
      <w:bookmarkEnd w:id="21"/>
      <w:r w:rsidRPr="003A4A09" w:rsidR="00CD1888">
        <w:t xml:space="preserve">connection with a </w:t>
      </w:r>
      <w:bookmarkStart w:name="HIT10" w:id="22"/>
      <w:bookmarkEnd w:id="22"/>
      <w:r w:rsidRPr="003A4A09" w:rsidR="00CD1888">
        <w:t xml:space="preserve">substantive </w:t>
      </w:r>
      <w:bookmarkStart w:name="HIT11" w:id="23"/>
      <w:bookmarkEnd w:id="23"/>
      <w:r w:rsidRPr="003A4A09" w:rsidR="00CD1888">
        <w:t xml:space="preserve">claim which </w:t>
      </w:r>
      <w:bookmarkStart w:name="HIT12" w:id="24"/>
      <w:bookmarkEnd w:id="24"/>
      <w:r w:rsidRPr="003A4A09" w:rsidR="00CD1888">
        <w:t>is “</w:t>
      </w:r>
      <w:bookmarkStart w:name="HIT13" w:id="25"/>
      <w:bookmarkEnd w:id="25"/>
      <w:r w:rsidRPr="003A4A09" w:rsidR="00CD1888">
        <w:t xml:space="preserve">arguable” (see, for example, </w:t>
      </w:r>
      <w:r w:rsidR="00600982">
        <w:rPr>
          <w:i/>
        </w:rPr>
        <w:t xml:space="preserve">Hatton and Others </w:t>
      </w:r>
      <w:r w:rsidRPr="003A4A09" w:rsidR="00CD1888">
        <w:rPr>
          <w:i/>
        </w:rPr>
        <w:t>v. the United Kingdom</w:t>
      </w:r>
      <w:r w:rsidRPr="003A4A09" w:rsidR="00CD1888">
        <w:t xml:space="preserve"> [GC], no. </w:t>
      </w:r>
      <w:hyperlink w:tgtFrame="_blank" w:history="1" w:anchor="{&quot;appno&quot;:[&quot;36022/97&quot;]}" r:id="rId18">
        <w:r w:rsidRPr="003A4A09" w:rsidR="00CD1888">
          <w:rPr>
            <w:rStyle w:val="Hyperlink"/>
            <w:color w:val="auto"/>
            <w:u w:val="none"/>
          </w:rPr>
          <w:t>36022/97</w:t>
        </w:r>
      </w:hyperlink>
      <w:r w:rsidR="00A53DF1">
        <w:t>, § 137, ECHR </w:t>
      </w:r>
      <w:r w:rsidRPr="003A4A09" w:rsidR="00CD1888">
        <w:t>2003</w:t>
      </w:r>
      <w:r w:rsidRPr="003A4A09" w:rsidR="00CD1888">
        <w:noBreakHyphen/>
        <w:t xml:space="preserve">VIII, with further references, and </w:t>
      </w:r>
      <w:r w:rsidR="00534271">
        <w:rPr>
          <w:i/>
        </w:rPr>
        <w:t>Ashworth and Others v. the </w:t>
      </w:r>
      <w:r w:rsidRPr="003A4A09" w:rsidR="00CD1888">
        <w:rPr>
          <w:i/>
        </w:rPr>
        <w:t>United Kingdom</w:t>
      </w:r>
      <w:r w:rsidRPr="003A4A09" w:rsidR="00CD1888">
        <w:t xml:space="preserve"> (dec.), no. </w:t>
      </w:r>
      <w:r w:rsidRPr="00534271" w:rsidR="00CD1888">
        <w:t>39561/98</w:t>
      </w:r>
      <w:r w:rsidRPr="003A4A09" w:rsidR="00CD1888">
        <w:t>, 20 January 2004). The Court has found that the applicant</w:t>
      </w:r>
      <w:r w:rsidR="00C471A6">
        <w:t>’</w:t>
      </w:r>
      <w:r w:rsidRPr="003A4A09" w:rsidR="00CD1888">
        <w:t xml:space="preserve">s complaints under Article 3 of </w:t>
      </w:r>
      <w:r w:rsidRPr="00CD1888" w:rsidR="00CD1888">
        <w:t xml:space="preserve">the Convention concerning the </w:t>
      </w:r>
      <w:r w:rsidR="00D35C6F">
        <w:t>conditions of his detention in remand prison no. 16/1</w:t>
      </w:r>
      <w:r w:rsidRPr="00CD1888" w:rsidR="00CD1888">
        <w:t xml:space="preserve"> are manifestly ill-founded and therefore inadmissible. It accordingly finds that that claim cannot be said to be “arguable” within the meaning o</w:t>
      </w:r>
      <w:r w:rsidR="00D35C6F">
        <w:t xml:space="preserve">f the Convention case-law (see </w:t>
      </w:r>
      <w:r w:rsidR="00600982">
        <w:rPr>
          <w:i/>
        </w:rPr>
        <w:t xml:space="preserve">Novikov </w:t>
      </w:r>
      <w:r w:rsidRPr="00D35C6F" w:rsidR="00D35C6F">
        <w:rPr>
          <w:i/>
        </w:rPr>
        <w:t>v. Russia</w:t>
      </w:r>
      <w:r w:rsidR="00D35C6F">
        <w:t xml:space="preserve"> (dec.), no. 11303/12, </w:t>
      </w:r>
      <w:r w:rsidR="00D35C6F">
        <w:rPr>
          <w:rFonts w:cstheme="minorHAnsi"/>
        </w:rPr>
        <w:t>§</w:t>
      </w:r>
      <w:r w:rsidR="00D35C6F">
        <w:t xml:space="preserve"> 40, </w:t>
      </w:r>
      <w:r w:rsidR="00A53DF1">
        <w:t>10 </w:t>
      </w:r>
      <w:r w:rsidRPr="00D35C6F" w:rsidR="00D35C6F">
        <w:t>December 2013</w:t>
      </w:r>
      <w:r w:rsidRPr="00CD1888" w:rsidR="00CD1888">
        <w:t>).</w:t>
      </w:r>
    </w:p>
    <w:p w:rsidRPr="00534271" w:rsidR="004712C8" w:rsidP="004C29D9" w:rsidRDefault="00442CC2">
      <w:pPr>
        <w:pStyle w:val="ECHRPara"/>
      </w:pPr>
      <w:r>
        <w:fldChar w:fldCharType="begin"/>
      </w:r>
      <w:r>
        <w:instrText xml:space="preserve"> SEQ level0 \*arabic </w:instrText>
      </w:r>
      <w:r>
        <w:fldChar w:fldCharType="separate"/>
      </w:r>
      <w:r w:rsidR="00F73EE2">
        <w:rPr>
          <w:noProof/>
        </w:rPr>
        <w:t>43</w:t>
      </w:r>
      <w:r>
        <w:rPr>
          <w:noProof/>
        </w:rPr>
        <w:fldChar w:fldCharType="end"/>
      </w:r>
      <w:r w:rsidR="00CD6A3F">
        <w:t>.  </w:t>
      </w:r>
      <w:r w:rsidRPr="00534271" w:rsidR="00CD1888">
        <w:t>It follows that the corresponding complaint under Article 13 is also manifestly ill-founded and must be rejecte</w:t>
      </w:r>
      <w:r w:rsidR="00600982">
        <w:t xml:space="preserve">d in accordance with Article 35 </w:t>
      </w:r>
      <w:r w:rsidRPr="00534271" w:rsidR="00CD1888">
        <w:t>§§ 3 (a) and 4 of the Convention.</w:t>
      </w:r>
    </w:p>
    <w:p w:rsidRPr="00062973" w:rsidR="00014566" w:rsidP="00014566" w:rsidRDefault="0010558B">
      <w:pPr>
        <w:pStyle w:val="ECHRHeading1"/>
        <w:rPr>
          <w:lang w:val="en-GB"/>
        </w:rPr>
      </w:pPr>
      <w:r>
        <w:rPr>
          <w:lang w:val="en-GB"/>
        </w:rPr>
        <w:t>II</w:t>
      </w:r>
      <w:r w:rsidRPr="00062973" w:rsidR="00014566">
        <w:rPr>
          <w:lang w:val="en-GB"/>
        </w:rPr>
        <w:t xml:space="preserve">.  ALLEGED VIOLATION OF ARTICLE </w:t>
      </w:r>
      <w:r>
        <w:rPr>
          <w:lang w:val="en-GB"/>
        </w:rPr>
        <w:t xml:space="preserve">5 </w:t>
      </w:r>
      <w:r>
        <w:rPr>
          <w:rFonts w:cstheme="majorHAnsi"/>
          <w:lang w:val="en-GB"/>
        </w:rPr>
        <w:t>§</w:t>
      </w:r>
      <w:r>
        <w:rPr>
          <w:lang w:val="en-GB"/>
        </w:rPr>
        <w:t xml:space="preserve"> 3</w:t>
      </w:r>
      <w:r w:rsidRPr="00062973" w:rsidR="00014566">
        <w:rPr>
          <w:lang w:val="en-GB"/>
        </w:rPr>
        <w:t xml:space="preserve"> OF THE CONVENTION</w:t>
      </w:r>
    </w:p>
    <w:p w:rsidR="003F6BFC" w:rsidP="00C621C2" w:rsidRDefault="00DD6A30">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44</w:t>
      </w:r>
      <w:r>
        <w:rPr>
          <w:lang w:val="en-GB"/>
        </w:rPr>
        <w:fldChar w:fldCharType="end"/>
      </w:r>
      <w:r w:rsidRPr="00062973" w:rsidR="00014566">
        <w:rPr>
          <w:lang w:val="en-GB"/>
        </w:rPr>
        <w:t xml:space="preserve">.  The applicant complained </w:t>
      </w:r>
      <w:r w:rsidR="003F6BFC">
        <w:rPr>
          <w:lang w:val="en-GB"/>
        </w:rPr>
        <w:t xml:space="preserve">that the length of his pre-trial detention was in breach of the requirements of Article 5 </w:t>
      </w:r>
      <w:r w:rsidR="003F6BFC">
        <w:rPr>
          <w:rFonts w:cstheme="minorHAnsi"/>
          <w:lang w:val="en-GB"/>
        </w:rPr>
        <w:t>§</w:t>
      </w:r>
      <w:r w:rsidR="003F6BFC">
        <w:rPr>
          <w:lang w:val="en-GB"/>
        </w:rPr>
        <w:t xml:space="preserve"> 3 of the Convention, which reads as follows:</w:t>
      </w:r>
    </w:p>
    <w:p w:rsidR="003F6BFC" w:rsidP="003F6BFC" w:rsidRDefault="003F6BFC">
      <w:pPr>
        <w:pStyle w:val="ECHRParaQuote"/>
        <w:rPr>
          <w:highlight w:val="cyan"/>
          <w:lang w:val="en-GB"/>
        </w:rPr>
      </w:pPr>
      <w:r>
        <w:t xml:space="preserve">“Everyone arrested or detained in accordance with the provisions of paragraph 1 (c) of this Article shall be </w:t>
      </w:r>
      <w:r w:rsidRPr="00534271">
        <w:t>...</w:t>
      </w:r>
      <w:r>
        <w:t xml:space="preserve"> entitled to trial within a reasonable time or to release pending trial. Release may be conditioned by guarantees to appear for trial.”</w:t>
      </w:r>
    </w:p>
    <w:p w:rsidR="00470BF7" w:rsidP="00470BF7" w:rsidRDefault="00470BF7">
      <w:pPr>
        <w:pStyle w:val="ECHRHeading2"/>
        <w:rPr>
          <w:lang w:val="en-GB"/>
        </w:rPr>
      </w:pPr>
      <w:r>
        <w:rPr>
          <w:lang w:val="en-GB"/>
        </w:rPr>
        <w:t>A.  The parties</w:t>
      </w:r>
      <w:r w:rsidR="00C471A6">
        <w:rPr>
          <w:lang w:val="en-GB"/>
        </w:rPr>
        <w:t>’</w:t>
      </w:r>
      <w:r>
        <w:rPr>
          <w:lang w:val="en-GB"/>
        </w:rPr>
        <w:t xml:space="preserve"> submissions</w:t>
      </w:r>
    </w:p>
    <w:p w:rsidR="00014566" w:rsidP="00C621C2" w:rsidRDefault="00DD6A30">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45</w:t>
      </w:r>
      <w:r>
        <w:rPr>
          <w:lang w:val="en-GB"/>
        </w:rPr>
        <w:fldChar w:fldCharType="end"/>
      </w:r>
      <w:r w:rsidRPr="00062973" w:rsidR="00014566">
        <w:rPr>
          <w:lang w:val="en-GB"/>
        </w:rPr>
        <w:t>.  The Government contested that argument.</w:t>
      </w:r>
      <w:r w:rsidR="00D07D11">
        <w:rPr>
          <w:lang w:val="en-GB"/>
        </w:rPr>
        <w:t xml:space="preserve"> They argued that the domestic courts had extended the applicant</w:t>
      </w:r>
      <w:r w:rsidR="00C471A6">
        <w:rPr>
          <w:lang w:val="en-GB"/>
        </w:rPr>
        <w:t>’</w:t>
      </w:r>
      <w:r w:rsidR="00D07D11">
        <w:rPr>
          <w:lang w:val="en-GB"/>
        </w:rPr>
        <w:t>s pre-trial detention owing to the gravity of the crime that he had been charged with and the need to complete the criminal proceedings against him.</w:t>
      </w:r>
      <w:r w:rsidR="00371EF6">
        <w:rPr>
          <w:lang w:val="en-GB"/>
        </w:rPr>
        <w:t xml:space="preserve"> The applicant had had a prior criminal record </w:t>
      </w:r>
      <w:r w:rsidR="006E295F">
        <w:rPr>
          <w:lang w:val="en-GB"/>
        </w:rPr>
        <w:t xml:space="preserve">as he had been convicted of theft </w:t>
      </w:r>
      <w:r w:rsidR="00371EF6">
        <w:rPr>
          <w:lang w:val="en-GB"/>
        </w:rPr>
        <w:t>and thus could have continued his criminal activities if released.</w:t>
      </w:r>
      <w:r w:rsidR="00D07D11">
        <w:rPr>
          <w:lang w:val="en-GB"/>
        </w:rPr>
        <w:t xml:space="preserve"> </w:t>
      </w:r>
      <w:r w:rsidR="00416986">
        <w:rPr>
          <w:lang w:val="en-GB"/>
        </w:rPr>
        <w:t>Moreover, the Government claimed that the applicant ha</w:t>
      </w:r>
      <w:r w:rsidR="00647AB6">
        <w:rPr>
          <w:lang w:val="en-GB"/>
        </w:rPr>
        <w:t>d threatened a witness</w:t>
      </w:r>
      <w:r w:rsidR="00416986">
        <w:rPr>
          <w:lang w:val="en-GB"/>
        </w:rPr>
        <w:t>.</w:t>
      </w:r>
    </w:p>
    <w:p w:rsidR="00600982" w:rsidP="00C621C2" w:rsidRDefault="00CE0732">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46</w:t>
      </w:r>
      <w:r>
        <w:rPr>
          <w:lang w:val="en-GB"/>
        </w:rPr>
        <w:fldChar w:fldCharType="end"/>
      </w:r>
      <w:r>
        <w:rPr>
          <w:lang w:val="en-GB"/>
        </w:rPr>
        <w:t xml:space="preserve">.  The applicant submitted that he had been detained pending trial within the meaning of Article 5 </w:t>
      </w:r>
      <w:r>
        <w:rPr>
          <w:rFonts w:cstheme="minorHAnsi"/>
          <w:lang w:val="en-GB"/>
        </w:rPr>
        <w:t>§</w:t>
      </w:r>
      <w:r>
        <w:rPr>
          <w:lang w:val="en-GB"/>
        </w:rPr>
        <w:t xml:space="preserve"> 3 of the Convention from 20 April until 2</w:t>
      </w:r>
      <w:r w:rsidR="00D520CC">
        <w:rPr>
          <w:lang w:val="en-GB"/>
        </w:rPr>
        <w:t>2</w:t>
      </w:r>
      <w:r w:rsidR="00600982">
        <w:rPr>
          <w:lang w:val="en-GB"/>
        </w:rPr>
        <w:t> </w:t>
      </w:r>
      <w:r>
        <w:rPr>
          <w:lang w:val="en-GB"/>
        </w:rPr>
        <w:t>July 2003; from 20 July 2004 until 7 April 2005; and from 11 June until 26 October 2005. In his submission, the overall length of his pre-trial detention amounted to one year, four months and four days</w:t>
      </w:r>
      <w:r w:rsidR="00162B75">
        <w:rPr>
          <w:lang w:val="en-GB"/>
        </w:rPr>
        <w:t xml:space="preserve"> in breach of the “reasonable time” requirement</w:t>
      </w:r>
      <w:r>
        <w:rPr>
          <w:lang w:val="en-GB"/>
        </w:rPr>
        <w:t xml:space="preserve">. The domestic authorities had failed to give </w:t>
      </w:r>
      <w:r w:rsidR="001F6268">
        <w:rPr>
          <w:lang w:val="en-GB"/>
        </w:rPr>
        <w:t xml:space="preserve">specific </w:t>
      </w:r>
      <w:r w:rsidR="00162B75">
        <w:rPr>
          <w:lang w:val="en-GB"/>
        </w:rPr>
        <w:t>reasons for his prolonged detention using instead stereotypical formulae</w:t>
      </w:r>
      <w:r w:rsidR="001F6268">
        <w:rPr>
          <w:lang w:val="en-GB"/>
        </w:rPr>
        <w:t xml:space="preserve"> and relying heavily on the gravity of the charges</w:t>
      </w:r>
      <w:r w:rsidR="00162B75">
        <w:rPr>
          <w:lang w:val="en-GB"/>
        </w:rPr>
        <w:t>. Moreover, they had not taken into account that the applicant had not abscond</w:t>
      </w:r>
      <w:r w:rsidR="00A9530C">
        <w:rPr>
          <w:lang w:val="en-GB"/>
        </w:rPr>
        <w:t>ed</w:t>
      </w:r>
      <w:r w:rsidR="00162B75">
        <w:rPr>
          <w:lang w:val="en-GB"/>
        </w:rPr>
        <w:t xml:space="preserve"> while at liberty under an undertaking not to leave his place of residence.</w:t>
      </w:r>
    </w:p>
    <w:p w:rsidR="00103531" w:rsidP="00A36964" w:rsidRDefault="00470BF7">
      <w:pPr>
        <w:pStyle w:val="ECHRHeading2"/>
        <w:rPr>
          <w:lang w:val="en-GB"/>
        </w:rPr>
      </w:pPr>
      <w:r>
        <w:rPr>
          <w:lang w:val="en-GB"/>
        </w:rPr>
        <w:t>B</w:t>
      </w:r>
      <w:r w:rsidR="00A36964">
        <w:rPr>
          <w:lang w:val="en-GB"/>
        </w:rPr>
        <w:t>.  </w:t>
      </w:r>
      <w:r>
        <w:rPr>
          <w:lang w:val="en-GB"/>
        </w:rPr>
        <w:t>The Court</w:t>
      </w:r>
      <w:r w:rsidR="00C471A6">
        <w:rPr>
          <w:lang w:val="en-GB"/>
        </w:rPr>
        <w:t>’</w:t>
      </w:r>
      <w:r>
        <w:rPr>
          <w:lang w:val="en-GB"/>
        </w:rPr>
        <w:t>s assessment</w:t>
      </w:r>
    </w:p>
    <w:p w:rsidRPr="00470BF7" w:rsidR="00470BF7" w:rsidP="00470BF7" w:rsidRDefault="00470BF7">
      <w:pPr>
        <w:pStyle w:val="ECHRHeading3"/>
      </w:pPr>
      <w:r>
        <w:t>1.  Admissibility</w:t>
      </w:r>
    </w:p>
    <w:p w:rsidR="003723DA" w:rsidP="00A36964" w:rsidRDefault="00A36964">
      <w:pPr>
        <w:pStyle w:val="ECHRPara"/>
        <w:rPr>
          <w:snapToGrid w:val="0"/>
          <w:szCs w:val="24"/>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47</w:t>
      </w:r>
      <w:r>
        <w:rPr>
          <w:lang w:val="en-GB"/>
        </w:rPr>
        <w:fldChar w:fldCharType="end"/>
      </w:r>
      <w:r>
        <w:rPr>
          <w:lang w:val="en-GB"/>
        </w:rPr>
        <w:t>.  </w:t>
      </w:r>
      <w:r w:rsidRPr="003723DA" w:rsidR="003723DA">
        <w:t xml:space="preserve">The Court reiterates that, generally speaking, when determining the length of detention pending trial under Article 5 § 3 of the Convention, the period to be taken into consideration begins on the day the accused is taken into custody and ends on the day when the charge is determined, even if only by a court of first instance, or, possibly, when the applicant is released from custody pending criminal proceedings against him (see, </w:t>
      </w:r>
      <w:r w:rsidR="003723DA">
        <w:t xml:space="preserve">with further references, </w:t>
      </w:r>
      <w:r w:rsidRPr="00B668D2" w:rsidR="003723DA">
        <w:rPr>
          <w:i/>
          <w:lang w:val="en-GB"/>
        </w:rPr>
        <w:t>Idalov v. Russia</w:t>
      </w:r>
      <w:r w:rsidRPr="00B668D2" w:rsidR="003723DA">
        <w:rPr>
          <w:lang w:val="en-GB"/>
        </w:rPr>
        <w:t xml:space="preserve"> [GC], no. 5826/03</w:t>
      </w:r>
      <w:r w:rsidRPr="00B668D2" w:rsidR="003723DA">
        <w:rPr>
          <w:snapToGrid w:val="0"/>
          <w:szCs w:val="24"/>
          <w:lang w:val="en-GB"/>
        </w:rPr>
        <w:t xml:space="preserve">, § </w:t>
      </w:r>
      <w:r w:rsidR="003723DA">
        <w:rPr>
          <w:snapToGrid w:val="0"/>
          <w:szCs w:val="24"/>
          <w:lang w:val="en-GB"/>
        </w:rPr>
        <w:t>112</w:t>
      </w:r>
      <w:r w:rsidRPr="00B668D2" w:rsidR="003723DA">
        <w:rPr>
          <w:snapToGrid w:val="0"/>
          <w:szCs w:val="24"/>
          <w:lang w:val="en-GB"/>
        </w:rPr>
        <w:t xml:space="preserve">, </w:t>
      </w:r>
      <w:r w:rsidRPr="00B668D2" w:rsidR="003723DA">
        <w:rPr>
          <w:szCs w:val="24"/>
          <w:lang w:val="en-GB"/>
        </w:rPr>
        <w:t>22</w:t>
      </w:r>
      <w:r w:rsidRPr="00B668D2" w:rsidR="003723DA">
        <w:rPr>
          <w:snapToGrid w:val="0"/>
          <w:szCs w:val="24"/>
          <w:lang w:val="en-GB"/>
        </w:rPr>
        <w:t xml:space="preserve"> May </w:t>
      </w:r>
      <w:r w:rsidR="003723DA">
        <w:rPr>
          <w:snapToGrid w:val="0"/>
          <w:szCs w:val="24"/>
          <w:lang w:val="en-GB"/>
        </w:rPr>
        <w:t>2012).</w:t>
      </w:r>
    </w:p>
    <w:p w:rsidR="00600982" w:rsidP="00C53A85" w:rsidRDefault="00442CC2">
      <w:pPr>
        <w:pStyle w:val="ECHRPara"/>
        <w:rPr>
          <w:lang w:val="en-GB"/>
        </w:rPr>
      </w:pPr>
      <w:r>
        <w:fldChar w:fldCharType="begin"/>
      </w:r>
      <w:r>
        <w:instrText xml:space="preserve"> SEQ level0 \*arabic </w:instrText>
      </w:r>
      <w:r>
        <w:fldChar w:fldCharType="separate"/>
      </w:r>
      <w:r w:rsidR="00F73EE2">
        <w:rPr>
          <w:noProof/>
        </w:rPr>
        <w:t>48</w:t>
      </w:r>
      <w:r>
        <w:rPr>
          <w:noProof/>
        </w:rPr>
        <w:fldChar w:fldCharType="end"/>
      </w:r>
      <w:r w:rsidR="00271BDE">
        <w:t>.  </w:t>
      </w:r>
      <w:r w:rsidRPr="000F5B4E" w:rsidR="00271BDE">
        <w:t>In the present case, the applicant</w:t>
      </w:r>
      <w:r w:rsidR="00C471A6">
        <w:t>’</w:t>
      </w:r>
      <w:r w:rsidRPr="000F5B4E" w:rsidR="00271BDE">
        <w:t xml:space="preserve">s pre-trial detention within the meaning of Article 5 § 3 of the Convention </w:t>
      </w:r>
      <w:r w:rsidR="00271BDE">
        <w:t>consisted of</w:t>
      </w:r>
      <w:r w:rsidR="00A53DF1">
        <w:t xml:space="preserve"> three non</w:t>
      </w:r>
      <w:r w:rsidR="00A53DF1">
        <w:noBreakHyphen/>
      </w:r>
      <w:r w:rsidRPr="000F5B4E" w:rsidR="00271BDE">
        <w:t>consecutive periods: (a) between 20 April and 22 July 2003</w:t>
      </w:r>
      <w:r w:rsidR="00271BDE">
        <w:t xml:space="preserve"> when the applicant was released under an undertaking not to leave his place of residence (see paragraph </w:t>
      </w:r>
      <w:r w:rsidR="00271BDE">
        <w:fldChar w:fldCharType="begin"/>
      </w:r>
      <w:r w:rsidR="00271BDE">
        <w:instrText xml:space="preserve"> REF release1 \h </w:instrText>
      </w:r>
      <w:r w:rsidR="00271BDE">
        <w:fldChar w:fldCharType="separate"/>
      </w:r>
      <w:r w:rsidR="00F73EE2">
        <w:rPr>
          <w:rFonts w:eastAsia="Times New Roman"/>
          <w:noProof/>
          <w:lang w:val="en-GB" w:eastAsia="fr-FR"/>
        </w:rPr>
        <w:t>9</w:t>
      </w:r>
      <w:r w:rsidR="00271BDE">
        <w:fldChar w:fldCharType="end"/>
      </w:r>
      <w:r w:rsidR="00271BDE">
        <w:t xml:space="preserve"> above)</w:t>
      </w:r>
      <w:r w:rsidRPr="000F5B4E" w:rsidR="00271BDE">
        <w:t>; (b) between 20 July 2004</w:t>
      </w:r>
      <w:r w:rsidR="00271BDE">
        <w:t xml:space="preserve"> when the </w:t>
      </w:r>
      <w:r w:rsidR="00D30F55">
        <w:t xml:space="preserve">regional court ordered a re-trial and </w:t>
      </w:r>
      <w:r w:rsidRPr="000F5B4E" w:rsidR="00271BDE">
        <w:t>7 April 2005</w:t>
      </w:r>
      <w:r w:rsidR="00D30F55">
        <w:t xml:space="preserve"> when the district court again </w:t>
      </w:r>
      <w:r w:rsidR="004712C2">
        <w:t>convicted him</w:t>
      </w:r>
      <w:r w:rsidR="00D30F55">
        <w:t xml:space="preserve"> (see paragraphs </w:t>
      </w:r>
      <w:r w:rsidR="00D30F55">
        <w:fldChar w:fldCharType="begin"/>
      </w:r>
      <w:r w:rsidR="00D30F55">
        <w:instrText xml:space="preserve"> REF quash1 \h </w:instrText>
      </w:r>
      <w:r w:rsidR="00D30F55">
        <w:fldChar w:fldCharType="separate"/>
      </w:r>
      <w:r w:rsidR="00F73EE2">
        <w:rPr>
          <w:rFonts w:eastAsia="Times New Roman"/>
          <w:noProof/>
          <w:lang w:val="en-GB" w:eastAsia="fr-FR"/>
        </w:rPr>
        <w:t>12</w:t>
      </w:r>
      <w:r w:rsidR="00D30F55">
        <w:fldChar w:fldCharType="end"/>
      </w:r>
      <w:r w:rsidR="00D30F55">
        <w:t xml:space="preserve"> and </w:t>
      </w:r>
      <w:r w:rsidR="00D30F55">
        <w:fldChar w:fldCharType="begin"/>
      </w:r>
      <w:r w:rsidR="00D30F55">
        <w:instrText xml:space="preserve"> REF conviction2 \h </w:instrText>
      </w:r>
      <w:r w:rsidR="00D30F55">
        <w:fldChar w:fldCharType="separate"/>
      </w:r>
      <w:r w:rsidR="00F73EE2">
        <w:rPr>
          <w:rFonts w:eastAsia="Times New Roman"/>
          <w:noProof/>
          <w:lang w:val="en-GB" w:eastAsia="fr-FR"/>
        </w:rPr>
        <w:t>16</w:t>
      </w:r>
      <w:r w:rsidR="00D30F55">
        <w:fldChar w:fldCharType="end"/>
      </w:r>
      <w:r w:rsidR="00D30F55">
        <w:t xml:space="preserve"> above)</w:t>
      </w:r>
      <w:r w:rsidR="00714E4C">
        <w:t>; and (c) </w:t>
      </w:r>
      <w:r w:rsidRPr="000F5B4E" w:rsidR="00271BDE">
        <w:t xml:space="preserve">between </w:t>
      </w:r>
      <w:r w:rsidR="000D5C9C">
        <w:t>10 </w:t>
      </w:r>
      <w:r w:rsidRPr="000F5B4E" w:rsidR="00271BDE">
        <w:t>June</w:t>
      </w:r>
      <w:r w:rsidR="003D71C3">
        <w:t xml:space="preserve"> </w:t>
      </w:r>
      <w:r w:rsidR="000D5C9C">
        <w:t xml:space="preserve">2005 </w:t>
      </w:r>
      <w:r w:rsidR="003D71C3">
        <w:t>when the regiona</w:t>
      </w:r>
      <w:r w:rsidR="00A53DF1">
        <w:t>l court again quashed the first</w:t>
      </w:r>
      <w:r w:rsidR="00A53DF1">
        <w:noBreakHyphen/>
      </w:r>
      <w:r w:rsidR="003D71C3">
        <w:t xml:space="preserve">instance judgment </w:t>
      </w:r>
      <w:r w:rsidRPr="000F5B4E" w:rsidR="00271BDE">
        <w:t>and 26 October 2005</w:t>
      </w:r>
      <w:r w:rsidR="003D71C3">
        <w:t xml:space="preserve"> when the applicant was again released </w:t>
      </w:r>
      <w:r w:rsidR="004712C2">
        <w:t>from custody</w:t>
      </w:r>
      <w:r w:rsidR="003D71C3">
        <w:t xml:space="preserve"> (see paragraphs </w:t>
      </w:r>
      <w:r w:rsidR="003D71C3">
        <w:fldChar w:fldCharType="begin"/>
      </w:r>
      <w:r w:rsidR="003D71C3">
        <w:instrText xml:space="preserve"> REF quash2 \h </w:instrText>
      </w:r>
      <w:r w:rsidR="003D71C3">
        <w:fldChar w:fldCharType="separate"/>
      </w:r>
      <w:r w:rsidR="00F73EE2">
        <w:rPr>
          <w:rFonts w:eastAsia="Times New Roman"/>
          <w:noProof/>
          <w:lang w:val="en-GB" w:eastAsia="fr-FR"/>
        </w:rPr>
        <w:t>17</w:t>
      </w:r>
      <w:r w:rsidR="003D71C3">
        <w:fldChar w:fldCharType="end"/>
      </w:r>
      <w:r w:rsidR="003D71C3">
        <w:t xml:space="preserve"> and </w:t>
      </w:r>
      <w:r w:rsidR="003D71C3">
        <w:fldChar w:fldCharType="begin"/>
      </w:r>
      <w:r w:rsidR="003D71C3">
        <w:instrText xml:space="preserve"> REF release2 \h </w:instrText>
      </w:r>
      <w:r w:rsidR="003D71C3">
        <w:fldChar w:fldCharType="separate"/>
      </w:r>
      <w:r w:rsidR="00F73EE2">
        <w:rPr>
          <w:rFonts w:eastAsia="Times New Roman"/>
          <w:noProof/>
          <w:lang w:val="en-GB" w:eastAsia="fr-FR"/>
        </w:rPr>
        <w:t>23</w:t>
      </w:r>
      <w:r w:rsidR="003D71C3">
        <w:fldChar w:fldCharType="end"/>
      </w:r>
      <w:r w:rsidR="003D71C3">
        <w:t xml:space="preserve"> above).</w:t>
      </w:r>
      <w:r w:rsidR="00D91F52">
        <w:t xml:space="preserve"> After </w:t>
      </w:r>
      <w:r w:rsidR="002D594F">
        <w:t>20 </w:t>
      </w:r>
      <w:r w:rsidR="005E3895">
        <w:t>December 2005 t</w:t>
      </w:r>
      <w:r w:rsidR="00D91F52">
        <w:t>he applicant</w:t>
      </w:r>
      <w:r w:rsidR="00C471A6">
        <w:t>’</w:t>
      </w:r>
      <w:r w:rsidR="00D91F52">
        <w:t xml:space="preserve">s detention </w:t>
      </w:r>
      <w:r w:rsidR="0044632D">
        <w:t xml:space="preserve">“after conviction by a competent court” </w:t>
      </w:r>
      <w:r w:rsidR="00D91F52">
        <w:t xml:space="preserve">was covered by Article 5 </w:t>
      </w:r>
      <w:r w:rsidR="00D91F52">
        <w:rPr>
          <w:rFonts w:cstheme="minorHAnsi"/>
        </w:rPr>
        <w:t>§</w:t>
      </w:r>
      <w:r w:rsidR="00D91F52">
        <w:t xml:space="preserve"> 1 (a) of the Convention.</w:t>
      </w:r>
    </w:p>
    <w:p w:rsidRPr="00C53A85" w:rsidR="00271BDE" w:rsidP="00C53A85" w:rsidRDefault="008D56D2">
      <w:pPr>
        <w:pStyle w:val="ECHRPara"/>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49</w:t>
      </w:r>
      <w:r>
        <w:rPr>
          <w:lang w:val="en-GB"/>
        </w:rPr>
        <w:fldChar w:fldCharType="end"/>
      </w:r>
      <w:r>
        <w:rPr>
          <w:lang w:val="en-GB"/>
        </w:rPr>
        <w:t>.  T</w:t>
      </w:r>
      <w:r w:rsidRPr="00C53A85" w:rsidR="00C53A85">
        <w:rPr>
          <w:lang w:val="en-GB"/>
        </w:rPr>
        <w:t>he Court reiterates that</w:t>
      </w:r>
      <w:r w:rsidR="00ED702B">
        <w:rPr>
          <w:lang w:val="en-GB"/>
        </w:rPr>
        <w:t>,</w:t>
      </w:r>
      <w:r w:rsidRPr="00C53A85" w:rsidR="00C53A85">
        <w:rPr>
          <w:lang w:val="en-GB"/>
        </w:rPr>
        <w:t xml:space="preserve"> </w:t>
      </w:r>
      <w:r w:rsidR="00ED702B">
        <w:t>for the pur</w:t>
      </w:r>
      <w:r w:rsidR="00A53DF1">
        <w:t>poses of application of the six</w:t>
      </w:r>
      <w:r w:rsidR="00A53DF1">
        <w:noBreakHyphen/>
      </w:r>
      <w:r w:rsidR="00ED702B">
        <w:t>month rule,</w:t>
      </w:r>
      <w:r w:rsidRPr="00C53A85" w:rsidR="00ED702B">
        <w:t xml:space="preserve"> </w:t>
      </w:r>
      <w:r w:rsidRPr="00C53A85" w:rsidR="00C53A85">
        <w:t>in circumstances where an accused person</w:t>
      </w:r>
      <w:r w:rsidR="00C471A6">
        <w:t>’</w:t>
      </w:r>
      <w:r w:rsidRPr="00C53A85" w:rsidR="00C53A85">
        <w:t>s pre-trial detention is broken into several non-consecutive periods and where applicants are free to lodge complaints about pre-trial detention while they are at liberty</w:t>
      </w:r>
      <w:r w:rsidR="00ED702B">
        <w:t>,</w:t>
      </w:r>
      <w:r w:rsidRPr="00C53A85" w:rsidR="00ED702B">
        <w:t xml:space="preserve"> </w:t>
      </w:r>
      <w:r w:rsidRPr="00C53A85" w:rsidR="00C53A85">
        <w:t xml:space="preserve">those non-consecutive periods should not be assessed as a whole, but separately (see </w:t>
      </w:r>
      <w:r w:rsidRPr="00C53A85" w:rsidR="00C53A85">
        <w:rPr>
          <w:i/>
          <w:lang w:val="en-GB"/>
        </w:rPr>
        <w:t>Idalov</w:t>
      </w:r>
      <w:r w:rsidR="00C53A85">
        <w:rPr>
          <w:lang w:val="en-GB"/>
        </w:rPr>
        <w:t xml:space="preserve">, cited above, </w:t>
      </w:r>
      <w:r w:rsidRPr="00C53A85" w:rsidR="00C53A85">
        <w:rPr>
          <w:lang w:val="en-GB"/>
        </w:rPr>
        <w:t>§ 129, 22</w:t>
      </w:r>
      <w:r w:rsidR="00C53A85">
        <w:rPr>
          <w:lang w:val="en-GB"/>
        </w:rPr>
        <w:t> </w:t>
      </w:r>
      <w:r w:rsidRPr="00C53A85" w:rsidR="00C53A85">
        <w:rPr>
          <w:lang w:val="en-GB"/>
        </w:rPr>
        <w:t>May 2012).</w:t>
      </w:r>
    </w:p>
    <w:p w:rsidR="006C1AAF" w:rsidP="00A36964" w:rsidRDefault="00F7166C">
      <w:pPr>
        <w:pStyle w:val="ECHRPara"/>
      </w:pPr>
      <w:r>
        <w:rPr>
          <w:snapToGrid w:val="0"/>
          <w:szCs w:val="24"/>
          <w:lang w:val="en-GB"/>
        </w:rPr>
        <w:fldChar w:fldCharType="begin"/>
      </w:r>
      <w:r>
        <w:rPr>
          <w:snapToGrid w:val="0"/>
          <w:szCs w:val="24"/>
          <w:lang w:val="en-GB"/>
        </w:rPr>
        <w:instrText xml:space="preserve"> SEQ level0 \*arabic </w:instrText>
      </w:r>
      <w:r>
        <w:rPr>
          <w:snapToGrid w:val="0"/>
          <w:szCs w:val="24"/>
          <w:lang w:val="en-GB"/>
        </w:rPr>
        <w:fldChar w:fldCharType="separate"/>
      </w:r>
      <w:r w:rsidR="00F73EE2">
        <w:rPr>
          <w:noProof/>
          <w:snapToGrid w:val="0"/>
          <w:szCs w:val="24"/>
          <w:lang w:val="en-GB"/>
        </w:rPr>
        <w:t>50</w:t>
      </w:r>
      <w:r>
        <w:rPr>
          <w:snapToGrid w:val="0"/>
          <w:szCs w:val="24"/>
          <w:lang w:val="en-GB"/>
        </w:rPr>
        <w:fldChar w:fldCharType="end"/>
      </w:r>
      <w:r>
        <w:rPr>
          <w:snapToGrid w:val="0"/>
          <w:szCs w:val="24"/>
          <w:lang w:val="en-GB"/>
        </w:rPr>
        <w:t>.  </w:t>
      </w:r>
      <w:r w:rsidRPr="006C1AAF" w:rsidR="006C1AAF">
        <w:t xml:space="preserve">The Court </w:t>
      </w:r>
      <w:r w:rsidR="003D71C3">
        <w:t>notes in this connection</w:t>
      </w:r>
      <w:r w:rsidR="006C1AAF">
        <w:t xml:space="preserve"> </w:t>
      </w:r>
      <w:r w:rsidRPr="006C1AAF" w:rsidR="006C1AAF">
        <w:t>that the Government did not raise the issue of the applicant</w:t>
      </w:r>
      <w:r w:rsidR="00C471A6">
        <w:t>’</w:t>
      </w:r>
      <w:r w:rsidR="006C1AAF">
        <w:t>s</w:t>
      </w:r>
      <w:r w:rsidRPr="006C1AAF" w:rsidR="006C1AAF">
        <w:t xml:space="preserve"> compliance with the six-month rule before it. Nonetheless, the Court has already considered that the six-month rule is a public policy rule and that, consequently, it has jurisdiction to apply it of its own motion (see </w:t>
      </w:r>
      <w:r w:rsidRPr="006C1AAF" w:rsidR="006C1AAF">
        <w:rPr>
          <w:i/>
        </w:rPr>
        <w:t>Assanidze v. Georgia</w:t>
      </w:r>
      <w:r w:rsidRPr="006C1AAF" w:rsidR="006C1AAF">
        <w:t xml:space="preserve"> [GC], no.</w:t>
      </w:r>
      <w:r w:rsidR="006C1AAF">
        <w:t xml:space="preserve"> 71503/01</w:t>
      </w:r>
      <w:r w:rsidR="00A53DF1">
        <w:t>, § 160, ECHR </w:t>
      </w:r>
      <w:r w:rsidRPr="006C1AAF" w:rsidR="006C1AAF">
        <w:t>2004</w:t>
      </w:r>
      <w:r w:rsidRPr="006C1AAF" w:rsidR="006C1AAF">
        <w:noBreakHyphen/>
        <w:t xml:space="preserve">II), even if the Government have not raised that objection (see </w:t>
      </w:r>
      <w:r w:rsidR="00600982">
        <w:rPr>
          <w:i/>
        </w:rPr>
        <w:t xml:space="preserve">Walker </w:t>
      </w:r>
      <w:r w:rsidRPr="006C1AAF" w:rsidR="006C1AAF">
        <w:rPr>
          <w:i/>
        </w:rPr>
        <w:t>v. the United Kingdom</w:t>
      </w:r>
      <w:r w:rsidRPr="006C1AAF" w:rsidR="006C1AAF">
        <w:t xml:space="preserve"> (dec.), no.</w:t>
      </w:r>
      <w:r w:rsidR="006C1AAF">
        <w:t xml:space="preserve"> 34979/97</w:t>
      </w:r>
      <w:r w:rsidRPr="006C1AAF" w:rsidR="006C1AAF">
        <w:t>, ECHR 2000</w:t>
      </w:r>
      <w:r w:rsidRPr="006C1AAF" w:rsidR="006C1AAF">
        <w:noBreakHyphen/>
        <w:t>I).</w:t>
      </w:r>
    </w:p>
    <w:p w:rsidR="00461DE4" w:rsidP="00A36964" w:rsidRDefault="00442CC2">
      <w:pPr>
        <w:pStyle w:val="ECHRPara"/>
      </w:pPr>
      <w:r>
        <w:fldChar w:fldCharType="begin"/>
      </w:r>
      <w:r>
        <w:instrText xml:space="preserve"> SEQ level0 \*arabic </w:instrText>
      </w:r>
      <w:r>
        <w:fldChar w:fldCharType="separate"/>
      </w:r>
      <w:r w:rsidR="00F73EE2">
        <w:rPr>
          <w:noProof/>
        </w:rPr>
        <w:t>51</w:t>
      </w:r>
      <w:r>
        <w:rPr>
          <w:noProof/>
        </w:rPr>
        <w:fldChar w:fldCharType="end"/>
      </w:r>
      <w:r w:rsidR="00041F52">
        <w:t>.  </w:t>
      </w:r>
      <w:r w:rsidR="00C51923">
        <w:t xml:space="preserve">The applicant raised the complaint about the excessive length of his detention pending trial for the first time in his initial letter to the </w:t>
      </w:r>
      <w:r w:rsidR="004712C2">
        <w:t xml:space="preserve">Court sent on 18 February 2005, that is to say, more </w:t>
      </w:r>
      <w:r w:rsidR="00714E4C">
        <w:t>than six months after the first </w:t>
      </w:r>
      <w:r w:rsidR="004712C2">
        <w:t xml:space="preserve">period of his detention </w:t>
      </w:r>
      <w:r w:rsidR="000D5C9C">
        <w:t>had</w:t>
      </w:r>
      <w:r w:rsidR="004712C2">
        <w:t xml:space="preserve"> ended on 22 July 2003.</w:t>
      </w:r>
      <w:r w:rsidRPr="004712C2" w:rsidR="004712C2">
        <w:t xml:space="preserve"> </w:t>
      </w:r>
      <w:r w:rsidR="004712C2">
        <w:t>T</w:t>
      </w:r>
      <w:r w:rsidRPr="004712C2" w:rsidR="004712C2">
        <w:t xml:space="preserve">he Court </w:t>
      </w:r>
      <w:r w:rsidR="004712C2">
        <w:t>finds accordingly that it</w:t>
      </w:r>
      <w:r w:rsidRPr="004712C2" w:rsidR="004712C2">
        <w:t xml:space="preserve"> cannot consider whether or not the period </w:t>
      </w:r>
      <w:r w:rsidR="00843289">
        <w:t>between 20 </w:t>
      </w:r>
      <w:r w:rsidR="004712C2">
        <w:t xml:space="preserve">April and 22 July 2003 </w:t>
      </w:r>
      <w:r w:rsidRPr="004712C2" w:rsidR="004712C2">
        <w:t>was compatible with the Convention. The applicant</w:t>
      </w:r>
      <w:r w:rsidR="00C471A6">
        <w:t>’</w:t>
      </w:r>
      <w:r w:rsidRPr="004712C2" w:rsidR="004712C2">
        <w:t xml:space="preserve">s complaint </w:t>
      </w:r>
      <w:r w:rsidR="004712C2">
        <w:t xml:space="preserve">in this part </w:t>
      </w:r>
      <w:r w:rsidRPr="004712C2" w:rsidR="004712C2">
        <w:t>should be declared inadmissible as being lodged out of time</w:t>
      </w:r>
      <w:r w:rsidR="000D5C9C">
        <w:t xml:space="preserve"> (see </w:t>
      </w:r>
      <w:r w:rsidRPr="000D5C9C" w:rsidR="000D5C9C">
        <w:rPr>
          <w:i/>
        </w:rPr>
        <w:t>Idalov</w:t>
      </w:r>
      <w:r w:rsidR="000D5C9C">
        <w:t xml:space="preserve">, cited above, </w:t>
      </w:r>
      <w:r w:rsidR="000D5C9C">
        <w:rPr>
          <w:rFonts w:cstheme="minorHAnsi"/>
        </w:rPr>
        <w:t>§</w:t>
      </w:r>
      <w:r w:rsidR="000D5C9C">
        <w:t xml:space="preserve"> 135)</w:t>
      </w:r>
      <w:r w:rsidR="00843289">
        <w:t xml:space="preserve"> </w:t>
      </w:r>
      <w:r w:rsidRPr="00461DE4" w:rsidR="00461DE4">
        <w:t>and must be rejected in accordance with Article 35 §§ 1 and 4 of the Convention.</w:t>
      </w:r>
    </w:p>
    <w:p w:rsidR="006A4C50" w:rsidP="00A36964" w:rsidRDefault="00442CC2">
      <w:pPr>
        <w:pStyle w:val="ECHRPara"/>
      </w:pPr>
      <w:r>
        <w:fldChar w:fldCharType="begin"/>
      </w:r>
      <w:r>
        <w:instrText xml:space="preserve"> SEQ level0 \*arabic </w:instrText>
      </w:r>
      <w:r>
        <w:fldChar w:fldCharType="separate"/>
      </w:r>
      <w:r w:rsidR="00F73EE2">
        <w:rPr>
          <w:noProof/>
        </w:rPr>
        <w:t>52</w:t>
      </w:r>
      <w:r>
        <w:rPr>
          <w:noProof/>
        </w:rPr>
        <w:fldChar w:fldCharType="end"/>
      </w:r>
      <w:r w:rsidR="00696C8B">
        <w:t>.  </w:t>
      </w:r>
      <w:r w:rsidR="00971C00">
        <w:t>However, t</w:t>
      </w:r>
      <w:r w:rsidRPr="006A4C50" w:rsidR="006A4C50">
        <w:t>he Court considers that the applicant</w:t>
      </w:r>
      <w:r w:rsidR="00C471A6">
        <w:t>’</w:t>
      </w:r>
      <w:r w:rsidRPr="006A4C50" w:rsidR="006A4C50">
        <w:t>s complaint under Art</w:t>
      </w:r>
      <w:r w:rsidR="00600982">
        <w:t xml:space="preserve">icle 5 </w:t>
      </w:r>
      <w:r w:rsidR="003F05E9">
        <w:t>§ </w:t>
      </w:r>
      <w:r w:rsidRPr="006A4C50" w:rsidR="006A4C50">
        <w:t xml:space="preserve">3 of the Convention in respect of his detention from </w:t>
      </w:r>
      <w:r w:rsidRPr="003F05E9" w:rsidR="003F05E9">
        <w:t>20 July 2004 until 7 April 2005 and from 10 June and 26 October 2005</w:t>
      </w:r>
      <w:r w:rsidRPr="006A4C50" w:rsidR="006A4C50">
        <w:t xml:space="preserve"> is not </w:t>
      </w:r>
      <w:r w:rsidR="005D0A26">
        <w:t>inadmissible due to non-</w:t>
      </w:r>
      <w:r w:rsidR="00696C8B">
        <w:t>c</w:t>
      </w:r>
      <w:r w:rsidR="005D0A26">
        <w:t xml:space="preserve">ompliance with the six-month rule, nor is it </w:t>
      </w:r>
      <w:r w:rsidRPr="006A4C50" w:rsidR="006A4C50">
        <w:t>manifestly ill-founded within the meaning of Artic</w:t>
      </w:r>
      <w:r w:rsidR="005D0A26">
        <w:t>le 35 § 3 (a) of the Convention</w:t>
      </w:r>
      <w:r w:rsidRPr="006A4C50" w:rsidR="006A4C50">
        <w:t xml:space="preserve"> </w:t>
      </w:r>
      <w:r w:rsidR="005D0A26">
        <w:t>or</w:t>
      </w:r>
      <w:r w:rsidRPr="006A4C50" w:rsidR="006A4C50">
        <w:t xml:space="preserve"> inadmissible on any other grounds. It must therefore be declared admissible.</w:t>
      </w:r>
    </w:p>
    <w:p w:rsidR="00981A25" w:rsidP="00981A25" w:rsidRDefault="00981A25">
      <w:pPr>
        <w:pStyle w:val="ECHRHeading3"/>
      </w:pPr>
      <w:r>
        <w:t>2.  Merits</w:t>
      </w:r>
    </w:p>
    <w:p w:rsidRPr="001D00C4" w:rsidR="001D00C4" w:rsidP="001D00C4" w:rsidRDefault="00442CC2">
      <w:pPr>
        <w:pStyle w:val="ECHRPara"/>
      </w:pPr>
      <w:r>
        <w:fldChar w:fldCharType="begin"/>
      </w:r>
      <w:r>
        <w:instrText xml:space="preserve"> SEQ level0 \*arabic </w:instrText>
      </w:r>
      <w:r>
        <w:fldChar w:fldCharType="separate"/>
      </w:r>
      <w:r w:rsidR="00F73EE2">
        <w:rPr>
          <w:noProof/>
        </w:rPr>
        <w:t>53</w:t>
      </w:r>
      <w:r>
        <w:rPr>
          <w:noProof/>
        </w:rPr>
        <w:fldChar w:fldCharType="end"/>
      </w:r>
      <w:r w:rsidR="001D00C4">
        <w:t>.  </w:t>
      </w:r>
      <w:r w:rsidRPr="001D00C4" w:rsidR="001D00C4">
        <w:t xml:space="preserve">The Court reiterates that the question whether a period of time spent in pre-trial detention is reasonable cannot be assessed in the abstract. Whether it is reasonable for an accused to remain in detention must be assessed on the facts of each case and according to its specific features. Continued detention can be justified in a given case only if there are actual indications of a genuine requirement of the public interest which, notwithstanding the presumption of innocence, outweighs the rule of respect for individual liberty laid down in Article 5 of the Convention (see, among other authorities, </w:t>
      </w:r>
      <w:r w:rsidRPr="00156224" w:rsidR="001D00C4">
        <w:rPr>
          <w:i/>
        </w:rPr>
        <w:t>Kudła v. Poland</w:t>
      </w:r>
      <w:r w:rsidRPr="001D00C4" w:rsidR="001D00C4">
        <w:t xml:space="preserve"> [GC], no.</w:t>
      </w:r>
      <w:r w:rsidR="005B2881">
        <w:t xml:space="preserve"> 30210/96</w:t>
      </w:r>
      <w:r w:rsidRPr="001D00C4" w:rsidR="001D00C4">
        <w:t>, §§ 110 et seq., ECHR 2000</w:t>
      </w:r>
      <w:r w:rsidRPr="001D00C4" w:rsidR="001D00C4">
        <w:noBreakHyphen/>
        <w:t>XI).</w:t>
      </w:r>
    </w:p>
    <w:p w:rsidRPr="001D00C4" w:rsidR="001D00C4" w:rsidP="001D00C4" w:rsidRDefault="00442CC2">
      <w:pPr>
        <w:pStyle w:val="ECHRPara"/>
      </w:pPr>
      <w:r>
        <w:fldChar w:fldCharType="begin"/>
      </w:r>
      <w:r>
        <w:instrText xml:space="preserve"> SEQ level0 \*arabic </w:instrText>
      </w:r>
      <w:r>
        <w:fldChar w:fldCharType="separate"/>
      </w:r>
      <w:r w:rsidR="00F73EE2">
        <w:rPr>
          <w:noProof/>
        </w:rPr>
        <w:t>54</w:t>
      </w:r>
      <w:r>
        <w:rPr>
          <w:noProof/>
        </w:rPr>
        <w:fldChar w:fldCharType="end"/>
      </w:r>
      <w:r w:rsidR="001D00C4">
        <w:t>.  </w:t>
      </w:r>
      <w:r w:rsidRPr="001D00C4" w:rsidR="001D00C4">
        <w:t xml:space="preserve">The existence and persistence of a reasonable suspicion that the person arrested has committed an offence is sine qua non for the lawfulness of the continued detention. However, after a certain lapse of time it no longer suffices. In such cases, the Court must establish whether the other grounds given by the judicial authorities continue to justify the deprivation of liberty. Where such grounds are “relevant” and “sufficient”, the Court must also ascertain whether the competent national authorities displayed “special diligence” in the conduct of the proceedings (see </w:t>
      </w:r>
      <w:r w:rsidRPr="005B2881" w:rsidR="001D00C4">
        <w:rPr>
          <w:i/>
        </w:rPr>
        <w:t>Labita v. Italy</w:t>
      </w:r>
      <w:r w:rsidRPr="001D00C4" w:rsidR="001D00C4">
        <w:t xml:space="preserve"> [GC], no.</w:t>
      </w:r>
      <w:r w:rsidR="005B2881">
        <w:t xml:space="preserve"> 26772/95, §§ 152-</w:t>
      </w:r>
      <w:r w:rsidRPr="001D00C4" w:rsidR="001D00C4">
        <w:t>53, ECHR 2000</w:t>
      </w:r>
      <w:r w:rsidRPr="001D00C4" w:rsidR="001D00C4">
        <w:noBreakHyphen/>
        <w:t xml:space="preserve">IV). Justification for any period of detention, no matter how short, must be convincingly demonstrated by the authorities (see </w:t>
      </w:r>
      <w:r w:rsidRPr="00156224" w:rsidR="001D00C4">
        <w:rPr>
          <w:i/>
        </w:rPr>
        <w:t>Shishkov v. Bulgaria</w:t>
      </w:r>
      <w:r w:rsidRPr="001D00C4" w:rsidR="001D00C4">
        <w:t>, no.</w:t>
      </w:r>
      <w:r w:rsidR="00156224">
        <w:t xml:space="preserve"> 38822/97, § </w:t>
      </w:r>
      <w:r w:rsidRPr="001D00C4" w:rsidR="001D00C4">
        <w:t>66, ECHR 2003</w:t>
      </w:r>
      <w:r w:rsidRPr="001D00C4" w:rsidR="001D00C4">
        <w:noBreakHyphen/>
        <w:t>I (extracts)</w:t>
      </w:r>
      <w:r w:rsidR="00A53DF1">
        <w:t>)</w:t>
      </w:r>
      <w:r w:rsidR="00EB06BB">
        <w:t>.</w:t>
      </w:r>
      <w:r w:rsidRPr="001D00C4" w:rsidR="001D00C4">
        <w:t xml:space="preserve"> When deciding whether a person should be released or detained, the authorities are obliged to consider alternative measures of ensuring his appearance at trial (see </w:t>
      </w:r>
      <w:r w:rsidRPr="00156224" w:rsidR="001D00C4">
        <w:rPr>
          <w:i/>
        </w:rPr>
        <w:t>Jablonski v. Poland</w:t>
      </w:r>
      <w:r w:rsidR="00156224">
        <w:t>, no. 33492/96</w:t>
      </w:r>
      <w:r w:rsidRPr="001D00C4" w:rsidR="001D00C4">
        <w:t>, § 83, 21 December 2000).</w:t>
      </w:r>
    </w:p>
    <w:p w:rsidR="001D00C4" w:rsidP="001D00C4" w:rsidRDefault="00442CC2">
      <w:pPr>
        <w:pStyle w:val="ECHRPara"/>
      </w:pPr>
      <w:r>
        <w:fldChar w:fldCharType="begin"/>
      </w:r>
      <w:r>
        <w:instrText xml:space="preserve"> SEQ level0 \*arabic </w:instrText>
      </w:r>
      <w:r>
        <w:fldChar w:fldCharType="separate"/>
      </w:r>
      <w:r w:rsidR="00F73EE2">
        <w:rPr>
          <w:noProof/>
        </w:rPr>
        <w:t>55</w:t>
      </w:r>
      <w:r>
        <w:rPr>
          <w:noProof/>
        </w:rPr>
        <w:fldChar w:fldCharType="end"/>
      </w:r>
      <w:r w:rsidR="001D00C4">
        <w:t>.  </w:t>
      </w:r>
      <w:r w:rsidRPr="001D00C4" w:rsidR="001D00C4">
        <w:t xml:space="preserve">The responsibility falls in the first place on the national judicial authorities to ensure that, in a given case, the pre-trial detention of an accused person does not exceed a reasonable length. To this end they must, paying due regard to the principle of the presumption of innocence, examine all the arguments for or against the existence of a public interest which justifies a departure from the rule in Article 5, and must set them out in their decisions on applications for release. It is essentially on the basis of the reasons given in these decisions and of the established facts stated by the applicant in his appeals that the Court is called upon to decide whether or not there has been a violation of Article 5 § 3 (see, for example, </w:t>
      </w:r>
      <w:r w:rsidR="00600982">
        <w:rPr>
          <w:i/>
        </w:rPr>
        <w:t xml:space="preserve">McKay </w:t>
      </w:r>
      <w:r w:rsidR="00156224">
        <w:rPr>
          <w:i/>
        </w:rPr>
        <w:t>v. </w:t>
      </w:r>
      <w:r w:rsidRPr="00156224" w:rsidR="001D00C4">
        <w:rPr>
          <w:i/>
        </w:rPr>
        <w:t>the United Kingdom</w:t>
      </w:r>
      <w:r w:rsidRPr="001D00C4" w:rsidR="001D00C4">
        <w:t xml:space="preserve"> [GC], no.</w:t>
      </w:r>
      <w:r w:rsidR="00156224">
        <w:t xml:space="preserve"> 543/03</w:t>
      </w:r>
      <w:r w:rsidRPr="001D00C4" w:rsidR="001D00C4">
        <w:t>, § 43, ECHR 2006</w:t>
      </w:r>
      <w:r w:rsidRPr="001D00C4" w:rsidR="001D00C4">
        <w:noBreakHyphen/>
        <w:t>X).</w:t>
      </w:r>
    </w:p>
    <w:p w:rsidRPr="00B26643" w:rsidR="000F5B4E" w:rsidP="00A36964" w:rsidRDefault="00442CC2">
      <w:pPr>
        <w:pStyle w:val="ECHRPara"/>
        <w:rPr>
          <w:i/>
          <w:lang w:val="it-IT"/>
        </w:rPr>
      </w:pPr>
      <w:r>
        <w:fldChar w:fldCharType="begin"/>
      </w:r>
      <w:r>
        <w:instrText xml:space="preserve"> SEQ level0 \*arabic </w:instrText>
      </w:r>
      <w:r>
        <w:fldChar w:fldCharType="separate"/>
      </w:r>
      <w:r w:rsidR="00F73EE2">
        <w:rPr>
          <w:noProof/>
        </w:rPr>
        <w:t>56</w:t>
      </w:r>
      <w:r>
        <w:rPr>
          <w:noProof/>
        </w:rPr>
        <w:fldChar w:fldCharType="end"/>
      </w:r>
      <w:r w:rsidR="00B26643">
        <w:t>.  </w:t>
      </w:r>
      <w:r w:rsidRPr="00B26643" w:rsidR="00B26643">
        <w:t>The Court has already, on a large number of occasions, examined applications against Russia raising similar complaints under Article 5 § 3 of the Convention in respect of the Russian courts</w:t>
      </w:r>
      <w:r w:rsidR="00C471A6">
        <w:t>’</w:t>
      </w:r>
      <w:r w:rsidRPr="00B26643" w:rsidR="00B26643">
        <w:t xml:space="preserve"> failure to provide sufficient and relevant grounds for applicants</w:t>
      </w:r>
      <w:r w:rsidR="00C471A6">
        <w:t>’</w:t>
      </w:r>
      <w:r w:rsidRPr="00B26643" w:rsidR="00B26643">
        <w:t xml:space="preserve"> detention. Each time, having found a violation of Article 5 § 3 of the Convention, the Court noted the fragility of the reasoning employed by the Russian courts to </w:t>
      </w:r>
      <w:r w:rsidRPr="0079117F" w:rsidR="00B26643">
        <w:rPr>
          <w:lang w:val="en-GB"/>
        </w:rPr>
        <w:t>authorise</w:t>
      </w:r>
      <w:r w:rsidRPr="00B26643" w:rsidR="00B26643">
        <w:t xml:space="preserve"> an applicant</w:t>
      </w:r>
      <w:r w:rsidR="00C471A6">
        <w:t>’</w:t>
      </w:r>
      <w:r w:rsidRPr="00B26643" w:rsidR="00B26643">
        <w:t>s remaining in custody. From case to case it pointed out the following major defects in the courts</w:t>
      </w:r>
      <w:r w:rsidR="00C471A6">
        <w:t>’</w:t>
      </w:r>
      <w:r w:rsidRPr="00B26643" w:rsidR="00B26643">
        <w:t xml:space="preserve"> argumentation: reliance on the gravity of the charges as the primary source to justify the risk of the applicant</w:t>
      </w:r>
      <w:r w:rsidR="00C471A6">
        <w:t>’</w:t>
      </w:r>
      <w:r w:rsidRPr="00B26643" w:rsidR="00B26643">
        <w:t>s absconding; reference to the applicant</w:t>
      </w:r>
      <w:r w:rsidR="00C471A6">
        <w:t>’</w:t>
      </w:r>
      <w:r w:rsidRPr="00B26643" w:rsidR="00B26643">
        <w:t>s travel passport, his financial resources and the fact that his alleged accomplices are on the run as the basis for the assumption that the applicant would follow suit; a suspicion, in the absence of any evidentiary basis, that the applicant would tamper with witnesses or use his connections in state bodies to obstruct justice, and a failure to thoroughly examine the possibility of applying another, less rigid, measure of restraint, such as bail</w:t>
      </w:r>
      <w:r w:rsidR="00B26643">
        <w:t xml:space="preserve"> (see, with further references, </w:t>
      </w:r>
      <w:r w:rsidRPr="00081659" w:rsidR="00B26643">
        <w:rPr>
          <w:i/>
          <w:lang w:val="it-IT"/>
        </w:rPr>
        <w:t>Dirdizov v. Russia</w:t>
      </w:r>
      <w:r w:rsidR="007E11E5">
        <w:rPr>
          <w:lang w:val="it-IT"/>
        </w:rPr>
        <w:t>, no. </w:t>
      </w:r>
      <w:r w:rsidRPr="00081659" w:rsidR="00B26643">
        <w:rPr>
          <w:lang w:val="it-IT"/>
        </w:rPr>
        <w:t>41461/10</w:t>
      </w:r>
      <w:r w:rsidRPr="00081659" w:rsidR="00B26643">
        <w:rPr>
          <w:snapToGrid w:val="0"/>
          <w:lang w:val="it-IT"/>
        </w:rPr>
        <w:t>, §</w:t>
      </w:r>
      <w:r w:rsidR="00B26643">
        <w:rPr>
          <w:snapToGrid w:val="0"/>
          <w:lang w:val="it-IT"/>
        </w:rPr>
        <w:t xml:space="preserve"> 108</w:t>
      </w:r>
      <w:r w:rsidRPr="00081659" w:rsidR="00B26643">
        <w:rPr>
          <w:snapToGrid w:val="0"/>
          <w:lang w:val="it-IT"/>
        </w:rPr>
        <w:t xml:space="preserve">, 27 </w:t>
      </w:r>
      <w:r w:rsidRPr="00477DDE" w:rsidR="00B26643">
        <w:rPr>
          <w:snapToGrid w:val="0"/>
          <w:lang w:val="en-GB"/>
        </w:rPr>
        <w:t>November</w:t>
      </w:r>
      <w:r w:rsidRPr="00081659" w:rsidR="00B26643">
        <w:rPr>
          <w:snapToGrid w:val="0"/>
          <w:lang w:val="it-IT"/>
        </w:rPr>
        <w:t xml:space="preserve"> 2012</w:t>
      </w:r>
      <w:r w:rsidR="00B26643">
        <w:t>).</w:t>
      </w:r>
    </w:p>
    <w:p w:rsidR="0006230D" w:rsidP="00477DDE" w:rsidRDefault="00442CC2">
      <w:pPr>
        <w:pStyle w:val="ECHRPara"/>
      </w:pPr>
      <w:r>
        <w:fldChar w:fldCharType="begin"/>
      </w:r>
      <w:r>
        <w:instrText xml:space="preserve"> SEQ level0 \*arabic </w:instrText>
      </w:r>
      <w:r>
        <w:fldChar w:fldCharType="separate"/>
      </w:r>
      <w:r w:rsidR="00F73EE2">
        <w:rPr>
          <w:noProof/>
        </w:rPr>
        <w:t>57</w:t>
      </w:r>
      <w:r>
        <w:rPr>
          <w:noProof/>
        </w:rPr>
        <w:fldChar w:fldCharType="end"/>
      </w:r>
      <w:r w:rsidR="00477DDE">
        <w:t>.  </w:t>
      </w:r>
      <w:r w:rsidRPr="00477DDE" w:rsidR="00477DDE">
        <w:t xml:space="preserve">The Court observes that the </w:t>
      </w:r>
      <w:r w:rsidR="00477DDE">
        <w:t>domestic</w:t>
      </w:r>
      <w:r w:rsidRPr="00477DDE" w:rsidR="00477DDE">
        <w:t xml:space="preserve"> courts did not avoid that pattern of reasoning in the present case. </w:t>
      </w:r>
      <w:r w:rsidR="00477DDE">
        <w:t xml:space="preserve">They </w:t>
      </w:r>
      <w:r w:rsidRPr="00756747" w:rsidR="00756747">
        <w:rPr>
          <w:lang w:val="en-GB"/>
        </w:rPr>
        <w:t>emphasis</w:t>
      </w:r>
      <w:r w:rsidRPr="00756747" w:rsidR="00477DDE">
        <w:rPr>
          <w:lang w:val="en-GB"/>
        </w:rPr>
        <w:t>ed</w:t>
      </w:r>
      <w:r w:rsidR="00477DDE">
        <w:t xml:space="preserve"> repeatedly that the applicant</w:t>
      </w:r>
      <w:r w:rsidR="00C471A6">
        <w:t>’</w:t>
      </w:r>
      <w:r w:rsidR="00477DDE">
        <w:t xml:space="preserve">s previous conviction for a non-violent crime had served as a justification to his pre-trial detention. </w:t>
      </w:r>
      <w:r w:rsidRPr="00477DDE" w:rsidR="00477DDE">
        <w:t>They consistently relied on the gravity of the charges</w:t>
      </w:r>
      <w:r w:rsidR="00477DDE">
        <w:t xml:space="preserve"> against the applicant</w:t>
      </w:r>
      <w:r w:rsidRPr="00477DDE" w:rsidR="00477DDE">
        <w:t xml:space="preserve"> and the likelihood that the applicant would abscond or obstruct ju</w:t>
      </w:r>
      <w:r w:rsidR="00E0688D">
        <w:t xml:space="preserve">stice. </w:t>
      </w:r>
      <w:r w:rsidR="00203C55">
        <w:t>Moreover, on several occasions the courts gave no grounds for extending the detention</w:t>
      </w:r>
      <w:r w:rsidR="006663EC">
        <w:t>,</w:t>
      </w:r>
      <w:r w:rsidR="00203C55">
        <w:t xml:space="preserve"> merely stating that the applicant should remain in custody</w:t>
      </w:r>
      <w:r w:rsidR="00186873">
        <w:t xml:space="preserve"> (see paragraphs </w:t>
      </w:r>
      <w:r w:rsidR="00186873">
        <w:fldChar w:fldCharType="begin"/>
      </w:r>
      <w:r w:rsidR="00186873">
        <w:instrText xml:space="preserve"> REF quash1 \h </w:instrText>
      </w:r>
      <w:r w:rsidR="00186873">
        <w:fldChar w:fldCharType="separate"/>
      </w:r>
      <w:r w:rsidR="00F73EE2">
        <w:rPr>
          <w:rFonts w:eastAsia="Times New Roman"/>
          <w:noProof/>
          <w:lang w:val="en-GB" w:eastAsia="fr-FR"/>
        </w:rPr>
        <w:t>12</w:t>
      </w:r>
      <w:r w:rsidR="00186873">
        <w:fldChar w:fldCharType="end"/>
      </w:r>
      <w:r w:rsidR="00C26CF0">
        <w:noBreakHyphen/>
      </w:r>
      <w:r w:rsidR="00186873">
        <w:fldChar w:fldCharType="begin"/>
      </w:r>
      <w:r w:rsidR="00186873">
        <w:instrText xml:space="preserve"> REF nr2 \h </w:instrText>
      </w:r>
      <w:r w:rsidR="00186873">
        <w:fldChar w:fldCharType="separate"/>
      </w:r>
      <w:r w:rsidR="00F73EE2">
        <w:rPr>
          <w:rFonts w:eastAsia="Times New Roman"/>
          <w:noProof/>
          <w:lang w:val="en-GB" w:eastAsia="fr-FR"/>
        </w:rPr>
        <w:t>14</w:t>
      </w:r>
      <w:r w:rsidR="00186873">
        <w:fldChar w:fldCharType="end"/>
      </w:r>
      <w:r w:rsidR="00186873">
        <w:t xml:space="preserve"> and</w:t>
      </w:r>
      <w:r w:rsidR="00203C55">
        <w:t xml:space="preserve"> </w:t>
      </w:r>
      <w:r w:rsidR="00186873">
        <w:fldChar w:fldCharType="begin"/>
      </w:r>
      <w:r w:rsidR="00186873">
        <w:instrText xml:space="preserve"> REF quash2 \h </w:instrText>
      </w:r>
      <w:r w:rsidR="00186873">
        <w:fldChar w:fldCharType="separate"/>
      </w:r>
      <w:r w:rsidR="00F73EE2">
        <w:rPr>
          <w:rFonts w:eastAsia="Times New Roman"/>
          <w:noProof/>
          <w:lang w:val="en-GB" w:eastAsia="fr-FR"/>
        </w:rPr>
        <w:t>17</w:t>
      </w:r>
      <w:r w:rsidR="00186873">
        <w:fldChar w:fldCharType="end"/>
      </w:r>
      <w:r w:rsidR="00186873">
        <w:t xml:space="preserve"> above). </w:t>
      </w:r>
      <w:r w:rsidR="00E0688D">
        <w:t>The applicant</w:t>
      </w:r>
      <w:r w:rsidR="00C471A6">
        <w:t>’</w:t>
      </w:r>
      <w:r w:rsidR="00E0688D">
        <w:t>s reference to the fact that he had not absconded while at liberty during the period between 22 July 2003 and 20 July 2004 was disregarded.</w:t>
      </w:r>
      <w:r w:rsidRPr="00EF03CF" w:rsidR="00EF03CF">
        <w:t xml:space="preserve"> </w:t>
      </w:r>
      <w:r w:rsidRPr="00EF03CF" w:rsidR="0006230D">
        <w:t>In these circumstances, the Court cannot but conclude that the domestic courts failed to assess the applicant</w:t>
      </w:r>
      <w:r w:rsidR="00C471A6">
        <w:t>’</w:t>
      </w:r>
      <w:r w:rsidRPr="00EF03CF" w:rsidR="0006230D">
        <w:t>s personal situation and to give specific reasons, supported by evidentiary findings, for holding him in custody.</w:t>
      </w:r>
    </w:p>
    <w:p w:rsidRPr="00477DDE" w:rsidR="00A04CDE" w:rsidP="00477DDE" w:rsidRDefault="00442CC2">
      <w:pPr>
        <w:pStyle w:val="ECHRPara"/>
      </w:pPr>
      <w:r>
        <w:fldChar w:fldCharType="begin"/>
      </w:r>
      <w:r>
        <w:instrText xml:space="preserve"> SEQ level0 \*arabic </w:instrText>
      </w:r>
      <w:r>
        <w:fldChar w:fldCharType="separate"/>
      </w:r>
      <w:r w:rsidR="00F73EE2">
        <w:rPr>
          <w:noProof/>
        </w:rPr>
        <w:t>58</w:t>
      </w:r>
      <w:r>
        <w:rPr>
          <w:noProof/>
        </w:rPr>
        <w:fldChar w:fldCharType="end"/>
      </w:r>
      <w:r w:rsidR="0006230D">
        <w:t xml:space="preserve">.  The </w:t>
      </w:r>
      <w:r w:rsidR="00EF03CF">
        <w:t>Government</w:t>
      </w:r>
      <w:r w:rsidR="00C471A6">
        <w:t>’</w:t>
      </w:r>
      <w:r w:rsidR="00EF03CF">
        <w:t xml:space="preserve">s </w:t>
      </w:r>
      <w:r w:rsidR="0006230D">
        <w:t>allegation that the applicant was kept in custody because of an attempt at intimidating an unnamed witness is not supported by any evidence as the domestic courts when extending the detention made no reference to the alleged intimidation and thus cannot serve as justification for the applicant</w:t>
      </w:r>
      <w:r w:rsidR="00C471A6">
        <w:t>’</w:t>
      </w:r>
      <w:r w:rsidR="0006230D">
        <w:t xml:space="preserve">s prolonged detention </w:t>
      </w:r>
      <w:r w:rsidRPr="0006230D" w:rsidR="0006230D">
        <w:t xml:space="preserve">from 20 July 2004 until 7 April 2005 and from 10 June </w:t>
      </w:r>
      <w:r w:rsidR="0006230D">
        <w:t>until</w:t>
      </w:r>
      <w:r w:rsidRPr="0006230D" w:rsidR="0006230D">
        <w:t xml:space="preserve"> 26 October 2005</w:t>
      </w:r>
      <w:r w:rsidR="0006230D">
        <w:t>.</w:t>
      </w:r>
    </w:p>
    <w:p w:rsidRPr="00C1763C" w:rsidR="00C1763C" w:rsidP="00C1763C" w:rsidRDefault="00442CC2">
      <w:pPr>
        <w:pStyle w:val="ECHRPara"/>
      </w:pPr>
      <w:r>
        <w:fldChar w:fldCharType="begin"/>
      </w:r>
      <w:r>
        <w:instrText xml:space="preserve"> SEQ level0 \*arabic </w:instrText>
      </w:r>
      <w:r>
        <w:fldChar w:fldCharType="separate"/>
      </w:r>
      <w:r w:rsidR="00F73EE2">
        <w:rPr>
          <w:noProof/>
        </w:rPr>
        <w:t>59</w:t>
      </w:r>
      <w:r>
        <w:rPr>
          <w:noProof/>
        </w:rPr>
        <w:fldChar w:fldCharType="end"/>
      </w:r>
      <w:r w:rsidR="0006230D">
        <w:t>.  </w:t>
      </w:r>
      <w:r w:rsidRPr="00C1763C" w:rsidR="00C1763C">
        <w:t>Having regard to the above, the Court considers that by failing to address specific facts or consider alternative “preventive measures” and by relying essentially and routinely on the gravity of the charges, the authorities extended the applicant</w:t>
      </w:r>
      <w:r w:rsidR="00C471A6">
        <w:t>’</w:t>
      </w:r>
      <w:r w:rsidRPr="00C1763C" w:rsidR="00C1763C">
        <w:t>s detention pending trial on grounds which, although “relevant”, cannot be regarded as “sufficient” to justify its duration.</w:t>
      </w:r>
    </w:p>
    <w:p w:rsidRPr="00A04CDE" w:rsidR="00C1763C" w:rsidP="001D00C4" w:rsidRDefault="00442CC2">
      <w:pPr>
        <w:pStyle w:val="ECHRPara"/>
      </w:pPr>
      <w:r>
        <w:fldChar w:fldCharType="begin"/>
      </w:r>
      <w:r>
        <w:instrText xml:space="preserve"> SEQ level0 \*arabic </w:instrText>
      </w:r>
      <w:r>
        <w:fldChar w:fldCharType="separate"/>
      </w:r>
      <w:r w:rsidR="00F73EE2">
        <w:rPr>
          <w:noProof/>
        </w:rPr>
        <w:t>60</w:t>
      </w:r>
      <w:r>
        <w:rPr>
          <w:noProof/>
        </w:rPr>
        <w:fldChar w:fldCharType="end"/>
      </w:r>
      <w:r w:rsidR="0006230D">
        <w:t>.  </w:t>
      </w:r>
      <w:r w:rsidRPr="00C1763C" w:rsidR="00C1763C">
        <w:t xml:space="preserve">There has therefore been a violation of Article </w:t>
      </w:r>
      <w:bookmarkStart w:name="HIT39" w:id="26"/>
      <w:bookmarkEnd w:id="26"/>
      <w:r w:rsidRPr="00C1763C" w:rsidR="00C1763C">
        <w:t>5 §</w:t>
      </w:r>
      <w:bookmarkStart w:name="HIT40" w:id="27"/>
      <w:bookmarkEnd w:id="27"/>
      <w:r w:rsidRPr="00C1763C" w:rsidR="00C1763C">
        <w:t xml:space="preserve"> 3 of the Convention</w:t>
      </w:r>
      <w:r w:rsidR="001D00C4">
        <w:t>.</w:t>
      </w:r>
    </w:p>
    <w:p w:rsidRPr="00062973" w:rsidR="00014566" w:rsidP="00014566" w:rsidRDefault="00110E4E">
      <w:pPr>
        <w:pStyle w:val="ECHRHeading1"/>
        <w:rPr>
          <w:lang w:val="en-GB"/>
        </w:rPr>
      </w:pPr>
      <w:r>
        <w:rPr>
          <w:lang w:val="en-GB"/>
        </w:rPr>
        <w:t>III</w:t>
      </w:r>
      <w:r w:rsidRPr="00062973" w:rsidR="00014566">
        <w:rPr>
          <w:lang w:val="en-GB"/>
        </w:rPr>
        <w:t>.  OTHER ALLEGED VIOLATIONS OF THE CONVENTION</w:t>
      </w:r>
    </w:p>
    <w:p w:rsidRPr="005D6CE3" w:rsidR="00014566" w:rsidP="00C621C2" w:rsidRDefault="00DD6A30">
      <w:pPr>
        <w:pStyle w:val="ECHRPara"/>
      </w:pPr>
      <w:r>
        <w:rPr>
          <w:lang w:val="en-GB"/>
        </w:rPr>
        <w:fldChar w:fldCharType="begin"/>
      </w:r>
      <w:r>
        <w:rPr>
          <w:lang w:val="en-GB"/>
        </w:rPr>
        <w:instrText xml:space="preserve"> SEQ level0 \*arabic </w:instrText>
      </w:r>
      <w:r>
        <w:rPr>
          <w:lang w:val="en-GB"/>
        </w:rPr>
        <w:fldChar w:fldCharType="separate"/>
      </w:r>
      <w:r w:rsidR="00F73EE2">
        <w:rPr>
          <w:noProof/>
          <w:lang w:val="en-GB"/>
        </w:rPr>
        <w:t>61</w:t>
      </w:r>
      <w:r>
        <w:rPr>
          <w:lang w:val="en-GB"/>
        </w:rPr>
        <w:fldChar w:fldCharType="end"/>
      </w:r>
      <w:r w:rsidRPr="00062973" w:rsidR="00014566">
        <w:rPr>
          <w:lang w:val="en-GB"/>
        </w:rPr>
        <w:t>.  </w:t>
      </w:r>
      <w:r w:rsidRPr="005D6CE3" w:rsidR="005D6CE3">
        <w:t>The Court has examined the other complaints submitted by the applicant. However, having regard to all the material in its possession, and in so far as those complaints fall within its competence, the Court finds that they do not disclose any appearance of a violation of the rights and freedoms set out in the Convention or its Protocols. It follows that this part of the application must be rejected as manifestly ill-founded, pursuant to Article 35 §§ 3 and 4 of the Convention.</w:t>
      </w:r>
    </w:p>
    <w:p w:rsidRPr="00062973" w:rsidR="00014566" w:rsidP="001B2AC0" w:rsidRDefault="00110E4E">
      <w:pPr>
        <w:pStyle w:val="ECHRHeading1"/>
        <w:rPr>
          <w:lang w:val="en-GB"/>
        </w:rPr>
      </w:pPr>
      <w:r>
        <w:rPr>
          <w:lang w:val="en-GB"/>
        </w:rPr>
        <w:t>IV</w:t>
      </w:r>
      <w:r w:rsidRPr="00062973" w:rsidR="00014566">
        <w:rPr>
          <w:lang w:val="en-GB"/>
        </w:rPr>
        <w:t>.  APPLICATION OF ARTICLE 41 OF THE CONVENTION</w:t>
      </w:r>
    </w:p>
    <w:p w:rsidRPr="00062973" w:rsidR="00014566" w:rsidP="001B2AC0" w:rsidRDefault="00DD6A30">
      <w:pPr>
        <w:pStyle w:val="ECHRPara"/>
        <w:keepNext/>
        <w:keepLines/>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62</w:t>
      </w:r>
      <w:r>
        <w:rPr>
          <w:lang w:val="en-GB"/>
        </w:rPr>
        <w:fldChar w:fldCharType="end"/>
      </w:r>
      <w:r w:rsidRPr="00062973" w:rsidR="00014566">
        <w:rPr>
          <w:lang w:val="en-GB"/>
        </w:rPr>
        <w:t>.  Article 41 of the Convention provides:</w:t>
      </w:r>
    </w:p>
    <w:p w:rsidRPr="00062973" w:rsidR="00014566" w:rsidP="001B2AC0" w:rsidRDefault="00014566">
      <w:pPr>
        <w:pStyle w:val="ECHRParaQuote"/>
        <w:keepNext/>
        <w:keepLines/>
        <w:rPr>
          <w:lang w:val="en-GB"/>
        </w:rPr>
      </w:pPr>
      <w:r w:rsidRPr="00062973">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062973" w:rsidR="00014566" w:rsidP="001B2AC0" w:rsidRDefault="0067131F">
      <w:pPr>
        <w:pStyle w:val="ECHRHeading2"/>
        <w:rPr>
          <w:lang w:val="en-GB"/>
        </w:rPr>
      </w:pPr>
      <w:r>
        <w:rPr>
          <w:lang w:val="en-GB"/>
        </w:rPr>
        <w:t>A.  </w:t>
      </w:r>
      <w:r w:rsidRPr="00062973" w:rsidR="00014566">
        <w:rPr>
          <w:lang w:val="en-GB"/>
        </w:rPr>
        <w:t>Damage</w:t>
      </w:r>
    </w:p>
    <w:p w:rsidRPr="00062973" w:rsidR="00014566" w:rsidP="001B2AC0" w:rsidRDefault="00DD6A30">
      <w:pPr>
        <w:pStyle w:val="ECHRPara"/>
        <w:keepNext/>
        <w:keepLines/>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63</w:t>
      </w:r>
      <w:r>
        <w:rPr>
          <w:lang w:val="en-GB"/>
        </w:rPr>
        <w:fldChar w:fldCharType="end"/>
      </w:r>
      <w:r w:rsidRPr="00062973" w:rsidR="00014566">
        <w:rPr>
          <w:lang w:val="en-GB"/>
        </w:rPr>
        <w:t xml:space="preserve">.  The applicant claimed </w:t>
      </w:r>
      <w:r w:rsidR="0067131F">
        <w:rPr>
          <w:lang w:val="en-GB"/>
        </w:rPr>
        <w:t>29,200</w:t>
      </w:r>
      <w:r w:rsidRPr="00062973" w:rsidR="00014566">
        <w:rPr>
          <w:lang w:val="en-GB"/>
        </w:rPr>
        <w:t xml:space="preserve"> euros (E</w:t>
      </w:r>
      <w:r w:rsidR="00C26CF0">
        <w:rPr>
          <w:lang w:val="en-GB"/>
        </w:rPr>
        <w:t>UR) in respect of non</w:t>
      </w:r>
      <w:r w:rsidR="00C26CF0">
        <w:rPr>
          <w:lang w:val="en-GB"/>
        </w:rPr>
        <w:noBreakHyphen/>
      </w:r>
      <w:r w:rsidRPr="00062973" w:rsidR="00014566">
        <w:rPr>
          <w:lang w:val="en-GB"/>
        </w:rPr>
        <w:t>pecuniary damage.</w:t>
      </w:r>
    </w:p>
    <w:p w:rsidRPr="00062973" w:rsidR="00014566" w:rsidP="001B2AC0" w:rsidRDefault="00DD6A30">
      <w:pPr>
        <w:pStyle w:val="ECHRPara"/>
        <w:keepNext/>
        <w:keepLines/>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64</w:t>
      </w:r>
      <w:r>
        <w:rPr>
          <w:lang w:val="en-GB"/>
        </w:rPr>
        <w:fldChar w:fldCharType="end"/>
      </w:r>
      <w:r w:rsidRPr="00062973" w:rsidR="00014566">
        <w:rPr>
          <w:lang w:val="en-GB"/>
        </w:rPr>
        <w:t xml:space="preserve">.  The Government </w:t>
      </w:r>
      <w:r w:rsidR="0067131F">
        <w:rPr>
          <w:lang w:val="en-GB"/>
        </w:rPr>
        <w:t>considered the amount claimed to be excessive.</w:t>
      </w:r>
    </w:p>
    <w:p w:rsidRPr="00062973" w:rsidR="00014566" w:rsidP="001B2AC0" w:rsidRDefault="00DD6A30">
      <w:pPr>
        <w:pStyle w:val="ECHRPara"/>
        <w:keepNext/>
        <w:keepLines/>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65</w:t>
      </w:r>
      <w:r>
        <w:rPr>
          <w:lang w:val="en-GB"/>
        </w:rPr>
        <w:fldChar w:fldCharType="end"/>
      </w:r>
      <w:r w:rsidR="00075E9C">
        <w:rPr>
          <w:lang w:val="en-GB"/>
        </w:rPr>
        <w:t xml:space="preserve">.  The Court, having regard to its finding of a violation of Article 5 </w:t>
      </w:r>
      <w:r w:rsidR="00075E9C">
        <w:rPr>
          <w:rFonts w:cstheme="minorHAnsi"/>
          <w:lang w:val="en-GB"/>
        </w:rPr>
        <w:t>§</w:t>
      </w:r>
      <w:r w:rsidR="00075E9C">
        <w:rPr>
          <w:lang w:val="en-GB"/>
        </w:rPr>
        <w:t xml:space="preserve"> 3 of the Convention, finds it appropriate to </w:t>
      </w:r>
      <w:r w:rsidRPr="00062973" w:rsidR="00014566">
        <w:rPr>
          <w:lang w:val="en-GB"/>
        </w:rPr>
        <w:t xml:space="preserve">award the applicant EUR </w:t>
      </w:r>
      <w:r w:rsidR="00075E9C">
        <w:rPr>
          <w:lang w:val="en-GB"/>
        </w:rPr>
        <w:t>1,</w:t>
      </w:r>
      <w:r w:rsidR="00CB0E6B">
        <w:rPr>
          <w:lang w:val="en-GB"/>
        </w:rPr>
        <w:t>10</w:t>
      </w:r>
      <w:r w:rsidR="00664259">
        <w:rPr>
          <w:lang w:val="en-GB"/>
        </w:rPr>
        <w:t>0</w:t>
      </w:r>
      <w:r w:rsidRPr="00062973" w:rsidR="00014566">
        <w:rPr>
          <w:lang w:val="en-GB"/>
        </w:rPr>
        <w:t xml:space="preserve"> in respect of non-pecuniary damage.</w:t>
      </w:r>
    </w:p>
    <w:p w:rsidRPr="00062973" w:rsidR="00014566" w:rsidP="001B2AC0" w:rsidRDefault="0067131F">
      <w:pPr>
        <w:pStyle w:val="ECHRHeading2"/>
        <w:rPr>
          <w:lang w:val="en-GB"/>
        </w:rPr>
      </w:pPr>
      <w:r>
        <w:rPr>
          <w:lang w:val="en-GB"/>
        </w:rPr>
        <w:t>B</w:t>
      </w:r>
      <w:r w:rsidRPr="00062973" w:rsidR="00014566">
        <w:rPr>
          <w:lang w:val="en-GB"/>
        </w:rPr>
        <w:t>.  Default interest</w:t>
      </w:r>
    </w:p>
    <w:p w:rsidRPr="00062973" w:rsidR="00014566" w:rsidP="001B2AC0" w:rsidRDefault="00DD6A30">
      <w:pPr>
        <w:pStyle w:val="ECHRPara"/>
        <w:keepNext/>
        <w:keepLines/>
        <w:rPr>
          <w:lang w:val="en-GB"/>
        </w:rPr>
      </w:pPr>
      <w:r>
        <w:rPr>
          <w:lang w:val="en-GB"/>
        </w:rPr>
        <w:fldChar w:fldCharType="begin"/>
      </w:r>
      <w:r>
        <w:rPr>
          <w:lang w:val="en-GB"/>
        </w:rPr>
        <w:instrText xml:space="preserve"> SEQ level0 \*arabic </w:instrText>
      </w:r>
      <w:r>
        <w:rPr>
          <w:lang w:val="en-GB"/>
        </w:rPr>
        <w:fldChar w:fldCharType="separate"/>
      </w:r>
      <w:r w:rsidR="00F73EE2">
        <w:rPr>
          <w:noProof/>
          <w:lang w:val="en-GB"/>
        </w:rPr>
        <w:t>66</w:t>
      </w:r>
      <w:r>
        <w:rPr>
          <w:lang w:val="en-GB"/>
        </w:rPr>
        <w:fldChar w:fldCharType="end"/>
      </w:r>
      <w:r w:rsidRPr="00062973" w:rsidR="00014566">
        <w:rPr>
          <w:lang w:val="en-GB"/>
        </w:rPr>
        <w:t>.  The Court considers it appropriate that the default interest rate should be based on the marginal lending rate of the European Central Bank, to which should be added three percentage points.</w:t>
      </w:r>
    </w:p>
    <w:p w:rsidRPr="00062973" w:rsidR="00014566" w:rsidP="00014566" w:rsidRDefault="00BB5883">
      <w:pPr>
        <w:pStyle w:val="ECHRTitle1"/>
        <w:rPr>
          <w:lang w:val="en-GB"/>
        </w:rPr>
      </w:pPr>
      <w:r>
        <w:rPr>
          <w:lang w:val="en-GB"/>
        </w:rPr>
        <w:t>FOR THESE REASONS, THE COURT</w:t>
      </w:r>
      <w:r w:rsidRPr="00062973" w:rsidR="00DD6A30">
        <w:rPr>
          <w:lang w:val="en-GB"/>
        </w:rPr>
        <w:t>, UNANIMOUSLY,</w:t>
      </w:r>
    </w:p>
    <w:p w:rsidRPr="00062973" w:rsidR="00014566" w:rsidP="00C621C2" w:rsidRDefault="00DD6A30">
      <w:pPr>
        <w:pStyle w:val="JuList"/>
        <w:rPr>
          <w:lang w:val="en-GB"/>
        </w:rPr>
      </w:pPr>
      <w:r w:rsidRPr="006F24DB">
        <w:rPr>
          <w:lang w:val="en-GB"/>
        </w:rPr>
        <w:t>1.  </w:t>
      </w:r>
      <w:r w:rsidRPr="006F24DB">
        <w:rPr>
          <w:i/>
          <w:lang w:val="en-GB"/>
        </w:rPr>
        <w:t>Declares</w:t>
      </w:r>
      <w:r w:rsidRPr="006F24DB">
        <w:rPr>
          <w:lang w:val="en-GB"/>
        </w:rPr>
        <w:t xml:space="preserve"> the</w:t>
      </w:r>
      <w:r w:rsidR="005C512C">
        <w:rPr>
          <w:lang w:val="en-GB"/>
        </w:rPr>
        <w:t xml:space="preserve"> complaint about excessive length of the applicant</w:t>
      </w:r>
      <w:r w:rsidR="00C471A6">
        <w:rPr>
          <w:lang w:val="en-GB"/>
        </w:rPr>
        <w:t>’</w:t>
      </w:r>
      <w:r w:rsidR="005C512C">
        <w:rPr>
          <w:lang w:val="en-GB"/>
        </w:rPr>
        <w:t xml:space="preserve">s detention </w:t>
      </w:r>
      <w:r w:rsidR="003F3E8A">
        <w:rPr>
          <w:lang w:val="en-GB"/>
        </w:rPr>
        <w:t xml:space="preserve">pending trial during the periods </w:t>
      </w:r>
      <w:r w:rsidR="00714E4C">
        <w:t>from 20 July 2004 until 7 </w:t>
      </w:r>
      <w:r w:rsidRPr="003F3E8A" w:rsidR="003F3E8A">
        <w:t xml:space="preserve">April 2005 and from 10 June </w:t>
      </w:r>
      <w:r w:rsidR="003F3E8A">
        <w:t>until</w:t>
      </w:r>
      <w:r w:rsidRPr="003F3E8A" w:rsidR="003F3E8A">
        <w:t xml:space="preserve"> 26 October 2005 </w:t>
      </w:r>
      <w:r w:rsidR="005C512C">
        <w:rPr>
          <w:lang w:val="en-GB"/>
        </w:rPr>
        <w:t>admissible and the remainder of the</w:t>
      </w:r>
      <w:r w:rsidRPr="006F24DB">
        <w:rPr>
          <w:lang w:val="en-GB"/>
        </w:rPr>
        <w:t xml:space="preserve"> application </w:t>
      </w:r>
      <w:r w:rsidR="005C512C">
        <w:rPr>
          <w:lang w:val="en-GB"/>
        </w:rPr>
        <w:t>in</w:t>
      </w:r>
      <w:r w:rsidRPr="006F24DB">
        <w:rPr>
          <w:lang w:val="en-GB"/>
        </w:rPr>
        <w:t>admissible;</w:t>
      </w:r>
    </w:p>
    <w:p w:rsidRPr="00062973" w:rsidR="00014566" w:rsidP="00DB7196" w:rsidRDefault="00014566">
      <w:pPr>
        <w:pStyle w:val="JuList"/>
        <w:ind w:left="0" w:firstLine="0"/>
        <w:rPr>
          <w:lang w:val="en-GB"/>
        </w:rPr>
      </w:pPr>
    </w:p>
    <w:p w:rsidRPr="00062973" w:rsidR="00014566" w:rsidP="00C621C2" w:rsidRDefault="005C512C">
      <w:pPr>
        <w:pStyle w:val="JuList"/>
        <w:rPr>
          <w:lang w:val="en-GB"/>
        </w:rPr>
      </w:pPr>
      <w:r>
        <w:rPr>
          <w:lang w:val="en-GB"/>
        </w:rPr>
        <w:t>2</w:t>
      </w:r>
      <w:r w:rsidRPr="00062973" w:rsidR="00014566">
        <w:rPr>
          <w:lang w:val="en-GB"/>
        </w:rPr>
        <w:t>.  </w:t>
      </w:r>
      <w:r w:rsidRPr="00062973" w:rsidR="00014566">
        <w:rPr>
          <w:i/>
          <w:lang w:val="en-GB"/>
        </w:rPr>
        <w:t>Holds</w:t>
      </w:r>
      <w:r w:rsidRPr="00062973" w:rsidR="00DD6A30">
        <w:rPr>
          <w:lang w:val="en-GB"/>
        </w:rPr>
        <w:t xml:space="preserve"> </w:t>
      </w:r>
      <w:r w:rsidRPr="00062973" w:rsidR="00014566">
        <w:rPr>
          <w:lang w:val="en-GB"/>
        </w:rPr>
        <w:t xml:space="preserve">that there has been a violation of Article </w:t>
      </w:r>
      <w:r>
        <w:rPr>
          <w:lang w:val="en-GB"/>
        </w:rPr>
        <w:t xml:space="preserve">5 </w:t>
      </w:r>
      <w:r>
        <w:rPr>
          <w:rFonts w:cstheme="minorHAnsi"/>
          <w:lang w:val="en-GB"/>
        </w:rPr>
        <w:t>§</w:t>
      </w:r>
      <w:r>
        <w:rPr>
          <w:lang w:val="en-GB"/>
        </w:rPr>
        <w:t xml:space="preserve"> 3</w:t>
      </w:r>
      <w:r w:rsidRPr="00062973" w:rsidR="00014566">
        <w:rPr>
          <w:lang w:val="en-GB"/>
        </w:rPr>
        <w:t xml:space="preserve"> of the Convention;</w:t>
      </w:r>
    </w:p>
    <w:p w:rsidRPr="00062973" w:rsidR="00014566" w:rsidP="00C621C2" w:rsidRDefault="00014566">
      <w:pPr>
        <w:pStyle w:val="JuList"/>
        <w:rPr>
          <w:lang w:val="en-GB"/>
        </w:rPr>
      </w:pPr>
    </w:p>
    <w:p w:rsidR="00600982" w:rsidP="00C621C2" w:rsidRDefault="005C512C">
      <w:pPr>
        <w:pStyle w:val="JuList"/>
        <w:rPr>
          <w:lang w:val="en-GB"/>
        </w:rPr>
      </w:pPr>
      <w:r>
        <w:rPr>
          <w:lang w:val="en-GB"/>
        </w:rPr>
        <w:t>3</w:t>
      </w:r>
      <w:r w:rsidRPr="00062973" w:rsidR="00014566">
        <w:rPr>
          <w:lang w:val="en-GB"/>
        </w:rPr>
        <w:t>.  </w:t>
      </w:r>
      <w:r w:rsidRPr="00062973" w:rsidR="00014566">
        <w:rPr>
          <w:i/>
          <w:lang w:val="en-GB"/>
        </w:rPr>
        <w:t>Holds</w:t>
      </w:r>
    </w:p>
    <w:p w:rsidRPr="00062973" w:rsidR="00014566" w:rsidP="00F73EE2" w:rsidRDefault="00014566">
      <w:pPr>
        <w:pStyle w:val="JuLista"/>
        <w:rPr>
          <w:lang w:val="en-GB"/>
        </w:rPr>
      </w:pPr>
      <w:r w:rsidRPr="00062973">
        <w:rPr>
          <w:lang w:val="en-GB"/>
        </w:rPr>
        <w:t>(a)  that the respondent State is to pay the applicant, within three months</w:t>
      </w:r>
      <w:r w:rsidR="00DD6A30">
        <w:rPr>
          <w:lang w:val="en-GB"/>
        </w:rPr>
        <w:t xml:space="preserve"> </w:t>
      </w:r>
      <w:r w:rsidRPr="00062973" w:rsidR="00DD6A30">
        <w:rPr>
          <w:lang w:val="en-GB"/>
        </w:rPr>
        <w:t>from the date on which the judgment becomes final in accordance with Article 44 § 2 of the Convention,</w:t>
      </w:r>
      <w:r w:rsidR="005C512C">
        <w:rPr>
          <w:lang w:val="en-GB"/>
        </w:rPr>
        <w:t xml:space="preserve"> </w:t>
      </w:r>
      <w:r w:rsidR="00F73EE2">
        <w:rPr>
          <w:lang w:val="en-GB"/>
        </w:rPr>
        <w:t>EUR 1,100</w:t>
      </w:r>
      <w:r w:rsidRPr="00062973" w:rsidR="00F73EE2">
        <w:rPr>
          <w:lang w:val="en-GB"/>
        </w:rPr>
        <w:t xml:space="preserve"> (</w:t>
      </w:r>
      <w:r w:rsidR="00F73EE2">
        <w:rPr>
          <w:lang w:val="en-GB"/>
        </w:rPr>
        <w:t>one thousand and one hundred euros)</w:t>
      </w:r>
      <w:r w:rsidRPr="00062973" w:rsidR="00F73EE2">
        <w:rPr>
          <w:lang w:val="en-GB"/>
        </w:rPr>
        <w:t>, plus any tax that may be chargeable,</w:t>
      </w:r>
      <w:r w:rsidR="00F73EE2">
        <w:rPr>
          <w:lang w:val="en-GB"/>
        </w:rPr>
        <w:t xml:space="preserve"> </w:t>
      </w:r>
      <w:r w:rsidRPr="00062973" w:rsidR="00F73EE2">
        <w:rPr>
          <w:lang w:val="en-GB"/>
        </w:rPr>
        <w:t>in respect of</w:t>
      </w:r>
      <w:r w:rsidR="00F73EE2">
        <w:rPr>
          <w:lang w:val="en-GB"/>
        </w:rPr>
        <w:t xml:space="preserve"> non-pecuniary damage</w:t>
      </w:r>
      <w:r w:rsidRPr="00E9597F">
        <w:rPr>
          <w:lang w:val="en-GB"/>
        </w:rPr>
        <w:t>,</w:t>
      </w:r>
      <w:r w:rsidRPr="00062973">
        <w:rPr>
          <w:b/>
          <w:lang w:val="en-GB"/>
        </w:rPr>
        <w:t xml:space="preserve"> </w:t>
      </w:r>
      <w:r w:rsidRPr="005C512C">
        <w:rPr>
          <w:lang w:val="en-GB"/>
        </w:rPr>
        <w:t xml:space="preserve">to be converted into </w:t>
      </w:r>
      <w:r w:rsidRPr="005C512C">
        <w:rPr>
          <w:color w:val="000000"/>
          <w:lang w:val="en-GB"/>
        </w:rPr>
        <w:t>the currency of the respondent State</w:t>
      </w:r>
      <w:r w:rsidRPr="005C512C" w:rsidR="005C512C">
        <w:rPr>
          <w:color w:val="000000"/>
          <w:lang w:val="en-GB"/>
        </w:rPr>
        <w:t xml:space="preserve"> </w:t>
      </w:r>
      <w:r w:rsidRPr="005C512C">
        <w:rPr>
          <w:lang w:val="en-GB"/>
        </w:rPr>
        <w:t>at the rate a</w:t>
      </w:r>
      <w:r w:rsidRPr="00062973">
        <w:rPr>
          <w:lang w:val="en-GB"/>
        </w:rPr>
        <w:t>ppli</w:t>
      </w:r>
      <w:r w:rsidR="00F73EE2">
        <w:rPr>
          <w:lang w:val="en-GB"/>
        </w:rPr>
        <w:t>cable at the date of settlement;</w:t>
      </w:r>
    </w:p>
    <w:p w:rsidRPr="00062973" w:rsidR="00014566" w:rsidP="00F73EE2" w:rsidRDefault="00014566">
      <w:pPr>
        <w:pStyle w:val="JuLista"/>
        <w:rPr>
          <w:lang w:val="en-GB"/>
        </w:rPr>
      </w:pPr>
      <w:r w:rsidRPr="00062973">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062973" w:rsidR="00014566" w:rsidP="00C621C2" w:rsidRDefault="00014566">
      <w:pPr>
        <w:pStyle w:val="JuList"/>
        <w:rPr>
          <w:lang w:val="en-GB"/>
        </w:rPr>
      </w:pPr>
    </w:p>
    <w:p w:rsidRPr="00062973" w:rsidR="00014566" w:rsidP="00C621C2" w:rsidRDefault="005C512C">
      <w:pPr>
        <w:pStyle w:val="JuList"/>
        <w:rPr>
          <w:lang w:val="en-GB"/>
        </w:rPr>
      </w:pPr>
      <w:r>
        <w:rPr>
          <w:lang w:val="en-GB"/>
        </w:rPr>
        <w:t>4</w:t>
      </w:r>
      <w:r w:rsidRPr="00062973" w:rsidR="00014566">
        <w:rPr>
          <w:lang w:val="en-GB"/>
        </w:rPr>
        <w:t>.  </w:t>
      </w:r>
      <w:r w:rsidRPr="00062973" w:rsidR="00014566">
        <w:rPr>
          <w:i/>
          <w:lang w:val="en-GB"/>
        </w:rPr>
        <w:t>Dismisses</w:t>
      </w:r>
      <w:r w:rsidRPr="00062973" w:rsidR="00DD6A30">
        <w:rPr>
          <w:lang w:val="en-GB"/>
        </w:rPr>
        <w:t xml:space="preserve"> </w:t>
      </w:r>
      <w:r w:rsidRPr="00062973" w:rsidR="00014566">
        <w:rPr>
          <w:lang w:val="en-GB"/>
        </w:rPr>
        <w:t>the remainder of the applicant</w:t>
      </w:r>
      <w:r w:rsidR="00C471A6">
        <w:rPr>
          <w:lang w:val="en-GB"/>
        </w:rPr>
        <w:t>’</w:t>
      </w:r>
      <w:r w:rsidRPr="00062973" w:rsidR="00DD6A30">
        <w:rPr>
          <w:lang w:val="en-GB"/>
        </w:rPr>
        <w:t>s</w:t>
      </w:r>
      <w:r w:rsidRPr="00062973" w:rsidR="00014566">
        <w:rPr>
          <w:lang w:val="en-GB"/>
        </w:rPr>
        <w:t xml:space="preserve"> claim for just satisfaction.</w:t>
      </w:r>
    </w:p>
    <w:p w:rsidRPr="00062973" w:rsidR="00014566" w:rsidP="00014566" w:rsidRDefault="00014566">
      <w:pPr>
        <w:pStyle w:val="JuParaLast"/>
        <w:rPr>
          <w:lang w:val="en-GB"/>
        </w:rPr>
      </w:pPr>
      <w:r w:rsidRPr="00062973">
        <w:rPr>
          <w:lang w:val="en-GB"/>
        </w:rPr>
        <w:t xml:space="preserve">Done in English, and notified in writing on </w:t>
      </w:r>
      <w:r w:rsidR="00714E4C">
        <w:rPr>
          <w:lang w:val="en-GB"/>
        </w:rPr>
        <w:t>7 May 2015, pursuant to Rule </w:t>
      </w:r>
      <w:r w:rsidRPr="00062973">
        <w:rPr>
          <w:lang w:val="en-GB"/>
        </w:rPr>
        <w:t>77 §§ 2 and 3 of the Rules of Court.</w:t>
      </w:r>
    </w:p>
    <w:p w:rsidRPr="00062973" w:rsidR="004D15F3" w:rsidP="00A53DF1" w:rsidRDefault="00014566">
      <w:pPr>
        <w:pStyle w:val="JuSigned"/>
        <w:rPr>
          <w:lang w:val="en-GB"/>
        </w:rPr>
      </w:pPr>
      <w:r w:rsidRPr="00062973">
        <w:rPr>
          <w:lang w:val="en-GB"/>
        </w:rPr>
        <w:tab/>
      </w:r>
      <w:r w:rsidR="00DD6A30">
        <w:rPr>
          <w:lang w:val="en-GB"/>
        </w:rPr>
        <w:t>Søren</w:t>
      </w:r>
      <w:r w:rsidRPr="00062973" w:rsidR="00DD6A30">
        <w:rPr>
          <w:lang w:val="en-GB"/>
        </w:rPr>
        <w:t xml:space="preserve"> </w:t>
      </w:r>
      <w:r w:rsidR="00DD6A30">
        <w:rPr>
          <w:lang w:val="en-GB"/>
        </w:rPr>
        <w:t>Nielsen</w:t>
      </w:r>
      <w:r w:rsidRPr="00062973">
        <w:rPr>
          <w:lang w:val="en-GB"/>
        </w:rPr>
        <w:tab/>
      </w:r>
      <w:r w:rsidR="00DD6A30">
        <w:rPr>
          <w:szCs w:val="24"/>
          <w:lang w:val="en-GB"/>
        </w:rPr>
        <w:t>Isabelle</w:t>
      </w:r>
      <w:r w:rsidRPr="00062973" w:rsidR="00DD6A30">
        <w:rPr>
          <w:szCs w:val="24"/>
          <w:lang w:val="en-GB"/>
        </w:rPr>
        <w:t xml:space="preserve"> </w:t>
      </w:r>
      <w:r w:rsidR="00DD6A30">
        <w:rPr>
          <w:szCs w:val="24"/>
          <w:lang w:val="en-GB"/>
        </w:rPr>
        <w:t>Berro</w:t>
      </w:r>
      <w:r w:rsidR="00E1557C">
        <w:rPr>
          <w:szCs w:val="24"/>
          <w:lang w:val="en-GB"/>
        </w:rPr>
        <w:br/>
      </w:r>
      <w:r w:rsidRPr="00062973">
        <w:rPr>
          <w:lang w:val="en-GB"/>
        </w:rPr>
        <w:tab/>
      </w:r>
      <w:r w:rsidRPr="00062973" w:rsidR="00DD6A30">
        <w:rPr>
          <w:iCs/>
          <w:lang w:val="en-GB"/>
        </w:rPr>
        <w:t>Registrar</w:t>
      </w:r>
      <w:r w:rsidRPr="00062973">
        <w:rPr>
          <w:lang w:val="en-GB"/>
        </w:rPr>
        <w:tab/>
        <w:t>President</w:t>
      </w:r>
    </w:p>
    <w:sectPr w:rsidRPr="00062973" w:rsidR="004D15F3" w:rsidSect="009B6D31">
      <w:headerReference w:type="even" r:id="rId19"/>
      <w:headerReference w:type="default" r:id="rId20"/>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849" w:rsidRDefault="00427849" w:rsidP="00014566">
      <w:r>
        <w:separator/>
      </w:r>
    </w:p>
  </w:endnote>
  <w:endnote w:type="continuationSeparator" w:id="0">
    <w:p w:rsidR="00427849" w:rsidRDefault="00427849"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31" w:rsidRPr="00150BFA" w:rsidRDefault="009B6D31" w:rsidP="0020718E">
    <w:pPr>
      <w:jc w:val="center"/>
    </w:pPr>
    <w:r>
      <w:rPr>
        <w:noProof/>
        <w:lang w:eastAsia="ja-JP"/>
      </w:rPr>
      <w:drawing>
        <wp:inline distT="0" distB="0" distL="0" distR="0" wp14:anchorId="1D377D8D" wp14:editId="74D85AEB">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9B6D31" w:rsidRDefault="009B6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849" w:rsidRDefault="00427849" w:rsidP="00014566">
      <w:r>
        <w:separator/>
      </w:r>
    </w:p>
  </w:footnote>
  <w:footnote w:type="continuationSeparator" w:id="0">
    <w:p w:rsidR="00427849" w:rsidRDefault="00427849"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849" w:rsidRPr="009B6D31" w:rsidRDefault="00427849" w:rsidP="009B6D31">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31" w:rsidRPr="00A45145" w:rsidRDefault="009B6D31" w:rsidP="00A45145">
    <w:pPr>
      <w:jc w:val="center"/>
    </w:pPr>
    <w:r>
      <w:rPr>
        <w:noProof/>
        <w:lang w:eastAsia="ja-JP"/>
      </w:rPr>
      <w:drawing>
        <wp:inline distT="0" distB="0" distL="0" distR="0" wp14:anchorId="51D4959F" wp14:editId="637CDA37">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9B6D31" w:rsidRDefault="009B6D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31" w:rsidRPr="00FF2306" w:rsidRDefault="009B6D31"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C471A6">
      <w:rPr>
        <w:rStyle w:val="PageNumber"/>
        <w:noProof/>
        <w:szCs w:val="18"/>
        <w:lang w:val="en-GB"/>
      </w:rPr>
      <w:t>12</w:t>
    </w:r>
    <w:r>
      <w:rPr>
        <w:rStyle w:val="PageNumber"/>
        <w:szCs w:val="18"/>
        <w:lang w:val="en-GB"/>
      </w:rPr>
      <w:fldChar w:fldCharType="end"/>
    </w:r>
    <w:r w:rsidRPr="00FF2306">
      <w:rPr>
        <w:lang w:val="en-GB"/>
      </w:rPr>
      <w:tab/>
    </w:r>
    <w:r w:rsidRPr="00265276">
      <w:rPr>
        <w:lang w:val="en-GB"/>
      </w:rPr>
      <w:t xml:space="preserve">ALEKSANDR </w:t>
    </w:r>
    <w:r>
      <w:rPr>
        <w:lang w:val="en-GB"/>
      </w:rPr>
      <w:t>DMITRIYEV v. RUSSIA</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31" w:rsidRPr="00D60D87" w:rsidRDefault="009B6D31" w:rsidP="00D60D87">
    <w:pPr>
      <w:pStyle w:val="ECHRHeader"/>
      <w:rPr>
        <w:lang w:val="en-GB"/>
      </w:rPr>
    </w:pPr>
    <w:r w:rsidRPr="00D60D87">
      <w:rPr>
        <w:lang w:val="en-GB"/>
      </w:rPr>
      <w:tab/>
    </w:r>
    <w:r w:rsidRPr="00265276">
      <w:rPr>
        <w:lang w:val="en-GB"/>
      </w:rPr>
      <w:t xml:space="preserve">ALEKSANDR </w:t>
    </w:r>
    <w:r>
      <w:rPr>
        <w:lang w:val="en-GB"/>
      </w:rPr>
      <w:t>DMITRIYEV v. RUSSIA</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C471A6">
      <w:rPr>
        <w:rStyle w:val="PageNumber"/>
        <w:noProof/>
        <w:szCs w:val="18"/>
        <w:lang w:val="en-GB"/>
      </w:rPr>
      <w:t>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18433"/>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DD6A30"/>
    <w:rsid w:val="000041F8"/>
    <w:rsid w:val="000042A8"/>
    <w:rsid w:val="00004308"/>
    <w:rsid w:val="00005BF0"/>
    <w:rsid w:val="00007154"/>
    <w:rsid w:val="000103AE"/>
    <w:rsid w:val="00011D69"/>
    <w:rsid w:val="00012AD3"/>
    <w:rsid w:val="000130FF"/>
    <w:rsid w:val="00014566"/>
    <w:rsid w:val="0001572D"/>
    <w:rsid w:val="00015C2D"/>
    <w:rsid w:val="00015F00"/>
    <w:rsid w:val="00017B95"/>
    <w:rsid w:val="00022C1D"/>
    <w:rsid w:val="00034987"/>
    <w:rsid w:val="0003663D"/>
    <w:rsid w:val="00040B33"/>
    <w:rsid w:val="00041F52"/>
    <w:rsid w:val="000453D1"/>
    <w:rsid w:val="000460F2"/>
    <w:rsid w:val="00053047"/>
    <w:rsid w:val="000602DF"/>
    <w:rsid w:val="00061B05"/>
    <w:rsid w:val="0006230D"/>
    <w:rsid w:val="00062973"/>
    <w:rsid w:val="00062D5D"/>
    <w:rsid w:val="000632D5"/>
    <w:rsid w:val="000644EE"/>
    <w:rsid w:val="00075E9C"/>
    <w:rsid w:val="000843DB"/>
    <w:rsid w:val="0008581A"/>
    <w:rsid w:val="00091958"/>
    <w:rsid w:val="000925AD"/>
    <w:rsid w:val="000A24EB"/>
    <w:rsid w:val="000A7C3A"/>
    <w:rsid w:val="000B55AF"/>
    <w:rsid w:val="000B6923"/>
    <w:rsid w:val="000C033C"/>
    <w:rsid w:val="000C0DFF"/>
    <w:rsid w:val="000C3C72"/>
    <w:rsid w:val="000C5984"/>
    <w:rsid w:val="000C5F3C"/>
    <w:rsid w:val="000C6DCC"/>
    <w:rsid w:val="000D47AA"/>
    <w:rsid w:val="000D5C9C"/>
    <w:rsid w:val="000D721F"/>
    <w:rsid w:val="000D7322"/>
    <w:rsid w:val="000E069B"/>
    <w:rsid w:val="000E0E82"/>
    <w:rsid w:val="000E1DC5"/>
    <w:rsid w:val="000E223F"/>
    <w:rsid w:val="000E3D95"/>
    <w:rsid w:val="000E5AE2"/>
    <w:rsid w:val="000E7D45"/>
    <w:rsid w:val="000F5B4E"/>
    <w:rsid w:val="000F7851"/>
    <w:rsid w:val="00103531"/>
    <w:rsid w:val="00104E23"/>
    <w:rsid w:val="0010558B"/>
    <w:rsid w:val="001072D7"/>
    <w:rsid w:val="00110E4E"/>
    <w:rsid w:val="00111B0C"/>
    <w:rsid w:val="00120D6C"/>
    <w:rsid w:val="00121C18"/>
    <w:rsid w:val="001257EC"/>
    <w:rsid w:val="00132C6A"/>
    <w:rsid w:val="00133D33"/>
    <w:rsid w:val="00134D64"/>
    <w:rsid w:val="00135A30"/>
    <w:rsid w:val="0013612C"/>
    <w:rsid w:val="00137FF6"/>
    <w:rsid w:val="00141650"/>
    <w:rsid w:val="00156224"/>
    <w:rsid w:val="00162A12"/>
    <w:rsid w:val="00162B75"/>
    <w:rsid w:val="00166530"/>
    <w:rsid w:val="00172921"/>
    <w:rsid w:val="00176733"/>
    <w:rsid w:val="001832BD"/>
    <w:rsid w:val="00186873"/>
    <w:rsid w:val="00193123"/>
    <w:rsid w:val="001943B5"/>
    <w:rsid w:val="00195134"/>
    <w:rsid w:val="00197400"/>
    <w:rsid w:val="001A145B"/>
    <w:rsid w:val="001A2038"/>
    <w:rsid w:val="001A674C"/>
    <w:rsid w:val="001B2AC0"/>
    <w:rsid w:val="001B3B24"/>
    <w:rsid w:val="001C0F98"/>
    <w:rsid w:val="001C2A42"/>
    <w:rsid w:val="001D00C4"/>
    <w:rsid w:val="001D10B5"/>
    <w:rsid w:val="001D18ED"/>
    <w:rsid w:val="001D63ED"/>
    <w:rsid w:val="001D7348"/>
    <w:rsid w:val="001E035B"/>
    <w:rsid w:val="001E0961"/>
    <w:rsid w:val="001E3EAE"/>
    <w:rsid w:val="001E4751"/>
    <w:rsid w:val="001E6F32"/>
    <w:rsid w:val="001F2145"/>
    <w:rsid w:val="001F2C60"/>
    <w:rsid w:val="001F6262"/>
    <w:rsid w:val="001F6268"/>
    <w:rsid w:val="001F67B0"/>
    <w:rsid w:val="001F7B3D"/>
    <w:rsid w:val="00203C55"/>
    <w:rsid w:val="00205F9F"/>
    <w:rsid w:val="00210338"/>
    <w:rsid w:val="00210663"/>
    <w:rsid w:val="002115FC"/>
    <w:rsid w:val="00213253"/>
    <w:rsid w:val="002133F8"/>
    <w:rsid w:val="0021423C"/>
    <w:rsid w:val="00220A62"/>
    <w:rsid w:val="00230122"/>
    <w:rsid w:val="00230D00"/>
    <w:rsid w:val="00231DF7"/>
    <w:rsid w:val="00231FD1"/>
    <w:rsid w:val="002339E0"/>
    <w:rsid w:val="00233CF8"/>
    <w:rsid w:val="0023575D"/>
    <w:rsid w:val="00237148"/>
    <w:rsid w:val="0024222D"/>
    <w:rsid w:val="00244B0E"/>
    <w:rsid w:val="00244F6C"/>
    <w:rsid w:val="002532C5"/>
    <w:rsid w:val="00260C03"/>
    <w:rsid w:val="00265276"/>
    <w:rsid w:val="0026540E"/>
    <w:rsid w:val="00270E7B"/>
    <w:rsid w:val="00271BDE"/>
    <w:rsid w:val="00275123"/>
    <w:rsid w:val="002774CE"/>
    <w:rsid w:val="00282240"/>
    <w:rsid w:val="0028572A"/>
    <w:rsid w:val="00285E2B"/>
    <w:rsid w:val="00286064"/>
    <w:rsid w:val="00287082"/>
    <w:rsid w:val="002948AD"/>
    <w:rsid w:val="00294C92"/>
    <w:rsid w:val="002A01CC"/>
    <w:rsid w:val="002A1133"/>
    <w:rsid w:val="002A16D2"/>
    <w:rsid w:val="002A61B1"/>
    <w:rsid w:val="002A62F1"/>
    <w:rsid w:val="002A663C"/>
    <w:rsid w:val="002B444B"/>
    <w:rsid w:val="002B5887"/>
    <w:rsid w:val="002C0692"/>
    <w:rsid w:val="002C0E27"/>
    <w:rsid w:val="002C0ECB"/>
    <w:rsid w:val="002C3040"/>
    <w:rsid w:val="002C3539"/>
    <w:rsid w:val="002D022D"/>
    <w:rsid w:val="002D24BB"/>
    <w:rsid w:val="002D4ACB"/>
    <w:rsid w:val="002D594F"/>
    <w:rsid w:val="002D7F30"/>
    <w:rsid w:val="002E3252"/>
    <w:rsid w:val="002E3EB4"/>
    <w:rsid w:val="002E6C1F"/>
    <w:rsid w:val="002F2AF7"/>
    <w:rsid w:val="002F7E1C"/>
    <w:rsid w:val="00301A75"/>
    <w:rsid w:val="00302F70"/>
    <w:rsid w:val="0030336F"/>
    <w:rsid w:val="0030375E"/>
    <w:rsid w:val="00312A30"/>
    <w:rsid w:val="00320F72"/>
    <w:rsid w:val="00323716"/>
    <w:rsid w:val="0032463E"/>
    <w:rsid w:val="00326224"/>
    <w:rsid w:val="00330B0B"/>
    <w:rsid w:val="00337EE4"/>
    <w:rsid w:val="00340FFD"/>
    <w:rsid w:val="00342A82"/>
    <w:rsid w:val="003506B1"/>
    <w:rsid w:val="00352A2A"/>
    <w:rsid w:val="00356AC7"/>
    <w:rsid w:val="003609FA"/>
    <w:rsid w:val="003710C8"/>
    <w:rsid w:val="00371EF6"/>
    <w:rsid w:val="003723DA"/>
    <w:rsid w:val="00372B7A"/>
    <w:rsid w:val="003750BE"/>
    <w:rsid w:val="00375719"/>
    <w:rsid w:val="00381A16"/>
    <w:rsid w:val="00387B9D"/>
    <w:rsid w:val="0039364F"/>
    <w:rsid w:val="00394D80"/>
    <w:rsid w:val="0039536E"/>
    <w:rsid w:val="00396686"/>
    <w:rsid w:val="0039778E"/>
    <w:rsid w:val="003A4A09"/>
    <w:rsid w:val="003B4941"/>
    <w:rsid w:val="003C5714"/>
    <w:rsid w:val="003C6B9F"/>
    <w:rsid w:val="003C6E2A"/>
    <w:rsid w:val="003D0299"/>
    <w:rsid w:val="003D71C3"/>
    <w:rsid w:val="003E26F2"/>
    <w:rsid w:val="003E6D80"/>
    <w:rsid w:val="003F05E9"/>
    <w:rsid w:val="003F05FA"/>
    <w:rsid w:val="003F244A"/>
    <w:rsid w:val="003F30B8"/>
    <w:rsid w:val="003F3E8A"/>
    <w:rsid w:val="003F4C45"/>
    <w:rsid w:val="003F5F7B"/>
    <w:rsid w:val="003F6BFC"/>
    <w:rsid w:val="003F7D64"/>
    <w:rsid w:val="004041B4"/>
    <w:rsid w:val="00406657"/>
    <w:rsid w:val="00414300"/>
    <w:rsid w:val="00416986"/>
    <w:rsid w:val="00425C67"/>
    <w:rsid w:val="00427849"/>
    <w:rsid w:val="00427E7A"/>
    <w:rsid w:val="0043227B"/>
    <w:rsid w:val="00436307"/>
    <w:rsid w:val="00436C49"/>
    <w:rsid w:val="00445366"/>
    <w:rsid w:val="0044632D"/>
    <w:rsid w:val="00447F5B"/>
    <w:rsid w:val="00450FD4"/>
    <w:rsid w:val="00460F2E"/>
    <w:rsid w:val="00461DB0"/>
    <w:rsid w:val="00461DE4"/>
    <w:rsid w:val="00463926"/>
    <w:rsid w:val="004646E0"/>
    <w:rsid w:val="00464C9A"/>
    <w:rsid w:val="00470BF7"/>
    <w:rsid w:val="004712C2"/>
    <w:rsid w:val="004712C8"/>
    <w:rsid w:val="00474F3D"/>
    <w:rsid w:val="00477DDE"/>
    <w:rsid w:val="00477E3A"/>
    <w:rsid w:val="00480D2E"/>
    <w:rsid w:val="00483E5F"/>
    <w:rsid w:val="00485FF9"/>
    <w:rsid w:val="004872A1"/>
    <w:rsid w:val="004907F0"/>
    <w:rsid w:val="0049140B"/>
    <w:rsid w:val="00491A1E"/>
    <w:rsid w:val="00491D69"/>
    <w:rsid w:val="004923A5"/>
    <w:rsid w:val="00496BFB"/>
    <w:rsid w:val="004A15C7"/>
    <w:rsid w:val="004B013B"/>
    <w:rsid w:val="004B112B"/>
    <w:rsid w:val="004B5693"/>
    <w:rsid w:val="004C01E4"/>
    <w:rsid w:val="004C086C"/>
    <w:rsid w:val="004C1F56"/>
    <w:rsid w:val="004C27BC"/>
    <w:rsid w:val="004C29D9"/>
    <w:rsid w:val="004C42F5"/>
    <w:rsid w:val="004D15F3"/>
    <w:rsid w:val="004D5311"/>
    <w:rsid w:val="004D5DCC"/>
    <w:rsid w:val="004D68F2"/>
    <w:rsid w:val="004F10AF"/>
    <w:rsid w:val="004F11A4"/>
    <w:rsid w:val="004F2389"/>
    <w:rsid w:val="004F304D"/>
    <w:rsid w:val="004F61BE"/>
    <w:rsid w:val="004F66B1"/>
    <w:rsid w:val="004F7E2C"/>
    <w:rsid w:val="00511C07"/>
    <w:rsid w:val="00512E02"/>
    <w:rsid w:val="005173A6"/>
    <w:rsid w:val="00520BAA"/>
    <w:rsid w:val="00525208"/>
    <w:rsid w:val="005257A5"/>
    <w:rsid w:val="005264C0"/>
    <w:rsid w:val="00526A8A"/>
    <w:rsid w:val="00530CEC"/>
    <w:rsid w:val="00531DF2"/>
    <w:rsid w:val="00534271"/>
    <w:rsid w:val="00534602"/>
    <w:rsid w:val="00537129"/>
    <w:rsid w:val="005442EE"/>
    <w:rsid w:val="00547353"/>
    <w:rsid w:val="005474E7"/>
    <w:rsid w:val="005512A3"/>
    <w:rsid w:val="005578CE"/>
    <w:rsid w:val="00562781"/>
    <w:rsid w:val="00563E83"/>
    <w:rsid w:val="0057271C"/>
    <w:rsid w:val="00572845"/>
    <w:rsid w:val="005728BF"/>
    <w:rsid w:val="0057776A"/>
    <w:rsid w:val="00583989"/>
    <w:rsid w:val="00592772"/>
    <w:rsid w:val="0059574A"/>
    <w:rsid w:val="005A1B9B"/>
    <w:rsid w:val="005A6751"/>
    <w:rsid w:val="005B092E"/>
    <w:rsid w:val="005B152C"/>
    <w:rsid w:val="005B1EE0"/>
    <w:rsid w:val="005B2881"/>
    <w:rsid w:val="005B2B24"/>
    <w:rsid w:val="005B4425"/>
    <w:rsid w:val="005B4B94"/>
    <w:rsid w:val="005C057F"/>
    <w:rsid w:val="005C3EE8"/>
    <w:rsid w:val="005C507D"/>
    <w:rsid w:val="005C512C"/>
    <w:rsid w:val="005D0A26"/>
    <w:rsid w:val="005D34F9"/>
    <w:rsid w:val="005D4190"/>
    <w:rsid w:val="005D6547"/>
    <w:rsid w:val="005D67A3"/>
    <w:rsid w:val="005D6CE3"/>
    <w:rsid w:val="005E1BD6"/>
    <w:rsid w:val="005E2988"/>
    <w:rsid w:val="005E2A43"/>
    <w:rsid w:val="005E3085"/>
    <w:rsid w:val="005E3797"/>
    <w:rsid w:val="005E3895"/>
    <w:rsid w:val="005F51E1"/>
    <w:rsid w:val="00600982"/>
    <w:rsid w:val="00611C80"/>
    <w:rsid w:val="00620692"/>
    <w:rsid w:val="006242CA"/>
    <w:rsid w:val="00627507"/>
    <w:rsid w:val="00633717"/>
    <w:rsid w:val="006344E1"/>
    <w:rsid w:val="00637CB2"/>
    <w:rsid w:val="006429FB"/>
    <w:rsid w:val="00647AB6"/>
    <w:rsid w:val="006545C4"/>
    <w:rsid w:val="006558FE"/>
    <w:rsid w:val="00661971"/>
    <w:rsid w:val="00661CE8"/>
    <w:rsid w:val="006623D9"/>
    <w:rsid w:val="00664259"/>
    <w:rsid w:val="0066550C"/>
    <w:rsid w:val="006663EC"/>
    <w:rsid w:val="0067131F"/>
    <w:rsid w:val="006716F2"/>
    <w:rsid w:val="006800E0"/>
    <w:rsid w:val="00682BF2"/>
    <w:rsid w:val="006859CE"/>
    <w:rsid w:val="00691270"/>
    <w:rsid w:val="00692CEA"/>
    <w:rsid w:val="00694BA8"/>
    <w:rsid w:val="00696C8B"/>
    <w:rsid w:val="006A029A"/>
    <w:rsid w:val="006A037C"/>
    <w:rsid w:val="006A36F4"/>
    <w:rsid w:val="006A406F"/>
    <w:rsid w:val="006A4C50"/>
    <w:rsid w:val="006A5D3A"/>
    <w:rsid w:val="006A67EE"/>
    <w:rsid w:val="006C1AAF"/>
    <w:rsid w:val="006C23D4"/>
    <w:rsid w:val="006C7BB0"/>
    <w:rsid w:val="006D3237"/>
    <w:rsid w:val="006E295F"/>
    <w:rsid w:val="006E2E37"/>
    <w:rsid w:val="006E3CF1"/>
    <w:rsid w:val="006E4676"/>
    <w:rsid w:val="006E5EFA"/>
    <w:rsid w:val="006E7E80"/>
    <w:rsid w:val="006F1DF9"/>
    <w:rsid w:val="006F24DB"/>
    <w:rsid w:val="006F48CA"/>
    <w:rsid w:val="006F64DD"/>
    <w:rsid w:val="007007E5"/>
    <w:rsid w:val="0071019F"/>
    <w:rsid w:val="00710C85"/>
    <w:rsid w:val="00714E4C"/>
    <w:rsid w:val="00715127"/>
    <w:rsid w:val="00715E8E"/>
    <w:rsid w:val="00723580"/>
    <w:rsid w:val="00723755"/>
    <w:rsid w:val="0073136C"/>
    <w:rsid w:val="00731F0F"/>
    <w:rsid w:val="00733250"/>
    <w:rsid w:val="00741404"/>
    <w:rsid w:val="007449E5"/>
    <w:rsid w:val="00745A76"/>
    <w:rsid w:val="00746C5A"/>
    <w:rsid w:val="00747FF0"/>
    <w:rsid w:val="00756747"/>
    <w:rsid w:val="00760BF7"/>
    <w:rsid w:val="00764D4E"/>
    <w:rsid w:val="00765A1F"/>
    <w:rsid w:val="00773388"/>
    <w:rsid w:val="00775B6D"/>
    <w:rsid w:val="007764F8"/>
    <w:rsid w:val="00776D68"/>
    <w:rsid w:val="007850EE"/>
    <w:rsid w:val="00785B95"/>
    <w:rsid w:val="00790E96"/>
    <w:rsid w:val="0079117F"/>
    <w:rsid w:val="00793366"/>
    <w:rsid w:val="007A716F"/>
    <w:rsid w:val="007B270A"/>
    <w:rsid w:val="007B3751"/>
    <w:rsid w:val="007C0695"/>
    <w:rsid w:val="007C419A"/>
    <w:rsid w:val="007C4CC8"/>
    <w:rsid w:val="007C5426"/>
    <w:rsid w:val="007C5798"/>
    <w:rsid w:val="007C7C5B"/>
    <w:rsid w:val="007D4832"/>
    <w:rsid w:val="007E11E5"/>
    <w:rsid w:val="007E21B2"/>
    <w:rsid w:val="007E2C4E"/>
    <w:rsid w:val="007F0ACB"/>
    <w:rsid w:val="007F1905"/>
    <w:rsid w:val="00801300"/>
    <w:rsid w:val="00802C64"/>
    <w:rsid w:val="00803BEB"/>
    <w:rsid w:val="00805E52"/>
    <w:rsid w:val="008061D0"/>
    <w:rsid w:val="00810B38"/>
    <w:rsid w:val="00814692"/>
    <w:rsid w:val="008204C7"/>
    <w:rsid w:val="00820992"/>
    <w:rsid w:val="00823602"/>
    <w:rsid w:val="008255F5"/>
    <w:rsid w:val="0083014E"/>
    <w:rsid w:val="0083214A"/>
    <w:rsid w:val="00834220"/>
    <w:rsid w:val="00843289"/>
    <w:rsid w:val="00845723"/>
    <w:rsid w:val="00851EF9"/>
    <w:rsid w:val="00852B0B"/>
    <w:rsid w:val="008577FD"/>
    <w:rsid w:val="00857B69"/>
    <w:rsid w:val="00860B03"/>
    <w:rsid w:val="0086497A"/>
    <w:rsid w:val="008713A1"/>
    <w:rsid w:val="008754AB"/>
    <w:rsid w:val="0088060C"/>
    <w:rsid w:val="00893576"/>
    <w:rsid w:val="00893E73"/>
    <w:rsid w:val="008A1441"/>
    <w:rsid w:val="008A43C4"/>
    <w:rsid w:val="008A596E"/>
    <w:rsid w:val="008B011B"/>
    <w:rsid w:val="008B02DC"/>
    <w:rsid w:val="008B57CE"/>
    <w:rsid w:val="008B659F"/>
    <w:rsid w:val="008C26DE"/>
    <w:rsid w:val="008D07FB"/>
    <w:rsid w:val="008D2225"/>
    <w:rsid w:val="008D4752"/>
    <w:rsid w:val="008D56D2"/>
    <w:rsid w:val="008E271C"/>
    <w:rsid w:val="008E418E"/>
    <w:rsid w:val="008E5BC6"/>
    <w:rsid w:val="008E6A25"/>
    <w:rsid w:val="008F5193"/>
    <w:rsid w:val="009013A7"/>
    <w:rsid w:val="009017FB"/>
    <w:rsid w:val="009017FC"/>
    <w:rsid w:val="009031DE"/>
    <w:rsid w:val="00903B43"/>
    <w:rsid w:val="0090506B"/>
    <w:rsid w:val="009050C9"/>
    <w:rsid w:val="009066FC"/>
    <w:rsid w:val="00907CAC"/>
    <w:rsid w:val="009140A3"/>
    <w:rsid w:val="009144A2"/>
    <w:rsid w:val="0091510C"/>
    <w:rsid w:val="009259AC"/>
    <w:rsid w:val="009266E3"/>
    <w:rsid w:val="00926917"/>
    <w:rsid w:val="00926F38"/>
    <w:rsid w:val="00934301"/>
    <w:rsid w:val="00936CD1"/>
    <w:rsid w:val="00941747"/>
    <w:rsid w:val="00941EFB"/>
    <w:rsid w:val="00942672"/>
    <w:rsid w:val="00947AFB"/>
    <w:rsid w:val="00951D7D"/>
    <w:rsid w:val="009630C7"/>
    <w:rsid w:val="00964C74"/>
    <w:rsid w:val="00971C00"/>
    <w:rsid w:val="00972B55"/>
    <w:rsid w:val="009743B7"/>
    <w:rsid w:val="009754B1"/>
    <w:rsid w:val="00981A25"/>
    <w:rsid w:val="0098228B"/>
    <w:rsid w:val="009828DA"/>
    <w:rsid w:val="00985566"/>
    <w:rsid w:val="00985BAB"/>
    <w:rsid w:val="009917A0"/>
    <w:rsid w:val="00997F03"/>
    <w:rsid w:val="009A46DF"/>
    <w:rsid w:val="009A7B76"/>
    <w:rsid w:val="009B1045"/>
    <w:rsid w:val="009B1B5F"/>
    <w:rsid w:val="009B2354"/>
    <w:rsid w:val="009B2EC2"/>
    <w:rsid w:val="009B6673"/>
    <w:rsid w:val="009B6D31"/>
    <w:rsid w:val="009C191B"/>
    <w:rsid w:val="009C2BD6"/>
    <w:rsid w:val="009E1F32"/>
    <w:rsid w:val="009E5829"/>
    <w:rsid w:val="009E776C"/>
    <w:rsid w:val="00A04CDE"/>
    <w:rsid w:val="00A12FA9"/>
    <w:rsid w:val="00A1726E"/>
    <w:rsid w:val="00A17C22"/>
    <w:rsid w:val="00A204CF"/>
    <w:rsid w:val="00A23CD8"/>
    <w:rsid w:val="00A23D49"/>
    <w:rsid w:val="00A27004"/>
    <w:rsid w:val="00A30C29"/>
    <w:rsid w:val="00A34DD6"/>
    <w:rsid w:val="00A36819"/>
    <w:rsid w:val="00A36964"/>
    <w:rsid w:val="00A36989"/>
    <w:rsid w:val="00A43628"/>
    <w:rsid w:val="00A4384B"/>
    <w:rsid w:val="00A4399C"/>
    <w:rsid w:val="00A51B0C"/>
    <w:rsid w:val="00A51D3A"/>
    <w:rsid w:val="00A53DF1"/>
    <w:rsid w:val="00A54192"/>
    <w:rsid w:val="00A6035E"/>
    <w:rsid w:val="00A6144C"/>
    <w:rsid w:val="00A66617"/>
    <w:rsid w:val="00A671F8"/>
    <w:rsid w:val="00A673A4"/>
    <w:rsid w:val="00A724AE"/>
    <w:rsid w:val="00A73329"/>
    <w:rsid w:val="00A82359"/>
    <w:rsid w:val="00A865D2"/>
    <w:rsid w:val="00A94C20"/>
    <w:rsid w:val="00A94F75"/>
    <w:rsid w:val="00A9530C"/>
    <w:rsid w:val="00AA227F"/>
    <w:rsid w:val="00AA3BC7"/>
    <w:rsid w:val="00AA5749"/>
    <w:rsid w:val="00AA754A"/>
    <w:rsid w:val="00AB099E"/>
    <w:rsid w:val="00AB4328"/>
    <w:rsid w:val="00AB5FA0"/>
    <w:rsid w:val="00AD4824"/>
    <w:rsid w:val="00AD5E6E"/>
    <w:rsid w:val="00AE0A2E"/>
    <w:rsid w:val="00AE2079"/>
    <w:rsid w:val="00AE354C"/>
    <w:rsid w:val="00AE4270"/>
    <w:rsid w:val="00AE6597"/>
    <w:rsid w:val="00AE7D37"/>
    <w:rsid w:val="00AF44F8"/>
    <w:rsid w:val="00AF4B07"/>
    <w:rsid w:val="00AF6186"/>
    <w:rsid w:val="00AF7A3A"/>
    <w:rsid w:val="00B02A46"/>
    <w:rsid w:val="00B07CF3"/>
    <w:rsid w:val="00B1020D"/>
    <w:rsid w:val="00B160DB"/>
    <w:rsid w:val="00B20836"/>
    <w:rsid w:val="00B228CA"/>
    <w:rsid w:val="00B235BB"/>
    <w:rsid w:val="00B26643"/>
    <w:rsid w:val="00B27A44"/>
    <w:rsid w:val="00B30BBF"/>
    <w:rsid w:val="00B33C03"/>
    <w:rsid w:val="00B44E56"/>
    <w:rsid w:val="00B46543"/>
    <w:rsid w:val="00B47D33"/>
    <w:rsid w:val="00B52BE0"/>
    <w:rsid w:val="00B54133"/>
    <w:rsid w:val="00B637CA"/>
    <w:rsid w:val="00B701ED"/>
    <w:rsid w:val="00B8086C"/>
    <w:rsid w:val="00B861B4"/>
    <w:rsid w:val="00B86DFE"/>
    <w:rsid w:val="00B90990"/>
    <w:rsid w:val="00B922FF"/>
    <w:rsid w:val="00B9281E"/>
    <w:rsid w:val="00B93925"/>
    <w:rsid w:val="00B95187"/>
    <w:rsid w:val="00BA2D55"/>
    <w:rsid w:val="00BA71B1"/>
    <w:rsid w:val="00BB0637"/>
    <w:rsid w:val="00BB345F"/>
    <w:rsid w:val="00BB5883"/>
    <w:rsid w:val="00BB68EA"/>
    <w:rsid w:val="00BC1C27"/>
    <w:rsid w:val="00BC1F01"/>
    <w:rsid w:val="00BC6BBF"/>
    <w:rsid w:val="00BD1572"/>
    <w:rsid w:val="00BE14E3"/>
    <w:rsid w:val="00BE3774"/>
    <w:rsid w:val="00BE39B6"/>
    <w:rsid w:val="00BE41E5"/>
    <w:rsid w:val="00BF0BBB"/>
    <w:rsid w:val="00BF4109"/>
    <w:rsid w:val="00BF4CC3"/>
    <w:rsid w:val="00C054C7"/>
    <w:rsid w:val="00C057B5"/>
    <w:rsid w:val="00C05DA8"/>
    <w:rsid w:val="00C16BB6"/>
    <w:rsid w:val="00C16D7E"/>
    <w:rsid w:val="00C1763C"/>
    <w:rsid w:val="00C22687"/>
    <w:rsid w:val="00C25EEE"/>
    <w:rsid w:val="00C26CF0"/>
    <w:rsid w:val="00C27E0F"/>
    <w:rsid w:val="00C32E4D"/>
    <w:rsid w:val="00C333A0"/>
    <w:rsid w:val="00C36A81"/>
    <w:rsid w:val="00C41974"/>
    <w:rsid w:val="00C447AD"/>
    <w:rsid w:val="00C471A6"/>
    <w:rsid w:val="00C51923"/>
    <w:rsid w:val="00C53A85"/>
    <w:rsid w:val="00C53F4A"/>
    <w:rsid w:val="00C54125"/>
    <w:rsid w:val="00C55B54"/>
    <w:rsid w:val="00C604D0"/>
    <w:rsid w:val="00C6098E"/>
    <w:rsid w:val="00C6152C"/>
    <w:rsid w:val="00C621C2"/>
    <w:rsid w:val="00C63409"/>
    <w:rsid w:val="00C74810"/>
    <w:rsid w:val="00C76CDF"/>
    <w:rsid w:val="00C82E42"/>
    <w:rsid w:val="00C90D68"/>
    <w:rsid w:val="00C939FE"/>
    <w:rsid w:val="00CA17D7"/>
    <w:rsid w:val="00CA1F33"/>
    <w:rsid w:val="00CA4BDA"/>
    <w:rsid w:val="00CB0E6B"/>
    <w:rsid w:val="00CB1F66"/>
    <w:rsid w:val="00CB2951"/>
    <w:rsid w:val="00CC2853"/>
    <w:rsid w:val="00CC5756"/>
    <w:rsid w:val="00CD1888"/>
    <w:rsid w:val="00CD282B"/>
    <w:rsid w:val="00CD4C35"/>
    <w:rsid w:val="00CD6A3F"/>
    <w:rsid w:val="00CD7369"/>
    <w:rsid w:val="00CE0732"/>
    <w:rsid w:val="00CE0B0E"/>
    <w:rsid w:val="00CE3831"/>
    <w:rsid w:val="00D00ABB"/>
    <w:rsid w:val="00D02EEC"/>
    <w:rsid w:val="00D03551"/>
    <w:rsid w:val="00D04D50"/>
    <w:rsid w:val="00D06A63"/>
    <w:rsid w:val="00D07D11"/>
    <w:rsid w:val="00D07E0E"/>
    <w:rsid w:val="00D11478"/>
    <w:rsid w:val="00D15ED0"/>
    <w:rsid w:val="00D20E24"/>
    <w:rsid w:val="00D21B3E"/>
    <w:rsid w:val="00D21FED"/>
    <w:rsid w:val="00D24251"/>
    <w:rsid w:val="00D30F55"/>
    <w:rsid w:val="00D343E2"/>
    <w:rsid w:val="00D35C6F"/>
    <w:rsid w:val="00D361A2"/>
    <w:rsid w:val="00D44C2E"/>
    <w:rsid w:val="00D45414"/>
    <w:rsid w:val="00D5176C"/>
    <w:rsid w:val="00D51A32"/>
    <w:rsid w:val="00D520CC"/>
    <w:rsid w:val="00D53C0F"/>
    <w:rsid w:val="00D53EF9"/>
    <w:rsid w:val="00D566BD"/>
    <w:rsid w:val="00D57A4D"/>
    <w:rsid w:val="00D60AA7"/>
    <w:rsid w:val="00D60D87"/>
    <w:rsid w:val="00D6435F"/>
    <w:rsid w:val="00D66FDF"/>
    <w:rsid w:val="00D7114D"/>
    <w:rsid w:val="00D71ED3"/>
    <w:rsid w:val="00D74C37"/>
    <w:rsid w:val="00D75E28"/>
    <w:rsid w:val="00D772C2"/>
    <w:rsid w:val="00D8008E"/>
    <w:rsid w:val="00D815C1"/>
    <w:rsid w:val="00D82C45"/>
    <w:rsid w:val="00D908A8"/>
    <w:rsid w:val="00D91F52"/>
    <w:rsid w:val="00D96B42"/>
    <w:rsid w:val="00D977B6"/>
    <w:rsid w:val="00DA4A31"/>
    <w:rsid w:val="00DA7B04"/>
    <w:rsid w:val="00DB1B88"/>
    <w:rsid w:val="00DB36C2"/>
    <w:rsid w:val="00DB45BC"/>
    <w:rsid w:val="00DB7196"/>
    <w:rsid w:val="00DC169B"/>
    <w:rsid w:val="00DC2AB9"/>
    <w:rsid w:val="00DC63F0"/>
    <w:rsid w:val="00DD6A30"/>
    <w:rsid w:val="00DD6EE5"/>
    <w:rsid w:val="00DE386C"/>
    <w:rsid w:val="00DE4D35"/>
    <w:rsid w:val="00DF0549"/>
    <w:rsid w:val="00DF098B"/>
    <w:rsid w:val="00DF11C4"/>
    <w:rsid w:val="00DF210C"/>
    <w:rsid w:val="00DF4B6A"/>
    <w:rsid w:val="00E02ADD"/>
    <w:rsid w:val="00E02C09"/>
    <w:rsid w:val="00E04D59"/>
    <w:rsid w:val="00E0688D"/>
    <w:rsid w:val="00E07DA1"/>
    <w:rsid w:val="00E123CB"/>
    <w:rsid w:val="00E1557C"/>
    <w:rsid w:val="00E20E13"/>
    <w:rsid w:val="00E21DBC"/>
    <w:rsid w:val="00E275D7"/>
    <w:rsid w:val="00E27DBE"/>
    <w:rsid w:val="00E32AB1"/>
    <w:rsid w:val="00E33F77"/>
    <w:rsid w:val="00E36C71"/>
    <w:rsid w:val="00E40404"/>
    <w:rsid w:val="00E4528B"/>
    <w:rsid w:val="00E459C6"/>
    <w:rsid w:val="00E47589"/>
    <w:rsid w:val="00E54254"/>
    <w:rsid w:val="00E64915"/>
    <w:rsid w:val="00E6584D"/>
    <w:rsid w:val="00E661D4"/>
    <w:rsid w:val="00E70091"/>
    <w:rsid w:val="00E720F5"/>
    <w:rsid w:val="00E76D47"/>
    <w:rsid w:val="00E849F7"/>
    <w:rsid w:val="00E90302"/>
    <w:rsid w:val="00E9597F"/>
    <w:rsid w:val="00E97396"/>
    <w:rsid w:val="00EA185E"/>
    <w:rsid w:val="00EA592A"/>
    <w:rsid w:val="00EB06BB"/>
    <w:rsid w:val="00EB14E4"/>
    <w:rsid w:val="00EB32A5"/>
    <w:rsid w:val="00EB34ED"/>
    <w:rsid w:val="00EB7BE0"/>
    <w:rsid w:val="00EC315E"/>
    <w:rsid w:val="00EC421F"/>
    <w:rsid w:val="00ED077C"/>
    <w:rsid w:val="00ED1190"/>
    <w:rsid w:val="00ED6544"/>
    <w:rsid w:val="00ED702B"/>
    <w:rsid w:val="00EE0277"/>
    <w:rsid w:val="00EE1944"/>
    <w:rsid w:val="00EE1DA9"/>
    <w:rsid w:val="00EE37FC"/>
    <w:rsid w:val="00EE3E00"/>
    <w:rsid w:val="00EE5DD2"/>
    <w:rsid w:val="00EF03CF"/>
    <w:rsid w:val="00EF41F1"/>
    <w:rsid w:val="00EF4F08"/>
    <w:rsid w:val="00F00A79"/>
    <w:rsid w:val="00F00E86"/>
    <w:rsid w:val="00F07C1E"/>
    <w:rsid w:val="00F07DA1"/>
    <w:rsid w:val="00F105DB"/>
    <w:rsid w:val="00F132BC"/>
    <w:rsid w:val="00F13D80"/>
    <w:rsid w:val="00F140F7"/>
    <w:rsid w:val="00F16AAA"/>
    <w:rsid w:val="00F21161"/>
    <w:rsid w:val="00F218EF"/>
    <w:rsid w:val="00F21B51"/>
    <w:rsid w:val="00F21BC7"/>
    <w:rsid w:val="00F266A2"/>
    <w:rsid w:val="00F32269"/>
    <w:rsid w:val="00F4293F"/>
    <w:rsid w:val="00F50F3E"/>
    <w:rsid w:val="00F56A6F"/>
    <w:rsid w:val="00F5709C"/>
    <w:rsid w:val="00F64EF1"/>
    <w:rsid w:val="00F66D2B"/>
    <w:rsid w:val="00F7166C"/>
    <w:rsid w:val="00F73EE2"/>
    <w:rsid w:val="00F8765F"/>
    <w:rsid w:val="00F90767"/>
    <w:rsid w:val="00FA685B"/>
    <w:rsid w:val="00FA787D"/>
    <w:rsid w:val="00FB0C01"/>
    <w:rsid w:val="00FC18F2"/>
    <w:rsid w:val="00FC39E5"/>
    <w:rsid w:val="00FC3A78"/>
    <w:rsid w:val="00FC5FFE"/>
    <w:rsid w:val="00FD1005"/>
    <w:rsid w:val="00FD3180"/>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600982"/>
    <w:pPr>
      <w:jc w:val="both"/>
    </w:pPr>
    <w:rPr>
      <w:rFonts w:eastAsiaTheme="minorEastAsia"/>
      <w:sz w:val="24"/>
    </w:rPr>
  </w:style>
  <w:style w:type="paragraph" w:styleId="Heading1">
    <w:name w:val="heading 1"/>
    <w:basedOn w:val="Normal"/>
    <w:next w:val="Normal"/>
    <w:link w:val="Heading1Char"/>
    <w:uiPriority w:val="99"/>
    <w:semiHidden/>
    <w:rsid w:val="00600982"/>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600982"/>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600982"/>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600982"/>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600982"/>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600982"/>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600982"/>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600982"/>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600982"/>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0982"/>
    <w:rPr>
      <w:rFonts w:ascii="Tahoma" w:hAnsi="Tahoma" w:cs="Tahoma"/>
      <w:sz w:val="16"/>
      <w:szCs w:val="16"/>
    </w:rPr>
  </w:style>
  <w:style w:type="character" w:customStyle="1" w:styleId="BalloonTextChar">
    <w:name w:val="Balloon Text Char"/>
    <w:basedOn w:val="DefaultParagraphFont"/>
    <w:link w:val="BalloonText"/>
    <w:uiPriority w:val="99"/>
    <w:semiHidden/>
    <w:rsid w:val="00600982"/>
    <w:rPr>
      <w:rFonts w:ascii="Tahoma" w:eastAsiaTheme="minorEastAsia" w:hAnsi="Tahoma" w:cs="Tahoma"/>
      <w:sz w:val="16"/>
      <w:szCs w:val="16"/>
    </w:rPr>
  </w:style>
  <w:style w:type="character" w:styleId="BookTitle">
    <w:name w:val="Book Title"/>
    <w:uiPriority w:val="99"/>
    <w:semiHidden/>
    <w:qFormat/>
    <w:rsid w:val="00600982"/>
    <w:rPr>
      <w:i/>
      <w:iCs/>
      <w:smallCaps/>
      <w:spacing w:val="5"/>
    </w:rPr>
  </w:style>
  <w:style w:type="paragraph" w:customStyle="1" w:styleId="ECHRHeader">
    <w:name w:val="ECHR_Header"/>
    <w:aliases w:val="Ju_Header"/>
    <w:basedOn w:val="Header"/>
    <w:uiPriority w:val="4"/>
    <w:qFormat/>
    <w:rsid w:val="00600982"/>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600982"/>
    <w:pPr>
      <w:jc w:val="left"/>
    </w:pPr>
    <w:rPr>
      <w:sz w:val="8"/>
    </w:rPr>
  </w:style>
  <w:style w:type="character" w:styleId="Strong">
    <w:name w:val="Strong"/>
    <w:uiPriority w:val="99"/>
    <w:semiHidden/>
    <w:qFormat/>
    <w:rsid w:val="00600982"/>
    <w:rPr>
      <w:b/>
      <w:bCs/>
    </w:rPr>
  </w:style>
  <w:style w:type="paragraph" w:styleId="NoSpacing">
    <w:name w:val="No Spacing"/>
    <w:basedOn w:val="Normal"/>
    <w:link w:val="NoSpacingChar"/>
    <w:semiHidden/>
    <w:qFormat/>
    <w:rsid w:val="00600982"/>
    <w:rPr>
      <w:sz w:val="22"/>
    </w:rPr>
  </w:style>
  <w:style w:type="character" w:customStyle="1" w:styleId="NoSpacingChar">
    <w:name w:val="No Spacing Char"/>
    <w:basedOn w:val="DefaultParagraphFont"/>
    <w:link w:val="NoSpacing"/>
    <w:semiHidden/>
    <w:rsid w:val="00600982"/>
    <w:rPr>
      <w:rFonts w:eastAsiaTheme="minorEastAsia"/>
    </w:rPr>
  </w:style>
  <w:style w:type="paragraph" w:customStyle="1" w:styleId="ECHRFooterLine">
    <w:name w:val="ECHR_Footer_Line"/>
    <w:aliases w:val="Footer_Line"/>
    <w:basedOn w:val="Normal"/>
    <w:next w:val="ECHRFooter"/>
    <w:uiPriority w:val="57"/>
    <w:semiHidden/>
    <w:rsid w:val="00600982"/>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600982"/>
    <w:pPr>
      <w:numPr>
        <w:numId w:val="14"/>
      </w:numPr>
      <w:jc w:val="left"/>
    </w:pPr>
    <w:rPr>
      <w:b/>
    </w:rPr>
  </w:style>
  <w:style w:type="paragraph" w:customStyle="1" w:styleId="OpiPara">
    <w:name w:val="Opi_Para"/>
    <w:basedOn w:val="ECHRPara"/>
    <w:uiPriority w:val="46"/>
    <w:qFormat/>
    <w:rsid w:val="00600982"/>
  </w:style>
  <w:style w:type="paragraph" w:customStyle="1" w:styleId="JuParaSub">
    <w:name w:val="Ju_Para_Sub"/>
    <w:basedOn w:val="ECHRPara"/>
    <w:uiPriority w:val="13"/>
    <w:qFormat/>
    <w:rsid w:val="00600982"/>
    <w:pPr>
      <w:ind w:left="284"/>
    </w:pPr>
  </w:style>
  <w:style w:type="paragraph" w:customStyle="1" w:styleId="ECHRTitleCentre3">
    <w:name w:val="ECHR_Title_Centre_3"/>
    <w:aliases w:val="Ju_H_Article"/>
    <w:basedOn w:val="Normal"/>
    <w:next w:val="ECHRParaQuote"/>
    <w:uiPriority w:val="27"/>
    <w:qFormat/>
    <w:rsid w:val="00600982"/>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600982"/>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600982"/>
  </w:style>
  <w:style w:type="paragraph" w:customStyle="1" w:styleId="OpiQuot">
    <w:name w:val="Opi_Quot"/>
    <w:basedOn w:val="ECHRParaQuote"/>
    <w:uiPriority w:val="48"/>
    <w:qFormat/>
    <w:rsid w:val="00600982"/>
  </w:style>
  <w:style w:type="paragraph" w:customStyle="1" w:styleId="OpiQuotSub">
    <w:name w:val="Opi_Quot_Sub"/>
    <w:basedOn w:val="JuQuotSub"/>
    <w:uiPriority w:val="49"/>
    <w:qFormat/>
    <w:rsid w:val="00600982"/>
  </w:style>
  <w:style w:type="paragraph" w:customStyle="1" w:styleId="ECHRTitleCentre2">
    <w:name w:val="ECHR_Title_Centre_2"/>
    <w:aliases w:val="Dec_H_Case"/>
    <w:basedOn w:val="Normal"/>
    <w:next w:val="ECHRPara"/>
    <w:uiPriority w:val="8"/>
    <w:rsid w:val="00600982"/>
    <w:pPr>
      <w:spacing w:after="240"/>
      <w:jc w:val="center"/>
      <w:outlineLvl w:val="0"/>
    </w:pPr>
    <w:rPr>
      <w:rFonts w:asciiTheme="majorHAnsi" w:hAnsiTheme="majorHAnsi"/>
    </w:rPr>
  </w:style>
  <w:style w:type="paragraph" w:customStyle="1" w:styleId="JuTitle">
    <w:name w:val="Ju_Title"/>
    <w:basedOn w:val="Normal"/>
    <w:next w:val="ECHRPara"/>
    <w:uiPriority w:val="3"/>
    <w:rsid w:val="00600982"/>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600982"/>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600982"/>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600982"/>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600982"/>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600982"/>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600982"/>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600982"/>
    <w:pPr>
      <w:keepNext/>
      <w:keepLines/>
      <w:spacing w:before="240" w:after="120"/>
      <w:ind w:left="1236"/>
    </w:pPr>
    <w:rPr>
      <w:sz w:val="20"/>
    </w:rPr>
  </w:style>
  <w:style w:type="paragraph" w:customStyle="1" w:styleId="JuQuotSub">
    <w:name w:val="Ju_Quot_Sub"/>
    <w:basedOn w:val="ECHRParaQuote"/>
    <w:uiPriority w:val="15"/>
    <w:qFormat/>
    <w:rsid w:val="00600982"/>
    <w:pPr>
      <w:ind w:left="567"/>
    </w:pPr>
  </w:style>
  <w:style w:type="paragraph" w:customStyle="1" w:styleId="JuInitialled">
    <w:name w:val="Ju_Initialled"/>
    <w:basedOn w:val="Normal"/>
    <w:uiPriority w:val="31"/>
    <w:qFormat/>
    <w:rsid w:val="00600982"/>
    <w:pPr>
      <w:tabs>
        <w:tab w:val="center" w:pos="6407"/>
      </w:tabs>
      <w:spacing w:before="720"/>
      <w:jc w:val="right"/>
    </w:pPr>
  </w:style>
  <w:style w:type="paragraph" w:customStyle="1" w:styleId="OpiHA">
    <w:name w:val="Opi_H_A"/>
    <w:basedOn w:val="ECHRHeading1"/>
    <w:next w:val="OpiPara"/>
    <w:uiPriority w:val="41"/>
    <w:qFormat/>
    <w:rsid w:val="00600982"/>
    <w:pPr>
      <w:tabs>
        <w:tab w:val="clear" w:pos="357"/>
      </w:tabs>
      <w:outlineLvl w:val="1"/>
    </w:pPr>
    <w:rPr>
      <w:b/>
    </w:rPr>
  </w:style>
  <w:style w:type="paragraph" w:styleId="Header">
    <w:name w:val="header"/>
    <w:basedOn w:val="Normal"/>
    <w:link w:val="HeaderChar"/>
    <w:uiPriority w:val="57"/>
    <w:semiHidden/>
    <w:rsid w:val="00600982"/>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600982"/>
    <w:rPr>
      <w:sz w:val="24"/>
    </w:rPr>
  </w:style>
  <w:style w:type="character" w:customStyle="1" w:styleId="Heading1Char">
    <w:name w:val="Heading 1 Char"/>
    <w:basedOn w:val="DefaultParagraphFont"/>
    <w:link w:val="Heading1"/>
    <w:uiPriority w:val="99"/>
    <w:semiHidden/>
    <w:rsid w:val="00600982"/>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600982"/>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600982"/>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600982"/>
    <w:rPr>
      <w:rFonts w:asciiTheme="majorHAnsi" w:eastAsiaTheme="majorEastAsia" w:hAnsiTheme="majorHAnsi" w:cstheme="majorBidi"/>
      <w:b/>
      <w:bCs/>
      <w:color w:val="4D4D4D"/>
      <w:sz w:val="26"/>
      <w:szCs w:val="26"/>
    </w:rPr>
  </w:style>
  <w:style w:type="character" w:customStyle="1" w:styleId="JUNAMES">
    <w:name w:val="JU_NAMES"/>
    <w:uiPriority w:val="17"/>
    <w:qFormat/>
    <w:rsid w:val="00600982"/>
    <w:rPr>
      <w:caps w:val="0"/>
      <w:smallCaps/>
    </w:rPr>
  </w:style>
  <w:style w:type="paragraph" w:customStyle="1" w:styleId="JuCase">
    <w:name w:val="Ju_Case"/>
    <w:basedOn w:val="Normal"/>
    <w:next w:val="ECHRPara"/>
    <w:uiPriority w:val="10"/>
    <w:rsid w:val="00600982"/>
    <w:pPr>
      <w:ind w:firstLine="284"/>
    </w:pPr>
    <w:rPr>
      <w:b/>
    </w:rPr>
  </w:style>
  <w:style w:type="character" w:customStyle="1" w:styleId="Heading3Char">
    <w:name w:val="Heading 3 Char"/>
    <w:basedOn w:val="DefaultParagraphFont"/>
    <w:link w:val="Heading3"/>
    <w:uiPriority w:val="99"/>
    <w:semiHidden/>
    <w:rsid w:val="00600982"/>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600982"/>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600982"/>
    <w:rPr>
      <w:rFonts w:asciiTheme="majorHAnsi" w:eastAsiaTheme="majorEastAsia" w:hAnsiTheme="majorHAnsi" w:cstheme="majorBidi"/>
      <w:b/>
      <w:bCs/>
      <w:color w:val="808080"/>
    </w:rPr>
  </w:style>
  <w:style w:type="character" w:styleId="SubtleEmphasis">
    <w:name w:val="Subtle Emphasis"/>
    <w:uiPriority w:val="99"/>
    <w:semiHidden/>
    <w:qFormat/>
    <w:rsid w:val="00600982"/>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600982"/>
    <w:pPr>
      <w:keepNext/>
      <w:keepLines/>
      <w:spacing w:before="720" w:after="240"/>
      <w:outlineLvl w:val="0"/>
    </w:pPr>
    <w:rPr>
      <w:rFonts w:asciiTheme="majorHAnsi" w:hAnsiTheme="majorHAnsi"/>
      <w:sz w:val="28"/>
    </w:rPr>
  </w:style>
  <w:style w:type="character" w:styleId="Emphasis">
    <w:name w:val="Emphasis"/>
    <w:uiPriority w:val="99"/>
    <w:semiHidden/>
    <w:qFormat/>
    <w:rsid w:val="00600982"/>
    <w:rPr>
      <w:b/>
      <w:bCs/>
      <w:i/>
      <w:iCs/>
      <w:spacing w:val="10"/>
      <w:bdr w:val="none" w:sz="0" w:space="0" w:color="auto"/>
      <w:shd w:val="clear" w:color="auto" w:fill="auto"/>
    </w:rPr>
  </w:style>
  <w:style w:type="paragraph" w:styleId="Footer">
    <w:name w:val="footer"/>
    <w:basedOn w:val="Normal"/>
    <w:link w:val="FooterChar"/>
    <w:uiPriority w:val="57"/>
    <w:semiHidden/>
    <w:rsid w:val="00600982"/>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600982"/>
    <w:rPr>
      <w:sz w:val="24"/>
    </w:rPr>
  </w:style>
  <w:style w:type="character" w:styleId="FootnoteReference">
    <w:name w:val="footnote reference"/>
    <w:basedOn w:val="DefaultParagraphFont"/>
    <w:uiPriority w:val="99"/>
    <w:semiHidden/>
    <w:rsid w:val="00600982"/>
    <w:rPr>
      <w:vertAlign w:val="superscript"/>
    </w:rPr>
  </w:style>
  <w:style w:type="paragraph" w:styleId="FootnoteText">
    <w:name w:val="footnote text"/>
    <w:basedOn w:val="Normal"/>
    <w:link w:val="FootnoteTextChar"/>
    <w:uiPriority w:val="99"/>
    <w:semiHidden/>
    <w:rsid w:val="00600982"/>
    <w:rPr>
      <w:sz w:val="20"/>
      <w:szCs w:val="20"/>
    </w:rPr>
  </w:style>
  <w:style w:type="character" w:customStyle="1" w:styleId="FootnoteTextChar">
    <w:name w:val="Footnote Text Char"/>
    <w:basedOn w:val="DefaultParagraphFont"/>
    <w:link w:val="FootnoteText"/>
    <w:uiPriority w:val="99"/>
    <w:semiHidden/>
    <w:rsid w:val="00600982"/>
    <w:rPr>
      <w:rFonts w:eastAsiaTheme="minorEastAsia"/>
      <w:sz w:val="20"/>
      <w:szCs w:val="20"/>
    </w:rPr>
  </w:style>
  <w:style w:type="character" w:customStyle="1" w:styleId="Heading6Char">
    <w:name w:val="Heading 6 Char"/>
    <w:basedOn w:val="DefaultParagraphFont"/>
    <w:link w:val="Heading6"/>
    <w:uiPriority w:val="99"/>
    <w:semiHidden/>
    <w:rsid w:val="00600982"/>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600982"/>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600982"/>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600982"/>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600982"/>
    <w:rPr>
      <w:color w:val="0072BC" w:themeColor="hyperlink"/>
      <w:u w:val="single"/>
    </w:rPr>
  </w:style>
  <w:style w:type="character" w:styleId="IntenseEmphasis">
    <w:name w:val="Intense Emphasis"/>
    <w:uiPriority w:val="99"/>
    <w:semiHidden/>
    <w:qFormat/>
    <w:rsid w:val="00600982"/>
    <w:rPr>
      <w:b/>
      <w:bCs/>
    </w:rPr>
  </w:style>
  <w:style w:type="paragraph" w:styleId="IntenseQuote">
    <w:name w:val="Intense Quote"/>
    <w:basedOn w:val="Normal"/>
    <w:next w:val="Normal"/>
    <w:link w:val="IntenseQuoteChar"/>
    <w:uiPriority w:val="99"/>
    <w:semiHidden/>
    <w:qFormat/>
    <w:rsid w:val="00600982"/>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600982"/>
    <w:rPr>
      <w:rFonts w:eastAsiaTheme="minorEastAsia"/>
      <w:b/>
      <w:bCs/>
      <w:i/>
      <w:iCs/>
      <w:lang w:bidi="en-US"/>
    </w:rPr>
  </w:style>
  <w:style w:type="character" w:styleId="IntenseReference">
    <w:name w:val="Intense Reference"/>
    <w:uiPriority w:val="99"/>
    <w:semiHidden/>
    <w:qFormat/>
    <w:rsid w:val="00600982"/>
    <w:rPr>
      <w:smallCaps/>
      <w:spacing w:val="5"/>
      <w:u w:val="single"/>
    </w:rPr>
  </w:style>
  <w:style w:type="paragraph" w:styleId="ListParagraph">
    <w:name w:val="List Paragraph"/>
    <w:basedOn w:val="Normal"/>
    <w:uiPriority w:val="99"/>
    <w:semiHidden/>
    <w:qFormat/>
    <w:rsid w:val="00600982"/>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600982"/>
    <w:pPr>
      <w:spacing w:before="200"/>
      <w:ind w:left="360" w:right="360"/>
    </w:pPr>
    <w:rPr>
      <w:i/>
      <w:iCs/>
      <w:sz w:val="22"/>
      <w:lang w:bidi="en-US"/>
    </w:rPr>
  </w:style>
  <w:style w:type="character" w:customStyle="1" w:styleId="QuoteChar">
    <w:name w:val="Quote Char"/>
    <w:basedOn w:val="DefaultParagraphFont"/>
    <w:link w:val="Quote"/>
    <w:uiPriority w:val="99"/>
    <w:semiHidden/>
    <w:rsid w:val="00600982"/>
    <w:rPr>
      <w:rFonts w:eastAsiaTheme="minorEastAsia"/>
      <w:i/>
      <w:iCs/>
      <w:lang w:bidi="en-US"/>
    </w:rPr>
  </w:style>
  <w:style w:type="character" w:styleId="SubtleReference">
    <w:name w:val="Subtle Reference"/>
    <w:uiPriority w:val="99"/>
    <w:semiHidden/>
    <w:qFormat/>
    <w:rsid w:val="00600982"/>
    <w:rPr>
      <w:smallCaps/>
    </w:rPr>
  </w:style>
  <w:style w:type="table" w:styleId="TableGrid">
    <w:name w:val="Table Grid"/>
    <w:basedOn w:val="TableNormal"/>
    <w:uiPriority w:val="59"/>
    <w:semiHidden/>
    <w:rsid w:val="0060098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600982"/>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600982"/>
    <w:pPr>
      <w:spacing w:after="60"/>
      <w:ind w:left="680" w:right="340" w:hanging="340"/>
    </w:pPr>
  </w:style>
  <w:style w:type="paragraph" w:styleId="TOC3">
    <w:name w:val="toc 3"/>
    <w:basedOn w:val="Normal"/>
    <w:next w:val="Normal"/>
    <w:autoRedefine/>
    <w:uiPriority w:val="99"/>
    <w:semiHidden/>
    <w:rsid w:val="00600982"/>
    <w:pPr>
      <w:spacing w:after="60"/>
      <w:ind w:left="1020" w:right="340" w:hanging="340"/>
    </w:pPr>
  </w:style>
  <w:style w:type="paragraph" w:styleId="TOC4">
    <w:name w:val="toc 4"/>
    <w:basedOn w:val="Normal"/>
    <w:next w:val="Normal"/>
    <w:autoRedefine/>
    <w:uiPriority w:val="99"/>
    <w:semiHidden/>
    <w:rsid w:val="00600982"/>
    <w:pPr>
      <w:tabs>
        <w:tab w:val="right" w:leader="dot" w:pos="9017"/>
      </w:tabs>
      <w:spacing w:after="60"/>
      <w:ind w:left="1361" w:right="340" w:hanging="340"/>
    </w:pPr>
  </w:style>
  <w:style w:type="paragraph" w:styleId="TOC5">
    <w:name w:val="toc 5"/>
    <w:basedOn w:val="Normal"/>
    <w:next w:val="Normal"/>
    <w:autoRedefine/>
    <w:uiPriority w:val="99"/>
    <w:semiHidden/>
    <w:rsid w:val="00600982"/>
    <w:pPr>
      <w:spacing w:after="60"/>
      <w:ind w:left="1701" w:right="340" w:hanging="340"/>
    </w:pPr>
  </w:style>
  <w:style w:type="paragraph" w:styleId="TOCHeading">
    <w:name w:val="TOC Heading"/>
    <w:basedOn w:val="Heading1"/>
    <w:next w:val="Normal"/>
    <w:uiPriority w:val="99"/>
    <w:semiHidden/>
    <w:qFormat/>
    <w:rsid w:val="00600982"/>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600982"/>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600982"/>
    <w:pPr>
      <w:spacing w:before="120" w:after="120"/>
      <w:ind w:left="425" w:firstLine="142"/>
    </w:pPr>
    <w:rPr>
      <w:sz w:val="20"/>
    </w:rPr>
  </w:style>
  <w:style w:type="paragraph" w:customStyle="1" w:styleId="ECHRPara">
    <w:name w:val="ECHR_Para"/>
    <w:aliases w:val="Ju_Para"/>
    <w:basedOn w:val="Normal"/>
    <w:link w:val="ECHRParaChar"/>
    <w:uiPriority w:val="12"/>
    <w:qFormat/>
    <w:rsid w:val="00600982"/>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600982"/>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600982"/>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600982"/>
    <w:pPr>
      <w:ind w:left="340" w:hanging="340"/>
    </w:pPr>
  </w:style>
  <w:style w:type="paragraph" w:customStyle="1" w:styleId="JuSigned">
    <w:name w:val="Ju_Signed"/>
    <w:basedOn w:val="Normal"/>
    <w:next w:val="JuParaLast"/>
    <w:uiPriority w:val="32"/>
    <w:qFormat/>
    <w:rsid w:val="00600982"/>
    <w:pPr>
      <w:tabs>
        <w:tab w:val="center" w:pos="851"/>
        <w:tab w:val="center" w:pos="6407"/>
      </w:tabs>
      <w:spacing w:before="720"/>
      <w:jc w:val="left"/>
    </w:pPr>
  </w:style>
  <w:style w:type="paragraph" w:customStyle="1" w:styleId="JuParaLast">
    <w:name w:val="Ju_Para_Last"/>
    <w:basedOn w:val="Normal"/>
    <w:next w:val="ECHRPara"/>
    <w:uiPriority w:val="30"/>
    <w:qFormat/>
    <w:rsid w:val="00600982"/>
    <w:pPr>
      <w:keepNext/>
      <w:keepLines/>
      <w:spacing w:before="240"/>
      <w:ind w:firstLine="284"/>
    </w:pPr>
  </w:style>
  <w:style w:type="character" w:customStyle="1" w:styleId="JuITMark">
    <w:name w:val="Ju_ITMark"/>
    <w:basedOn w:val="DefaultParagraphFont"/>
    <w:uiPriority w:val="38"/>
    <w:qFormat/>
    <w:rsid w:val="00600982"/>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600982"/>
    <w:pPr>
      <w:ind w:left="346" w:firstLine="0"/>
    </w:pPr>
  </w:style>
  <w:style w:type="paragraph" w:customStyle="1" w:styleId="OpiTranslation">
    <w:name w:val="Opi_Translation"/>
    <w:basedOn w:val="Normal"/>
    <w:next w:val="OpiPara"/>
    <w:uiPriority w:val="40"/>
    <w:qFormat/>
    <w:rsid w:val="00600982"/>
    <w:pPr>
      <w:jc w:val="center"/>
      <w:outlineLvl w:val="0"/>
    </w:pPr>
    <w:rPr>
      <w:i/>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HTitle">
    <w:name w:val="Dec_H_Title"/>
    <w:basedOn w:val="ECHRTitleCentre1"/>
    <w:uiPriority w:val="7"/>
    <w:rsid w:val="00600982"/>
  </w:style>
  <w:style w:type="paragraph" w:styleId="ListBullet">
    <w:name w:val="List Bullet"/>
    <w:basedOn w:val="Normal"/>
    <w:uiPriority w:val="99"/>
    <w:semiHidden/>
    <w:rsid w:val="00014566"/>
    <w:pPr>
      <w:numPr>
        <w:numId w:val="1"/>
      </w:numPr>
    </w:pPr>
  </w:style>
  <w:style w:type="paragraph" w:customStyle="1" w:styleId="JuCourt">
    <w:name w:val="Ju_Court"/>
    <w:basedOn w:val="Normal"/>
    <w:next w:val="Normal"/>
    <w:uiPriority w:val="16"/>
    <w:qFormat/>
    <w:rsid w:val="00600982"/>
    <w:pPr>
      <w:tabs>
        <w:tab w:val="left" w:pos="907"/>
        <w:tab w:val="left" w:pos="1701"/>
        <w:tab w:val="right" w:pos="7371"/>
      </w:tabs>
      <w:spacing w:before="240"/>
      <w:ind w:left="397" w:hanging="397"/>
      <w:jc w:val="left"/>
    </w:pPr>
    <w:rPr>
      <w:lang w:bidi="en-US"/>
    </w:rPr>
  </w:style>
  <w:style w:type="paragraph" w:styleId="Subtitle">
    <w:name w:val="Subtitle"/>
    <w:basedOn w:val="Normal"/>
    <w:next w:val="Normal"/>
    <w:link w:val="SubtitleChar"/>
    <w:uiPriority w:val="99"/>
    <w:semiHidden/>
    <w:qFormat/>
    <w:rsid w:val="00600982"/>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600982"/>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character" w:customStyle="1" w:styleId="ECHRParaChar">
    <w:name w:val="ECHR_Para Char"/>
    <w:aliases w:val="Ju_Para Char"/>
    <w:basedOn w:val="DefaultParagraphFont"/>
    <w:link w:val="ECHRPara"/>
    <w:uiPriority w:val="12"/>
    <w:rsid w:val="00DD6A30"/>
    <w:rPr>
      <w:rFonts w:eastAsiaTheme="minorEastAsia"/>
      <w:sz w:val="24"/>
    </w:rPr>
  </w:style>
  <w:style w:type="paragraph" w:customStyle="1" w:styleId="DecList">
    <w:name w:val="Dec_List"/>
    <w:basedOn w:val="Normal"/>
    <w:uiPriority w:val="9"/>
    <w:rsid w:val="00600982"/>
    <w:pPr>
      <w:spacing w:before="240"/>
      <w:ind w:left="284"/>
    </w:pPr>
  </w:style>
  <w:style w:type="paragraph" w:customStyle="1" w:styleId="JuListi">
    <w:name w:val="Ju_List_i"/>
    <w:basedOn w:val="Normal"/>
    <w:next w:val="JuLista"/>
    <w:uiPriority w:val="28"/>
    <w:qFormat/>
    <w:rsid w:val="00600982"/>
    <w:pPr>
      <w:ind w:left="794"/>
    </w:pPr>
  </w:style>
  <w:style w:type="paragraph" w:customStyle="1" w:styleId="OpiH1">
    <w:name w:val="Opi_H_1"/>
    <w:basedOn w:val="ECHRHeading2"/>
    <w:uiPriority w:val="42"/>
    <w:qFormat/>
    <w:rsid w:val="00600982"/>
    <w:pPr>
      <w:ind w:left="635" w:hanging="357"/>
      <w:outlineLvl w:val="2"/>
    </w:pPr>
  </w:style>
  <w:style w:type="paragraph" w:customStyle="1" w:styleId="OpiHa0">
    <w:name w:val="Opi_H_a"/>
    <w:basedOn w:val="ECHRHeading3"/>
    <w:uiPriority w:val="43"/>
    <w:qFormat/>
    <w:rsid w:val="00600982"/>
    <w:pPr>
      <w:ind w:left="833" w:hanging="357"/>
      <w:outlineLvl w:val="3"/>
    </w:pPr>
    <w:rPr>
      <w:b/>
      <w:i w:val="0"/>
      <w:sz w:val="20"/>
    </w:rPr>
  </w:style>
  <w:style w:type="paragraph" w:customStyle="1" w:styleId="OpiHi">
    <w:name w:val="Opi_H_i"/>
    <w:basedOn w:val="ECHRHeading4"/>
    <w:uiPriority w:val="44"/>
    <w:qFormat/>
    <w:rsid w:val="00600982"/>
    <w:pPr>
      <w:ind w:left="1037" w:hanging="357"/>
      <w:outlineLvl w:val="4"/>
    </w:pPr>
    <w:rPr>
      <w:b w:val="0"/>
      <w:i/>
    </w:rPr>
  </w:style>
  <w:style w:type="paragraph" w:customStyle="1" w:styleId="DummyStyle">
    <w:name w:val="Dummy_Style"/>
    <w:basedOn w:val="Normal"/>
    <w:semiHidden/>
    <w:qFormat/>
    <w:rsid w:val="00600982"/>
    <w:rPr>
      <w:color w:val="00B050"/>
    </w:rPr>
  </w:style>
  <w:style w:type="paragraph" w:customStyle="1" w:styleId="jupara">
    <w:name w:val="jupara"/>
    <w:basedOn w:val="Normal"/>
    <w:rsid w:val="00C471A6"/>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C471A6"/>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0276">
      <w:bodyDiv w:val="1"/>
      <w:marLeft w:val="0"/>
      <w:marRight w:val="0"/>
      <w:marTop w:val="0"/>
      <w:marBottom w:val="0"/>
      <w:divBdr>
        <w:top w:val="none" w:sz="0" w:space="0" w:color="auto"/>
        <w:left w:val="none" w:sz="0" w:space="0" w:color="auto"/>
        <w:bottom w:val="none" w:sz="0" w:space="0" w:color="auto"/>
        <w:right w:val="none" w:sz="0" w:space="0" w:color="auto"/>
      </w:divBdr>
      <w:divsChild>
        <w:div w:id="639118923">
          <w:marLeft w:val="0"/>
          <w:marRight w:val="0"/>
          <w:marTop w:val="0"/>
          <w:marBottom w:val="0"/>
          <w:divBdr>
            <w:top w:val="none" w:sz="0" w:space="0" w:color="auto"/>
            <w:left w:val="none" w:sz="0" w:space="0" w:color="auto"/>
            <w:bottom w:val="none" w:sz="0" w:space="0" w:color="auto"/>
            <w:right w:val="none" w:sz="0" w:space="0" w:color="auto"/>
          </w:divBdr>
          <w:divsChild>
            <w:div w:id="109011622">
              <w:marLeft w:val="0"/>
              <w:marRight w:val="0"/>
              <w:marTop w:val="0"/>
              <w:marBottom w:val="0"/>
              <w:divBdr>
                <w:top w:val="none" w:sz="0" w:space="0" w:color="auto"/>
                <w:left w:val="none" w:sz="0" w:space="0" w:color="auto"/>
                <w:bottom w:val="none" w:sz="0" w:space="0" w:color="auto"/>
                <w:right w:val="none" w:sz="0" w:space="0" w:color="auto"/>
              </w:divBdr>
              <w:divsChild>
                <w:div w:id="1731808688">
                  <w:marLeft w:val="0"/>
                  <w:marRight w:val="0"/>
                  <w:marTop w:val="0"/>
                  <w:marBottom w:val="0"/>
                  <w:divBdr>
                    <w:top w:val="none" w:sz="0" w:space="0" w:color="auto"/>
                    <w:left w:val="none" w:sz="0" w:space="0" w:color="auto"/>
                    <w:bottom w:val="none" w:sz="0" w:space="0" w:color="auto"/>
                    <w:right w:val="none" w:sz="0" w:space="0" w:color="auto"/>
                  </w:divBdr>
                  <w:divsChild>
                    <w:div w:id="587617632">
                      <w:marLeft w:val="0"/>
                      <w:marRight w:val="0"/>
                      <w:marTop w:val="0"/>
                      <w:marBottom w:val="0"/>
                      <w:divBdr>
                        <w:top w:val="none" w:sz="0" w:space="0" w:color="auto"/>
                        <w:left w:val="none" w:sz="0" w:space="0" w:color="auto"/>
                        <w:bottom w:val="none" w:sz="0" w:space="0" w:color="auto"/>
                        <w:right w:val="none" w:sz="0" w:space="0" w:color="auto"/>
                      </w:divBdr>
                      <w:divsChild>
                        <w:div w:id="399525013">
                          <w:marLeft w:val="0"/>
                          <w:marRight w:val="0"/>
                          <w:marTop w:val="0"/>
                          <w:marBottom w:val="0"/>
                          <w:divBdr>
                            <w:top w:val="none" w:sz="0" w:space="0" w:color="auto"/>
                            <w:left w:val="none" w:sz="0" w:space="0" w:color="auto"/>
                            <w:bottom w:val="none" w:sz="0" w:space="0" w:color="auto"/>
                            <w:right w:val="none" w:sz="0" w:space="0" w:color="auto"/>
                          </w:divBdr>
                          <w:divsChild>
                            <w:div w:id="20556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6834">
      <w:bodyDiv w:val="1"/>
      <w:marLeft w:val="0"/>
      <w:marRight w:val="0"/>
      <w:marTop w:val="0"/>
      <w:marBottom w:val="0"/>
      <w:divBdr>
        <w:top w:val="none" w:sz="0" w:space="0" w:color="auto"/>
        <w:left w:val="none" w:sz="0" w:space="0" w:color="auto"/>
        <w:bottom w:val="none" w:sz="0" w:space="0" w:color="auto"/>
        <w:right w:val="none" w:sz="0" w:space="0" w:color="auto"/>
      </w:divBdr>
      <w:divsChild>
        <w:div w:id="796340414">
          <w:marLeft w:val="0"/>
          <w:marRight w:val="0"/>
          <w:marTop w:val="0"/>
          <w:marBottom w:val="0"/>
          <w:divBdr>
            <w:top w:val="none" w:sz="0" w:space="0" w:color="auto"/>
            <w:left w:val="none" w:sz="0" w:space="0" w:color="auto"/>
            <w:bottom w:val="none" w:sz="0" w:space="0" w:color="auto"/>
            <w:right w:val="none" w:sz="0" w:space="0" w:color="auto"/>
          </w:divBdr>
          <w:divsChild>
            <w:div w:id="214051811">
              <w:marLeft w:val="0"/>
              <w:marRight w:val="0"/>
              <w:marTop w:val="0"/>
              <w:marBottom w:val="0"/>
              <w:divBdr>
                <w:top w:val="none" w:sz="0" w:space="0" w:color="auto"/>
                <w:left w:val="none" w:sz="0" w:space="0" w:color="auto"/>
                <w:bottom w:val="none" w:sz="0" w:space="0" w:color="auto"/>
                <w:right w:val="none" w:sz="0" w:space="0" w:color="auto"/>
              </w:divBdr>
              <w:divsChild>
                <w:div w:id="1293708743">
                  <w:marLeft w:val="0"/>
                  <w:marRight w:val="0"/>
                  <w:marTop w:val="0"/>
                  <w:marBottom w:val="0"/>
                  <w:divBdr>
                    <w:top w:val="none" w:sz="0" w:space="0" w:color="auto"/>
                    <w:left w:val="none" w:sz="0" w:space="0" w:color="auto"/>
                    <w:bottom w:val="none" w:sz="0" w:space="0" w:color="auto"/>
                    <w:right w:val="none" w:sz="0" w:space="0" w:color="auto"/>
                  </w:divBdr>
                  <w:divsChild>
                    <w:div w:id="1474827594">
                      <w:marLeft w:val="0"/>
                      <w:marRight w:val="0"/>
                      <w:marTop w:val="0"/>
                      <w:marBottom w:val="0"/>
                      <w:divBdr>
                        <w:top w:val="none" w:sz="0" w:space="0" w:color="auto"/>
                        <w:left w:val="none" w:sz="0" w:space="0" w:color="auto"/>
                        <w:bottom w:val="none" w:sz="0" w:space="0" w:color="auto"/>
                        <w:right w:val="none" w:sz="0" w:space="0" w:color="auto"/>
                      </w:divBdr>
                      <w:divsChild>
                        <w:div w:id="806439553">
                          <w:marLeft w:val="0"/>
                          <w:marRight w:val="0"/>
                          <w:marTop w:val="0"/>
                          <w:marBottom w:val="0"/>
                          <w:divBdr>
                            <w:top w:val="none" w:sz="0" w:space="0" w:color="auto"/>
                            <w:left w:val="none" w:sz="0" w:space="0" w:color="auto"/>
                            <w:bottom w:val="none" w:sz="0" w:space="0" w:color="auto"/>
                            <w:right w:val="none" w:sz="0" w:space="0" w:color="auto"/>
                          </w:divBdr>
                          <w:divsChild>
                            <w:div w:id="9147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19803">
      <w:bodyDiv w:val="1"/>
      <w:marLeft w:val="0"/>
      <w:marRight w:val="0"/>
      <w:marTop w:val="0"/>
      <w:marBottom w:val="0"/>
      <w:divBdr>
        <w:top w:val="none" w:sz="0" w:space="0" w:color="auto"/>
        <w:left w:val="none" w:sz="0" w:space="0" w:color="auto"/>
        <w:bottom w:val="none" w:sz="0" w:space="0" w:color="auto"/>
        <w:right w:val="none" w:sz="0" w:space="0" w:color="auto"/>
      </w:divBdr>
      <w:divsChild>
        <w:div w:id="1888450689">
          <w:marLeft w:val="0"/>
          <w:marRight w:val="0"/>
          <w:marTop w:val="0"/>
          <w:marBottom w:val="0"/>
          <w:divBdr>
            <w:top w:val="none" w:sz="0" w:space="0" w:color="auto"/>
            <w:left w:val="none" w:sz="0" w:space="0" w:color="auto"/>
            <w:bottom w:val="none" w:sz="0" w:space="0" w:color="auto"/>
            <w:right w:val="none" w:sz="0" w:space="0" w:color="auto"/>
          </w:divBdr>
          <w:divsChild>
            <w:div w:id="1700886386">
              <w:marLeft w:val="0"/>
              <w:marRight w:val="0"/>
              <w:marTop w:val="0"/>
              <w:marBottom w:val="0"/>
              <w:divBdr>
                <w:top w:val="none" w:sz="0" w:space="0" w:color="auto"/>
                <w:left w:val="none" w:sz="0" w:space="0" w:color="auto"/>
                <w:bottom w:val="none" w:sz="0" w:space="0" w:color="auto"/>
                <w:right w:val="none" w:sz="0" w:space="0" w:color="auto"/>
              </w:divBdr>
              <w:divsChild>
                <w:div w:id="1691180254">
                  <w:marLeft w:val="0"/>
                  <w:marRight w:val="0"/>
                  <w:marTop w:val="0"/>
                  <w:marBottom w:val="0"/>
                  <w:divBdr>
                    <w:top w:val="none" w:sz="0" w:space="0" w:color="auto"/>
                    <w:left w:val="none" w:sz="0" w:space="0" w:color="auto"/>
                    <w:bottom w:val="none" w:sz="0" w:space="0" w:color="auto"/>
                    <w:right w:val="none" w:sz="0" w:space="0" w:color="auto"/>
                  </w:divBdr>
                  <w:divsChild>
                    <w:div w:id="115685416">
                      <w:marLeft w:val="0"/>
                      <w:marRight w:val="0"/>
                      <w:marTop w:val="0"/>
                      <w:marBottom w:val="0"/>
                      <w:divBdr>
                        <w:top w:val="none" w:sz="0" w:space="0" w:color="auto"/>
                        <w:left w:val="none" w:sz="0" w:space="0" w:color="auto"/>
                        <w:bottom w:val="none" w:sz="0" w:space="0" w:color="auto"/>
                        <w:right w:val="none" w:sz="0" w:space="0" w:color="auto"/>
                      </w:divBdr>
                      <w:divsChild>
                        <w:div w:id="1273827916">
                          <w:marLeft w:val="0"/>
                          <w:marRight w:val="0"/>
                          <w:marTop w:val="0"/>
                          <w:marBottom w:val="0"/>
                          <w:divBdr>
                            <w:top w:val="none" w:sz="0" w:space="0" w:color="auto"/>
                            <w:left w:val="none" w:sz="0" w:space="0" w:color="auto"/>
                            <w:bottom w:val="none" w:sz="0" w:space="0" w:color="auto"/>
                            <w:right w:val="none" w:sz="0" w:space="0" w:color="auto"/>
                          </w:divBdr>
                          <w:divsChild>
                            <w:div w:id="187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27047">
      <w:bodyDiv w:val="1"/>
      <w:marLeft w:val="0"/>
      <w:marRight w:val="0"/>
      <w:marTop w:val="0"/>
      <w:marBottom w:val="0"/>
      <w:divBdr>
        <w:top w:val="none" w:sz="0" w:space="0" w:color="auto"/>
        <w:left w:val="none" w:sz="0" w:space="0" w:color="auto"/>
        <w:bottom w:val="none" w:sz="0" w:space="0" w:color="auto"/>
        <w:right w:val="none" w:sz="0" w:space="0" w:color="auto"/>
      </w:divBdr>
      <w:divsChild>
        <w:div w:id="1456753089">
          <w:marLeft w:val="0"/>
          <w:marRight w:val="0"/>
          <w:marTop w:val="0"/>
          <w:marBottom w:val="0"/>
          <w:divBdr>
            <w:top w:val="none" w:sz="0" w:space="0" w:color="auto"/>
            <w:left w:val="none" w:sz="0" w:space="0" w:color="auto"/>
            <w:bottom w:val="none" w:sz="0" w:space="0" w:color="auto"/>
            <w:right w:val="none" w:sz="0" w:space="0" w:color="auto"/>
          </w:divBdr>
          <w:divsChild>
            <w:div w:id="544684175">
              <w:marLeft w:val="0"/>
              <w:marRight w:val="0"/>
              <w:marTop w:val="0"/>
              <w:marBottom w:val="0"/>
              <w:divBdr>
                <w:top w:val="none" w:sz="0" w:space="0" w:color="auto"/>
                <w:left w:val="none" w:sz="0" w:space="0" w:color="auto"/>
                <w:bottom w:val="none" w:sz="0" w:space="0" w:color="auto"/>
                <w:right w:val="none" w:sz="0" w:space="0" w:color="auto"/>
              </w:divBdr>
              <w:divsChild>
                <w:div w:id="966393917">
                  <w:marLeft w:val="0"/>
                  <w:marRight w:val="0"/>
                  <w:marTop w:val="0"/>
                  <w:marBottom w:val="0"/>
                  <w:divBdr>
                    <w:top w:val="none" w:sz="0" w:space="0" w:color="auto"/>
                    <w:left w:val="none" w:sz="0" w:space="0" w:color="auto"/>
                    <w:bottom w:val="none" w:sz="0" w:space="0" w:color="auto"/>
                    <w:right w:val="none" w:sz="0" w:space="0" w:color="auto"/>
                  </w:divBdr>
                  <w:divsChild>
                    <w:div w:id="1209220135">
                      <w:marLeft w:val="0"/>
                      <w:marRight w:val="0"/>
                      <w:marTop w:val="0"/>
                      <w:marBottom w:val="0"/>
                      <w:divBdr>
                        <w:top w:val="none" w:sz="0" w:space="0" w:color="auto"/>
                        <w:left w:val="none" w:sz="0" w:space="0" w:color="auto"/>
                        <w:bottom w:val="none" w:sz="0" w:space="0" w:color="auto"/>
                        <w:right w:val="none" w:sz="0" w:space="0" w:color="auto"/>
                      </w:divBdr>
                      <w:divsChild>
                        <w:div w:id="404106975">
                          <w:marLeft w:val="0"/>
                          <w:marRight w:val="0"/>
                          <w:marTop w:val="0"/>
                          <w:marBottom w:val="0"/>
                          <w:divBdr>
                            <w:top w:val="none" w:sz="0" w:space="0" w:color="auto"/>
                            <w:left w:val="none" w:sz="0" w:space="0" w:color="auto"/>
                            <w:bottom w:val="none" w:sz="0" w:space="0" w:color="auto"/>
                            <w:right w:val="none" w:sz="0" w:space="0" w:color="auto"/>
                          </w:divBdr>
                          <w:divsChild>
                            <w:div w:id="15612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83923">
      <w:bodyDiv w:val="1"/>
      <w:marLeft w:val="0"/>
      <w:marRight w:val="0"/>
      <w:marTop w:val="0"/>
      <w:marBottom w:val="0"/>
      <w:divBdr>
        <w:top w:val="none" w:sz="0" w:space="0" w:color="auto"/>
        <w:left w:val="none" w:sz="0" w:space="0" w:color="auto"/>
        <w:bottom w:val="none" w:sz="0" w:space="0" w:color="auto"/>
        <w:right w:val="none" w:sz="0" w:space="0" w:color="auto"/>
      </w:divBdr>
      <w:divsChild>
        <w:div w:id="692152895">
          <w:marLeft w:val="0"/>
          <w:marRight w:val="0"/>
          <w:marTop w:val="0"/>
          <w:marBottom w:val="0"/>
          <w:divBdr>
            <w:top w:val="none" w:sz="0" w:space="0" w:color="auto"/>
            <w:left w:val="none" w:sz="0" w:space="0" w:color="auto"/>
            <w:bottom w:val="none" w:sz="0" w:space="0" w:color="auto"/>
            <w:right w:val="none" w:sz="0" w:space="0" w:color="auto"/>
          </w:divBdr>
          <w:divsChild>
            <w:div w:id="1001548972">
              <w:marLeft w:val="0"/>
              <w:marRight w:val="0"/>
              <w:marTop w:val="0"/>
              <w:marBottom w:val="0"/>
              <w:divBdr>
                <w:top w:val="none" w:sz="0" w:space="0" w:color="auto"/>
                <w:left w:val="none" w:sz="0" w:space="0" w:color="auto"/>
                <w:bottom w:val="none" w:sz="0" w:space="0" w:color="auto"/>
                <w:right w:val="none" w:sz="0" w:space="0" w:color="auto"/>
              </w:divBdr>
              <w:divsChild>
                <w:div w:id="769548406">
                  <w:marLeft w:val="0"/>
                  <w:marRight w:val="0"/>
                  <w:marTop w:val="0"/>
                  <w:marBottom w:val="0"/>
                  <w:divBdr>
                    <w:top w:val="none" w:sz="0" w:space="0" w:color="auto"/>
                    <w:left w:val="none" w:sz="0" w:space="0" w:color="auto"/>
                    <w:bottom w:val="none" w:sz="0" w:space="0" w:color="auto"/>
                    <w:right w:val="none" w:sz="0" w:space="0" w:color="auto"/>
                  </w:divBdr>
                  <w:divsChild>
                    <w:div w:id="655037839">
                      <w:marLeft w:val="0"/>
                      <w:marRight w:val="0"/>
                      <w:marTop w:val="0"/>
                      <w:marBottom w:val="0"/>
                      <w:divBdr>
                        <w:top w:val="none" w:sz="0" w:space="0" w:color="auto"/>
                        <w:left w:val="none" w:sz="0" w:space="0" w:color="auto"/>
                        <w:bottom w:val="none" w:sz="0" w:space="0" w:color="auto"/>
                        <w:right w:val="none" w:sz="0" w:space="0" w:color="auto"/>
                      </w:divBdr>
                      <w:divsChild>
                        <w:div w:id="896863714">
                          <w:marLeft w:val="0"/>
                          <w:marRight w:val="0"/>
                          <w:marTop w:val="0"/>
                          <w:marBottom w:val="0"/>
                          <w:divBdr>
                            <w:top w:val="none" w:sz="0" w:space="0" w:color="auto"/>
                            <w:left w:val="none" w:sz="0" w:space="0" w:color="auto"/>
                            <w:bottom w:val="none" w:sz="0" w:space="0" w:color="auto"/>
                            <w:right w:val="none" w:sz="0" w:space="0" w:color="auto"/>
                          </w:divBdr>
                          <w:divsChild>
                            <w:div w:id="1082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532426">
      <w:bodyDiv w:val="1"/>
      <w:marLeft w:val="0"/>
      <w:marRight w:val="0"/>
      <w:marTop w:val="0"/>
      <w:marBottom w:val="0"/>
      <w:divBdr>
        <w:top w:val="none" w:sz="0" w:space="0" w:color="auto"/>
        <w:left w:val="none" w:sz="0" w:space="0" w:color="auto"/>
        <w:bottom w:val="none" w:sz="0" w:space="0" w:color="auto"/>
        <w:right w:val="none" w:sz="0" w:space="0" w:color="auto"/>
      </w:divBdr>
      <w:divsChild>
        <w:div w:id="1199270844">
          <w:marLeft w:val="0"/>
          <w:marRight w:val="0"/>
          <w:marTop w:val="0"/>
          <w:marBottom w:val="0"/>
          <w:divBdr>
            <w:top w:val="none" w:sz="0" w:space="0" w:color="auto"/>
            <w:left w:val="none" w:sz="0" w:space="0" w:color="auto"/>
            <w:bottom w:val="none" w:sz="0" w:space="0" w:color="auto"/>
            <w:right w:val="none" w:sz="0" w:space="0" w:color="auto"/>
          </w:divBdr>
          <w:divsChild>
            <w:div w:id="1509566268">
              <w:marLeft w:val="0"/>
              <w:marRight w:val="0"/>
              <w:marTop w:val="0"/>
              <w:marBottom w:val="0"/>
              <w:divBdr>
                <w:top w:val="none" w:sz="0" w:space="0" w:color="auto"/>
                <w:left w:val="none" w:sz="0" w:space="0" w:color="auto"/>
                <w:bottom w:val="none" w:sz="0" w:space="0" w:color="auto"/>
                <w:right w:val="none" w:sz="0" w:space="0" w:color="auto"/>
              </w:divBdr>
              <w:divsChild>
                <w:div w:id="1378050501">
                  <w:marLeft w:val="0"/>
                  <w:marRight w:val="0"/>
                  <w:marTop w:val="0"/>
                  <w:marBottom w:val="0"/>
                  <w:divBdr>
                    <w:top w:val="none" w:sz="0" w:space="0" w:color="auto"/>
                    <w:left w:val="none" w:sz="0" w:space="0" w:color="auto"/>
                    <w:bottom w:val="none" w:sz="0" w:space="0" w:color="auto"/>
                    <w:right w:val="none" w:sz="0" w:space="0" w:color="auto"/>
                  </w:divBdr>
                  <w:divsChild>
                    <w:div w:id="2084453536">
                      <w:marLeft w:val="0"/>
                      <w:marRight w:val="0"/>
                      <w:marTop w:val="0"/>
                      <w:marBottom w:val="0"/>
                      <w:divBdr>
                        <w:top w:val="none" w:sz="0" w:space="0" w:color="auto"/>
                        <w:left w:val="none" w:sz="0" w:space="0" w:color="auto"/>
                        <w:bottom w:val="none" w:sz="0" w:space="0" w:color="auto"/>
                        <w:right w:val="none" w:sz="0" w:space="0" w:color="auto"/>
                      </w:divBdr>
                      <w:divsChild>
                        <w:div w:id="2095475179">
                          <w:marLeft w:val="0"/>
                          <w:marRight w:val="0"/>
                          <w:marTop w:val="0"/>
                          <w:marBottom w:val="0"/>
                          <w:divBdr>
                            <w:top w:val="none" w:sz="0" w:space="0" w:color="auto"/>
                            <w:left w:val="none" w:sz="0" w:space="0" w:color="auto"/>
                            <w:bottom w:val="none" w:sz="0" w:space="0" w:color="auto"/>
                            <w:right w:val="none" w:sz="0" w:space="0" w:color="auto"/>
                          </w:divBdr>
                          <w:divsChild>
                            <w:div w:id="2041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741105">
      <w:bodyDiv w:val="1"/>
      <w:marLeft w:val="0"/>
      <w:marRight w:val="0"/>
      <w:marTop w:val="0"/>
      <w:marBottom w:val="0"/>
      <w:divBdr>
        <w:top w:val="none" w:sz="0" w:space="0" w:color="auto"/>
        <w:left w:val="none" w:sz="0" w:space="0" w:color="auto"/>
        <w:bottom w:val="none" w:sz="0" w:space="0" w:color="auto"/>
        <w:right w:val="none" w:sz="0" w:space="0" w:color="auto"/>
      </w:divBdr>
      <w:divsChild>
        <w:div w:id="842473855">
          <w:marLeft w:val="0"/>
          <w:marRight w:val="0"/>
          <w:marTop w:val="0"/>
          <w:marBottom w:val="0"/>
          <w:divBdr>
            <w:top w:val="none" w:sz="0" w:space="0" w:color="auto"/>
            <w:left w:val="none" w:sz="0" w:space="0" w:color="auto"/>
            <w:bottom w:val="none" w:sz="0" w:space="0" w:color="auto"/>
            <w:right w:val="none" w:sz="0" w:space="0" w:color="auto"/>
          </w:divBdr>
          <w:divsChild>
            <w:div w:id="490677622">
              <w:marLeft w:val="0"/>
              <w:marRight w:val="0"/>
              <w:marTop w:val="0"/>
              <w:marBottom w:val="0"/>
              <w:divBdr>
                <w:top w:val="none" w:sz="0" w:space="0" w:color="auto"/>
                <w:left w:val="none" w:sz="0" w:space="0" w:color="auto"/>
                <w:bottom w:val="none" w:sz="0" w:space="0" w:color="auto"/>
                <w:right w:val="none" w:sz="0" w:space="0" w:color="auto"/>
              </w:divBdr>
              <w:divsChild>
                <w:div w:id="765468181">
                  <w:marLeft w:val="0"/>
                  <w:marRight w:val="0"/>
                  <w:marTop w:val="0"/>
                  <w:marBottom w:val="0"/>
                  <w:divBdr>
                    <w:top w:val="none" w:sz="0" w:space="0" w:color="auto"/>
                    <w:left w:val="none" w:sz="0" w:space="0" w:color="auto"/>
                    <w:bottom w:val="none" w:sz="0" w:space="0" w:color="auto"/>
                    <w:right w:val="none" w:sz="0" w:space="0" w:color="auto"/>
                  </w:divBdr>
                  <w:divsChild>
                    <w:div w:id="2054453204">
                      <w:marLeft w:val="0"/>
                      <w:marRight w:val="0"/>
                      <w:marTop w:val="0"/>
                      <w:marBottom w:val="0"/>
                      <w:divBdr>
                        <w:top w:val="none" w:sz="0" w:space="0" w:color="auto"/>
                        <w:left w:val="none" w:sz="0" w:space="0" w:color="auto"/>
                        <w:bottom w:val="none" w:sz="0" w:space="0" w:color="auto"/>
                        <w:right w:val="none" w:sz="0" w:space="0" w:color="auto"/>
                      </w:divBdr>
                      <w:divsChild>
                        <w:div w:id="1106998133">
                          <w:marLeft w:val="0"/>
                          <w:marRight w:val="0"/>
                          <w:marTop w:val="0"/>
                          <w:marBottom w:val="0"/>
                          <w:divBdr>
                            <w:top w:val="none" w:sz="0" w:space="0" w:color="auto"/>
                            <w:left w:val="none" w:sz="0" w:space="0" w:color="auto"/>
                            <w:bottom w:val="none" w:sz="0" w:space="0" w:color="auto"/>
                            <w:right w:val="none" w:sz="0" w:space="0" w:color="auto"/>
                          </w:divBdr>
                          <w:divsChild>
                            <w:div w:id="497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46997">
      <w:bodyDiv w:val="1"/>
      <w:marLeft w:val="0"/>
      <w:marRight w:val="0"/>
      <w:marTop w:val="0"/>
      <w:marBottom w:val="0"/>
      <w:divBdr>
        <w:top w:val="none" w:sz="0" w:space="0" w:color="auto"/>
        <w:left w:val="none" w:sz="0" w:space="0" w:color="auto"/>
        <w:bottom w:val="none" w:sz="0" w:space="0" w:color="auto"/>
        <w:right w:val="none" w:sz="0" w:space="0" w:color="auto"/>
      </w:divBdr>
      <w:divsChild>
        <w:div w:id="1257397019">
          <w:marLeft w:val="0"/>
          <w:marRight w:val="0"/>
          <w:marTop w:val="0"/>
          <w:marBottom w:val="0"/>
          <w:divBdr>
            <w:top w:val="none" w:sz="0" w:space="0" w:color="auto"/>
            <w:left w:val="none" w:sz="0" w:space="0" w:color="auto"/>
            <w:bottom w:val="none" w:sz="0" w:space="0" w:color="auto"/>
            <w:right w:val="none" w:sz="0" w:space="0" w:color="auto"/>
          </w:divBdr>
          <w:divsChild>
            <w:div w:id="2021196098">
              <w:marLeft w:val="0"/>
              <w:marRight w:val="0"/>
              <w:marTop w:val="0"/>
              <w:marBottom w:val="0"/>
              <w:divBdr>
                <w:top w:val="none" w:sz="0" w:space="0" w:color="auto"/>
                <w:left w:val="none" w:sz="0" w:space="0" w:color="auto"/>
                <w:bottom w:val="none" w:sz="0" w:space="0" w:color="auto"/>
                <w:right w:val="none" w:sz="0" w:space="0" w:color="auto"/>
              </w:divBdr>
              <w:divsChild>
                <w:div w:id="1011571351">
                  <w:marLeft w:val="0"/>
                  <w:marRight w:val="0"/>
                  <w:marTop w:val="0"/>
                  <w:marBottom w:val="0"/>
                  <w:divBdr>
                    <w:top w:val="none" w:sz="0" w:space="0" w:color="auto"/>
                    <w:left w:val="none" w:sz="0" w:space="0" w:color="auto"/>
                    <w:bottom w:val="none" w:sz="0" w:space="0" w:color="auto"/>
                    <w:right w:val="none" w:sz="0" w:space="0" w:color="auto"/>
                  </w:divBdr>
                  <w:divsChild>
                    <w:div w:id="1764374687">
                      <w:marLeft w:val="0"/>
                      <w:marRight w:val="0"/>
                      <w:marTop w:val="0"/>
                      <w:marBottom w:val="0"/>
                      <w:divBdr>
                        <w:top w:val="none" w:sz="0" w:space="0" w:color="auto"/>
                        <w:left w:val="none" w:sz="0" w:space="0" w:color="auto"/>
                        <w:bottom w:val="none" w:sz="0" w:space="0" w:color="auto"/>
                        <w:right w:val="none" w:sz="0" w:space="0" w:color="auto"/>
                      </w:divBdr>
                      <w:divsChild>
                        <w:div w:id="1559322860">
                          <w:marLeft w:val="0"/>
                          <w:marRight w:val="0"/>
                          <w:marTop w:val="0"/>
                          <w:marBottom w:val="0"/>
                          <w:divBdr>
                            <w:top w:val="none" w:sz="0" w:space="0" w:color="auto"/>
                            <w:left w:val="none" w:sz="0" w:space="0" w:color="auto"/>
                            <w:bottom w:val="none" w:sz="0" w:space="0" w:color="auto"/>
                            <w:right w:val="none" w:sz="0" w:space="0" w:color="auto"/>
                          </w:divBdr>
                          <w:divsChild>
                            <w:div w:id="19090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08819">
      <w:bodyDiv w:val="1"/>
      <w:marLeft w:val="0"/>
      <w:marRight w:val="0"/>
      <w:marTop w:val="0"/>
      <w:marBottom w:val="0"/>
      <w:divBdr>
        <w:top w:val="none" w:sz="0" w:space="0" w:color="auto"/>
        <w:left w:val="none" w:sz="0" w:space="0" w:color="auto"/>
        <w:bottom w:val="none" w:sz="0" w:space="0" w:color="auto"/>
        <w:right w:val="none" w:sz="0" w:space="0" w:color="auto"/>
      </w:divBdr>
      <w:divsChild>
        <w:div w:id="1099134689">
          <w:marLeft w:val="0"/>
          <w:marRight w:val="0"/>
          <w:marTop w:val="0"/>
          <w:marBottom w:val="0"/>
          <w:divBdr>
            <w:top w:val="none" w:sz="0" w:space="0" w:color="auto"/>
            <w:left w:val="none" w:sz="0" w:space="0" w:color="auto"/>
            <w:bottom w:val="none" w:sz="0" w:space="0" w:color="auto"/>
            <w:right w:val="none" w:sz="0" w:space="0" w:color="auto"/>
          </w:divBdr>
          <w:divsChild>
            <w:div w:id="655451842">
              <w:marLeft w:val="0"/>
              <w:marRight w:val="0"/>
              <w:marTop w:val="0"/>
              <w:marBottom w:val="0"/>
              <w:divBdr>
                <w:top w:val="none" w:sz="0" w:space="0" w:color="auto"/>
                <w:left w:val="none" w:sz="0" w:space="0" w:color="auto"/>
                <w:bottom w:val="none" w:sz="0" w:space="0" w:color="auto"/>
                <w:right w:val="none" w:sz="0" w:space="0" w:color="auto"/>
              </w:divBdr>
              <w:divsChild>
                <w:div w:id="487095612">
                  <w:marLeft w:val="0"/>
                  <w:marRight w:val="0"/>
                  <w:marTop w:val="0"/>
                  <w:marBottom w:val="0"/>
                  <w:divBdr>
                    <w:top w:val="none" w:sz="0" w:space="0" w:color="auto"/>
                    <w:left w:val="none" w:sz="0" w:space="0" w:color="auto"/>
                    <w:bottom w:val="none" w:sz="0" w:space="0" w:color="auto"/>
                    <w:right w:val="none" w:sz="0" w:space="0" w:color="auto"/>
                  </w:divBdr>
                  <w:divsChild>
                    <w:div w:id="1082987052">
                      <w:marLeft w:val="0"/>
                      <w:marRight w:val="0"/>
                      <w:marTop w:val="0"/>
                      <w:marBottom w:val="0"/>
                      <w:divBdr>
                        <w:top w:val="none" w:sz="0" w:space="0" w:color="auto"/>
                        <w:left w:val="none" w:sz="0" w:space="0" w:color="auto"/>
                        <w:bottom w:val="none" w:sz="0" w:space="0" w:color="auto"/>
                        <w:right w:val="none" w:sz="0" w:space="0" w:color="auto"/>
                      </w:divBdr>
                      <w:divsChild>
                        <w:div w:id="1959677822">
                          <w:marLeft w:val="0"/>
                          <w:marRight w:val="0"/>
                          <w:marTop w:val="0"/>
                          <w:marBottom w:val="0"/>
                          <w:divBdr>
                            <w:top w:val="none" w:sz="0" w:space="0" w:color="auto"/>
                            <w:left w:val="none" w:sz="0" w:space="0" w:color="auto"/>
                            <w:bottom w:val="none" w:sz="0" w:space="0" w:color="auto"/>
                            <w:right w:val="none" w:sz="0" w:space="0" w:color="auto"/>
                          </w:divBdr>
                          <w:divsChild>
                            <w:div w:id="200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89536">
      <w:bodyDiv w:val="1"/>
      <w:marLeft w:val="0"/>
      <w:marRight w:val="0"/>
      <w:marTop w:val="0"/>
      <w:marBottom w:val="0"/>
      <w:divBdr>
        <w:top w:val="none" w:sz="0" w:space="0" w:color="auto"/>
        <w:left w:val="none" w:sz="0" w:space="0" w:color="auto"/>
        <w:bottom w:val="none" w:sz="0" w:space="0" w:color="auto"/>
        <w:right w:val="none" w:sz="0" w:space="0" w:color="auto"/>
      </w:divBdr>
      <w:divsChild>
        <w:div w:id="387532182">
          <w:marLeft w:val="0"/>
          <w:marRight w:val="0"/>
          <w:marTop w:val="0"/>
          <w:marBottom w:val="0"/>
          <w:divBdr>
            <w:top w:val="none" w:sz="0" w:space="0" w:color="auto"/>
            <w:left w:val="none" w:sz="0" w:space="0" w:color="auto"/>
            <w:bottom w:val="none" w:sz="0" w:space="0" w:color="auto"/>
            <w:right w:val="none" w:sz="0" w:space="0" w:color="auto"/>
          </w:divBdr>
          <w:divsChild>
            <w:div w:id="2112509241">
              <w:marLeft w:val="0"/>
              <w:marRight w:val="0"/>
              <w:marTop w:val="0"/>
              <w:marBottom w:val="0"/>
              <w:divBdr>
                <w:top w:val="none" w:sz="0" w:space="0" w:color="auto"/>
                <w:left w:val="none" w:sz="0" w:space="0" w:color="auto"/>
                <w:bottom w:val="none" w:sz="0" w:space="0" w:color="auto"/>
                <w:right w:val="none" w:sz="0" w:space="0" w:color="auto"/>
              </w:divBdr>
              <w:divsChild>
                <w:div w:id="1679652969">
                  <w:marLeft w:val="0"/>
                  <w:marRight w:val="0"/>
                  <w:marTop w:val="0"/>
                  <w:marBottom w:val="0"/>
                  <w:divBdr>
                    <w:top w:val="none" w:sz="0" w:space="0" w:color="auto"/>
                    <w:left w:val="none" w:sz="0" w:space="0" w:color="auto"/>
                    <w:bottom w:val="none" w:sz="0" w:space="0" w:color="auto"/>
                    <w:right w:val="none" w:sz="0" w:space="0" w:color="auto"/>
                  </w:divBdr>
                  <w:divsChild>
                    <w:div w:id="626205944">
                      <w:marLeft w:val="0"/>
                      <w:marRight w:val="0"/>
                      <w:marTop w:val="0"/>
                      <w:marBottom w:val="0"/>
                      <w:divBdr>
                        <w:top w:val="none" w:sz="0" w:space="0" w:color="auto"/>
                        <w:left w:val="none" w:sz="0" w:space="0" w:color="auto"/>
                        <w:bottom w:val="none" w:sz="0" w:space="0" w:color="auto"/>
                        <w:right w:val="none" w:sz="0" w:space="0" w:color="auto"/>
                      </w:divBdr>
                      <w:divsChild>
                        <w:div w:id="37357259">
                          <w:marLeft w:val="0"/>
                          <w:marRight w:val="0"/>
                          <w:marTop w:val="0"/>
                          <w:marBottom w:val="0"/>
                          <w:divBdr>
                            <w:top w:val="none" w:sz="0" w:space="0" w:color="auto"/>
                            <w:left w:val="none" w:sz="0" w:space="0" w:color="auto"/>
                            <w:bottom w:val="none" w:sz="0" w:space="0" w:color="auto"/>
                            <w:right w:val="none" w:sz="0" w:space="0" w:color="auto"/>
                          </w:divBdr>
                          <w:divsChild>
                            <w:div w:id="20760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88502">
      <w:bodyDiv w:val="1"/>
      <w:marLeft w:val="0"/>
      <w:marRight w:val="0"/>
      <w:marTop w:val="0"/>
      <w:marBottom w:val="0"/>
      <w:divBdr>
        <w:top w:val="none" w:sz="0" w:space="0" w:color="auto"/>
        <w:left w:val="none" w:sz="0" w:space="0" w:color="auto"/>
        <w:bottom w:val="none" w:sz="0" w:space="0" w:color="auto"/>
        <w:right w:val="none" w:sz="0" w:space="0" w:color="auto"/>
      </w:divBdr>
      <w:divsChild>
        <w:div w:id="580725144">
          <w:marLeft w:val="0"/>
          <w:marRight w:val="0"/>
          <w:marTop w:val="0"/>
          <w:marBottom w:val="0"/>
          <w:divBdr>
            <w:top w:val="none" w:sz="0" w:space="0" w:color="auto"/>
            <w:left w:val="none" w:sz="0" w:space="0" w:color="auto"/>
            <w:bottom w:val="none" w:sz="0" w:space="0" w:color="auto"/>
            <w:right w:val="none" w:sz="0" w:space="0" w:color="auto"/>
          </w:divBdr>
          <w:divsChild>
            <w:div w:id="47459465">
              <w:marLeft w:val="0"/>
              <w:marRight w:val="0"/>
              <w:marTop w:val="0"/>
              <w:marBottom w:val="0"/>
              <w:divBdr>
                <w:top w:val="none" w:sz="0" w:space="0" w:color="auto"/>
                <w:left w:val="none" w:sz="0" w:space="0" w:color="auto"/>
                <w:bottom w:val="none" w:sz="0" w:space="0" w:color="auto"/>
                <w:right w:val="none" w:sz="0" w:space="0" w:color="auto"/>
              </w:divBdr>
              <w:divsChild>
                <w:div w:id="1002319051">
                  <w:marLeft w:val="0"/>
                  <w:marRight w:val="0"/>
                  <w:marTop w:val="0"/>
                  <w:marBottom w:val="0"/>
                  <w:divBdr>
                    <w:top w:val="none" w:sz="0" w:space="0" w:color="auto"/>
                    <w:left w:val="none" w:sz="0" w:space="0" w:color="auto"/>
                    <w:bottom w:val="none" w:sz="0" w:space="0" w:color="auto"/>
                    <w:right w:val="none" w:sz="0" w:space="0" w:color="auto"/>
                  </w:divBdr>
                  <w:divsChild>
                    <w:div w:id="1056396535">
                      <w:marLeft w:val="0"/>
                      <w:marRight w:val="0"/>
                      <w:marTop w:val="0"/>
                      <w:marBottom w:val="0"/>
                      <w:divBdr>
                        <w:top w:val="none" w:sz="0" w:space="0" w:color="auto"/>
                        <w:left w:val="none" w:sz="0" w:space="0" w:color="auto"/>
                        <w:bottom w:val="none" w:sz="0" w:space="0" w:color="auto"/>
                        <w:right w:val="none" w:sz="0" w:space="0" w:color="auto"/>
                      </w:divBdr>
                      <w:divsChild>
                        <w:div w:id="817455212">
                          <w:marLeft w:val="0"/>
                          <w:marRight w:val="0"/>
                          <w:marTop w:val="0"/>
                          <w:marBottom w:val="0"/>
                          <w:divBdr>
                            <w:top w:val="none" w:sz="0" w:space="0" w:color="auto"/>
                            <w:left w:val="none" w:sz="0" w:space="0" w:color="auto"/>
                            <w:bottom w:val="none" w:sz="0" w:space="0" w:color="auto"/>
                            <w:right w:val="none" w:sz="0" w:space="0" w:color="auto"/>
                          </w:divBdr>
                          <w:divsChild>
                            <w:div w:id="20406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357141">
      <w:bodyDiv w:val="1"/>
      <w:marLeft w:val="0"/>
      <w:marRight w:val="0"/>
      <w:marTop w:val="0"/>
      <w:marBottom w:val="0"/>
      <w:divBdr>
        <w:top w:val="none" w:sz="0" w:space="0" w:color="auto"/>
        <w:left w:val="none" w:sz="0" w:space="0" w:color="auto"/>
        <w:bottom w:val="none" w:sz="0" w:space="0" w:color="auto"/>
        <w:right w:val="none" w:sz="0" w:space="0" w:color="auto"/>
      </w:divBdr>
      <w:divsChild>
        <w:div w:id="725836959">
          <w:marLeft w:val="0"/>
          <w:marRight w:val="0"/>
          <w:marTop w:val="0"/>
          <w:marBottom w:val="0"/>
          <w:divBdr>
            <w:top w:val="none" w:sz="0" w:space="0" w:color="auto"/>
            <w:left w:val="none" w:sz="0" w:space="0" w:color="auto"/>
            <w:bottom w:val="none" w:sz="0" w:space="0" w:color="auto"/>
            <w:right w:val="none" w:sz="0" w:space="0" w:color="auto"/>
          </w:divBdr>
          <w:divsChild>
            <w:div w:id="548035862">
              <w:marLeft w:val="0"/>
              <w:marRight w:val="0"/>
              <w:marTop w:val="0"/>
              <w:marBottom w:val="0"/>
              <w:divBdr>
                <w:top w:val="none" w:sz="0" w:space="0" w:color="auto"/>
                <w:left w:val="none" w:sz="0" w:space="0" w:color="auto"/>
                <w:bottom w:val="none" w:sz="0" w:space="0" w:color="auto"/>
                <w:right w:val="none" w:sz="0" w:space="0" w:color="auto"/>
              </w:divBdr>
              <w:divsChild>
                <w:div w:id="274605743">
                  <w:marLeft w:val="0"/>
                  <w:marRight w:val="0"/>
                  <w:marTop w:val="0"/>
                  <w:marBottom w:val="0"/>
                  <w:divBdr>
                    <w:top w:val="none" w:sz="0" w:space="0" w:color="auto"/>
                    <w:left w:val="none" w:sz="0" w:space="0" w:color="auto"/>
                    <w:bottom w:val="none" w:sz="0" w:space="0" w:color="auto"/>
                    <w:right w:val="none" w:sz="0" w:space="0" w:color="auto"/>
                  </w:divBdr>
                  <w:divsChild>
                    <w:div w:id="1707675516">
                      <w:marLeft w:val="0"/>
                      <w:marRight w:val="0"/>
                      <w:marTop w:val="0"/>
                      <w:marBottom w:val="0"/>
                      <w:divBdr>
                        <w:top w:val="none" w:sz="0" w:space="0" w:color="auto"/>
                        <w:left w:val="none" w:sz="0" w:space="0" w:color="auto"/>
                        <w:bottom w:val="none" w:sz="0" w:space="0" w:color="auto"/>
                        <w:right w:val="none" w:sz="0" w:space="0" w:color="auto"/>
                      </w:divBdr>
                      <w:divsChild>
                        <w:div w:id="632250254">
                          <w:marLeft w:val="0"/>
                          <w:marRight w:val="0"/>
                          <w:marTop w:val="0"/>
                          <w:marBottom w:val="0"/>
                          <w:divBdr>
                            <w:top w:val="none" w:sz="0" w:space="0" w:color="auto"/>
                            <w:left w:val="none" w:sz="0" w:space="0" w:color="auto"/>
                            <w:bottom w:val="none" w:sz="0" w:space="0" w:color="auto"/>
                            <w:right w:val="none" w:sz="0" w:space="0" w:color="auto"/>
                          </w:divBdr>
                          <w:divsChild>
                            <w:div w:id="2365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77780">
      <w:bodyDiv w:val="1"/>
      <w:marLeft w:val="0"/>
      <w:marRight w:val="0"/>
      <w:marTop w:val="0"/>
      <w:marBottom w:val="0"/>
      <w:divBdr>
        <w:top w:val="none" w:sz="0" w:space="0" w:color="auto"/>
        <w:left w:val="none" w:sz="0" w:space="0" w:color="auto"/>
        <w:bottom w:val="none" w:sz="0" w:space="0" w:color="auto"/>
        <w:right w:val="none" w:sz="0" w:space="0" w:color="auto"/>
      </w:divBdr>
      <w:divsChild>
        <w:div w:id="723793986">
          <w:marLeft w:val="0"/>
          <w:marRight w:val="0"/>
          <w:marTop w:val="0"/>
          <w:marBottom w:val="0"/>
          <w:divBdr>
            <w:top w:val="none" w:sz="0" w:space="0" w:color="auto"/>
            <w:left w:val="none" w:sz="0" w:space="0" w:color="auto"/>
            <w:bottom w:val="none" w:sz="0" w:space="0" w:color="auto"/>
            <w:right w:val="none" w:sz="0" w:space="0" w:color="auto"/>
          </w:divBdr>
          <w:divsChild>
            <w:div w:id="742530978">
              <w:marLeft w:val="0"/>
              <w:marRight w:val="0"/>
              <w:marTop w:val="0"/>
              <w:marBottom w:val="0"/>
              <w:divBdr>
                <w:top w:val="none" w:sz="0" w:space="0" w:color="auto"/>
                <w:left w:val="none" w:sz="0" w:space="0" w:color="auto"/>
                <w:bottom w:val="none" w:sz="0" w:space="0" w:color="auto"/>
                <w:right w:val="none" w:sz="0" w:space="0" w:color="auto"/>
              </w:divBdr>
              <w:divsChild>
                <w:div w:id="685401453">
                  <w:marLeft w:val="0"/>
                  <w:marRight w:val="0"/>
                  <w:marTop w:val="0"/>
                  <w:marBottom w:val="0"/>
                  <w:divBdr>
                    <w:top w:val="none" w:sz="0" w:space="0" w:color="auto"/>
                    <w:left w:val="none" w:sz="0" w:space="0" w:color="auto"/>
                    <w:bottom w:val="none" w:sz="0" w:space="0" w:color="auto"/>
                    <w:right w:val="none" w:sz="0" w:space="0" w:color="auto"/>
                  </w:divBdr>
                  <w:divsChild>
                    <w:div w:id="308362782">
                      <w:marLeft w:val="0"/>
                      <w:marRight w:val="0"/>
                      <w:marTop w:val="0"/>
                      <w:marBottom w:val="0"/>
                      <w:divBdr>
                        <w:top w:val="none" w:sz="0" w:space="0" w:color="auto"/>
                        <w:left w:val="none" w:sz="0" w:space="0" w:color="auto"/>
                        <w:bottom w:val="none" w:sz="0" w:space="0" w:color="auto"/>
                        <w:right w:val="none" w:sz="0" w:space="0" w:color="auto"/>
                      </w:divBdr>
                      <w:divsChild>
                        <w:div w:id="1791626725">
                          <w:marLeft w:val="0"/>
                          <w:marRight w:val="0"/>
                          <w:marTop w:val="0"/>
                          <w:marBottom w:val="0"/>
                          <w:divBdr>
                            <w:top w:val="none" w:sz="0" w:space="0" w:color="auto"/>
                            <w:left w:val="none" w:sz="0" w:space="0" w:color="auto"/>
                            <w:bottom w:val="none" w:sz="0" w:space="0" w:color="auto"/>
                            <w:right w:val="none" w:sz="0" w:space="0" w:color="auto"/>
                          </w:divBdr>
                          <w:divsChild>
                            <w:div w:id="30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60235483">
      <w:bodyDiv w:val="1"/>
      <w:marLeft w:val="0"/>
      <w:marRight w:val="0"/>
      <w:marTop w:val="0"/>
      <w:marBottom w:val="0"/>
      <w:divBdr>
        <w:top w:val="none" w:sz="0" w:space="0" w:color="auto"/>
        <w:left w:val="none" w:sz="0" w:space="0" w:color="auto"/>
        <w:bottom w:val="none" w:sz="0" w:space="0" w:color="auto"/>
        <w:right w:val="none" w:sz="0" w:space="0" w:color="auto"/>
      </w:divBdr>
      <w:divsChild>
        <w:div w:id="403839417">
          <w:marLeft w:val="0"/>
          <w:marRight w:val="0"/>
          <w:marTop w:val="0"/>
          <w:marBottom w:val="0"/>
          <w:divBdr>
            <w:top w:val="none" w:sz="0" w:space="0" w:color="auto"/>
            <w:left w:val="none" w:sz="0" w:space="0" w:color="auto"/>
            <w:bottom w:val="none" w:sz="0" w:space="0" w:color="auto"/>
            <w:right w:val="none" w:sz="0" w:space="0" w:color="auto"/>
          </w:divBdr>
          <w:divsChild>
            <w:div w:id="947081372">
              <w:marLeft w:val="0"/>
              <w:marRight w:val="0"/>
              <w:marTop w:val="0"/>
              <w:marBottom w:val="0"/>
              <w:divBdr>
                <w:top w:val="none" w:sz="0" w:space="0" w:color="auto"/>
                <w:left w:val="none" w:sz="0" w:space="0" w:color="auto"/>
                <w:bottom w:val="none" w:sz="0" w:space="0" w:color="auto"/>
                <w:right w:val="none" w:sz="0" w:space="0" w:color="auto"/>
              </w:divBdr>
              <w:divsChild>
                <w:div w:id="2062634194">
                  <w:marLeft w:val="0"/>
                  <w:marRight w:val="0"/>
                  <w:marTop w:val="0"/>
                  <w:marBottom w:val="0"/>
                  <w:divBdr>
                    <w:top w:val="none" w:sz="0" w:space="0" w:color="auto"/>
                    <w:left w:val="none" w:sz="0" w:space="0" w:color="auto"/>
                    <w:bottom w:val="none" w:sz="0" w:space="0" w:color="auto"/>
                    <w:right w:val="none" w:sz="0" w:space="0" w:color="auto"/>
                  </w:divBdr>
                  <w:divsChild>
                    <w:div w:id="1338382741">
                      <w:marLeft w:val="0"/>
                      <w:marRight w:val="0"/>
                      <w:marTop w:val="0"/>
                      <w:marBottom w:val="0"/>
                      <w:divBdr>
                        <w:top w:val="none" w:sz="0" w:space="0" w:color="auto"/>
                        <w:left w:val="none" w:sz="0" w:space="0" w:color="auto"/>
                        <w:bottom w:val="none" w:sz="0" w:space="0" w:color="auto"/>
                        <w:right w:val="none" w:sz="0" w:space="0" w:color="auto"/>
                      </w:divBdr>
                      <w:divsChild>
                        <w:div w:id="549614482">
                          <w:marLeft w:val="0"/>
                          <w:marRight w:val="0"/>
                          <w:marTop w:val="0"/>
                          <w:marBottom w:val="0"/>
                          <w:divBdr>
                            <w:top w:val="none" w:sz="0" w:space="0" w:color="auto"/>
                            <w:left w:val="none" w:sz="0" w:space="0" w:color="auto"/>
                            <w:bottom w:val="none" w:sz="0" w:space="0" w:color="auto"/>
                            <w:right w:val="none" w:sz="0" w:space="0" w:color="auto"/>
                          </w:divBdr>
                          <w:divsChild>
                            <w:div w:id="1926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12409">
      <w:bodyDiv w:val="1"/>
      <w:marLeft w:val="0"/>
      <w:marRight w:val="0"/>
      <w:marTop w:val="0"/>
      <w:marBottom w:val="0"/>
      <w:divBdr>
        <w:top w:val="none" w:sz="0" w:space="0" w:color="auto"/>
        <w:left w:val="none" w:sz="0" w:space="0" w:color="auto"/>
        <w:bottom w:val="none" w:sz="0" w:space="0" w:color="auto"/>
        <w:right w:val="none" w:sz="0" w:space="0" w:color="auto"/>
      </w:divBdr>
      <w:divsChild>
        <w:div w:id="254897429">
          <w:marLeft w:val="0"/>
          <w:marRight w:val="0"/>
          <w:marTop w:val="0"/>
          <w:marBottom w:val="0"/>
          <w:divBdr>
            <w:top w:val="none" w:sz="0" w:space="0" w:color="auto"/>
            <w:left w:val="none" w:sz="0" w:space="0" w:color="auto"/>
            <w:bottom w:val="none" w:sz="0" w:space="0" w:color="auto"/>
            <w:right w:val="none" w:sz="0" w:space="0" w:color="auto"/>
          </w:divBdr>
          <w:divsChild>
            <w:div w:id="1224022959">
              <w:marLeft w:val="0"/>
              <w:marRight w:val="0"/>
              <w:marTop w:val="0"/>
              <w:marBottom w:val="0"/>
              <w:divBdr>
                <w:top w:val="none" w:sz="0" w:space="0" w:color="auto"/>
                <w:left w:val="none" w:sz="0" w:space="0" w:color="auto"/>
                <w:bottom w:val="none" w:sz="0" w:space="0" w:color="auto"/>
                <w:right w:val="none" w:sz="0" w:space="0" w:color="auto"/>
              </w:divBdr>
              <w:divsChild>
                <w:div w:id="719943290">
                  <w:marLeft w:val="0"/>
                  <w:marRight w:val="0"/>
                  <w:marTop w:val="0"/>
                  <w:marBottom w:val="0"/>
                  <w:divBdr>
                    <w:top w:val="none" w:sz="0" w:space="0" w:color="auto"/>
                    <w:left w:val="none" w:sz="0" w:space="0" w:color="auto"/>
                    <w:bottom w:val="none" w:sz="0" w:space="0" w:color="auto"/>
                    <w:right w:val="none" w:sz="0" w:space="0" w:color="auto"/>
                  </w:divBdr>
                  <w:divsChild>
                    <w:div w:id="925918223">
                      <w:marLeft w:val="0"/>
                      <w:marRight w:val="0"/>
                      <w:marTop w:val="0"/>
                      <w:marBottom w:val="0"/>
                      <w:divBdr>
                        <w:top w:val="none" w:sz="0" w:space="0" w:color="auto"/>
                        <w:left w:val="none" w:sz="0" w:space="0" w:color="auto"/>
                        <w:bottom w:val="none" w:sz="0" w:space="0" w:color="auto"/>
                        <w:right w:val="none" w:sz="0" w:space="0" w:color="auto"/>
                      </w:divBdr>
                      <w:divsChild>
                        <w:div w:id="102650110">
                          <w:marLeft w:val="0"/>
                          <w:marRight w:val="0"/>
                          <w:marTop w:val="0"/>
                          <w:marBottom w:val="0"/>
                          <w:divBdr>
                            <w:top w:val="none" w:sz="0" w:space="0" w:color="auto"/>
                            <w:left w:val="none" w:sz="0" w:space="0" w:color="auto"/>
                            <w:bottom w:val="none" w:sz="0" w:space="0" w:color="auto"/>
                            <w:right w:val="none" w:sz="0" w:space="0" w:color="auto"/>
                          </w:divBdr>
                          <w:divsChild>
                            <w:div w:id="8536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udoc.echr.coe.int/sites/eng/Pages/search.aspx" TargetMode="External"/><Relationship Id="rId18" Type="http://schemas.openxmlformats.org/officeDocument/2006/relationships/hyperlink" Target="http://hudoc.echr.coe.int/sites/eng/Pages/search.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udoc.echr.coe.int/sites/eng/Pages/search.aspx" TargetMode="External"/><Relationship Id="rId17" Type="http://schemas.openxmlformats.org/officeDocument/2006/relationships/hyperlink" Target="http://hudoc.echr.coe.int/sites/eng/Pages/search.aspx"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hudoc.echr.coe.int/sites/eng/Pages/search.aspx"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doc.echr.coe.int/sites/eng/Pages/search.aspx"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hudoc.echr.coe.int/sites/eng/Pages/search.aspx" TargetMode="External"/><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sites/eng/Pages/search.asp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CBD0D-A00B-4A6D-9C94-6390D4A2A216}"/>
</file>

<file path=customXml/itemProps2.xml><?xml version="1.0" encoding="utf-8"?>
<ds:datastoreItem xmlns:ds="http://schemas.openxmlformats.org/officeDocument/2006/customXml" ds:itemID="{8AC920AD-3CB3-414E-B422-103B538D40F6}"/>
</file>

<file path=customXml/itemProps3.xml><?xml version="1.0" encoding="utf-8"?>
<ds:datastoreItem xmlns:ds="http://schemas.openxmlformats.org/officeDocument/2006/customXml" ds:itemID="{C54AEEC3-2C3D-475F-8606-5354CB026806}"/>
</file>

<file path=customXml/itemProps4.xml><?xml version="1.0" encoding="utf-8"?>
<ds:datastoreItem xmlns:ds="http://schemas.openxmlformats.org/officeDocument/2006/customXml" ds:itemID="{3B174E3A-0C3F-4D88-9253-7099EC3AC1DF}"/>
</file>

<file path=docProps/app.xml><?xml version="1.0" encoding="utf-8"?>
<Properties xmlns="http://schemas.openxmlformats.org/officeDocument/2006/extended-properties" xmlns:vt="http://schemas.openxmlformats.org/officeDocument/2006/docPropsVTypes">
  <Template>Normal.dotm</Template>
  <TotalTime>0</TotalTime>
  <Pages>1</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2015-08-14T07:41:00Z</dcterms:created>
  <dcterms:modified xsi:type="dcterms:W3CDTF">2015-08-14T07:41:00Z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