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42C6B" w:rsidR="00014566" w:rsidP="00142C6B" w:rsidRDefault="00014566">
      <w:pPr>
        <w:jc w:val="center"/>
        <w:rPr>
          <w:lang w:val="en-GB"/>
        </w:rPr>
      </w:pPr>
      <w:bookmarkStart w:name="_GoBack" w:id="0"/>
      <w:bookmarkEnd w:id="0"/>
    </w:p>
    <w:p w:rsidRPr="00142C6B" w:rsidR="00DE7F3B" w:rsidP="00142C6B" w:rsidRDefault="00DE7F3B">
      <w:pPr>
        <w:jc w:val="center"/>
        <w:rPr>
          <w:lang w:val="en-GB"/>
        </w:rPr>
      </w:pPr>
    </w:p>
    <w:p w:rsidRPr="00142C6B" w:rsidR="00DE7F3B" w:rsidP="00142C6B" w:rsidRDefault="00DE7F3B">
      <w:pPr>
        <w:jc w:val="center"/>
        <w:rPr>
          <w:lang w:val="en-GB"/>
        </w:rPr>
      </w:pPr>
    </w:p>
    <w:p w:rsidRPr="00142C6B" w:rsidR="00014566" w:rsidP="00142C6B" w:rsidRDefault="00EF294E">
      <w:pPr>
        <w:jc w:val="center"/>
        <w:rPr>
          <w:lang w:val="en-GB"/>
        </w:rPr>
      </w:pPr>
      <w:r w:rsidRPr="00142C6B">
        <w:rPr>
          <w:lang w:val="en-GB"/>
        </w:rPr>
        <w:t>THIRD SECTION</w:t>
      </w:r>
    </w:p>
    <w:p w:rsidRPr="00142C6B" w:rsidR="00014566" w:rsidP="00142C6B" w:rsidRDefault="00014566">
      <w:pPr>
        <w:jc w:val="center"/>
        <w:rPr>
          <w:lang w:val="en-GB"/>
        </w:rPr>
      </w:pPr>
    </w:p>
    <w:p w:rsidRPr="00142C6B" w:rsidR="00DE7F3B" w:rsidP="00142C6B" w:rsidRDefault="00DE7F3B">
      <w:pPr>
        <w:jc w:val="center"/>
        <w:rPr>
          <w:lang w:val="en-GB"/>
        </w:rPr>
      </w:pPr>
    </w:p>
    <w:p w:rsidRPr="00142C6B" w:rsidR="00DE7F3B" w:rsidP="00142C6B" w:rsidRDefault="00DE7F3B">
      <w:pPr>
        <w:jc w:val="center"/>
        <w:rPr>
          <w:lang w:val="uk-UA"/>
        </w:rPr>
      </w:pPr>
    </w:p>
    <w:p w:rsidRPr="00142C6B" w:rsidR="005717D1" w:rsidP="00142C6B" w:rsidRDefault="005717D1">
      <w:pPr>
        <w:jc w:val="center"/>
        <w:rPr>
          <w:lang w:val="uk-UA"/>
        </w:rPr>
      </w:pPr>
    </w:p>
    <w:p w:rsidRPr="00142C6B" w:rsidR="00DE7F3B" w:rsidP="00142C6B" w:rsidRDefault="00DE7F3B">
      <w:pPr>
        <w:jc w:val="center"/>
        <w:rPr>
          <w:lang w:val="uk-UA"/>
        </w:rPr>
      </w:pPr>
    </w:p>
    <w:p w:rsidRPr="00142C6B" w:rsidR="00142C6B" w:rsidP="00142C6B" w:rsidRDefault="00142C6B">
      <w:pPr>
        <w:jc w:val="center"/>
        <w:rPr>
          <w:lang w:val="uk-UA"/>
        </w:rPr>
      </w:pPr>
    </w:p>
    <w:p w:rsidRPr="00142C6B" w:rsidR="00014566" w:rsidP="00142C6B" w:rsidRDefault="00014566">
      <w:pPr>
        <w:jc w:val="center"/>
        <w:rPr>
          <w:b/>
          <w:lang w:val="en-GB"/>
        </w:rPr>
      </w:pPr>
      <w:bookmarkStart w:name="To" w:id="1"/>
      <w:r w:rsidRPr="00142C6B">
        <w:rPr>
          <w:b/>
          <w:lang w:val="en-GB"/>
        </w:rPr>
        <w:t xml:space="preserve">CASE OF </w:t>
      </w:r>
      <w:bookmarkEnd w:id="1"/>
      <w:r w:rsidRPr="00142C6B" w:rsidR="00EF294E">
        <w:rPr>
          <w:b/>
          <w:lang w:val="en-GB"/>
        </w:rPr>
        <w:t>MILENKOVIĆ v. SERBIA</w:t>
      </w:r>
    </w:p>
    <w:p w:rsidRPr="00142C6B" w:rsidR="00014566" w:rsidP="00142C6B" w:rsidRDefault="00014566">
      <w:pPr>
        <w:jc w:val="center"/>
        <w:rPr>
          <w:lang w:val="en-GB"/>
        </w:rPr>
      </w:pPr>
    </w:p>
    <w:p w:rsidRPr="00142C6B" w:rsidR="00014566" w:rsidP="00142C6B" w:rsidRDefault="00014566">
      <w:pPr>
        <w:jc w:val="center"/>
        <w:rPr>
          <w:i/>
          <w:lang w:val="en-GB"/>
        </w:rPr>
      </w:pPr>
      <w:r w:rsidRPr="00142C6B">
        <w:rPr>
          <w:i/>
          <w:lang w:val="en-GB"/>
        </w:rPr>
        <w:t>(</w:t>
      </w:r>
      <w:r w:rsidRPr="00142C6B" w:rsidR="00EF294E">
        <w:rPr>
          <w:i/>
          <w:lang w:val="en-GB"/>
        </w:rPr>
        <w:t>Application no. 50124/13</w:t>
      </w:r>
      <w:r w:rsidRPr="00142C6B">
        <w:rPr>
          <w:i/>
          <w:lang w:val="en-GB"/>
        </w:rPr>
        <w:t>)</w:t>
      </w:r>
    </w:p>
    <w:p w:rsidRPr="00142C6B" w:rsidR="00D33B0F" w:rsidP="00142C6B" w:rsidRDefault="00D33B0F">
      <w:pPr>
        <w:jc w:val="center"/>
        <w:rPr>
          <w:i/>
          <w:lang w:val="en-GB"/>
        </w:rPr>
      </w:pPr>
    </w:p>
    <w:p w:rsidRPr="00142C6B" w:rsidR="00D33B0F" w:rsidP="00142C6B" w:rsidRDefault="00D33B0F">
      <w:pPr>
        <w:jc w:val="center"/>
        <w:rPr>
          <w:i/>
          <w:lang w:val="en-GB"/>
        </w:rPr>
      </w:pPr>
    </w:p>
    <w:p w:rsidRPr="00142C6B" w:rsidR="00D33B0F" w:rsidP="00142C6B" w:rsidRDefault="00D33B0F">
      <w:pPr>
        <w:jc w:val="center"/>
        <w:rPr>
          <w:i/>
          <w:lang w:val="en-GB"/>
        </w:rPr>
      </w:pPr>
    </w:p>
    <w:p w:rsidRPr="00142C6B" w:rsidR="00D33B0F" w:rsidP="00142C6B" w:rsidRDefault="00D33B0F">
      <w:pPr>
        <w:jc w:val="center"/>
        <w:rPr>
          <w:i/>
          <w:lang w:val="en-GB"/>
        </w:rPr>
      </w:pPr>
    </w:p>
    <w:p w:rsidRPr="00142C6B" w:rsidR="00D33B0F" w:rsidP="00142C6B" w:rsidRDefault="00D33B0F">
      <w:pPr>
        <w:jc w:val="center"/>
        <w:rPr>
          <w:i/>
          <w:lang w:val="en-GB"/>
        </w:rPr>
      </w:pPr>
    </w:p>
    <w:p w:rsidRPr="00142C6B" w:rsidR="00D33B0F" w:rsidP="00142C6B" w:rsidRDefault="00D33B0F">
      <w:pPr>
        <w:jc w:val="center"/>
        <w:rPr>
          <w:i/>
          <w:lang w:val="en-GB"/>
        </w:rPr>
      </w:pPr>
    </w:p>
    <w:p w:rsidRPr="00142C6B" w:rsidR="00D33B0F" w:rsidP="00142C6B" w:rsidRDefault="00D33B0F">
      <w:pPr>
        <w:jc w:val="center"/>
        <w:rPr>
          <w:i/>
          <w:lang w:val="en-GB"/>
        </w:rPr>
      </w:pPr>
    </w:p>
    <w:p w:rsidRPr="00142C6B" w:rsidR="00D33B0F" w:rsidP="00142C6B" w:rsidRDefault="00D33B0F">
      <w:pPr>
        <w:jc w:val="center"/>
        <w:rPr>
          <w:i/>
          <w:lang w:val="en-GB"/>
        </w:rPr>
      </w:pPr>
    </w:p>
    <w:p w:rsidRPr="00142C6B" w:rsidR="00014566" w:rsidP="00142C6B" w:rsidRDefault="00DE7F3B">
      <w:pPr>
        <w:jc w:val="center"/>
        <w:rPr>
          <w:lang w:val="en-GB"/>
        </w:rPr>
      </w:pPr>
      <w:r w:rsidRPr="00142C6B">
        <w:rPr>
          <w:lang w:val="en-GB"/>
        </w:rPr>
        <w:t>JUDGMENT</w:t>
      </w:r>
    </w:p>
    <w:p w:rsidRPr="00142C6B" w:rsidR="00014566" w:rsidP="00142C6B" w:rsidRDefault="00014566">
      <w:pPr>
        <w:jc w:val="center"/>
        <w:rPr>
          <w:lang w:val="en-GB"/>
        </w:rPr>
      </w:pPr>
    </w:p>
    <w:p w:rsidRPr="00142C6B" w:rsidR="00DE7F3B" w:rsidP="00142C6B" w:rsidRDefault="00DE7F3B">
      <w:pPr>
        <w:jc w:val="center"/>
        <w:rPr>
          <w:lang w:val="en-GB"/>
        </w:rPr>
      </w:pPr>
    </w:p>
    <w:p w:rsidRPr="00142C6B" w:rsidR="00DE7F3B" w:rsidP="00142C6B" w:rsidRDefault="00DE7F3B">
      <w:pPr>
        <w:jc w:val="center"/>
        <w:rPr>
          <w:lang w:val="en-GB"/>
        </w:rPr>
      </w:pPr>
      <w:r w:rsidRPr="00142C6B">
        <w:rPr>
          <w:lang w:val="en-GB"/>
        </w:rPr>
        <w:t>STRASBOURG</w:t>
      </w:r>
    </w:p>
    <w:p w:rsidRPr="00142C6B" w:rsidR="00DE7F3B" w:rsidP="00142C6B" w:rsidRDefault="00DE7F3B">
      <w:pPr>
        <w:jc w:val="center"/>
        <w:rPr>
          <w:lang w:val="en-GB"/>
        </w:rPr>
      </w:pPr>
    </w:p>
    <w:p w:rsidRPr="00142C6B" w:rsidR="00DE7F3B" w:rsidP="00142C6B" w:rsidRDefault="00BE0EB5">
      <w:pPr>
        <w:jc w:val="center"/>
        <w:rPr>
          <w:lang w:val="en-GB"/>
        </w:rPr>
      </w:pPr>
      <w:r w:rsidRPr="00142C6B">
        <w:rPr>
          <w:lang w:val="en-GB"/>
        </w:rPr>
        <w:t>1 March 2016</w:t>
      </w:r>
    </w:p>
    <w:p w:rsidRPr="00142C6B" w:rsidR="00DE7F3B" w:rsidP="00142C6B" w:rsidRDefault="00DE7F3B">
      <w:pPr>
        <w:jc w:val="center"/>
        <w:rPr>
          <w:lang w:val="en-GB"/>
        </w:rPr>
      </w:pPr>
    </w:p>
    <w:p w:rsidRPr="00142C6B" w:rsidR="00DE7F3B" w:rsidP="00142C6B" w:rsidRDefault="00DE7F3B">
      <w:pPr>
        <w:jc w:val="center"/>
        <w:rPr>
          <w:lang w:val="en-GB"/>
        </w:rPr>
      </w:pPr>
    </w:p>
    <w:p w:rsidRPr="00142C6B" w:rsidR="00DE7F3B" w:rsidP="00142C6B" w:rsidRDefault="00DE7F3B">
      <w:pPr>
        <w:jc w:val="center"/>
        <w:rPr>
          <w:lang w:val="en-GB"/>
        </w:rPr>
      </w:pPr>
    </w:p>
    <w:p w:rsidRPr="00142C6B" w:rsidR="00D77670" w:rsidP="00142C6B" w:rsidRDefault="00D77670">
      <w:pPr>
        <w:pStyle w:val="jucase0"/>
        <w:ind w:firstLine="0"/>
        <w:jc w:val="center"/>
        <w:rPr>
          <w:color w:val="FF0000"/>
          <w:sz w:val="28"/>
          <w:szCs w:val="28"/>
          <w:u w:val="single"/>
        </w:rPr>
      </w:pPr>
      <w:r w:rsidRPr="00142C6B">
        <w:rPr>
          <w:color w:val="FF0000"/>
          <w:sz w:val="28"/>
          <w:szCs w:val="28"/>
          <w:u w:val="single"/>
        </w:rPr>
        <w:t>FINAL</w:t>
      </w:r>
    </w:p>
    <w:p w:rsidRPr="00142C6B" w:rsidR="00D77670" w:rsidP="00142C6B" w:rsidRDefault="00D77670">
      <w:pPr>
        <w:pStyle w:val="jupara"/>
        <w:tabs>
          <w:tab w:val="left" w:pos="4650"/>
        </w:tabs>
        <w:ind w:firstLine="0"/>
        <w:jc w:val="center"/>
        <w:rPr>
          <w:color w:val="FF0000"/>
          <w:sz w:val="28"/>
          <w:szCs w:val="28"/>
        </w:rPr>
      </w:pPr>
    </w:p>
    <w:p w:rsidRPr="00142C6B" w:rsidR="00D77670" w:rsidP="00142C6B" w:rsidRDefault="00D77670">
      <w:pPr>
        <w:pStyle w:val="jupara"/>
        <w:ind w:firstLine="0"/>
        <w:jc w:val="center"/>
        <w:rPr>
          <w:color w:val="FF0000"/>
          <w:sz w:val="28"/>
          <w:szCs w:val="28"/>
        </w:rPr>
      </w:pPr>
      <w:r w:rsidRPr="00142C6B">
        <w:rPr>
          <w:color w:val="FF0000"/>
          <w:sz w:val="28"/>
          <w:szCs w:val="28"/>
        </w:rPr>
        <w:t>01/06/2016</w:t>
      </w:r>
    </w:p>
    <w:p w:rsidRPr="00142C6B" w:rsidR="00D77670" w:rsidP="00142C6B" w:rsidRDefault="00D77670">
      <w:pPr>
        <w:pStyle w:val="jupara"/>
        <w:ind w:firstLine="0"/>
        <w:jc w:val="center"/>
        <w:rPr>
          <w:lang w:val="uk-UA"/>
        </w:rPr>
      </w:pPr>
    </w:p>
    <w:p w:rsidRPr="00142C6B" w:rsidR="005717D1" w:rsidP="00142C6B" w:rsidRDefault="005717D1">
      <w:pPr>
        <w:pStyle w:val="jupara"/>
        <w:ind w:firstLine="0"/>
        <w:jc w:val="center"/>
        <w:rPr>
          <w:lang w:val="uk-UA"/>
        </w:rPr>
      </w:pPr>
    </w:p>
    <w:p w:rsidRPr="00142C6B" w:rsidR="00D77670" w:rsidP="00142C6B" w:rsidRDefault="00D77670">
      <w:pPr>
        <w:jc w:val="left"/>
        <w:rPr>
          <w:i/>
          <w:iCs/>
          <w:sz w:val="22"/>
        </w:rPr>
      </w:pPr>
      <w:r w:rsidRPr="00142C6B">
        <w:rPr>
          <w:i/>
          <w:iCs/>
          <w:sz w:val="22"/>
        </w:rPr>
        <w:t>This judgment has become final under Article 44 § 2 of the Convention. It may be subject to editorial revision.</w:t>
      </w:r>
    </w:p>
    <w:p w:rsidRPr="00142C6B" w:rsidR="00DE7F3B" w:rsidP="00142C6B" w:rsidRDefault="00DE7F3B">
      <w:pPr>
        <w:jc w:val="left"/>
        <w:rPr>
          <w:i/>
        </w:rPr>
      </w:pPr>
    </w:p>
    <w:p w:rsidRPr="00142C6B" w:rsidR="00D33B0F" w:rsidP="00142C6B" w:rsidRDefault="00D33B0F">
      <w:pPr>
        <w:pStyle w:val="ECHRPara"/>
        <w:rPr>
          <w:lang w:val="en-GB"/>
        </w:rPr>
        <w:sectPr w:rsidRPr="00142C6B" w:rsidR="00D33B0F" w:rsidSect="00DE7F3B">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p>
    <w:p w:rsidRPr="00142C6B" w:rsidR="00014566" w:rsidP="00142C6B" w:rsidRDefault="00014566">
      <w:pPr>
        <w:pStyle w:val="JuCase"/>
        <w:rPr>
          <w:bCs/>
          <w:lang w:val="en-GB"/>
        </w:rPr>
      </w:pPr>
      <w:r w:rsidRPr="00142C6B">
        <w:rPr>
          <w:lang w:val="en-GB"/>
        </w:rPr>
        <w:t xml:space="preserve">In the case of </w:t>
      </w:r>
      <w:r w:rsidRPr="00142C6B" w:rsidR="00EF294E">
        <w:rPr>
          <w:lang w:val="en-GB"/>
        </w:rPr>
        <w:t>Milenković v. Serbia</w:t>
      </w:r>
      <w:r w:rsidRPr="00142C6B">
        <w:rPr>
          <w:lang w:val="en-GB"/>
        </w:rPr>
        <w:t>,</w:t>
      </w:r>
    </w:p>
    <w:p w:rsidRPr="00142C6B" w:rsidR="00014566" w:rsidP="00142C6B" w:rsidRDefault="00014566">
      <w:pPr>
        <w:pStyle w:val="ECHRPara"/>
        <w:rPr>
          <w:lang w:val="en-GB"/>
        </w:rPr>
      </w:pPr>
      <w:r w:rsidRPr="00142C6B">
        <w:rPr>
          <w:lang w:val="en-GB"/>
        </w:rPr>
        <w:t>The European Court of Human Rights (</w:t>
      </w:r>
      <w:r w:rsidRPr="00142C6B" w:rsidR="00EF294E">
        <w:rPr>
          <w:lang w:val="en-GB"/>
        </w:rPr>
        <w:t>Third Section</w:t>
      </w:r>
      <w:r w:rsidRPr="00142C6B">
        <w:rPr>
          <w:lang w:val="en-GB"/>
        </w:rPr>
        <w:t xml:space="preserve">), sitting as a </w:t>
      </w:r>
      <w:r w:rsidRPr="00142C6B" w:rsidR="00EF294E">
        <w:rPr>
          <w:lang w:val="en-GB"/>
        </w:rPr>
        <w:t>Chamber</w:t>
      </w:r>
      <w:r w:rsidRPr="00142C6B">
        <w:rPr>
          <w:lang w:val="en-GB"/>
        </w:rPr>
        <w:t xml:space="preserve"> composed of:</w:t>
      </w:r>
    </w:p>
    <w:p w:rsidRPr="00142C6B" w:rsidR="00014566" w:rsidP="00142C6B" w:rsidRDefault="00DE7F3B">
      <w:pPr>
        <w:pStyle w:val="ECHRDecisionBody"/>
        <w:rPr>
          <w:lang w:val="en-GB"/>
        </w:rPr>
      </w:pPr>
      <w:r w:rsidRPr="00142C6B">
        <w:tab/>
        <w:t>Luis López Guerra,</w:t>
      </w:r>
      <w:r w:rsidRPr="00142C6B">
        <w:rPr>
          <w:i/>
        </w:rPr>
        <w:t xml:space="preserve"> President,</w:t>
      </w:r>
      <w:r w:rsidRPr="00142C6B">
        <w:rPr>
          <w:i/>
        </w:rPr>
        <w:br/>
      </w:r>
      <w:r w:rsidRPr="00142C6B">
        <w:tab/>
        <w:t>Helena Jäderblom,</w:t>
      </w:r>
      <w:r w:rsidRPr="00142C6B">
        <w:rPr>
          <w:i/>
        </w:rPr>
        <w:br/>
      </w:r>
      <w:r w:rsidRPr="00142C6B">
        <w:tab/>
        <w:t>George Nicolaou,</w:t>
      </w:r>
      <w:r w:rsidRPr="00142C6B">
        <w:rPr>
          <w:i/>
        </w:rPr>
        <w:br/>
      </w:r>
      <w:r w:rsidRPr="00142C6B">
        <w:tab/>
        <w:t>Helen Keller,</w:t>
      </w:r>
      <w:r w:rsidRPr="00142C6B">
        <w:rPr>
          <w:i/>
        </w:rPr>
        <w:br/>
      </w:r>
      <w:r w:rsidRPr="00142C6B">
        <w:tab/>
        <w:t>Branko Lubarda,</w:t>
      </w:r>
      <w:r w:rsidRPr="00142C6B">
        <w:rPr>
          <w:i/>
        </w:rPr>
        <w:br/>
      </w:r>
      <w:r w:rsidRPr="00142C6B">
        <w:tab/>
        <w:t>Pere Pastor Vilanova,</w:t>
      </w:r>
      <w:r w:rsidRPr="00142C6B">
        <w:rPr>
          <w:i/>
        </w:rPr>
        <w:br/>
      </w:r>
      <w:r w:rsidRPr="00142C6B">
        <w:tab/>
        <w:t>Alena Poláčková,</w:t>
      </w:r>
      <w:r w:rsidRPr="00142C6B">
        <w:rPr>
          <w:i/>
        </w:rPr>
        <w:t xml:space="preserve"> judges,</w:t>
      </w:r>
      <w:r w:rsidRPr="00142C6B" w:rsidR="00014566">
        <w:rPr>
          <w:szCs w:val="24"/>
          <w:lang w:val="en-GB"/>
        </w:rPr>
        <w:br/>
      </w:r>
      <w:r w:rsidRPr="00142C6B" w:rsidR="00014566">
        <w:rPr>
          <w:lang w:val="en-GB"/>
        </w:rPr>
        <w:t xml:space="preserve">and </w:t>
      </w:r>
      <w:r w:rsidRPr="00142C6B" w:rsidR="00BE0EB5">
        <w:rPr>
          <w:lang w:val="en-GB"/>
        </w:rPr>
        <w:t xml:space="preserve">Marialena Tsirli, </w:t>
      </w:r>
      <w:r w:rsidRPr="00142C6B" w:rsidR="00BE0EB5">
        <w:rPr>
          <w:i/>
          <w:lang w:val="en-GB"/>
        </w:rPr>
        <w:t>Deputy Section Registrar</w:t>
      </w:r>
      <w:r w:rsidRPr="00142C6B" w:rsidR="00014566">
        <w:rPr>
          <w:i/>
          <w:lang w:val="en-GB"/>
        </w:rPr>
        <w:t>,</w:t>
      </w:r>
    </w:p>
    <w:p w:rsidRPr="00142C6B" w:rsidR="00014566" w:rsidP="00142C6B" w:rsidRDefault="00014566">
      <w:pPr>
        <w:pStyle w:val="ECHRPara"/>
        <w:rPr>
          <w:lang w:val="en-GB"/>
        </w:rPr>
      </w:pPr>
      <w:r w:rsidRPr="00142C6B">
        <w:rPr>
          <w:lang w:val="en-GB"/>
        </w:rPr>
        <w:t xml:space="preserve">Having deliberated in private on </w:t>
      </w:r>
      <w:r w:rsidRPr="00142C6B" w:rsidR="00BE0EB5">
        <w:rPr>
          <w:lang w:val="en-GB"/>
        </w:rPr>
        <w:t>9 February 2016</w:t>
      </w:r>
      <w:r w:rsidRPr="00142C6B">
        <w:rPr>
          <w:lang w:val="en-GB"/>
        </w:rPr>
        <w:t>,</w:t>
      </w:r>
    </w:p>
    <w:p w:rsidRPr="00142C6B" w:rsidR="00014566" w:rsidP="00142C6B" w:rsidRDefault="00014566">
      <w:pPr>
        <w:pStyle w:val="ECHRPara"/>
        <w:rPr>
          <w:lang w:val="en-GB"/>
        </w:rPr>
      </w:pPr>
      <w:r w:rsidRPr="00142C6B">
        <w:rPr>
          <w:lang w:val="en-GB"/>
        </w:rPr>
        <w:t>Delivers the following judgment, which was adopted on that date:</w:t>
      </w:r>
    </w:p>
    <w:p w:rsidRPr="00142C6B" w:rsidR="00014566" w:rsidP="00142C6B" w:rsidRDefault="00014566">
      <w:pPr>
        <w:pStyle w:val="ECHRTitle1"/>
        <w:rPr>
          <w:lang w:val="en-GB"/>
        </w:rPr>
      </w:pPr>
      <w:r w:rsidRPr="00142C6B">
        <w:rPr>
          <w:lang w:val="en-GB"/>
        </w:rPr>
        <w:t>PROCEDURE</w:t>
      </w:r>
    </w:p>
    <w:p w:rsidRPr="00142C6B" w:rsidR="00ED6EDE" w:rsidP="00142C6B" w:rsidRDefault="008E290D">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1</w:t>
      </w:r>
      <w:r w:rsidRPr="00142C6B">
        <w:rPr>
          <w:lang w:val="en-GB"/>
        </w:rPr>
        <w:fldChar w:fldCharType="end"/>
      </w:r>
      <w:r w:rsidRPr="00142C6B">
        <w:rPr>
          <w:lang w:val="en-GB"/>
        </w:rPr>
        <w:t>.  </w:t>
      </w:r>
      <w:r w:rsidRPr="00142C6B" w:rsidR="00014566">
        <w:rPr>
          <w:lang w:val="en-GB"/>
        </w:rPr>
        <w:t xml:space="preserve">The case originated in </w:t>
      </w:r>
      <w:r w:rsidRPr="00142C6B" w:rsidR="00EF294E">
        <w:rPr>
          <w:lang w:val="en-GB"/>
        </w:rPr>
        <w:t>an application (no. 50124/13)</w:t>
      </w:r>
      <w:r w:rsidRPr="00142C6B" w:rsidR="00014566">
        <w:rPr>
          <w:lang w:val="en-GB"/>
        </w:rPr>
        <w:t xml:space="preserve"> against </w:t>
      </w:r>
      <w:r w:rsidRPr="00142C6B" w:rsidR="00EF294E">
        <w:rPr>
          <w:lang w:val="en-GB"/>
        </w:rPr>
        <w:t>the Republic of Serbia</w:t>
      </w:r>
      <w:r w:rsidRPr="00142C6B" w:rsidR="00014566">
        <w:rPr>
          <w:lang w:val="en-GB"/>
        </w:rPr>
        <w:t xml:space="preserve"> lodged with the </w:t>
      </w:r>
      <w:r w:rsidRPr="00142C6B" w:rsidR="00EF294E">
        <w:rPr>
          <w:lang w:val="en-GB"/>
        </w:rPr>
        <w:t>Court under Article 34</w:t>
      </w:r>
      <w:r w:rsidRPr="00142C6B" w:rsidR="00014566">
        <w:rPr>
          <w:lang w:val="en-GB"/>
        </w:rPr>
        <w:t xml:space="preserve"> of the Convention for the Protection of Human Rights and Fundamental Freedoms (“the Convention”) by </w:t>
      </w:r>
      <w:r w:rsidRPr="00142C6B" w:rsidR="00EF294E">
        <w:rPr>
          <w:lang w:val="en-GB"/>
        </w:rPr>
        <w:t>a Serbian national, Mr Momčilo Milenković (“the applicant”), on 12 June 2013</w:t>
      </w:r>
      <w:r w:rsidRPr="00142C6B" w:rsidR="00014566">
        <w:rPr>
          <w:lang w:val="en-GB"/>
        </w:rPr>
        <w:t>.</w:t>
      </w:r>
    </w:p>
    <w:p w:rsidRPr="00142C6B" w:rsidR="00EF294E" w:rsidP="00142C6B" w:rsidRDefault="00EF294E">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2</w:t>
      </w:r>
      <w:r w:rsidRPr="00142C6B">
        <w:rPr>
          <w:lang w:val="en-GB"/>
        </w:rPr>
        <w:fldChar w:fldCharType="end"/>
      </w:r>
      <w:r w:rsidRPr="00142C6B" w:rsidR="00014566">
        <w:rPr>
          <w:lang w:val="en-GB"/>
        </w:rPr>
        <w:t>.  </w:t>
      </w:r>
      <w:r w:rsidRPr="00142C6B">
        <w:rPr>
          <w:lang w:val="en-GB"/>
        </w:rPr>
        <w:t xml:space="preserve">The applicant was represented by Mr </w:t>
      </w:r>
      <w:r w:rsidRPr="00142C6B" w:rsidR="00AC6C6C">
        <w:rPr>
          <w:lang w:val="en-GB"/>
        </w:rPr>
        <w:t>Z. Đušić</w:t>
      </w:r>
      <w:r w:rsidRPr="00142C6B">
        <w:rPr>
          <w:lang w:val="en-GB"/>
        </w:rPr>
        <w:t xml:space="preserve">, a lawyer practising in Leskovac. </w:t>
      </w:r>
      <w:r w:rsidRPr="00142C6B" w:rsidR="00014566">
        <w:rPr>
          <w:lang w:val="en-GB"/>
        </w:rPr>
        <w:t xml:space="preserve">The </w:t>
      </w:r>
      <w:r w:rsidRPr="00142C6B">
        <w:rPr>
          <w:lang w:val="en-GB"/>
        </w:rPr>
        <w:t>Serbian</w:t>
      </w:r>
      <w:r w:rsidRPr="00142C6B" w:rsidR="00014566">
        <w:rPr>
          <w:lang w:val="en-GB"/>
        </w:rPr>
        <w:t xml:space="preserve"> Government (“the Government”) were represented by their Agent, Mrs </w:t>
      </w:r>
      <w:r w:rsidRPr="00142C6B" w:rsidR="00AC6C6C">
        <w:rPr>
          <w:lang w:val="en-GB"/>
        </w:rPr>
        <w:t>V. Rodić.</w:t>
      </w:r>
    </w:p>
    <w:p w:rsidRPr="00142C6B" w:rsidR="00ED6EDE" w:rsidP="00142C6B" w:rsidRDefault="00EF294E">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3</w:t>
      </w:r>
      <w:r w:rsidRPr="00142C6B">
        <w:rPr>
          <w:lang w:val="en-GB"/>
        </w:rPr>
        <w:fldChar w:fldCharType="end"/>
      </w:r>
      <w:r w:rsidRPr="00142C6B">
        <w:rPr>
          <w:lang w:val="en-GB"/>
        </w:rPr>
        <w:t xml:space="preserve">.  The applicant alleged </w:t>
      </w:r>
      <w:r w:rsidRPr="00142C6B" w:rsidR="00A73424">
        <w:t xml:space="preserve">that his right not </w:t>
      </w:r>
      <w:r w:rsidRPr="00142C6B" w:rsidR="00114D13">
        <w:t xml:space="preserve">to </w:t>
      </w:r>
      <w:r w:rsidRPr="00142C6B" w:rsidR="00A73424">
        <w:t>be tried twice had been violated.</w:t>
      </w:r>
    </w:p>
    <w:p w:rsidRPr="00142C6B" w:rsidR="00014566" w:rsidP="00142C6B" w:rsidRDefault="00EF294E">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4</w:t>
      </w:r>
      <w:r w:rsidRPr="00142C6B">
        <w:rPr>
          <w:lang w:val="en-GB"/>
        </w:rPr>
        <w:fldChar w:fldCharType="end"/>
      </w:r>
      <w:r w:rsidRPr="00142C6B" w:rsidR="00014566">
        <w:rPr>
          <w:lang w:val="en-GB"/>
        </w:rPr>
        <w:t>.  </w:t>
      </w:r>
      <w:r w:rsidRPr="00142C6B">
        <w:rPr>
          <w:lang w:val="en-GB"/>
        </w:rPr>
        <w:t xml:space="preserve">On </w:t>
      </w:r>
      <w:r w:rsidRPr="00142C6B">
        <w:rPr>
          <w:szCs w:val="24"/>
          <w:lang w:val="en-GB"/>
        </w:rPr>
        <w:t>15 January 2014</w:t>
      </w:r>
      <w:r w:rsidRPr="00142C6B" w:rsidR="00014566">
        <w:rPr>
          <w:lang w:val="en-GB"/>
        </w:rPr>
        <w:t xml:space="preserve"> the </w:t>
      </w:r>
      <w:r w:rsidRPr="00142C6B">
        <w:rPr>
          <w:lang w:val="en-GB"/>
        </w:rPr>
        <w:t>application was communicated to the Government</w:t>
      </w:r>
      <w:r w:rsidRPr="00142C6B" w:rsidR="00014566">
        <w:rPr>
          <w:lang w:val="en-GB"/>
        </w:rPr>
        <w:t>.</w:t>
      </w:r>
    </w:p>
    <w:p w:rsidRPr="00142C6B" w:rsidR="00014566" w:rsidP="00142C6B" w:rsidRDefault="00014566">
      <w:pPr>
        <w:pStyle w:val="ECHRTitle1"/>
        <w:rPr>
          <w:lang w:val="en-GB"/>
        </w:rPr>
      </w:pPr>
      <w:r w:rsidRPr="00142C6B">
        <w:rPr>
          <w:lang w:val="en-GB"/>
        </w:rPr>
        <w:t>THE FACTS</w:t>
      </w:r>
    </w:p>
    <w:p w:rsidRPr="00142C6B" w:rsidR="00014566" w:rsidP="00142C6B" w:rsidRDefault="00014566">
      <w:pPr>
        <w:pStyle w:val="ECHRHeading1"/>
      </w:pPr>
      <w:r w:rsidRPr="00142C6B">
        <w:t>I.  THE CIRCUMSTANCES OF THE CASE</w:t>
      </w:r>
    </w:p>
    <w:p w:rsidRPr="00142C6B" w:rsidR="00014566" w:rsidP="00142C6B" w:rsidRDefault="00653B38">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5</w:t>
      </w:r>
      <w:r w:rsidRPr="00142C6B">
        <w:rPr>
          <w:lang w:val="en-GB"/>
        </w:rPr>
        <w:fldChar w:fldCharType="end"/>
      </w:r>
      <w:r w:rsidRPr="00142C6B">
        <w:rPr>
          <w:lang w:val="en-GB"/>
        </w:rPr>
        <w:t>.  </w:t>
      </w:r>
      <w:r w:rsidRPr="00142C6B" w:rsidR="00014566">
        <w:rPr>
          <w:lang w:val="en-GB"/>
        </w:rPr>
        <w:t xml:space="preserve">The </w:t>
      </w:r>
      <w:r w:rsidRPr="00142C6B" w:rsidR="00EF294E">
        <w:rPr>
          <w:lang w:val="en-GB"/>
        </w:rPr>
        <w:t>applicant was born in 1969 and lives</w:t>
      </w:r>
      <w:r w:rsidRPr="00142C6B" w:rsidR="00014566">
        <w:rPr>
          <w:lang w:val="en-GB"/>
        </w:rPr>
        <w:t xml:space="preserve"> in </w:t>
      </w:r>
      <w:r w:rsidRPr="00142C6B" w:rsidR="00EF294E">
        <w:rPr>
          <w:lang w:val="en-GB"/>
        </w:rPr>
        <w:t>Leskovac</w:t>
      </w:r>
      <w:r w:rsidRPr="00142C6B" w:rsidR="00014566">
        <w:rPr>
          <w:lang w:val="en-GB"/>
        </w:rPr>
        <w:t>.</w:t>
      </w:r>
    </w:p>
    <w:p w:rsidRPr="00142C6B" w:rsidR="00ED6EDE" w:rsidP="00142C6B" w:rsidRDefault="00EF294E">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6</w:t>
      </w:r>
      <w:r w:rsidRPr="00142C6B">
        <w:rPr>
          <w:lang w:val="en-GB"/>
        </w:rPr>
        <w:fldChar w:fldCharType="end"/>
      </w:r>
      <w:r w:rsidRPr="00142C6B" w:rsidR="00014566">
        <w:rPr>
          <w:lang w:val="en-GB"/>
        </w:rPr>
        <w:t>.  </w:t>
      </w:r>
      <w:r w:rsidRPr="00142C6B" w:rsidR="00AC6C6C">
        <w:rPr>
          <w:lang w:val="en-GB"/>
        </w:rPr>
        <w:t>On 17 October 200</w:t>
      </w:r>
      <w:r w:rsidRPr="00142C6B" w:rsidR="00734CC4">
        <w:rPr>
          <w:lang w:val="en-GB"/>
        </w:rPr>
        <w:t>6</w:t>
      </w:r>
      <w:r w:rsidRPr="00142C6B" w:rsidR="00AC6C6C">
        <w:rPr>
          <w:lang w:val="en-GB"/>
        </w:rPr>
        <w:t xml:space="preserve"> the Leskovac police informed the local </w:t>
      </w:r>
      <w:r w:rsidRPr="00142C6B" w:rsidR="00734CC4">
        <w:rPr>
          <w:lang w:val="en-GB"/>
        </w:rPr>
        <w:t>minor-offence</w:t>
      </w:r>
      <w:r w:rsidRPr="00142C6B" w:rsidR="00AC6C6C">
        <w:rPr>
          <w:lang w:val="en-GB"/>
        </w:rPr>
        <w:t xml:space="preserve"> judge and the public prosecutor</w:t>
      </w:r>
      <w:r w:rsidRPr="00142C6B" w:rsidR="00142C6B">
        <w:rPr>
          <w:lang w:val="en-GB"/>
        </w:rPr>
        <w:t>’</w:t>
      </w:r>
      <w:r w:rsidRPr="00142C6B" w:rsidR="00AC6C6C">
        <w:rPr>
          <w:lang w:val="en-GB"/>
        </w:rPr>
        <w:t>s office about a violent incident between the applicant and a certain R.C. that had occurred on 12</w:t>
      </w:r>
      <w:r w:rsidRPr="00142C6B" w:rsidR="00BE0EB5">
        <w:rPr>
          <w:lang w:val="en-GB"/>
        </w:rPr>
        <w:t> </w:t>
      </w:r>
      <w:r w:rsidRPr="00142C6B" w:rsidR="00AC6C6C">
        <w:rPr>
          <w:lang w:val="en-GB"/>
        </w:rPr>
        <w:t>October</w:t>
      </w:r>
      <w:r w:rsidRPr="00142C6B" w:rsidR="00BE0EB5">
        <w:rPr>
          <w:lang w:val="en-GB"/>
        </w:rPr>
        <w:t> </w:t>
      </w:r>
      <w:r w:rsidRPr="00142C6B" w:rsidR="00AC6C6C">
        <w:rPr>
          <w:lang w:val="en-GB"/>
        </w:rPr>
        <w:t>2006 in a neighbourhood of Leskovac.</w:t>
      </w:r>
    </w:p>
    <w:p w:rsidRPr="00142C6B" w:rsidR="00D33B0F" w:rsidP="00142C6B" w:rsidRDefault="00E5565A">
      <w:pPr>
        <w:pStyle w:val="ECHRHeading2"/>
      </w:pPr>
      <w:r w:rsidRPr="00142C6B">
        <w:t>A</w:t>
      </w:r>
      <w:r w:rsidRPr="00142C6B" w:rsidR="00AC6C6C">
        <w:t>.</w:t>
      </w:r>
      <w:r w:rsidRPr="00142C6B" w:rsidR="00A41C5F">
        <w:t>  </w:t>
      </w:r>
      <w:r w:rsidRPr="00142C6B" w:rsidR="00AC6C6C">
        <w:t>Conviction</w:t>
      </w:r>
      <w:r w:rsidRPr="00142C6B" w:rsidR="00734CC4">
        <w:t xml:space="preserve"> of the applicant </w:t>
      </w:r>
      <w:r w:rsidRPr="00142C6B" w:rsidR="00AC6C6C">
        <w:t xml:space="preserve">for a </w:t>
      </w:r>
      <w:r w:rsidRPr="00142C6B" w:rsidR="007769D8">
        <w:t>misdemeano</w:t>
      </w:r>
      <w:r w:rsidRPr="00142C6B" w:rsidR="000140EA">
        <w:t>u</w:t>
      </w:r>
      <w:r w:rsidRPr="00142C6B" w:rsidR="007769D8">
        <w:t>r</w:t>
      </w:r>
    </w:p>
    <w:p w:rsidRPr="00142C6B" w:rsidR="00682F2C" w:rsidP="00142C6B" w:rsidRDefault="00E5565A">
      <w:pPr>
        <w:pStyle w:val="ECHRPara"/>
        <w:rPr>
          <w:rFonts w:ascii="Times New Roman" w:hAnsi="Times New Roman" w:eastAsia="Times New Roman" w:cs="Times New Roman"/>
          <w:szCs w:val="20"/>
          <w:lang w:val="en-GB" w:eastAsia="fr-FR"/>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7</w:t>
      </w:r>
      <w:r w:rsidRPr="00142C6B">
        <w:rPr>
          <w:lang w:val="en-GB"/>
        </w:rPr>
        <w:fldChar w:fldCharType="end"/>
      </w:r>
      <w:r w:rsidRPr="00142C6B">
        <w:rPr>
          <w:lang w:val="en-GB"/>
        </w:rPr>
        <w:t>.  </w:t>
      </w:r>
      <w:r w:rsidRPr="00142C6B" w:rsidR="00AC6C6C">
        <w:rPr>
          <w:lang w:val="en-GB"/>
        </w:rPr>
        <w:t xml:space="preserve">By a decision of 6 November 2007 the </w:t>
      </w:r>
      <w:r w:rsidRPr="00142C6B" w:rsidR="007769D8">
        <w:t>misdemeano</w:t>
      </w:r>
      <w:r w:rsidRPr="00142C6B" w:rsidR="000140EA">
        <w:t>u</w:t>
      </w:r>
      <w:r w:rsidRPr="00142C6B" w:rsidR="007769D8">
        <w:t xml:space="preserve">r </w:t>
      </w:r>
      <w:r w:rsidRPr="00142C6B" w:rsidR="00062F24">
        <w:rPr>
          <w:lang w:val="en-GB"/>
        </w:rPr>
        <w:t xml:space="preserve">court </w:t>
      </w:r>
      <w:r w:rsidRPr="00142C6B" w:rsidR="000140EA">
        <w:rPr>
          <w:lang w:val="en-GB"/>
        </w:rPr>
        <w:t xml:space="preserve">judge </w:t>
      </w:r>
      <w:r w:rsidRPr="00142C6B" w:rsidR="00AC6C6C">
        <w:rPr>
          <w:lang w:val="en-GB"/>
        </w:rPr>
        <w:t>in Leskovac (</w:t>
      </w:r>
      <w:r w:rsidRPr="00142C6B" w:rsidR="00AC6C6C">
        <w:rPr>
          <w:i/>
          <w:lang w:val="en-GB"/>
        </w:rPr>
        <w:t>sudija Opštinskog organa za prekršaje u Leskovcu</w:t>
      </w:r>
      <w:r w:rsidRPr="00142C6B" w:rsidR="00AC6C6C">
        <w:rPr>
          <w:lang w:val="en-GB"/>
        </w:rPr>
        <w:t>) found that at about 5.30 p.m. on 12 October 2006</w:t>
      </w:r>
      <w:r w:rsidRPr="00142C6B" w:rsidR="008775E4">
        <w:rPr>
          <w:rFonts w:ascii="Calibri" w:hAnsi="Calibri" w:eastAsia="Calibri" w:cs="Times New Roman"/>
          <w:sz w:val="22"/>
          <w:lang w:val="en-GB"/>
        </w:rPr>
        <w:t xml:space="preserve"> </w:t>
      </w:r>
      <w:r w:rsidRPr="00142C6B" w:rsidR="008775E4">
        <w:rPr>
          <w:lang w:val="en-GB"/>
        </w:rPr>
        <w:t>in Leskovac</w:t>
      </w:r>
      <w:r w:rsidRPr="00142C6B" w:rsidR="00AC6C6C">
        <w:rPr>
          <w:lang w:val="en-GB"/>
        </w:rPr>
        <w:t xml:space="preserve"> R.C. had verbally insulted the applicant</w:t>
      </w:r>
      <w:r w:rsidRPr="00142C6B" w:rsidR="00142C6B">
        <w:rPr>
          <w:lang w:val="en-GB"/>
        </w:rPr>
        <w:t>’</w:t>
      </w:r>
      <w:r w:rsidRPr="00142C6B" w:rsidR="00AC6C6C">
        <w:rPr>
          <w:lang w:val="en-GB"/>
        </w:rPr>
        <w:t xml:space="preserve">s </w:t>
      </w:r>
      <w:r w:rsidRPr="00142C6B" w:rsidR="003D3207">
        <w:rPr>
          <w:lang w:val="en-GB"/>
        </w:rPr>
        <w:t>children</w:t>
      </w:r>
      <w:r w:rsidRPr="00142C6B" w:rsidR="00AC6C6C">
        <w:rPr>
          <w:lang w:val="en-GB"/>
        </w:rPr>
        <w:t xml:space="preserve">, </w:t>
      </w:r>
      <w:r w:rsidRPr="00142C6B" w:rsidR="000140EA">
        <w:rPr>
          <w:lang w:val="en-GB"/>
        </w:rPr>
        <w:t xml:space="preserve">and </w:t>
      </w:r>
      <w:r w:rsidRPr="00142C6B" w:rsidR="00AC6C6C">
        <w:rPr>
          <w:lang w:val="en-GB"/>
        </w:rPr>
        <w:t xml:space="preserve">the applicant had </w:t>
      </w:r>
      <w:r w:rsidRPr="00142C6B" w:rsidR="000140EA">
        <w:rPr>
          <w:lang w:val="en-GB"/>
        </w:rPr>
        <w:t xml:space="preserve">then punched </w:t>
      </w:r>
      <w:r w:rsidRPr="00142C6B" w:rsidR="00AC6C6C">
        <w:rPr>
          <w:lang w:val="en-GB"/>
        </w:rPr>
        <w:t>him several times on the head</w:t>
      </w:r>
      <w:r w:rsidRPr="00142C6B" w:rsidR="008775E4">
        <w:rPr>
          <w:lang w:val="en-GB"/>
        </w:rPr>
        <w:t xml:space="preserve"> and injured him</w:t>
      </w:r>
      <w:r w:rsidRPr="00142C6B" w:rsidR="00AC6C6C">
        <w:rPr>
          <w:lang w:val="en-GB"/>
        </w:rPr>
        <w:t xml:space="preserve">. The judge concluded that these actions had been in breach of public order and peace and had thus been contrary to </w:t>
      </w:r>
      <w:r w:rsidRPr="00142C6B" w:rsidR="00AC6C6C">
        <w:t xml:space="preserve">Article 6(3) of the Public Order Act </w:t>
      </w:r>
      <w:r w:rsidRPr="00142C6B" w:rsidR="00604612">
        <w:t>1992</w:t>
      </w:r>
      <w:r w:rsidRPr="00142C6B" w:rsidR="00AC6C6C">
        <w:t xml:space="preserve"> (see </w:t>
      </w:r>
      <w:r w:rsidRPr="00142C6B" w:rsidR="003F3822">
        <w:t xml:space="preserve">paragraph 21 </w:t>
      </w:r>
      <w:r w:rsidRPr="00142C6B" w:rsidR="00AC6C6C">
        <w:t xml:space="preserve">below </w:t>
      </w:r>
      <w:r w:rsidRPr="00142C6B" w:rsidR="003F3822">
        <w:t>under</w:t>
      </w:r>
      <w:r w:rsidRPr="00142C6B" w:rsidR="00AC6C6C">
        <w:t xml:space="preserve"> Relevant domestic law and practice)</w:t>
      </w:r>
      <w:r w:rsidRPr="00142C6B" w:rsidR="00AC6C6C">
        <w:rPr>
          <w:lang w:val="en-GB"/>
        </w:rPr>
        <w:t xml:space="preserve">. </w:t>
      </w:r>
      <w:r w:rsidRPr="00142C6B" w:rsidR="00682F2C">
        <w:rPr>
          <w:rFonts w:ascii="Times New Roman" w:hAnsi="Times New Roman" w:eastAsia="Times New Roman" w:cs="Times New Roman"/>
          <w:szCs w:val="20"/>
          <w:lang w:val="en-GB" w:eastAsia="fr-FR"/>
        </w:rPr>
        <w:t>The relevant part of the decision reads:</w:t>
      </w:r>
    </w:p>
    <w:p w:rsidRPr="00142C6B" w:rsidR="00D33B0F" w:rsidP="00142C6B" w:rsidRDefault="00682F2C">
      <w:pPr>
        <w:pStyle w:val="ECHRParaQuote"/>
        <w:rPr>
          <w:rFonts w:eastAsia="Times New Roman"/>
          <w:lang w:eastAsia="fr-FR"/>
        </w:rPr>
      </w:pPr>
      <w:r w:rsidRPr="00142C6B">
        <w:rPr>
          <w:rFonts w:eastAsia="Times New Roman"/>
          <w:lang w:eastAsia="fr-FR"/>
        </w:rPr>
        <w:t xml:space="preserve">“Defendant[s] R.C. </w:t>
      </w:r>
      <w:r w:rsidRPr="00142C6B" w:rsidR="00DE7F3B">
        <w:rPr>
          <w:rFonts w:eastAsia="Times New Roman"/>
          <w:lang w:eastAsia="fr-FR"/>
        </w:rPr>
        <w:t>...</w:t>
      </w:r>
      <w:r w:rsidRPr="00142C6B">
        <w:rPr>
          <w:rFonts w:eastAsia="Times New Roman"/>
          <w:lang w:eastAsia="fr-FR"/>
        </w:rPr>
        <w:t xml:space="preserve"> and </w:t>
      </w:r>
      <w:r w:rsidRPr="00142C6B">
        <w:rPr>
          <w:rFonts w:eastAsia="Times New Roman"/>
          <w:lang w:val="en-GB" w:eastAsia="fr-FR"/>
        </w:rPr>
        <w:t xml:space="preserve">Momčilo Milenković </w:t>
      </w:r>
      <w:r w:rsidRPr="00142C6B">
        <w:rPr>
          <w:rFonts w:eastAsia="Times New Roman"/>
          <w:lang w:eastAsia="fr-FR"/>
        </w:rPr>
        <w:t xml:space="preserve">are guilty in that at about </w:t>
      </w:r>
      <w:r w:rsidRPr="00142C6B" w:rsidR="000140EA">
        <w:rPr>
          <w:rFonts w:eastAsia="Times New Roman"/>
          <w:lang w:eastAsia="fr-FR"/>
        </w:rPr>
        <w:t>5</w:t>
      </w:r>
      <w:r w:rsidRPr="00142C6B">
        <w:rPr>
          <w:rFonts w:eastAsia="Times New Roman"/>
          <w:lang w:eastAsia="fr-FR"/>
        </w:rPr>
        <w:t>.30 p.m. on 12 October 2006, in Suboti</w:t>
      </w:r>
      <w:r w:rsidRPr="00142C6B">
        <w:rPr>
          <w:rFonts w:eastAsia="Times New Roman"/>
          <w:lang w:val="en-GB" w:eastAsia="fr-FR"/>
        </w:rPr>
        <w:t>č</w:t>
      </w:r>
      <w:r w:rsidRPr="00142C6B">
        <w:rPr>
          <w:rFonts w:eastAsia="Times New Roman"/>
          <w:lang w:eastAsia="fr-FR"/>
        </w:rPr>
        <w:t xml:space="preserve">ka street in Leskovac, [the former first swore and </w:t>
      </w:r>
      <w:r w:rsidRPr="00142C6B">
        <w:rPr>
          <w:rFonts w:eastAsia="Times New Roman"/>
          <w:lang w:val="en-GB" w:eastAsia="fr-FR"/>
        </w:rPr>
        <w:t>insulted the applicant</w:t>
      </w:r>
      <w:r w:rsidRPr="00142C6B" w:rsidR="00142C6B">
        <w:rPr>
          <w:rFonts w:eastAsia="Times New Roman"/>
          <w:lang w:val="en-GB" w:eastAsia="fr-FR"/>
        </w:rPr>
        <w:t>’</w:t>
      </w:r>
      <w:r w:rsidRPr="00142C6B">
        <w:rPr>
          <w:rFonts w:eastAsia="Times New Roman"/>
          <w:lang w:val="en-GB" w:eastAsia="fr-FR"/>
        </w:rPr>
        <w:t>s children]</w:t>
      </w:r>
      <w:r w:rsidRPr="00142C6B">
        <w:rPr>
          <w:rFonts w:eastAsia="Times New Roman"/>
          <w:lang w:eastAsia="fr-FR"/>
        </w:rPr>
        <w:t xml:space="preserve">, while the latter </w:t>
      </w:r>
      <w:r w:rsidRPr="00142C6B" w:rsidR="000140EA">
        <w:rPr>
          <w:rFonts w:eastAsia="Times New Roman"/>
          <w:lang w:eastAsia="fr-FR"/>
        </w:rPr>
        <w:t xml:space="preserve">punched </w:t>
      </w:r>
      <w:r w:rsidRPr="00142C6B" w:rsidR="001834A7">
        <w:rPr>
          <w:rFonts w:eastAsia="Times New Roman"/>
          <w:lang w:val="en-GB" w:eastAsia="fr-FR"/>
        </w:rPr>
        <w:t>R.C.</w:t>
      </w:r>
      <w:r w:rsidRPr="00142C6B">
        <w:rPr>
          <w:rFonts w:eastAsia="Times New Roman"/>
          <w:lang w:val="en-GB" w:eastAsia="fr-FR"/>
        </w:rPr>
        <w:t xml:space="preserve"> several times on the head and injured him</w:t>
      </w:r>
      <w:r w:rsidRPr="00142C6B" w:rsidR="000140EA">
        <w:rPr>
          <w:rFonts w:eastAsia="Times New Roman"/>
          <w:lang w:val="en-GB" w:eastAsia="fr-FR"/>
        </w:rPr>
        <w:t xml:space="preserve"> </w:t>
      </w:r>
      <w:r w:rsidRPr="00142C6B" w:rsidR="00DE7F3B">
        <w:rPr>
          <w:rFonts w:eastAsia="Times New Roman"/>
          <w:lang w:eastAsia="fr-FR"/>
        </w:rPr>
        <w:t>...</w:t>
      </w:r>
      <w:r w:rsidRPr="00142C6B">
        <w:rPr>
          <w:rFonts w:eastAsia="Times New Roman"/>
          <w:lang w:eastAsia="fr-FR"/>
        </w:rPr>
        <w:t>”</w:t>
      </w:r>
    </w:p>
    <w:p w:rsidRPr="00142C6B" w:rsidR="008775E4" w:rsidP="00142C6B" w:rsidRDefault="00682F2C">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8</w:t>
      </w:r>
      <w:r w:rsidRPr="00142C6B">
        <w:rPr>
          <w:lang w:val="en-GB"/>
        </w:rPr>
        <w:fldChar w:fldCharType="end"/>
      </w:r>
      <w:r w:rsidRPr="00142C6B">
        <w:rPr>
          <w:lang w:val="en-GB"/>
        </w:rPr>
        <w:t>.  </w:t>
      </w:r>
      <w:r w:rsidRPr="00142C6B" w:rsidR="00AC6C6C">
        <w:rPr>
          <w:lang w:val="en-GB"/>
        </w:rPr>
        <w:t xml:space="preserve">Each of them was ordered to pay a fine in the amount of 4,000 </w:t>
      </w:r>
      <w:r w:rsidRPr="00142C6B" w:rsidR="000140EA">
        <w:rPr>
          <w:lang w:val="en-GB"/>
        </w:rPr>
        <w:t xml:space="preserve">Serbian </w:t>
      </w:r>
      <w:r w:rsidRPr="00142C6B" w:rsidR="00AC6C6C">
        <w:rPr>
          <w:lang w:val="en-GB"/>
        </w:rPr>
        <w:t>dinars (RSD) plus RSD 700 for costs (</w:t>
      </w:r>
      <w:r w:rsidRPr="00142C6B" w:rsidR="00AC6C6C">
        <w:t xml:space="preserve">at that time equivalent to approximately 60 euros </w:t>
      </w:r>
      <w:r w:rsidRPr="00142C6B" w:rsidR="000140EA">
        <w:t xml:space="preserve">(EUR) </w:t>
      </w:r>
      <w:r w:rsidRPr="00142C6B" w:rsidR="00AC6C6C">
        <w:t xml:space="preserve">in </w:t>
      </w:r>
      <w:r w:rsidRPr="00142C6B" w:rsidR="000140EA">
        <w:t>total</w:t>
      </w:r>
      <w:r w:rsidRPr="00142C6B" w:rsidR="00AC6C6C">
        <w:t>)</w:t>
      </w:r>
      <w:r w:rsidRPr="00142C6B" w:rsidR="00AC6C6C">
        <w:rPr>
          <w:lang w:val="en-GB"/>
        </w:rPr>
        <w:t xml:space="preserve">, which in </w:t>
      </w:r>
      <w:r w:rsidRPr="00142C6B" w:rsidR="000140EA">
        <w:rPr>
          <w:lang w:val="en-GB"/>
        </w:rPr>
        <w:t xml:space="preserve">the event </w:t>
      </w:r>
      <w:r w:rsidRPr="00142C6B" w:rsidR="00AC6C6C">
        <w:rPr>
          <w:lang w:val="en-GB"/>
        </w:rPr>
        <w:t>of non-compliance would be converted into a prison term</w:t>
      </w:r>
      <w:r w:rsidRPr="00142C6B" w:rsidR="003D3207">
        <w:rPr>
          <w:lang w:val="en-GB"/>
        </w:rPr>
        <w:t xml:space="preserve"> of </w:t>
      </w:r>
      <w:r w:rsidRPr="00142C6B" w:rsidR="000140EA">
        <w:rPr>
          <w:lang w:val="en-GB"/>
        </w:rPr>
        <w:t>eight</w:t>
      </w:r>
      <w:r w:rsidRPr="00142C6B" w:rsidR="003D3207">
        <w:rPr>
          <w:lang w:val="en-GB"/>
        </w:rPr>
        <w:t xml:space="preserve"> days</w:t>
      </w:r>
      <w:r w:rsidRPr="00142C6B" w:rsidR="00AC6C6C">
        <w:rPr>
          <w:lang w:val="en-GB"/>
        </w:rPr>
        <w:t>.</w:t>
      </w:r>
    </w:p>
    <w:p w:rsidRPr="00142C6B" w:rsidR="00ED6EDE" w:rsidP="00142C6B" w:rsidRDefault="00E5565A">
      <w:pPr>
        <w:pStyle w:val="ECHRHeading2"/>
      </w:pPr>
      <w:r w:rsidRPr="00142C6B">
        <w:t>B</w:t>
      </w:r>
      <w:r w:rsidRPr="00142C6B" w:rsidR="00AC6C6C">
        <w:t>.  </w:t>
      </w:r>
      <w:r w:rsidRPr="00142C6B" w:rsidR="00734CC4">
        <w:t>Criminal prosecution of the applicant</w:t>
      </w:r>
    </w:p>
    <w:p w:rsidRPr="00142C6B" w:rsidR="00ED6EDE" w:rsidP="00142C6B" w:rsidRDefault="00E5565A">
      <w:pPr>
        <w:pStyle w:val="ECHRPara"/>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9</w:t>
      </w:r>
      <w:r w:rsidRPr="00142C6B">
        <w:rPr>
          <w:lang w:val="en-GB"/>
        </w:rPr>
        <w:fldChar w:fldCharType="end"/>
      </w:r>
      <w:r w:rsidRPr="00142C6B">
        <w:rPr>
          <w:lang w:val="en-GB"/>
        </w:rPr>
        <w:t>.  </w:t>
      </w:r>
      <w:r w:rsidRPr="00142C6B" w:rsidR="00734CC4">
        <w:rPr>
          <w:lang w:val="en-GB"/>
        </w:rPr>
        <w:t>After an investigation had been conducted, o</w:t>
      </w:r>
      <w:r w:rsidRPr="00142C6B" w:rsidR="00AC6C6C">
        <w:rPr>
          <w:lang w:val="en-GB"/>
        </w:rPr>
        <w:t>n 4 April 2007 the</w:t>
      </w:r>
      <w:r w:rsidRPr="00142C6B" w:rsidR="00BE0EB5">
        <w:rPr>
          <w:lang w:val="en-GB"/>
        </w:rPr>
        <w:t> </w:t>
      </w:r>
      <w:r w:rsidRPr="00142C6B" w:rsidR="00AC6C6C">
        <w:rPr>
          <w:lang w:val="en-GB"/>
        </w:rPr>
        <w:t>Leskovac Public Prosecutor</w:t>
      </w:r>
      <w:r w:rsidRPr="00142C6B" w:rsidR="00142C6B">
        <w:rPr>
          <w:lang w:val="en-GB"/>
        </w:rPr>
        <w:t>’</w:t>
      </w:r>
      <w:r w:rsidRPr="00142C6B" w:rsidR="00AC6C6C">
        <w:rPr>
          <w:lang w:val="en-GB"/>
        </w:rPr>
        <w:t>s Office (“</w:t>
      </w:r>
      <w:r w:rsidRPr="00142C6B" w:rsidR="000140EA">
        <w:rPr>
          <w:lang w:val="en-GB"/>
        </w:rPr>
        <w:t xml:space="preserve">the </w:t>
      </w:r>
      <w:r w:rsidRPr="00142C6B" w:rsidR="00AC6C6C">
        <w:rPr>
          <w:lang w:val="en-GB"/>
        </w:rPr>
        <w:t xml:space="preserve">LPPO”) charged the applicant with </w:t>
      </w:r>
      <w:r w:rsidRPr="00142C6B" w:rsidR="000140EA">
        <w:rPr>
          <w:lang w:val="en-GB"/>
        </w:rPr>
        <w:t xml:space="preserve">the criminal offence of </w:t>
      </w:r>
      <w:r w:rsidRPr="00142C6B" w:rsidR="00AC6C6C">
        <w:rPr>
          <w:lang w:val="en-GB"/>
        </w:rPr>
        <w:t xml:space="preserve">inflicting grievous bodily harm on R.C. in connection with the above incident, contrary to Article 121 § 2 of the Criminal Code 1998. The LPPO, as well as the applicant and his family in the capacity of private prosecutors, lodged separate indictments against R.C. for several offences. </w:t>
      </w:r>
      <w:r w:rsidRPr="00142C6B" w:rsidR="00AC6C6C">
        <w:t xml:space="preserve">All </w:t>
      </w:r>
      <w:r w:rsidRPr="00142C6B" w:rsidR="000140EA">
        <w:t xml:space="preserve">the </w:t>
      </w:r>
      <w:r w:rsidRPr="00142C6B" w:rsidR="00AC6C6C">
        <w:t>indictments were joined in the same proceedings before the Leskovac Municipal Court.</w:t>
      </w:r>
    </w:p>
    <w:p w:rsidRPr="00142C6B" w:rsidR="00D33B0F" w:rsidP="00142C6B" w:rsidRDefault="00E5565A">
      <w:pPr>
        <w:pStyle w:val="ECHRPara"/>
        <w:rPr>
          <w:rFonts w:cstheme="minorHAnsi"/>
          <w:szCs w:val="24"/>
          <w:lang w:val="en-GB"/>
        </w:rPr>
      </w:pPr>
      <w:r w:rsidRPr="00142C6B">
        <w:rPr>
          <w:rFonts w:cstheme="minorHAnsi"/>
          <w:szCs w:val="24"/>
          <w:lang w:val="en-GB"/>
        </w:rPr>
        <w:fldChar w:fldCharType="begin"/>
      </w:r>
      <w:r w:rsidRPr="00142C6B">
        <w:rPr>
          <w:rFonts w:cstheme="minorHAnsi"/>
          <w:szCs w:val="24"/>
          <w:lang w:val="en-GB"/>
        </w:rPr>
        <w:instrText xml:space="preserve"> SEQ level0 \*arabic </w:instrText>
      </w:r>
      <w:r w:rsidRPr="00142C6B">
        <w:rPr>
          <w:rFonts w:cstheme="minorHAnsi"/>
          <w:szCs w:val="24"/>
          <w:lang w:val="en-GB"/>
        </w:rPr>
        <w:fldChar w:fldCharType="separate"/>
      </w:r>
      <w:r w:rsidRPr="00142C6B" w:rsidR="00142C6B">
        <w:rPr>
          <w:rFonts w:cstheme="minorHAnsi"/>
          <w:noProof/>
          <w:szCs w:val="24"/>
          <w:lang w:val="en-GB"/>
        </w:rPr>
        <w:t>10</w:t>
      </w:r>
      <w:r w:rsidRPr="00142C6B">
        <w:rPr>
          <w:rFonts w:cstheme="minorHAnsi"/>
          <w:szCs w:val="24"/>
          <w:lang w:val="en-GB"/>
        </w:rPr>
        <w:fldChar w:fldCharType="end"/>
      </w:r>
      <w:r w:rsidRPr="00142C6B">
        <w:rPr>
          <w:rFonts w:cstheme="minorHAnsi"/>
          <w:szCs w:val="24"/>
          <w:lang w:val="en-GB"/>
        </w:rPr>
        <w:t>.  </w:t>
      </w:r>
      <w:r w:rsidRPr="00142C6B" w:rsidR="000140EA">
        <w:rPr>
          <w:rFonts w:cstheme="minorHAnsi"/>
          <w:szCs w:val="24"/>
          <w:lang w:val="en-GB"/>
        </w:rPr>
        <w:t>I</w:t>
      </w:r>
      <w:r w:rsidRPr="00142C6B" w:rsidR="00AC6C6C">
        <w:rPr>
          <w:rFonts w:cstheme="minorHAnsi"/>
          <w:szCs w:val="24"/>
          <w:lang w:val="en-GB"/>
        </w:rPr>
        <w:t>n a judgment of 13 April 2011 the Leskovac Municipal Court found the applicant guilty as charged and sentenced him to three months</w:t>
      </w:r>
      <w:r w:rsidRPr="00142C6B" w:rsidR="00142C6B">
        <w:rPr>
          <w:rFonts w:cstheme="minorHAnsi"/>
          <w:szCs w:val="24"/>
          <w:lang w:val="en-GB"/>
        </w:rPr>
        <w:t>’</w:t>
      </w:r>
      <w:r w:rsidRPr="00142C6B" w:rsidR="00AC6C6C">
        <w:rPr>
          <w:rFonts w:cstheme="minorHAnsi"/>
          <w:szCs w:val="24"/>
          <w:lang w:val="en-GB"/>
        </w:rPr>
        <w:t xml:space="preserve"> imprisonment. </w:t>
      </w:r>
      <w:r w:rsidRPr="00142C6B" w:rsidR="00734CC4">
        <w:rPr>
          <w:rFonts w:cstheme="minorHAnsi"/>
          <w:szCs w:val="24"/>
          <w:lang w:val="en-GB"/>
        </w:rPr>
        <w:t>R.C. was found guilty and fined for insulting the applicant</w:t>
      </w:r>
      <w:r w:rsidRPr="00142C6B" w:rsidR="00142C6B">
        <w:rPr>
          <w:rFonts w:cstheme="minorHAnsi"/>
          <w:szCs w:val="24"/>
          <w:lang w:val="en-GB"/>
        </w:rPr>
        <w:t>’</w:t>
      </w:r>
      <w:r w:rsidRPr="00142C6B" w:rsidR="00734CC4">
        <w:rPr>
          <w:rFonts w:cstheme="minorHAnsi"/>
          <w:szCs w:val="24"/>
          <w:lang w:val="en-GB"/>
        </w:rPr>
        <w:t>s family and causing minor bodily injuries to the applicant</w:t>
      </w:r>
      <w:r w:rsidRPr="00142C6B" w:rsidR="00142C6B">
        <w:rPr>
          <w:rFonts w:cstheme="minorHAnsi"/>
          <w:szCs w:val="24"/>
          <w:lang w:val="en-GB"/>
        </w:rPr>
        <w:t>’</w:t>
      </w:r>
      <w:r w:rsidRPr="00142C6B" w:rsidR="00734CC4">
        <w:rPr>
          <w:rFonts w:cstheme="minorHAnsi"/>
          <w:szCs w:val="24"/>
          <w:lang w:val="en-GB"/>
        </w:rPr>
        <w:t>s mother.</w:t>
      </w:r>
      <w:r w:rsidRPr="00142C6B" w:rsidR="003C6B1D">
        <w:rPr>
          <w:rFonts w:cstheme="minorHAnsi"/>
          <w:szCs w:val="24"/>
          <w:lang w:val="en-GB"/>
        </w:rPr>
        <w:t xml:space="preserve"> The court </w:t>
      </w:r>
      <w:r w:rsidRPr="00142C6B" w:rsidR="000140EA">
        <w:rPr>
          <w:rFonts w:cstheme="minorHAnsi"/>
          <w:szCs w:val="24"/>
          <w:lang w:val="en-GB"/>
        </w:rPr>
        <w:t>ordered</w:t>
      </w:r>
      <w:r w:rsidRPr="00142C6B" w:rsidR="003C6B1D">
        <w:rPr>
          <w:rFonts w:cstheme="minorHAnsi"/>
          <w:szCs w:val="24"/>
          <w:lang w:val="en-GB"/>
        </w:rPr>
        <w:t xml:space="preserve"> the applicant to pay RSD 14,739 </w:t>
      </w:r>
      <w:r w:rsidRPr="00142C6B" w:rsidR="000140EA">
        <w:rPr>
          <w:rFonts w:cstheme="minorHAnsi"/>
          <w:szCs w:val="24"/>
          <w:lang w:val="en-GB"/>
        </w:rPr>
        <w:t xml:space="preserve">in </w:t>
      </w:r>
      <w:r w:rsidRPr="00142C6B" w:rsidR="003C6B1D">
        <w:rPr>
          <w:rFonts w:cstheme="minorHAnsi"/>
          <w:szCs w:val="24"/>
          <w:lang w:val="en-GB"/>
        </w:rPr>
        <w:t>court</w:t>
      </w:r>
      <w:r w:rsidRPr="00142C6B" w:rsidR="000140EA">
        <w:rPr>
          <w:rFonts w:cstheme="minorHAnsi"/>
          <w:szCs w:val="24"/>
          <w:lang w:val="en-GB"/>
        </w:rPr>
        <w:t xml:space="preserve"> costs</w:t>
      </w:r>
      <w:r w:rsidRPr="00142C6B" w:rsidR="003C6B1D">
        <w:rPr>
          <w:rFonts w:cstheme="minorHAnsi"/>
          <w:szCs w:val="24"/>
          <w:lang w:val="en-GB"/>
        </w:rPr>
        <w:t>, while each party was to cover its own costs and expenses.</w:t>
      </w:r>
    </w:p>
    <w:p w:rsidRPr="00142C6B" w:rsidR="001834A7" w:rsidP="00142C6B" w:rsidRDefault="001834A7">
      <w:pPr>
        <w:pStyle w:val="ECHRPara"/>
        <w:rPr>
          <w:lang w:val="en-GB"/>
        </w:rPr>
      </w:pPr>
      <w:r w:rsidRPr="00142C6B">
        <w:t xml:space="preserve">The relevant part of the </w:t>
      </w:r>
      <w:r w:rsidRPr="00142C6B" w:rsidR="00EA57AF">
        <w:t>decision</w:t>
      </w:r>
      <w:r w:rsidRPr="00142C6B" w:rsidR="009B2351">
        <w:t xml:space="preserve"> reads:</w:t>
      </w:r>
    </w:p>
    <w:p w:rsidRPr="00142C6B" w:rsidR="00EA57AF" w:rsidP="00142C6B" w:rsidRDefault="00EA57AF">
      <w:pPr>
        <w:pStyle w:val="ECHRParaQuote"/>
        <w:rPr>
          <w:rFonts w:eastAsia="Times New Roman"/>
          <w:lang w:eastAsia="fr-FR"/>
        </w:rPr>
      </w:pPr>
      <w:r w:rsidRPr="00142C6B">
        <w:rPr>
          <w:rFonts w:eastAsia="Times New Roman"/>
          <w:lang w:eastAsia="fr-FR"/>
        </w:rPr>
        <w:t xml:space="preserve">“Defendant </w:t>
      </w:r>
      <w:r w:rsidRPr="00142C6B">
        <w:rPr>
          <w:rFonts w:eastAsia="Times New Roman"/>
          <w:lang w:val="en-GB" w:eastAsia="fr-FR"/>
        </w:rPr>
        <w:t>Milenković Momčilo</w:t>
      </w:r>
      <w:r w:rsidRPr="00142C6B" w:rsidR="000140EA">
        <w:rPr>
          <w:rFonts w:eastAsia="Times New Roman"/>
          <w:lang w:val="en-GB" w:eastAsia="fr-FR"/>
        </w:rPr>
        <w:t xml:space="preserve"> </w:t>
      </w:r>
      <w:r w:rsidRPr="00142C6B" w:rsidR="00DE7F3B">
        <w:rPr>
          <w:rFonts w:eastAsia="Times New Roman"/>
          <w:lang w:eastAsia="fr-FR"/>
        </w:rPr>
        <w:t>...</w:t>
      </w:r>
      <w:r w:rsidRPr="00142C6B" w:rsidR="000140EA">
        <w:rPr>
          <w:rFonts w:eastAsia="Times New Roman"/>
          <w:lang w:eastAsia="fr-FR"/>
        </w:rPr>
        <w:t xml:space="preserve"> </w:t>
      </w:r>
      <w:r w:rsidRPr="00142C6B">
        <w:rPr>
          <w:rFonts w:eastAsia="Times New Roman"/>
          <w:lang w:eastAsia="fr-FR"/>
        </w:rPr>
        <w:t xml:space="preserve">is guilty </w:t>
      </w:r>
      <w:r w:rsidRPr="00142C6B" w:rsidR="00734CC4">
        <w:rPr>
          <w:rFonts w:eastAsia="Times New Roman"/>
          <w:lang w:eastAsia="fr-FR"/>
        </w:rPr>
        <w:t>in that</w:t>
      </w:r>
    </w:p>
    <w:p w:rsidRPr="00142C6B" w:rsidR="00EA57AF" w:rsidP="00142C6B" w:rsidRDefault="00EA57AF">
      <w:pPr>
        <w:pStyle w:val="ECHRParaQuote"/>
        <w:rPr>
          <w:rFonts w:eastAsia="Times New Roman"/>
          <w:lang w:eastAsia="fr-FR"/>
        </w:rPr>
      </w:pPr>
      <w:r w:rsidRPr="00142C6B">
        <w:rPr>
          <w:rFonts w:eastAsia="Times New Roman"/>
          <w:lang w:eastAsia="fr-FR"/>
        </w:rPr>
        <w:t xml:space="preserve">at about </w:t>
      </w:r>
      <w:r w:rsidRPr="00142C6B" w:rsidR="00734CC4">
        <w:rPr>
          <w:rFonts w:eastAsia="Times New Roman"/>
          <w:lang w:val="en-GB" w:eastAsia="fr-FR"/>
        </w:rPr>
        <w:t>4.00 and 4.30 p.m</w:t>
      </w:r>
      <w:r w:rsidRPr="00142C6B" w:rsidR="00734CC4">
        <w:rPr>
          <w:rFonts w:eastAsia="Times New Roman"/>
          <w:lang w:eastAsia="fr-FR"/>
        </w:rPr>
        <w:t xml:space="preserve"> </w:t>
      </w:r>
      <w:r w:rsidRPr="00142C6B">
        <w:rPr>
          <w:rFonts w:eastAsia="Times New Roman"/>
          <w:lang w:eastAsia="fr-FR"/>
        </w:rPr>
        <w:t>on 12 October 2006 in Suboti</w:t>
      </w:r>
      <w:r w:rsidRPr="00142C6B">
        <w:rPr>
          <w:rFonts w:eastAsia="Times New Roman"/>
          <w:lang w:val="en-GB" w:eastAsia="fr-FR"/>
        </w:rPr>
        <w:t>č</w:t>
      </w:r>
      <w:r w:rsidRPr="00142C6B">
        <w:rPr>
          <w:rFonts w:eastAsia="Times New Roman"/>
          <w:lang w:eastAsia="fr-FR"/>
        </w:rPr>
        <w:t xml:space="preserve">ka </w:t>
      </w:r>
      <w:r w:rsidRPr="00142C6B" w:rsidR="000140EA">
        <w:rPr>
          <w:rFonts w:eastAsia="Times New Roman"/>
          <w:lang w:eastAsia="fr-FR"/>
        </w:rPr>
        <w:t>S</w:t>
      </w:r>
      <w:r w:rsidRPr="00142C6B">
        <w:rPr>
          <w:rFonts w:eastAsia="Times New Roman"/>
          <w:lang w:eastAsia="fr-FR"/>
        </w:rPr>
        <w:t>treet</w:t>
      </w:r>
      <w:r w:rsidRPr="00142C6B" w:rsidR="001537F2">
        <w:rPr>
          <w:rFonts w:eastAsia="Times New Roman"/>
          <w:lang w:eastAsia="fr-FR"/>
        </w:rPr>
        <w:t xml:space="preserve"> </w:t>
      </w:r>
      <w:r w:rsidRPr="00142C6B" w:rsidR="00DE7F3B">
        <w:rPr>
          <w:rFonts w:eastAsia="Times New Roman"/>
          <w:lang w:eastAsia="fr-FR"/>
        </w:rPr>
        <w:t>...</w:t>
      </w:r>
      <w:r w:rsidRPr="00142C6B">
        <w:rPr>
          <w:rFonts w:eastAsia="Times New Roman"/>
          <w:lang w:eastAsia="fr-FR"/>
        </w:rPr>
        <w:t xml:space="preserve"> </w:t>
      </w:r>
      <w:r w:rsidRPr="00142C6B" w:rsidR="001537F2">
        <w:rPr>
          <w:rFonts w:eastAsia="Times New Roman"/>
          <w:lang w:eastAsia="fr-FR"/>
        </w:rPr>
        <w:t xml:space="preserve">he </w:t>
      </w:r>
      <w:r w:rsidRPr="00142C6B" w:rsidR="000140EA">
        <w:rPr>
          <w:rFonts w:eastAsia="Times New Roman"/>
          <w:lang w:eastAsia="fr-FR"/>
        </w:rPr>
        <w:t xml:space="preserve">punched </w:t>
      </w:r>
      <w:r w:rsidRPr="00142C6B" w:rsidR="001537F2">
        <w:rPr>
          <w:rFonts w:eastAsia="Times New Roman"/>
          <w:lang w:eastAsia="fr-FR"/>
        </w:rPr>
        <w:t xml:space="preserve">[R.C.] on the </w:t>
      </w:r>
      <w:r w:rsidRPr="00142C6B">
        <w:rPr>
          <w:rFonts w:eastAsia="Times New Roman"/>
          <w:lang w:eastAsia="fr-FR"/>
        </w:rPr>
        <w:t xml:space="preserve">left side of the face and, after </w:t>
      </w:r>
      <w:r w:rsidRPr="00142C6B" w:rsidR="00CC2F1C">
        <w:rPr>
          <w:rFonts w:eastAsia="Times New Roman"/>
          <w:lang w:eastAsia="fr-FR"/>
        </w:rPr>
        <w:t>knock</w:t>
      </w:r>
      <w:r w:rsidRPr="00142C6B" w:rsidR="000140EA">
        <w:rPr>
          <w:rFonts w:eastAsia="Times New Roman"/>
          <w:lang w:eastAsia="fr-FR"/>
        </w:rPr>
        <w:t>ing</w:t>
      </w:r>
      <w:r w:rsidRPr="00142C6B" w:rsidR="00CC2F1C">
        <w:rPr>
          <w:rFonts w:eastAsia="Times New Roman"/>
          <w:lang w:eastAsia="fr-FR"/>
        </w:rPr>
        <w:t xml:space="preserve"> </w:t>
      </w:r>
      <w:r w:rsidRPr="00142C6B" w:rsidR="001537F2">
        <w:rPr>
          <w:rFonts w:eastAsia="Times New Roman"/>
          <w:lang w:eastAsia="fr-FR"/>
        </w:rPr>
        <w:t>R.C.</w:t>
      </w:r>
      <w:r w:rsidRPr="00142C6B">
        <w:rPr>
          <w:rFonts w:eastAsia="Times New Roman"/>
          <w:lang w:eastAsia="fr-FR"/>
        </w:rPr>
        <w:t xml:space="preserve"> down, </w:t>
      </w:r>
      <w:r w:rsidRPr="00142C6B" w:rsidR="001537F2">
        <w:rPr>
          <w:rFonts w:eastAsia="Times New Roman"/>
          <w:lang w:eastAsia="fr-FR"/>
        </w:rPr>
        <w:t xml:space="preserve">he </w:t>
      </w:r>
      <w:r w:rsidRPr="00142C6B">
        <w:rPr>
          <w:rFonts w:eastAsia="Times New Roman"/>
          <w:lang w:eastAsia="fr-FR"/>
        </w:rPr>
        <w:t>con</w:t>
      </w:r>
      <w:r w:rsidRPr="00142C6B" w:rsidR="001537F2">
        <w:rPr>
          <w:rFonts w:eastAsia="Times New Roman"/>
          <w:lang w:eastAsia="fr-FR"/>
        </w:rPr>
        <w:t>tinued</w:t>
      </w:r>
      <w:r w:rsidRPr="00142C6B">
        <w:rPr>
          <w:rFonts w:eastAsia="Times New Roman"/>
          <w:lang w:eastAsia="fr-FR"/>
        </w:rPr>
        <w:t xml:space="preserve"> </w:t>
      </w:r>
      <w:r w:rsidRPr="00142C6B" w:rsidR="000140EA">
        <w:rPr>
          <w:rFonts w:eastAsia="Times New Roman"/>
          <w:lang w:eastAsia="fr-FR"/>
        </w:rPr>
        <w:t xml:space="preserve">punching </w:t>
      </w:r>
      <w:r w:rsidRPr="00142C6B">
        <w:rPr>
          <w:rFonts w:eastAsia="Times New Roman"/>
          <w:lang w:eastAsia="fr-FR"/>
        </w:rPr>
        <w:t xml:space="preserve">him in the head, thereby causing him </w:t>
      </w:r>
      <w:r w:rsidRPr="00142C6B" w:rsidR="00CC2F1C">
        <w:rPr>
          <w:rFonts w:eastAsia="Times New Roman"/>
          <w:lang w:val="en-GB" w:eastAsia="fr-FR"/>
        </w:rPr>
        <w:t xml:space="preserve">a number of </w:t>
      </w:r>
      <w:r w:rsidRPr="00142C6B">
        <w:rPr>
          <w:rFonts w:eastAsia="Times New Roman"/>
          <w:lang w:eastAsia="fr-FR"/>
        </w:rPr>
        <w:t xml:space="preserve">grievous bodily </w:t>
      </w:r>
      <w:r w:rsidRPr="00142C6B" w:rsidR="00CC2F1C">
        <w:rPr>
          <w:rFonts w:eastAsia="Times New Roman"/>
          <w:lang w:eastAsia="fr-FR"/>
        </w:rPr>
        <w:t>injuries</w:t>
      </w:r>
      <w:r w:rsidRPr="00142C6B">
        <w:rPr>
          <w:rFonts w:eastAsia="Times New Roman"/>
          <w:lang w:eastAsia="fr-FR"/>
        </w:rPr>
        <w:t xml:space="preserve"> dangerous for life</w:t>
      </w:r>
      <w:r w:rsidRPr="00142C6B" w:rsidR="00CC2F1C">
        <w:rPr>
          <w:rFonts w:eastAsia="Times New Roman"/>
          <w:lang w:eastAsia="fr-FR"/>
        </w:rPr>
        <w:t>, such as</w:t>
      </w:r>
      <w:r w:rsidRPr="00142C6B">
        <w:rPr>
          <w:rFonts w:eastAsia="Times New Roman"/>
          <w:lang w:eastAsia="fr-FR"/>
        </w:rPr>
        <w:t xml:space="preserve">: </w:t>
      </w:r>
      <w:r w:rsidRPr="00142C6B">
        <w:rPr>
          <w:rFonts w:eastAsia="Times New Roman"/>
          <w:lang w:val="en" w:eastAsia="fr-FR"/>
        </w:rPr>
        <w:t>bruising of both eyelids</w:t>
      </w:r>
      <w:r w:rsidRPr="00142C6B" w:rsidR="00F635EE">
        <w:rPr>
          <w:rFonts w:eastAsia="Times New Roman"/>
          <w:lang w:val="en" w:eastAsia="fr-FR"/>
        </w:rPr>
        <w:t xml:space="preserve"> (black</w:t>
      </w:r>
      <w:r w:rsidRPr="00142C6B" w:rsidR="001A4F96">
        <w:rPr>
          <w:rFonts w:eastAsia="Times New Roman"/>
          <w:lang w:val="en" w:eastAsia="fr-FR"/>
        </w:rPr>
        <w:t xml:space="preserve"> eye</w:t>
      </w:r>
      <w:r w:rsidRPr="00142C6B" w:rsidR="00F635EE">
        <w:rPr>
          <w:rFonts w:eastAsia="Times New Roman"/>
          <w:lang w:val="en" w:eastAsia="fr-FR"/>
        </w:rPr>
        <w:t>)</w:t>
      </w:r>
      <w:r w:rsidRPr="00142C6B">
        <w:rPr>
          <w:rFonts w:eastAsia="Times New Roman"/>
          <w:lang w:val="en" w:eastAsia="fr-FR"/>
        </w:rPr>
        <w:t xml:space="preserve">, bruising of </w:t>
      </w:r>
      <w:r w:rsidRPr="00142C6B" w:rsidR="001537F2">
        <w:rPr>
          <w:rFonts w:eastAsia="Times New Roman"/>
          <w:lang w:val="en" w:eastAsia="fr-FR"/>
        </w:rPr>
        <w:t>the left</w:t>
      </w:r>
      <w:r w:rsidRPr="00142C6B" w:rsidR="000140EA">
        <w:rPr>
          <w:rFonts w:eastAsia="Times New Roman"/>
          <w:lang w:val="en" w:eastAsia="fr-FR"/>
        </w:rPr>
        <w:t xml:space="preserve"> </w:t>
      </w:r>
      <w:r w:rsidRPr="00142C6B" w:rsidR="001A4F96">
        <w:rPr>
          <w:rFonts w:eastAsia="Times New Roman"/>
          <w:lang w:val="en" w:eastAsia="fr-FR"/>
        </w:rPr>
        <w:t>cornea</w:t>
      </w:r>
      <w:r w:rsidRPr="00142C6B" w:rsidR="001537F2">
        <w:rPr>
          <w:rFonts w:eastAsia="Times New Roman"/>
          <w:lang w:val="en" w:eastAsia="fr-FR"/>
        </w:rPr>
        <w:t xml:space="preserve">, </w:t>
      </w:r>
      <w:r w:rsidRPr="00142C6B" w:rsidR="000140EA">
        <w:rPr>
          <w:rFonts w:eastAsia="Times New Roman"/>
          <w:lang w:val="en" w:eastAsia="fr-FR"/>
        </w:rPr>
        <w:t xml:space="preserve">and </w:t>
      </w:r>
      <w:r w:rsidRPr="00142C6B" w:rsidR="001537F2">
        <w:rPr>
          <w:rFonts w:eastAsia="Times New Roman"/>
          <w:lang w:val="en" w:eastAsia="fr-FR"/>
        </w:rPr>
        <w:t>nose abrasions</w:t>
      </w:r>
      <w:r w:rsidRPr="00142C6B" w:rsidR="000140EA">
        <w:rPr>
          <w:rFonts w:eastAsia="Times New Roman"/>
          <w:lang w:val="en" w:eastAsia="fr-FR"/>
        </w:rPr>
        <w:t xml:space="preserve"> </w:t>
      </w:r>
      <w:r w:rsidRPr="00142C6B" w:rsidR="00DE7F3B">
        <w:rPr>
          <w:rFonts w:eastAsia="Times New Roman"/>
          <w:lang w:val="en" w:eastAsia="fr-FR"/>
        </w:rPr>
        <w:t>...</w:t>
      </w:r>
      <w:r w:rsidRPr="00142C6B">
        <w:rPr>
          <w:rFonts w:eastAsia="Times New Roman"/>
          <w:lang w:eastAsia="fr-FR"/>
        </w:rPr>
        <w:t>”</w:t>
      </w:r>
    </w:p>
    <w:p w:rsidRPr="00142C6B" w:rsidR="00AC6C6C" w:rsidP="00142C6B" w:rsidRDefault="00E5565A">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11</w:t>
      </w:r>
      <w:r w:rsidRPr="00142C6B">
        <w:rPr>
          <w:lang w:val="en-GB"/>
        </w:rPr>
        <w:fldChar w:fldCharType="end"/>
      </w:r>
      <w:r w:rsidRPr="00142C6B">
        <w:rPr>
          <w:lang w:val="en-GB"/>
        </w:rPr>
        <w:t>.  </w:t>
      </w:r>
      <w:r w:rsidRPr="00142C6B" w:rsidR="00AC6C6C">
        <w:rPr>
          <w:lang w:val="en-GB"/>
        </w:rPr>
        <w:t>The applicant appealed</w:t>
      </w:r>
      <w:r w:rsidRPr="00142C6B" w:rsidR="000140EA">
        <w:rPr>
          <w:lang w:val="en-GB"/>
        </w:rPr>
        <w:t>,</w:t>
      </w:r>
      <w:r w:rsidRPr="00142C6B" w:rsidR="00BE297D">
        <w:rPr>
          <w:lang w:val="en-GB"/>
        </w:rPr>
        <w:t xml:space="preserve"> </w:t>
      </w:r>
      <w:r w:rsidRPr="00142C6B" w:rsidR="00AC6C6C">
        <w:rPr>
          <w:lang w:val="en-GB"/>
        </w:rPr>
        <w:t>arguing</w:t>
      </w:r>
      <w:r w:rsidRPr="00142C6B" w:rsidR="00BE297D">
        <w:rPr>
          <w:lang w:val="en-GB"/>
        </w:rPr>
        <w:t xml:space="preserve">, </w:t>
      </w:r>
      <w:r w:rsidRPr="00142C6B" w:rsidR="00BE297D">
        <w:rPr>
          <w:i/>
          <w:lang w:val="en-GB"/>
        </w:rPr>
        <w:t>inter alia,</w:t>
      </w:r>
      <w:r w:rsidRPr="00142C6B" w:rsidR="00BE297D">
        <w:rPr>
          <w:lang w:val="en-GB"/>
        </w:rPr>
        <w:t xml:space="preserve"> </w:t>
      </w:r>
      <w:r w:rsidRPr="00142C6B" w:rsidR="00AC6C6C">
        <w:rPr>
          <w:lang w:val="en-GB"/>
        </w:rPr>
        <w:t xml:space="preserve">that he had already been punished in respect of the same incident by the Leskovac </w:t>
      </w:r>
      <w:r w:rsidRPr="00142C6B" w:rsidR="007769D8">
        <w:t>misdemeano</w:t>
      </w:r>
      <w:r w:rsidRPr="00142C6B" w:rsidR="000140EA">
        <w:t>u</w:t>
      </w:r>
      <w:r w:rsidRPr="00142C6B" w:rsidR="007769D8">
        <w:t xml:space="preserve">r </w:t>
      </w:r>
      <w:r w:rsidRPr="00142C6B" w:rsidR="00AC6C6C">
        <w:rPr>
          <w:lang w:val="en-GB"/>
        </w:rPr>
        <w:t xml:space="preserve">judge, with the result that the principle of </w:t>
      </w:r>
      <w:r w:rsidRPr="00142C6B" w:rsidR="00AC6C6C">
        <w:rPr>
          <w:i/>
          <w:lang w:val="en-GB"/>
        </w:rPr>
        <w:t>ne bis in idem</w:t>
      </w:r>
      <w:r w:rsidRPr="00142C6B" w:rsidR="00AC6C6C">
        <w:rPr>
          <w:lang w:val="en-GB"/>
        </w:rPr>
        <w:t xml:space="preserve"> had been violated</w:t>
      </w:r>
      <w:r w:rsidRPr="00142C6B" w:rsidR="003274C9">
        <w:rPr>
          <w:lang w:val="en-GB"/>
        </w:rPr>
        <w:t xml:space="preserve"> (</w:t>
      </w:r>
      <w:r w:rsidRPr="00142C6B" w:rsidR="00CC2F1C">
        <w:rPr>
          <w:lang w:val="en-GB"/>
        </w:rPr>
        <w:t>see paragraph</w:t>
      </w:r>
      <w:r w:rsidRPr="00142C6B" w:rsidR="009B2351">
        <w:rPr>
          <w:lang w:val="en-GB"/>
        </w:rPr>
        <w:t xml:space="preserve"> 18 </w:t>
      </w:r>
      <w:r w:rsidRPr="00142C6B" w:rsidR="00CC2F1C">
        <w:rPr>
          <w:lang w:val="en-GB"/>
        </w:rPr>
        <w:t>below)</w:t>
      </w:r>
      <w:r w:rsidRPr="00142C6B" w:rsidR="00AC6C6C">
        <w:rPr>
          <w:lang w:val="en-GB"/>
        </w:rPr>
        <w:t>.</w:t>
      </w:r>
    </w:p>
    <w:p w:rsidRPr="00142C6B" w:rsidR="00AC6C6C" w:rsidP="00142C6B" w:rsidRDefault="00E5565A">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12</w:t>
      </w:r>
      <w:r w:rsidRPr="00142C6B">
        <w:rPr>
          <w:lang w:val="en-GB"/>
        </w:rPr>
        <w:fldChar w:fldCharType="end"/>
      </w:r>
      <w:r w:rsidRPr="00142C6B">
        <w:rPr>
          <w:lang w:val="en-GB"/>
        </w:rPr>
        <w:t>.  </w:t>
      </w:r>
      <w:r w:rsidRPr="00142C6B" w:rsidR="00AC6C6C">
        <w:rPr>
          <w:lang w:val="en-GB"/>
        </w:rPr>
        <w:t xml:space="preserve">On 20 March 2012 the Niš Appeals Court upheld the judgment in respect of the applicant and dismissed the charges against R.C. </w:t>
      </w:r>
      <w:r w:rsidRPr="00142C6B" w:rsidR="00F635EE">
        <w:rPr>
          <w:rFonts w:ascii="Times New Roman" w:hAnsi="Times New Roman" w:eastAsia="PMingLiU" w:cs="Times New Roman"/>
          <w:lang w:val="en-GB"/>
        </w:rPr>
        <w:t>as</w:t>
      </w:r>
      <w:r w:rsidRPr="00142C6B" w:rsidR="00AC6C6C">
        <w:rPr>
          <w:lang w:val="en-GB"/>
        </w:rPr>
        <w:t xml:space="preserve"> statute-barred. As regards the principle </w:t>
      </w:r>
      <w:r w:rsidRPr="00142C6B" w:rsidR="00481348">
        <w:rPr>
          <w:lang w:val="en-GB"/>
        </w:rPr>
        <w:t xml:space="preserve">of </w:t>
      </w:r>
      <w:r w:rsidRPr="00142C6B" w:rsidR="00AC6C6C">
        <w:rPr>
          <w:i/>
          <w:lang w:val="en-GB"/>
        </w:rPr>
        <w:t>ne bis in idem</w:t>
      </w:r>
      <w:r w:rsidRPr="00142C6B" w:rsidR="00AC6C6C">
        <w:rPr>
          <w:lang w:val="en-GB"/>
        </w:rPr>
        <w:t xml:space="preserve">, the court held that the applicant had been found guilty of a </w:t>
      </w:r>
      <w:r w:rsidRPr="00142C6B" w:rsidR="007769D8">
        <w:t>misdemeano</w:t>
      </w:r>
      <w:r w:rsidRPr="00142C6B" w:rsidR="00481348">
        <w:t>u</w:t>
      </w:r>
      <w:r w:rsidRPr="00142C6B" w:rsidR="007769D8">
        <w:t xml:space="preserve">r </w:t>
      </w:r>
      <w:r w:rsidRPr="00142C6B" w:rsidR="00AC6C6C">
        <w:rPr>
          <w:lang w:val="en-GB"/>
        </w:rPr>
        <w:t xml:space="preserve">against public order and peace in the </w:t>
      </w:r>
      <w:r w:rsidRPr="00142C6B" w:rsidR="0040247A">
        <w:t xml:space="preserve">misdemeanour </w:t>
      </w:r>
      <w:r w:rsidRPr="00142C6B" w:rsidR="00AC6C6C">
        <w:rPr>
          <w:lang w:val="en-GB"/>
        </w:rPr>
        <w:t>proceedings, whereas he had been convicted of the criminal offence of grievous bodily harm in the criminal proceedings. According to the court, the description</w:t>
      </w:r>
      <w:r w:rsidRPr="00142C6B" w:rsidR="00481348">
        <w:rPr>
          <w:lang w:val="en-GB"/>
        </w:rPr>
        <w:t>s</w:t>
      </w:r>
      <w:r w:rsidRPr="00142C6B" w:rsidR="00AC6C6C">
        <w:rPr>
          <w:lang w:val="en-GB"/>
        </w:rPr>
        <w:t xml:space="preserve"> of the </w:t>
      </w:r>
      <w:r w:rsidRPr="00142C6B" w:rsidR="00481348">
        <w:rPr>
          <w:lang w:val="en-GB"/>
        </w:rPr>
        <w:t xml:space="preserve">acts </w:t>
      </w:r>
      <w:r w:rsidRPr="00142C6B" w:rsidR="00AC6C6C">
        <w:rPr>
          <w:lang w:val="en-GB"/>
        </w:rPr>
        <w:t>sanctioned therefore clearly differed.</w:t>
      </w:r>
    </w:p>
    <w:p w:rsidRPr="00142C6B" w:rsidR="005E4BD3" w:rsidP="00142C6B" w:rsidRDefault="009D3BF1">
      <w:pPr>
        <w:pStyle w:val="ECHRPara"/>
      </w:pPr>
      <w:r>
        <w:fldChar w:fldCharType="begin"/>
      </w:r>
      <w:r>
        <w:instrText xml:space="preserve"> SEQ level0 \*arabic </w:instrText>
      </w:r>
      <w:r>
        <w:fldChar w:fldCharType="separate"/>
      </w:r>
      <w:r w:rsidRPr="00142C6B" w:rsidR="00142C6B">
        <w:rPr>
          <w:noProof/>
        </w:rPr>
        <w:t>13</w:t>
      </w:r>
      <w:r>
        <w:rPr>
          <w:noProof/>
        </w:rPr>
        <w:fldChar w:fldCharType="end"/>
      </w:r>
      <w:r w:rsidRPr="00142C6B" w:rsidR="00E5565A">
        <w:t>.  </w:t>
      </w:r>
      <w:r w:rsidRPr="00142C6B" w:rsidR="00AF42F9">
        <w:t>On 19 September 2012</w:t>
      </w:r>
      <w:r w:rsidRPr="00142C6B" w:rsidR="005E4BD3">
        <w:t>,</w:t>
      </w:r>
      <w:r w:rsidRPr="00142C6B" w:rsidR="00AF42F9">
        <w:t xml:space="preserve"> </w:t>
      </w:r>
      <w:r w:rsidRPr="00142C6B" w:rsidR="005E4BD3">
        <w:t xml:space="preserve">the </w:t>
      </w:r>
      <w:r w:rsidRPr="00142C6B" w:rsidR="005E4BD3">
        <w:rPr>
          <w:lang w:val="en"/>
        </w:rPr>
        <w:t xml:space="preserve">Leskovac Basic Court </w:t>
      </w:r>
      <w:r w:rsidRPr="00142C6B" w:rsidR="005E4BD3">
        <w:t xml:space="preserve">converted </w:t>
      </w:r>
      <w:r w:rsidRPr="00142C6B" w:rsidR="00347775">
        <w:t xml:space="preserve">the prison sentence to </w:t>
      </w:r>
      <w:r w:rsidRPr="00142C6B" w:rsidR="00481348">
        <w:t>house arrest</w:t>
      </w:r>
      <w:r w:rsidRPr="00142C6B" w:rsidR="00A96B1E">
        <w:rPr>
          <w:lang w:val="en"/>
        </w:rPr>
        <w:t xml:space="preserve"> </w:t>
      </w:r>
      <w:r w:rsidRPr="00142C6B" w:rsidR="009B2351">
        <w:t>without electronic monitoring.</w:t>
      </w:r>
    </w:p>
    <w:p w:rsidRPr="00142C6B" w:rsidR="005D2FA9" w:rsidP="00142C6B" w:rsidRDefault="005D2FA9">
      <w:pPr>
        <w:pStyle w:val="ECHRPara"/>
        <w:rPr>
          <w:lang w:val="en"/>
        </w:rPr>
      </w:pPr>
      <w:r w:rsidRPr="00142C6B">
        <w:rPr>
          <w:lang w:val="en"/>
        </w:rPr>
        <w:fldChar w:fldCharType="begin"/>
      </w:r>
      <w:r w:rsidRPr="00142C6B">
        <w:rPr>
          <w:lang w:val="en"/>
        </w:rPr>
        <w:instrText xml:space="preserve"> SEQ level0 \*arabic </w:instrText>
      </w:r>
      <w:r w:rsidRPr="00142C6B">
        <w:rPr>
          <w:lang w:val="en"/>
        </w:rPr>
        <w:fldChar w:fldCharType="separate"/>
      </w:r>
      <w:r w:rsidRPr="00142C6B" w:rsidR="00142C6B">
        <w:rPr>
          <w:noProof/>
          <w:lang w:val="en"/>
        </w:rPr>
        <w:t>14</w:t>
      </w:r>
      <w:r w:rsidRPr="00142C6B">
        <w:rPr>
          <w:lang w:val="en"/>
        </w:rPr>
        <w:fldChar w:fldCharType="end"/>
      </w:r>
      <w:r w:rsidRPr="00142C6B">
        <w:rPr>
          <w:lang w:val="en"/>
        </w:rPr>
        <w:t>.  </w:t>
      </w:r>
      <w:r w:rsidRPr="00142C6B" w:rsidR="00224390">
        <w:t>O</w:t>
      </w:r>
      <w:r w:rsidRPr="00142C6B" w:rsidR="00224390">
        <w:rPr>
          <w:lang w:val="en"/>
        </w:rPr>
        <w:t>n</w:t>
      </w:r>
      <w:r w:rsidRPr="00142C6B" w:rsidR="005E4BD3">
        <w:rPr>
          <w:lang w:val="en"/>
        </w:rPr>
        <w:t xml:space="preserve"> 29 November 2012 the Lesk</w:t>
      </w:r>
      <w:r w:rsidRPr="00142C6B">
        <w:rPr>
          <w:lang w:val="en"/>
        </w:rPr>
        <w:t>ovac Ba</w:t>
      </w:r>
      <w:r w:rsidRPr="00142C6B" w:rsidR="005E4BD3">
        <w:rPr>
          <w:lang w:val="en"/>
        </w:rPr>
        <w:t>s</w:t>
      </w:r>
      <w:r w:rsidRPr="00142C6B">
        <w:rPr>
          <w:lang w:val="en"/>
        </w:rPr>
        <w:t xml:space="preserve">ic Court </w:t>
      </w:r>
      <w:r w:rsidRPr="00142C6B" w:rsidR="0059509D">
        <w:rPr>
          <w:lang w:val="en"/>
        </w:rPr>
        <w:t>amnestied</w:t>
      </w:r>
      <w:r w:rsidRPr="00142C6B">
        <w:rPr>
          <w:lang w:val="en"/>
        </w:rPr>
        <w:t xml:space="preserve"> the applicant</w:t>
      </w:r>
      <w:r w:rsidRPr="00142C6B" w:rsidR="00481348">
        <w:rPr>
          <w:lang w:val="en"/>
        </w:rPr>
        <w:t xml:space="preserve"> at his request</w:t>
      </w:r>
      <w:r w:rsidRPr="00142C6B" w:rsidR="005E4BD3">
        <w:rPr>
          <w:lang w:val="en"/>
        </w:rPr>
        <w:t xml:space="preserve">, finding that the conditions for a statutory </w:t>
      </w:r>
      <w:r w:rsidRPr="00142C6B" w:rsidR="00F64605">
        <w:rPr>
          <w:lang w:val="en"/>
        </w:rPr>
        <w:t>amnesty</w:t>
      </w:r>
      <w:r w:rsidRPr="00142C6B" w:rsidR="009B2351">
        <w:rPr>
          <w:lang w:val="en"/>
        </w:rPr>
        <w:t xml:space="preserve"> </w:t>
      </w:r>
      <w:r w:rsidRPr="00142C6B" w:rsidR="00481348">
        <w:rPr>
          <w:lang w:val="en"/>
        </w:rPr>
        <w:t>were</w:t>
      </w:r>
      <w:r w:rsidRPr="00142C6B" w:rsidR="005E4BD3">
        <w:rPr>
          <w:lang w:val="en"/>
        </w:rPr>
        <w:t xml:space="preserve"> applicable (see paragraph</w:t>
      </w:r>
      <w:r w:rsidRPr="00142C6B" w:rsidR="009B2351">
        <w:rPr>
          <w:lang w:val="en"/>
        </w:rPr>
        <w:t xml:space="preserve"> 22 </w:t>
      </w:r>
      <w:r w:rsidRPr="00142C6B" w:rsidR="005E4BD3">
        <w:rPr>
          <w:lang w:val="en"/>
        </w:rPr>
        <w:t>below)</w:t>
      </w:r>
      <w:r w:rsidRPr="00142C6B" w:rsidR="009B2351">
        <w:rPr>
          <w:lang w:val="en"/>
        </w:rPr>
        <w:t>.</w:t>
      </w:r>
    </w:p>
    <w:p w:rsidRPr="00142C6B" w:rsidR="00ED6EDE" w:rsidP="00142C6B" w:rsidRDefault="00E5565A">
      <w:pPr>
        <w:pStyle w:val="ECHRHeading2"/>
      </w:pPr>
      <w:r w:rsidRPr="00142C6B">
        <w:t>C</w:t>
      </w:r>
      <w:r w:rsidRPr="00142C6B" w:rsidR="00A41C5F">
        <w:t>.</w:t>
      </w:r>
      <w:r w:rsidRPr="00142C6B" w:rsidR="00224390">
        <w:t> </w:t>
      </w:r>
      <w:r w:rsidRPr="00142C6B" w:rsidR="00D33B0F">
        <w:t> </w:t>
      </w:r>
      <w:r w:rsidRPr="00142C6B" w:rsidR="00224390">
        <w:t>Constitutional Avenue</w:t>
      </w:r>
    </w:p>
    <w:p w:rsidRPr="00142C6B" w:rsidR="00ED6EDE" w:rsidP="00142C6B" w:rsidRDefault="009D3BF1">
      <w:pPr>
        <w:pStyle w:val="ECHRPara"/>
      </w:pPr>
      <w:r>
        <w:fldChar w:fldCharType="begin"/>
      </w:r>
      <w:r>
        <w:instrText xml:space="preserve"> SEQ level0 \*arabic </w:instrText>
      </w:r>
      <w:r>
        <w:fldChar w:fldCharType="separate"/>
      </w:r>
      <w:r w:rsidRPr="00142C6B" w:rsidR="00142C6B">
        <w:rPr>
          <w:noProof/>
        </w:rPr>
        <w:t>15</w:t>
      </w:r>
      <w:r>
        <w:rPr>
          <w:noProof/>
        </w:rPr>
        <w:fldChar w:fldCharType="end"/>
      </w:r>
      <w:r w:rsidRPr="00142C6B" w:rsidR="00E5565A">
        <w:t>.  </w:t>
      </w:r>
      <w:r w:rsidRPr="00142C6B" w:rsidR="00AC6C6C">
        <w:t xml:space="preserve">In a subsequent constitutional appeal lodged on </w:t>
      </w:r>
      <w:r w:rsidRPr="00142C6B" w:rsidR="00AC6C6C">
        <w:rPr>
          <w:lang w:val="en-GB"/>
        </w:rPr>
        <w:t xml:space="preserve">25 May 2012 </w:t>
      </w:r>
      <w:r w:rsidRPr="00142C6B" w:rsidR="00AC6C6C">
        <w:t>the applicant reiterated that</w:t>
      </w:r>
      <w:r w:rsidRPr="00142C6B" w:rsidR="00AC6C6C">
        <w:rPr>
          <w:lang w:val="en-GB"/>
        </w:rPr>
        <w:t xml:space="preserve"> he had been tried and </w:t>
      </w:r>
      <w:r w:rsidRPr="00142C6B" w:rsidR="00AC6C6C">
        <w:t xml:space="preserve">punished </w:t>
      </w:r>
      <w:r w:rsidRPr="00142C6B" w:rsidR="00AC6C6C">
        <w:rPr>
          <w:lang w:val="en-GB"/>
        </w:rPr>
        <w:t xml:space="preserve">twice for the same </w:t>
      </w:r>
      <w:r w:rsidRPr="00142C6B" w:rsidR="00AC6C6C">
        <w:t>offence, in breach of Article 34 § 4 of the Constitution</w:t>
      </w:r>
      <w:r w:rsidRPr="00142C6B" w:rsidR="009B2351">
        <w:t xml:space="preserve"> (see paragraph 13 below)</w:t>
      </w:r>
      <w:r w:rsidRPr="00142C6B" w:rsidR="00AC6C6C">
        <w:t>.</w:t>
      </w:r>
    </w:p>
    <w:p w:rsidRPr="00142C6B" w:rsidR="00D33B0F" w:rsidP="00142C6B" w:rsidRDefault="009D3BF1">
      <w:pPr>
        <w:pStyle w:val="ECHRPara"/>
        <w:rPr>
          <w:lang w:val="en-GB"/>
        </w:rPr>
      </w:pPr>
      <w:r>
        <w:fldChar w:fldCharType="begin"/>
      </w:r>
      <w:r>
        <w:instrText xml:space="preserve"> SEQ level0 \*arabic </w:instrText>
      </w:r>
      <w:r>
        <w:fldChar w:fldCharType="separate"/>
      </w:r>
      <w:r w:rsidRPr="00142C6B" w:rsidR="00142C6B">
        <w:rPr>
          <w:noProof/>
        </w:rPr>
        <w:t>16</w:t>
      </w:r>
      <w:r>
        <w:rPr>
          <w:noProof/>
        </w:rPr>
        <w:fldChar w:fldCharType="end"/>
      </w:r>
      <w:r w:rsidRPr="00142C6B" w:rsidR="00E5565A">
        <w:t>.  </w:t>
      </w:r>
      <w:r w:rsidRPr="00142C6B" w:rsidR="00AC6C6C">
        <w:t xml:space="preserve">On 20 May 2013 the Constitutional Court, referring to the reasoning of the </w:t>
      </w:r>
      <w:r w:rsidRPr="00142C6B" w:rsidR="00AC6C6C">
        <w:rPr>
          <w:lang w:val="en-GB"/>
        </w:rPr>
        <w:t xml:space="preserve">Niš </w:t>
      </w:r>
      <w:r w:rsidRPr="00142C6B" w:rsidR="00AC6C6C">
        <w:t>Appeals Court as “fully acceptable from the constitutional point of view”</w:t>
      </w:r>
      <w:r w:rsidRPr="00142C6B" w:rsidR="009B2351">
        <w:t xml:space="preserve"> (see paragraph 12 above)</w:t>
      </w:r>
      <w:r w:rsidRPr="00142C6B" w:rsidR="00AC6C6C">
        <w:t>, dismissed the applicant</w:t>
      </w:r>
      <w:r w:rsidRPr="00142C6B" w:rsidR="00142C6B">
        <w:t>’</w:t>
      </w:r>
      <w:r w:rsidRPr="00142C6B" w:rsidR="00AC6C6C">
        <w:t xml:space="preserve">s appeal as ill-founded. </w:t>
      </w:r>
      <w:r w:rsidRPr="00142C6B" w:rsidR="00AC6C6C">
        <w:rPr>
          <w:lang w:val="en-GB"/>
        </w:rPr>
        <w:t>The decision of the Constitutional Court was served on the applicant</w:t>
      </w:r>
      <w:r w:rsidRPr="00142C6B" w:rsidR="00142C6B">
        <w:rPr>
          <w:lang w:val="en-GB"/>
        </w:rPr>
        <w:t>’</w:t>
      </w:r>
      <w:r w:rsidRPr="00142C6B" w:rsidR="00AC6C6C">
        <w:rPr>
          <w:lang w:val="en-GB"/>
        </w:rPr>
        <w:t>s representative on 29 May 2013.</w:t>
      </w:r>
    </w:p>
    <w:p w:rsidRPr="00142C6B" w:rsidR="00014566" w:rsidP="00142C6B" w:rsidRDefault="00014566">
      <w:pPr>
        <w:pStyle w:val="ECHRHeading1"/>
      </w:pPr>
      <w:r w:rsidRPr="00142C6B">
        <w:t>II.  RELEVANT DOMESTIC LAW AND PRACTICE</w:t>
      </w:r>
    </w:p>
    <w:p w:rsidRPr="00142C6B" w:rsidR="00AC6C6C" w:rsidP="00142C6B" w:rsidRDefault="00E5565A">
      <w:pPr>
        <w:pStyle w:val="ECHRHeading2"/>
      </w:pPr>
      <w:r w:rsidRPr="00142C6B">
        <w:t>A</w:t>
      </w:r>
      <w:r w:rsidRPr="00142C6B" w:rsidR="00A41C5F">
        <w:t>.  </w:t>
      </w:r>
      <w:r w:rsidRPr="00142C6B" w:rsidR="00AC6C6C">
        <w:t xml:space="preserve">Relevant provisions concerning the principle </w:t>
      </w:r>
      <w:r w:rsidRPr="00142C6B" w:rsidR="00481348">
        <w:t xml:space="preserve">of </w:t>
      </w:r>
      <w:r w:rsidRPr="00142C6B" w:rsidR="00AC6C6C">
        <w:rPr>
          <w:i/>
        </w:rPr>
        <w:t>ne bis in idem</w:t>
      </w:r>
    </w:p>
    <w:p w:rsidRPr="00142C6B" w:rsidR="00AC6C6C" w:rsidP="00142C6B" w:rsidRDefault="00E5565A">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17</w:t>
      </w:r>
      <w:r w:rsidRPr="00142C6B">
        <w:rPr>
          <w:lang w:val="en-GB"/>
        </w:rPr>
        <w:fldChar w:fldCharType="end"/>
      </w:r>
      <w:r w:rsidRPr="00142C6B">
        <w:rPr>
          <w:lang w:val="en-GB"/>
        </w:rPr>
        <w:t>.  </w:t>
      </w:r>
      <w:r w:rsidRPr="00142C6B" w:rsidR="00AC6C6C">
        <w:rPr>
          <w:lang w:val="en-GB"/>
        </w:rPr>
        <w:t>The Constitution of the Republic of Serbia (published in the Official Gazette of the Republic of Serbia - OG RS – no.</w:t>
      </w:r>
      <w:r w:rsidRPr="00142C6B" w:rsidR="001F6B0F">
        <w:rPr>
          <w:lang w:val="en-GB"/>
        </w:rPr>
        <w:t xml:space="preserve"> 98/06</w:t>
      </w:r>
      <w:r w:rsidRPr="00142C6B" w:rsidR="00AC6C6C">
        <w:rPr>
          <w:lang w:val="en-GB"/>
        </w:rPr>
        <w:t xml:space="preserve">) guarantees, under </w:t>
      </w:r>
      <w:r w:rsidRPr="00142C6B" w:rsidR="00AC6C6C">
        <w:t xml:space="preserve">Article </w:t>
      </w:r>
      <w:r w:rsidRPr="00142C6B" w:rsidR="00AC6C6C">
        <w:rPr>
          <w:lang w:val="en-GB"/>
        </w:rPr>
        <w:t xml:space="preserve">34 </w:t>
      </w:r>
      <w:r w:rsidRPr="00142C6B" w:rsidR="00AC6C6C">
        <w:t xml:space="preserve">§ 4, </w:t>
      </w:r>
      <w:r w:rsidRPr="00142C6B" w:rsidR="00AC6C6C">
        <w:rPr>
          <w:lang w:val="en-GB"/>
        </w:rPr>
        <w:t xml:space="preserve">that no person may be prosecuted or sentenced for a criminal offence for which he has been acquitted or convicted by a final judgment, for which the charges </w:t>
      </w:r>
      <w:r w:rsidRPr="00142C6B" w:rsidR="00AC6C6C">
        <w:t xml:space="preserve">have been dropped </w:t>
      </w:r>
      <w:r w:rsidRPr="00142C6B" w:rsidR="00AC6C6C">
        <w:rPr>
          <w:lang w:val="en-GB"/>
        </w:rPr>
        <w:t>or criminal proceedings have been discontinued by a final decision. The same prohibitions should be applicable to all other proceedings conducted for any other act punishable by law.</w:t>
      </w:r>
    </w:p>
    <w:p w:rsidRPr="00142C6B" w:rsidR="00ED6EDE" w:rsidP="00142C6B" w:rsidRDefault="00E5565A">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18</w:t>
      </w:r>
      <w:r w:rsidRPr="00142C6B">
        <w:rPr>
          <w:lang w:val="en-GB"/>
        </w:rPr>
        <w:fldChar w:fldCharType="end"/>
      </w:r>
      <w:r w:rsidRPr="00142C6B">
        <w:rPr>
          <w:lang w:val="en-GB"/>
        </w:rPr>
        <w:t>.  </w:t>
      </w:r>
      <w:r w:rsidRPr="00142C6B" w:rsidR="00AC6C6C">
        <w:rPr>
          <w:lang w:val="en-GB"/>
        </w:rPr>
        <w:t xml:space="preserve">The language of Article 6 </w:t>
      </w:r>
      <w:r w:rsidRPr="00142C6B" w:rsidR="00AC6C6C">
        <w:t>§ 1 of the Criminal Procedure Code (</w:t>
      </w:r>
      <w:r w:rsidRPr="00142C6B" w:rsidR="00AC6C6C">
        <w:rPr>
          <w:i/>
        </w:rPr>
        <w:t>Zakon o krivičnom postupku</w:t>
      </w:r>
      <w:r w:rsidRPr="00142C6B" w:rsidR="00AC6C6C">
        <w:t>, published in the Official Gazette of the SRY, nos. 70/01 and 68/02 and OG RS nos.</w:t>
      </w:r>
      <w:r w:rsidRPr="00142C6B" w:rsidR="00AC6C6C">
        <w:rPr>
          <w:lang w:val="sr-Cyrl-CS"/>
        </w:rPr>
        <w:t xml:space="preserve"> 58/04, 85/05, 115/05, 46/06, 49/07 </w:t>
      </w:r>
      <w:r w:rsidRPr="00142C6B" w:rsidR="00AC6C6C">
        <w:rPr>
          <w:lang w:val="en-GB"/>
        </w:rPr>
        <w:t>and</w:t>
      </w:r>
      <w:r w:rsidRPr="00142C6B" w:rsidR="00AC6C6C">
        <w:rPr>
          <w:lang w:val="sr-Cyrl-CS"/>
        </w:rPr>
        <w:t xml:space="preserve"> 122/08), </w:t>
      </w:r>
      <w:r w:rsidRPr="00142C6B" w:rsidR="00AC6C6C">
        <w:rPr>
          <w:lang w:val="en-GB"/>
        </w:rPr>
        <w:t xml:space="preserve">corresponds to </w:t>
      </w:r>
      <w:r w:rsidRPr="00142C6B" w:rsidR="00AC6C6C">
        <w:t xml:space="preserve">Article </w:t>
      </w:r>
      <w:r w:rsidRPr="00142C6B" w:rsidR="00AC6C6C">
        <w:rPr>
          <w:lang w:val="en-GB"/>
        </w:rPr>
        <w:t xml:space="preserve">34 </w:t>
      </w:r>
      <w:r w:rsidRPr="00142C6B" w:rsidR="00AC6C6C">
        <w:t xml:space="preserve">§ 4 </w:t>
      </w:r>
      <w:r w:rsidRPr="00142C6B" w:rsidR="00AC6C6C">
        <w:rPr>
          <w:lang w:val="en-GB"/>
        </w:rPr>
        <w:t xml:space="preserve">of the Constitution </w:t>
      </w:r>
      <w:r w:rsidRPr="00142C6B" w:rsidR="00C276E2">
        <w:rPr>
          <w:lang w:val="en-GB"/>
        </w:rPr>
        <w:t xml:space="preserve">2006 </w:t>
      </w:r>
      <w:r w:rsidRPr="00142C6B" w:rsidR="00AC6C6C">
        <w:rPr>
          <w:lang w:val="en-GB"/>
        </w:rPr>
        <w:t>referred to above.</w:t>
      </w:r>
    </w:p>
    <w:p w:rsidRPr="00142C6B" w:rsidR="00AC6C6C" w:rsidP="00142C6B" w:rsidRDefault="00E5565A">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19</w:t>
      </w:r>
      <w:r w:rsidRPr="00142C6B">
        <w:rPr>
          <w:lang w:val="en-GB"/>
        </w:rPr>
        <w:fldChar w:fldCharType="end"/>
      </w:r>
      <w:r w:rsidRPr="00142C6B">
        <w:rPr>
          <w:lang w:val="en-GB"/>
        </w:rPr>
        <w:t>.  </w:t>
      </w:r>
      <w:r w:rsidRPr="00142C6B" w:rsidR="00AC6C6C">
        <w:rPr>
          <w:lang w:val="en-GB"/>
        </w:rPr>
        <w:t xml:space="preserve">According to Article 8 of the </w:t>
      </w:r>
      <w:r w:rsidRPr="00142C6B" w:rsidR="006015EC">
        <w:t xml:space="preserve">Misdemeanours </w:t>
      </w:r>
      <w:r w:rsidRPr="00142C6B" w:rsidR="00AC6C6C">
        <w:t>Act 2005 (</w:t>
      </w:r>
      <w:r w:rsidRPr="00142C6B" w:rsidR="00AC6C6C">
        <w:rPr>
          <w:i/>
        </w:rPr>
        <w:t>Zakon o prekršajima</w:t>
      </w:r>
      <w:r w:rsidRPr="00142C6B" w:rsidR="00AC6C6C">
        <w:t xml:space="preserve">, published in OG RS nos. 101/05, 116/08 and 111/09) no one shall be sanctioned in minor offences proceedings two or more times for the same </w:t>
      </w:r>
      <w:r w:rsidRPr="00142C6B" w:rsidR="007769D8">
        <w:t>misdemeano</w:t>
      </w:r>
      <w:r w:rsidRPr="00142C6B" w:rsidR="00481348">
        <w:t>u</w:t>
      </w:r>
      <w:r w:rsidRPr="00142C6B" w:rsidR="007769D8">
        <w:t>r</w:t>
      </w:r>
      <w:r w:rsidRPr="00142C6B" w:rsidR="00AC6C6C">
        <w:t xml:space="preserve">, nor may a person be punished for a </w:t>
      </w:r>
      <w:r w:rsidRPr="00142C6B" w:rsidR="007769D8">
        <w:t>misdemeano</w:t>
      </w:r>
      <w:r w:rsidRPr="00142C6B" w:rsidR="00481348">
        <w:t>u</w:t>
      </w:r>
      <w:r w:rsidRPr="00142C6B" w:rsidR="007769D8">
        <w:t xml:space="preserve">r </w:t>
      </w:r>
      <w:r w:rsidRPr="00142C6B" w:rsidR="00AC6C6C">
        <w:t>if he or she ha</w:t>
      </w:r>
      <w:r w:rsidRPr="00142C6B" w:rsidR="00481348">
        <w:t>s</w:t>
      </w:r>
      <w:r w:rsidRPr="00142C6B" w:rsidR="00AC6C6C">
        <w:t xml:space="preserve"> been convicted by a final decision in criminal or commercial proceedings of an offence which ha</w:t>
      </w:r>
      <w:r w:rsidRPr="00142C6B" w:rsidR="00481348">
        <w:t>s</w:t>
      </w:r>
      <w:r w:rsidRPr="00142C6B" w:rsidR="00AC6C6C">
        <w:t xml:space="preserve"> the same essential elements as the </w:t>
      </w:r>
      <w:r w:rsidRPr="00142C6B" w:rsidR="007769D8">
        <w:t>misdemeano</w:t>
      </w:r>
      <w:r w:rsidRPr="00142C6B" w:rsidR="00481348">
        <w:t>u</w:t>
      </w:r>
      <w:r w:rsidRPr="00142C6B" w:rsidR="007769D8">
        <w:t xml:space="preserve">r </w:t>
      </w:r>
      <w:r w:rsidRPr="00142C6B" w:rsidR="00AC6C6C">
        <w:t>in question.</w:t>
      </w:r>
    </w:p>
    <w:p w:rsidRPr="00142C6B" w:rsidR="00AC6C6C" w:rsidP="00142C6B" w:rsidRDefault="00E5565A">
      <w:pPr>
        <w:pStyle w:val="ECHRHeading2"/>
      </w:pPr>
      <w:r w:rsidRPr="00142C6B">
        <w:t>B</w:t>
      </w:r>
      <w:r w:rsidRPr="00142C6B" w:rsidR="00A41C5F">
        <w:t>.  </w:t>
      </w:r>
      <w:r w:rsidRPr="00142C6B" w:rsidR="00AC6C6C">
        <w:t>Provisions concerning the relevant offences</w:t>
      </w:r>
    </w:p>
    <w:p w:rsidRPr="00142C6B" w:rsidR="00ED6EDE" w:rsidP="00142C6B" w:rsidRDefault="009D3BF1">
      <w:pPr>
        <w:pStyle w:val="ECHRPara"/>
      </w:pPr>
      <w:r>
        <w:fldChar w:fldCharType="begin"/>
      </w:r>
      <w:r>
        <w:instrText xml:space="preserve"> SEQ level0 \*arabic </w:instrText>
      </w:r>
      <w:r>
        <w:fldChar w:fldCharType="separate"/>
      </w:r>
      <w:r w:rsidRPr="00142C6B" w:rsidR="00142C6B">
        <w:rPr>
          <w:noProof/>
        </w:rPr>
        <w:t>20</w:t>
      </w:r>
      <w:r>
        <w:rPr>
          <w:noProof/>
        </w:rPr>
        <w:fldChar w:fldCharType="end"/>
      </w:r>
      <w:r w:rsidRPr="00142C6B" w:rsidR="00E5565A">
        <w:t>.  </w:t>
      </w:r>
      <w:r w:rsidRPr="00142C6B" w:rsidR="00AC6C6C">
        <w:t xml:space="preserve">Article 121 § 2 of the Criminal Code </w:t>
      </w:r>
      <w:r w:rsidRPr="00142C6B" w:rsidR="00C276E2">
        <w:t xml:space="preserve">of the Republic of Serbia 2005 </w:t>
      </w:r>
      <w:r w:rsidRPr="00142C6B" w:rsidR="00AC6C6C">
        <w:t>(</w:t>
      </w:r>
      <w:r w:rsidRPr="00142C6B" w:rsidR="00AC6C6C">
        <w:rPr>
          <w:i/>
        </w:rPr>
        <w:t xml:space="preserve">Krivični zakonik Republike Srbije, </w:t>
      </w:r>
      <w:r w:rsidRPr="00142C6B" w:rsidR="00AC6C6C">
        <w:t>published in</w:t>
      </w:r>
      <w:r w:rsidRPr="00142C6B" w:rsidR="00AC6C6C">
        <w:rPr>
          <w:i/>
        </w:rPr>
        <w:t xml:space="preserve"> </w:t>
      </w:r>
      <w:r w:rsidRPr="00142C6B" w:rsidR="00AC6C6C">
        <w:t xml:space="preserve">OG RS, nos. </w:t>
      </w:r>
      <w:r w:rsidRPr="00142C6B" w:rsidR="00AC6C6C">
        <w:rPr>
          <w:iCs/>
        </w:rPr>
        <w:t>85/2005, 88/2005, 107/2005, 72/2009, 111/2009, 121/2012 and 104/2013) provides that</w:t>
      </w:r>
      <w:r w:rsidRPr="00142C6B" w:rsidR="00AC6C6C">
        <w:rPr>
          <w:i/>
          <w:iCs/>
        </w:rPr>
        <w:t xml:space="preserve"> </w:t>
      </w:r>
      <w:r w:rsidRPr="00142C6B" w:rsidR="00AC6C6C">
        <w:rPr>
          <w:lang w:val="en-GB"/>
        </w:rPr>
        <w:t>“whoever inflicts bodily injury on another or impairs another</w:t>
      </w:r>
      <w:r w:rsidRPr="00142C6B" w:rsidR="00142C6B">
        <w:rPr>
          <w:lang w:val="en-GB"/>
        </w:rPr>
        <w:t>’</w:t>
      </w:r>
      <w:r w:rsidRPr="00142C6B" w:rsidR="00AC6C6C">
        <w:rPr>
          <w:lang w:val="en-GB"/>
        </w:rPr>
        <w:t>s health shall be sentenced to imprisonment for a term of not less than one year and not exceeding eight years.”</w:t>
      </w:r>
      <w:r w:rsidRPr="00142C6B" w:rsidR="00AC6C6C">
        <w:t xml:space="preserve"> Under Article 50 § 3 the competent court could impose a sanction below the prescribed minimum in the event that there were mitigating circumstances.</w:t>
      </w:r>
    </w:p>
    <w:p w:rsidRPr="00142C6B" w:rsidR="00ED6EDE" w:rsidP="00142C6B" w:rsidRDefault="009D3BF1">
      <w:pPr>
        <w:pStyle w:val="ECHRPara"/>
      </w:pPr>
      <w:r>
        <w:fldChar w:fldCharType="begin"/>
      </w:r>
      <w:r>
        <w:instrText xml:space="preserve"> SEQ level0 \*arabic </w:instrText>
      </w:r>
      <w:r>
        <w:fldChar w:fldCharType="separate"/>
      </w:r>
      <w:r w:rsidRPr="00142C6B" w:rsidR="00142C6B">
        <w:rPr>
          <w:noProof/>
        </w:rPr>
        <w:t>21</w:t>
      </w:r>
      <w:r>
        <w:rPr>
          <w:noProof/>
        </w:rPr>
        <w:fldChar w:fldCharType="end"/>
      </w:r>
      <w:r w:rsidRPr="00142C6B" w:rsidR="00E5565A">
        <w:t>.  </w:t>
      </w:r>
      <w:r w:rsidRPr="00142C6B" w:rsidR="00AC6C6C">
        <w:t>Article 6(3) of the Public Order Act (</w:t>
      </w:r>
      <w:r w:rsidRPr="00142C6B" w:rsidR="00AC6C6C">
        <w:rPr>
          <w:i/>
        </w:rPr>
        <w:t>Zakon o javnom redu i miru</w:t>
      </w:r>
      <w:r w:rsidRPr="00142C6B" w:rsidR="00AC6C6C">
        <w:rPr>
          <w:lang w:val="bs-Latn-BA"/>
        </w:rPr>
        <w:t xml:space="preserve">, published in OG RS nos. 851/92, 53/93, 67/93, 48/94, 85/05 and 101/05) provides that anyone who disturbs the peace in a public place by verbally or physically attacking another person, or by inciting or participating in a fight, is committing a </w:t>
      </w:r>
      <w:r w:rsidRPr="00142C6B" w:rsidR="006015EC">
        <w:rPr>
          <w:lang w:val="bs-Latn-BA"/>
        </w:rPr>
        <w:t>misdemeanour</w:t>
      </w:r>
      <w:r w:rsidRPr="00142C6B" w:rsidR="00AC6C6C">
        <w:rPr>
          <w:lang w:val="bs-Latn-BA"/>
        </w:rPr>
        <w:t xml:space="preserve"> against public order and shall be fined in an amount up to RSD 30,000 or to a term of </w:t>
      </w:r>
      <w:r w:rsidRPr="00142C6B" w:rsidR="00AC6C6C">
        <w:t>imprisonment not exceeding sixty days.</w:t>
      </w:r>
    </w:p>
    <w:p w:rsidRPr="00142C6B" w:rsidR="007E361A" w:rsidP="00142C6B" w:rsidRDefault="00A41C5F">
      <w:pPr>
        <w:pStyle w:val="ECHRHeading2"/>
      </w:pPr>
      <w:r w:rsidRPr="00142C6B">
        <w:t>C.  </w:t>
      </w:r>
      <w:r w:rsidRPr="00142C6B" w:rsidR="007E361A">
        <w:t xml:space="preserve">Amnesty </w:t>
      </w:r>
      <w:r w:rsidRPr="00142C6B" w:rsidR="00481348">
        <w:t>l</w:t>
      </w:r>
      <w:r w:rsidRPr="00142C6B" w:rsidR="007E361A">
        <w:t>aw</w:t>
      </w:r>
    </w:p>
    <w:p w:rsidRPr="00142C6B" w:rsidR="00472517" w:rsidP="00142C6B" w:rsidRDefault="009D3BF1">
      <w:pPr>
        <w:pStyle w:val="ECHRPara"/>
      </w:pPr>
      <w:r>
        <w:fldChar w:fldCharType="begin"/>
      </w:r>
      <w:r>
        <w:instrText xml:space="preserve"> SEQ level0 \*arabic </w:instrText>
      </w:r>
      <w:r>
        <w:fldChar w:fldCharType="separate"/>
      </w:r>
      <w:r w:rsidRPr="00142C6B" w:rsidR="00142C6B">
        <w:rPr>
          <w:noProof/>
        </w:rPr>
        <w:t>22</w:t>
      </w:r>
      <w:r>
        <w:rPr>
          <w:noProof/>
        </w:rPr>
        <w:fldChar w:fldCharType="end"/>
      </w:r>
      <w:r w:rsidRPr="00142C6B" w:rsidR="00C07319">
        <w:t>. </w:t>
      </w:r>
      <w:r w:rsidRPr="00142C6B" w:rsidR="00F10A40">
        <w:t>The Amnesty Act (</w:t>
      </w:r>
      <w:r w:rsidRPr="00142C6B" w:rsidR="00F10A40">
        <w:rPr>
          <w:i/>
        </w:rPr>
        <w:t>Zakon o amnestiji</w:t>
      </w:r>
      <w:r w:rsidRPr="00142C6B" w:rsidR="00F10A40">
        <w:t>, published in OG RS no.</w:t>
      </w:r>
      <w:r w:rsidRPr="00142C6B" w:rsidR="00BE0EB5">
        <w:t> </w:t>
      </w:r>
      <w:r w:rsidRPr="00142C6B" w:rsidR="00F10A40">
        <w:t xml:space="preserve">107/12, came into force on 17 November 2012), </w:t>
      </w:r>
      <w:r w:rsidRPr="00142C6B" w:rsidR="00D229AC">
        <w:t>stipulated</w:t>
      </w:r>
      <w:r w:rsidRPr="00142C6B" w:rsidR="00F10A40">
        <w:t xml:space="preserve">, </w:t>
      </w:r>
      <w:r w:rsidRPr="00142C6B" w:rsidR="00F10A40">
        <w:rPr>
          <w:i/>
        </w:rPr>
        <w:t>inter alia</w:t>
      </w:r>
      <w:r w:rsidRPr="00142C6B" w:rsidR="00F10A40">
        <w:t xml:space="preserve">, that all </w:t>
      </w:r>
      <w:r w:rsidRPr="00142C6B" w:rsidR="00481348">
        <w:t xml:space="preserve">first offenders </w:t>
      </w:r>
      <w:r w:rsidRPr="00142C6B" w:rsidR="00F10A40">
        <w:t xml:space="preserve">who </w:t>
      </w:r>
      <w:r w:rsidRPr="00142C6B" w:rsidR="00481348">
        <w:t>receive</w:t>
      </w:r>
      <w:r w:rsidRPr="00142C6B" w:rsidR="0040247A">
        <w:t>d</w:t>
      </w:r>
      <w:r w:rsidRPr="00142C6B" w:rsidR="00481348">
        <w:t xml:space="preserve"> a prison </w:t>
      </w:r>
      <w:r w:rsidRPr="00142C6B" w:rsidR="00F10A40">
        <w:t>sentence</w:t>
      </w:r>
      <w:r w:rsidRPr="00142C6B" w:rsidR="00481348">
        <w:t xml:space="preserve"> of </w:t>
      </w:r>
      <w:r w:rsidRPr="00142C6B" w:rsidR="00F10A40">
        <w:t>up to three months shall be exempted from serving their prison sentence</w:t>
      </w:r>
      <w:r w:rsidRPr="00142C6B" w:rsidR="00B16B63">
        <w:t>.</w:t>
      </w:r>
    </w:p>
    <w:p w:rsidRPr="00142C6B" w:rsidR="00C07319" w:rsidP="00142C6B" w:rsidRDefault="00A41C5F">
      <w:pPr>
        <w:pStyle w:val="ECHRHeading2"/>
      </w:pPr>
      <w:r w:rsidRPr="00142C6B">
        <w:t>D.  </w:t>
      </w:r>
      <w:r w:rsidRPr="00142C6B" w:rsidR="00C07319">
        <w:t>Practice</w:t>
      </w:r>
      <w:r w:rsidRPr="00142C6B" w:rsidR="00F10A40">
        <w:t xml:space="preserve"> of domestic courts concerning the principle </w:t>
      </w:r>
      <w:r w:rsidRPr="00142C6B" w:rsidR="00481348">
        <w:t xml:space="preserve">of </w:t>
      </w:r>
      <w:r w:rsidRPr="00142C6B" w:rsidR="00F10A40">
        <w:rPr>
          <w:i/>
        </w:rPr>
        <w:t>ne bis in idem</w:t>
      </w:r>
    </w:p>
    <w:p w:rsidRPr="00142C6B" w:rsidR="00D229AC" w:rsidP="00142C6B" w:rsidRDefault="009D3BF1">
      <w:pPr>
        <w:pStyle w:val="ECHRPara"/>
        <w:rPr>
          <w:lang w:val="it-IT"/>
        </w:rPr>
      </w:pPr>
      <w:r>
        <w:fldChar w:fldCharType="begin"/>
      </w:r>
      <w:r>
        <w:instrText xml:space="preserve"> SEQ level0 \*arabic </w:instrText>
      </w:r>
      <w:r>
        <w:fldChar w:fldCharType="separate"/>
      </w:r>
      <w:r w:rsidRPr="00142C6B" w:rsidR="00142C6B">
        <w:rPr>
          <w:noProof/>
        </w:rPr>
        <w:t>23</w:t>
      </w:r>
      <w:r>
        <w:rPr>
          <w:noProof/>
        </w:rPr>
        <w:fldChar w:fldCharType="end"/>
      </w:r>
      <w:r w:rsidRPr="00142C6B" w:rsidR="002103DE">
        <w:t>.  </w:t>
      </w:r>
      <w:r w:rsidRPr="00142C6B" w:rsidR="00D229AC">
        <w:t xml:space="preserve">On </w:t>
      </w:r>
      <w:r w:rsidRPr="00142C6B" w:rsidR="007769D8">
        <w:t xml:space="preserve">26 March 2014 and </w:t>
      </w:r>
      <w:r w:rsidRPr="00142C6B" w:rsidR="007769D8">
        <w:rPr>
          <w:lang w:val="sr-Cyrl-CS"/>
        </w:rPr>
        <w:t>12</w:t>
      </w:r>
      <w:r w:rsidRPr="00142C6B" w:rsidR="007769D8">
        <w:rPr>
          <w:lang w:val="en-GB"/>
        </w:rPr>
        <w:t xml:space="preserve"> June</w:t>
      </w:r>
      <w:r w:rsidRPr="00142C6B" w:rsidR="007769D8">
        <w:rPr>
          <w:lang w:val="sr-Cyrl-CS"/>
        </w:rPr>
        <w:t xml:space="preserve"> 2014</w:t>
      </w:r>
      <w:r w:rsidRPr="00142C6B" w:rsidR="00D229AC">
        <w:t xml:space="preserve">, the Constitutional Court, sitting in </w:t>
      </w:r>
      <w:r w:rsidRPr="00142C6B" w:rsidR="00C276E2">
        <w:t xml:space="preserve">chambers of </w:t>
      </w:r>
      <w:r w:rsidRPr="00142C6B" w:rsidR="00142C6B">
        <w:t>eight</w:t>
      </w:r>
      <w:r w:rsidRPr="00142C6B" w:rsidR="00C276E2">
        <w:t xml:space="preserve"> judges</w:t>
      </w:r>
      <w:r w:rsidRPr="00142C6B" w:rsidR="00D229AC">
        <w:t xml:space="preserve">, </w:t>
      </w:r>
      <w:r w:rsidRPr="00142C6B" w:rsidR="00C276E2">
        <w:t>examined complaints concerning th</w:t>
      </w:r>
      <w:r w:rsidRPr="00142C6B" w:rsidR="00D229AC">
        <w:t xml:space="preserve">e </w:t>
      </w:r>
      <w:r w:rsidRPr="00142C6B" w:rsidR="00D229AC">
        <w:rPr>
          <w:i/>
        </w:rPr>
        <w:t>ne bis in idem</w:t>
      </w:r>
      <w:r w:rsidRPr="00142C6B" w:rsidR="00D229AC">
        <w:t xml:space="preserve"> principle in </w:t>
      </w:r>
      <w:r w:rsidRPr="00142C6B" w:rsidR="00C276E2">
        <w:t>two cases</w:t>
      </w:r>
      <w:r w:rsidRPr="00142C6B" w:rsidR="00D229AC">
        <w:t xml:space="preserve"> </w:t>
      </w:r>
      <w:r w:rsidRPr="00142C6B" w:rsidR="00C276E2">
        <w:t>similar</w:t>
      </w:r>
      <w:r w:rsidRPr="00142C6B" w:rsidR="00D229AC">
        <w:t xml:space="preserve"> to the present one (see </w:t>
      </w:r>
      <w:r w:rsidRPr="00142C6B" w:rsidR="007769D8">
        <w:t>U</w:t>
      </w:r>
      <w:r w:rsidRPr="00142C6B" w:rsidR="007769D8">
        <w:rPr>
          <w:rFonts w:cstheme="minorHAnsi"/>
        </w:rPr>
        <w:t>ž</w:t>
      </w:r>
      <w:r w:rsidRPr="00142C6B" w:rsidR="007769D8">
        <w:t>.</w:t>
      </w:r>
      <w:r w:rsidRPr="00142C6B" w:rsidR="00BE0EB5">
        <w:t> </w:t>
      </w:r>
      <w:r w:rsidRPr="00142C6B" w:rsidR="007769D8">
        <w:rPr>
          <w:lang w:val="sr-Cyrl-CS"/>
        </w:rPr>
        <w:t>1207/2011</w:t>
      </w:r>
      <w:r w:rsidRPr="00142C6B" w:rsidR="007769D8">
        <w:rPr>
          <w:lang w:val="en-GB"/>
        </w:rPr>
        <w:t xml:space="preserve"> and </w:t>
      </w:r>
      <w:r w:rsidRPr="00142C6B" w:rsidR="007769D8">
        <w:t>U</w:t>
      </w:r>
      <w:r w:rsidRPr="00142C6B" w:rsidR="007769D8">
        <w:rPr>
          <w:rFonts w:cstheme="minorHAnsi"/>
        </w:rPr>
        <w:t>ž</w:t>
      </w:r>
      <w:r w:rsidRPr="00142C6B" w:rsidR="007769D8">
        <w:t xml:space="preserve">. </w:t>
      </w:r>
      <w:r w:rsidRPr="00142C6B" w:rsidR="007769D8">
        <w:rPr>
          <w:rFonts w:ascii="Times New Roman" w:hAnsi="Times New Roman" w:eastAsia="Times New Roman" w:cs="Times New Roman"/>
          <w:szCs w:val="24"/>
          <w:lang w:val="sr-Cyrl-CS"/>
        </w:rPr>
        <w:t>1285/2012</w:t>
      </w:r>
      <w:r w:rsidRPr="00142C6B" w:rsidR="00D229AC">
        <w:t xml:space="preserve">). In its </w:t>
      </w:r>
      <w:r w:rsidRPr="00142C6B" w:rsidR="007769D8">
        <w:t>reasoning</w:t>
      </w:r>
      <w:r w:rsidRPr="00142C6B" w:rsidR="00D229AC">
        <w:t xml:space="preserve"> the court directly relied on this Court</w:t>
      </w:r>
      <w:r w:rsidRPr="00142C6B" w:rsidR="00142C6B">
        <w:t>’</w:t>
      </w:r>
      <w:r w:rsidRPr="00142C6B" w:rsidR="00D229AC">
        <w:t xml:space="preserve">s case-law established in </w:t>
      </w:r>
      <w:bookmarkStart w:name="File1" w:id="2"/>
      <w:r w:rsidRPr="00142C6B" w:rsidR="007769D8">
        <w:rPr>
          <w:i/>
          <w:lang w:val="en-GB"/>
        </w:rPr>
        <w:t>Engel and Others</w:t>
      </w:r>
      <w:bookmarkEnd w:id="2"/>
      <w:r w:rsidRPr="00142C6B" w:rsidR="007769D8">
        <w:rPr>
          <w:i/>
          <w:lang w:val="en-GB"/>
        </w:rPr>
        <w:t xml:space="preserve"> v. the Netherlands</w:t>
      </w:r>
      <w:r w:rsidRPr="00142C6B" w:rsidR="007769D8">
        <w:rPr>
          <w:lang w:val="en-GB"/>
        </w:rPr>
        <w:t xml:space="preserve">, 8 June 1976, Series A no. 22; </w:t>
      </w:r>
      <w:r w:rsidRPr="00142C6B" w:rsidR="00D229AC">
        <w:rPr>
          <w:i/>
          <w:lang w:val="it-IT"/>
        </w:rPr>
        <w:t>Sergey Zolotukhin v. Russia</w:t>
      </w:r>
      <w:r w:rsidRPr="00142C6B" w:rsidR="00D229AC">
        <w:rPr>
          <w:lang w:val="it-IT"/>
        </w:rPr>
        <w:t xml:space="preserve"> ([GC], no.</w:t>
      </w:r>
      <w:r w:rsidRPr="00142C6B" w:rsidR="00BE0EB5">
        <w:rPr>
          <w:lang w:val="it-IT"/>
        </w:rPr>
        <w:t> </w:t>
      </w:r>
      <w:r w:rsidRPr="00142C6B" w:rsidR="00D229AC">
        <w:rPr>
          <w:lang w:val="it-IT"/>
        </w:rPr>
        <w:t>14939/03, ECHR 2009</w:t>
      </w:r>
      <w:r w:rsidRPr="00142C6B" w:rsidR="007769D8">
        <w:rPr>
          <w:lang w:val="it-IT"/>
        </w:rPr>
        <w:t>,</w:t>
      </w:r>
      <w:r w:rsidRPr="00142C6B" w:rsidR="00D229AC">
        <w:rPr>
          <w:lang w:val="it-IT"/>
        </w:rPr>
        <w:t xml:space="preserve"> </w:t>
      </w:r>
      <w:r w:rsidRPr="00142C6B" w:rsidR="00D229AC">
        <w:rPr>
          <w:i/>
          <w:lang w:val="it-IT"/>
        </w:rPr>
        <w:t>Maresti v. Croatia</w:t>
      </w:r>
      <w:r w:rsidRPr="00142C6B" w:rsidR="007769D8">
        <w:rPr>
          <w:lang w:val="it-IT"/>
        </w:rPr>
        <w:t xml:space="preserve">, </w:t>
      </w:r>
      <w:r w:rsidRPr="00142C6B" w:rsidR="00D229AC">
        <w:rPr>
          <w:lang w:val="it-IT"/>
        </w:rPr>
        <w:t>no. 55759/07, 25 June 2009</w:t>
      </w:r>
      <w:r w:rsidRPr="00142C6B" w:rsidR="00481348">
        <w:rPr>
          <w:lang w:val="it-IT"/>
        </w:rPr>
        <w:t>;</w:t>
      </w:r>
      <w:r w:rsidRPr="00142C6B" w:rsidR="007769D8">
        <w:rPr>
          <w:lang w:val="it-IT"/>
        </w:rPr>
        <w:t xml:space="preserve"> and </w:t>
      </w:r>
      <w:r w:rsidRPr="00142C6B" w:rsidR="007769D8">
        <w:rPr>
          <w:i/>
        </w:rPr>
        <w:t>Muslija v. Bosnia and Herzegovina</w:t>
      </w:r>
      <w:r w:rsidRPr="00142C6B" w:rsidR="007769D8">
        <w:t>, no. 32042/11, 14 January 2014</w:t>
      </w:r>
      <w:r w:rsidRPr="00142C6B" w:rsidR="00D229AC">
        <w:rPr>
          <w:lang w:val="it-IT"/>
        </w:rPr>
        <w:t>.</w:t>
      </w:r>
    </w:p>
    <w:p w:rsidRPr="00142C6B" w:rsidR="00014566" w:rsidP="00142C6B" w:rsidRDefault="00014566">
      <w:pPr>
        <w:pStyle w:val="ECHRTitle1"/>
        <w:rPr>
          <w:lang w:val="en-GB"/>
        </w:rPr>
      </w:pPr>
      <w:r w:rsidRPr="00142C6B">
        <w:rPr>
          <w:lang w:val="en-GB"/>
        </w:rPr>
        <w:t>THE LAW</w:t>
      </w:r>
    </w:p>
    <w:p w:rsidRPr="00142C6B" w:rsidR="00014566" w:rsidP="00142C6B" w:rsidRDefault="00014566">
      <w:pPr>
        <w:pStyle w:val="ECHRHeading1"/>
      </w:pPr>
      <w:r w:rsidRPr="00142C6B">
        <w:t xml:space="preserve">I.  ALLEGED VIOLATION OF ARTICLE </w:t>
      </w:r>
      <w:r w:rsidRPr="00142C6B" w:rsidR="00E5565A">
        <w:t xml:space="preserve">4 </w:t>
      </w:r>
      <w:r w:rsidRPr="00142C6B" w:rsidR="00AE7B19">
        <w:t xml:space="preserve">OF </w:t>
      </w:r>
      <w:r w:rsidRPr="00142C6B" w:rsidR="00E5565A">
        <w:t>PROTOCOL N</w:t>
      </w:r>
      <w:r w:rsidRPr="00142C6B" w:rsidR="00AE7B19">
        <w:t>o</w:t>
      </w:r>
      <w:r w:rsidRPr="00142C6B" w:rsidR="00E5565A">
        <w:t>. 7</w:t>
      </w:r>
      <w:r w:rsidRPr="00142C6B">
        <w:t xml:space="preserve"> </w:t>
      </w:r>
      <w:r w:rsidRPr="00142C6B" w:rsidR="003775A1">
        <w:t>TO</w:t>
      </w:r>
      <w:r w:rsidRPr="00142C6B">
        <w:t xml:space="preserve"> THE CONVENTION</w:t>
      </w:r>
    </w:p>
    <w:p w:rsidRPr="00142C6B" w:rsidR="00446887" w:rsidP="00142C6B" w:rsidRDefault="00EF294E">
      <w:pPr>
        <w:pStyle w:val="ECHRPara"/>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24</w:t>
      </w:r>
      <w:r w:rsidRPr="00142C6B">
        <w:rPr>
          <w:lang w:val="en-GB"/>
        </w:rPr>
        <w:fldChar w:fldCharType="end"/>
      </w:r>
      <w:r w:rsidRPr="00142C6B" w:rsidR="00014566">
        <w:rPr>
          <w:lang w:val="en-GB"/>
        </w:rPr>
        <w:t xml:space="preserve">.  The applicant </w:t>
      </w:r>
      <w:r w:rsidRPr="00142C6B" w:rsidR="006E2C17">
        <w:rPr>
          <w:lang w:val="en-GB"/>
        </w:rPr>
        <w:t xml:space="preserve">complained </w:t>
      </w:r>
      <w:r w:rsidRPr="00142C6B" w:rsidR="00F04A82">
        <w:rPr>
          <w:lang w:val="en-GB"/>
        </w:rPr>
        <w:t xml:space="preserve">that he had been tried and punished twice for the same offence in respect of an incident that had occurred on </w:t>
      </w:r>
      <w:r w:rsidRPr="00142C6B" w:rsidR="000A652C">
        <w:t>12</w:t>
      </w:r>
      <w:r w:rsidRPr="00142C6B" w:rsidR="003E429D">
        <w:t> </w:t>
      </w:r>
      <w:r w:rsidRPr="00142C6B" w:rsidR="000A652C">
        <w:t>October 2006</w:t>
      </w:r>
      <w:r w:rsidRPr="00142C6B" w:rsidR="00F04A82">
        <w:rPr>
          <w:lang w:val="en-GB"/>
        </w:rPr>
        <w:t>.</w:t>
      </w:r>
      <w:r w:rsidRPr="00142C6B" w:rsidR="00F04A82">
        <w:t xml:space="preserve"> </w:t>
      </w:r>
      <w:r w:rsidRPr="00142C6B" w:rsidR="006E2C17">
        <w:rPr>
          <w:lang w:val="en-GB"/>
        </w:rPr>
        <w:t>He relied on Article 4 of Protocol No. 7 to the Convention, which reads as follows:</w:t>
      </w:r>
    </w:p>
    <w:p w:rsidRPr="00142C6B" w:rsidR="00E5565A" w:rsidP="00142C6B" w:rsidRDefault="00E5565A">
      <w:pPr>
        <w:pStyle w:val="ECHRParaQuote"/>
      </w:pPr>
      <w:r w:rsidRPr="00142C6B">
        <w:t>“1.  No one shall be liable to be tried or punished again in criminal proceedings under the jurisdiction of the same State for an offence for which he has already been finally acquitted or convicted in accordance with the law and penal procedure of that State.</w:t>
      </w:r>
    </w:p>
    <w:p w:rsidRPr="00142C6B" w:rsidR="00E5565A" w:rsidP="00142C6B" w:rsidRDefault="00E5565A">
      <w:pPr>
        <w:pStyle w:val="ECHRParaQuote"/>
      </w:pPr>
      <w:r w:rsidRPr="00142C6B">
        <w:t>2.  The provisions of the preceding paragraph shall not prevent the reopening of the case in accordance with the law and penal procedure of the State concerned, if there is evidence of new or newly discovered facts, or if there has been a fundamental defect in the previous proceedings, which could affect the outcome of the case.</w:t>
      </w:r>
    </w:p>
    <w:p w:rsidRPr="00142C6B" w:rsidR="00014566" w:rsidP="00142C6B" w:rsidRDefault="00E5565A">
      <w:pPr>
        <w:pStyle w:val="ECHRParaQuote"/>
        <w:rPr>
          <w:lang w:val="en-GB"/>
        </w:rPr>
      </w:pPr>
      <w:r w:rsidRPr="00142C6B">
        <w:t>3.  No derogation from this Article shall be made under Article 15 of the Convention.”</w:t>
      </w:r>
    </w:p>
    <w:p w:rsidRPr="00142C6B" w:rsidR="00014566" w:rsidP="00142C6B" w:rsidRDefault="00EF294E">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25</w:t>
      </w:r>
      <w:r w:rsidRPr="00142C6B">
        <w:rPr>
          <w:lang w:val="en-GB"/>
        </w:rPr>
        <w:fldChar w:fldCharType="end"/>
      </w:r>
      <w:r w:rsidRPr="00142C6B" w:rsidR="00014566">
        <w:rPr>
          <w:lang w:val="en-GB"/>
        </w:rPr>
        <w:t>.  The Government contested that argument.</w:t>
      </w:r>
    </w:p>
    <w:p w:rsidRPr="00142C6B" w:rsidR="00014566" w:rsidP="00142C6B" w:rsidRDefault="00014566">
      <w:pPr>
        <w:pStyle w:val="ECHRHeading2"/>
      </w:pPr>
      <w:r w:rsidRPr="00142C6B">
        <w:rPr>
          <w:lang w:val="en-GB"/>
        </w:rPr>
        <w:t>A.  Admissibility</w:t>
      </w:r>
    </w:p>
    <w:p w:rsidRPr="00142C6B" w:rsidR="00014566" w:rsidP="00142C6B" w:rsidRDefault="00EF294E">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26</w:t>
      </w:r>
      <w:r w:rsidRPr="00142C6B">
        <w:rPr>
          <w:lang w:val="en-GB"/>
        </w:rPr>
        <w:fldChar w:fldCharType="end"/>
      </w:r>
      <w:r w:rsidRPr="00142C6B" w:rsidR="00014566">
        <w:rPr>
          <w:lang w:val="en-GB"/>
        </w:rPr>
        <w:t>.  The Court notes that the application is not manifestly ill-founded within the meaning of Article 35 § 3 (a) of the Convention. It further notes that it is not inadmissible on any other grounds. It must therefore be declared admissible.</w:t>
      </w:r>
    </w:p>
    <w:p w:rsidRPr="00142C6B" w:rsidR="00014566" w:rsidP="00142C6B" w:rsidRDefault="00014566">
      <w:pPr>
        <w:pStyle w:val="ECHRHeading2"/>
        <w:rPr>
          <w:lang w:val="en-GB"/>
        </w:rPr>
      </w:pPr>
      <w:r w:rsidRPr="00142C6B">
        <w:rPr>
          <w:lang w:val="en-GB"/>
        </w:rPr>
        <w:t>B.  Merits</w:t>
      </w:r>
    </w:p>
    <w:p w:rsidRPr="00142C6B" w:rsidR="0014716E" w:rsidP="00142C6B" w:rsidRDefault="00A41C5F">
      <w:pPr>
        <w:pStyle w:val="ECHRHeading3"/>
        <w:rPr>
          <w:i w:val="0"/>
        </w:rPr>
      </w:pPr>
      <w:r w:rsidRPr="00142C6B">
        <w:t>1.  </w:t>
      </w:r>
      <w:r w:rsidRPr="00142C6B" w:rsidR="0014716E">
        <w:t>The parties</w:t>
      </w:r>
      <w:r w:rsidRPr="00142C6B" w:rsidR="00142C6B">
        <w:t>’</w:t>
      </w:r>
      <w:r w:rsidRPr="00142C6B" w:rsidR="0014716E">
        <w:t xml:space="preserve"> submissions</w:t>
      </w:r>
    </w:p>
    <w:p w:rsidRPr="00142C6B" w:rsidR="002148BB" w:rsidP="00142C6B" w:rsidRDefault="00EF294E">
      <w:pPr>
        <w:pStyle w:val="ECHRPara"/>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27</w:t>
      </w:r>
      <w:r w:rsidRPr="00142C6B">
        <w:rPr>
          <w:lang w:val="en-GB"/>
        </w:rPr>
        <w:fldChar w:fldCharType="end"/>
      </w:r>
      <w:r w:rsidRPr="00142C6B" w:rsidR="00CF5C5B">
        <w:rPr>
          <w:lang w:val="en-GB"/>
        </w:rPr>
        <w:t>.  </w:t>
      </w:r>
      <w:r w:rsidRPr="00142C6B" w:rsidR="002148BB">
        <w:t xml:space="preserve">The applicant complained under Article 4 of Protocol No. 7 that, after he had already been convicted and sentenced </w:t>
      </w:r>
      <w:r w:rsidRPr="00142C6B" w:rsidR="007769D8">
        <w:t xml:space="preserve">in misdemeanour proceedings </w:t>
      </w:r>
      <w:r w:rsidRPr="00142C6B" w:rsidR="002148BB">
        <w:t>for disorderly acts committed on 12 October 2006, he had been tried</w:t>
      </w:r>
      <w:r w:rsidRPr="00142C6B" w:rsidR="001128BD">
        <w:t>, convicted and sentenced</w:t>
      </w:r>
      <w:r w:rsidRPr="00142C6B" w:rsidR="007769D8">
        <w:t xml:space="preserve"> </w:t>
      </w:r>
      <w:r w:rsidRPr="00142C6B" w:rsidR="002148BB">
        <w:t>again for the same offence in criminal proceedings.</w:t>
      </w:r>
    </w:p>
    <w:p w:rsidRPr="00142C6B" w:rsidR="005C60AF" w:rsidP="00142C6B" w:rsidRDefault="00EF294E">
      <w:pPr>
        <w:pStyle w:val="ECHRPara"/>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28</w:t>
      </w:r>
      <w:r w:rsidRPr="00142C6B">
        <w:rPr>
          <w:lang w:val="en-GB"/>
        </w:rPr>
        <w:fldChar w:fldCharType="end"/>
      </w:r>
      <w:r w:rsidRPr="00142C6B" w:rsidR="00014566">
        <w:rPr>
          <w:lang w:val="en-GB"/>
        </w:rPr>
        <w:t>.  </w:t>
      </w:r>
      <w:r w:rsidRPr="00142C6B" w:rsidR="00721B6E">
        <w:t>The Government accepted that the applicant</w:t>
      </w:r>
      <w:r w:rsidRPr="00142C6B" w:rsidR="00142C6B">
        <w:t>’</w:t>
      </w:r>
      <w:r w:rsidRPr="00142C6B" w:rsidR="00721B6E">
        <w:t xml:space="preserve">s conviction </w:t>
      </w:r>
      <w:r w:rsidRPr="00142C6B" w:rsidR="007769D8">
        <w:t xml:space="preserve">in misdemeanour proceedings </w:t>
      </w:r>
      <w:r w:rsidRPr="00142C6B" w:rsidR="00721B6E">
        <w:t xml:space="preserve">on </w:t>
      </w:r>
      <w:r w:rsidRPr="00142C6B" w:rsidR="00721B6E">
        <w:rPr>
          <w:lang w:val="en-GB"/>
        </w:rPr>
        <w:t>6 November 2007</w:t>
      </w:r>
      <w:r w:rsidRPr="00142C6B" w:rsidR="00721B6E">
        <w:t xml:space="preserve"> had been “criminal” in nature.</w:t>
      </w:r>
      <w:r w:rsidRPr="00142C6B" w:rsidR="007F1C5B">
        <w:t xml:space="preserve"> However, t</w:t>
      </w:r>
      <w:r w:rsidRPr="00142C6B" w:rsidR="005C60AF">
        <w:t>he</w:t>
      </w:r>
      <w:r w:rsidRPr="00142C6B" w:rsidR="002236D2">
        <w:t>y</w:t>
      </w:r>
      <w:r w:rsidRPr="00142C6B" w:rsidR="005C60AF">
        <w:t xml:space="preserve"> maintained that the </w:t>
      </w:r>
      <w:r w:rsidRPr="00142C6B" w:rsidR="007F1C5B">
        <w:rPr>
          <w:bCs/>
          <w:iCs/>
        </w:rPr>
        <w:t>offences for which the applicant had been prosecuted should be regarded</w:t>
      </w:r>
      <w:r w:rsidRPr="00142C6B" w:rsidR="007F1C5B">
        <w:rPr>
          <w:b/>
          <w:bCs/>
          <w:iCs/>
        </w:rPr>
        <w:t xml:space="preserve"> </w:t>
      </w:r>
      <w:r w:rsidRPr="00142C6B" w:rsidR="007F1C5B">
        <w:t xml:space="preserve">as </w:t>
      </w:r>
      <w:r w:rsidRPr="00142C6B" w:rsidR="005C60AF">
        <w:t>distinct</w:t>
      </w:r>
      <w:r w:rsidRPr="00142C6B" w:rsidR="00481348">
        <w:t xml:space="preserve">, </w:t>
      </w:r>
      <w:r w:rsidRPr="00142C6B" w:rsidR="007F1C5B">
        <w:t xml:space="preserve">both </w:t>
      </w:r>
      <w:r w:rsidRPr="00142C6B" w:rsidR="005C60AF">
        <w:t>factual</w:t>
      </w:r>
      <w:r w:rsidRPr="00142C6B" w:rsidR="00481348">
        <w:t>ly</w:t>
      </w:r>
      <w:r w:rsidRPr="00142C6B" w:rsidR="005C60AF">
        <w:t xml:space="preserve"> </w:t>
      </w:r>
      <w:r w:rsidRPr="00142C6B" w:rsidR="007F1C5B">
        <w:t>and legal</w:t>
      </w:r>
      <w:r w:rsidRPr="00142C6B" w:rsidR="00481348">
        <w:t>ly</w:t>
      </w:r>
      <w:r w:rsidRPr="00142C6B" w:rsidR="005C60AF">
        <w:t>.</w:t>
      </w:r>
    </w:p>
    <w:p w:rsidRPr="00142C6B" w:rsidR="002436F7" w:rsidP="00142C6B" w:rsidRDefault="002236D2">
      <w:pPr>
        <w:pStyle w:val="ECHRPara"/>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29</w:t>
      </w:r>
      <w:r w:rsidRPr="00142C6B">
        <w:rPr>
          <w:lang w:val="en-GB"/>
        </w:rPr>
        <w:fldChar w:fldCharType="end"/>
      </w:r>
      <w:r w:rsidRPr="00142C6B">
        <w:rPr>
          <w:lang w:val="en-GB"/>
        </w:rPr>
        <w:t>.  </w:t>
      </w:r>
      <w:r w:rsidRPr="00142C6B" w:rsidR="002F7AD4">
        <w:rPr>
          <w:lang w:val="en-GB"/>
        </w:rPr>
        <w:t xml:space="preserve">On the facts, the Government claimed that </w:t>
      </w:r>
      <w:r w:rsidRPr="00142C6B" w:rsidR="002B61A2">
        <w:rPr>
          <w:lang w:val="en-GB"/>
        </w:rPr>
        <w:t xml:space="preserve">in the </w:t>
      </w:r>
      <w:r w:rsidRPr="00142C6B" w:rsidR="001128BD">
        <w:t xml:space="preserve">misdemeanour </w:t>
      </w:r>
      <w:r w:rsidRPr="00142C6B" w:rsidR="002B61A2">
        <w:rPr>
          <w:lang w:val="en-GB"/>
        </w:rPr>
        <w:t xml:space="preserve">proceedings </w:t>
      </w:r>
      <w:r w:rsidRPr="00142C6B" w:rsidR="002F7AD4">
        <w:rPr>
          <w:lang w:val="en-GB"/>
        </w:rPr>
        <w:t xml:space="preserve">the </w:t>
      </w:r>
      <w:r w:rsidRPr="00142C6B" w:rsidR="002D71C3">
        <w:rPr>
          <w:lang w:val="en-GB"/>
        </w:rPr>
        <w:t xml:space="preserve">applicant had been found guilty of disturbing public order </w:t>
      </w:r>
      <w:r w:rsidRPr="00142C6B" w:rsidR="00D529EF">
        <w:rPr>
          <w:lang w:val="en-GB"/>
        </w:rPr>
        <w:t>and peace</w:t>
      </w:r>
      <w:r w:rsidRPr="00142C6B" w:rsidR="002D71C3">
        <w:rPr>
          <w:lang w:val="en-GB"/>
        </w:rPr>
        <w:t xml:space="preserve"> because he had verbally and physically attacked his cousin R.C. The purpose of the sanction in those proceedings had been to protect the well-being of citizens and to safeguard public order and the peace in a broader sense</w:t>
      </w:r>
      <w:r w:rsidRPr="00142C6B" w:rsidR="002148BB">
        <w:rPr>
          <w:lang w:val="en-GB"/>
        </w:rPr>
        <w:t>. H</w:t>
      </w:r>
      <w:r w:rsidRPr="00142C6B" w:rsidR="002B61A2">
        <w:rPr>
          <w:lang w:val="en-GB"/>
        </w:rPr>
        <w:t>ence,</w:t>
      </w:r>
      <w:r w:rsidRPr="00142C6B" w:rsidR="00065389">
        <w:rPr>
          <w:lang w:val="en-GB"/>
        </w:rPr>
        <w:t xml:space="preserve"> the </w:t>
      </w:r>
      <w:r w:rsidRPr="00142C6B" w:rsidR="001128BD">
        <w:t xml:space="preserve">misdemeanour </w:t>
      </w:r>
      <w:r w:rsidRPr="00142C6B" w:rsidR="00065389">
        <w:rPr>
          <w:lang w:val="en-GB"/>
        </w:rPr>
        <w:t xml:space="preserve">judge was focused on the evidence </w:t>
      </w:r>
      <w:r w:rsidRPr="00142C6B" w:rsidR="002148BB">
        <w:rPr>
          <w:lang w:val="en-GB"/>
        </w:rPr>
        <w:t>to establish that offence</w:t>
      </w:r>
      <w:r w:rsidRPr="00142C6B" w:rsidR="00065389">
        <w:rPr>
          <w:lang w:val="en-GB"/>
        </w:rPr>
        <w:t>, namely the discussion and fight</w:t>
      </w:r>
      <w:r w:rsidRPr="00142C6B" w:rsidR="002148BB">
        <w:rPr>
          <w:lang w:val="en-GB"/>
        </w:rPr>
        <w:t xml:space="preserve"> and how they </w:t>
      </w:r>
      <w:r w:rsidRPr="00142C6B" w:rsidR="00481348">
        <w:rPr>
          <w:lang w:val="en-GB"/>
        </w:rPr>
        <w:t xml:space="preserve">had </w:t>
      </w:r>
      <w:r w:rsidRPr="00142C6B" w:rsidR="002148BB">
        <w:rPr>
          <w:lang w:val="en-GB"/>
        </w:rPr>
        <w:t>affected the public</w:t>
      </w:r>
      <w:r w:rsidRPr="00142C6B" w:rsidR="002B61A2">
        <w:rPr>
          <w:lang w:val="en-GB"/>
        </w:rPr>
        <w:t>.</w:t>
      </w:r>
      <w:r w:rsidRPr="00142C6B" w:rsidR="002B61A2">
        <w:rPr>
          <w:rFonts w:cstheme="minorHAnsi"/>
          <w:szCs w:val="24"/>
          <w:lang w:val="en-GB"/>
        </w:rPr>
        <w:t xml:space="preserve"> </w:t>
      </w:r>
      <w:r w:rsidRPr="00142C6B" w:rsidR="00580CEF">
        <w:rPr>
          <w:rFonts w:cstheme="minorHAnsi"/>
          <w:szCs w:val="24"/>
          <w:lang w:val="en-GB"/>
        </w:rPr>
        <w:t>Essentially, t</w:t>
      </w:r>
      <w:r w:rsidRPr="00142C6B" w:rsidR="002B61A2">
        <w:rPr>
          <w:rFonts w:cstheme="minorHAnsi"/>
          <w:szCs w:val="24"/>
          <w:lang w:val="en-GB"/>
        </w:rPr>
        <w:t xml:space="preserve">he fact that the applicant had </w:t>
      </w:r>
      <w:r w:rsidRPr="00142C6B" w:rsidR="002B61A2">
        <w:rPr>
          <w:lang w:val="en-GB"/>
        </w:rPr>
        <w:t xml:space="preserve">caused R.C. a number of grievous bodily injuries </w:t>
      </w:r>
      <w:r w:rsidRPr="00142C6B" w:rsidR="007062F3">
        <w:t xml:space="preserve">was not covered by the sanction ordered by the </w:t>
      </w:r>
      <w:r w:rsidRPr="00142C6B" w:rsidR="001128BD">
        <w:t xml:space="preserve">misdemeanour </w:t>
      </w:r>
      <w:r w:rsidRPr="00142C6B" w:rsidR="007062F3">
        <w:rPr>
          <w:lang w:val="en-GB"/>
        </w:rPr>
        <w:t>authority</w:t>
      </w:r>
      <w:r w:rsidRPr="00142C6B" w:rsidR="007062F3">
        <w:t>.</w:t>
      </w:r>
      <w:r w:rsidRPr="00142C6B" w:rsidR="007D365B">
        <w:t xml:space="preserve"> </w:t>
      </w:r>
      <w:r w:rsidRPr="00142C6B" w:rsidR="00580CEF">
        <w:t>On the other hand</w:t>
      </w:r>
      <w:r w:rsidRPr="00142C6B" w:rsidR="00065389">
        <w:t xml:space="preserve">, </w:t>
      </w:r>
      <w:r w:rsidRPr="00142C6B" w:rsidR="00580CEF">
        <w:t xml:space="preserve">the criminal </w:t>
      </w:r>
      <w:r w:rsidRPr="00142C6B" w:rsidR="00580CEF">
        <w:rPr>
          <w:lang w:val="en-GB"/>
        </w:rPr>
        <w:t xml:space="preserve">prosecution of the applicant referred to </w:t>
      </w:r>
      <w:r w:rsidRPr="00142C6B" w:rsidR="00065389">
        <w:t xml:space="preserve">a physical attack on </w:t>
      </w:r>
      <w:r w:rsidRPr="00142C6B" w:rsidR="00580CEF">
        <w:t>R.C.</w:t>
      </w:r>
      <w:r w:rsidRPr="00142C6B" w:rsidR="00065389">
        <w:t xml:space="preserve"> that had caused him grievous bodily injury.</w:t>
      </w:r>
      <w:r w:rsidRPr="00142C6B" w:rsidR="002436F7">
        <w:t xml:space="preserve"> This crime protects bodily integrity</w:t>
      </w:r>
      <w:r w:rsidRPr="00142C6B" w:rsidR="00481348">
        <w:t>,</w:t>
      </w:r>
      <w:r w:rsidRPr="00142C6B" w:rsidR="002436F7">
        <w:t xml:space="preserve"> and the criminal proceedings should </w:t>
      </w:r>
      <w:r w:rsidRPr="00142C6B" w:rsidR="007062F3">
        <w:t xml:space="preserve">have </w:t>
      </w:r>
      <w:r w:rsidRPr="00142C6B" w:rsidR="002436F7">
        <w:t>establish</w:t>
      </w:r>
      <w:r w:rsidRPr="00142C6B" w:rsidR="007062F3">
        <w:t>ed</w:t>
      </w:r>
      <w:r w:rsidRPr="00142C6B" w:rsidR="002436F7">
        <w:t xml:space="preserve"> whether the injuries had been caused or not</w:t>
      </w:r>
      <w:r w:rsidRPr="00142C6B" w:rsidR="002148BB">
        <w:t xml:space="preserve">, regardless of the </w:t>
      </w:r>
      <w:r w:rsidRPr="00142C6B" w:rsidR="00481348">
        <w:t>conduct</w:t>
      </w:r>
      <w:r w:rsidRPr="00142C6B" w:rsidR="002148BB">
        <w:t xml:space="preserve"> of the applicant</w:t>
      </w:r>
      <w:r w:rsidRPr="00142C6B" w:rsidR="00B16B63">
        <w:t>.</w:t>
      </w:r>
    </w:p>
    <w:p w:rsidRPr="00142C6B" w:rsidR="007062F3" w:rsidP="00142C6B" w:rsidRDefault="002148BB">
      <w:pPr>
        <w:pStyle w:val="ECHRPara"/>
        <w:rPr>
          <w:i/>
          <w:lang w:val="it-IT"/>
        </w:rPr>
      </w:pPr>
      <w:r w:rsidRPr="00142C6B">
        <w:rPr>
          <w:bCs/>
          <w:iCs/>
        </w:rPr>
        <w:fldChar w:fldCharType="begin"/>
      </w:r>
      <w:r w:rsidRPr="00142C6B">
        <w:rPr>
          <w:bCs/>
          <w:iCs/>
        </w:rPr>
        <w:instrText xml:space="preserve"> SEQ level0 \*arabic </w:instrText>
      </w:r>
      <w:r w:rsidRPr="00142C6B">
        <w:rPr>
          <w:bCs/>
          <w:iCs/>
        </w:rPr>
        <w:fldChar w:fldCharType="separate"/>
      </w:r>
      <w:r w:rsidRPr="00142C6B" w:rsidR="00142C6B">
        <w:rPr>
          <w:bCs/>
          <w:iCs/>
          <w:noProof/>
        </w:rPr>
        <w:t>30</w:t>
      </w:r>
      <w:r w:rsidRPr="00142C6B">
        <w:rPr>
          <w:bCs/>
          <w:iCs/>
        </w:rPr>
        <w:fldChar w:fldCharType="end"/>
      </w:r>
      <w:r w:rsidRPr="00142C6B">
        <w:rPr>
          <w:bCs/>
          <w:iCs/>
        </w:rPr>
        <w:t>.  </w:t>
      </w:r>
      <w:r w:rsidRPr="00142C6B" w:rsidR="007062F3">
        <w:rPr>
          <w:bCs/>
          <w:iCs/>
        </w:rPr>
        <w:t xml:space="preserve">As to the legal characterisation, the Government acknowledged that the offences were the same in their </w:t>
      </w:r>
      <w:r w:rsidRPr="00142C6B" w:rsidR="007062F3">
        <w:rPr>
          <w:bCs/>
          <w:i/>
          <w:iCs/>
        </w:rPr>
        <w:t>actus reus</w:t>
      </w:r>
      <w:r w:rsidRPr="00142C6B" w:rsidR="007062F3">
        <w:rPr>
          <w:bCs/>
          <w:iCs/>
        </w:rPr>
        <w:t>, both offences result</w:t>
      </w:r>
      <w:r w:rsidRPr="00142C6B" w:rsidR="002C52C2">
        <w:rPr>
          <w:bCs/>
          <w:iCs/>
        </w:rPr>
        <w:t>ing</w:t>
      </w:r>
      <w:r w:rsidRPr="00142C6B" w:rsidR="007062F3">
        <w:rPr>
          <w:bCs/>
          <w:iCs/>
        </w:rPr>
        <w:t xml:space="preserve"> from the fact that the applicant had struck R.C. several times</w:t>
      </w:r>
      <w:r w:rsidRPr="00142C6B" w:rsidR="002C52C2">
        <w:rPr>
          <w:bCs/>
          <w:iCs/>
        </w:rPr>
        <w:t>. T</w:t>
      </w:r>
      <w:r w:rsidRPr="00142C6B" w:rsidR="007062F3">
        <w:rPr>
          <w:bCs/>
          <w:iCs/>
        </w:rPr>
        <w:t>hey differed in their consequences</w:t>
      </w:r>
      <w:r w:rsidRPr="00142C6B" w:rsidR="00481348">
        <w:rPr>
          <w:bCs/>
          <w:iCs/>
        </w:rPr>
        <w:t xml:space="preserve"> however</w:t>
      </w:r>
      <w:r w:rsidRPr="00142C6B" w:rsidR="007062F3">
        <w:rPr>
          <w:bCs/>
          <w:iCs/>
        </w:rPr>
        <w:t>. T</w:t>
      </w:r>
      <w:r w:rsidRPr="00142C6B" w:rsidR="007062F3">
        <w:rPr>
          <w:bCs/>
          <w:iCs/>
          <w:lang w:val="en-GB"/>
        </w:rPr>
        <w:t xml:space="preserve">he definition of </w:t>
      </w:r>
      <w:r w:rsidRPr="00142C6B" w:rsidR="001128BD">
        <w:rPr>
          <w:bCs/>
          <w:iCs/>
        </w:rPr>
        <w:t xml:space="preserve">misdemeanour </w:t>
      </w:r>
      <w:r w:rsidRPr="00142C6B" w:rsidR="007062F3">
        <w:rPr>
          <w:bCs/>
          <w:iCs/>
          <w:lang w:val="en-GB"/>
        </w:rPr>
        <w:t>does not include the infliction of bodily injury, while the consequence and one of the essential elements of the crime in question is the incurred consequence</w:t>
      </w:r>
      <w:r w:rsidRPr="00142C6B" w:rsidR="002C52C2">
        <w:rPr>
          <w:bCs/>
          <w:iCs/>
          <w:lang w:val="en-GB"/>
        </w:rPr>
        <w:t xml:space="preserve"> (bodily injuries)</w:t>
      </w:r>
      <w:r w:rsidRPr="00142C6B" w:rsidR="007062F3">
        <w:rPr>
          <w:bCs/>
          <w:iCs/>
          <w:lang w:val="en-GB"/>
        </w:rPr>
        <w:t>, irre</w:t>
      </w:r>
      <w:r w:rsidRPr="00142C6B" w:rsidR="00481348">
        <w:rPr>
          <w:bCs/>
          <w:iCs/>
          <w:lang w:val="en-GB"/>
        </w:rPr>
        <w:t>spective</w:t>
      </w:r>
      <w:r w:rsidRPr="00142C6B" w:rsidR="007062F3">
        <w:rPr>
          <w:bCs/>
          <w:iCs/>
          <w:lang w:val="en-GB"/>
        </w:rPr>
        <w:t xml:space="preserve"> of the action leading to such </w:t>
      </w:r>
      <w:r w:rsidRPr="00142C6B" w:rsidR="00481348">
        <w:rPr>
          <w:bCs/>
          <w:iCs/>
          <w:lang w:val="en-GB"/>
        </w:rPr>
        <w:t xml:space="preserve">a </w:t>
      </w:r>
      <w:r w:rsidRPr="00142C6B" w:rsidR="007062F3">
        <w:rPr>
          <w:bCs/>
          <w:iCs/>
          <w:lang w:val="en-GB"/>
        </w:rPr>
        <w:t xml:space="preserve">consequence. </w:t>
      </w:r>
      <w:r w:rsidRPr="00142C6B" w:rsidR="002C52C2">
        <w:t xml:space="preserve">Therefore, the present case should be distinguished from the </w:t>
      </w:r>
      <w:r w:rsidRPr="00142C6B" w:rsidR="007D365B">
        <w:rPr>
          <w:i/>
          <w:lang w:val="it-IT"/>
        </w:rPr>
        <w:t xml:space="preserve">Tsonev </w:t>
      </w:r>
      <w:r w:rsidRPr="00142C6B" w:rsidR="002C52C2">
        <w:t>case (</w:t>
      </w:r>
      <w:r w:rsidRPr="00142C6B" w:rsidR="00C07319">
        <w:t xml:space="preserve">see </w:t>
      </w:r>
      <w:r w:rsidRPr="00142C6B" w:rsidR="00C07319">
        <w:rPr>
          <w:i/>
          <w:lang w:val="it-IT"/>
        </w:rPr>
        <w:t>Tsonyo Tsonev v. Bulgaria (no. 2)</w:t>
      </w:r>
      <w:r w:rsidRPr="00142C6B" w:rsidR="00C07319">
        <w:rPr>
          <w:lang w:val="it-IT"/>
        </w:rPr>
        <w:t>, no. 2376/03</w:t>
      </w:r>
      <w:r w:rsidRPr="00142C6B" w:rsidR="00C07319">
        <w:rPr>
          <w:snapToGrid w:val="0"/>
          <w:lang w:val="it-IT"/>
        </w:rPr>
        <w:t>, 14 January 2010</w:t>
      </w:r>
      <w:r w:rsidRPr="00142C6B" w:rsidR="002C52C2">
        <w:rPr>
          <w:lang w:val="it-IT"/>
        </w:rPr>
        <w:t>), b</w:t>
      </w:r>
      <w:r w:rsidRPr="00142C6B" w:rsidR="002C52C2">
        <w:t>ecause one offence does not embrace the other in its “entirety”.</w:t>
      </w:r>
    </w:p>
    <w:p w:rsidRPr="00142C6B" w:rsidR="0014716E" w:rsidP="00142C6B" w:rsidRDefault="00A41C5F">
      <w:pPr>
        <w:pStyle w:val="ECHRHeading3"/>
      </w:pPr>
      <w:r w:rsidRPr="00142C6B">
        <w:t>2.  </w:t>
      </w:r>
      <w:r w:rsidRPr="00142C6B" w:rsidR="0014716E">
        <w:t>The Court</w:t>
      </w:r>
      <w:r w:rsidRPr="00142C6B" w:rsidR="00142C6B">
        <w:t>’</w:t>
      </w:r>
      <w:r w:rsidRPr="00142C6B" w:rsidR="0014716E">
        <w:t>s assessment</w:t>
      </w:r>
    </w:p>
    <w:p w:rsidRPr="00142C6B" w:rsidR="00AF6231" w:rsidP="00142C6B" w:rsidRDefault="00AE7B19">
      <w:pPr>
        <w:pStyle w:val="ECHRHeading4"/>
        <w:rPr>
          <w:rFonts w:eastAsiaTheme="minorHAnsi"/>
        </w:rPr>
      </w:pPr>
      <w:r w:rsidRPr="00142C6B">
        <w:rPr>
          <w:rFonts w:eastAsiaTheme="minorHAnsi"/>
        </w:rPr>
        <w:t>(a)  </w:t>
      </w:r>
      <w:r w:rsidRPr="00142C6B" w:rsidR="006D14BA">
        <w:rPr>
          <w:rFonts w:eastAsiaTheme="minorHAnsi"/>
        </w:rPr>
        <w:t>Whether the first penalty was criminal in nature</w:t>
      </w:r>
    </w:p>
    <w:p w:rsidRPr="00142C6B" w:rsidR="00A833B1" w:rsidP="00142C6B" w:rsidRDefault="00AF6231">
      <w:pPr>
        <w:pStyle w:val="ECHRPara"/>
      </w:pPr>
      <w:r w:rsidRPr="00142C6B">
        <w:rPr>
          <w:bCs/>
          <w:iCs/>
        </w:rPr>
        <w:fldChar w:fldCharType="begin"/>
      </w:r>
      <w:r w:rsidRPr="00142C6B">
        <w:rPr>
          <w:bCs/>
          <w:iCs/>
        </w:rPr>
        <w:instrText xml:space="preserve"> SEQ level0 \*arabic </w:instrText>
      </w:r>
      <w:r w:rsidRPr="00142C6B">
        <w:rPr>
          <w:bCs/>
          <w:iCs/>
        </w:rPr>
        <w:fldChar w:fldCharType="separate"/>
      </w:r>
      <w:r w:rsidRPr="00142C6B" w:rsidR="00142C6B">
        <w:rPr>
          <w:bCs/>
          <w:iCs/>
          <w:noProof/>
        </w:rPr>
        <w:t>31</w:t>
      </w:r>
      <w:r w:rsidRPr="00142C6B">
        <w:rPr>
          <w:bCs/>
          <w:iCs/>
        </w:rPr>
        <w:fldChar w:fldCharType="end"/>
      </w:r>
      <w:r w:rsidRPr="00142C6B">
        <w:rPr>
          <w:bCs/>
          <w:iCs/>
        </w:rPr>
        <w:t>.  </w:t>
      </w:r>
      <w:r w:rsidRPr="00142C6B" w:rsidR="003C3A13">
        <w:t>The Court observes that o</w:t>
      </w:r>
      <w:r w:rsidRPr="00142C6B" w:rsidR="00A833B1">
        <w:t xml:space="preserve">n </w:t>
      </w:r>
      <w:r w:rsidRPr="00142C6B" w:rsidR="006015EC">
        <w:t>6</w:t>
      </w:r>
      <w:r w:rsidRPr="00142C6B" w:rsidR="00A833B1">
        <w:t xml:space="preserve"> November </w:t>
      </w:r>
      <w:r w:rsidRPr="00142C6B" w:rsidR="006015EC">
        <w:t>2007</w:t>
      </w:r>
      <w:r w:rsidRPr="00142C6B" w:rsidR="00A833B1">
        <w:t xml:space="preserve"> the applicant was fined in proceedings conducted under the </w:t>
      </w:r>
      <w:r w:rsidRPr="00142C6B" w:rsidR="006015EC">
        <w:t xml:space="preserve">Misdemeanours Act 2005 </w:t>
      </w:r>
      <w:r w:rsidRPr="00142C6B" w:rsidR="003C3A13">
        <w:t xml:space="preserve">which were </w:t>
      </w:r>
      <w:r w:rsidRPr="00142C6B" w:rsidR="00A833B1">
        <w:t>regarded as “</w:t>
      </w:r>
      <w:r w:rsidRPr="00142C6B" w:rsidR="002F6DB6">
        <w:t>m</w:t>
      </w:r>
      <w:r w:rsidRPr="00142C6B" w:rsidR="007769D8">
        <w:t>isdemeanours</w:t>
      </w:r>
      <w:r w:rsidRPr="00142C6B" w:rsidR="00A833B1">
        <w:t>” rather than “criminal</w:t>
      </w:r>
      <w:r w:rsidRPr="00142C6B" w:rsidR="00703A64">
        <w:t xml:space="preserve"> offences</w:t>
      </w:r>
      <w:r w:rsidRPr="00142C6B" w:rsidR="00A833B1">
        <w:t xml:space="preserve">” under the </w:t>
      </w:r>
      <w:r w:rsidRPr="00142C6B" w:rsidR="003C3A13">
        <w:t>Serbian</w:t>
      </w:r>
      <w:r w:rsidRPr="00142C6B" w:rsidR="00A833B1">
        <w:t xml:space="preserve"> legal</w:t>
      </w:r>
      <w:r w:rsidRPr="00142C6B" w:rsidR="00BB6B13">
        <w:t xml:space="preserve"> classification</w:t>
      </w:r>
      <w:r w:rsidRPr="00142C6B" w:rsidR="00A833B1">
        <w:t xml:space="preserve">. It must therefore be determined whether these proceedings concerned a “criminal” matter within the meaning </w:t>
      </w:r>
      <w:r w:rsidRPr="00142C6B" w:rsidR="00B16B63">
        <w:t>of Article 4 of Protocol No. 7.</w:t>
      </w:r>
    </w:p>
    <w:p w:rsidRPr="00142C6B" w:rsidR="002F6DB6" w:rsidP="00142C6B" w:rsidRDefault="002F6DB6">
      <w:pPr>
        <w:pStyle w:val="ECHRPara"/>
        <w:rPr>
          <w:bCs/>
          <w:iCs/>
        </w:rPr>
      </w:pPr>
      <w:r w:rsidRPr="00142C6B">
        <w:rPr>
          <w:bCs/>
          <w:iCs/>
        </w:rPr>
        <w:fldChar w:fldCharType="begin"/>
      </w:r>
      <w:r w:rsidRPr="00142C6B">
        <w:rPr>
          <w:bCs/>
          <w:iCs/>
        </w:rPr>
        <w:instrText xml:space="preserve"> SEQ level0 \*arabic </w:instrText>
      </w:r>
      <w:r w:rsidRPr="00142C6B">
        <w:rPr>
          <w:bCs/>
          <w:iCs/>
        </w:rPr>
        <w:fldChar w:fldCharType="separate"/>
      </w:r>
      <w:r w:rsidRPr="00142C6B" w:rsidR="00142C6B">
        <w:rPr>
          <w:bCs/>
          <w:iCs/>
          <w:noProof/>
        </w:rPr>
        <w:t>32</w:t>
      </w:r>
      <w:r w:rsidRPr="00142C6B">
        <w:rPr>
          <w:bCs/>
          <w:iCs/>
        </w:rPr>
        <w:fldChar w:fldCharType="end"/>
      </w:r>
      <w:r w:rsidRPr="00142C6B">
        <w:rPr>
          <w:bCs/>
          <w:iCs/>
        </w:rPr>
        <w:t xml:space="preserve">.  The Court reiterates that the legal characterisation of the procedure under national law cannot be the sole criterion of relevance for the applicability of the principle of </w:t>
      </w:r>
      <w:r w:rsidRPr="00142C6B">
        <w:rPr>
          <w:bCs/>
          <w:i/>
          <w:iCs/>
        </w:rPr>
        <w:t>non bis in idem</w:t>
      </w:r>
      <w:r w:rsidRPr="00142C6B">
        <w:rPr>
          <w:bCs/>
          <w:iCs/>
        </w:rPr>
        <w:t xml:space="preserve"> under Article 4 § 1 of Protocol No. 7. Otherwise, the application of this provision would be left to the discretion of the Contracting States to a degree that might lead to results incompatible with the object and purpose of the Convention. The notion of “penal procedure” in the text of Article 4 of Protocol No. 7 must be interpreted in the light of the general principles concerning the corresponding words “criminal charge” and “penalty” in Articles 6 and 7 of the Convention respectively </w:t>
      </w:r>
      <w:r w:rsidRPr="00142C6B" w:rsidR="00A119D5">
        <w:rPr>
          <w:bCs/>
          <w:iCs/>
        </w:rPr>
        <w:t xml:space="preserve">(see, </w:t>
      </w:r>
      <w:r w:rsidRPr="00142C6B" w:rsidR="00B24B15">
        <w:rPr>
          <w:bCs/>
          <w:iCs/>
        </w:rPr>
        <w:t xml:space="preserve">as </w:t>
      </w:r>
      <w:r w:rsidRPr="00142C6B" w:rsidR="00A119D5">
        <w:rPr>
          <w:bCs/>
          <w:iCs/>
        </w:rPr>
        <w:t xml:space="preserve">most recent, </w:t>
      </w:r>
      <w:r w:rsidRPr="00142C6B" w:rsidR="00A119D5">
        <w:rPr>
          <w:bCs/>
          <w:i/>
          <w:iCs/>
          <w:lang w:val="it-IT"/>
        </w:rPr>
        <w:t xml:space="preserve">Zolotukhin, </w:t>
      </w:r>
      <w:r w:rsidRPr="00142C6B" w:rsidR="00A119D5">
        <w:rPr>
          <w:bCs/>
          <w:iCs/>
          <w:lang w:val="it-IT"/>
        </w:rPr>
        <w:t>cited above,</w:t>
      </w:r>
      <w:r w:rsidRPr="00142C6B" w:rsidR="00A119D5">
        <w:rPr>
          <w:bCs/>
          <w:i/>
          <w:iCs/>
          <w:lang w:val="it-IT"/>
        </w:rPr>
        <w:t xml:space="preserve"> </w:t>
      </w:r>
      <w:r w:rsidRPr="00142C6B" w:rsidR="00A119D5">
        <w:rPr>
          <w:bCs/>
          <w:iCs/>
        </w:rPr>
        <w:t>with further references therein)</w:t>
      </w:r>
      <w:r w:rsidRPr="00142C6B">
        <w:rPr>
          <w:bCs/>
          <w:iCs/>
        </w:rPr>
        <w:t>.</w:t>
      </w:r>
    </w:p>
    <w:p w:rsidRPr="00142C6B" w:rsidR="002F6DB6" w:rsidP="00142C6B" w:rsidRDefault="002F6DB6">
      <w:pPr>
        <w:pStyle w:val="ECHRPara"/>
        <w:rPr>
          <w:bCs/>
          <w:iCs/>
        </w:rPr>
      </w:pPr>
      <w:r w:rsidRPr="00142C6B">
        <w:rPr>
          <w:bCs/>
          <w:iCs/>
        </w:rPr>
        <w:fldChar w:fldCharType="begin"/>
      </w:r>
      <w:r w:rsidRPr="00142C6B">
        <w:rPr>
          <w:bCs/>
          <w:iCs/>
        </w:rPr>
        <w:instrText xml:space="preserve"> SEQ level0 \*arabic </w:instrText>
      </w:r>
      <w:r w:rsidRPr="00142C6B">
        <w:rPr>
          <w:bCs/>
          <w:iCs/>
        </w:rPr>
        <w:fldChar w:fldCharType="separate"/>
      </w:r>
      <w:r w:rsidRPr="00142C6B" w:rsidR="00142C6B">
        <w:rPr>
          <w:bCs/>
          <w:iCs/>
          <w:noProof/>
        </w:rPr>
        <w:t>33</w:t>
      </w:r>
      <w:r w:rsidRPr="00142C6B">
        <w:rPr>
          <w:bCs/>
          <w:iCs/>
        </w:rPr>
        <w:fldChar w:fldCharType="end"/>
      </w:r>
      <w:r w:rsidRPr="00142C6B">
        <w:rPr>
          <w:bCs/>
          <w:iCs/>
        </w:rPr>
        <w:t>.  The Court</w:t>
      </w:r>
      <w:r w:rsidRPr="00142C6B" w:rsidR="00142C6B">
        <w:rPr>
          <w:bCs/>
          <w:iCs/>
        </w:rPr>
        <w:t>’</w:t>
      </w:r>
      <w:r w:rsidRPr="00142C6B">
        <w:rPr>
          <w:bCs/>
          <w:iCs/>
        </w:rPr>
        <w:t>s established case-law sets out three criteria, commonly known as the “</w:t>
      </w:r>
      <w:bookmarkStart w:name="HIT3" w:id="3"/>
      <w:bookmarkEnd w:id="3"/>
      <w:r w:rsidRPr="00142C6B">
        <w:rPr>
          <w:bCs/>
          <w:iCs/>
        </w:rPr>
        <w:t xml:space="preserve">Engel </w:t>
      </w:r>
      <w:bookmarkStart w:name="HIT4" w:id="4"/>
      <w:bookmarkEnd w:id="4"/>
      <w:r w:rsidRPr="00142C6B">
        <w:rPr>
          <w:bCs/>
          <w:iCs/>
        </w:rPr>
        <w:t xml:space="preserve">criteria” (see </w:t>
      </w:r>
      <w:r w:rsidRPr="00142C6B">
        <w:rPr>
          <w:bCs/>
          <w:i/>
          <w:iCs/>
        </w:rPr>
        <w:t>Engel and Others</w:t>
      </w:r>
      <w:r w:rsidRPr="00142C6B">
        <w:rPr>
          <w:bCs/>
          <w:iCs/>
        </w:rPr>
        <w:t>, cited above), to be considered in determining whether or not there was a “criminal charge”. The first criterion is the legal classification of the offence under national law, the second is the very nature of the offence</w:t>
      </w:r>
      <w:r w:rsidRPr="00142C6B" w:rsidR="00703A64">
        <w:rPr>
          <w:bCs/>
          <w:iCs/>
        </w:rPr>
        <w:t>,</w:t>
      </w:r>
      <w:r w:rsidRPr="00142C6B">
        <w:rPr>
          <w:bCs/>
          <w:iCs/>
        </w:rPr>
        <w:t xml:space="preserve"> and the third is the degree of severity of the penalty that the person concerned risks incurring. The second and third criteria are alternative and not necessarily cumulative. This, however, does not exclude a cumulative approach where separate analysis of each criterion does not make it possible to reach a clear conclusion as to the existence of a criminal charge (see </w:t>
      </w:r>
      <w:r w:rsidRPr="00142C6B">
        <w:rPr>
          <w:bCs/>
          <w:i/>
          <w:iCs/>
        </w:rPr>
        <w:t>Jussila v.</w:t>
      </w:r>
      <w:r w:rsidRPr="00142C6B" w:rsidR="003E429D">
        <w:rPr>
          <w:bCs/>
          <w:i/>
          <w:iCs/>
        </w:rPr>
        <w:t> </w:t>
      </w:r>
      <w:r w:rsidRPr="00142C6B">
        <w:rPr>
          <w:bCs/>
          <w:i/>
          <w:iCs/>
        </w:rPr>
        <w:t>Finland</w:t>
      </w:r>
      <w:r w:rsidRPr="00142C6B" w:rsidR="00D33B0F">
        <w:rPr>
          <w:bCs/>
          <w:iCs/>
        </w:rPr>
        <w:t xml:space="preserve"> [GC], no. 73053/01, §§ </w:t>
      </w:r>
      <w:r w:rsidRPr="00142C6B">
        <w:rPr>
          <w:bCs/>
          <w:iCs/>
        </w:rPr>
        <w:t>30-31, ECHR 2006</w:t>
      </w:r>
      <w:r w:rsidRPr="00142C6B">
        <w:rPr>
          <w:bCs/>
          <w:iCs/>
        </w:rPr>
        <w:noBreakHyphen/>
        <w:t xml:space="preserve">XIV, and </w:t>
      </w:r>
      <w:r w:rsidRPr="00142C6B">
        <w:rPr>
          <w:bCs/>
          <w:i/>
          <w:iCs/>
        </w:rPr>
        <w:t>Ezeh and Connors v.</w:t>
      </w:r>
      <w:r w:rsidRPr="00142C6B" w:rsidR="003E429D">
        <w:rPr>
          <w:bCs/>
          <w:i/>
          <w:iCs/>
        </w:rPr>
        <w:t> </w:t>
      </w:r>
      <w:r w:rsidRPr="00142C6B">
        <w:rPr>
          <w:bCs/>
          <w:i/>
          <w:iCs/>
        </w:rPr>
        <w:t>the United Kingdom</w:t>
      </w:r>
      <w:r w:rsidRPr="00142C6B">
        <w:rPr>
          <w:bCs/>
          <w:iCs/>
        </w:rPr>
        <w:t xml:space="preserve"> [GC], nos. 39665/98 and 40086/98, §§ 82-86, ECHR 2003</w:t>
      </w:r>
      <w:r w:rsidRPr="00142C6B">
        <w:rPr>
          <w:bCs/>
          <w:iCs/>
        </w:rPr>
        <w:noBreakHyphen/>
        <w:t>X).</w:t>
      </w:r>
    </w:p>
    <w:p w:rsidRPr="00142C6B" w:rsidR="003C3A13" w:rsidP="00142C6B" w:rsidRDefault="003C3A13">
      <w:pPr>
        <w:pStyle w:val="ECHRPara"/>
      </w:pPr>
      <w:r w:rsidRPr="00142C6B">
        <w:rPr>
          <w:bCs/>
          <w:iCs/>
        </w:rPr>
        <w:fldChar w:fldCharType="begin"/>
      </w:r>
      <w:r w:rsidRPr="00142C6B">
        <w:rPr>
          <w:bCs/>
          <w:iCs/>
        </w:rPr>
        <w:instrText xml:space="preserve"> SEQ level0 \*arabic </w:instrText>
      </w:r>
      <w:r w:rsidRPr="00142C6B">
        <w:rPr>
          <w:bCs/>
          <w:iCs/>
        </w:rPr>
        <w:fldChar w:fldCharType="separate"/>
      </w:r>
      <w:r w:rsidRPr="00142C6B" w:rsidR="00142C6B">
        <w:rPr>
          <w:bCs/>
          <w:iCs/>
          <w:noProof/>
        </w:rPr>
        <w:t>34</w:t>
      </w:r>
      <w:r w:rsidRPr="00142C6B">
        <w:rPr>
          <w:bCs/>
          <w:iCs/>
        </w:rPr>
        <w:fldChar w:fldCharType="end"/>
      </w:r>
      <w:r w:rsidRPr="00142C6B">
        <w:rPr>
          <w:bCs/>
          <w:iCs/>
        </w:rPr>
        <w:t>.  </w:t>
      </w:r>
      <w:r w:rsidRPr="00142C6B" w:rsidR="00B075C5">
        <w:rPr>
          <w:bCs/>
          <w:iCs/>
        </w:rPr>
        <w:t>The Court notes that, regarding the first criterion, t</w:t>
      </w:r>
      <w:r w:rsidRPr="00142C6B">
        <w:t xml:space="preserve">he domestic legal classification of the offence at issue was a “misdemeanour” </w:t>
      </w:r>
      <w:r w:rsidRPr="00142C6B">
        <w:rPr>
          <w:lang w:val="en-GB"/>
        </w:rPr>
        <w:t xml:space="preserve">under </w:t>
      </w:r>
      <w:r w:rsidRPr="00142C6B">
        <w:t>Article</w:t>
      </w:r>
      <w:r w:rsidRPr="00142C6B" w:rsidR="003E429D">
        <w:t> </w:t>
      </w:r>
      <w:r w:rsidRPr="00142C6B">
        <w:t xml:space="preserve">6(3) of the Public Order Act </w:t>
      </w:r>
      <w:r w:rsidRPr="00142C6B" w:rsidR="00604612">
        <w:t>1992</w:t>
      </w:r>
      <w:r w:rsidRPr="00142C6B">
        <w:t xml:space="preserve"> (see paragraph </w:t>
      </w:r>
      <w:r w:rsidRPr="00142C6B" w:rsidR="003F3822">
        <w:t>21</w:t>
      </w:r>
      <w:r w:rsidRPr="00142C6B">
        <w:t xml:space="preserve"> above). Nevertheless, the Court has previously found </w:t>
      </w:r>
      <w:r w:rsidRPr="00142C6B" w:rsidR="000439D4">
        <w:t>that the sphere defined in the other similar legal systems as “administrative”</w:t>
      </w:r>
      <w:r w:rsidRPr="00142C6B" w:rsidR="00A119D5">
        <w:t>/”misdeme</w:t>
      </w:r>
      <w:r w:rsidRPr="00142C6B" w:rsidR="00703A64">
        <w:t>a</w:t>
      </w:r>
      <w:r w:rsidRPr="00142C6B" w:rsidR="00A119D5">
        <w:t>nour”</w:t>
      </w:r>
      <w:r w:rsidRPr="00142C6B" w:rsidR="000439D4">
        <w:t xml:space="preserve">, including the protection of public order, embraces certain offences that have a criminal connotation but are too trivial to be governed by criminal law and procedure </w:t>
      </w:r>
      <w:r w:rsidRPr="00142C6B">
        <w:t xml:space="preserve">(see </w:t>
      </w:r>
      <w:r w:rsidRPr="00142C6B" w:rsidR="00B24B15">
        <w:rPr>
          <w:bCs/>
          <w:i/>
          <w:iCs/>
          <w:lang w:val="it-IT"/>
        </w:rPr>
        <w:t xml:space="preserve">Zolotukhin, </w:t>
      </w:r>
      <w:r w:rsidRPr="00142C6B" w:rsidR="00B24B15">
        <w:rPr>
          <w:bCs/>
          <w:iCs/>
          <w:lang w:val="it-IT"/>
        </w:rPr>
        <w:t>cited above,</w:t>
      </w:r>
      <w:r w:rsidRPr="00142C6B" w:rsidR="00B24B15">
        <w:t xml:space="preserve"> </w:t>
      </w:r>
      <w:r w:rsidRPr="00142C6B" w:rsidR="00B24B15">
        <w:rPr>
          <w:bCs/>
          <w:iCs/>
        </w:rPr>
        <w:t xml:space="preserve">§ </w:t>
      </w:r>
      <w:r w:rsidRPr="00142C6B" w:rsidR="000439D4">
        <w:t xml:space="preserve">54 </w:t>
      </w:r>
      <w:r w:rsidRPr="00142C6B" w:rsidR="00497709">
        <w:t xml:space="preserve">with further references therein; see also </w:t>
      </w:r>
      <w:r w:rsidRPr="00142C6B">
        <w:rPr>
          <w:i/>
        </w:rPr>
        <w:t>Maresti</w:t>
      </w:r>
      <w:r w:rsidRPr="00142C6B" w:rsidR="00B24B15">
        <w:rPr>
          <w:i/>
        </w:rPr>
        <w:t xml:space="preserve"> and Muslija</w:t>
      </w:r>
      <w:r w:rsidRPr="00142C6B">
        <w:t xml:space="preserve">, </w:t>
      </w:r>
      <w:r w:rsidRPr="00142C6B" w:rsidR="00497709">
        <w:t xml:space="preserve">both </w:t>
      </w:r>
      <w:r w:rsidRPr="00142C6B">
        <w:t>cited above, § 58</w:t>
      </w:r>
      <w:r w:rsidRPr="00142C6B" w:rsidR="000439D4">
        <w:t xml:space="preserve"> and</w:t>
      </w:r>
      <w:r w:rsidRPr="00142C6B" w:rsidR="00B24B15">
        <w:t xml:space="preserve"> </w:t>
      </w:r>
      <w:r w:rsidRPr="00142C6B" w:rsidR="00345E38">
        <w:t>§ 27 respectively</w:t>
      </w:r>
      <w:r w:rsidRPr="00142C6B">
        <w:t>).</w:t>
      </w:r>
    </w:p>
    <w:p w:rsidRPr="00142C6B" w:rsidR="00B075C5" w:rsidP="00142C6B" w:rsidRDefault="009D3BF1">
      <w:pPr>
        <w:pStyle w:val="ECHRPara"/>
      </w:pPr>
      <w:r>
        <w:fldChar w:fldCharType="begin"/>
      </w:r>
      <w:r>
        <w:instrText xml:space="preserve"> SEQ level0 \*arabic </w:instrText>
      </w:r>
      <w:r>
        <w:fldChar w:fldCharType="separate"/>
      </w:r>
      <w:r w:rsidRPr="00142C6B" w:rsidR="00142C6B">
        <w:rPr>
          <w:noProof/>
        </w:rPr>
        <w:t>35</w:t>
      </w:r>
      <w:r>
        <w:rPr>
          <w:noProof/>
        </w:rPr>
        <w:fldChar w:fldCharType="end"/>
      </w:r>
      <w:r w:rsidRPr="00142C6B" w:rsidR="003C3A13">
        <w:t>.  </w:t>
      </w:r>
      <w:r w:rsidRPr="00142C6B" w:rsidR="00604612">
        <w:rPr>
          <w:bCs/>
          <w:iCs/>
        </w:rPr>
        <w:t>By its nature, t</w:t>
      </w:r>
      <w:r w:rsidRPr="00142C6B" w:rsidR="00604612">
        <w:t>he inclusion of the misdemeanour at issue in the Public Order Act 1992 served to guarantee the protection of human dignity and public order, values and interests that normally fall within the sphere of protection of criminal law. Th</w:t>
      </w:r>
      <w:r w:rsidRPr="00142C6B" w:rsidR="00B075C5">
        <w:t>is misdeme</w:t>
      </w:r>
      <w:r w:rsidRPr="00142C6B" w:rsidR="00703A64">
        <w:t>a</w:t>
      </w:r>
      <w:r w:rsidRPr="00142C6B" w:rsidR="00B075C5">
        <w:t xml:space="preserve">nour was imposed by general legal provision applying to </w:t>
      </w:r>
      <w:r w:rsidRPr="00142C6B" w:rsidR="00604612">
        <w:t xml:space="preserve">all citizens rather than towards a group </w:t>
      </w:r>
      <w:r w:rsidRPr="00142C6B" w:rsidR="00604612">
        <w:rPr>
          <w:bCs/>
          <w:iCs/>
        </w:rPr>
        <w:t xml:space="preserve">possessing </w:t>
      </w:r>
      <w:r w:rsidRPr="00142C6B" w:rsidR="00604612">
        <w:t xml:space="preserve">a special status. Any reference to the “minor” nature of the acts does not, in itself, exclude its classification as “criminal” in the autonomous sense of the Convention, as there is nothing in the Convention to suggest that the criminal nature of an offence, within the meaning of the </w:t>
      </w:r>
      <w:r w:rsidRPr="00142C6B" w:rsidR="00604612">
        <w:rPr>
          <w:i/>
        </w:rPr>
        <w:t>Engel</w:t>
      </w:r>
      <w:r w:rsidRPr="00142C6B" w:rsidR="00604612">
        <w:t xml:space="preserve"> criteria, necessarily requires a certain degree of seriousness (see </w:t>
      </w:r>
      <w:r w:rsidRPr="00142C6B" w:rsidR="00604612">
        <w:rPr>
          <w:i/>
        </w:rPr>
        <w:t>Ezeh</w:t>
      </w:r>
      <w:r w:rsidRPr="00142C6B" w:rsidR="00D33B0F">
        <w:t>, cited above, § </w:t>
      </w:r>
      <w:r w:rsidRPr="00142C6B" w:rsidR="00604612">
        <w:t xml:space="preserve">104). Lastly, the </w:t>
      </w:r>
      <w:r w:rsidRPr="00142C6B" w:rsidR="00B075C5">
        <w:t xml:space="preserve">Court considers that the fine is not intended as pecuniary compensation for damage, but </w:t>
      </w:r>
      <w:r w:rsidRPr="00142C6B" w:rsidR="00604612">
        <w:t>that the primary aims in establishing the offence in question were punishment and deterrence</w:t>
      </w:r>
      <w:r w:rsidRPr="00142C6B" w:rsidR="00B075C5">
        <w:t xml:space="preserve"> </w:t>
      </w:r>
      <w:r w:rsidRPr="00142C6B" w:rsidR="00703A64">
        <w:t>of</w:t>
      </w:r>
      <w:r w:rsidRPr="00142C6B" w:rsidR="00B075C5">
        <w:t xml:space="preserve"> reoffending</w:t>
      </w:r>
      <w:r w:rsidRPr="00142C6B" w:rsidR="00604612">
        <w:t xml:space="preserve">, which are recognised as </w:t>
      </w:r>
      <w:r w:rsidRPr="00142C6B" w:rsidR="00E42443">
        <w:t xml:space="preserve">further </w:t>
      </w:r>
      <w:r w:rsidRPr="00142C6B" w:rsidR="00604612">
        <w:t>characteristic features of criminal penalties (ibid., §§ 102 and 105).</w:t>
      </w:r>
    </w:p>
    <w:p w:rsidRPr="00142C6B" w:rsidR="00604612" w:rsidP="00142C6B" w:rsidRDefault="00604612">
      <w:pPr>
        <w:pStyle w:val="ECHRPara"/>
        <w:rPr>
          <w:bCs/>
          <w:iCs/>
        </w:rPr>
      </w:pPr>
      <w:r w:rsidRPr="00142C6B">
        <w:rPr>
          <w:bCs/>
          <w:iCs/>
        </w:rPr>
        <w:fldChar w:fldCharType="begin"/>
      </w:r>
      <w:r w:rsidRPr="00142C6B">
        <w:rPr>
          <w:bCs/>
          <w:iCs/>
        </w:rPr>
        <w:instrText xml:space="preserve"> SEQ level0 \*arabic </w:instrText>
      </w:r>
      <w:r w:rsidRPr="00142C6B">
        <w:rPr>
          <w:bCs/>
          <w:iCs/>
        </w:rPr>
        <w:fldChar w:fldCharType="separate"/>
      </w:r>
      <w:r w:rsidRPr="00142C6B" w:rsidR="00142C6B">
        <w:rPr>
          <w:bCs/>
          <w:iCs/>
          <w:noProof/>
        </w:rPr>
        <w:t>36</w:t>
      </w:r>
      <w:r w:rsidRPr="00142C6B">
        <w:rPr>
          <w:bCs/>
          <w:iCs/>
        </w:rPr>
        <w:fldChar w:fldCharType="end"/>
      </w:r>
      <w:r w:rsidRPr="00142C6B">
        <w:rPr>
          <w:bCs/>
          <w:iCs/>
        </w:rPr>
        <w:t>.  As to the degree of severity of the measure, it is determined by reference to the maximum potential penalty for which the relevant law provides. The actual penalty imposed is relevant to the determination but it cannot diminish the importance of what was initially at stake (ibid., §</w:t>
      </w:r>
      <w:r w:rsidRPr="00142C6B" w:rsidR="003E429D">
        <w:rPr>
          <w:bCs/>
          <w:iCs/>
        </w:rPr>
        <w:t> </w:t>
      </w:r>
      <w:r w:rsidRPr="00142C6B">
        <w:rPr>
          <w:bCs/>
          <w:iCs/>
        </w:rPr>
        <w:t>120). The Court observes that at the relevant time that Article 6(3) of the Public Order Act 1992 provided for sixty days</w:t>
      </w:r>
      <w:r w:rsidRPr="00142C6B" w:rsidR="00142C6B">
        <w:rPr>
          <w:bCs/>
          <w:iCs/>
        </w:rPr>
        <w:t>’</w:t>
      </w:r>
      <w:r w:rsidRPr="00142C6B">
        <w:rPr>
          <w:bCs/>
          <w:iCs/>
        </w:rPr>
        <w:t xml:space="preserve"> imprisonment as the maximum penalty, </w:t>
      </w:r>
      <w:r w:rsidRPr="00142C6B" w:rsidR="00703A64">
        <w:rPr>
          <w:bCs/>
          <w:iCs/>
        </w:rPr>
        <w:t xml:space="preserve">although in fact </w:t>
      </w:r>
      <w:r w:rsidRPr="00142C6B">
        <w:rPr>
          <w:bCs/>
          <w:iCs/>
        </w:rPr>
        <w:t xml:space="preserve">the applicant was eventually sentenced to </w:t>
      </w:r>
      <w:r w:rsidRPr="00142C6B" w:rsidR="00B075C5">
        <w:rPr>
          <w:bCs/>
          <w:iCs/>
          <w:lang w:val="en-GB"/>
        </w:rPr>
        <w:t>a fine in the amount of RSD 4,000.</w:t>
      </w:r>
      <w:r w:rsidRPr="00142C6B" w:rsidR="00B075C5">
        <w:rPr>
          <w:bCs/>
          <w:iCs/>
        </w:rPr>
        <w:t xml:space="preserve"> </w:t>
      </w:r>
      <w:r w:rsidRPr="00142C6B">
        <w:rPr>
          <w:bCs/>
          <w:iCs/>
        </w:rPr>
        <w:t xml:space="preserve">As the Court has confirmed on many occasions, in a society subscribing to the rule of law, where the penalty liable to be and actually imposed on an applicant involves loss of liberty, there is a presumption that the charges against the applicant are “criminal”, a presumption which can be rebutted </w:t>
      </w:r>
      <w:r w:rsidRPr="00142C6B" w:rsidR="00703A64">
        <w:rPr>
          <w:bCs/>
          <w:iCs/>
        </w:rPr>
        <w:t xml:space="preserve">in full only </w:t>
      </w:r>
      <w:r w:rsidRPr="00142C6B">
        <w:rPr>
          <w:bCs/>
          <w:iCs/>
        </w:rPr>
        <w:t xml:space="preserve">exceptionally, and only if the deprivation of liberty cannot be considered “appreciably detrimental” given their nature, duration or manner of execution (see </w:t>
      </w:r>
      <w:r w:rsidRPr="00142C6B">
        <w:rPr>
          <w:bCs/>
          <w:i/>
          <w:iCs/>
        </w:rPr>
        <w:t>Engel</w:t>
      </w:r>
      <w:r w:rsidRPr="00142C6B">
        <w:rPr>
          <w:bCs/>
          <w:iCs/>
        </w:rPr>
        <w:t xml:space="preserve">, § 82, and </w:t>
      </w:r>
      <w:r w:rsidRPr="00142C6B" w:rsidR="00D33B0F">
        <w:rPr>
          <w:bCs/>
          <w:i/>
          <w:iCs/>
        </w:rPr>
        <w:t>Ezeh and </w:t>
      </w:r>
      <w:r w:rsidRPr="00142C6B">
        <w:rPr>
          <w:bCs/>
          <w:i/>
          <w:iCs/>
        </w:rPr>
        <w:t>Connors</w:t>
      </w:r>
      <w:r w:rsidRPr="00142C6B">
        <w:rPr>
          <w:bCs/>
          <w:iCs/>
        </w:rPr>
        <w:t>, § 126, both cited above). In the present case the Court does not discern any such exceptional circumstances.</w:t>
      </w:r>
    </w:p>
    <w:p w:rsidRPr="00142C6B" w:rsidR="002F6DB6" w:rsidP="00142C6B" w:rsidRDefault="00FF6F8A">
      <w:pPr>
        <w:pStyle w:val="ECHRPara"/>
        <w:rPr>
          <w:bCs/>
          <w:iCs/>
        </w:rPr>
      </w:pPr>
      <w:r w:rsidRPr="00142C6B">
        <w:rPr>
          <w:bCs/>
          <w:iCs/>
        </w:rPr>
        <w:fldChar w:fldCharType="begin"/>
      </w:r>
      <w:r w:rsidRPr="00142C6B">
        <w:rPr>
          <w:bCs/>
          <w:iCs/>
        </w:rPr>
        <w:instrText xml:space="preserve"> SEQ level0 \*arabic </w:instrText>
      </w:r>
      <w:r w:rsidRPr="00142C6B">
        <w:rPr>
          <w:bCs/>
          <w:iCs/>
        </w:rPr>
        <w:fldChar w:fldCharType="separate"/>
      </w:r>
      <w:r w:rsidRPr="00142C6B" w:rsidR="00142C6B">
        <w:rPr>
          <w:bCs/>
          <w:iCs/>
          <w:noProof/>
        </w:rPr>
        <w:t>37</w:t>
      </w:r>
      <w:r w:rsidRPr="00142C6B">
        <w:rPr>
          <w:bCs/>
          <w:iCs/>
        </w:rPr>
        <w:fldChar w:fldCharType="end"/>
      </w:r>
      <w:r w:rsidRPr="00142C6B">
        <w:rPr>
          <w:bCs/>
          <w:iCs/>
        </w:rPr>
        <w:t>.  T</w:t>
      </w:r>
      <w:r w:rsidRPr="00142C6B" w:rsidR="002F6DB6">
        <w:rPr>
          <w:bCs/>
          <w:iCs/>
        </w:rPr>
        <w:t>herefore, in the present case, the Court considers that it is clear that both sets of proceedings are to be regarded as criminal for the purposes of Article 4 of Protocol No. 7 to the Convention. The parties also find this to be undisputed.</w:t>
      </w:r>
    </w:p>
    <w:p w:rsidRPr="00142C6B" w:rsidR="005C2F2D" w:rsidP="00142C6B" w:rsidRDefault="005C2F2D">
      <w:pPr>
        <w:pStyle w:val="ECHRHeading4"/>
      </w:pPr>
      <w:r w:rsidRPr="00142C6B">
        <w:t>(b)  Whether the offences for which the applicant was prosecuted were the same (idem)</w:t>
      </w:r>
    </w:p>
    <w:p w:rsidRPr="00142C6B" w:rsidR="005C2F2D" w:rsidP="00142C6B" w:rsidRDefault="005C2F2D">
      <w:pPr>
        <w:pStyle w:val="ECHRPara"/>
        <w:rPr>
          <w:lang w:val="en-GB"/>
        </w:rPr>
      </w:pPr>
      <w:r w:rsidRPr="00142C6B">
        <w:rPr>
          <w:rFonts w:eastAsia="PMingLiU"/>
        </w:rPr>
        <w:fldChar w:fldCharType="begin"/>
      </w:r>
      <w:r w:rsidRPr="00142C6B">
        <w:rPr>
          <w:rFonts w:eastAsia="PMingLiU"/>
        </w:rPr>
        <w:instrText xml:space="preserve"> SEQ level0 \*arabic </w:instrText>
      </w:r>
      <w:r w:rsidRPr="00142C6B">
        <w:rPr>
          <w:rFonts w:eastAsia="PMingLiU"/>
        </w:rPr>
        <w:fldChar w:fldCharType="separate"/>
      </w:r>
      <w:r w:rsidRPr="00142C6B" w:rsidR="00142C6B">
        <w:rPr>
          <w:rFonts w:eastAsia="PMingLiU"/>
          <w:noProof/>
        </w:rPr>
        <w:t>38</w:t>
      </w:r>
      <w:r w:rsidRPr="00142C6B">
        <w:rPr>
          <w:rFonts w:eastAsia="PMingLiU"/>
        </w:rPr>
        <w:fldChar w:fldCharType="end"/>
      </w:r>
      <w:r w:rsidRPr="00142C6B">
        <w:rPr>
          <w:rFonts w:eastAsia="PMingLiU"/>
        </w:rPr>
        <w:t>.  </w:t>
      </w:r>
      <w:r w:rsidRPr="00142C6B" w:rsidR="00B24B15">
        <w:rPr>
          <w:rFonts w:eastAsia="PMingLiU"/>
        </w:rPr>
        <w:t xml:space="preserve">The Court acknowledged in the case of </w:t>
      </w:r>
      <w:r w:rsidRPr="00142C6B" w:rsidR="00B24B15">
        <w:rPr>
          <w:rFonts w:eastAsia="PMingLiU"/>
          <w:i/>
        </w:rPr>
        <w:t>Zolotukhin</w:t>
      </w:r>
      <w:r w:rsidRPr="00142C6B" w:rsidR="00B24B15">
        <w:rPr>
          <w:rFonts w:eastAsia="PMingLiU"/>
        </w:rPr>
        <w:t xml:space="preserve"> (cited above) the existence of several approaches to the question whether the offences for which an applicant was prosecuted were the same. The Court presented an overview of the existing three different approaches to this question. It found that the existence of a variety of approaches engendered legal uncertainty incompatible with the fundamental right not to be prosecuted twice for the same offence. It was against this background that the Court provided in that case a harmonised interpretation of the notion of the “same offence” for the purposes of Article 4 of Protocol No. 7.</w:t>
      </w:r>
      <w:r w:rsidRPr="00142C6B" w:rsidR="00B24B15">
        <w:rPr>
          <w:lang w:val="en-GB"/>
        </w:rPr>
        <w:t xml:space="preserve"> </w:t>
      </w:r>
      <w:r w:rsidRPr="00142C6B" w:rsidR="004B38CF">
        <w:rPr>
          <w:rFonts w:eastAsia="PMingLiU"/>
        </w:rPr>
        <w:t xml:space="preserve">The relevant principles in that respect </w:t>
      </w:r>
      <w:r w:rsidRPr="00142C6B">
        <w:rPr>
          <w:rFonts w:eastAsia="PMingLiU"/>
        </w:rPr>
        <w:t>read as follows:</w:t>
      </w:r>
    </w:p>
    <w:p w:rsidRPr="00142C6B" w:rsidR="004B38CF" w:rsidP="00142C6B" w:rsidRDefault="004B38CF">
      <w:pPr>
        <w:pStyle w:val="ECHRParaQuote"/>
        <w:rPr>
          <w:rFonts w:eastAsia="PMingLiU"/>
        </w:rPr>
      </w:pPr>
      <w:r w:rsidRPr="00142C6B">
        <w:rPr>
          <w:rFonts w:eastAsia="PMingLiU"/>
        </w:rPr>
        <w:t>“78.</w:t>
      </w:r>
      <w:r w:rsidRPr="00142C6B" w:rsidR="00536C6B">
        <w:rPr>
          <w:rFonts w:eastAsia="PMingLiU"/>
        </w:rPr>
        <w:t> The</w:t>
      </w:r>
      <w:r w:rsidRPr="00142C6B">
        <w:rPr>
          <w:rFonts w:eastAsia="PMingLiU"/>
        </w:rPr>
        <w:t xml:space="preserve"> Court considers that the existence of a variety of approaches to ascertaining whether the offence for which an applicant has been prosecuted is indeed the same as the one of which he or she was already finally convicted or acquitted engenders legal uncertainty incompatible with a fundamental right, namely the right not to be prosecuted twice for the same offence. It is against this background that the Court is now called upon to provide a harmonised interpretation of the notion of the </w:t>
      </w:r>
      <w:r w:rsidRPr="00142C6B" w:rsidR="00142C6B">
        <w:rPr>
          <w:rFonts w:eastAsia="PMingLiU"/>
        </w:rPr>
        <w:t>‘</w:t>
      </w:r>
      <w:r w:rsidRPr="00142C6B">
        <w:rPr>
          <w:rFonts w:eastAsia="PMingLiU"/>
        </w:rPr>
        <w:t>same offence</w:t>
      </w:r>
      <w:r w:rsidRPr="00142C6B" w:rsidR="00142C6B">
        <w:rPr>
          <w:rFonts w:eastAsia="PMingLiU"/>
        </w:rPr>
        <w:t>’</w:t>
      </w:r>
      <w:r w:rsidRPr="00142C6B">
        <w:rPr>
          <w:rFonts w:eastAsia="PMingLiU"/>
        </w:rPr>
        <w:t xml:space="preserve"> – the </w:t>
      </w:r>
      <w:r w:rsidRPr="00142C6B">
        <w:rPr>
          <w:rFonts w:eastAsia="PMingLiU"/>
          <w:i/>
        </w:rPr>
        <w:t>idem</w:t>
      </w:r>
      <w:r w:rsidRPr="00142C6B">
        <w:rPr>
          <w:rFonts w:eastAsia="PMingLiU"/>
        </w:rPr>
        <w:t xml:space="preserve"> element of the </w:t>
      </w:r>
      <w:r w:rsidRPr="00142C6B">
        <w:rPr>
          <w:rFonts w:eastAsia="PMingLiU"/>
          <w:i/>
        </w:rPr>
        <w:t xml:space="preserve">non bis in idem </w:t>
      </w:r>
      <w:r w:rsidRPr="00142C6B">
        <w:rPr>
          <w:rFonts w:eastAsia="PMingLiU"/>
        </w:rPr>
        <w:t xml:space="preserve">principle – for the purposes of Article 4 of Protocol No. 7. While it is in the interests of legal certainty, foreseeability and equality before the law that the Court should not depart, without good reason, from precedents laid down in previous cases, a failure by the Court to maintain a dynamic and evolutive approach would risk rendering it a bar to reform or improvement (see </w:t>
      </w:r>
      <w:r w:rsidRPr="00142C6B">
        <w:rPr>
          <w:rFonts w:eastAsia="PMingLiU"/>
          <w:i/>
          <w:szCs w:val="24"/>
        </w:rPr>
        <w:t xml:space="preserve">Vilho Eskelinen and Others v. </w:t>
      </w:r>
      <w:smartTag w:uri="urn:schemas-microsoft-com:office:smarttags" w:element="place">
        <w:smartTag w:uri="urn:schemas-microsoft-com:office:smarttags" w:element="country-region">
          <w:r w:rsidRPr="00142C6B">
            <w:rPr>
              <w:rFonts w:eastAsia="PMingLiU"/>
              <w:i/>
              <w:szCs w:val="24"/>
            </w:rPr>
            <w:t>Finland</w:t>
          </w:r>
        </w:smartTag>
      </w:smartTag>
      <w:r w:rsidRPr="00142C6B">
        <w:rPr>
          <w:rFonts w:eastAsia="PMingLiU"/>
          <w:szCs w:val="24"/>
        </w:rPr>
        <w:t xml:space="preserve"> [GC], no. 63235/00, § 56, </w:t>
      </w:r>
      <w:r w:rsidRPr="00142C6B">
        <w:rPr>
          <w:rFonts w:eastAsia="PMingLiU"/>
        </w:rPr>
        <w:t>ECHR 2007</w:t>
      </w:r>
      <w:r w:rsidRPr="00142C6B">
        <w:rPr>
          <w:rFonts w:eastAsia="PMingLiU"/>
        </w:rPr>
        <w:noBreakHyphen/>
        <w:t>...).</w:t>
      </w:r>
    </w:p>
    <w:p w:rsidRPr="00142C6B" w:rsidR="004B38CF" w:rsidP="00142C6B" w:rsidRDefault="004B38CF">
      <w:pPr>
        <w:pStyle w:val="ECHRParaQuote"/>
        <w:rPr>
          <w:rFonts w:eastAsia="PMingLiU"/>
        </w:rPr>
      </w:pPr>
      <w:r w:rsidRPr="00142C6B">
        <w:rPr>
          <w:rFonts w:eastAsia="PMingLiU"/>
        </w:rPr>
        <w:t xml:space="preserve">79.  An analysis of the international instruments incorporating the </w:t>
      </w:r>
      <w:r w:rsidRPr="00142C6B">
        <w:rPr>
          <w:rFonts w:eastAsia="PMingLiU"/>
          <w:i/>
        </w:rPr>
        <w:t>non bis in idem</w:t>
      </w:r>
      <w:r w:rsidRPr="00142C6B">
        <w:rPr>
          <w:rFonts w:eastAsia="PMingLiU"/>
        </w:rPr>
        <w:t xml:space="preserve"> principle in one or another form reveals the variety of terms in which it is couched. Thus, Article 4 of Protocol No. 7 to the Convention, Article 14 § 7 of the UN Covenant on Civil and Political Rights and Article 50 of the Charter of Fundamental Rights of the European Union refer to the </w:t>
      </w:r>
      <w:r w:rsidRPr="00142C6B" w:rsidR="00142C6B">
        <w:rPr>
          <w:rFonts w:eastAsia="PMingLiU"/>
        </w:rPr>
        <w:t>‘</w:t>
      </w:r>
      <w:r w:rsidRPr="00142C6B">
        <w:rPr>
          <w:rFonts w:eastAsia="PMingLiU"/>
        </w:rPr>
        <w:t>[same] offence</w:t>
      </w:r>
      <w:r w:rsidRPr="00142C6B" w:rsidR="00142C6B">
        <w:rPr>
          <w:rFonts w:eastAsia="PMingLiU"/>
        </w:rPr>
        <w:t>’</w:t>
      </w:r>
      <w:r w:rsidRPr="00142C6B">
        <w:rPr>
          <w:rFonts w:eastAsia="PMingLiU"/>
        </w:rPr>
        <w:t xml:space="preserve"> (</w:t>
      </w:r>
      <w:r w:rsidRPr="00142C6B" w:rsidR="00142C6B">
        <w:rPr>
          <w:rFonts w:eastAsia="PMingLiU"/>
        </w:rPr>
        <w:t>‘</w:t>
      </w:r>
      <w:r w:rsidRPr="00142C6B">
        <w:rPr>
          <w:rFonts w:eastAsia="PMingLiU"/>
          <w:i/>
        </w:rPr>
        <w:t>[même] infraction</w:t>
      </w:r>
      <w:r w:rsidRPr="00142C6B" w:rsidR="00142C6B">
        <w:rPr>
          <w:rFonts w:eastAsia="PMingLiU"/>
        </w:rPr>
        <w:t>’</w:t>
      </w:r>
      <w:r w:rsidRPr="00142C6B">
        <w:rPr>
          <w:rFonts w:eastAsia="PMingLiU"/>
        </w:rPr>
        <w:t xml:space="preserve">), the American Convention on Human Rights speaks of the </w:t>
      </w:r>
      <w:r w:rsidRPr="00142C6B" w:rsidR="00142C6B">
        <w:rPr>
          <w:rFonts w:eastAsia="PMingLiU"/>
        </w:rPr>
        <w:t>‘</w:t>
      </w:r>
      <w:r w:rsidRPr="00142C6B">
        <w:rPr>
          <w:rFonts w:eastAsia="PMingLiU"/>
        </w:rPr>
        <w:t>same cause</w:t>
      </w:r>
      <w:r w:rsidRPr="00142C6B" w:rsidR="00142C6B">
        <w:rPr>
          <w:rFonts w:eastAsia="PMingLiU"/>
        </w:rPr>
        <w:t>’</w:t>
      </w:r>
      <w:r w:rsidRPr="00142C6B">
        <w:rPr>
          <w:rFonts w:eastAsia="PMingLiU"/>
        </w:rPr>
        <w:t xml:space="preserve"> (</w:t>
      </w:r>
      <w:r w:rsidRPr="00142C6B" w:rsidR="00142C6B">
        <w:rPr>
          <w:rFonts w:eastAsia="PMingLiU"/>
        </w:rPr>
        <w:t>‘</w:t>
      </w:r>
      <w:r w:rsidRPr="00142C6B">
        <w:rPr>
          <w:rFonts w:eastAsia="PMingLiU"/>
          <w:i/>
        </w:rPr>
        <w:t>mêmes faits</w:t>
      </w:r>
      <w:r w:rsidRPr="00142C6B" w:rsidR="00142C6B">
        <w:rPr>
          <w:rFonts w:eastAsia="PMingLiU"/>
        </w:rPr>
        <w:t>’</w:t>
      </w:r>
      <w:r w:rsidRPr="00142C6B">
        <w:rPr>
          <w:rFonts w:eastAsia="PMingLiU"/>
        </w:rPr>
        <w:t xml:space="preserve">), the Convention Implementing the Schengen Agreement prohibits prosecution for the </w:t>
      </w:r>
      <w:r w:rsidRPr="00142C6B" w:rsidR="00142C6B">
        <w:rPr>
          <w:rFonts w:eastAsia="PMingLiU"/>
        </w:rPr>
        <w:t>‘</w:t>
      </w:r>
      <w:r w:rsidRPr="00142C6B">
        <w:rPr>
          <w:rFonts w:eastAsia="PMingLiU"/>
        </w:rPr>
        <w:t>same acts</w:t>
      </w:r>
      <w:r w:rsidRPr="00142C6B" w:rsidR="00142C6B">
        <w:rPr>
          <w:rFonts w:eastAsia="PMingLiU"/>
        </w:rPr>
        <w:t>’</w:t>
      </w:r>
      <w:r w:rsidRPr="00142C6B">
        <w:rPr>
          <w:rFonts w:eastAsia="PMingLiU"/>
        </w:rPr>
        <w:t xml:space="preserve"> (</w:t>
      </w:r>
      <w:r w:rsidRPr="00142C6B" w:rsidR="00142C6B">
        <w:rPr>
          <w:rFonts w:eastAsia="PMingLiU"/>
        </w:rPr>
        <w:t>‘</w:t>
      </w:r>
      <w:r w:rsidRPr="00142C6B">
        <w:rPr>
          <w:rFonts w:eastAsia="PMingLiU"/>
          <w:i/>
        </w:rPr>
        <w:t>mêmes faits</w:t>
      </w:r>
      <w:r w:rsidRPr="00142C6B" w:rsidR="00142C6B">
        <w:rPr>
          <w:rFonts w:eastAsia="PMingLiU"/>
        </w:rPr>
        <w:t>’</w:t>
      </w:r>
      <w:r w:rsidRPr="00142C6B">
        <w:rPr>
          <w:rFonts w:eastAsia="PMingLiU"/>
        </w:rPr>
        <w:t xml:space="preserve">), and the Statute of the International Criminal Court employs the term </w:t>
      </w:r>
      <w:r w:rsidRPr="00142C6B" w:rsidR="00142C6B">
        <w:rPr>
          <w:rFonts w:eastAsia="PMingLiU"/>
        </w:rPr>
        <w:t>‘</w:t>
      </w:r>
      <w:r w:rsidRPr="00142C6B">
        <w:rPr>
          <w:rFonts w:eastAsia="PMingLiU"/>
        </w:rPr>
        <w:t>[same] conduct</w:t>
      </w:r>
      <w:r w:rsidRPr="00142C6B" w:rsidR="00142C6B">
        <w:rPr>
          <w:rFonts w:eastAsia="PMingLiU"/>
        </w:rPr>
        <w:t>’</w:t>
      </w:r>
      <w:r w:rsidRPr="00142C6B">
        <w:rPr>
          <w:rFonts w:eastAsia="PMingLiU"/>
        </w:rPr>
        <w:t xml:space="preserve"> (</w:t>
      </w:r>
      <w:r w:rsidRPr="00142C6B" w:rsidR="00142C6B">
        <w:rPr>
          <w:rFonts w:eastAsia="PMingLiU"/>
        </w:rPr>
        <w:t>‘</w:t>
      </w:r>
      <w:r w:rsidRPr="00142C6B">
        <w:rPr>
          <w:rFonts w:eastAsia="PMingLiU"/>
          <w:i/>
        </w:rPr>
        <w:t>[mêmes] actes constitutifs</w:t>
      </w:r>
      <w:r w:rsidRPr="00142C6B" w:rsidR="00142C6B">
        <w:rPr>
          <w:rFonts w:eastAsia="PMingLiU"/>
        </w:rPr>
        <w:t>’</w:t>
      </w:r>
      <w:r w:rsidRPr="00142C6B">
        <w:rPr>
          <w:rFonts w:eastAsia="PMingLiU"/>
        </w:rPr>
        <w:t>)</w:t>
      </w:r>
      <w:r w:rsidRPr="00142C6B">
        <w:rPr>
          <w:rFonts w:eastAsia="PMingLiU"/>
          <w:i/>
        </w:rPr>
        <w:t xml:space="preserve"> </w:t>
      </w:r>
      <w:r w:rsidRPr="00142C6B">
        <w:rPr>
          <w:rFonts w:eastAsia="PMingLiU"/>
        </w:rPr>
        <w:t xml:space="preserve">. The difference between the terms </w:t>
      </w:r>
      <w:r w:rsidRPr="00142C6B" w:rsidR="00142C6B">
        <w:rPr>
          <w:rFonts w:eastAsia="PMingLiU"/>
        </w:rPr>
        <w:t>‘</w:t>
      </w:r>
      <w:r w:rsidRPr="00142C6B">
        <w:rPr>
          <w:rFonts w:eastAsia="PMingLiU"/>
        </w:rPr>
        <w:t>same acts</w:t>
      </w:r>
      <w:r w:rsidRPr="00142C6B" w:rsidR="00142C6B">
        <w:rPr>
          <w:rFonts w:eastAsia="PMingLiU"/>
        </w:rPr>
        <w:t>’</w:t>
      </w:r>
      <w:r w:rsidRPr="00142C6B">
        <w:rPr>
          <w:rFonts w:eastAsia="PMingLiU"/>
        </w:rPr>
        <w:t xml:space="preserve"> or </w:t>
      </w:r>
      <w:r w:rsidRPr="00142C6B" w:rsidR="00142C6B">
        <w:rPr>
          <w:rFonts w:eastAsia="PMingLiU"/>
        </w:rPr>
        <w:t>‘</w:t>
      </w:r>
      <w:r w:rsidRPr="00142C6B">
        <w:rPr>
          <w:rFonts w:eastAsia="PMingLiU"/>
        </w:rPr>
        <w:t>same cause</w:t>
      </w:r>
      <w:r w:rsidRPr="00142C6B" w:rsidR="00142C6B">
        <w:rPr>
          <w:rFonts w:eastAsia="PMingLiU"/>
        </w:rPr>
        <w:t>’</w:t>
      </w:r>
      <w:r w:rsidRPr="00142C6B">
        <w:rPr>
          <w:rFonts w:eastAsia="PMingLiU"/>
        </w:rPr>
        <w:t xml:space="preserve"> (</w:t>
      </w:r>
      <w:r w:rsidRPr="00142C6B" w:rsidR="00142C6B">
        <w:rPr>
          <w:rFonts w:eastAsia="PMingLiU"/>
        </w:rPr>
        <w:t>‘</w:t>
      </w:r>
      <w:r w:rsidRPr="00142C6B">
        <w:rPr>
          <w:rFonts w:eastAsia="PMingLiU"/>
          <w:i/>
        </w:rPr>
        <w:t>mêmes faits</w:t>
      </w:r>
      <w:r w:rsidRPr="00142C6B" w:rsidR="00142C6B">
        <w:rPr>
          <w:rFonts w:eastAsia="PMingLiU"/>
        </w:rPr>
        <w:t>’</w:t>
      </w:r>
      <w:r w:rsidRPr="00142C6B">
        <w:rPr>
          <w:rFonts w:eastAsia="PMingLiU"/>
        </w:rPr>
        <w:t xml:space="preserve">) on the one hand and the term </w:t>
      </w:r>
      <w:r w:rsidRPr="00142C6B" w:rsidR="00142C6B">
        <w:rPr>
          <w:rFonts w:eastAsia="PMingLiU"/>
        </w:rPr>
        <w:t>‘</w:t>
      </w:r>
      <w:r w:rsidRPr="00142C6B">
        <w:rPr>
          <w:rFonts w:eastAsia="PMingLiU"/>
        </w:rPr>
        <w:t>[same] offence</w:t>
      </w:r>
      <w:r w:rsidRPr="00142C6B" w:rsidR="00142C6B">
        <w:rPr>
          <w:rFonts w:eastAsia="PMingLiU"/>
        </w:rPr>
        <w:t>’</w:t>
      </w:r>
      <w:r w:rsidRPr="00142C6B">
        <w:rPr>
          <w:rFonts w:eastAsia="PMingLiU"/>
        </w:rPr>
        <w:t xml:space="preserve"> (</w:t>
      </w:r>
      <w:r w:rsidRPr="00142C6B" w:rsidR="00142C6B">
        <w:rPr>
          <w:rFonts w:eastAsia="PMingLiU"/>
        </w:rPr>
        <w:t>‘</w:t>
      </w:r>
      <w:r w:rsidRPr="00142C6B">
        <w:rPr>
          <w:rFonts w:eastAsia="PMingLiU"/>
          <w:i/>
        </w:rPr>
        <w:t>[même] infraction</w:t>
      </w:r>
      <w:r w:rsidRPr="00142C6B" w:rsidR="00142C6B">
        <w:rPr>
          <w:rFonts w:eastAsia="PMingLiU"/>
        </w:rPr>
        <w:t>’</w:t>
      </w:r>
      <w:r w:rsidRPr="00142C6B">
        <w:rPr>
          <w:rFonts w:eastAsia="PMingLiU"/>
        </w:rPr>
        <w:t>)</w:t>
      </w:r>
      <w:r w:rsidRPr="00142C6B">
        <w:rPr>
          <w:rFonts w:eastAsia="PMingLiU"/>
          <w:i/>
        </w:rPr>
        <w:t xml:space="preserve"> </w:t>
      </w:r>
      <w:r w:rsidRPr="00142C6B">
        <w:rPr>
          <w:rFonts w:eastAsia="PMingLiU"/>
        </w:rPr>
        <w:t>on the other was held by the Court of Justice of the European Communities and the Inter-American Court of Human Rights to be an important element in favour of adopting the approach based strictly on the identity of the material acts and rejecting the legal classification of such acts as irrelevant. In so finding, both tribunals emphasised that such an approach would favour the perpetrator, who would know that, once he had been found guilty and served his sentence or had been acquitted, he need not fear further prosecution for the same act...</w:t>
      </w:r>
    </w:p>
    <w:p w:rsidRPr="00142C6B" w:rsidR="004B38CF" w:rsidP="00142C6B" w:rsidRDefault="004B38CF">
      <w:pPr>
        <w:pStyle w:val="ECHRParaQuote"/>
        <w:rPr>
          <w:rFonts w:eastAsia="PMingLiU"/>
        </w:rPr>
      </w:pPr>
      <w:r w:rsidRPr="00142C6B">
        <w:rPr>
          <w:rFonts w:eastAsia="PMingLiU"/>
        </w:rPr>
        <w:t xml:space="preserve">80.  The Court considers that the use of the word </w:t>
      </w:r>
      <w:r w:rsidRPr="00142C6B" w:rsidR="00142C6B">
        <w:rPr>
          <w:rFonts w:eastAsia="PMingLiU"/>
        </w:rPr>
        <w:t>‘</w:t>
      </w:r>
      <w:r w:rsidRPr="00142C6B">
        <w:rPr>
          <w:rFonts w:eastAsia="PMingLiU"/>
        </w:rPr>
        <w:t>offence</w:t>
      </w:r>
      <w:r w:rsidRPr="00142C6B" w:rsidR="00142C6B">
        <w:rPr>
          <w:rFonts w:eastAsia="PMingLiU"/>
        </w:rPr>
        <w:t>’</w:t>
      </w:r>
      <w:r w:rsidRPr="00142C6B">
        <w:rPr>
          <w:rFonts w:eastAsia="PMingLiU"/>
        </w:rPr>
        <w:t xml:space="preserve"> in the text of Article 4 of Protocol No. 7 cannot justify adhering to a more restrictive approach. It reiterates that the Convention must be interpreted and applied in a manner which renders its rights practical and effective, not theoretical and illusory. It is a living instrument which must be interpreted in the light of present-day conditions (see, among other authorities, </w:t>
      </w:r>
      <w:r w:rsidRPr="00142C6B">
        <w:rPr>
          <w:rFonts w:eastAsia="PMingLiU"/>
          <w:i/>
        </w:rPr>
        <w:t>Tyrer v. the United Kingdom</w:t>
      </w:r>
      <w:r w:rsidRPr="00142C6B">
        <w:rPr>
          <w:rFonts w:eastAsia="PMingLiU"/>
        </w:rPr>
        <w:t xml:space="preserve">, 25 April 1978, § 31, Series A no. 26, and </w:t>
      </w:r>
      <w:r w:rsidRPr="00142C6B">
        <w:rPr>
          <w:rFonts w:eastAsia="PMingLiU"/>
          <w:i/>
        </w:rPr>
        <w:t>Christine Goodwin v.</w:t>
      </w:r>
      <w:r w:rsidRPr="00142C6B">
        <w:rPr>
          <w:rFonts w:eastAsia="PMingLiU"/>
        </w:rPr>
        <w:t> </w:t>
      </w:r>
      <w:r w:rsidRPr="00142C6B">
        <w:rPr>
          <w:rFonts w:eastAsia="PMingLiU"/>
          <w:i/>
        </w:rPr>
        <w:t>the United Kingdom</w:t>
      </w:r>
      <w:r w:rsidRPr="00142C6B">
        <w:rPr>
          <w:rFonts w:eastAsia="PMingLiU"/>
        </w:rPr>
        <w:t xml:space="preserve"> [GC], no. 28957/95, § 75, ECHR 2002</w:t>
      </w:r>
      <w:r w:rsidRPr="00142C6B">
        <w:rPr>
          <w:rFonts w:eastAsia="PMingLiU"/>
        </w:rPr>
        <w:noBreakHyphen/>
        <w:t xml:space="preserve">VI). The provisions of an international treaty such as the Convention must be construed in the light of their object and purpose and also in accordance with the principle of effectiveness (see </w:t>
      </w:r>
      <w:r w:rsidRPr="00142C6B">
        <w:rPr>
          <w:rFonts w:eastAsia="PMingLiU"/>
          <w:i/>
        </w:rPr>
        <w:t xml:space="preserve">Mamatkulov and Askarov v. Turkey </w:t>
      </w:r>
      <w:r w:rsidRPr="00142C6B">
        <w:rPr>
          <w:rFonts w:eastAsia="PMingLiU"/>
        </w:rPr>
        <w:t>[GC], nos. 46827/99 and 46951/99, § 123, ECHR 2005</w:t>
      </w:r>
      <w:r w:rsidRPr="00142C6B">
        <w:rPr>
          <w:rFonts w:eastAsia="PMingLiU"/>
        </w:rPr>
        <w:noBreakHyphen/>
        <w:t>I).</w:t>
      </w:r>
    </w:p>
    <w:p w:rsidRPr="00142C6B" w:rsidR="004B38CF" w:rsidP="00142C6B" w:rsidRDefault="004B38CF">
      <w:pPr>
        <w:pStyle w:val="ECHRParaQuote"/>
        <w:rPr>
          <w:rFonts w:eastAsia="PMingLiU"/>
        </w:rPr>
      </w:pPr>
      <w:r w:rsidRPr="00142C6B">
        <w:rPr>
          <w:rFonts w:eastAsia="PMingLiU"/>
        </w:rPr>
        <w:t xml:space="preserve">81.  The Court further notes that the approach which emphasises the legal characterisation of the two offences is too restrictive on the rights of the individual, for if the Court limits itself to finding that the person was prosecuted for offences having a different legal classification it risks undermining the guarantee enshrined in Article 4 of Protocol No. 7 rather than rendering it practical and effective as required by the Convention (compare </w:t>
      </w:r>
      <w:r w:rsidRPr="00142C6B">
        <w:rPr>
          <w:rFonts w:eastAsia="PMingLiU"/>
          <w:i/>
        </w:rPr>
        <w:t>Franz Fischer</w:t>
      </w:r>
      <w:r w:rsidRPr="00142C6B">
        <w:rPr>
          <w:rFonts w:eastAsia="PMingLiU"/>
        </w:rPr>
        <w:t>, cited above, § 25).</w:t>
      </w:r>
    </w:p>
    <w:p w:rsidRPr="00142C6B" w:rsidR="004B38CF" w:rsidP="00142C6B" w:rsidRDefault="004B38CF">
      <w:pPr>
        <w:pStyle w:val="ECHRParaQuote"/>
        <w:rPr>
          <w:rFonts w:eastAsia="PMingLiU"/>
        </w:rPr>
      </w:pPr>
      <w:r w:rsidRPr="00142C6B">
        <w:rPr>
          <w:rFonts w:eastAsia="PMingLiU"/>
        </w:rPr>
        <w:t xml:space="preserve">82.  Accordingly, the Court takes the view that Article 4 of Protocol No. 7 must be understood as prohibiting the prosecution or trial of a second </w:t>
      </w:r>
      <w:r w:rsidRPr="00142C6B" w:rsidR="00142C6B">
        <w:rPr>
          <w:rFonts w:eastAsia="PMingLiU"/>
        </w:rPr>
        <w:t>‘</w:t>
      </w:r>
      <w:r w:rsidRPr="00142C6B">
        <w:rPr>
          <w:rFonts w:eastAsia="PMingLiU"/>
        </w:rPr>
        <w:t>offence</w:t>
      </w:r>
      <w:r w:rsidRPr="00142C6B" w:rsidR="00142C6B">
        <w:rPr>
          <w:rFonts w:eastAsia="PMingLiU"/>
        </w:rPr>
        <w:t>’</w:t>
      </w:r>
      <w:r w:rsidRPr="00142C6B">
        <w:rPr>
          <w:rFonts w:eastAsia="PMingLiU"/>
        </w:rPr>
        <w:t xml:space="preserve"> in so far as it arises from identical facts or facts which are substantially the same.</w:t>
      </w:r>
    </w:p>
    <w:p w:rsidRPr="00142C6B" w:rsidR="004B38CF" w:rsidP="00142C6B" w:rsidRDefault="004B38CF">
      <w:pPr>
        <w:pStyle w:val="ECHRParaQuote"/>
        <w:rPr>
          <w:rFonts w:eastAsia="PMingLiU"/>
        </w:rPr>
      </w:pPr>
      <w:r w:rsidRPr="00142C6B">
        <w:rPr>
          <w:rFonts w:eastAsia="PMingLiU"/>
        </w:rPr>
        <w:t xml:space="preserve">83.  The guarantee enshrined in Article 4 of Protocol No. 7 becomes relevant on commencement of a new prosecution, where a prior acquittal or conviction has already acquired the force of </w:t>
      </w:r>
      <w:r w:rsidRPr="00142C6B">
        <w:rPr>
          <w:rFonts w:eastAsia="PMingLiU"/>
          <w:i/>
        </w:rPr>
        <w:t>res judicata</w:t>
      </w:r>
      <w:r w:rsidRPr="00142C6B">
        <w:rPr>
          <w:rFonts w:eastAsia="PMingLiU"/>
        </w:rPr>
        <w:t xml:space="preserve">. At this juncture the available material will necessarily comprise the decision by which the first </w:t>
      </w:r>
      <w:r w:rsidRPr="00142C6B" w:rsidR="00142C6B">
        <w:rPr>
          <w:rFonts w:eastAsia="PMingLiU"/>
        </w:rPr>
        <w:t>‘</w:t>
      </w:r>
      <w:r w:rsidRPr="00142C6B">
        <w:rPr>
          <w:rFonts w:eastAsia="PMingLiU"/>
        </w:rPr>
        <w:t>penal procedure</w:t>
      </w:r>
      <w:r w:rsidRPr="00142C6B" w:rsidR="00142C6B">
        <w:rPr>
          <w:rFonts w:eastAsia="PMingLiU"/>
        </w:rPr>
        <w:t>’</w:t>
      </w:r>
      <w:r w:rsidRPr="00142C6B">
        <w:rPr>
          <w:rFonts w:eastAsia="PMingLiU"/>
        </w:rPr>
        <w:t xml:space="preserve"> was concluded and the list of charges levelled against the applicant in the new proceedings. Normally these documents would contain a statement of facts concerning both the offence for which the applicant has already been tried and the offence of which he or she stands accused. In the Court</w:t>
      </w:r>
      <w:r w:rsidRPr="00142C6B" w:rsidR="00142C6B">
        <w:rPr>
          <w:rFonts w:eastAsia="PMingLiU"/>
        </w:rPr>
        <w:t>’</w:t>
      </w:r>
      <w:r w:rsidRPr="00142C6B">
        <w:rPr>
          <w:rFonts w:eastAsia="PMingLiU"/>
        </w:rPr>
        <w:t>s view, such statements of fact are an appropriate starting point for its determination of the issue whether the facts in both proceedings were identical or substantially the same. The Court emphasises that it is irrelevant which parts of the new charges are eventually upheld or dismissed in the subsequent proceedings, because Article 4 of Protocol No. 7 contains a safeguard against being tried or being liable to be tried again in new proceedings rather than a prohibition on a second conviction or acquittal...</w:t>
      </w:r>
    </w:p>
    <w:p w:rsidRPr="00142C6B" w:rsidR="004B38CF" w:rsidP="00142C6B" w:rsidRDefault="004B38CF">
      <w:pPr>
        <w:pStyle w:val="ECHRParaQuote"/>
        <w:rPr>
          <w:rFonts w:eastAsia="PMingLiU"/>
        </w:rPr>
      </w:pPr>
      <w:r w:rsidRPr="00142C6B">
        <w:rPr>
          <w:rFonts w:eastAsia="PMingLiU"/>
        </w:rPr>
        <w:t>84.</w:t>
      </w:r>
      <w:r w:rsidRPr="00142C6B" w:rsidR="00224390">
        <w:rPr>
          <w:rFonts w:eastAsia="PMingLiU"/>
        </w:rPr>
        <w:t xml:space="preserve">  The </w:t>
      </w:r>
      <w:r w:rsidRPr="00142C6B">
        <w:rPr>
          <w:rFonts w:eastAsia="PMingLiU"/>
          <w:szCs w:val="24"/>
        </w:rPr>
        <w:t>Court</w:t>
      </w:r>
      <w:r w:rsidRPr="00142C6B" w:rsidR="00142C6B">
        <w:rPr>
          <w:rFonts w:eastAsia="PMingLiU"/>
          <w:szCs w:val="24"/>
        </w:rPr>
        <w:t>’</w:t>
      </w:r>
      <w:r w:rsidRPr="00142C6B">
        <w:rPr>
          <w:rFonts w:eastAsia="PMingLiU"/>
          <w:szCs w:val="24"/>
        </w:rPr>
        <w:t xml:space="preserve">s inquiry </w:t>
      </w:r>
      <w:r w:rsidRPr="00142C6B">
        <w:rPr>
          <w:rFonts w:eastAsia="PMingLiU"/>
        </w:rPr>
        <w:t xml:space="preserve">should therefore focus on those facts which constitute a set of concrete </w:t>
      </w:r>
      <w:r w:rsidRPr="00142C6B">
        <w:rPr>
          <w:rFonts w:eastAsia="PMingLiU"/>
          <w:szCs w:val="24"/>
        </w:rPr>
        <w:t xml:space="preserve">factual circumstances involving the same defendant and </w:t>
      </w:r>
      <w:r w:rsidRPr="00142C6B">
        <w:rPr>
          <w:rFonts w:eastAsia="PMingLiU"/>
        </w:rPr>
        <w:t xml:space="preserve">inextricably linked together in time and space, the existence of which </w:t>
      </w:r>
      <w:r w:rsidRPr="00142C6B">
        <w:rPr>
          <w:rFonts w:eastAsia="PMingLiU"/>
          <w:szCs w:val="24"/>
        </w:rPr>
        <w:t xml:space="preserve">must be demonstrated in order to secure a conviction or institute criminal proceedings </w:t>
      </w:r>
      <w:r w:rsidRPr="00142C6B">
        <w:rPr>
          <w:rFonts w:eastAsia="PMingLiU"/>
        </w:rPr>
        <w:t>...”</w:t>
      </w:r>
    </w:p>
    <w:bookmarkStart w:name="0100001B" w:id="5"/>
    <w:bookmarkEnd w:id="5"/>
    <w:p w:rsidRPr="00142C6B" w:rsidR="00DD1FA2" w:rsidP="00142C6B" w:rsidRDefault="00DD1FA2">
      <w:pPr>
        <w:pStyle w:val="ECHRPara"/>
        <w:rPr>
          <w:lang w:val="en-GB" w:eastAsia="en-GB"/>
        </w:rPr>
      </w:pPr>
      <w:r w:rsidRPr="00142C6B">
        <w:rPr>
          <w:lang w:val="en-GB" w:eastAsia="en-GB"/>
        </w:rPr>
        <w:fldChar w:fldCharType="begin"/>
      </w:r>
      <w:r w:rsidRPr="00142C6B">
        <w:rPr>
          <w:lang w:val="en-GB" w:eastAsia="en-GB"/>
        </w:rPr>
        <w:instrText xml:space="preserve"> SEQ level0 \*arabic </w:instrText>
      </w:r>
      <w:r w:rsidRPr="00142C6B">
        <w:rPr>
          <w:lang w:val="en-GB" w:eastAsia="en-GB"/>
        </w:rPr>
        <w:fldChar w:fldCharType="separate"/>
      </w:r>
      <w:r w:rsidRPr="00142C6B" w:rsidR="00142C6B">
        <w:rPr>
          <w:noProof/>
          <w:lang w:val="en-GB" w:eastAsia="en-GB"/>
        </w:rPr>
        <w:t>39</w:t>
      </w:r>
      <w:r w:rsidRPr="00142C6B">
        <w:rPr>
          <w:lang w:val="en-GB" w:eastAsia="en-GB"/>
        </w:rPr>
        <w:fldChar w:fldCharType="end"/>
      </w:r>
      <w:r w:rsidRPr="00142C6B">
        <w:rPr>
          <w:lang w:val="en-GB" w:eastAsia="en-GB"/>
        </w:rPr>
        <w:t>.  </w:t>
      </w:r>
      <w:r w:rsidRPr="00142C6B" w:rsidR="00FF78E9">
        <w:rPr>
          <w:lang w:eastAsia="en-GB"/>
        </w:rPr>
        <w:t>Turning to the facts of the present case</w:t>
      </w:r>
      <w:r w:rsidRPr="00142C6B">
        <w:rPr>
          <w:lang w:val="en-GB" w:eastAsia="en-GB"/>
        </w:rPr>
        <w:t xml:space="preserve">, </w:t>
      </w:r>
      <w:r w:rsidRPr="00142C6B" w:rsidR="00B24B15">
        <w:rPr>
          <w:lang w:val="en-GB" w:eastAsia="en-GB"/>
        </w:rPr>
        <w:t xml:space="preserve">the Court observes that </w:t>
      </w:r>
      <w:r w:rsidRPr="00142C6B" w:rsidR="00DC411B">
        <w:rPr>
          <w:lang w:eastAsia="en-GB"/>
        </w:rPr>
        <w:t xml:space="preserve">the </w:t>
      </w:r>
      <w:r w:rsidRPr="00142C6B" w:rsidR="00FF78E9">
        <w:rPr>
          <w:lang w:eastAsia="en-GB"/>
        </w:rPr>
        <w:t xml:space="preserve">applicant </w:t>
      </w:r>
      <w:r w:rsidRPr="00142C6B" w:rsidR="00FF78E9">
        <w:rPr>
          <w:lang w:val="en-GB" w:eastAsia="en-GB"/>
        </w:rPr>
        <w:t>was accused of the following</w:t>
      </w:r>
      <w:r w:rsidRPr="00142C6B">
        <w:rPr>
          <w:lang w:val="en-GB" w:eastAsia="en-GB"/>
        </w:rPr>
        <w:t>:</w:t>
      </w:r>
    </w:p>
    <w:p w:rsidRPr="00142C6B" w:rsidR="00DD1FA2" w:rsidP="00142C6B" w:rsidRDefault="00D33B0F">
      <w:pPr>
        <w:pStyle w:val="ECHRPara"/>
        <w:rPr>
          <w:lang w:val="en-GB" w:eastAsia="en-GB"/>
        </w:rPr>
      </w:pPr>
      <w:r w:rsidRPr="00142C6B">
        <w:rPr>
          <w:lang w:val="en-GB" w:eastAsia="en-GB"/>
        </w:rPr>
        <w:t>(i)  </w:t>
      </w:r>
      <w:r w:rsidRPr="00142C6B" w:rsidR="00DD1FA2">
        <w:rPr>
          <w:lang w:val="en-GB" w:eastAsia="en-GB"/>
        </w:rPr>
        <w:t xml:space="preserve">in the </w:t>
      </w:r>
      <w:r w:rsidRPr="00142C6B" w:rsidR="00345E38">
        <w:rPr>
          <w:lang w:eastAsia="en-GB"/>
        </w:rPr>
        <w:t>misdeme</w:t>
      </w:r>
      <w:r w:rsidRPr="00142C6B" w:rsidR="006A069C">
        <w:rPr>
          <w:lang w:eastAsia="en-GB"/>
        </w:rPr>
        <w:t>a</w:t>
      </w:r>
      <w:r w:rsidRPr="00142C6B" w:rsidR="00345E38">
        <w:rPr>
          <w:lang w:eastAsia="en-GB"/>
        </w:rPr>
        <w:t xml:space="preserve">nour </w:t>
      </w:r>
      <w:r w:rsidRPr="00142C6B" w:rsidR="00DD1FA2">
        <w:rPr>
          <w:lang w:val="en-GB" w:eastAsia="en-GB"/>
        </w:rPr>
        <w:t xml:space="preserve">proceedings, for </w:t>
      </w:r>
      <w:r w:rsidRPr="00142C6B" w:rsidR="006A069C">
        <w:rPr>
          <w:lang w:val="en-GB" w:eastAsia="en-GB"/>
        </w:rPr>
        <w:t>punching</w:t>
      </w:r>
      <w:r w:rsidRPr="00142C6B" w:rsidR="00DD1FA2">
        <w:rPr>
          <w:lang w:val="en-GB" w:eastAsia="en-GB"/>
        </w:rPr>
        <w:t xml:space="preserve"> R.C. several times on the head and injuring him; </w:t>
      </w:r>
      <w:r w:rsidRPr="00142C6B" w:rsidR="00131CCD">
        <w:rPr>
          <w:lang w:val="en-GB" w:eastAsia="en-GB"/>
        </w:rPr>
        <w:t>and</w:t>
      </w:r>
    </w:p>
    <w:p w:rsidRPr="00142C6B" w:rsidR="00D33B0F" w:rsidP="00142C6B" w:rsidRDefault="00D33B0F">
      <w:pPr>
        <w:pStyle w:val="ECHRPara"/>
        <w:rPr>
          <w:lang w:val="en-GB" w:eastAsia="en-GB"/>
        </w:rPr>
      </w:pPr>
      <w:r w:rsidRPr="00142C6B">
        <w:rPr>
          <w:lang w:val="en-GB" w:eastAsia="en-GB"/>
        </w:rPr>
        <w:t>(ii)  </w:t>
      </w:r>
      <w:r w:rsidRPr="00142C6B" w:rsidR="00DD1FA2">
        <w:rPr>
          <w:lang w:val="en-GB" w:eastAsia="en-GB"/>
        </w:rPr>
        <w:t xml:space="preserve">in the criminal proceedings, for </w:t>
      </w:r>
      <w:r w:rsidRPr="00142C6B" w:rsidR="006A069C">
        <w:rPr>
          <w:lang w:val="en-GB" w:eastAsia="en-GB"/>
        </w:rPr>
        <w:t xml:space="preserve">punching </w:t>
      </w:r>
      <w:r w:rsidRPr="00142C6B" w:rsidR="00DD1FA2">
        <w:rPr>
          <w:lang w:val="en-GB" w:eastAsia="en-GB"/>
        </w:rPr>
        <w:t xml:space="preserve">R.C. </w:t>
      </w:r>
      <w:r w:rsidRPr="00142C6B" w:rsidR="006A069C">
        <w:rPr>
          <w:lang w:val="en-GB" w:eastAsia="en-GB"/>
        </w:rPr>
        <w:t>o</w:t>
      </w:r>
      <w:r w:rsidRPr="00142C6B" w:rsidR="00DD1FA2">
        <w:rPr>
          <w:lang w:val="en-GB" w:eastAsia="en-GB"/>
        </w:rPr>
        <w:t xml:space="preserve">n the head and thereby causing him grievous </w:t>
      </w:r>
      <w:r w:rsidRPr="00142C6B" w:rsidR="00B16B63">
        <w:rPr>
          <w:lang w:val="en-GB" w:eastAsia="en-GB"/>
        </w:rPr>
        <w:t>bodily harm</w:t>
      </w:r>
      <w:r w:rsidRPr="00142C6B" w:rsidR="003E429D">
        <w:rPr>
          <w:lang w:val="en-GB" w:eastAsia="en-GB"/>
        </w:rPr>
        <w:t>.</w:t>
      </w:r>
    </w:p>
    <w:p w:rsidRPr="00142C6B" w:rsidR="00DD1FA2" w:rsidP="00142C6B" w:rsidRDefault="00DD1FA2">
      <w:pPr>
        <w:pStyle w:val="ECHRPara"/>
        <w:rPr>
          <w:rFonts w:ascii="Times New Roman" w:hAnsi="Times New Roman" w:eastAsia="PMingLiU" w:cs="Times New Roman"/>
        </w:rPr>
      </w:pPr>
      <w:r w:rsidRPr="00142C6B">
        <w:rPr>
          <w:lang w:val="en-GB" w:eastAsia="en-GB"/>
        </w:rPr>
        <w:fldChar w:fldCharType="begin"/>
      </w:r>
      <w:r w:rsidRPr="00142C6B">
        <w:rPr>
          <w:lang w:val="en-GB" w:eastAsia="en-GB"/>
        </w:rPr>
        <w:instrText xml:space="preserve"> SEQ level0 \*arabic </w:instrText>
      </w:r>
      <w:r w:rsidRPr="00142C6B">
        <w:rPr>
          <w:lang w:val="en-GB" w:eastAsia="en-GB"/>
        </w:rPr>
        <w:fldChar w:fldCharType="separate"/>
      </w:r>
      <w:r w:rsidRPr="00142C6B" w:rsidR="00142C6B">
        <w:rPr>
          <w:noProof/>
          <w:lang w:val="en-GB" w:eastAsia="en-GB"/>
        </w:rPr>
        <w:t>40</w:t>
      </w:r>
      <w:r w:rsidRPr="00142C6B">
        <w:rPr>
          <w:lang w:val="en-GB" w:eastAsia="en-GB"/>
        </w:rPr>
        <w:fldChar w:fldCharType="end"/>
      </w:r>
      <w:r w:rsidRPr="00142C6B">
        <w:rPr>
          <w:lang w:val="en-GB" w:eastAsia="en-GB"/>
        </w:rPr>
        <w:t>.  </w:t>
      </w:r>
      <w:r w:rsidRPr="00142C6B" w:rsidR="00326AD5">
        <w:rPr>
          <w:rFonts w:ascii="Times New Roman" w:hAnsi="Times New Roman" w:eastAsia="PMingLiU" w:cs="Times New Roman"/>
        </w:rPr>
        <w:t xml:space="preserve">The events described in the decisions adopted in both sets of proceedings took place </w:t>
      </w:r>
      <w:r w:rsidRPr="00142C6B" w:rsidR="00326AD5">
        <w:rPr>
          <w:rFonts w:ascii="Times New Roman" w:hAnsi="Times New Roman" w:eastAsia="PMingLiU" w:cs="Times New Roman"/>
          <w:lang w:val="en-GB"/>
        </w:rPr>
        <w:t xml:space="preserve">during a fight in Subotička </w:t>
      </w:r>
      <w:r w:rsidRPr="00142C6B" w:rsidR="00CD4E8C">
        <w:rPr>
          <w:rFonts w:ascii="Times New Roman" w:hAnsi="Times New Roman" w:eastAsia="PMingLiU" w:cs="Times New Roman"/>
          <w:lang w:val="en-GB"/>
        </w:rPr>
        <w:t>S</w:t>
      </w:r>
      <w:r w:rsidRPr="00142C6B" w:rsidR="00326AD5">
        <w:rPr>
          <w:rFonts w:ascii="Times New Roman" w:hAnsi="Times New Roman" w:eastAsia="PMingLiU" w:cs="Times New Roman"/>
          <w:lang w:val="en-GB"/>
        </w:rPr>
        <w:t>treet in</w:t>
      </w:r>
      <w:r w:rsidRPr="00142C6B" w:rsidR="00326AD5">
        <w:rPr>
          <w:rFonts w:ascii="Times New Roman" w:hAnsi="Times New Roman" w:eastAsia="Times New Roman" w:cs="Times New Roman"/>
          <w:sz w:val="20"/>
          <w:lang w:eastAsia="fr-FR"/>
        </w:rPr>
        <w:t xml:space="preserve"> </w:t>
      </w:r>
      <w:r w:rsidRPr="00142C6B" w:rsidR="00326AD5">
        <w:rPr>
          <w:rFonts w:ascii="Times New Roman" w:hAnsi="Times New Roman" w:eastAsia="PMingLiU" w:cs="Times New Roman"/>
          <w:lang w:val="en-GB"/>
        </w:rPr>
        <w:t>Leskovac on 12</w:t>
      </w:r>
      <w:r w:rsidRPr="00142C6B" w:rsidR="003E429D">
        <w:rPr>
          <w:rFonts w:ascii="Times New Roman" w:hAnsi="Times New Roman" w:eastAsia="PMingLiU" w:cs="Times New Roman"/>
        </w:rPr>
        <w:t> </w:t>
      </w:r>
      <w:r w:rsidRPr="00142C6B" w:rsidR="00326AD5">
        <w:rPr>
          <w:rFonts w:ascii="Times New Roman" w:hAnsi="Times New Roman" w:eastAsia="PMingLiU" w:cs="Times New Roman"/>
          <w:lang w:val="en-GB"/>
        </w:rPr>
        <w:t xml:space="preserve">October 2006. </w:t>
      </w:r>
      <w:r w:rsidRPr="00142C6B" w:rsidR="00326AD5">
        <w:rPr>
          <w:lang w:val="en-GB" w:eastAsia="en-GB"/>
        </w:rPr>
        <w:t>Hence</w:t>
      </w:r>
      <w:r w:rsidRPr="00142C6B">
        <w:rPr>
          <w:lang w:val="en-GB" w:eastAsia="en-GB"/>
        </w:rPr>
        <w:t xml:space="preserve">, in so far as both sets of proceedings concerned the above charges, the applicant was prosecuted and sentenced twice </w:t>
      </w:r>
      <w:r w:rsidRPr="00142C6B" w:rsidR="00326AD5">
        <w:rPr>
          <w:lang w:val="en-GB" w:eastAsia="en-GB"/>
        </w:rPr>
        <w:t>on the same counts</w:t>
      </w:r>
      <w:r w:rsidRPr="00142C6B">
        <w:rPr>
          <w:lang w:val="en-GB" w:eastAsia="en-GB"/>
        </w:rPr>
        <w:t xml:space="preserve"> </w:t>
      </w:r>
      <w:r w:rsidRPr="00142C6B" w:rsidR="00B97836">
        <w:rPr>
          <w:rFonts w:ascii="Times New Roman" w:hAnsi="Times New Roman" w:eastAsia="PMingLiU" w:cs="Times New Roman"/>
        </w:rPr>
        <w:t>involving</w:t>
      </w:r>
      <w:r w:rsidRPr="00142C6B">
        <w:rPr>
          <w:rFonts w:ascii="Times New Roman" w:hAnsi="Times New Roman" w:eastAsia="PMingLiU" w:cs="Times New Roman"/>
        </w:rPr>
        <w:t xml:space="preserve"> the same </w:t>
      </w:r>
      <w:r w:rsidRPr="00142C6B" w:rsidR="00326AD5">
        <w:rPr>
          <w:rFonts w:ascii="Times New Roman" w:hAnsi="Times New Roman" w:eastAsia="PMingLiU" w:cs="Times New Roman"/>
        </w:rPr>
        <w:t xml:space="preserve">defendant and </w:t>
      </w:r>
      <w:r w:rsidRPr="00142C6B" w:rsidR="00B97836">
        <w:rPr>
          <w:rFonts w:ascii="Times New Roman" w:hAnsi="Times New Roman" w:eastAsia="PMingLiU" w:cs="Times New Roman"/>
        </w:rPr>
        <w:t xml:space="preserve">inextricably linked together </w:t>
      </w:r>
      <w:r w:rsidRPr="00142C6B" w:rsidR="00326AD5">
        <w:rPr>
          <w:rFonts w:ascii="Times New Roman" w:hAnsi="Times New Roman" w:eastAsia="PMingLiU" w:cs="Times New Roman"/>
        </w:rPr>
        <w:t xml:space="preserve">within the same </w:t>
      </w:r>
      <w:r w:rsidRPr="00142C6B" w:rsidR="00B97836">
        <w:rPr>
          <w:rFonts w:ascii="Times New Roman" w:hAnsi="Times New Roman" w:eastAsia="PMingLiU" w:cs="Times New Roman"/>
        </w:rPr>
        <w:t xml:space="preserve">space and </w:t>
      </w:r>
      <w:r w:rsidRPr="00142C6B" w:rsidR="00326AD5">
        <w:rPr>
          <w:rFonts w:ascii="Times New Roman" w:hAnsi="Times New Roman" w:eastAsia="PMingLiU" w:cs="Times New Roman"/>
        </w:rPr>
        <w:t>time frame, regardless</w:t>
      </w:r>
      <w:r w:rsidRPr="00142C6B" w:rsidR="00326AD5">
        <w:t xml:space="preserve"> of the fact that the decision of the </w:t>
      </w:r>
      <w:r w:rsidRPr="00142C6B" w:rsidR="00345E38">
        <w:t xml:space="preserve">Misdemeanour </w:t>
      </w:r>
      <w:r w:rsidRPr="00142C6B" w:rsidR="00326AD5">
        <w:t>Court stated that the event took place at about 5.30 p.m, while the criminal cour</w:t>
      </w:r>
      <w:r w:rsidRPr="00142C6B" w:rsidR="00720EF4">
        <w:t>t stated it occurred at about</w:t>
      </w:r>
      <w:r w:rsidRPr="00142C6B" w:rsidR="00720EF4">
        <w:br/>
        <w:t>4-</w:t>
      </w:r>
      <w:r w:rsidRPr="00142C6B" w:rsidR="00326AD5">
        <w:t>4.30</w:t>
      </w:r>
      <w:r w:rsidRPr="00142C6B" w:rsidR="00A12EEC">
        <w:t> </w:t>
      </w:r>
      <w:r w:rsidRPr="00142C6B" w:rsidR="00326AD5">
        <w:t>p.m.</w:t>
      </w:r>
    </w:p>
    <w:p w:rsidRPr="00142C6B" w:rsidR="00DD1FA2" w:rsidP="00142C6B" w:rsidRDefault="00DD1FA2">
      <w:pPr>
        <w:pStyle w:val="ECHRPara"/>
        <w:rPr>
          <w:rFonts w:ascii="Times New Roman" w:hAnsi="Times New Roman" w:eastAsia="PMingLiU" w:cs="Times New Roman"/>
          <w:lang w:val="en-GB"/>
        </w:rPr>
      </w:pPr>
      <w:r w:rsidRPr="00142C6B">
        <w:rPr>
          <w:rFonts w:ascii="Times New Roman" w:hAnsi="Times New Roman" w:eastAsia="PMingLiU" w:cs="Times New Roman"/>
        </w:rPr>
        <w:fldChar w:fldCharType="begin"/>
      </w:r>
      <w:r w:rsidRPr="00142C6B">
        <w:rPr>
          <w:rFonts w:ascii="Times New Roman" w:hAnsi="Times New Roman" w:eastAsia="PMingLiU" w:cs="Times New Roman"/>
        </w:rPr>
        <w:instrText xml:space="preserve"> SEQ level0 \*arabic </w:instrText>
      </w:r>
      <w:r w:rsidRPr="00142C6B">
        <w:rPr>
          <w:rFonts w:ascii="Times New Roman" w:hAnsi="Times New Roman" w:eastAsia="PMingLiU" w:cs="Times New Roman"/>
        </w:rPr>
        <w:fldChar w:fldCharType="separate"/>
      </w:r>
      <w:r w:rsidRPr="00142C6B" w:rsidR="00142C6B">
        <w:rPr>
          <w:rFonts w:ascii="Times New Roman" w:hAnsi="Times New Roman" w:eastAsia="PMingLiU" w:cs="Times New Roman"/>
          <w:noProof/>
        </w:rPr>
        <w:t>41</w:t>
      </w:r>
      <w:r w:rsidRPr="00142C6B">
        <w:rPr>
          <w:rFonts w:ascii="Times New Roman" w:hAnsi="Times New Roman" w:eastAsia="PMingLiU" w:cs="Times New Roman"/>
        </w:rPr>
        <w:fldChar w:fldCharType="end"/>
      </w:r>
      <w:r w:rsidRPr="00142C6B">
        <w:rPr>
          <w:rFonts w:ascii="Times New Roman" w:hAnsi="Times New Roman" w:eastAsia="PMingLiU" w:cs="Times New Roman"/>
        </w:rPr>
        <w:t>.  As regard</w:t>
      </w:r>
      <w:r w:rsidRPr="00142C6B" w:rsidR="006A069C">
        <w:rPr>
          <w:rFonts w:ascii="Times New Roman" w:hAnsi="Times New Roman" w:eastAsia="PMingLiU" w:cs="Times New Roman"/>
        </w:rPr>
        <w:t>s</w:t>
      </w:r>
      <w:r w:rsidRPr="00142C6B">
        <w:rPr>
          <w:rFonts w:ascii="Times New Roman" w:hAnsi="Times New Roman" w:eastAsia="PMingLiU" w:cs="Times New Roman"/>
        </w:rPr>
        <w:t xml:space="preserve"> the Government</w:t>
      </w:r>
      <w:r w:rsidRPr="00142C6B" w:rsidR="00142C6B">
        <w:rPr>
          <w:rFonts w:ascii="Times New Roman" w:hAnsi="Times New Roman" w:eastAsia="PMingLiU" w:cs="Times New Roman"/>
        </w:rPr>
        <w:t>’</w:t>
      </w:r>
      <w:r w:rsidRPr="00142C6B">
        <w:rPr>
          <w:rFonts w:ascii="Times New Roman" w:hAnsi="Times New Roman" w:eastAsia="PMingLiU" w:cs="Times New Roman"/>
        </w:rPr>
        <w:t xml:space="preserve">s pleading that the definition of </w:t>
      </w:r>
      <w:r w:rsidRPr="00142C6B" w:rsidR="006A069C">
        <w:rPr>
          <w:rFonts w:ascii="Times New Roman" w:hAnsi="Times New Roman" w:eastAsia="PMingLiU" w:cs="Times New Roman"/>
        </w:rPr>
        <w:t>a</w:t>
      </w:r>
      <w:r w:rsidRPr="00142C6B">
        <w:rPr>
          <w:rFonts w:ascii="Times New Roman" w:hAnsi="Times New Roman" w:eastAsia="PMingLiU" w:cs="Times New Roman"/>
        </w:rPr>
        <w:t xml:space="preserve"> </w:t>
      </w:r>
      <w:r w:rsidRPr="00142C6B" w:rsidR="00345E38">
        <w:rPr>
          <w:rFonts w:ascii="Times New Roman" w:hAnsi="Times New Roman" w:eastAsia="PMingLiU" w:cs="Times New Roman"/>
        </w:rPr>
        <w:t>misdemeanour</w:t>
      </w:r>
      <w:r w:rsidRPr="00142C6B">
        <w:rPr>
          <w:rFonts w:ascii="Times New Roman" w:hAnsi="Times New Roman" w:eastAsia="PMingLiU" w:cs="Times New Roman"/>
        </w:rPr>
        <w:t xml:space="preserve"> under </w:t>
      </w:r>
      <w:r w:rsidRPr="00142C6B" w:rsidR="00345E38">
        <w:rPr>
          <w:rFonts w:ascii="Times New Roman" w:hAnsi="Times New Roman" w:eastAsia="PMingLiU" w:cs="Times New Roman"/>
        </w:rPr>
        <w:t xml:space="preserve">Article 6(3) of the Public Order Act 1992 </w:t>
      </w:r>
      <w:r w:rsidRPr="00142C6B">
        <w:rPr>
          <w:rFonts w:ascii="Times New Roman" w:hAnsi="Times New Roman" w:eastAsia="PMingLiU" w:cs="Times New Roman"/>
        </w:rPr>
        <w:t>does not, as such, include inflicting bodily harm</w:t>
      </w:r>
      <w:r w:rsidRPr="00142C6B" w:rsidR="006A069C">
        <w:rPr>
          <w:rFonts w:ascii="Times New Roman" w:hAnsi="Times New Roman" w:eastAsia="PMingLiU" w:cs="Times New Roman"/>
        </w:rPr>
        <w:t>,</w:t>
      </w:r>
      <w:r w:rsidRPr="00142C6B">
        <w:rPr>
          <w:rFonts w:ascii="Times New Roman" w:hAnsi="Times New Roman" w:eastAsia="PMingLiU" w:cs="Times New Roman"/>
        </w:rPr>
        <w:t xml:space="preserve"> whereas this element is crucial for the criminal offence of inflicting grievous bodily harm under Article </w:t>
      </w:r>
      <w:r w:rsidRPr="00142C6B" w:rsidR="00345E38">
        <w:rPr>
          <w:rFonts w:ascii="Times New Roman" w:hAnsi="Times New Roman" w:eastAsia="PMingLiU" w:cs="Times New Roman"/>
        </w:rPr>
        <w:t>121 § 2</w:t>
      </w:r>
      <w:r w:rsidRPr="00142C6B" w:rsidR="00D33B0F">
        <w:rPr>
          <w:rFonts w:ascii="Times New Roman" w:hAnsi="Times New Roman" w:eastAsia="PMingLiU" w:cs="Times New Roman"/>
        </w:rPr>
        <w:t xml:space="preserve"> </w:t>
      </w:r>
      <w:r w:rsidRPr="00142C6B">
        <w:rPr>
          <w:rFonts w:ascii="Times New Roman" w:hAnsi="Times New Roman" w:eastAsia="PMingLiU" w:cs="Times New Roman"/>
        </w:rPr>
        <w:t>of the Criminal Code</w:t>
      </w:r>
      <w:r w:rsidRPr="00142C6B" w:rsidR="00345E38">
        <w:rPr>
          <w:rFonts w:ascii="Times New Roman" w:hAnsi="Times New Roman" w:eastAsia="PMingLiU" w:cs="Times New Roman"/>
        </w:rPr>
        <w:t xml:space="preserve"> 2005</w:t>
      </w:r>
      <w:r w:rsidRPr="00142C6B">
        <w:rPr>
          <w:rFonts w:ascii="Times New Roman" w:hAnsi="Times New Roman" w:eastAsia="PMingLiU" w:cs="Times New Roman"/>
        </w:rPr>
        <w:t xml:space="preserve">, the Court notes that the </w:t>
      </w:r>
      <w:r w:rsidRPr="00142C6B" w:rsidR="00345E38">
        <w:rPr>
          <w:rFonts w:ascii="Times New Roman" w:hAnsi="Times New Roman" w:eastAsia="PMingLiU" w:cs="Times New Roman"/>
        </w:rPr>
        <w:t xml:space="preserve">Misdemeanour </w:t>
      </w:r>
      <w:r w:rsidRPr="00142C6B">
        <w:rPr>
          <w:rFonts w:ascii="Times New Roman" w:hAnsi="Times New Roman" w:eastAsia="PMingLiU" w:cs="Times New Roman"/>
        </w:rPr>
        <w:t xml:space="preserve">Court expressly stated that the applicant was guilty of, </w:t>
      </w:r>
      <w:r w:rsidRPr="00142C6B">
        <w:rPr>
          <w:rFonts w:ascii="Times New Roman" w:hAnsi="Times New Roman" w:eastAsia="PMingLiU" w:cs="Times New Roman"/>
          <w:i/>
        </w:rPr>
        <w:t>inter alia</w:t>
      </w:r>
      <w:r w:rsidRPr="00142C6B">
        <w:rPr>
          <w:rFonts w:ascii="Times New Roman" w:hAnsi="Times New Roman" w:eastAsia="PMingLiU" w:cs="Times New Roman"/>
        </w:rPr>
        <w:t xml:space="preserve">, striking and </w:t>
      </w:r>
      <w:r w:rsidRPr="00142C6B">
        <w:rPr>
          <w:rFonts w:ascii="Times New Roman" w:hAnsi="Times New Roman" w:eastAsia="PMingLiU" w:cs="Times New Roman"/>
          <w:lang w:val="en-GB"/>
        </w:rPr>
        <w:t xml:space="preserve">injuring R.C. </w:t>
      </w:r>
      <w:r w:rsidRPr="00142C6B" w:rsidR="00326AD5">
        <w:rPr>
          <w:rFonts w:ascii="Times New Roman" w:hAnsi="Times New Roman" w:eastAsia="PMingLiU" w:cs="Times New Roman"/>
          <w:lang w:val="en-GB"/>
        </w:rPr>
        <w:t>Regardless of the legal characterisation of the offence, t</w:t>
      </w:r>
      <w:r w:rsidRPr="00142C6B">
        <w:rPr>
          <w:rFonts w:ascii="Times New Roman" w:hAnsi="Times New Roman" w:eastAsia="PMingLiU" w:cs="Times New Roman"/>
        </w:rPr>
        <w:t xml:space="preserve">he physical attack, which caused injuries to R.C., thus constituted an element of the </w:t>
      </w:r>
      <w:r w:rsidRPr="00142C6B" w:rsidR="00345E38">
        <w:rPr>
          <w:rFonts w:ascii="Times New Roman" w:hAnsi="Times New Roman" w:eastAsia="PMingLiU" w:cs="Times New Roman"/>
        </w:rPr>
        <w:t xml:space="preserve">misdemeanour </w:t>
      </w:r>
      <w:r w:rsidRPr="00142C6B">
        <w:rPr>
          <w:rFonts w:ascii="Times New Roman" w:hAnsi="Times New Roman" w:eastAsia="PMingLiU" w:cs="Times New Roman"/>
        </w:rPr>
        <w:t>of which</w:t>
      </w:r>
      <w:r w:rsidRPr="00142C6B" w:rsidR="00326AD5">
        <w:rPr>
          <w:rFonts w:ascii="Times New Roman" w:hAnsi="Times New Roman" w:eastAsia="PMingLiU" w:cs="Times New Roman"/>
        </w:rPr>
        <w:t xml:space="preserve"> the applicant was found guilty in the domestic proceedings</w:t>
      </w:r>
      <w:r w:rsidRPr="00142C6B">
        <w:t xml:space="preserve"> (in this connection, see </w:t>
      </w:r>
      <w:r w:rsidRPr="00142C6B">
        <w:rPr>
          <w:i/>
        </w:rPr>
        <w:t>Maresti</w:t>
      </w:r>
      <w:r w:rsidRPr="00142C6B">
        <w:t xml:space="preserve">, cited above, </w:t>
      </w:r>
      <w:r w:rsidRPr="00142C6B">
        <w:rPr>
          <w:rFonts w:cstheme="minorHAnsi"/>
        </w:rPr>
        <w:t>§</w:t>
      </w:r>
      <w:r w:rsidRPr="00142C6B">
        <w:t xml:space="preserve"> 63).</w:t>
      </w:r>
      <w:r w:rsidRPr="00142C6B">
        <w:rPr>
          <w:rFonts w:ascii="Times New Roman" w:hAnsi="Times New Roman" w:eastAsia="PMingLiU" w:cs="Times New Roman"/>
        </w:rPr>
        <w:t xml:space="preserve"> In the criminal proceedings the applicant was again tried and found guilty of causing grievous bodily harm to R.C.</w:t>
      </w:r>
      <w:r w:rsidRPr="00142C6B">
        <w:rPr>
          <w:b/>
          <w:bCs/>
          <w:iCs/>
          <w:sz w:val="20"/>
        </w:rPr>
        <w:t xml:space="preserve"> </w:t>
      </w:r>
      <w:r w:rsidRPr="00142C6B" w:rsidR="00326AD5">
        <w:rPr>
          <w:rFonts w:ascii="Times New Roman" w:hAnsi="Times New Roman" w:eastAsia="PMingLiU" w:cs="Times New Roman"/>
          <w:lang w:val="en-GB"/>
        </w:rPr>
        <w:t>It</w:t>
      </w:r>
      <w:r w:rsidRPr="00142C6B">
        <w:t xml:space="preserve"> is </w:t>
      </w:r>
      <w:r w:rsidRPr="00142C6B" w:rsidR="00326AD5">
        <w:t xml:space="preserve">therefore </w:t>
      </w:r>
      <w:r w:rsidRPr="00142C6B">
        <w:t>obvious that both decisions concerned exactly th</w:t>
      </w:r>
      <w:r w:rsidRPr="00142C6B" w:rsidR="00326AD5">
        <w:t>e same event and the same acts.</w:t>
      </w:r>
    </w:p>
    <w:p w:rsidRPr="00142C6B" w:rsidR="00DD1FA2" w:rsidP="00142C6B" w:rsidRDefault="009D3BF1">
      <w:pPr>
        <w:pStyle w:val="ECHRPara"/>
      </w:pPr>
      <w:r>
        <w:fldChar w:fldCharType="begin"/>
      </w:r>
      <w:r>
        <w:instrText xml:space="preserve"> SEQ level0 \*arabic </w:instrText>
      </w:r>
      <w:r>
        <w:fldChar w:fldCharType="separate"/>
      </w:r>
      <w:r w:rsidRPr="00142C6B" w:rsidR="00142C6B">
        <w:rPr>
          <w:noProof/>
        </w:rPr>
        <w:t>42</w:t>
      </w:r>
      <w:r>
        <w:rPr>
          <w:noProof/>
        </w:rPr>
        <w:fldChar w:fldCharType="end"/>
      </w:r>
      <w:r w:rsidRPr="00142C6B" w:rsidR="00DD1FA2">
        <w:t>.  The facts constituting the two offences must therefore be regarded as substantially the same for the purposes of Article 4 of Protocol No. 7.</w:t>
      </w:r>
    </w:p>
    <w:p w:rsidRPr="00142C6B" w:rsidR="00DD1FA2" w:rsidP="00142C6B" w:rsidRDefault="00DD1FA2">
      <w:pPr>
        <w:pStyle w:val="ECHRHeading4"/>
      </w:pPr>
      <w:r w:rsidRPr="00142C6B">
        <w:t>(c)  Whether there was a duplication of proceedings (bis)</w:t>
      </w:r>
    </w:p>
    <w:p w:rsidRPr="00142C6B" w:rsidR="007544FF" w:rsidP="00142C6B" w:rsidRDefault="009D3BF1">
      <w:pPr>
        <w:pStyle w:val="ECHRPara"/>
      </w:pPr>
      <w:r>
        <w:fldChar w:fldCharType="begin"/>
      </w:r>
      <w:r>
        <w:instrText xml:space="preserve"> SEQ level0 \*arabic </w:instrText>
      </w:r>
      <w:r>
        <w:fldChar w:fldCharType="separate"/>
      </w:r>
      <w:r w:rsidRPr="00142C6B" w:rsidR="00142C6B">
        <w:rPr>
          <w:noProof/>
        </w:rPr>
        <w:t>43</w:t>
      </w:r>
      <w:r>
        <w:rPr>
          <w:noProof/>
        </w:rPr>
        <w:fldChar w:fldCharType="end"/>
      </w:r>
      <w:r w:rsidRPr="00142C6B" w:rsidR="007544FF">
        <w:t>.  </w:t>
      </w:r>
      <w:r w:rsidRPr="00142C6B" w:rsidR="00C07319">
        <w:t>T</w:t>
      </w:r>
      <w:r w:rsidRPr="00142C6B" w:rsidR="007544FF">
        <w:t xml:space="preserve">he aim of Article 4 of Protocol No. 7 is to prohibit the repetition of criminal proceedings that have been concluded by a “final” decision. According to the Explanatory Report to Protocol No. 7, which itself refers back to the European Convention on the International Validity of Criminal Judgments, a “decision is final </w:t>
      </w:r>
      <w:r w:rsidRPr="00142C6B" w:rsidR="00142C6B">
        <w:t>‘</w:t>
      </w:r>
      <w:r w:rsidRPr="00142C6B" w:rsidR="007544FF">
        <w:t xml:space="preserve">if, according to the traditional expression, it has acquired the force of </w:t>
      </w:r>
      <w:r w:rsidRPr="00142C6B" w:rsidR="007544FF">
        <w:rPr>
          <w:i/>
        </w:rPr>
        <w:t>res judicata</w:t>
      </w:r>
      <w:r w:rsidRPr="00142C6B" w:rsidR="007544FF">
        <w:t>. This is the case when it is irrevocable, that is to say when no further ordinary remedies are available or when the parties have exhausted such remedies or have permitted the time-limit to expire without availing themselves of them</w:t>
      </w:r>
      <w:r w:rsidRPr="00142C6B" w:rsidR="00142C6B">
        <w:t>’</w:t>
      </w:r>
      <w:r w:rsidRPr="00142C6B" w:rsidR="007544FF">
        <w:t>”. This approach is well entrenched in the Court</w:t>
      </w:r>
      <w:r w:rsidRPr="00142C6B" w:rsidR="00142C6B">
        <w:t>’</w:t>
      </w:r>
      <w:r w:rsidRPr="00142C6B" w:rsidR="007544FF">
        <w:t xml:space="preserve">s case-law (see, for example, </w:t>
      </w:r>
      <w:r w:rsidRPr="00142C6B" w:rsidR="007544FF">
        <w:rPr>
          <w:i/>
        </w:rPr>
        <w:t>Zolotukhin</w:t>
      </w:r>
      <w:r w:rsidRPr="00142C6B" w:rsidR="007544FF">
        <w:t>, cited above, § 107, with further references therein).</w:t>
      </w:r>
    </w:p>
    <w:p w:rsidRPr="00142C6B" w:rsidR="007544FF" w:rsidP="00142C6B" w:rsidRDefault="009D3BF1">
      <w:pPr>
        <w:pStyle w:val="ECHRPara"/>
      </w:pPr>
      <w:r>
        <w:fldChar w:fldCharType="begin"/>
      </w:r>
      <w:r>
        <w:instrText xml:space="preserve"> SEQ level0 \*arabic</w:instrText>
      </w:r>
      <w:r>
        <w:instrText xml:space="preserve"> </w:instrText>
      </w:r>
      <w:r>
        <w:fldChar w:fldCharType="separate"/>
      </w:r>
      <w:r w:rsidRPr="00142C6B" w:rsidR="00142C6B">
        <w:rPr>
          <w:noProof/>
        </w:rPr>
        <w:t>44</w:t>
      </w:r>
      <w:r>
        <w:rPr>
          <w:noProof/>
        </w:rPr>
        <w:fldChar w:fldCharType="end"/>
      </w:r>
      <w:r w:rsidRPr="00142C6B" w:rsidR="007544FF">
        <w:t>.  Decisions against which an ordinary appeal lies are excluded from the scope of the guarantee contained in Article 4 of Protocol No. 7 as long as the time-limit for lodging such an appeal has not expired. On the other hand, extraordinary remedies such as a request for reopening of proceedings or an application for extension of the expired time-limit are not taken into account for the purposes of determining whether the proceedings have reached a final conclusion. Although these remedies represent a continuation of the first set of proceedings, the “final” nature of the decision does not depend on their being used. It is impo</w:t>
      </w:r>
      <w:r w:rsidRPr="00142C6B" w:rsidR="00AE7B19">
        <w:t>rtant to point out that Article </w:t>
      </w:r>
      <w:r w:rsidRPr="00142C6B" w:rsidR="007544FF">
        <w:t>4 of Protocol No. 7 does not preclude the reopening of proceedings, as stated clearly by the second paragraph of Article 4</w:t>
      </w:r>
      <w:r w:rsidRPr="00142C6B" w:rsidR="00C07319">
        <w:t xml:space="preserve"> (ibid., </w:t>
      </w:r>
      <w:r w:rsidRPr="00142C6B" w:rsidR="00C07319">
        <w:rPr>
          <w:lang w:val="en-GB"/>
        </w:rPr>
        <w:t>§ 108)</w:t>
      </w:r>
      <w:r w:rsidRPr="00142C6B" w:rsidR="007544FF">
        <w:t>.</w:t>
      </w:r>
    </w:p>
    <w:p w:rsidRPr="00142C6B" w:rsidR="00653B38" w:rsidP="00142C6B" w:rsidRDefault="009D3BF1">
      <w:pPr>
        <w:pStyle w:val="ECHRPara"/>
      </w:pPr>
      <w:r>
        <w:fldChar w:fldCharType="begin"/>
      </w:r>
      <w:r>
        <w:instrText xml:space="preserve"> SEQ level0 \*arabic </w:instrText>
      </w:r>
      <w:r>
        <w:fldChar w:fldCharType="separate"/>
      </w:r>
      <w:r w:rsidRPr="00142C6B" w:rsidR="00142C6B">
        <w:rPr>
          <w:noProof/>
        </w:rPr>
        <w:t>45</w:t>
      </w:r>
      <w:r>
        <w:rPr>
          <w:noProof/>
        </w:rPr>
        <w:fldChar w:fldCharType="end"/>
      </w:r>
      <w:r w:rsidRPr="00142C6B" w:rsidR="007544FF">
        <w:t>.  </w:t>
      </w:r>
      <w:r w:rsidRPr="00142C6B" w:rsidR="00653B38">
        <w:t>In the present case, t</w:t>
      </w:r>
      <w:r w:rsidRPr="00142C6B" w:rsidR="00DD1FA2">
        <w:t xml:space="preserve">he Court observes that both sets of proceedings were instituted on the basis of the police report of 17 October 2006 </w:t>
      </w:r>
      <w:r w:rsidRPr="00142C6B" w:rsidR="00653B38">
        <w:t>on</w:t>
      </w:r>
      <w:r w:rsidRPr="00142C6B" w:rsidR="00DD1FA2">
        <w:t xml:space="preserve"> the incident (see para</w:t>
      </w:r>
      <w:r w:rsidRPr="00142C6B" w:rsidR="00345E38">
        <w:t>graph 6 above</w:t>
      </w:r>
      <w:r w:rsidRPr="00142C6B" w:rsidR="00DD1FA2">
        <w:t xml:space="preserve">). The decision in the proceedings was adopted on </w:t>
      </w:r>
      <w:r w:rsidRPr="00142C6B" w:rsidR="00DD1FA2">
        <w:rPr>
          <w:lang w:val="en-GB"/>
        </w:rPr>
        <w:t>6 November 2007</w:t>
      </w:r>
      <w:r w:rsidRPr="00142C6B" w:rsidR="00653B38">
        <w:rPr>
          <w:lang w:val="en-GB"/>
        </w:rPr>
        <w:t xml:space="preserve"> and the parties did not avail </w:t>
      </w:r>
      <w:r w:rsidRPr="00142C6B" w:rsidR="00653B38">
        <w:t xml:space="preserve">themselves of </w:t>
      </w:r>
      <w:r w:rsidRPr="00142C6B" w:rsidR="00E146FF">
        <w:t>an</w:t>
      </w:r>
      <w:r w:rsidRPr="00142C6B" w:rsidR="00653B38">
        <w:t xml:space="preserve"> appeal. Hence, after the time</w:t>
      </w:r>
      <w:r w:rsidRPr="00142C6B" w:rsidR="00251383">
        <w:t>-</w:t>
      </w:r>
      <w:r w:rsidRPr="00142C6B" w:rsidR="00653B38">
        <w:t xml:space="preserve">limit for the appeal had expired, the decision has acquired the force of </w:t>
      </w:r>
      <w:r w:rsidRPr="00142C6B" w:rsidR="00653B38">
        <w:rPr>
          <w:i/>
        </w:rPr>
        <w:t>res judicata</w:t>
      </w:r>
      <w:r w:rsidRPr="00142C6B" w:rsidR="00B16B63">
        <w:t>.</w:t>
      </w:r>
    </w:p>
    <w:p w:rsidRPr="00142C6B" w:rsidR="00DD1FA2" w:rsidP="00142C6B" w:rsidRDefault="009D3BF1">
      <w:pPr>
        <w:pStyle w:val="ECHRPara"/>
      </w:pPr>
      <w:r>
        <w:fldChar w:fldCharType="begin"/>
      </w:r>
      <w:r>
        <w:instrText xml:space="preserve"> SEQ level0 \*arabic </w:instrText>
      </w:r>
      <w:r>
        <w:fldChar w:fldCharType="separate"/>
      </w:r>
      <w:r w:rsidRPr="00142C6B" w:rsidR="00142C6B">
        <w:rPr>
          <w:noProof/>
        </w:rPr>
        <w:t>46</w:t>
      </w:r>
      <w:r>
        <w:rPr>
          <w:noProof/>
        </w:rPr>
        <w:fldChar w:fldCharType="end"/>
      </w:r>
      <w:r w:rsidRPr="00142C6B" w:rsidR="00653B38">
        <w:t>.  </w:t>
      </w:r>
      <w:r w:rsidRPr="00142C6B" w:rsidR="00DD1FA2">
        <w:t xml:space="preserve">In the meantime, the criminal </w:t>
      </w:r>
      <w:r w:rsidRPr="00142C6B" w:rsidR="00345E38">
        <w:t>proceedings commenced</w:t>
      </w:r>
      <w:r w:rsidRPr="00142C6B" w:rsidR="00DD1FA2">
        <w:t xml:space="preserve"> </w:t>
      </w:r>
      <w:r w:rsidRPr="00142C6B" w:rsidR="00345E38">
        <w:t xml:space="preserve">on </w:t>
      </w:r>
      <w:r w:rsidRPr="00142C6B" w:rsidR="00345E38">
        <w:rPr>
          <w:lang w:val="en-GB"/>
        </w:rPr>
        <w:t>4</w:t>
      </w:r>
      <w:r w:rsidRPr="00142C6B" w:rsidR="00A12EEC">
        <w:rPr>
          <w:lang w:val="en-GB"/>
        </w:rPr>
        <w:t> </w:t>
      </w:r>
      <w:r w:rsidRPr="00142C6B" w:rsidR="00345E38">
        <w:rPr>
          <w:lang w:val="en-GB"/>
        </w:rPr>
        <w:t>April</w:t>
      </w:r>
      <w:r w:rsidRPr="00142C6B" w:rsidR="00A12EEC">
        <w:rPr>
          <w:lang w:val="en-GB"/>
        </w:rPr>
        <w:t> </w:t>
      </w:r>
      <w:r w:rsidRPr="00142C6B" w:rsidR="00345E38">
        <w:rPr>
          <w:lang w:val="en-GB"/>
        </w:rPr>
        <w:t>2007</w:t>
      </w:r>
      <w:r w:rsidRPr="00142C6B" w:rsidR="00E13576">
        <w:rPr>
          <w:lang w:val="en-GB"/>
        </w:rPr>
        <w:t>,</w:t>
      </w:r>
      <w:r w:rsidRPr="00142C6B" w:rsidR="00345E38">
        <w:rPr>
          <w:lang w:val="en-GB"/>
        </w:rPr>
        <w:t xml:space="preserve"> </w:t>
      </w:r>
      <w:r w:rsidRPr="00142C6B" w:rsidR="00DD1FA2">
        <w:t xml:space="preserve">and the </w:t>
      </w:r>
      <w:r w:rsidRPr="00142C6B" w:rsidR="00DD1FA2">
        <w:rPr>
          <w:rFonts w:ascii="Times New Roman" w:hAnsi="Times New Roman" w:eastAsia="Times New Roman" w:cs="Times New Roman"/>
          <w:szCs w:val="20"/>
          <w:lang w:val="en-GB"/>
        </w:rPr>
        <w:t>two proceedings were conducted concurrently for a while.</w:t>
      </w:r>
      <w:r w:rsidRPr="00142C6B" w:rsidR="00DD1FA2">
        <w:t xml:space="preserve"> </w:t>
      </w:r>
      <w:r w:rsidRPr="00142C6B" w:rsidR="00DD1FA2">
        <w:rPr>
          <w:rFonts w:ascii="Times New Roman" w:hAnsi="Times New Roman" w:eastAsia="Times New Roman" w:cs="Times New Roman"/>
          <w:szCs w:val="20"/>
          <w:lang w:val="en-GB"/>
        </w:rPr>
        <w:t xml:space="preserve">At the time the </w:t>
      </w:r>
      <w:r w:rsidRPr="00142C6B" w:rsidR="00345E38">
        <w:rPr>
          <w:rFonts w:ascii="Times New Roman" w:hAnsi="Times New Roman" w:eastAsia="Times New Roman" w:cs="Times New Roman"/>
          <w:szCs w:val="20"/>
        </w:rPr>
        <w:t>misdemeanour</w:t>
      </w:r>
      <w:r w:rsidRPr="00142C6B" w:rsidR="00653B38">
        <w:rPr>
          <w:rFonts w:ascii="Times New Roman" w:hAnsi="Times New Roman" w:eastAsia="Times New Roman" w:cs="Times New Roman"/>
          <w:szCs w:val="20"/>
          <w:lang w:val="en-GB"/>
        </w:rPr>
        <w:t xml:space="preserve"> conviction ac</w:t>
      </w:r>
      <w:r w:rsidRPr="00142C6B" w:rsidR="00DD1FA2">
        <w:rPr>
          <w:rFonts w:ascii="Times New Roman" w:hAnsi="Times New Roman" w:eastAsia="Times New Roman" w:cs="Times New Roman"/>
          <w:szCs w:val="20"/>
          <w:lang w:val="en-GB"/>
        </w:rPr>
        <w:t xml:space="preserve">quired the force of </w:t>
      </w:r>
      <w:r w:rsidRPr="00142C6B" w:rsidR="00DD1FA2">
        <w:rPr>
          <w:rFonts w:ascii="Times New Roman" w:hAnsi="Times New Roman" w:eastAsia="Times New Roman" w:cs="Times New Roman"/>
          <w:i/>
          <w:szCs w:val="20"/>
          <w:lang w:val="en-GB"/>
        </w:rPr>
        <w:t xml:space="preserve">res </w:t>
      </w:r>
      <w:r w:rsidRPr="00142C6B" w:rsidR="00E13576">
        <w:rPr>
          <w:rFonts w:ascii="Times New Roman" w:hAnsi="Times New Roman" w:eastAsia="Times New Roman" w:cs="Times New Roman"/>
          <w:i/>
          <w:szCs w:val="20"/>
          <w:lang w:val="en-GB"/>
        </w:rPr>
        <w:t>j</w:t>
      </w:r>
      <w:r w:rsidRPr="00142C6B" w:rsidR="00DD1FA2">
        <w:rPr>
          <w:rFonts w:ascii="Times New Roman" w:hAnsi="Times New Roman" w:eastAsia="Times New Roman" w:cs="Times New Roman"/>
          <w:i/>
          <w:szCs w:val="20"/>
          <w:lang w:val="en-GB"/>
        </w:rPr>
        <w:t>udicata</w:t>
      </w:r>
      <w:r w:rsidRPr="00142C6B" w:rsidR="00DD1FA2">
        <w:rPr>
          <w:rFonts w:ascii="Times New Roman" w:hAnsi="Times New Roman" w:eastAsia="Times New Roman" w:cs="Times New Roman"/>
          <w:szCs w:val="20"/>
          <w:lang w:val="en-GB"/>
        </w:rPr>
        <w:t xml:space="preserve">, the criminal proceedings were pending before the first-instance court. In these circumstances, the Court considers that the Municipal Court should have terminated the criminal proceedings following the delivery of a “final” decision in the first proceedings (see </w:t>
      </w:r>
      <w:r w:rsidRPr="00142C6B" w:rsidR="00653B38">
        <w:rPr>
          <w:rFonts w:ascii="Times New Roman" w:hAnsi="Times New Roman" w:eastAsia="Times New Roman" w:cs="Times New Roman"/>
          <w:i/>
          <w:szCs w:val="20"/>
          <w:lang w:val="en-GB"/>
        </w:rPr>
        <w:t>Muslija</w:t>
      </w:r>
      <w:r w:rsidRPr="00142C6B" w:rsidR="00653B38">
        <w:rPr>
          <w:rFonts w:ascii="Times New Roman" w:hAnsi="Times New Roman" w:eastAsia="Times New Roman" w:cs="Times New Roman"/>
          <w:szCs w:val="20"/>
          <w:lang w:val="en-GB"/>
        </w:rPr>
        <w:t xml:space="preserve">, cited above, </w:t>
      </w:r>
      <w:r w:rsidRPr="00142C6B" w:rsidR="003C2B11">
        <w:rPr>
          <w:rFonts w:ascii="Times New Roman" w:hAnsi="Times New Roman" w:eastAsia="Times New Roman" w:cs="Times New Roman"/>
          <w:szCs w:val="20"/>
          <w:lang w:val="en-GB"/>
        </w:rPr>
        <w:t xml:space="preserve">§ 37, </w:t>
      </w:r>
      <w:r w:rsidRPr="00142C6B" w:rsidR="00653B38">
        <w:rPr>
          <w:rFonts w:ascii="Times New Roman" w:hAnsi="Times New Roman" w:eastAsia="Times New Roman" w:cs="Times New Roman"/>
          <w:szCs w:val="20"/>
          <w:lang w:val="en-GB"/>
        </w:rPr>
        <w:t>with further reference therein)</w:t>
      </w:r>
      <w:r w:rsidRPr="00142C6B" w:rsidR="00DD1FA2">
        <w:rPr>
          <w:lang w:val="en-GB"/>
        </w:rPr>
        <w:t xml:space="preserve">. </w:t>
      </w:r>
      <w:r w:rsidRPr="00142C6B" w:rsidR="00653B38">
        <w:rPr>
          <w:lang w:val="en-GB"/>
        </w:rPr>
        <w:t>Furthermore</w:t>
      </w:r>
      <w:r w:rsidRPr="00142C6B" w:rsidR="00DD1FA2">
        <w:rPr>
          <w:lang w:val="en-GB"/>
        </w:rPr>
        <w:t xml:space="preserve">, </w:t>
      </w:r>
      <w:r w:rsidRPr="00142C6B" w:rsidR="00DD1FA2">
        <w:t xml:space="preserve">it is to be noted that in his appeal against his conviction by the Municipal Court the applicant complained of a violation of the </w:t>
      </w:r>
      <w:r w:rsidRPr="00142C6B" w:rsidR="00DD1FA2">
        <w:rPr>
          <w:i/>
        </w:rPr>
        <w:t>non bis in idem</w:t>
      </w:r>
      <w:r w:rsidRPr="00142C6B" w:rsidR="00DD1FA2">
        <w:t xml:space="preserve"> principle. However, the appellate court upheld the applicant</w:t>
      </w:r>
      <w:r w:rsidRPr="00142C6B" w:rsidR="00142C6B">
        <w:t>’</w:t>
      </w:r>
      <w:r w:rsidRPr="00142C6B" w:rsidR="00DD1FA2">
        <w:t xml:space="preserve">s conviction in respect of the same offence for which he had already been punished by the </w:t>
      </w:r>
      <w:r w:rsidRPr="00142C6B" w:rsidR="003C2B11">
        <w:t>Misdemeanour</w:t>
      </w:r>
      <w:r w:rsidRPr="00142C6B" w:rsidR="003C2B11">
        <w:rPr>
          <w:lang w:val="en-GB"/>
        </w:rPr>
        <w:t xml:space="preserve"> </w:t>
      </w:r>
      <w:r w:rsidRPr="00142C6B" w:rsidR="00DD1FA2">
        <w:t xml:space="preserve">Court. Lastly, </w:t>
      </w:r>
      <w:r w:rsidRPr="00142C6B" w:rsidR="00DD1FA2">
        <w:rPr>
          <w:lang w:val="en-GB"/>
        </w:rPr>
        <w:t>when deciding the applicant</w:t>
      </w:r>
      <w:r w:rsidRPr="00142C6B" w:rsidR="00142C6B">
        <w:rPr>
          <w:lang w:val="en-GB"/>
        </w:rPr>
        <w:t>’</w:t>
      </w:r>
      <w:r w:rsidRPr="00142C6B" w:rsidR="00DD1FA2">
        <w:rPr>
          <w:lang w:val="en-GB"/>
        </w:rPr>
        <w:t>s appeal the Constitutional Court failed to bring its case-law in line with this Court</w:t>
      </w:r>
      <w:r w:rsidRPr="00142C6B" w:rsidR="00142C6B">
        <w:rPr>
          <w:lang w:val="en-GB"/>
        </w:rPr>
        <w:t>’</w:t>
      </w:r>
      <w:r w:rsidRPr="00142C6B" w:rsidR="00DD1FA2">
        <w:rPr>
          <w:lang w:val="en-GB"/>
        </w:rPr>
        <w:t xml:space="preserve">s approach taken in the </w:t>
      </w:r>
      <w:r w:rsidRPr="00142C6B" w:rsidR="00DD1FA2">
        <w:rPr>
          <w:i/>
          <w:lang w:val="en-GB"/>
        </w:rPr>
        <w:t>Zolotukhin</w:t>
      </w:r>
      <w:r w:rsidRPr="00142C6B" w:rsidR="00DD1FA2">
        <w:rPr>
          <w:lang w:val="en-GB"/>
        </w:rPr>
        <w:t xml:space="preserve"> case.</w:t>
      </w:r>
      <w:r w:rsidRPr="00142C6B" w:rsidR="00DD1FA2">
        <w:t xml:space="preserve"> In these circumstances, the Court finds that the domestic authorities permitted the duplication of criminal proceedings </w:t>
      </w:r>
      <w:r w:rsidRPr="00142C6B" w:rsidR="00653B38">
        <w:t xml:space="preserve">to be conducted </w:t>
      </w:r>
      <w:r w:rsidRPr="00142C6B" w:rsidR="00DD1FA2">
        <w:t>in the full knowledge of the applicant</w:t>
      </w:r>
      <w:r w:rsidRPr="00142C6B" w:rsidR="00142C6B">
        <w:t>’</w:t>
      </w:r>
      <w:r w:rsidRPr="00142C6B" w:rsidR="00DD1FA2">
        <w:t xml:space="preserve">s previous conviction </w:t>
      </w:r>
      <w:r w:rsidRPr="00142C6B" w:rsidR="00E13576">
        <w:t>for</w:t>
      </w:r>
      <w:r w:rsidRPr="00142C6B" w:rsidR="00DD1FA2">
        <w:t xml:space="preserve"> the same offence.</w:t>
      </w:r>
    </w:p>
    <w:p w:rsidRPr="00142C6B" w:rsidR="007544FF" w:rsidP="00142C6B" w:rsidRDefault="009D3BF1">
      <w:pPr>
        <w:pStyle w:val="ECHRPara"/>
      </w:pPr>
      <w:r>
        <w:fldChar w:fldCharType="begin"/>
      </w:r>
      <w:r>
        <w:instrText xml:space="preserve"> SEQ level0 \*arabic </w:instrText>
      </w:r>
      <w:r>
        <w:fldChar w:fldCharType="separate"/>
      </w:r>
      <w:r w:rsidRPr="00142C6B" w:rsidR="00142C6B">
        <w:rPr>
          <w:noProof/>
        </w:rPr>
        <w:t>47</w:t>
      </w:r>
      <w:r>
        <w:rPr>
          <w:noProof/>
        </w:rPr>
        <w:fldChar w:fldCharType="end"/>
      </w:r>
      <w:r w:rsidRPr="00142C6B" w:rsidR="003E429D">
        <w:t>.  </w:t>
      </w:r>
      <w:r w:rsidRPr="00142C6B" w:rsidR="00653B38">
        <w:t xml:space="preserve">Lastly, </w:t>
      </w:r>
      <w:r w:rsidRPr="00142C6B" w:rsidR="00455212">
        <w:t xml:space="preserve">the Court emphasises that </w:t>
      </w:r>
      <w:r w:rsidRPr="00142C6B" w:rsidR="00653B38">
        <w:t xml:space="preserve">the fact that the applicant </w:t>
      </w:r>
      <w:r w:rsidRPr="00142C6B" w:rsidR="00E13576">
        <w:t>was</w:t>
      </w:r>
      <w:r w:rsidRPr="00142C6B" w:rsidR="00653B38">
        <w:t xml:space="preserve"> </w:t>
      </w:r>
      <w:r w:rsidRPr="00142C6B" w:rsidR="007544FF">
        <w:t xml:space="preserve">eventually </w:t>
      </w:r>
      <w:r w:rsidRPr="00142C6B" w:rsidR="00653B38">
        <w:t>amnestied</w:t>
      </w:r>
      <w:r w:rsidRPr="00142C6B" w:rsidR="007544FF">
        <w:t xml:space="preserve"> in the criminal proceedings had no bearing on his cl</w:t>
      </w:r>
      <w:r w:rsidRPr="00142C6B" w:rsidR="00653B38">
        <w:t xml:space="preserve">aim that he </w:t>
      </w:r>
      <w:r w:rsidRPr="00142C6B" w:rsidR="00E13576">
        <w:t>was</w:t>
      </w:r>
      <w:r w:rsidRPr="00142C6B" w:rsidR="00653B38">
        <w:t xml:space="preserve"> prosecuted, </w:t>
      </w:r>
      <w:r w:rsidRPr="00142C6B" w:rsidR="007544FF">
        <w:t xml:space="preserve">tried </w:t>
      </w:r>
      <w:r w:rsidRPr="00142C6B" w:rsidR="00653B38">
        <w:t xml:space="preserve">and punished </w:t>
      </w:r>
      <w:r w:rsidRPr="00142C6B" w:rsidR="00184FBF">
        <w:t>for the offence</w:t>
      </w:r>
      <w:r w:rsidRPr="00142C6B" w:rsidR="007544FF">
        <w:t xml:space="preserve"> for a second time.</w:t>
      </w:r>
    </w:p>
    <w:p w:rsidRPr="00142C6B" w:rsidR="00DD1FA2" w:rsidP="00142C6B" w:rsidRDefault="00DD1FA2">
      <w:pPr>
        <w:pStyle w:val="ECHRHeading4"/>
      </w:pPr>
      <w:r w:rsidRPr="00142C6B">
        <w:t>(d)  Conclusion</w:t>
      </w:r>
    </w:p>
    <w:p w:rsidRPr="00142C6B" w:rsidR="00DD1FA2" w:rsidP="00142C6B" w:rsidRDefault="009D3BF1">
      <w:pPr>
        <w:pStyle w:val="ECHRPara"/>
      </w:pPr>
      <w:r>
        <w:fldChar w:fldCharType="begin"/>
      </w:r>
      <w:r>
        <w:instrText xml:space="preserve"> SEQ level0 \*arabic </w:instrText>
      </w:r>
      <w:r>
        <w:fldChar w:fldCharType="separate"/>
      </w:r>
      <w:r w:rsidRPr="00142C6B" w:rsidR="00142C6B">
        <w:rPr>
          <w:noProof/>
        </w:rPr>
        <w:t>48</w:t>
      </w:r>
      <w:r>
        <w:rPr>
          <w:noProof/>
        </w:rPr>
        <w:fldChar w:fldCharType="end"/>
      </w:r>
      <w:r w:rsidRPr="00142C6B" w:rsidR="00DD1FA2">
        <w:t xml:space="preserve">.  In the light of the foregoing, the applicant was “convicted” in </w:t>
      </w:r>
      <w:r w:rsidRPr="00142C6B" w:rsidR="003C2B11">
        <w:t>misdemeanour</w:t>
      </w:r>
      <w:r w:rsidRPr="00142C6B" w:rsidR="00DD1FA2">
        <w:t xml:space="preserve"> proceedings</w:t>
      </w:r>
      <w:r w:rsidRPr="00142C6B" w:rsidR="00E13576">
        <w:t>,</w:t>
      </w:r>
      <w:r w:rsidRPr="00142C6B" w:rsidR="00DD1FA2">
        <w:t xml:space="preserve"> which </w:t>
      </w:r>
      <w:r w:rsidRPr="00142C6B" w:rsidR="00E13576">
        <w:t>can be likened</w:t>
      </w:r>
      <w:r w:rsidRPr="00142C6B" w:rsidR="00DD1FA2">
        <w:t xml:space="preserve"> to “criminal proceedings” within the autonomous Convention meaning of this term. After this “conviction” became final</w:t>
      </w:r>
      <w:r w:rsidRPr="00142C6B" w:rsidR="00FF78E9">
        <w:t xml:space="preserve"> and despite his </w:t>
      </w:r>
      <w:r w:rsidRPr="00142C6B" w:rsidR="00EF0C82">
        <w:t>appeal</w:t>
      </w:r>
      <w:r w:rsidRPr="00142C6B" w:rsidR="00FF78E9">
        <w:t xml:space="preserve"> </w:t>
      </w:r>
      <w:r w:rsidRPr="00142C6B" w:rsidR="00E13576">
        <w:t xml:space="preserve">based on the </w:t>
      </w:r>
      <w:r w:rsidRPr="00142C6B" w:rsidR="00FF78E9">
        <w:rPr>
          <w:i/>
        </w:rPr>
        <w:t>ne bis in idem</w:t>
      </w:r>
      <w:r w:rsidRPr="00142C6B" w:rsidR="00FF78E9">
        <w:t xml:space="preserve"> principle</w:t>
      </w:r>
      <w:r w:rsidRPr="00142C6B" w:rsidR="00DD1FA2">
        <w:t xml:space="preserve">, </w:t>
      </w:r>
      <w:r w:rsidRPr="00142C6B" w:rsidR="00FF78E9">
        <w:t>the applicant</w:t>
      </w:r>
      <w:r w:rsidRPr="00142C6B" w:rsidR="00DD1FA2">
        <w:t xml:space="preserve"> was found guilty of a criminal offence which related to the same conduct as that punished in the </w:t>
      </w:r>
      <w:r w:rsidRPr="00142C6B" w:rsidR="003C2B11">
        <w:t>misdemeanour</w:t>
      </w:r>
      <w:r w:rsidRPr="00142C6B" w:rsidR="003C2B11">
        <w:rPr>
          <w:lang w:val="en-GB"/>
        </w:rPr>
        <w:t xml:space="preserve"> </w:t>
      </w:r>
      <w:r w:rsidRPr="00142C6B" w:rsidR="00DD1FA2">
        <w:t>proceedings</w:t>
      </w:r>
      <w:r w:rsidRPr="00142C6B" w:rsidR="00E13576">
        <w:t>,</w:t>
      </w:r>
      <w:r w:rsidRPr="00142C6B" w:rsidR="00DD1FA2">
        <w:t xml:space="preserve"> and substantially the same facts. The Constitutional Court failed to apply the principles established in the </w:t>
      </w:r>
      <w:r w:rsidRPr="00142C6B" w:rsidR="00DD1FA2">
        <w:rPr>
          <w:i/>
        </w:rPr>
        <w:t>Zolotukhin</w:t>
      </w:r>
      <w:r w:rsidRPr="00142C6B" w:rsidR="00DD1FA2">
        <w:t xml:space="preserve"> case and thus to correct the applicant</w:t>
      </w:r>
      <w:r w:rsidRPr="00142C6B" w:rsidR="00142C6B">
        <w:t>’</w:t>
      </w:r>
      <w:r w:rsidRPr="00142C6B" w:rsidR="00DD1FA2">
        <w:t>s situation.</w:t>
      </w:r>
    </w:p>
    <w:p w:rsidRPr="00142C6B" w:rsidR="00DD1FA2" w:rsidP="00142C6B" w:rsidRDefault="009D3BF1">
      <w:pPr>
        <w:pStyle w:val="ECHRPara"/>
      </w:pPr>
      <w:r>
        <w:fldChar w:fldCharType="begin"/>
      </w:r>
      <w:r>
        <w:instrText xml:space="preserve"> SEQ level0 \*arabic </w:instrText>
      </w:r>
      <w:r>
        <w:fldChar w:fldCharType="separate"/>
      </w:r>
      <w:r w:rsidRPr="00142C6B" w:rsidR="00142C6B">
        <w:rPr>
          <w:noProof/>
        </w:rPr>
        <w:t>49</w:t>
      </w:r>
      <w:r>
        <w:rPr>
          <w:noProof/>
        </w:rPr>
        <w:fldChar w:fldCharType="end"/>
      </w:r>
      <w:r w:rsidRPr="00142C6B" w:rsidR="00DD1FA2">
        <w:t>.  </w:t>
      </w:r>
      <w:r w:rsidRPr="00142C6B" w:rsidR="00DD1FA2">
        <w:rPr>
          <w:rFonts w:ascii="Times New Roman" w:hAnsi="Times New Roman" w:eastAsia="Times New Roman" w:cs="Times New Roman"/>
          <w:szCs w:val="20"/>
          <w:lang w:val="en-GB"/>
        </w:rPr>
        <w:t xml:space="preserve">There has </w:t>
      </w:r>
      <w:r w:rsidRPr="00142C6B" w:rsidR="00DD1FA2">
        <w:t xml:space="preserve">accordingly </w:t>
      </w:r>
      <w:r w:rsidRPr="00142C6B" w:rsidR="00DD1FA2">
        <w:rPr>
          <w:rFonts w:ascii="Times New Roman" w:hAnsi="Times New Roman" w:eastAsia="Times New Roman" w:cs="Times New Roman"/>
          <w:szCs w:val="20"/>
          <w:lang w:val="en-GB"/>
        </w:rPr>
        <w:t>been a violation of Article 4 of Protocol No.</w:t>
      </w:r>
      <w:r w:rsidRPr="00142C6B" w:rsidR="003E429D">
        <w:rPr>
          <w:rFonts w:ascii="Times New Roman" w:hAnsi="Times New Roman" w:eastAsia="Times New Roman" w:cs="Times New Roman"/>
          <w:szCs w:val="20"/>
        </w:rPr>
        <w:t> </w:t>
      </w:r>
      <w:r w:rsidRPr="00142C6B" w:rsidR="00DD1FA2">
        <w:rPr>
          <w:rFonts w:ascii="Times New Roman" w:hAnsi="Times New Roman" w:eastAsia="Times New Roman" w:cs="Times New Roman"/>
          <w:szCs w:val="20"/>
          <w:lang w:val="en-GB"/>
        </w:rPr>
        <w:t>7.</w:t>
      </w:r>
    </w:p>
    <w:p w:rsidRPr="00142C6B" w:rsidR="00014566" w:rsidP="00142C6B" w:rsidRDefault="00CF5C5B">
      <w:pPr>
        <w:pStyle w:val="ECHRHeading1"/>
      </w:pPr>
      <w:r w:rsidRPr="00142C6B">
        <w:t>II</w:t>
      </w:r>
      <w:r w:rsidRPr="00142C6B" w:rsidR="00014566">
        <w:t>.  APPLICATION OF ARTICLE 41 OF THE CONVENTION</w:t>
      </w:r>
    </w:p>
    <w:p w:rsidRPr="00142C6B" w:rsidR="00014566" w:rsidP="00142C6B" w:rsidRDefault="00EF294E">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50</w:t>
      </w:r>
      <w:r w:rsidRPr="00142C6B">
        <w:rPr>
          <w:lang w:val="en-GB"/>
        </w:rPr>
        <w:fldChar w:fldCharType="end"/>
      </w:r>
      <w:r w:rsidRPr="00142C6B" w:rsidR="00014566">
        <w:rPr>
          <w:lang w:val="en-GB"/>
        </w:rPr>
        <w:t>.  Article 41 of the Convention provides:</w:t>
      </w:r>
    </w:p>
    <w:p w:rsidRPr="00142C6B" w:rsidR="00014566" w:rsidP="00142C6B" w:rsidRDefault="00014566">
      <w:pPr>
        <w:pStyle w:val="ECHRParaQuote"/>
        <w:keepNext/>
        <w:keepLines/>
        <w:rPr>
          <w:lang w:val="en-GB"/>
        </w:rPr>
      </w:pPr>
      <w:r w:rsidRPr="00142C6B">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142C6B" w:rsidR="00014566" w:rsidP="00142C6B" w:rsidRDefault="00014566">
      <w:pPr>
        <w:pStyle w:val="ECHRHeading2"/>
        <w:rPr>
          <w:lang w:val="en-GB"/>
        </w:rPr>
      </w:pPr>
      <w:r w:rsidRPr="00142C6B">
        <w:rPr>
          <w:lang w:val="en-GB"/>
        </w:rPr>
        <w:t>A.  </w:t>
      </w:r>
      <w:r w:rsidRPr="00142C6B">
        <w:t>Damage</w:t>
      </w:r>
    </w:p>
    <w:p w:rsidRPr="00142C6B" w:rsidR="00014566" w:rsidP="00142C6B" w:rsidRDefault="00EF294E">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51</w:t>
      </w:r>
      <w:r w:rsidRPr="00142C6B">
        <w:rPr>
          <w:lang w:val="en-GB"/>
        </w:rPr>
        <w:fldChar w:fldCharType="end"/>
      </w:r>
      <w:r w:rsidRPr="00142C6B" w:rsidR="00014566">
        <w:rPr>
          <w:lang w:val="en-GB"/>
        </w:rPr>
        <w:t xml:space="preserve">.  The applicant claimed </w:t>
      </w:r>
      <w:r w:rsidRPr="00142C6B" w:rsidR="00280CFE">
        <w:rPr>
          <w:lang w:val="en-GB"/>
        </w:rPr>
        <w:t>RSD 720,000 (</w:t>
      </w:r>
      <w:r w:rsidRPr="00142C6B" w:rsidR="00E03987">
        <w:rPr>
          <w:lang w:val="en-GB"/>
        </w:rPr>
        <w:t>6,218</w:t>
      </w:r>
      <w:r w:rsidRPr="00142C6B" w:rsidR="00014566">
        <w:rPr>
          <w:lang w:val="en-GB"/>
        </w:rPr>
        <w:t xml:space="preserve"> euros (EUR)</w:t>
      </w:r>
      <w:r w:rsidRPr="00142C6B" w:rsidR="00280CFE">
        <w:rPr>
          <w:lang w:val="en-GB"/>
        </w:rPr>
        <w:t>)</w:t>
      </w:r>
      <w:r w:rsidRPr="00142C6B" w:rsidR="00014566">
        <w:rPr>
          <w:lang w:val="en-GB"/>
        </w:rPr>
        <w:t xml:space="preserve"> in respect of non-pecuniary damage</w:t>
      </w:r>
      <w:r w:rsidRPr="00142C6B" w:rsidR="00187870">
        <w:rPr>
          <w:lang w:val="en-GB"/>
        </w:rPr>
        <w:t>. As regard</w:t>
      </w:r>
      <w:r w:rsidRPr="00142C6B" w:rsidR="00E13576">
        <w:rPr>
          <w:lang w:val="en-GB"/>
        </w:rPr>
        <w:t>s</w:t>
      </w:r>
      <w:r w:rsidRPr="00142C6B" w:rsidR="00187870">
        <w:rPr>
          <w:lang w:val="en-GB"/>
        </w:rPr>
        <w:t xml:space="preserve"> the amount, the applicant </w:t>
      </w:r>
      <w:r w:rsidRPr="00142C6B" w:rsidR="008B23CB">
        <w:rPr>
          <w:lang w:val="en-GB"/>
        </w:rPr>
        <w:t xml:space="preserve">linked it </w:t>
      </w:r>
      <w:r w:rsidRPr="00142C6B" w:rsidR="00053DE8">
        <w:rPr>
          <w:lang w:val="en-GB"/>
        </w:rPr>
        <w:t>to the amount that a person unlawfully detain</w:t>
      </w:r>
      <w:r w:rsidRPr="00142C6B" w:rsidR="00187870">
        <w:rPr>
          <w:lang w:val="en-GB"/>
        </w:rPr>
        <w:t>ed for ninety days</w:t>
      </w:r>
      <w:r w:rsidRPr="00142C6B" w:rsidR="00053DE8">
        <w:rPr>
          <w:lang w:val="en-GB"/>
        </w:rPr>
        <w:t xml:space="preserve"> would receive on account of non-pecuniary damage.</w:t>
      </w:r>
    </w:p>
    <w:p w:rsidRPr="00142C6B" w:rsidR="00187870" w:rsidP="00142C6B" w:rsidRDefault="00EF294E">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52</w:t>
      </w:r>
      <w:r w:rsidRPr="00142C6B">
        <w:rPr>
          <w:lang w:val="en-GB"/>
        </w:rPr>
        <w:fldChar w:fldCharType="end"/>
      </w:r>
      <w:r w:rsidRPr="00142C6B" w:rsidR="00014566">
        <w:rPr>
          <w:lang w:val="en-GB"/>
        </w:rPr>
        <w:t>.  </w:t>
      </w:r>
      <w:r w:rsidRPr="00142C6B" w:rsidR="00187870">
        <w:t>The Government considered that the applicant</w:t>
      </w:r>
      <w:r w:rsidRPr="00142C6B" w:rsidR="00142C6B">
        <w:t>’</w:t>
      </w:r>
      <w:r w:rsidRPr="00142C6B" w:rsidR="00187870">
        <w:t>s claim for non-pecuniary damages should be rejected as he ha</w:t>
      </w:r>
      <w:r w:rsidRPr="00142C6B" w:rsidR="008B23CB">
        <w:t>d</w:t>
      </w:r>
      <w:r w:rsidRPr="00142C6B" w:rsidR="00187870">
        <w:t xml:space="preserve"> been amnestied. Were the Court to have another view, t</w:t>
      </w:r>
      <w:r w:rsidRPr="00142C6B" w:rsidR="00014566">
        <w:rPr>
          <w:lang w:val="en-GB"/>
        </w:rPr>
        <w:t xml:space="preserve">he Government </w:t>
      </w:r>
      <w:r w:rsidRPr="00142C6B" w:rsidR="00880A2A">
        <w:rPr>
          <w:lang w:val="en-GB"/>
        </w:rPr>
        <w:t>considered this amount excessive.</w:t>
      </w:r>
    </w:p>
    <w:p w:rsidRPr="00142C6B" w:rsidR="00014566" w:rsidP="00142C6B" w:rsidRDefault="00EF294E">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53</w:t>
      </w:r>
      <w:r w:rsidRPr="00142C6B">
        <w:rPr>
          <w:lang w:val="en-GB"/>
        </w:rPr>
        <w:fldChar w:fldCharType="end"/>
      </w:r>
      <w:r w:rsidRPr="00142C6B" w:rsidR="00880A2A">
        <w:rPr>
          <w:lang w:val="en-GB"/>
        </w:rPr>
        <w:t>.  </w:t>
      </w:r>
      <w:r w:rsidRPr="00142C6B" w:rsidR="00C43B79">
        <w:rPr>
          <w:lang w:val="en-GB"/>
        </w:rPr>
        <w:t xml:space="preserve">The Court considers that the applicant has suffered some non-pecuniary damage which cannot be sufficiently compensated for by </w:t>
      </w:r>
      <w:r w:rsidRPr="00142C6B" w:rsidR="008B23CB">
        <w:rPr>
          <w:lang w:val="en-GB"/>
        </w:rPr>
        <w:t>a</w:t>
      </w:r>
      <w:r w:rsidRPr="00142C6B" w:rsidR="00C43B79">
        <w:rPr>
          <w:lang w:val="en-GB"/>
        </w:rPr>
        <w:t xml:space="preserve"> mere finding of a violation of the Convention. It therefore</w:t>
      </w:r>
      <w:r w:rsidRPr="00142C6B" w:rsidR="00880A2A">
        <w:t xml:space="preserve"> awards the applicant EUR 1,000 in respect of non</w:t>
      </w:r>
      <w:r w:rsidRPr="00142C6B" w:rsidR="00880A2A">
        <w:noBreakHyphen/>
        <w:t>pecuniary damage.</w:t>
      </w:r>
    </w:p>
    <w:p w:rsidRPr="00142C6B" w:rsidR="00014566" w:rsidP="00142C6B" w:rsidRDefault="00014566">
      <w:pPr>
        <w:pStyle w:val="ECHRHeading2"/>
      </w:pPr>
      <w:r w:rsidRPr="00142C6B">
        <w:rPr>
          <w:lang w:val="en-GB"/>
        </w:rPr>
        <w:t>B.  Costs and expenses</w:t>
      </w:r>
    </w:p>
    <w:p w:rsidRPr="00142C6B" w:rsidR="003F2893" w:rsidP="00142C6B" w:rsidRDefault="00EF294E">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54</w:t>
      </w:r>
      <w:r w:rsidRPr="00142C6B">
        <w:rPr>
          <w:lang w:val="en-GB"/>
        </w:rPr>
        <w:fldChar w:fldCharType="end"/>
      </w:r>
      <w:r w:rsidRPr="00142C6B" w:rsidR="00014566">
        <w:rPr>
          <w:lang w:val="en-GB"/>
        </w:rPr>
        <w:t>.  </w:t>
      </w:r>
      <w:r w:rsidRPr="00142C6B" w:rsidR="00C43B79">
        <w:rPr>
          <w:lang w:val="en-GB"/>
        </w:rPr>
        <w:t>The applicant firstly claimed RSD 14,739 (</w:t>
      </w:r>
      <w:r w:rsidRPr="00142C6B" w:rsidR="000F0A7F">
        <w:rPr>
          <w:lang w:val="en-GB"/>
        </w:rPr>
        <w:t>EUR 131</w:t>
      </w:r>
      <w:r w:rsidRPr="00142C6B" w:rsidR="00C43B79">
        <w:rPr>
          <w:lang w:val="en-GB"/>
        </w:rPr>
        <w:t>) for the costs and expenses requested by the criminal court</w:t>
      </w:r>
      <w:r w:rsidRPr="00142C6B" w:rsidR="000F0A7F">
        <w:rPr>
          <w:lang w:val="en-GB"/>
        </w:rPr>
        <w:t xml:space="preserve"> (see paragraph 10 above).</w:t>
      </w:r>
      <w:r w:rsidRPr="00142C6B" w:rsidR="00C43B79">
        <w:t xml:space="preserve"> </w:t>
      </w:r>
      <w:r w:rsidRPr="00142C6B" w:rsidR="003F2893">
        <w:t xml:space="preserve">The applicant also claimed a total of approximately EUR 8,000 for the costs and expenses incurred before the domestic courts, as well as for those incurred before the Court. </w:t>
      </w:r>
      <w:r w:rsidRPr="00142C6B" w:rsidR="00C43B79">
        <w:t>The applicant</w:t>
      </w:r>
      <w:r w:rsidRPr="00142C6B" w:rsidR="000F0A7F">
        <w:t xml:space="preserve"> submitted a fees agreement in this respect.</w:t>
      </w:r>
    </w:p>
    <w:p w:rsidRPr="00142C6B" w:rsidR="00014566" w:rsidP="00142C6B" w:rsidRDefault="00EF294E">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55</w:t>
      </w:r>
      <w:r w:rsidRPr="00142C6B">
        <w:rPr>
          <w:lang w:val="en-GB"/>
        </w:rPr>
        <w:fldChar w:fldCharType="end"/>
      </w:r>
      <w:r w:rsidRPr="00142C6B" w:rsidR="00014566">
        <w:rPr>
          <w:lang w:val="en-GB"/>
        </w:rPr>
        <w:t>.  </w:t>
      </w:r>
      <w:r w:rsidRPr="00142C6B" w:rsidR="003C6B1D">
        <w:t xml:space="preserve">The Government considered the amount claimed for costs and expenses excessive as to quantum. </w:t>
      </w:r>
      <w:r w:rsidRPr="00142C6B" w:rsidR="003C6B1D">
        <w:rPr>
          <w:lang w:val="en-GB"/>
        </w:rPr>
        <w:t>T</w:t>
      </w:r>
      <w:r w:rsidRPr="00142C6B" w:rsidR="00053DE8">
        <w:rPr>
          <w:lang w:val="en-GB"/>
        </w:rPr>
        <w:t>he amount paid to the criminal court</w:t>
      </w:r>
      <w:r w:rsidRPr="00142C6B" w:rsidR="003C6B1D">
        <w:rPr>
          <w:lang w:val="en-GB"/>
        </w:rPr>
        <w:t xml:space="preserve"> has not been contested</w:t>
      </w:r>
      <w:r w:rsidRPr="00142C6B" w:rsidR="00053DE8">
        <w:rPr>
          <w:lang w:val="en-GB"/>
        </w:rPr>
        <w:t xml:space="preserve">. </w:t>
      </w:r>
      <w:r w:rsidRPr="00142C6B" w:rsidR="00C7383D">
        <w:rPr>
          <w:lang w:val="en-GB"/>
        </w:rPr>
        <w:t>As regards the other expenses</w:t>
      </w:r>
      <w:r w:rsidRPr="00142C6B" w:rsidR="00187870">
        <w:rPr>
          <w:lang w:val="en-GB"/>
        </w:rPr>
        <w:t xml:space="preserve">, the Government contested </w:t>
      </w:r>
      <w:r w:rsidRPr="00142C6B" w:rsidR="00C7383D">
        <w:rPr>
          <w:lang w:val="en-GB"/>
        </w:rPr>
        <w:t xml:space="preserve">that </w:t>
      </w:r>
      <w:r w:rsidRPr="00142C6B" w:rsidR="008B23CB">
        <w:rPr>
          <w:lang w:val="en-GB"/>
        </w:rPr>
        <w:t xml:space="preserve">only </w:t>
      </w:r>
      <w:r w:rsidRPr="00142C6B" w:rsidR="00187870">
        <w:rPr>
          <w:lang w:val="en-GB"/>
        </w:rPr>
        <w:t>some of the expen</w:t>
      </w:r>
      <w:r w:rsidRPr="00142C6B" w:rsidR="00280CFE">
        <w:rPr>
          <w:lang w:val="en-GB"/>
        </w:rPr>
        <w:t xml:space="preserve">ses had actually </w:t>
      </w:r>
      <w:r w:rsidRPr="00142C6B" w:rsidR="008B23CB">
        <w:rPr>
          <w:lang w:val="en-GB"/>
        </w:rPr>
        <w:t xml:space="preserve">been </w:t>
      </w:r>
      <w:r w:rsidRPr="00142C6B" w:rsidR="00280CFE">
        <w:rPr>
          <w:lang w:val="en-GB"/>
        </w:rPr>
        <w:t xml:space="preserve">incurred, as well as certain </w:t>
      </w:r>
      <w:r w:rsidRPr="00142C6B" w:rsidR="00C7383D">
        <w:rPr>
          <w:lang w:val="en-GB"/>
        </w:rPr>
        <w:t>expenses</w:t>
      </w:r>
      <w:r w:rsidRPr="00142C6B" w:rsidR="00280CFE">
        <w:rPr>
          <w:lang w:val="en-GB"/>
        </w:rPr>
        <w:t xml:space="preserve"> which were </w:t>
      </w:r>
      <w:r w:rsidRPr="00142C6B" w:rsidR="00C7383D">
        <w:rPr>
          <w:lang w:val="en-GB"/>
        </w:rPr>
        <w:t>incurred</w:t>
      </w:r>
      <w:r w:rsidRPr="00142C6B" w:rsidR="00280CFE">
        <w:rPr>
          <w:lang w:val="en-GB"/>
        </w:rPr>
        <w:t xml:space="preserve"> due to the a</w:t>
      </w:r>
      <w:r w:rsidRPr="00142C6B" w:rsidR="00C7383D">
        <w:rPr>
          <w:lang w:val="en-GB"/>
        </w:rPr>
        <w:t>pplica</w:t>
      </w:r>
      <w:r w:rsidRPr="00142C6B" w:rsidR="00280CFE">
        <w:rPr>
          <w:lang w:val="en-GB"/>
        </w:rPr>
        <w:t>nt</w:t>
      </w:r>
      <w:r w:rsidRPr="00142C6B" w:rsidR="00142C6B">
        <w:rPr>
          <w:lang w:val="en-GB"/>
        </w:rPr>
        <w:t>’</w:t>
      </w:r>
      <w:r w:rsidRPr="00142C6B" w:rsidR="00280CFE">
        <w:rPr>
          <w:lang w:val="en-GB"/>
        </w:rPr>
        <w:t>s private indictment.</w:t>
      </w:r>
      <w:r w:rsidRPr="00142C6B" w:rsidR="00C7383D">
        <w:rPr>
          <w:lang w:val="en-GB"/>
        </w:rPr>
        <w:t xml:space="preserve"> They also contested the exchange rate applied by the applicant.</w:t>
      </w:r>
    </w:p>
    <w:p w:rsidRPr="00142C6B" w:rsidR="00280CFE" w:rsidP="00142C6B" w:rsidRDefault="003F2893">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56</w:t>
      </w:r>
      <w:r w:rsidRPr="00142C6B">
        <w:rPr>
          <w:lang w:val="en-GB"/>
        </w:rPr>
        <w:fldChar w:fldCharType="end"/>
      </w:r>
      <w:r w:rsidRPr="00142C6B">
        <w:rPr>
          <w:lang w:val="en-GB"/>
        </w:rPr>
        <w:t>.  </w:t>
      </w:r>
      <w:r w:rsidRPr="00142C6B">
        <w:t>According to the Court</w:t>
      </w:r>
      <w:r w:rsidRPr="00142C6B" w:rsidR="00142C6B">
        <w:t>’</w:t>
      </w:r>
      <w:r w:rsidRPr="00142C6B">
        <w:t xml:space="preserve">s case-law, an applicant is entitled to the reimbursement of costs and expenses only in so far as it has been shown that these have been actually and necessarily incurred and </w:t>
      </w:r>
      <w:r w:rsidRPr="00142C6B" w:rsidR="008B23CB">
        <w:t xml:space="preserve">are </w:t>
      </w:r>
      <w:r w:rsidRPr="00142C6B">
        <w:t>reasonable as to quantum. That is, the applicant must have paid them, or be bound to pay them, pursuant to a legal or contractual obligation, and they must have been unavoidable in order to prevent the violation found or to obtain redress.</w:t>
      </w:r>
      <w:r w:rsidRPr="00142C6B" w:rsidR="00C7383D">
        <w:rPr>
          <w:lang w:val="en-GB"/>
        </w:rPr>
        <w:t xml:space="preserve"> </w:t>
      </w:r>
      <w:r w:rsidRPr="00142C6B">
        <w:t xml:space="preserve">In the present case, regard being had to the documents in its possession and the above criteria, the Court considers it reasonable to award the applicant the sum of EUR </w:t>
      </w:r>
      <w:r w:rsidRPr="00142C6B" w:rsidR="00C7383D">
        <w:t>2,</w:t>
      </w:r>
      <w:r w:rsidRPr="00142C6B" w:rsidR="00EA7688">
        <w:t>0</w:t>
      </w:r>
      <w:r w:rsidRPr="00142C6B">
        <w:t>00 for the costs and expenses incurred domestically, as well as the costs and expenses incurred before the Court.</w:t>
      </w:r>
    </w:p>
    <w:p w:rsidRPr="00142C6B" w:rsidR="00014566" w:rsidP="00142C6B" w:rsidRDefault="00014566">
      <w:pPr>
        <w:pStyle w:val="ECHRHeading2"/>
      </w:pPr>
      <w:r w:rsidRPr="00142C6B">
        <w:rPr>
          <w:lang w:val="en-GB"/>
        </w:rPr>
        <w:t>C.  Default interest</w:t>
      </w:r>
    </w:p>
    <w:p w:rsidRPr="00142C6B" w:rsidR="00014566" w:rsidP="00142C6B" w:rsidRDefault="00EF294E">
      <w:pPr>
        <w:pStyle w:val="ECHRPara"/>
        <w:rPr>
          <w:lang w:val="en-GB"/>
        </w:rPr>
      </w:pPr>
      <w:r w:rsidRPr="00142C6B">
        <w:rPr>
          <w:lang w:val="en-GB"/>
        </w:rPr>
        <w:fldChar w:fldCharType="begin"/>
      </w:r>
      <w:r w:rsidRPr="00142C6B">
        <w:rPr>
          <w:lang w:val="en-GB"/>
        </w:rPr>
        <w:instrText xml:space="preserve"> SEQ level0 \*arabic </w:instrText>
      </w:r>
      <w:r w:rsidRPr="00142C6B">
        <w:rPr>
          <w:lang w:val="en-GB"/>
        </w:rPr>
        <w:fldChar w:fldCharType="separate"/>
      </w:r>
      <w:r w:rsidRPr="00142C6B" w:rsidR="00142C6B">
        <w:rPr>
          <w:noProof/>
          <w:lang w:val="en-GB"/>
        </w:rPr>
        <w:t>57</w:t>
      </w:r>
      <w:r w:rsidRPr="00142C6B">
        <w:rPr>
          <w:lang w:val="en-GB"/>
        </w:rPr>
        <w:fldChar w:fldCharType="end"/>
      </w:r>
      <w:r w:rsidRPr="00142C6B" w:rsidR="00014566">
        <w:rPr>
          <w:lang w:val="en-GB"/>
        </w:rPr>
        <w:t>.  The Court considers it appropriate that the default interest rate should be based on the marginal lending rate of the European Central Bank, to which should be added three percentage points.</w:t>
      </w:r>
    </w:p>
    <w:p w:rsidRPr="00142C6B" w:rsidR="00014566" w:rsidP="00142C6B" w:rsidRDefault="00BB5883">
      <w:pPr>
        <w:pStyle w:val="ECHRTitle1"/>
        <w:rPr>
          <w:lang w:val="en-GB"/>
        </w:rPr>
      </w:pPr>
      <w:r w:rsidRPr="00142C6B">
        <w:rPr>
          <w:lang w:val="en-GB"/>
        </w:rPr>
        <w:t>FOR THESE REASONS, THE COURT</w:t>
      </w:r>
      <w:r w:rsidRPr="00142C6B" w:rsidR="00EF294E">
        <w:rPr>
          <w:lang w:val="en-GB"/>
        </w:rPr>
        <w:t>, UNANIMOUSLY,</w:t>
      </w:r>
    </w:p>
    <w:p w:rsidRPr="00142C6B" w:rsidR="00B637B9" w:rsidP="00142C6B" w:rsidRDefault="00B637B9">
      <w:pPr>
        <w:pStyle w:val="JuList"/>
        <w:rPr>
          <w:lang w:val="en-GB"/>
        </w:rPr>
      </w:pPr>
      <w:r w:rsidRPr="00142C6B">
        <w:rPr>
          <w:lang w:val="en-GB"/>
        </w:rPr>
        <w:t>1.  </w:t>
      </w:r>
      <w:r w:rsidRPr="00142C6B">
        <w:rPr>
          <w:i/>
          <w:lang w:val="en-GB"/>
        </w:rPr>
        <w:t>Declares</w:t>
      </w:r>
      <w:r w:rsidRPr="00142C6B">
        <w:rPr>
          <w:lang w:val="en-GB"/>
        </w:rPr>
        <w:t xml:space="preserve"> the </w:t>
      </w:r>
      <w:r w:rsidRPr="00142C6B" w:rsidR="00EF294E">
        <w:rPr>
          <w:lang w:val="en-GB"/>
        </w:rPr>
        <w:t>application</w:t>
      </w:r>
      <w:r w:rsidRPr="00142C6B">
        <w:rPr>
          <w:lang w:val="en-GB"/>
        </w:rPr>
        <w:t xml:space="preserve"> admissible;</w:t>
      </w:r>
    </w:p>
    <w:p w:rsidRPr="00142C6B" w:rsidR="00AF42F9" w:rsidP="00142C6B" w:rsidRDefault="00AF42F9">
      <w:pPr>
        <w:pStyle w:val="JuList"/>
        <w:rPr>
          <w:lang w:val="en-GB"/>
        </w:rPr>
      </w:pPr>
    </w:p>
    <w:p w:rsidRPr="00142C6B" w:rsidR="00014566" w:rsidP="00142C6B" w:rsidRDefault="00CF5C5B">
      <w:pPr>
        <w:pStyle w:val="JuList"/>
        <w:rPr>
          <w:lang w:val="en-GB"/>
        </w:rPr>
      </w:pPr>
      <w:r w:rsidRPr="00142C6B">
        <w:rPr>
          <w:lang w:val="en-GB"/>
        </w:rPr>
        <w:t>2</w:t>
      </w:r>
      <w:r w:rsidRPr="00142C6B" w:rsidR="00014566">
        <w:rPr>
          <w:lang w:val="en-GB"/>
        </w:rPr>
        <w:t>.  </w:t>
      </w:r>
      <w:r w:rsidRPr="00142C6B" w:rsidR="00014566">
        <w:rPr>
          <w:i/>
          <w:lang w:val="en-GB"/>
        </w:rPr>
        <w:t>Holds</w:t>
      </w:r>
      <w:r w:rsidRPr="00142C6B" w:rsidR="00DE7F3B">
        <w:rPr>
          <w:i/>
          <w:lang w:val="en-GB"/>
        </w:rPr>
        <w:t xml:space="preserve"> </w:t>
      </w:r>
      <w:r w:rsidRPr="00142C6B" w:rsidR="00014566">
        <w:rPr>
          <w:lang w:val="en-GB"/>
        </w:rPr>
        <w:t xml:space="preserve">that there has been a violation of Article </w:t>
      </w:r>
      <w:r w:rsidRPr="00142C6B">
        <w:rPr>
          <w:lang w:val="en-GB"/>
        </w:rPr>
        <w:t xml:space="preserve">4 of Protocol No. 7 </w:t>
      </w:r>
      <w:r w:rsidRPr="00142C6B" w:rsidR="003E05AE">
        <w:rPr>
          <w:lang w:val="en-GB"/>
        </w:rPr>
        <w:t>to</w:t>
      </w:r>
      <w:r w:rsidRPr="00142C6B" w:rsidR="00014566">
        <w:rPr>
          <w:lang w:val="en-GB"/>
        </w:rPr>
        <w:t xml:space="preserve"> the Convention;</w:t>
      </w:r>
    </w:p>
    <w:p w:rsidRPr="00142C6B" w:rsidR="00014566" w:rsidP="00142C6B" w:rsidRDefault="00014566">
      <w:pPr>
        <w:pStyle w:val="JuList"/>
        <w:rPr>
          <w:lang w:val="en-GB"/>
        </w:rPr>
      </w:pPr>
    </w:p>
    <w:p w:rsidRPr="00142C6B" w:rsidR="00014566" w:rsidP="00142C6B" w:rsidRDefault="00BE0EB5">
      <w:pPr>
        <w:pStyle w:val="JuList"/>
        <w:rPr>
          <w:lang w:val="en-GB"/>
        </w:rPr>
      </w:pPr>
      <w:r w:rsidRPr="00142C6B">
        <w:rPr>
          <w:lang w:val="en-GB"/>
        </w:rPr>
        <w:t>3</w:t>
      </w:r>
      <w:r w:rsidRPr="00142C6B" w:rsidR="00014566">
        <w:rPr>
          <w:lang w:val="en-GB"/>
        </w:rPr>
        <w:t>.  </w:t>
      </w:r>
      <w:r w:rsidRPr="00142C6B" w:rsidR="00014566">
        <w:rPr>
          <w:i/>
          <w:lang w:val="en-GB"/>
        </w:rPr>
        <w:t>Holds</w:t>
      </w:r>
    </w:p>
    <w:p w:rsidRPr="00142C6B" w:rsidR="00EA7688" w:rsidP="00142C6B" w:rsidRDefault="00EA7688">
      <w:pPr>
        <w:pStyle w:val="JuLista"/>
        <w:rPr>
          <w:lang w:val="en-GB"/>
        </w:rPr>
      </w:pPr>
      <w:r w:rsidRPr="00142C6B">
        <w:rPr>
          <w:lang w:val="en-GB"/>
        </w:rPr>
        <w:t>(a)  that the respondent State is to pay the applicant, within three months</w:t>
      </w:r>
      <w:r w:rsidRPr="00142C6B" w:rsidR="00D33B0F">
        <w:rPr>
          <w:lang w:val="en-GB"/>
        </w:rPr>
        <w:t xml:space="preserve"> </w:t>
      </w:r>
      <w:r w:rsidRPr="00142C6B">
        <w:rPr>
          <w:lang w:val="en-GB"/>
        </w:rPr>
        <w:t>from the date on which the judgment becomes final in accordance with Article 44 § 2 of the Convention, the following amounts,</w:t>
      </w:r>
      <w:r w:rsidRPr="00142C6B">
        <w:rPr>
          <w:b/>
          <w:lang w:val="en-GB"/>
        </w:rPr>
        <w:t xml:space="preserve"> </w:t>
      </w:r>
      <w:r w:rsidRPr="00142C6B">
        <w:rPr>
          <w:lang w:val="en-GB"/>
        </w:rPr>
        <w:t>to be converted into the currency of the respondent State, at the rate applicable at the date of settlement:</w:t>
      </w:r>
    </w:p>
    <w:p w:rsidRPr="00142C6B" w:rsidR="00EA7688" w:rsidP="00142C6B" w:rsidRDefault="00EA7688">
      <w:pPr>
        <w:pStyle w:val="JuListi"/>
        <w:rPr>
          <w:lang w:val="en-GB"/>
        </w:rPr>
      </w:pPr>
      <w:r w:rsidRPr="00142C6B">
        <w:rPr>
          <w:lang w:val="en-GB"/>
        </w:rPr>
        <w:t>(i)  EUR 1,000 (one thousand euros), plus any tax that may be chargeable, in respect of non-pecuniary damage;</w:t>
      </w:r>
    </w:p>
    <w:p w:rsidRPr="00142C6B" w:rsidR="00EA7688" w:rsidP="00142C6B" w:rsidRDefault="00EA7688">
      <w:pPr>
        <w:pStyle w:val="JuListi"/>
        <w:rPr>
          <w:lang w:val="en-GB"/>
        </w:rPr>
      </w:pPr>
      <w:r w:rsidRPr="00142C6B">
        <w:rPr>
          <w:lang w:val="en-GB"/>
        </w:rPr>
        <w:t>(ii) EUR 2,000 (two thousand euros), plus any tax that may be chargeable to the applicant, in respect of costs and expenses;</w:t>
      </w:r>
    </w:p>
    <w:p w:rsidRPr="00142C6B" w:rsidR="00EA7688" w:rsidP="00142C6B" w:rsidRDefault="00EA7688">
      <w:pPr>
        <w:pStyle w:val="JuLista"/>
        <w:rPr>
          <w:lang w:val="en-GB"/>
        </w:rPr>
      </w:pPr>
      <w:r w:rsidRPr="00142C6B">
        <w:rPr>
          <w:lang w:val="en-GB"/>
        </w:rPr>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142C6B" w:rsidR="00014566" w:rsidP="00142C6B" w:rsidRDefault="00014566">
      <w:pPr>
        <w:pStyle w:val="JuList"/>
        <w:rPr>
          <w:lang w:val="en-GB"/>
        </w:rPr>
      </w:pPr>
    </w:p>
    <w:p w:rsidRPr="00142C6B" w:rsidR="00014566" w:rsidP="00142C6B" w:rsidRDefault="00A12EEC">
      <w:pPr>
        <w:pStyle w:val="JuList"/>
        <w:rPr>
          <w:lang w:val="en-GB"/>
        </w:rPr>
      </w:pPr>
      <w:r w:rsidRPr="00142C6B">
        <w:rPr>
          <w:lang w:val="en-GB"/>
        </w:rPr>
        <w:t>4</w:t>
      </w:r>
      <w:r w:rsidRPr="00142C6B" w:rsidR="00014566">
        <w:rPr>
          <w:lang w:val="en-GB"/>
        </w:rPr>
        <w:t>.  </w:t>
      </w:r>
      <w:r w:rsidRPr="00142C6B" w:rsidR="00014566">
        <w:rPr>
          <w:i/>
          <w:lang w:val="en-GB"/>
        </w:rPr>
        <w:t>Dismisses</w:t>
      </w:r>
      <w:r w:rsidRPr="00142C6B">
        <w:rPr>
          <w:i/>
          <w:lang w:val="en-GB"/>
        </w:rPr>
        <w:t xml:space="preserve"> </w:t>
      </w:r>
      <w:r w:rsidRPr="00142C6B" w:rsidR="00014566">
        <w:rPr>
          <w:lang w:val="en-GB"/>
        </w:rPr>
        <w:t>the remainder of the applicant</w:t>
      </w:r>
      <w:r w:rsidRPr="00142C6B" w:rsidR="00142C6B">
        <w:rPr>
          <w:lang w:val="en-GB"/>
        </w:rPr>
        <w:t>’</w:t>
      </w:r>
      <w:r w:rsidRPr="00142C6B" w:rsidR="00EF294E">
        <w:rPr>
          <w:lang w:val="en-GB"/>
        </w:rPr>
        <w:t>s</w:t>
      </w:r>
      <w:r w:rsidRPr="00142C6B" w:rsidR="00014566">
        <w:rPr>
          <w:lang w:val="en-GB"/>
        </w:rPr>
        <w:t xml:space="preserve"> claim for just satisfaction.</w:t>
      </w:r>
    </w:p>
    <w:p w:rsidRPr="00142C6B" w:rsidR="00014566" w:rsidP="00142C6B" w:rsidRDefault="00014566">
      <w:pPr>
        <w:pStyle w:val="JuParaLast"/>
        <w:rPr>
          <w:lang w:val="en-GB"/>
        </w:rPr>
      </w:pPr>
      <w:r w:rsidRPr="00142C6B">
        <w:rPr>
          <w:lang w:val="en-GB"/>
        </w:rPr>
        <w:t xml:space="preserve">Done in English, and notified in writing on </w:t>
      </w:r>
      <w:r w:rsidRPr="00142C6B" w:rsidR="00BE0EB5">
        <w:rPr>
          <w:lang w:val="en-GB"/>
        </w:rPr>
        <w:t>1 March 2016</w:t>
      </w:r>
      <w:r w:rsidRPr="00142C6B">
        <w:rPr>
          <w:lang w:val="en-GB"/>
        </w:rPr>
        <w:t>, pursuant to Rule 77 §§ 2 and 3 of the Rules of Court.</w:t>
      </w:r>
    </w:p>
    <w:p w:rsidRPr="00142C6B" w:rsidR="00014566" w:rsidP="00142C6B" w:rsidRDefault="00014566">
      <w:pPr>
        <w:pStyle w:val="JuSigned"/>
        <w:rPr>
          <w:lang w:val="fr-FR"/>
        </w:rPr>
      </w:pPr>
      <w:r w:rsidRPr="00142C6B">
        <w:rPr>
          <w:lang w:val="en-GB"/>
        </w:rPr>
        <w:tab/>
      </w:r>
      <w:r w:rsidRPr="00142C6B" w:rsidR="00BE0EB5">
        <w:rPr>
          <w:lang w:val="fr-FR"/>
        </w:rPr>
        <w:t>Marialena Tsirli</w:t>
      </w:r>
      <w:r w:rsidRPr="00142C6B">
        <w:rPr>
          <w:lang w:val="fr-FR"/>
        </w:rPr>
        <w:tab/>
      </w:r>
      <w:r w:rsidRPr="00142C6B" w:rsidR="00EA7688">
        <w:rPr>
          <w:szCs w:val="24"/>
          <w:lang w:val="fr-FR"/>
        </w:rPr>
        <w:t>Luis López Guerra</w:t>
      </w:r>
      <w:r w:rsidRPr="00142C6B" w:rsidR="00E1557C">
        <w:rPr>
          <w:szCs w:val="24"/>
          <w:lang w:val="fr-FR"/>
        </w:rPr>
        <w:br/>
      </w:r>
      <w:r w:rsidRPr="00142C6B">
        <w:rPr>
          <w:lang w:val="fr-FR"/>
        </w:rPr>
        <w:tab/>
      </w:r>
      <w:r w:rsidRPr="00142C6B" w:rsidR="00BE0EB5">
        <w:rPr>
          <w:lang w:val="fr-FR"/>
        </w:rPr>
        <w:t xml:space="preserve">Deputy </w:t>
      </w:r>
      <w:r w:rsidRPr="00142C6B" w:rsidR="00EF294E">
        <w:rPr>
          <w:iCs/>
          <w:lang w:val="fr-FR"/>
        </w:rPr>
        <w:t>Registrar</w:t>
      </w:r>
      <w:r w:rsidRPr="00142C6B">
        <w:rPr>
          <w:lang w:val="fr-FR"/>
        </w:rPr>
        <w:tab/>
        <w:t>President</w:t>
      </w:r>
    </w:p>
    <w:p w:rsidRPr="00142C6B" w:rsidR="004D15F3" w:rsidP="00142C6B" w:rsidRDefault="004D15F3">
      <w:pPr>
        <w:rPr>
          <w:lang w:val="fr-FR"/>
        </w:rPr>
      </w:pPr>
    </w:p>
    <w:sectPr w:rsidRPr="00142C6B" w:rsidR="004D15F3" w:rsidSect="00DE7F3B">
      <w:headerReference w:type="even" r:id="rId11"/>
      <w:headerReference w:type="default" r:id="rId12"/>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3CB" w:rsidRDefault="008B23CB" w:rsidP="00014566">
      <w:r>
        <w:separator/>
      </w:r>
    </w:p>
  </w:endnote>
  <w:endnote w:type="continuationSeparator" w:id="0">
    <w:p w:rsidR="008B23CB" w:rsidRDefault="008B23CB"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F3B" w:rsidRPr="00150BFA" w:rsidRDefault="00DE7F3B" w:rsidP="0020718E">
    <w:pPr>
      <w:jc w:val="center"/>
    </w:pPr>
    <w:r>
      <w:rPr>
        <w:noProof/>
        <w:lang w:eastAsia="ja-JP"/>
      </w:rPr>
      <w:drawing>
        <wp:inline distT="0" distB="0" distL="0" distR="0" wp14:anchorId="568FFEBF" wp14:editId="6D2CC811">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DE7F3B" w:rsidRDefault="00DE7F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3CB" w:rsidRDefault="008B23CB" w:rsidP="00014566">
      <w:r>
        <w:separator/>
      </w:r>
    </w:p>
  </w:footnote>
  <w:footnote w:type="continuationSeparator" w:id="0">
    <w:p w:rsidR="008B23CB" w:rsidRDefault="008B23CB" w:rsidP="00014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3CB" w:rsidRPr="00DE7F3B" w:rsidRDefault="008B23CB" w:rsidP="00DE7F3B">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F3B" w:rsidRPr="00A45145" w:rsidRDefault="00DE7F3B" w:rsidP="00A45145">
    <w:pPr>
      <w:jc w:val="center"/>
    </w:pPr>
    <w:r>
      <w:rPr>
        <w:noProof/>
        <w:lang w:eastAsia="ja-JP"/>
      </w:rPr>
      <w:drawing>
        <wp:inline distT="0" distB="0" distL="0" distR="0" wp14:anchorId="1162417E" wp14:editId="01773DF1">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DE7F3B" w:rsidRDefault="00DE7F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F3B" w:rsidRPr="00FF2306" w:rsidRDefault="00DE7F3B"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142C6B">
      <w:rPr>
        <w:rStyle w:val="PageNumber"/>
        <w:noProof/>
        <w:szCs w:val="18"/>
        <w:lang w:val="en-GB"/>
      </w:rPr>
      <w:t>14</w:t>
    </w:r>
    <w:r>
      <w:rPr>
        <w:rStyle w:val="PageNumber"/>
        <w:szCs w:val="18"/>
        <w:lang w:val="en-GB"/>
      </w:rPr>
      <w:fldChar w:fldCharType="end"/>
    </w:r>
    <w:r w:rsidRPr="00FF2306">
      <w:rPr>
        <w:lang w:val="en-GB"/>
      </w:rPr>
      <w:tab/>
    </w:r>
    <w:r>
      <w:rPr>
        <w:lang w:val="en-GB"/>
      </w:rPr>
      <w:t>MILENKOVIĆ v. SERBIA</w:t>
    </w:r>
    <w:r w:rsidRPr="00FF2306">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F3B" w:rsidRPr="00D60D87" w:rsidRDefault="00DE7F3B" w:rsidP="00D60D87">
    <w:pPr>
      <w:pStyle w:val="ECHRHeader"/>
      <w:rPr>
        <w:lang w:val="en-GB"/>
      </w:rPr>
    </w:pPr>
    <w:r w:rsidRPr="00D60D87">
      <w:rPr>
        <w:lang w:val="en-GB"/>
      </w:rPr>
      <w:tab/>
    </w:r>
    <w:r>
      <w:rPr>
        <w:lang w:val="en-GB"/>
      </w:rPr>
      <w:t>MILENKOVIĆ v. SERBIA</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142C6B">
      <w:rPr>
        <w:rStyle w:val="PageNumber"/>
        <w:noProof/>
        <w:szCs w:val="18"/>
        <w:lang w:val="en-GB"/>
      </w:rPr>
      <w:t>13</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A4A6C79"/>
    <w:multiLevelType w:val="multilevel"/>
    <w:tmpl w:val="2FC04DA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bullet"/>
      <w:lvlText w:val=""/>
      <w:lvlJc w:val="left"/>
      <w:pPr>
        <w:ind w:left="2520" w:hanging="360"/>
      </w:pPr>
      <w:rPr>
        <w:rFonts w:ascii="Symbol" w:hAnsi="Symbol"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B3A5857"/>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DB92CFA"/>
    <w:multiLevelType w:val="hybridMultilevel"/>
    <w:tmpl w:val="513A807C"/>
    <w:lvl w:ilvl="0" w:tplc="EAA8F0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0B35A03"/>
    <w:multiLevelType w:val="multilevel"/>
    <w:tmpl w:val="BC84849E"/>
    <w:lvl w:ilvl="0">
      <w:start w:val="1"/>
      <w:numFmt w:val="lowerLetter"/>
      <w:suff w:val="nothing"/>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15053EB"/>
    <w:multiLevelType w:val="multilevel"/>
    <w:tmpl w:val="941CA41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suff w:val="nothing"/>
      <w:lvlText w:val="(%5)  "/>
      <w:lvlJc w:val="left"/>
      <w:pPr>
        <w:ind w:left="1191"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9ED3C69"/>
    <w:multiLevelType w:val="multilevel"/>
    <w:tmpl w:val="FF7A8054"/>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B3D29CF"/>
    <w:multiLevelType w:val="multilevel"/>
    <w:tmpl w:val="10F4A786"/>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0324D93"/>
    <w:multiLevelType w:val="hybridMultilevel"/>
    <w:tmpl w:val="F7D68528"/>
    <w:lvl w:ilvl="0" w:tplc="569ADEC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777587"/>
    <w:multiLevelType w:val="multilevel"/>
    <w:tmpl w:val="4954960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58756B5"/>
    <w:multiLevelType w:val="multilevel"/>
    <w:tmpl w:val="F8A68542"/>
    <w:lvl w:ilvl="0">
      <w:start w:val="1"/>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9AB3FB9"/>
    <w:multiLevelType w:val="multilevel"/>
    <w:tmpl w:val="7A6AC2C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upperRoman"/>
      <w:lvlText w:val="%7"/>
      <w:lvlJc w:val="left"/>
      <w:pPr>
        <w:tabs>
          <w:tab w:val="num" w:pos="1985"/>
        </w:tabs>
        <w:ind w:left="1985" w:hanging="227"/>
      </w:pPr>
      <w:rPr>
        <w:rFonts w:ascii="Symbol" w:hAnsi="Symbol" w:hint="default"/>
        <w:strike w:val="0"/>
        <w:dstrike w:val="0"/>
        <w:color w:val="auto"/>
        <w:sz w:val="28"/>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B9959AD"/>
    <w:multiLevelType w:val="multilevel"/>
    <w:tmpl w:val="E102B54A"/>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hint="default"/>
        <w:color w:val="0072BC" w:themeColor="background1"/>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0B42C89"/>
    <w:multiLevelType w:val="hybridMultilevel"/>
    <w:tmpl w:val="CFB02226"/>
    <w:lvl w:ilvl="0" w:tplc="52584F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134506C"/>
    <w:multiLevelType w:val="multilevel"/>
    <w:tmpl w:val="F288E2F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tabs>
          <w:tab w:val="num" w:pos="1191"/>
        </w:tabs>
        <w:ind w:left="1191"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74D47F6"/>
    <w:multiLevelType w:val="multilevel"/>
    <w:tmpl w:val="29C02C80"/>
    <w:lvl w:ilvl="0">
      <w:start w:val="1"/>
      <w:numFmt w:val="decimal"/>
      <w:lvlText w:val="%1."/>
      <w:lvlJc w:val="left"/>
      <w:pPr>
        <w:ind w:left="346" w:hanging="346"/>
      </w:pPr>
      <w:rPr>
        <w:rFonts w:hint="default"/>
      </w:rPr>
    </w:lvl>
    <w:lvl w:ilvl="1">
      <w:start w:val="1"/>
      <w:numFmt w:val="lowerLetter"/>
      <w:lvlText w:val="(%2)"/>
      <w:lvlJc w:val="left"/>
      <w:pPr>
        <w:tabs>
          <w:tab w:val="num" w:pos="851"/>
        </w:tabs>
        <w:ind w:left="346" w:firstLine="0"/>
      </w:pPr>
      <w:rPr>
        <w:rFonts w:hint="default"/>
      </w:rPr>
    </w:lvl>
    <w:lvl w:ilvl="2">
      <w:start w:val="1"/>
      <w:numFmt w:val="lowerRoman"/>
      <w:lvlText w:val="(%3)"/>
      <w:lvlJc w:val="left"/>
      <w:pPr>
        <w:tabs>
          <w:tab w:val="num" w:pos="1361"/>
        </w:tabs>
        <w:ind w:left="851"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88D47DE"/>
    <w:multiLevelType w:val="multilevel"/>
    <w:tmpl w:val="F7F2C62E"/>
    <w:lvl w:ilvl="0">
      <w:start w:val="1"/>
      <w:numFmt w:val="decimal"/>
      <w:lvlText w:val="%1."/>
      <w:lvlJc w:val="left"/>
      <w:pPr>
        <w:ind w:left="1021"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E85438D"/>
    <w:multiLevelType w:val="multilevel"/>
    <w:tmpl w:val="73BC578A"/>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suff w:val="space"/>
      <w:lvlText w:val=""/>
      <w:lvlJc w:val="left"/>
      <w:pPr>
        <w:ind w:left="1814" w:hanging="17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13377FF"/>
    <w:multiLevelType w:val="multilevel"/>
    <w:tmpl w:val="EDC8B6AA"/>
    <w:lvl w:ilvl="0">
      <w:start w:val="1"/>
      <w:numFmt w:val="decimal"/>
      <w:lvlText w:val="%1."/>
      <w:lvlJc w:val="left"/>
      <w:pPr>
        <w:tabs>
          <w:tab w:val="num" w:pos="680"/>
        </w:tabs>
        <w:ind w:left="680" w:hanging="28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4E25784"/>
    <w:multiLevelType w:val="multilevel"/>
    <w:tmpl w:val="165083BE"/>
    <w:lvl w:ilvl="0">
      <w:start w:val="1"/>
      <w:numFmt w:val="decimal"/>
      <w:suff w:val="nothing"/>
      <w:lvlText w:val="%1.  "/>
      <w:lvlJc w:val="left"/>
      <w:pPr>
        <w:ind w:left="284" w:hanging="284"/>
      </w:pPr>
      <w:rPr>
        <w:rFonts w:hint="default"/>
      </w:rPr>
    </w:lvl>
    <w:lvl w:ilvl="1">
      <w:start w:val="1"/>
      <w:numFmt w:val="lowerLetter"/>
      <w:suff w:val="nothing"/>
      <w:lvlText w:val="(%2)  "/>
      <w:lvlJc w:val="left"/>
      <w:pPr>
        <w:ind w:left="284"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60B61A5"/>
    <w:multiLevelType w:val="multilevel"/>
    <w:tmpl w:val="11FA262C"/>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Roman"/>
      <w:lvlText w:val="%7"/>
      <w:lvlJc w:val="left"/>
      <w:pPr>
        <w:ind w:left="2520" w:hanging="360"/>
      </w:pPr>
      <w:rPr>
        <w:rFonts w:ascii="Wingdings 3" w:hAnsi="Wingdings 3"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62F4708"/>
    <w:multiLevelType w:val="multilevel"/>
    <w:tmpl w:val="8BD6362E"/>
    <w:lvl w:ilvl="0">
      <w:start w:val="1"/>
      <w:numFmt w:val="upperRoman"/>
      <w:suff w:val="nothing"/>
      <w:lvlText w:val="%1.  "/>
      <w:lvlJc w:val="left"/>
      <w:pPr>
        <w:ind w:left="0" w:firstLine="0"/>
      </w:pPr>
      <w:rPr>
        <w:rFonts w:hint="default"/>
      </w:rPr>
    </w:lvl>
    <w:lvl w:ilvl="1">
      <w:start w:val="1"/>
      <w:numFmt w:val="upperLetter"/>
      <w:lvlText w:val="%2."/>
      <w:lvlJc w:val="left"/>
      <w:pPr>
        <w:ind w:left="454" w:hanging="227"/>
      </w:pPr>
      <w:rPr>
        <w:rFonts w:hint="default"/>
      </w:rPr>
    </w:lvl>
    <w:lvl w:ilvl="2">
      <w:start w:val="1"/>
      <w:numFmt w:val="decimal"/>
      <w:lvlText w:val="%3."/>
      <w:lvlJc w:val="left"/>
      <w:pPr>
        <w:ind w:left="680" w:hanging="226"/>
      </w:pPr>
      <w:rPr>
        <w:rFonts w:hint="default"/>
      </w:rPr>
    </w:lvl>
    <w:lvl w:ilvl="3">
      <w:start w:val="1"/>
      <w:numFmt w:val="lowerLetter"/>
      <w:lvlText w:val="(%4)"/>
      <w:lvlJc w:val="left"/>
      <w:pPr>
        <w:ind w:left="1361" w:hanging="681"/>
      </w:pPr>
      <w:rPr>
        <w:rFonts w:hint="default"/>
      </w:rPr>
    </w:lvl>
    <w:lvl w:ilvl="4">
      <w:start w:val="1"/>
      <w:numFmt w:val="lowerRoman"/>
      <w:suff w:val="nothing"/>
      <w:lvlText w:val="(%5)  "/>
      <w:lvlJc w:val="left"/>
      <w:pPr>
        <w:ind w:left="1361" w:firstLine="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D1F59D2"/>
    <w:multiLevelType w:val="hybridMultilevel"/>
    <w:tmpl w:val="4582FBFC"/>
    <w:lvl w:ilvl="0" w:tplc="0D90B7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DA02EFE"/>
    <w:multiLevelType w:val="multilevel"/>
    <w:tmpl w:val="F42CEE52"/>
    <w:lvl w:ilvl="0">
      <w:start w:val="1"/>
      <w:numFmt w:val="decimal"/>
      <w:lvlText w:val="%1."/>
      <w:lvlJc w:val="left"/>
      <w:pPr>
        <w:ind w:left="284" w:hanging="284"/>
      </w:pPr>
      <w:rPr>
        <w:rFonts w:hint="default"/>
      </w:rPr>
    </w:lvl>
    <w:lvl w:ilvl="1">
      <w:start w:val="1"/>
      <w:numFmt w:val="lowerLetter"/>
      <w:lvlText w:val="(%2)"/>
      <w:lvlJc w:val="left"/>
      <w:pPr>
        <w:tabs>
          <w:tab w:val="num" w:pos="680"/>
        </w:tabs>
        <w:ind w:left="284" w:firstLine="0"/>
      </w:pPr>
      <w:rPr>
        <w:rFonts w:hint="default"/>
      </w:rPr>
    </w:lvl>
    <w:lvl w:ilvl="2">
      <w:start w:val="1"/>
      <w:numFmt w:val="lowerRoman"/>
      <w:suff w:val="nothing"/>
      <w:lvlText w:val="(%3)  "/>
      <w:lvlJc w:val="left"/>
      <w:pPr>
        <w:ind w:left="680" w:firstLine="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4E8C0CF9"/>
    <w:multiLevelType w:val="multilevel"/>
    <w:tmpl w:val="090EC1BE"/>
    <w:lvl w:ilvl="0">
      <w:start w:val="1"/>
      <w:numFmt w:val="upperRoman"/>
      <w:lvlText w:val="%1."/>
      <w:lvlJc w:val="left"/>
      <w:pPr>
        <w:ind w:left="346" w:hanging="346"/>
      </w:pPr>
      <w:rPr>
        <w:rFonts w:hint="default"/>
      </w:rPr>
    </w:lvl>
    <w:lvl w:ilvl="1">
      <w:start w:val="1"/>
      <w:numFmt w:val="upperLetter"/>
      <w:lvlText w:val="%2."/>
      <w:lvlJc w:val="left"/>
      <w:pPr>
        <w:ind w:left="567"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06B6FCB"/>
    <w:multiLevelType w:val="multilevel"/>
    <w:tmpl w:val="067E4BA6"/>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2FB1EA6"/>
    <w:multiLevelType w:val="multilevel"/>
    <w:tmpl w:val="B1545D7A"/>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4812F33"/>
    <w:multiLevelType w:val="multilevel"/>
    <w:tmpl w:val="CD6E7908"/>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none"/>
      <w:lvlText w:val="%7–"/>
      <w:lvlJc w:val="left"/>
      <w:pPr>
        <w:tabs>
          <w:tab w:val="num" w:pos="1985"/>
        </w:tabs>
        <w:ind w:left="1985" w:hanging="227"/>
      </w:pPr>
      <w:rPr>
        <w:rFonts w:asciiTheme="majorHAnsi" w:hAnsiTheme="majorHAnsi" w:hint="default"/>
        <w:color w:val="000000" w:themeColor="text1"/>
        <w:sz w:val="28"/>
      </w:rPr>
    </w:lvl>
    <w:lvl w:ilvl="7">
      <w:start w:val="1"/>
      <w:numFmt w:val="none"/>
      <w:lvlText w:val="%8."/>
      <w:lvlJc w:val="left"/>
      <w:pPr>
        <w:ind w:left="2880" w:hanging="360"/>
      </w:pPr>
      <w:rPr>
        <w:rFonts w:asciiTheme="majorHAnsi" w:hAnsiTheme="majorHAnsi" w:hint="default"/>
        <w:strike w:val="0"/>
        <w:dstrike w:val="0"/>
        <w:color w:val="000000" w:themeColor="text1"/>
        <w:sz w:val="28"/>
        <w:vertAlign w:val="baseline"/>
      </w:rPr>
    </w:lvl>
    <w:lvl w:ilvl="8">
      <w:start w:val="1"/>
      <w:numFmt w:val="lowerRoman"/>
      <w:lvlText w:val="%9."/>
      <w:lvlJc w:val="left"/>
      <w:pPr>
        <w:ind w:left="3240" w:hanging="360"/>
      </w:pPr>
      <w:rPr>
        <w:rFonts w:hint="default"/>
      </w:rPr>
    </w:lvl>
  </w:abstractNum>
  <w:abstractNum w:abstractNumId="38">
    <w:nsid w:val="5A7B5D2C"/>
    <w:multiLevelType w:val="multilevel"/>
    <w:tmpl w:val="0A7CB2D0"/>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tabs>
          <w:tab w:val="num" w:pos="1758"/>
        </w:tabs>
        <w:ind w:left="1758" w:hanging="340"/>
      </w:pPr>
      <w:rPr>
        <w:rFonts w:ascii="Symbol" w:hAnsi="Symbol" w:hint="default"/>
      </w:rPr>
    </w:lvl>
    <w:lvl w:ilvl="6">
      <w:start w:val="1"/>
      <w:numFmt w:val="lowerLetter"/>
      <w:lvlText w:val="%7."/>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1FE1C04"/>
    <w:multiLevelType w:val="multilevel"/>
    <w:tmpl w:val="BEDA27C0"/>
    <w:lvl w:ilvl="0">
      <w:start w:val="1"/>
      <w:numFmt w:val="upperRoman"/>
      <w:suff w:val="nothing"/>
      <w:lvlText w:val="%1.  "/>
      <w:lvlJc w:val="left"/>
      <w:pPr>
        <w:ind w:left="227" w:hanging="227"/>
      </w:pPr>
      <w:rPr>
        <w:rFonts w:hint="default"/>
      </w:rPr>
    </w:lvl>
    <w:lvl w:ilvl="1">
      <w:start w:val="1"/>
      <w:numFmt w:val="upperLetter"/>
      <w:suff w:val="nothing"/>
      <w:lvlText w:val="%2.  "/>
      <w:lvlJc w:val="left"/>
      <w:pPr>
        <w:ind w:left="510" w:hanging="283"/>
      </w:pPr>
      <w:rPr>
        <w:rFonts w:hint="default"/>
      </w:rPr>
    </w:lvl>
    <w:lvl w:ilvl="2">
      <w:start w:val="1"/>
      <w:numFmt w:val="decimal"/>
      <w:suff w:val="nothing"/>
      <w:lvlText w:val="%3.  "/>
      <w:lvlJc w:val="left"/>
      <w:pPr>
        <w:ind w:left="794" w:hanging="284"/>
      </w:pPr>
      <w:rPr>
        <w:rFonts w:hint="default"/>
      </w:rPr>
    </w:lvl>
    <w:lvl w:ilvl="3">
      <w:start w:val="1"/>
      <w:numFmt w:val="lowerLetter"/>
      <w:suff w:val="nothing"/>
      <w:lvlText w:val="(%4)  "/>
      <w:lvlJc w:val="left"/>
      <w:pPr>
        <w:ind w:left="1077" w:hanging="283"/>
      </w:pPr>
      <w:rPr>
        <w:rFonts w:hint="default"/>
      </w:rPr>
    </w:lvl>
    <w:lvl w:ilvl="4">
      <w:start w:val="1"/>
      <w:numFmt w:val="lowerRoman"/>
      <w:suff w:val="nothing"/>
      <w:lvlText w:val="(%5)  "/>
      <w:lvlJc w:val="left"/>
      <w:pPr>
        <w:ind w:left="1304" w:hanging="227"/>
      </w:pPr>
      <w:rPr>
        <w:rFonts w:hint="default"/>
      </w:rPr>
    </w:lvl>
    <w:lvl w:ilvl="5">
      <w:start w:val="1"/>
      <w:numFmt w:val="lowerLetter"/>
      <w:suff w:val="nothing"/>
      <w:lvlText w:val="(%6)  "/>
      <w:lvlJc w:val="left"/>
      <w:pPr>
        <w:ind w:left="1644" w:hanging="340"/>
      </w:pPr>
      <w:rPr>
        <w:rFonts w:ascii="Symbol" w:hAnsi="Symbol" w:hint="default"/>
      </w:rPr>
    </w:lvl>
    <w:lvl w:ilvl="6">
      <w:start w:val="1"/>
      <w:numFmt w:val="bullet"/>
      <w:lvlText w:val=""/>
      <w:lvlJc w:val="left"/>
      <w:pPr>
        <w:ind w:left="1814" w:hanging="170"/>
      </w:pPr>
      <w:rPr>
        <w:rFonts w:ascii="Symbol" w:hAnsi="Symbol" w:hint="default"/>
        <w:color w:val="000000" w:themeColor="text1"/>
      </w:rPr>
    </w:lvl>
    <w:lvl w:ilvl="7">
      <w:start w:val="1"/>
      <w:numFmt w:val="bullet"/>
      <w:lvlText w:val=""/>
      <w:lvlJc w:val="left"/>
      <w:pPr>
        <w:ind w:left="1985" w:hanging="171"/>
      </w:pPr>
      <w:rPr>
        <w:rFonts w:ascii="Wingdings" w:hAnsi="Wingdings" w:hint="default"/>
        <w:color w:val="000000" w:themeColor="text1"/>
      </w:rPr>
    </w:lvl>
    <w:lvl w:ilvl="8">
      <w:start w:val="1"/>
      <w:numFmt w:val="lowerRoman"/>
      <w:lvlText w:val="%9."/>
      <w:lvlJc w:val="left"/>
      <w:pPr>
        <w:ind w:left="3240" w:hanging="360"/>
      </w:pPr>
      <w:rPr>
        <w:rFonts w:hint="default"/>
      </w:rPr>
    </w:lvl>
  </w:abstractNum>
  <w:abstractNum w:abstractNumId="40">
    <w:nsid w:val="66FD4624"/>
    <w:multiLevelType w:val="hybridMultilevel"/>
    <w:tmpl w:val="F8A68542"/>
    <w:lvl w:ilvl="0" w:tplc="7CD2FB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42">
    <w:nsid w:val="6D797CA4"/>
    <w:multiLevelType w:val="multilevel"/>
    <w:tmpl w:val="A1CE0A34"/>
    <w:lvl w:ilvl="0">
      <w:start w:val="1"/>
      <w:numFmt w:val="decimal"/>
      <w:lvlText w:val="%1."/>
      <w:lvlJc w:val="left"/>
      <w:pPr>
        <w:ind w:left="340" w:hanging="340"/>
      </w:pPr>
      <w:rPr>
        <w:rFonts w:hint="default"/>
      </w:rPr>
    </w:lvl>
    <w:lvl w:ilvl="1">
      <w:start w:val="1"/>
      <w:numFmt w:val="lowerLetter"/>
      <w:lvlText w:val="(%2)"/>
      <w:lvlJc w:val="left"/>
      <w:pPr>
        <w:tabs>
          <w:tab w:val="num" w:pos="680"/>
        </w:tabs>
        <w:ind w:left="340" w:firstLine="0"/>
      </w:pPr>
      <w:rPr>
        <w:rFonts w:hint="default"/>
      </w:rPr>
    </w:lvl>
    <w:lvl w:ilvl="2">
      <w:start w:val="1"/>
      <w:numFmt w:val="lowerRoman"/>
      <w:suff w:val="nothing"/>
      <w:lvlText w:val="(%3)  "/>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4DD17BC"/>
    <w:multiLevelType w:val="multilevel"/>
    <w:tmpl w:val="EC58AD9E"/>
    <w:lvl w:ilvl="0">
      <w:start w:val="1"/>
      <w:numFmt w:val="upperRoman"/>
      <w:lvlText w:val="%1."/>
      <w:lvlJc w:val="left"/>
      <w:pPr>
        <w:ind w:left="346" w:hanging="346"/>
      </w:pPr>
      <w:rPr>
        <w:rFonts w:hint="default"/>
      </w:rPr>
    </w:lvl>
    <w:lvl w:ilvl="1">
      <w:start w:val="1"/>
      <w:numFmt w:val="upperLetter"/>
      <w:lvlText w:val="%2."/>
      <w:lvlJc w:val="left"/>
      <w:pPr>
        <w:tabs>
          <w:tab w:val="num" w:pos="851"/>
        </w:tabs>
        <w:ind w:left="346" w:firstLine="0"/>
      </w:pPr>
      <w:rPr>
        <w:rFonts w:hint="default"/>
      </w:rPr>
    </w:lvl>
    <w:lvl w:ilvl="2">
      <w:start w:val="1"/>
      <w:numFmt w:val="decimal"/>
      <w:lvlText w:val="%3."/>
      <w:lvlJc w:val="left"/>
      <w:pPr>
        <w:tabs>
          <w:tab w:val="num" w:pos="1361"/>
        </w:tabs>
        <w:ind w:left="851" w:firstLine="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ascii="Symbol" w:hAnsi="Symbol" w:hint="default"/>
      </w:rPr>
    </w:lvl>
    <w:lvl w:ilvl="6">
      <w:start w:val="1"/>
      <w:numFmt w:val="lowerRoman"/>
      <w:lvlText w:val="%7"/>
      <w:lvlJc w:val="left"/>
      <w:pPr>
        <w:tabs>
          <w:tab w:val="num" w:pos="1985"/>
        </w:tabs>
        <w:ind w:left="1985" w:hanging="227"/>
      </w:pPr>
      <w:rPr>
        <w:rFonts w:asciiTheme="minorHAnsi" w:hAnsiTheme="minorHAnsi" w:hint="default"/>
        <w:strike w:val="0"/>
        <w:dstrike w:val="0"/>
        <w:color w:val="auto"/>
        <w:sz w:val="20"/>
        <w:vertAlign w:val="base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41"/>
  </w:num>
  <w:num w:numId="2">
    <w:abstractNumId w:val="15"/>
  </w:num>
  <w:num w:numId="3">
    <w:abstractNumId w:val="9"/>
  </w:num>
  <w:num w:numId="4">
    <w:abstractNumId w:val="45"/>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4"/>
  </w:num>
  <w:num w:numId="15">
    <w:abstractNumId w:val="21"/>
  </w:num>
  <w:num w:numId="16">
    <w:abstractNumId w:val="25"/>
  </w:num>
  <w:num w:numId="17">
    <w:abstractNumId w:val="39"/>
  </w:num>
  <w:num w:numId="18">
    <w:abstractNumId w:val="34"/>
  </w:num>
  <w:num w:numId="19">
    <w:abstractNumId w:val="35"/>
  </w:num>
  <w:num w:numId="20">
    <w:abstractNumId w:val="24"/>
  </w:num>
  <w:num w:numId="21">
    <w:abstractNumId w:val="14"/>
  </w:num>
  <w:num w:numId="22">
    <w:abstractNumId w:val="19"/>
  </w:num>
  <w:num w:numId="23">
    <w:abstractNumId w:val="37"/>
  </w:num>
  <w:num w:numId="24">
    <w:abstractNumId w:val="33"/>
  </w:num>
  <w:num w:numId="25">
    <w:abstractNumId w:val="36"/>
  </w:num>
  <w:num w:numId="26">
    <w:abstractNumId w:val="42"/>
  </w:num>
  <w:num w:numId="27">
    <w:abstractNumId w:val="22"/>
  </w:num>
  <w:num w:numId="28">
    <w:abstractNumId w:val="10"/>
  </w:num>
  <w:num w:numId="29">
    <w:abstractNumId w:val="30"/>
  </w:num>
  <w:num w:numId="30">
    <w:abstractNumId w:val="16"/>
  </w:num>
  <w:num w:numId="31">
    <w:abstractNumId w:val="3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11"/>
  </w:num>
  <w:num w:numId="35">
    <w:abstractNumId w:val="31"/>
  </w:num>
  <w:num w:numId="36">
    <w:abstractNumId w:val="27"/>
  </w:num>
  <w:num w:numId="37">
    <w:abstractNumId w:val="28"/>
  </w:num>
  <w:num w:numId="38">
    <w:abstractNumId w:val="13"/>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12"/>
  </w:num>
  <w:num w:numId="42">
    <w:abstractNumId w:val="23"/>
  </w:num>
  <w:num w:numId="43">
    <w:abstractNumId w:val="32"/>
  </w:num>
  <w:num w:numId="44">
    <w:abstractNumId w:val="29"/>
  </w:num>
  <w:num w:numId="45">
    <w:abstractNumId w:val="26"/>
  </w:num>
  <w:num w:numId="46">
    <w:abstractNumId w:val="40"/>
  </w:num>
  <w:num w:numId="47">
    <w:abstractNumId w:val="20"/>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EF294E"/>
    <w:rsid w:val="000010ED"/>
    <w:rsid w:val="00003CA0"/>
    <w:rsid w:val="000041F8"/>
    <w:rsid w:val="000042A8"/>
    <w:rsid w:val="00004308"/>
    <w:rsid w:val="00005BF0"/>
    <w:rsid w:val="00007154"/>
    <w:rsid w:val="000103AE"/>
    <w:rsid w:val="00011D69"/>
    <w:rsid w:val="00012AD3"/>
    <w:rsid w:val="000140EA"/>
    <w:rsid w:val="00014566"/>
    <w:rsid w:val="00015C2D"/>
    <w:rsid w:val="00015F00"/>
    <w:rsid w:val="00022C1D"/>
    <w:rsid w:val="00030185"/>
    <w:rsid w:val="00030EA2"/>
    <w:rsid w:val="00034987"/>
    <w:rsid w:val="00037F42"/>
    <w:rsid w:val="000439D4"/>
    <w:rsid w:val="00053DE8"/>
    <w:rsid w:val="00056012"/>
    <w:rsid w:val="000602DF"/>
    <w:rsid w:val="00061B05"/>
    <w:rsid w:val="00062973"/>
    <w:rsid w:val="00062D5D"/>
    <w:rsid w:val="00062F24"/>
    <w:rsid w:val="000632D5"/>
    <w:rsid w:val="000644EE"/>
    <w:rsid w:val="00065389"/>
    <w:rsid w:val="000856D7"/>
    <w:rsid w:val="000925AD"/>
    <w:rsid w:val="000A16BF"/>
    <w:rsid w:val="000A24EB"/>
    <w:rsid w:val="000A652C"/>
    <w:rsid w:val="000B6923"/>
    <w:rsid w:val="000C033C"/>
    <w:rsid w:val="000C5F3C"/>
    <w:rsid w:val="000C6DCC"/>
    <w:rsid w:val="000D47AA"/>
    <w:rsid w:val="000D721F"/>
    <w:rsid w:val="000E069B"/>
    <w:rsid w:val="000E0E82"/>
    <w:rsid w:val="000E1DC5"/>
    <w:rsid w:val="000E223F"/>
    <w:rsid w:val="000E7D45"/>
    <w:rsid w:val="000F0A7F"/>
    <w:rsid w:val="000F7570"/>
    <w:rsid w:val="000F7851"/>
    <w:rsid w:val="00104E23"/>
    <w:rsid w:val="001103EF"/>
    <w:rsid w:val="00111B0C"/>
    <w:rsid w:val="001128BD"/>
    <w:rsid w:val="00114D13"/>
    <w:rsid w:val="00120D6C"/>
    <w:rsid w:val="001257EC"/>
    <w:rsid w:val="00131CCD"/>
    <w:rsid w:val="00132C6A"/>
    <w:rsid w:val="00133D33"/>
    <w:rsid w:val="00134D64"/>
    <w:rsid w:val="00135A30"/>
    <w:rsid w:val="0013612C"/>
    <w:rsid w:val="00137FF6"/>
    <w:rsid w:val="00141650"/>
    <w:rsid w:val="00142C6B"/>
    <w:rsid w:val="0014716E"/>
    <w:rsid w:val="001537F2"/>
    <w:rsid w:val="00162A12"/>
    <w:rsid w:val="00166530"/>
    <w:rsid w:val="001832BD"/>
    <w:rsid w:val="001834A7"/>
    <w:rsid w:val="00184FBF"/>
    <w:rsid w:val="00187870"/>
    <w:rsid w:val="001943B5"/>
    <w:rsid w:val="00195134"/>
    <w:rsid w:val="001A145B"/>
    <w:rsid w:val="001A4F96"/>
    <w:rsid w:val="001A674C"/>
    <w:rsid w:val="001B3B24"/>
    <w:rsid w:val="001C0F98"/>
    <w:rsid w:val="001C2A42"/>
    <w:rsid w:val="001D63ED"/>
    <w:rsid w:val="001D7348"/>
    <w:rsid w:val="001E035B"/>
    <w:rsid w:val="001E0961"/>
    <w:rsid w:val="001E3EAE"/>
    <w:rsid w:val="001E6F32"/>
    <w:rsid w:val="001F2145"/>
    <w:rsid w:val="001F2448"/>
    <w:rsid w:val="001F6262"/>
    <w:rsid w:val="001F67B0"/>
    <w:rsid w:val="001F6B0F"/>
    <w:rsid w:val="001F7B3D"/>
    <w:rsid w:val="00205F9F"/>
    <w:rsid w:val="00210338"/>
    <w:rsid w:val="002103DE"/>
    <w:rsid w:val="002115FC"/>
    <w:rsid w:val="002133F8"/>
    <w:rsid w:val="0021423C"/>
    <w:rsid w:val="002148BB"/>
    <w:rsid w:val="002236D2"/>
    <w:rsid w:val="00224390"/>
    <w:rsid w:val="00230D00"/>
    <w:rsid w:val="00231DF7"/>
    <w:rsid w:val="00231FD1"/>
    <w:rsid w:val="002339E0"/>
    <w:rsid w:val="00233CF8"/>
    <w:rsid w:val="0023575D"/>
    <w:rsid w:val="00237148"/>
    <w:rsid w:val="00240B52"/>
    <w:rsid w:val="0024222D"/>
    <w:rsid w:val="002436F7"/>
    <w:rsid w:val="00244B0E"/>
    <w:rsid w:val="00244F6C"/>
    <w:rsid w:val="00251383"/>
    <w:rsid w:val="002532C5"/>
    <w:rsid w:val="00260C03"/>
    <w:rsid w:val="0026540E"/>
    <w:rsid w:val="00275123"/>
    <w:rsid w:val="00280CFE"/>
    <w:rsid w:val="00282240"/>
    <w:rsid w:val="0028572A"/>
    <w:rsid w:val="002948AD"/>
    <w:rsid w:val="00294C05"/>
    <w:rsid w:val="00294C92"/>
    <w:rsid w:val="002A01CC"/>
    <w:rsid w:val="002A61B1"/>
    <w:rsid w:val="002A663C"/>
    <w:rsid w:val="002B444B"/>
    <w:rsid w:val="002B5887"/>
    <w:rsid w:val="002B61A2"/>
    <w:rsid w:val="002C0692"/>
    <w:rsid w:val="002C0E27"/>
    <w:rsid w:val="002C3040"/>
    <w:rsid w:val="002C52C2"/>
    <w:rsid w:val="002D022D"/>
    <w:rsid w:val="002D24BB"/>
    <w:rsid w:val="002D71C3"/>
    <w:rsid w:val="002F2AA2"/>
    <w:rsid w:val="002F2AF7"/>
    <w:rsid w:val="002F37CF"/>
    <w:rsid w:val="002F6DB6"/>
    <w:rsid w:val="002F7AD4"/>
    <w:rsid w:val="002F7E1C"/>
    <w:rsid w:val="00301A75"/>
    <w:rsid w:val="00302F70"/>
    <w:rsid w:val="0030336F"/>
    <w:rsid w:val="0030375E"/>
    <w:rsid w:val="00312A30"/>
    <w:rsid w:val="00320EE0"/>
    <w:rsid w:val="00320F72"/>
    <w:rsid w:val="0032463E"/>
    <w:rsid w:val="00326224"/>
    <w:rsid w:val="00326AD5"/>
    <w:rsid w:val="003274C9"/>
    <w:rsid w:val="00337EE4"/>
    <w:rsid w:val="00340FFD"/>
    <w:rsid w:val="00345E38"/>
    <w:rsid w:val="00347775"/>
    <w:rsid w:val="003506B1"/>
    <w:rsid w:val="00356AC7"/>
    <w:rsid w:val="003609FA"/>
    <w:rsid w:val="003710C8"/>
    <w:rsid w:val="003750BE"/>
    <w:rsid w:val="003775A1"/>
    <w:rsid w:val="00387B9D"/>
    <w:rsid w:val="0039364F"/>
    <w:rsid w:val="00395335"/>
    <w:rsid w:val="0039620D"/>
    <w:rsid w:val="00396686"/>
    <w:rsid w:val="00397755"/>
    <w:rsid w:val="0039778E"/>
    <w:rsid w:val="003B4941"/>
    <w:rsid w:val="003B4E4C"/>
    <w:rsid w:val="003B6125"/>
    <w:rsid w:val="003C2B11"/>
    <w:rsid w:val="003C3A13"/>
    <w:rsid w:val="003C5714"/>
    <w:rsid w:val="003C6B1D"/>
    <w:rsid w:val="003C6B9F"/>
    <w:rsid w:val="003C6E2A"/>
    <w:rsid w:val="003D0299"/>
    <w:rsid w:val="003D3207"/>
    <w:rsid w:val="003E05AE"/>
    <w:rsid w:val="003E429D"/>
    <w:rsid w:val="003E6D80"/>
    <w:rsid w:val="003F05FA"/>
    <w:rsid w:val="003F244A"/>
    <w:rsid w:val="003F2893"/>
    <w:rsid w:val="003F30B8"/>
    <w:rsid w:val="003F3822"/>
    <w:rsid w:val="003F4C45"/>
    <w:rsid w:val="003F5F7B"/>
    <w:rsid w:val="003F7D64"/>
    <w:rsid w:val="0040247A"/>
    <w:rsid w:val="00403835"/>
    <w:rsid w:val="00404924"/>
    <w:rsid w:val="00414300"/>
    <w:rsid w:val="00425C67"/>
    <w:rsid w:val="00427E7A"/>
    <w:rsid w:val="00436307"/>
    <w:rsid w:val="00436C49"/>
    <w:rsid w:val="00445366"/>
    <w:rsid w:val="00446887"/>
    <w:rsid w:val="00447F5B"/>
    <w:rsid w:val="00455212"/>
    <w:rsid w:val="00461DB0"/>
    <w:rsid w:val="00462D7F"/>
    <w:rsid w:val="00463926"/>
    <w:rsid w:val="004646E0"/>
    <w:rsid w:val="00464C9A"/>
    <w:rsid w:val="00472517"/>
    <w:rsid w:val="00474F3D"/>
    <w:rsid w:val="00477E3A"/>
    <w:rsid w:val="00481348"/>
    <w:rsid w:val="00483E5F"/>
    <w:rsid w:val="00485FF9"/>
    <w:rsid w:val="00486AD6"/>
    <w:rsid w:val="004907F0"/>
    <w:rsid w:val="0049140B"/>
    <w:rsid w:val="004923A5"/>
    <w:rsid w:val="00496BFB"/>
    <w:rsid w:val="00497709"/>
    <w:rsid w:val="004A15C7"/>
    <w:rsid w:val="004B013B"/>
    <w:rsid w:val="004B112B"/>
    <w:rsid w:val="004B38CF"/>
    <w:rsid w:val="004C01E4"/>
    <w:rsid w:val="004C086C"/>
    <w:rsid w:val="004C1F56"/>
    <w:rsid w:val="004C27BC"/>
    <w:rsid w:val="004C299A"/>
    <w:rsid w:val="004D15F3"/>
    <w:rsid w:val="004D34B6"/>
    <w:rsid w:val="004D5311"/>
    <w:rsid w:val="004D5DCC"/>
    <w:rsid w:val="004F10AF"/>
    <w:rsid w:val="004F11A4"/>
    <w:rsid w:val="004F2389"/>
    <w:rsid w:val="004F304D"/>
    <w:rsid w:val="004F61BE"/>
    <w:rsid w:val="004F66B1"/>
    <w:rsid w:val="00511C07"/>
    <w:rsid w:val="005173A6"/>
    <w:rsid w:val="00520BAA"/>
    <w:rsid w:val="00525208"/>
    <w:rsid w:val="005257A5"/>
    <w:rsid w:val="005264C0"/>
    <w:rsid w:val="00526A8A"/>
    <w:rsid w:val="00531DF2"/>
    <w:rsid w:val="00536C6B"/>
    <w:rsid w:val="005442EE"/>
    <w:rsid w:val="00547353"/>
    <w:rsid w:val="005474E7"/>
    <w:rsid w:val="005512A3"/>
    <w:rsid w:val="005578CE"/>
    <w:rsid w:val="00562781"/>
    <w:rsid w:val="00563E83"/>
    <w:rsid w:val="005717D1"/>
    <w:rsid w:val="0057271C"/>
    <w:rsid w:val="00572845"/>
    <w:rsid w:val="00580CEF"/>
    <w:rsid w:val="00592772"/>
    <w:rsid w:val="0059378B"/>
    <w:rsid w:val="0059509D"/>
    <w:rsid w:val="0059574A"/>
    <w:rsid w:val="005A1B9B"/>
    <w:rsid w:val="005A6751"/>
    <w:rsid w:val="005B092E"/>
    <w:rsid w:val="005B152C"/>
    <w:rsid w:val="005B1EE0"/>
    <w:rsid w:val="005B2B24"/>
    <w:rsid w:val="005B4425"/>
    <w:rsid w:val="005B4B94"/>
    <w:rsid w:val="005C2F2D"/>
    <w:rsid w:val="005C3EE8"/>
    <w:rsid w:val="005C60AF"/>
    <w:rsid w:val="005D2FA9"/>
    <w:rsid w:val="005D34F9"/>
    <w:rsid w:val="005D4190"/>
    <w:rsid w:val="005D67A3"/>
    <w:rsid w:val="005E2988"/>
    <w:rsid w:val="005E2A43"/>
    <w:rsid w:val="005E3085"/>
    <w:rsid w:val="005E4BD3"/>
    <w:rsid w:val="005F51E1"/>
    <w:rsid w:val="006015EC"/>
    <w:rsid w:val="00604612"/>
    <w:rsid w:val="00611C80"/>
    <w:rsid w:val="00620692"/>
    <w:rsid w:val="006242CA"/>
    <w:rsid w:val="00627507"/>
    <w:rsid w:val="00633717"/>
    <w:rsid w:val="006344E1"/>
    <w:rsid w:val="00653B38"/>
    <w:rsid w:val="006545C4"/>
    <w:rsid w:val="00661971"/>
    <w:rsid w:val="00661CE8"/>
    <w:rsid w:val="006623D9"/>
    <w:rsid w:val="0066550C"/>
    <w:rsid w:val="006716F2"/>
    <w:rsid w:val="00682BF2"/>
    <w:rsid w:val="00682F2C"/>
    <w:rsid w:val="006859CE"/>
    <w:rsid w:val="00691270"/>
    <w:rsid w:val="00694BA8"/>
    <w:rsid w:val="006A037C"/>
    <w:rsid w:val="006A069C"/>
    <w:rsid w:val="006A36F4"/>
    <w:rsid w:val="006A406F"/>
    <w:rsid w:val="006A5D3A"/>
    <w:rsid w:val="006A71FD"/>
    <w:rsid w:val="006C23D4"/>
    <w:rsid w:val="006C3A8E"/>
    <w:rsid w:val="006C7BB0"/>
    <w:rsid w:val="006D14BA"/>
    <w:rsid w:val="006D3237"/>
    <w:rsid w:val="006E2C17"/>
    <w:rsid w:val="006E2E37"/>
    <w:rsid w:val="006E3CF1"/>
    <w:rsid w:val="006E4FE5"/>
    <w:rsid w:val="006E7E80"/>
    <w:rsid w:val="006F1DF9"/>
    <w:rsid w:val="006F24DB"/>
    <w:rsid w:val="006F48CA"/>
    <w:rsid w:val="006F64DD"/>
    <w:rsid w:val="00702399"/>
    <w:rsid w:val="00703A64"/>
    <w:rsid w:val="007062F3"/>
    <w:rsid w:val="007149A4"/>
    <w:rsid w:val="00715127"/>
    <w:rsid w:val="00715E8E"/>
    <w:rsid w:val="00720EF4"/>
    <w:rsid w:val="00721B6E"/>
    <w:rsid w:val="00723580"/>
    <w:rsid w:val="00723755"/>
    <w:rsid w:val="0073136C"/>
    <w:rsid w:val="00731F0F"/>
    <w:rsid w:val="00733250"/>
    <w:rsid w:val="00734CC4"/>
    <w:rsid w:val="00741404"/>
    <w:rsid w:val="007449E5"/>
    <w:rsid w:val="0074600E"/>
    <w:rsid w:val="00746C5A"/>
    <w:rsid w:val="00747FF0"/>
    <w:rsid w:val="007544FF"/>
    <w:rsid w:val="0076219D"/>
    <w:rsid w:val="00764D4E"/>
    <w:rsid w:val="00765A1F"/>
    <w:rsid w:val="00775B6D"/>
    <w:rsid w:val="007769D8"/>
    <w:rsid w:val="00776D68"/>
    <w:rsid w:val="007850EE"/>
    <w:rsid w:val="00785B95"/>
    <w:rsid w:val="00790E96"/>
    <w:rsid w:val="00793366"/>
    <w:rsid w:val="00795FC8"/>
    <w:rsid w:val="007A716F"/>
    <w:rsid w:val="007B270A"/>
    <w:rsid w:val="007C0695"/>
    <w:rsid w:val="007C2704"/>
    <w:rsid w:val="007C419A"/>
    <w:rsid w:val="007C4CC8"/>
    <w:rsid w:val="007C5426"/>
    <w:rsid w:val="007C5798"/>
    <w:rsid w:val="007D365B"/>
    <w:rsid w:val="007D4832"/>
    <w:rsid w:val="007D7DBA"/>
    <w:rsid w:val="007E21B2"/>
    <w:rsid w:val="007E2C4E"/>
    <w:rsid w:val="007E361A"/>
    <w:rsid w:val="007F1905"/>
    <w:rsid w:val="007F1C5B"/>
    <w:rsid w:val="00801300"/>
    <w:rsid w:val="00802C64"/>
    <w:rsid w:val="00804748"/>
    <w:rsid w:val="00805E52"/>
    <w:rsid w:val="008061D0"/>
    <w:rsid w:val="00807CFE"/>
    <w:rsid w:val="00810B38"/>
    <w:rsid w:val="00820439"/>
    <w:rsid w:val="008204C7"/>
    <w:rsid w:val="00820992"/>
    <w:rsid w:val="00823602"/>
    <w:rsid w:val="008255F5"/>
    <w:rsid w:val="0083014E"/>
    <w:rsid w:val="0083214A"/>
    <w:rsid w:val="00834220"/>
    <w:rsid w:val="00845723"/>
    <w:rsid w:val="00851EF9"/>
    <w:rsid w:val="008577FD"/>
    <w:rsid w:val="00860B03"/>
    <w:rsid w:val="008646CC"/>
    <w:rsid w:val="0086497A"/>
    <w:rsid w:val="008713A1"/>
    <w:rsid w:val="008754AB"/>
    <w:rsid w:val="008775E4"/>
    <w:rsid w:val="0088060C"/>
    <w:rsid w:val="00880A2A"/>
    <w:rsid w:val="00893576"/>
    <w:rsid w:val="00893E73"/>
    <w:rsid w:val="008A400F"/>
    <w:rsid w:val="008A43C4"/>
    <w:rsid w:val="008B02DC"/>
    <w:rsid w:val="008B17AA"/>
    <w:rsid w:val="008B23CB"/>
    <w:rsid w:val="008B57CE"/>
    <w:rsid w:val="008B659F"/>
    <w:rsid w:val="008C0EA3"/>
    <w:rsid w:val="008C26DE"/>
    <w:rsid w:val="008C2CFD"/>
    <w:rsid w:val="008D2225"/>
    <w:rsid w:val="008D4752"/>
    <w:rsid w:val="008D579D"/>
    <w:rsid w:val="008E271C"/>
    <w:rsid w:val="008E290D"/>
    <w:rsid w:val="008E418E"/>
    <w:rsid w:val="008E5BC6"/>
    <w:rsid w:val="008E6A25"/>
    <w:rsid w:val="008F244E"/>
    <w:rsid w:val="008F5193"/>
    <w:rsid w:val="009013A7"/>
    <w:rsid w:val="009017FB"/>
    <w:rsid w:val="009017FC"/>
    <w:rsid w:val="00903B43"/>
    <w:rsid w:val="0090506B"/>
    <w:rsid w:val="009050C9"/>
    <w:rsid w:val="009066FC"/>
    <w:rsid w:val="009140A3"/>
    <w:rsid w:val="009144A2"/>
    <w:rsid w:val="0091510C"/>
    <w:rsid w:val="009160CA"/>
    <w:rsid w:val="009259AC"/>
    <w:rsid w:val="00926F38"/>
    <w:rsid w:val="00934301"/>
    <w:rsid w:val="00936CD1"/>
    <w:rsid w:val="00941747"/>
    <w:rsid w:val="00941EFB"/>
    <w:rsid w:val="00947AFB"/>
    <w:rsid w:val="00951D7D"/>
    <w:rsid w:val="00952C12"/>
    <w:rsid w:val="009534A6"/>
    <w:rsid w:val="009630C7"/>
    <w:rsid w:val="00967955"/>
    <w:rsid w:val="00972B55"/>
    <w:rsid w:val="00973576"/>
    <w:rsid w:val="009743B7"/>
    <w:rsid w:val="0098228B"/>
    <w:rsid w:val="009828DA"/>
    <w:rsid w:val="00985BAB"/>
    <w:rsid w:val="00994265"/>
    <w:rsid w:val="00997F03"/>
    <w:rsid w:val="009A46DF"/>
    <w:rsid w:val="009B1B5F"/>
    <w:rsid w:val="009B2351"/>
    <w:rsid w:val="009B2EC2"/>
    <w:rsid w:val="009B6673"/>
    <w:rsid w:val="009C191B"/>
    <w:rsid w:val="009C2BD6"/>
    <w:rsid w:val="009E1F32"/>
    <w:rsid w:val="009E5829"/>
    <w:rsid w:val="009E776C"/>
    <w:rsid w:val="009F39A6"/>
    <w:rsid w:val="009F681E"/>
    <w:rsid w:val="00A119D5"/>
    <w:rsid w:val="00A12EEC"/>
    <w:rsid w:val="00A1726E"/>
    <w:rsid w:val="00A204CF"/>
    <w:rsid w:val="00A23D49"/>
    <w:rsid w:val="00A27004"/>
    <w:rsid w:val="00A30C29"/>
    <w:rsid w:val="00A34DD6"/>
    <w:rsid w:val="00A36819"/>
    <w:rsid w:val="00A36989"/>
    <w:rsid w:val="00A41C5F"/>
    <w:rsid w:val="00A43628"/>
    <w:rsid w:val="00A54192"/>
    <w:rsid w:val="00A6035E"/>
    <w:rsid w:val="00A6144C"/>
    <w:rsid w:val="00A66617"/>
    <w:rsid w:val="00A671F8"/>
    <w:rsid w:val="00A673A4"/>
    <w:rsid w:val="00A724AE"/>
    <w:rsid w:val="00A73329"/>
    <w:rsid w:val="00A73424"/>
    <w:rsid w:val="00A80B78"/>
    <w:rsid w:val="00A82359"/>
    <w:rsid w:val="00A833B1"/>
    <w:rsid w:val="00A865D2"/>
    <w:rsid w:val="00A91C78"/>
    <w:rsid w:val="00A91EAD"/>
    <w:rsid w:val="00A94C20"/>
    <w:rsid w:val="00A96B1E"/>
    <w:rsid w:val="00A96ED6"/>
    <w:rsid w:val="00AA227F"/>
    <w:rsid w:val="00AA3BC7"/>
    <w:rsid w:val="00AA754A"/>
    <w:rsid w:val="00AB099E"/>
    <w:rsid w:val="00AB4328"/>
    <w:rsid w:val="00AB518B"/>
    <w:rsid w:val="00AB5FA0"/>
    <w:rsid w:val="00AC6C6C"/>
    <w:rsid w:val="00AE0A2E"/>
    <w:rsid w:val="00AE354C"/>
    <w:rsid w:val="00AE7B19"/>
    <w:rsid w:val="00AF42F9"/>
    <w:rsid w:val="00AF4B07"/>
    <w:rsid w:val="00AF55DB"/>
    <w:rsid w:val="00AF6186"/>
    <w:rsid w:val="00AF6231"/>
    <w:rsid w:val="00AF7A3A"/>
    <w:rsid w:val="00B075C5"/>
    <w:rsid w:val="00B120A8"/>
    <w:rsid w:val="00B160DB"/>
    <w:rsid w:val="00B16B63"/>
    <w:rsid w:val="00B20836"/>
    <w:rsid w:val="00B235BB"/>
    <w:rsid w:val="00B24B15"/>
    <w:rsid w:val="00B27A44"/>
    <w:rsid w:val="00B30BBF"/>
    <w:rsid w:val="00B33C03"/>
    <w:rsid w:val="00B44E56"/>
    <w:rsid w:val="00B44EB0"/>
    <w:rsid w:val="00B45BE4"/>
    <w:rsid w:val="00B46543"/>
    <w:rsid w:val="00B47D33"/>
    <w:rsid w:val="00B52BE0"/>
    <w:rsid w:val="00B54133"/>
    <w:rsid w:val="00B576A8"/>
    <w:rsid w:val="00B637B9"/>
    <w:rsid w:val="00B66F3A"/>
    <w:rsid w:val="00B701ED"/>
    <w:rsid w:val="00B8086C"/>
    <w:rsid w:val="00B861B4"/>
    <w:rsid w:val="00B86DFE"/>
    <w:rsid w:val="00B90990"/>
    <w:rsid w:val="00B922FF"/>
    <w:rsid w:val="00B9281E"/>
    <w:rsid w:val="00B93925"/>
    <w:rsid w:val="00B95187"/>
    <w:rsid w:val="00B97836"/>
    <w:rsid w:val="00BA2D55"/>
    <w:rsid w:val="00BA6742"/>
    <w:rsid w:val="00BA71B1"/>
    <w:rsid w:val="00BB0637"/>
    <w:rsid w:val="00BB19B7"/>
    <w:rsid w:val="00BB1D3A"/>
    <w:rsid w:val="00BB345F"/>
    <w:rsid w:val="00BB4D37"/>
    <w:rsid w:val="00BB5883"/>
    <w:rsid w:val="00BB68EA"/>
    <w:rsid w:val="00BB6B13"/>
    <w:rsid w:val="00BC1C27"/>
    <w:rsid w:val="00BC255D"/>
    <w:rsid w:val="00BC6BBF"/>
    <w:rsid w:val="00BD1572"/>
    <w:rsid w:val="00BE0EB5"/>
    <w:rsid w:val="00BE14E3"/>
    <w:rsid w:val="00BE297D"/>
    <w:rsid w:val="00BE3774"/>
    <w:rsid w:val="00BE41E5"/>
    <w:rsid w:val="00BF0BBB"/>
    <w:rsid w:val="00BF0D70"/>
    <w:rsid w:val="00BF4109"/>
    <w:rsid w:val="00BF4CC3"/>
    <w:rsid w:val="00C054C7"/>
    <w:rsid w:val="00C057B5"/>
    <w:rsid w:val="00C07319"/>
    <w:rsid w:val="00C22687"/>
    <w:rsid w:val="00C276E2"/>
    <w:rsid w:val="00C301B8"/>
    <w:rsid w:val="00C32E4D"/>
    <w:rsid w:val="00C333A0"/>
    <w:rsid w:val="00C36A81"/>
    <w:rsid w:val="00C413F0"/>
    <w:rsid w:val="00C41974"/>
    <w:rsid w:val="00C43B79"/>
    <w:rsid w:val="00C447AD"/>
    <w:rsid w:val="00C53F4A"/>
    <w:rsid w:val="00C54125"/>
    <w:rsid w:val="00C55398"/>
    <w:rsid w:val="00C55B54"/>
    <w:rsid w:val="00C6098E"/>
    <w:rsid w:val="00C6152C"/>
    <w:rsid w:val="00C621C2"/>
    <w:rsid w:val="00C7383D"/>
    <w:rsid w:val="00C74810"/>
    <w:rsid w:val="00C87DDE"/>
    <w:rsid w:val="00C90D68"/>
    <w:rsid w:val="00C939FE"/>
    <w:rsid w:val="00CA4BDA"/>
    <w:rsid w:val="00CA5A16"/>
    <w:rsid w:val="00CB1F66"/>
    <w:rsid w:val="00CB2951"/>
    <w:rsid w:val="00CC2F1C"/>
    <w:rsid w:val="00CD282B"/>
    <w:rsid w:val="00CD4C35"/>
    <w:rsid w:val="00CD4E8C"/>
    <w:rsid w:val="00CD7369"/>
    <w:rsid w:val="00CE0B0E"/>
    <w:rsid w:val="00CE3831"/>
    <w:rsid w:val="00CF5C5B"/>
    <w:rsid w:val="00D00ABB"/>
    <w:rsid w:val="00D02EEC"/>
    <w:rsid w:val="00D03551"/>
    <w:rsid w:val="00D06A63"/>
    <w:rsid w:val="00D07E0E"/>
    <w:rsid w:val="00D11478"/>
    <w:rsid w:val="00D15ED0"/>
    <w:rsid w:val="00D21B3E"/>
    <w:rsid w:val="00D21FED"/>
    <w:rsid w:val="00D229AC"/>
    <w:rsid w:val="00D24251"/>
    <w:rsid w:val="00D33B0F"/>
    <w:rsid w:val="00D343E2"/>
    <w:rsid w:val="00D361A2"/>
    <w:rsid w:val="00D44C2E"/>
    <w:rsid w:val="00D45414"/>
    <w:rsid w:val="00D45AA9"/>
    <w:rsid w:val="00D529EF"/>
    <w:rsid w:val="00D53C0F"/>
    <w:rsid w:val="00D55212"/>
    <w:rsid w:val="00D566BD"/>
    <w:rsid w:val="00D57A4D"/>
    <w:rsid w:val="00D60AA7"/>
    <w:rsid w:val="00D60D87"/>
    <w:rsid w:val="00D62804"/>
    <w:rsid w:val="00D6435F"/>
    <w:rsid w:val="00D75E28"/>
    <w:rsid w:val="00D772C2"/>
    <w:rsid w:val="00D77670"/>
    <w:rsid w:val="00D8008E"/>
    <w:rsid w:val="00D82C45"/>
    <w:rsid w:val="00D908A8"/>
    <w:rsid w:val="00D977B6"/>
    <w:rsid w:val="00DA4A31"/>
    <w:rsid w:val="00DA7964"/>
    <w:rsid w:val="00DA7B04"/>
    <w:rsid w:val="00DB23E6"/>
    <w:rsid w:val="00DB36C2"/>
    <w:rsid w:val="00DB7196"/>
    <w:rsid w:val="00DC169B"/>
    <w:rsid w:val="00DC2AB9"/>
    <w:rsid w:val="00DC411B"/>
    <w:rsid w:val="00DC507F"/>
    <w:rsid w:val="00DC63F0"/>
    <w:rsid w:val="00DC68D4"/>
    <w:rsid w:val="00DD1FA2"/>
    <w:rsid w:val="00DD6EE5"/>
    <w:rsid w:val="00DE16BA"/>
    <w:rsid w:val="00DE386C"/>
    <w:rsid w:val="00DE4D35"/>
    <w:rsid w:val="00DE7F3B"/>
    <w:rsid w:val="00DF0549"/>
    <w:rsid w:val="00DF098B"/>
    <w:rsid w:val="00DF11C4"/>
    <w:rsid w:val="00DF210C"/>
    <w:rsid w:val="00DF4B6A"/>
    <w:rsid w:val="00DF56B7"/>
    <w:rsid w:val="00E02C09"/>
    <w:rsid w:val="00E03987"/>
    <w:rsid w:val="00E04D59"/>
    <w:rsid w:val="00E07DA1"/>
    <w:rsid w:val="00E123CB"/>
    <w:rsid w:val="00E13576"/>
    <w:rsid w:val="00E146FF"/>
    <w:rsid w:val="00E1557C"/>
    <w:rsid w:val="00E20E13"/>
    <w:rsid w:val="00E21DBC"/>
    <w:rsid w:val="00E275D7"/>
    <w:rsid w:val="00E27DBE"/>
    <w:rsid w:val="00E30DCE"/>
    <w:rsid w:val="00E32AB1"/>
    <w:rsid w:val="00E32C3B"/>
    <w:rsid w:val="00E36C71"/>
    <w:rsid w:val="00E40404"/>
    <w:rsid w:val="00E42443"/>
    <w:rsid w:val="00E459C6"/>
    <w:rsid w:val="00E47589"/>
    <w:rsid w:val="00E5565A"/>
    <w:rsid w:val="00E60472"/>
    <w:rsid w:val="00E64915"/>
    <w:rsid w:val="00E661D4"/>
    <w:rsid w:val="00E66960"/>
    <w:rsid w:val="00E70091"/>
    <w:rsid w:val="00E720F5"/>
    <w:rsid w:val="00E75CB9"/>
    <w:rsid w:val="00E76D47"/>
    <w:rsid w:val="00E849F7"/>
    <w:rsid w:val="00E866DC"/>
    <w:rsid w:val="00E90302"/>
    <w:rsid w:val="00E93F21"/>
    <w:rsid w:val="00E9597F"/>
    <w:rsid w:val="00E97396"/>
    <w:rsid w:val="00EA185E"/>
    <w:rsid w:val="00EA57AF"/>
    <w:rsid w:val="00EA592A"/>
    <w:rsid w:val="00EA7688"/>
    <w:rsid w:val="00EB14E4"/>
    <w:rsid w:val="00EB32A5"/>
    <w:rsid w:val="00EB34ED"/>
    <w:rsid w:val="00EB7BE0"/>
    <w:rsid w:val="00EC315E"/>
    <w:rsid w:val="00ED077C"/>
    <w:rsid w:val="00ED1190"/>
    <w:rsid w:val="00ED6544"/>
    <w:rsid w:val="00ED6EDE"/>
    <w:rsid w:val="00EE0277"/>
    <w:rsid w:val="00EE1DA9"/>
    <w:rsid w:val="00EE3E00"/>
    <w:rsid w:val="00EE5DD2"/>
    <w:rsid w:val="00EF0C82"/>
    <w:rsid w:val="00EF294E"/>
    <w:rsid w:val="00EF41F1"/>
    <w:rsid w:val="00EF4F08"/>
    <w:rsid w:val="00F00A79"/>
    <w:rsid w:val="00F00E86"/>
    <w:rsid w:val="00F03925"/>
    <w:rsid w:val="00F04A82"/>
    <w:rsid w:val="00F07C1E"/>
    <w:rsid w:val="00F105DB"/>
    <w:rsid w:val="00F10A40"/>
    <w:rsid w:val="00F132BC"/>
    <w:rsid w:val="00F13D80"/>
    <w:rsid w:val="00F16AAA"/>
    <w:rsid w:val="00F21161"/>
    <w:rsid w:val="00F218EF"/>
    <w:rsid w:val="00F21BC7"/>
    <w:rsid w:val="00F266A2"/>
    <w:rsid w:val="00F26833"/>
    <w:rsid w:val="00F31762"/>
    <w:rsid w:val="00F32269"/>
    <w:rsid w:val="00F37D03"/>
    <w:rsid w:val="00F439E1"/>
    <w:rsid w:val="00F4457E"/>
    <w:rsid w:val="00F56A6F"/>
    <w:rsid w:val="00F5709C"/>
    <w:rsid w:val="00F635EE"/>
    <w:rsid w:val="00F64605"/>
    <w:rsid w:val="00F64EF1"/>
    <w:rsid w:val="00F8765F"/>
    <w:rsid w:val="00F90767"/>
    <w:rsid w:val="00FA685B"/>
    <w:rsid w:val="00FB0C01"/>
    <w:rsid w:val="00FB0E0B"/>
    <w:rsid w:val="00FB5B38"/>
    <w:rsid w:val="00FC18F2"/>
    <w:rsid w:val="00FC39E5"/>
    <w:rsid w:val="00FC3A78"/>
    <w:rsid w:val="00FC5FFE"/>
    <w:rsid w:val="00FD1005"/>
    <w:rsid w:val="00FD3180"/>
    <w:rsid w:val="00FD6C75"/>
    <w:rsid w:val="00FE71B3"/>
    <w:rsid w:val="00FF42C5"/>
    <w:rsid w:val="00FF6F8A"/>
    <w:rsid w:val="00FF78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D33B0F"/>
    <w:pPr>
      <w:jc w:val="both"/>
    </w:pPr>
    <w:rPr>
      <w:rFonts w:eastAsiaTheme="minorEastAsia"/>
      <w:sz w:val="24"/>
    </w:rPr>
  </w:style>
  <w:style w:type="paragraph" w:styleId="Heading1">
    <w:name w:val="heading 1"/>
    <w:basedOn w:val="Normal"/>
    <w:next w:val="Normal"/>
    <w:link w:val="Heading1Char"/>
    <w:uiPriority w:val="99"/>
    <w:semiHidden/>
    <w:rsid w:val="00D33B0F"/>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D33B0F"/>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D33B0F"/>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D33B0F"/>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D33B0F"/>
    <w:pPr>
      <w:spacing w:before="200"/>
      <w:outlineLvl w:val="4"/>
    </w:pPr>
    <w:rPr>
      <w:rFonts w:asciiTheme="majorHAnsi" w:eastAsiaTheme="majorEastAsia" w:hAnsiTheme="majorHAnsi" w:cstheme="majorBidi"/>
      <w:b/>
      <w:bCs/>
      <w:color w:val="808080"/>
    </w:rPr>
  </w:style>
  <w:style w:type="paragraph" w:styleId="Heading6">
    <w:name w:val="heading 6"/>
    <w:basedOn w:val="Normal"/>
    <w:next w:val="Normal"/>
    <w:link w:val="Heading6Char"/>
    <w:uiPriority w:val="99"/>
    <w:semiHidden/>
    <w:rsid w:val="00D33B0F"/>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D33B0F"/>
    <w:pPr>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9"/>
    <w:semiHidden/>
    <w:qFormat/>
    <w:rsid w:val="00D33B0F"/>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D33B0F"/>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33B0F"/>
    <w:rPr>
      <w:rFonts w:ascii="Tahoma" w:hAnsi="Tahoma" w:cs="Tahoma"/>
      <w:sz w:val="16"/>
      <w:szCs w:val="16"/>
    </w:rPr>
  </w:style>
  <w:style w:type="character" w:customStyle="1" w:styleId="BalloonTextChar">
    <w:name w:val="Balloon Text Char"/>
    <w:basedOn w:val="DefaultParagraphFont"/>
    <w:link w:val="BalloonText"/>
    <w:uiPriority w:val="99"/>
    <w:semiHidden/>
    <w:rsid w:val="00D33B0F"/>
    <w:rPr>
      <w:rFonts w:ascii="Tahoma" w:eastAsiaTheme="minorEastAsia" w:hAnsi="Tahoma" w:cs="Tahoma"/>
      <w:sz w:val="16"/>
      <w:szCs w:val="16"/>
    </w:rPr>
  </w:style>
  <w:style w:type="character" w:styleId="BookTitle">
    <w:name w:val="Book Title"/>
    <w:uiPriority w:val="99"/>
    <w:semiHidden/>
    <w:qFormat/>
    <w:rsid w:val="00D33B0F"/>
    <w:rPr>
      <w:i/>
      <w:iCs/>
      <w:smallCaps/>
      <w:spacing w:val="5"/>
    </w:rPr>
  </w:style>
  <w:style w:type="paragraph" w:customStyle="1" w:styleId="ECHRHeader">
    <w:name w:val="ECHR_Header"/>
    <w:aliases w:val="Ju_Header"/>
    <w:basedOn w:val="Header"/>
    <w:uiPriority w:val="4"/>
    <w:qFormat/>
    <w:rsid w:val="00D33B0F"/>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D33B0F"/>
    <w:pPr>
      <w:jc w:val="left"/>
    </w:pPr>
    <w:rPr>
      <w:sz w:val="8"/>
    </w:rPr>
  </w:style>
  <w:style w:type="character" w:styleId="Strong">
    <w:name w:val="Strong"/>
    <w:uiPriority w:val="99"/>
    <w:semiHidden/>
    <w:qFormat/>
    <w:rsid w:val="00D33B0F"/>
    <w:rPr>
      <w:b/>
      <w:bCs/>
    </w:rPr>
  </w:style>
  <w:style w:type="paragraph" w:styleId="NoSpacing">
    <w:name w:val="No Spacing"/>
    <w:basedOn w:val="Normal"/>
    <w:link w:val="NoSpacingChar"/>
    <w:semiHidden/>
    <w:qFormat/>
    <w:rsid w:val="00D33B0F"/>
  </w:style>
  <w:style w:type="character" w:customStyle="1" w:styleId="NoSpacingChar">
    <w:name w:val="No Spacing Char"/>
    <w:basedOn w:val="DefaultParagraphFont"/>
    <w:link w:val="NoSpacing"/>
    <w:semiHidden/>
    <w:rsid w:val="00D33B0F"/>
    <w:rPr>
      <w:rFonts w:eastAsiaTheme="minorEastAsia"/>
      <w:sz w:val="24"/>
    </w:rPr>
  </w:style>
  <w:style w:type="paragraph" w:customStyle="1" w:styleId="ECHRFooterLine">
    <w:name w:val="ECHR_Footer_Line"/>
    <w:aliases w:val="Footer_Line"/>
    <w:basedOn w:val="Normal"/>
    <w:next w:val="ECHRFooter"/>
    <w:uiPriority w:val="57"/>
    <w:semiHidden/>
    <w:rsid w:val="00D33B0F"/>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qFormat/>
    <w:rsid w:val="00D33B0F"/>
    <w:pPr>
      <w:numPr>
        <w:numId w:val="14"/>
      </w:numPr>
      <w:jc w:val="left"/>
    </w:pPr>
    <w:rPr>
      <w:b/>
    </w:rPr>
  </w:style>
  <w:style w:type="paragraph" w:customStyle="1" w:styleId="OpiPara">
    <w:name w:val="Opi_Para"/>
    <w:basedOn w:val="ECHRPara"/>
    <w:uiPriority w:val="46"/>
    <w:semiHidden/>
    <w:qFormat/>
    <w:rsid w:val="00D33B0F"/>
  </w:style>
  <w:style w:type="paragraph" w:customStyle="1" w:styleId="JuParaSub">
    <w:name w:val="Ju_Para_Sub"/>
    <w:basedOn w:val="ECHRPara"/>
    <w:uiPriority w:val="13"/>
    <w:qFormat/>
    <w:rsid w:val="00D33B0F"/>
    <w:pPr>
      <w:ind w:left="284"/>
    </w:pPr>
  </w:style>
  <w:style w:type="paragraph" w:customStyle="1" w:styleId="ECHRTitleCentre3">
    <w:name w:val="ECHR_Title_Centre_3"/>
    <w:aliases w:val="Ju_H_Article"/>
    <w:basedOn w:val="Normal"/>
    <w:next w:val="ECHRParaQuote"/>
    <w:uiPriority w:val="27"/>
    <w:qFormat/>
    <w:rsid w:val="00D33B0F"/>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D33B0F"/>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semiHidden/>
    <w:qFormat/>
    <w:rsid w:val="00D33B0F"/>
  </w:style>
  <w:style w:type="paragraph" w:customStyle="1" w:styleId="OpiQuot">
    <w:name w:val="Opi_Quot"/>
    <w:basedOn w:val="ECHRParaQuote"/>
    <w:uiPriority w:val="48"/>
    <w:semiHidden/>
    <w:qFormat/>
    <w:rsid w:val="00D33B0F"/>
  </w:style>
  <w:style w:type="paragraph" w:customStyle="1" w:styleId="OpiQuotSub">
    <w:name w:val="Opi_Quot_Sub"/>
    <w:basedOn w:val="JuQuotSub"/>
    <w:uiPriority w:val="49"/>
    <w:semiHidden/>
    <w:qFormat/>
    <w:rsid w:val="00D33B0F"/>
  </w:style>
  <w:style w:type="paragraph" w:customStyle="1" w:styleId="ECHRTitleCentre2">
    <w:name w:val="ECHR_Title_Centre_2"/>
    <w:aliases w:val="Dec_H_Case"/>
    <w:basedOn w:val="Normal"/>
    <w:next w:val="ECHRPara"/>
    <w:uiPriority w:val="8"/>
    <w:qFormat/>
    <w:rsid w:val="00D33B0F"/>
    <w:pPr>
      <w:spacing w:after="240"/>
      <w:jc w:val="center"/>
      <w:outlineLvl w:val="0"/>
    </w:pPr>
    <w:rPr>
      <w:rFonts w:asciiTheme="majorHAnsi" w:hAnsiTheme="majorHAnsi"/>
    </w:rPr>
  </w:style>
  <w:style w:type="paragraph" w:customStyle="1" w:styleId="JuTitle">
    <w:name w:val="Ju_Title"/>
    <w:basedOn w:val="Normal"/>
    <w:next w:val="ECHRPara"/>
    <w:uiPriority w:val="3"/>
    <w:qFormat/>
    <w:rsid w:val="00D33B0F"/>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D33B0F"/>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D33B0F"/>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D33B0F"/>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D33B0F"/>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D33B0F"/>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D33B0F"/>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D33B0F"/>
    <w:pPr>
      <w:keepNext/>
      <w:keepLines/>
      <w:spacing w:before="240" w:after="120"/>
      <w:ind w:left="1236"/>
    </w:pPr>
    <w:rPr>
      <w:sz w:val="20"/>
    </w:rPr>
  </w:style>
  <w:style w:type="paragraph" w:customStyle="1" w:styleId="JuQuotSub">
    <w:name w:val="Ju_Quot_Sub"/>
    <w:basedOn w:val="ECHRParaQuote"/>
    <w:uiPriority w:val="15"/>
    <w:qFormat/>
    <w:rsid w:val="00D33B0F"/>
    <w:pPr>
      <w:ind w:left="567"/>
    </w:pPr>
  </w:style>
  <w:style w:type="paragraph" w:customStyle="1" w:styleId="JuInitialled">
    <w:name w:val="Ju_Initialled"/>
    <w:basedOn w:val="Normal"/>
    <w:uiPriority w:val="31"/>
    <w:qFormat/>
    <w:rsid w:val="00D33B0F"/>
    <w:pPr>
      <w:tabs>
        <w:tab w:val="center" w:pos="6407"/>
      </w:tabs>
      <w:spacing w:before="720"/>
      <w:jc w:val="right"/>
    </w:pPr>
  </w:style>
  <w:style w:type="paragraph" w:customStyle="1" w:styleId="OpiHA">
    <w:name w:val="Opi_H_A"/>
    <w:basedOn w:val="ECHRHeading1"/>
    <w:next w:val="OpiPara"/>
    <w:uiPriority w:val="41"/>
    <w:semiHidden/>
    <w:qFormat/>
    <w:rsid w:val="00D33B0F"/>
    <w:pPr>
      <w:tabs>
        <w:tab w:val="clear" w:pos="357"/>
      </w:tabs>
      <w:outlineLvl w:val="1"/>
    </w:pPr>
    <w:rPr>
      <w:b/>
    </w:rPr>
  </w:style>
  <w:style w:type="paragraph" w:styleId="Header">
    <w:name w:val="header"/>
    <w:basedOn w:val="Normal"/>
    <w:link w:val="HeaderChar"/>
    <w:uiPriority w:val="57"/>
    <w:semiHidden/>
    <w:rsid w:val="00D33B0F"/>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D33B0F"/>
    <w:rPr>
      <w:sz w:val="24"/>
    </w:rPr>
  </w:style>
  <w:style w:type="character" w:customStyle="1" w:styleId="Heading1Char">
    <w:name w:val="Heading 1 Char"/>
    <w:basedOn w:val="DefaultParagraphFont"/>
    <w:link w:val="Heading1"/>
    <w:uiPriority w:val="99"/>
    <w:semiHidden/>
    <w:rsid w:val="00D33B0F"/>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D33B0F"/>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D33B0F"/>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D33B0F"/>
    <w:rPr>
      <w:rFonts w:asciiTheme="majorHAnsi" w:eastAsiaTheme="majorEastAsia" w:hAnsiTheme="majorHAnsi" w:cstheme="majorBidi"/>
      <w:b/>
      <w:bCs/>
      <w:color w:val="4D4D4D"/>
      <w:sz w:val="26"/>
      <w:szCs w:val="26"/>
    </w:rPr>
  </w:style>
  <w:style w:type="character" w:customStyle="1" w:styleId="JUNAMES">
    <w:name w:val="JU_NAMES"/>
    <w:uiPriority w:val="17"/>
    <w:qFormat/>
    <w:rsid w:val="00D33B0F"/>
    <w:rPr>
      <w:caps w:val="0"/>
      <w:smallCaps/>
    </w:rPr>
  </w:style>
  <w:style w:type="paragraph" w:customStyle="1" w:styleId="JuCase">
    <w:name w:val="Ju_Case"/>
    <w:basedOn w:val="Normal"/>
    <w:next w:val="ECHRPara"/>
    <w:uiPriority w:val="10"/>
    <w:rsid w:val="00D33B0F"/>
    <w:pPr>
      <w:ind w:firstLine="284"/>
    </w:pPr>
    <w:rPr>
      <w:b/>
    </w:rPr>
  </w:style>
  <w:style w:type="character" w:customStyle="1" w:styleId="Heading3Char">
    <w:name w:val="Heading 3 Char"/>
    <w:basedOn w:val="DefaultParagraphFont"/>
    <w:link w:val="Heading3"/>
    <w:uiPriority w:val="99"/>
    <w:semiHidden/>
    <w:rsid w:val="00D33B0F"/>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D33B0F"/>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D33B0F"/>
    <w:rPr>
      <w:rFonts w:asciiTheme="majorHAnsi" w:eastAsiaTheme="majorEastAsia" w:hAnsiTheme="majorHAnsi" w:cstheme="majorBidi"/>
      <w:b/>
      <w:bCs/>
      <w:color w:val="808080"/>
      <w:sz w:val="24"/>
    </w:rPr>
  </w:style>
  <w:style w:type="character" w:styleId="SubtleEmphasis">
    <w:name w:val="Subtle Emphasis"/>
    <w:uiPriority w:val="99"/>
    <w:semiHidden/>
    <w:qFormat/>
    <w:rsid w:val="00D33B0F"/>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D33B0F"/>
    <w:pPr>
      <w:keepNext/>
      <w:keepLines/>
      <w:spacing w:before="720" w:after="240"/>
      <w:outlineLvl w:val="0"/>
    </w:pPr>
    <w:rPr>
      <w:rFonts w:asciiTheme="majorHAnsi" w:hAnsiTheme="majorHAnsi"/>
      <w:sz w:val="28"/>
    </w:rPr>
  </w:style>
  <w:style w:type="character" w:styleId="Emphasis">
    <w:name w:val="Emphasis"/>
    <w:uiPriority w:val="99"/>
    <w:semiHidden/>
    <w:qFormat/>
    <w:rsid w:val="00D33B0F"/>
    <w:rPr>
      <w:b/>
      <w:bCs/>
      <w:i/>
      <w:iCs/>
      <w:spacing w:val="10"/>
      <w:bdr w:val="none" w:sz="0" w:space="0" w:color="auto"/>
      <w:shd w:val="clear" w:color="auto" w:fill="auto"/>
    </w:rPr>
  </w:style>
  <w:style w:type="paragraph" w:styleId="Footer">
    <w:name w:val="footer"/>
    <w:basedOn w:val="Normal"/>
    <w:link w:val="FooterChar"/>
    <w:uiPriority w:val="57"/>
    <w:semiHidden/>
    <w:rsid w:val="00D33B0F"/>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D33B0F"/>
    <w:rPr>
      <w:sz w:val="24"/>
    </w:rPr>
  </w:style>
  <w:style w:type="character" w:styleId="FootnoteReference">
    <w:name w:val="footnote reference"/>
    <w:basedOn w:val="DefaultParagraphFont"/>
    <w:uiPriority w:val="99"/>
    <w:semiHidden/>
    <w:rsid w:val="00D33B0F"/>
    <w:rPr>
      <w:vertAlign w:val="superscript"/>
    </w:rPr>
  </w:style>
  <w:style w:type="paragraph" w:styleId="FootnoteText">
    <w:name w:val="footnote text"/>
    <w:basedOn w:val="Normal"/>
    <w:link w:val="FootnoteTextChar"/>
    <w:uiPriority w:val="99"/>
    <w:semiHidden/>
    <w:rsid w:val="00D33B0F"/>
    <w:rPr>
      <w:sz w:val="20"/>
      <w:szCs w:val="20"/>
    </w:rPr>
  </w:style>
  <w:style w:type="character" w:customStyle="1" w:styleId="FootnoteTextChar">
    <w:name w:val="Footnote Text Char"/>
    <w:basedOn w:val="DefaultParagraphFont"/>
    <w:link w:val="FootnoteText"/>
    <w:uiPriority w:val="99"/>
    <w:semiHidden/>
    <w:rsid w:val="00D33B0F"/>
    <w:rPr>
      <w:rFonts w:eastAsiaTheme="minorEastAsia"/>
      <w:sz w:val="20"/>
      <w:szCs w:val="20"/>
    </w:rPr>
  </w:style>
  <w:style w:type="character" w:customStyle="1" w:styleId="Heading6Char">
    <w:name w:val="Heading 6 Char"/>
    <w:basedOn w:val="DefaultParagraphFont"/>
    <w:link w:val="Heading6"/>
    <w:uiPriority w:val="99"/>
    <w:semiHidden/>
    <w:rsid w:val="00D33B0F"/>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D33B0F"/>
    <w:rPr>
      <w:rFonts w:asciiTheme="majorHAnsi" w:eastAsiaTheme="majorEastAsia" w:hAnsiTheme="majorHAnsi" w:cstheme="majorBidi"/>
      <w:i/>
      <w:iCs/>
      <w:sz w:val="24"/>
      <w:lang w:bidi="en-US"/>
    </w:rPr>
  </w:style>
  <w:style w:type="character" w:customStyle="1" w:styleId="Heading8Char">
    <w:name w:val="Heading 8 Char"/>
    <w:basedOn w:val="DefaultParagraphFont"/>
    <w:link w:val="Heading8"/>
    <w:uiPriority w:val="99"/>
    <w:semiHidden/>
    <w:rsid w:val="00D33B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D33B0F"/>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D33B0F"/>
    <w:rPr>
      <w:color w:val="0072BC" w:themeColor="hyperlink"/>
      <w:u w:val="single"/>
    </w:rPr>
  </w:style>
  <w:style w:type="character" w:styleId="IntenseEmphasis">
    <w:name w:val="Intense Emphasis"/>
    <w:uiPriority w:val="99"/>
    <w:semiHidden/>
    <w:qFormat/>
    <w:rsid w:val="00D33B0F"/>
    <w:rPr>
      <w:b/>
      <w:bCs/>
    </w:rPr>
  </w:style>
  <w:style w:type="paragraph" w:styleId="IntenseQuote">
    <w:name w:val="Intense Quote"/>
    <w:basedOn w:val="Normal"/>
    <w:next w:val="Normal"/>
    <w:link w:val="IntenseQuoteChar"/>
    <w:uiPriority w:val="99"/>
    <w:semiHidden/>
    <w:qFormat/>
    <w:rsid w:val="00D33B0F"/>
    <w:pPr>
      <w:pBdr>
        <w:bottom w:val="single" w:sz="4" w:space="1" w:color="auto"/>
      </w:pBdr>
      <w:spacing w:before="200" w:after="280"/>
      <w:ind w:left="1008" w:right="1152"/>
    </w:pPr>
    <w:rPr>
      <w:b/>
      <w:bCs/>
      <w:i/>
      <w:iCs/>
      <w:lang w:bidi="en-US"/>
    </w:rPr>
  </w:style>
  <w:style w:type="character" w:customStyle="1" w:styleId="IntenseQuoteChar">
    <w:name w:val="Intense Quote Char"/>
    <w:basedOn w:val="DefaultParagraphFont"/>
    <w:link w:val="IntenseQuote"/>
    <w:uiPriority w:val="99"/>
    <w:semiHidden/>
    <w:rsid w:val="00D33B0F"/>
    <w:rPr>
      <w:rFonts w:eastAsiaTheme="minorEastAsia"/>
      <w:b/>
      <w:bCs/>
      <w:i/>
      <w:iCs/>
      <w:sz w:val="24"/>
      <w:lang w:bidi="en-US"/>
    </w:rPr>
  </w:style>
  <w:style w:type="character" w:styleId="IntenseReference">
    <w:name w:val="Intense Reference"/>
    <w:uiPriority w:val="99"/>
    <w:semiHidden/>
    <w:qFormat/>
    <w:rsid w:val="00D33B0F"/>
    <w:rPr>
      <w:smallCaps/>
      <w:spacing w:val="5"/>
      <w:u w:val="single"/>
    </w:rPr>
  </w:style>
  <w:style w:type="paragraph" w:styleId="ListParagraph">
    <w:name w:val="List Paragraph"/>
    <w:basedOn w:val="Normal"/>
    <w:uiPriority w:val="99"/>
    <w:semiHidden/>
    <w:qFormat/>
    <w:rsid w:val="00D33B0F"/>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D33B0F"/>
    <w:pPr>
      <w:spacing w:before="200"/>
      <w:ind w:left="360" w:right="360"/>
    </w:pPr>
    <w:rPr>
      <w:i/>
      <w:iCs/>
      <w:lang w:bidi="en-US"/>
    </w:rPr>
  </w:style>
  <w:style w:type="character" w:customStyle="1" w:styleId="QuoteChar">
    <w:name w:val="Quote Char"/>
    <w:basedOn w:val="DefaultParagraphFont"/>
    <w:link w:val="Quote"/>
    <w:uiPriority w:val="99"/>
    <w:semiHidden/>
    <w:rsid w:val="00D33B0F"/>
    <w:rPr>
      <w:rFonts w:eastAsiaTheme="minorEastAsia"/>
      <w:i/>
      <w:iCs/>
      <w:sz w:val="24"/>
      <w:lang w:bidi="en-US"/>
    </w:rPr>
  </w:style>
  <w:style w:type="character" w:styleId="SubtleReference">
    <w:name w:val="Subtle Reference"/>
    <w:uiPriority w:val="99"/>
    <w:semiHidden/>
    <w:qFormat/>
    <w:rsid w:val="00D33B0F"/>
    <w:rPr>
      <w:smallCaps/>
    </w:rPr>
  </w:style>
  <w:style w:type="table" w:styleId="TableGrid">
    <w:name w:val="Table Grid"/>
    <w:basedOn w:val="TableNormal"/>
    <w:uiPriority w:val="59"/>
    <w:rsid w:val="00D33B0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D33B0F"/>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D33B0F"/>
    <w:pPr>
      <w:spacing w:after="60"/>
      <w:ind w:left="680" w:right="340" w:hanging="340"/>
    </w:pPr>
  </w:style>
  <w:style w:type="paragraph" w:styleId="TOC3">
    <w:name w:val="toc 3"/>
    <w:basedOn w:val="Normal"/>
    <w:next w:val="Normal"/>
    <w:autoRedefine/>
    <w:uiPriority w:val="99"/>
    <w:semiHidden/>
    <w:rsid w:val="00D33B0F"/>
    <w:pPr>
      <w:spacing w:after="60"/>
      <w:ind w:left="1020" w:right="340" w:hanging="340"/>
    </w:pPr>
  </w:style>
  <w:style w:type="paragraph" w:styleId="TOC4">
    <w:name w:val="toc 4"/>
    <w:basedOn w:val="Normal"/>
    <w:next w:val="Normal"/>
    <w:autoRedefine/>
    <w:uiPriority w:val="99"/>
    <w:semiHidden/>
    <w:rsid w:val="00D33B0F"/>
    <w:pPr>
      <w:tabs>
        <w:tab w:val="right" w:leader="dot" w:pos="9017"/>
      </w:tabs>
      <w:spacing w:after="60"/>
      <w:ind w:left="1361" w:right="340" w:hanging="340"/>
    </w:pPr>
  </w:style>
  <w:style w:type="paragraph" w:styleId="TOC5">
    <w:name w:val="toc 5"/>
    <w:basedOn w:val="Normal"/>
    <w:next w:val="Normal"/>
    <w:autoRedefine/>
    <w:uiPriority w:val="99"/>
    <w:semiHidden/>
    <w:rsid w:val="00D33B0F"/>
    <w:pPr>
      <w:spacing w:after="60"/>
      <w:ind w:left="1701" w:right="340" w:hanging="340"/>
    </w:pPr>
  </w:style>
  <w:style w:type="paragraph" w:styleId="TOCHeading">
    <w:name w:val="TOC Heading"/>
    <w:basedOn w:val="Heading1"/>
    <w:next w:val="Normal"/>
    <w:uiPriority w:val="99"/>
    <w:semiHidden/>
    <w:qFormat/>
    <w:rsid w:val="00D33B0F"/>
    <w:pPr>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D33B0F"/>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
    <w:basedOn w:val="Normal"/>
    <w:uiPriority w:val="14"/>
    <w:qFormat/>
    <w:rsid w:val="00D33B0F"/>
    <w:pPr>
      <w:spacing w:before="120" w:after="120"/>
      <w:ind w:left="425" w:firstLine="142"/>
    </w:pPr>
    <w:rPr>
      <w:sz w:val="20"/>
    </w:rPr>
  </w:style>
  <w:style w:type="paragraph" w:customStyle="1" w:styleId="ECHRPara">
    <w:name w:val="ECHR_Para"/>
    <w:aliases w:val="Ju_Para"/>
    <w:basedOn w:val="Normal"/>
    <w:link w:val="ECHRParaChar"/>
    <w:uiPriority w:val="12"/>
    <w:qFormat/>
    <w:rsid w:val="00D33B0F"/>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D33B0F"/>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D33B0F"/>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D33B0F"/>
    <w:pPr>
      <w:ind w:left="340" w:hanging="340"/>
    </w:pPr>
  </w:style>
  <w:style w:type="paragraph" w:customStyle="1" w:styleId="JuSigned">
    <w:name w:val="Ju_Signed"/>
    <w:basedOn w:val="Normal"/>
    <w:next w:val="JuParaLast"/>
    <w:uiPriority w:val="32"/>
    <w:qFormat/>
    <w:rsid w:val="00D33B0F"/>
    <w:pPr>
      <w:tabs>
        <w:tab w:val="center" w:pos="851"/>
        <w:tab w:val="center" w:pos="6407"/>
      </w:tabs>
      <w:spacing w:before="720"/>
      <w:jc w:val="left"/>
    </w:pPr>
  </w:style>
  <w:style w:type="paragraph" w:customStyle="1" w:styleId="JuParaLast">
    <w:name w:val="Ju_Para_Last"/>
    <w:basedOn w:val="Normal"/>
    <w:next w:val="ECHRPara"/>
    <w:uiPriority w:val="30"/>
    <w:qFormat/>
    <w:rsid w:val="00D33B0F"/>
    <w:pPr>
      <w:keepNext/>
      <w:keepLines/>
      <w:spacing w:before="240"/>
      <w:ind w:firstLine="284"/>
    </w:pPr>
  </w:style>
  <w:style w:type="character" w:customStyle="1" w:styleId="JuITMark">
    <w:name w:val="Ju_ITMark"/>
    <w:basedOn w:val="DefaultParagraphFont"/>
    <w:uiPriority w:val="38"/>
    <w:qFormat/>
    <w:rsid w:val="00D33B0F"/>
    <w:rPr>
      <w:vanish w:val="0"/>
      <w:color w:val="auto"/>
      <w:sz w:val="14"/>
    </w:rPr>
  </w:style>
  <w:style w:type="character" w:styleId="PageNumber">
    <w:name w:val="page number"/>
    <w:uiPriority w:val="99"/>
    <w:semiHidden/>
    <w:rsid w:val="00014566"/>
    <w:rPr>
      <w:sz w:val="18"/>
    </w:rPr>
  </w:style>
  <w:style w:type="paragraph" w:customStyle="1" w:styleId="JuLista">
    <w:name w:val="Ju_List_a"/>
    <w:basedOn w:val="JuList"/>
    <w:link w:val="JuListaChar"/>
    <w:uiPriority w:val="28"/>
    <w:qFormat/>
    <w:rsid w:val="00D33B0F"/>
    <w:pPr>
      <w:ind w:left="346" w:firstLine="0"/>
    </w:pPr>
  </w:style>
  <w:style w:type="paragraph" w:customStyle="1" w:styleId="JuListi">
    <w:name w:val="Ju_List_i"/>
    <w:basedOn w:val="Normal"/>
    <w:next w:val="JuLista"/>
    <w:uiPriority w:val="28"/>
    <w:qFormat/>
    <w:rsid w:val="00D33B0F"/>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Translation">
    <w:name w:val="Opi_Translation"/>
    <w:basedOn w:val="Normal"/>
    <w:next w:val="OpiPara"/>
    <w:uiPriority w:val="40"/>
    <w:semiHidden/>
    <w:qFormat/>
    <w:rsid w:val="00D33B0F"/>
    <w:pPr>
      <w:jc w:val="center"/>
      <w:outlineLvl w:val="0"/>
    </w:pPr>
    <w:rPr>
      <w:i/>
    </w:rPr>
  </w:style>
  <w:style w:type="paragraph" w:styleId="ListBullet">
    <w:name w:val="List Bullet"/>
    <w:basedOn w:val="Normal"/>
    <w:uiPriority w:val="99"/>
    <w:semiHidden/>
    <w:rsid w:val="00014566"/>
    <w:pPr>
      <w:numPr>
        <w:numId w:val="1"/>
      </w:numPr>
    </w:pPr>
  </w:style>
  <w:style w:type="paragraph" w:customStyle="1" w:styleId="DecHTitle">
    <w:name w:val="Dec_H_Title"/>
    <w:basedOn w:val="ECHRTitleCentre1"/>
    <w:uiPriority w:val="7"/>
    <w:qFormat/>
    <w:rsid w:val="00D33B0F"/>
  </w:style>
  <w:style w:type="paragraph" w:styleId="Subtitle">
    <w:name w:val="Subtitle"/>
    <w:basedOn w:val="Normal"/>
    <w:next w:val="Normal"/>
    <w:link w:val="SubtitleChar"/>
    <w:uiPriority w:val="99"/>
    <w:semiHidden/>
    <w:qFormat/>
    <w:rsid w:val="00D33B0F"/>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D33B0F"/>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JuCourt">
    <w:name w:val="Ju_Court"/>
    <w:basedOn w:val="Normal"/>
    <w:next w:val="Normal"/>
    <w:uiPriority w:val="16"/>
    <w:qFormat/>
    <w:rsid w:val="00D33B0F"/>
    <w:pPr>
      <w:tabs>
        <w:tab w:val="left" w:pos="907"/>
        <w:tab w:val="left" w:pos="1701"/>
        <w:tab w:val="right" w:pos="7371"/>
      </w:tabs>
      <w:spacing w:before="240"/>
      <w:ind w:left="397" w:hanging="397"/>
      <w:jc w:val="left"/>
    </w:pPr>
    <w:rPr>
      <w:lang w:bidi="en-US"/>
    </w:rPr>
  </w:style>
  <w:style w:type="paragraph" w:customStyle="1" w:styleId="DecList">
    <w:name w:val="Dec_List"/>
    <w:basedOn w:val="Normal"/>
    <w:uiPriority w:val="9"/>
    <w:qFormat/>
    <w:rsid w:val="00D33B0F"/>
    <w:pPr>
      <w:spacing w:before="240"/>
      <w:ind w:left="284"/>
    </w:pPr>
  </w:style>
  <w:style w:type="paragraph" w:customStyle="1" w:styleId="OpiH1">
    <w:name w:val="Opi_H_1"/>
    <w:basedOn w:val="ECHRHeading2"/>
    <w:uiPriority w:val="42"/>
    <w:semiHidden/>
    <w:qFormat/>
    <w:rsid w:val="00D33B0F"/>
    <w:pPr>
      <w:ind w:left="635" w:hanging="357"/>
      <w:outlineLvl w:val="2"/>
    </w:pPr>
  </w:style>
  <w:style w:type="paragraph" w:customStyle="1" w:styleId="OpiHa0">
    <w:name w:val="Opi_H_a"/>
    <w:basedOn w:val="ECHRHeading3"/>
    <w:uiPriority w:val="43"/>
    <w:semiHidden/>
    <w:qFormat/>
    <w:rsid w:val="00D33B0F"/>
    <w:pPr>
      <w:ind w:left="833" w:hanging="357"/>
      <w:outlineLvl w:val="3"/>
    </w:pPr>
    <w:rPr>
      <w:b/>
      <w:i w:val="0"/>
      <w:sz w:val="20"/>
    </w:rPr>
  </w:style>
  <w:style w:type="paragraph" w:customStyle="1" w:styleId="OpiHi">
    <w:name w:val="Opi_H_i"/>
    <w:basedOn w:val="ECHRHeading4"/>
    <w:uiPriority w:val="44"/>
    <w:semiHidden/>
    <w:qFormat/>
    <w:rsid w:val="00D33B0F"/>
    <w:pPr>
      <w:ind w:left="1037" w:hanging="357"/>
      <w:outlineLvl w:val="4"/>
    </w:pPr>
    <w:rPr>
      <w:b w:val="0"/>
      <w:i/>
    </w:rPr>
  </w:style>
  <w:style w:type="paragraph" w:customStyle="1" w:styleId="DummyStyle">
    <w:name w:val="Dummy_Style"/>
    <w:basedOn w:val="Normal"/>
    <w:semiHidden/>
    <w:qFormat/>
    <w:rsid w:val="00D33B0F"/>
    <w:rPr>
      <w:color w:val="00B050"/>
      <w:lang w:bidi="en-US"/>
    </w:rPr>
  </w:style>
  <w:style w:type="character" w:customStyle="1" w:styleId="ECHRParaChar">
    <w:name w:val="ECHR_Para Char"/>
    <w:aliases w:val="Ju_Para Char"/>
    <w:link w:val="ECHRPara"/>
    <w:uiPriority w:val="12"/>
    <w:rsid w:val="00AC6C6C"/>
    <w:rPr>
      <w:rFonts w:eastAsiaTheme="minorEastAsia"/>
      <w:sz w:val="24"/>
    </w:rPr>
  </w:style>
  <w:style w:type="character" w:customStyle="1" w:styleId="JuListaChar">
    <w:name w:val="Ju_List_a Char"/>
    <w:basedOn w:val="DefaultParagraphFont"/>
    <w:link w:val="JuLista"/>
    <w:uiPriority w:val="28"/>
    <w:rsid w:val="00EA7688"/>
    <w:rPr>
      <w:rFonts w:eastAsiaTheme="minorEastAsia"/>
      <w:sz w:val="24"/>
    </w:rPr>
  </w:style>
  <w:style w:type="paragraph" w:customStyle="1" w:styleId="jupara">
    <w:name w:val="jupara"/>
    <w:basedOn w:val="Normal"/>
    <w:rsid w:val="00D77670"/>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D77670"/>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732">
      <w:bodyDiv w:val="1"/>
      <w:marLeft w:val="0"/>
      <w:marRight w:val="0"/>
      <w:marTop w:val="0"/>
      <w:marBottom w:val="0"/>
      <w:divBdr>
        <w:top w:val="none" w:sz="0" w:space="0" w:color="auto"/>
        <w:left w:val="none" w:sz="0" w:space="0" w:color="auto"/>
        <w:bottom w:val="none" w:sz="0" w:space="0" w:color="auto"/>
        <w:right w:val="none" w:sz="0" w:space="0" w:color="auto"/>
      </w:divBdr>
      <w:divsChild>
        <w:div w:id="991300595">
          <w:marLeft w:val="0"/>
          <w:marRight w:val="0"/>
          <w:marTop w:val="0"/>
          <w:marBottom w:val="0"/>
          <w:divBdr>
            <w:top w:val="none" w:sz="0" w:space="0" w:color="auto"/>
            <w:left w:val="none" w:sz="0" w:space="0" w:color="auto"/>
            <w:bottom w:val="none" w:sz="0" w:space="0" w:color="auto"/>
            <w:right w:val="none" w:sz="0" w:space="0" w:color="auto"/>
          </w:divBdr>
          <w:divsChild>
            <w:div w:id="995452163">
              <w:marLeft w:val="0"/>
              <w:marRight w:val="0"/>
              <w:marTop w:val="0"/>
              <w:marBottom w:val="0"/>
              <w:divBdr>
                <w:top w:val="none" w:sz="0" w:space="0" w:color="auto"/>
                <w:left w:val="none" w:sz="0" w:space="0" w:color="auto"/>
                <w:bottom w:val="none" w:sz="0" w:space="0" w:color="auto"/>
                <w:right w:val="none" w:sz="0" w:space="0" w:color="auto"/>
              </w:divBdr>
              <w:divsChild>
                <w:div w:id="915019542">
                  <w:marLeft w:val="0"/>
                  <w:marRight w:val="0"/>
                  <w:marTop w:val="0"/>
                  <w:marBottom w:val="0"/>
                  <w:divBdr>
                    <w:top w:val="none" w:sz="0" w:space="0" w:color="auto"/>
                    <w:left w:val="none" w:sz="0" w:space="0" w:color="auto"/>
                    <w:bottom w:val="none" w:sz="0" w:space="0" w:color="auto"/>
                    <w:right w:val="none" w:sz="0" w:space="0" w:color="auto"/>
                  </w:divBdr>
                  <w:divsChild>
                    <w:div w:id="1112550127">
                      <w:marLeft w:val="0"/>
                      <w:marRight w:val="0"/>
                      <w:marTop w:val="0"/>
                      <w:marBottom w:val="0"/>
                      <w:divBdr>
                        <w:top w:val="none" w:sz="0" w:space="0" w:color="auto"/>
                        <w:left w:val="none" w:sz="0" w:space="0" w:color="auto"/>
                        <w:bottom w:val="none" w:sz="0" w:space="0" w:color="auto"/>
                        <w:right w:val="none" w:sz="0" w:space="0" w:color="auto"/>
                      </w:divBdr>
                      <w:divsChild>
                        <w:div w:id="14074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4031">
      <w:bodyDiv w:val="1"/>
      <w:marLeft w:val="0"/>
      <w:marRight w:val="0"/>
      <w:marTop w:val="0"/>
      <w:marBottom w:val="0"/>
      <w:divBdr>
        <w:top w:val="none" w:sz="0" w:space="0" w:color="auto"/>
        <w:left w:val="none" w:sz="0" w:space="0" w:color="auto"/>
        <w:bottom w:val="none" w:sz="0" w:space="0" w:color="auto"/>
        <w:right w:val="none" w:sz="0" w:space="0" w:color="auto"/>
      </w:divBdr>
      <w:divsChild>
        <w:div w:id="1663967211">
          <w:marLeft w:val="0"/>
          <w:marRight w:val="0"/>
          <w:marTop w:val="0"/>
          <w:marBottom w:val="0"/>
          <w:divBdr>
            <w:top w:val="none" w:sz="0" w:space="0" w:color="auto"/>
            <w:left w:val="none" w:sz="0" w:space="0" w:color="auto"/>
            <w:bottom w:val="none" w:sz="0" w:space="0" w:color="auto"/>
            <w:right w:val="none" w:sz="0" w:space="0" w:color="auto"/>
          </w:divBdr>
          <w:divsChild>
            <w:div w:id="885870897">
              <w:marLeft w:val="0"/>
              <w:marRight w:val="0"/>
              <w:marTop w:val="0"/>
              <w:marBottom w:val="0"/>
              <w:divBdr>
                <w:top w:val="none" w:sz="0" w:space="0" w:color="auto"/>
                <w:left w:val="none" w:sz="0" w:space="0" w:color="auto"/>
                <w:bottom w:val="none" w:sz="0" w:space="0" w:color="auto"/>
                <w:right w:val="none" w:sz="0" w:space="0" w:color="auto"/>
              </w:divBdr>
              <w:divsChild>
                <w:div w:id="1937597832">
                  <w:marLeft w:val="0"/>
                  <w:marRight w:val="0"/>
                  <w:marTop w:val="0"/>
                  <w:marBottom w:val="0"/>
                  <w:divBdr>
                    <w:top w:val="none" w:sz="0" w:space="0" w:color="auto"/>
                    <w:left w:val="none" w:sz="0" w:space="0" w:color="auto"/>
                    <w:bottom w:val="none" w:sz="0" w:space="0" w:color="auto"/>
                    <w:right w:val="none" w:sz="0" w:space="0" w:color="auto"/>
                  </w:divBdr>
                  <w:divsChild>
                    <w:div w:id="1223058966">
                      <w:marLeft w:val="0"/>
                      <w:marRight w:val="0"/>
                      <w:marTop w:val="0"/>
                      <w:marBottom w:val="0"/>
                      <w:divBdr>
                        <w:top w:val="none" w:sz="0" w:space="0" w:color="auto"/>
                        <w:left w:val="none" w:sz="0" w:space="0" w:color="auto"/>
                        <w:bottom w:val="none" w:sz="0" w:space="0" w:color="auto"/>
                        <w:right w:val="none" w:sz="0" w:space="0" w:color="auto"/>
                      </w:divBdr>
                      <w:divsChild>
                        <w:div w:id="1073699501">
                          <w:marLeft w:val="0"/>
                          <w:marRight w:val="0"/>
                          <w:marTop w:val="0"/>
                          <w:marBottom w:val="0"/>
                          <w:divBdr>
                            <w:top w:val="none" w:sz="0" w:space="0" w:color="auto"/>
                            <w:left w:val="none" w:sz="0" w:space="0" w:color="auto"/>
                            <w:bottom w:val="none" w:sz="0" w:space="0" w:color="auto"/>
                            <w:right w:val="none" w:sz="0" w:space="0" w:color="auto"/>
                          </w:divBdr>
                          <w:divsChild>
                            <w:div w:id="11180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34196">
      <w:bodyDiv w:val="1"/>
      <w:marLeft w:val="0"/>
      <w:marRight w:val="0"/>
      <w:marTop w:val="0"/>
      <w:marBottom w:val="0"/>
      <w:divBdr>
        <w:top w:val="none" w:sz="0" w:space="0" w:color="auto"/>
        <w:left w:val="none" w:sz="0" w:space="0" w:color="auto"/>
        <w:bottom w:val="none" w:sz="0" w:space="0" w:color="auto"/>
        <w:right w:val="none" w:sz="0" w:space="0" w:color="auto"/>
      </w:divBdr>
      <w:divsChild>
        <w:div w:id="52972286">
          <w:marLeft w:val="0"/>
          <w:marRight w:val="0"/>
          <w:marTop w:val="0"/>
          <w:marBottom w:val="0"/>
          <w:divBdr>
            <w:top w:val="none" w:sz="0" w:space="0" w:color="auto"/>
            <w:left w:val="none" w:sz="0" w:space="0" w:color="auto"/>
            <w:bottom w:val="none" w:sz="0" w:space="0" w:color="auto"/>
            <w:right w:val="none" w:sz="0" w:space="0" w:color="auto"/>
          </w:divBdr>
          <w:divsChild>
            <w:div w:id="229777243">
              <w:marLeft w:val="0"/>
              <w:marRight w:val="0"/>
              <w:marTop w:val="0"/>
              <w:marBottom w:val="0"/>
              <w:divBdr>
                <w:top w:val="none" w:sz="0" w:space="0" w:color="auto"/>
                <w:left w:val="none" w:sz="0" w:space="0" w:color="auto"/>
                <w:bottom w:val="none" w:sz="0" w:space="0" w:color="auto"/>
                <w:right w:val="none" w:sz="0" w:space="0" w:color="auto"/>
              </w:divBdr>
              <w:divsChild>
                <w:div w:id="1943220071">
                  <w:marLeft w:val="0"/>
                  <w:marRight w:val="0"/>
                  <w:marTop w:val="0"/>
                  <w:marBottom w:val="0"/>
                  <w:divBdr>
                    <w:top w:val="none" w:sz="0" w:space="0" w:color="auto"/>
                    <w:left w:val="none" w:sz="0" w:space="0" w:color="auto"/>
                    <w:bottom w:val="none" w:sz="0" w:space="0" w:color="auto"/>
                    <w:right w:val="none" w:sz="0" w:space="0" w:color="auto"/>
                  </w:divBdr>
                  <w:divsChild>
                    <w:div w:id="788167742">
                      <w:marLeft w:val="0"/>
                      <w:marRight w:val="0"/>
                      <w:marTop w:val="0"/>
                      <w:marBottom w:val="0"/>
                      <w:divBdr>
                        <w:top w:val="none" w:sz="0" w:space="0" w:color="auto"/>
                        <w:left w:val="none" w:sz="0" w:space="0" w:color="auto"/>
                        <w:bottom w:val="none" w:sz="0" w:space="0" w:color="auto"/>
                        <w:right w:val="none" w:sz="0" w:space="0" w:color="auto"/>
                      </w:divBdr>
                      <w:divsChild>
                        <w:div w:id="936790656">
                          <w:marLeft w:val="0"/>
                          <w:marRight w:val="0"/>
                          <w:marTop w:val="0"/>
                          <w:marBottom w:val="0"/>
                          <w:divBdr>
                            <w:top w:val="none" w:sz="0" w:space="0" w:color="auto"/>
                            <w:left w:val="none" w:sz="0" w:space="0" w:color="auto"/>
                            <w:bottom w:val="none" w:sz="0" w:space="0" w:color="auto"/>
                            <w:right w:val="none" w:sz="0" w:space="0" w:color="auto"/>
                          </w:divBdr>
                          <w:divsChild>
                            <w:div w:id="1727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249749">
      <w:bodyDiv w:val="1"/>
      <w:marLeft w:val="0"/>
      <w:marRight w:val="0"/>
      <w:marTop w:val="0"/>
      <w:marBottom w:val="0"/>
      <w:divBdr>
        <w:top w:val="none" w:sz="0" w:space="0" w:color="auto"/>
        <w:left w:val="none" w:sz="0" w:space="0" w:color="auto"/>
        <w:bottom w:val="none" w:sz="0" w:space="0" w:color="auto"/>
        <w:right w:val="none" w:sz="0" w:space="0" w:color="auto"/>
      </w:divBdr>
      <w:divsChild>
        <w:div w:id="511379323">
          <w:marLeft w:val="0"/>
          <w:marRight w:val="0"/>
          <w:marTop w:val="0"/>
          <w:marBottom w:val="0"/>
          <w:divBdr>
            <w:top w:val="none" w:sz="0" w:space="0" w:color="auto"/>
            <w:left w:val="none" w:sz="0" w:space="0" w:color="auto"/>
            <w:bottom w:val="none" w:sz="0" w:space="0" w:color="auto"/>
            <w:right w:val="none" w:sz="0" w:space="0" w:color="auto"/>
          </w:divBdr>
          <w:divsChild>
            <w:div w:id="1862666201">
              <w:marLeft w:val="0"/>
              <w:marRight w:val="0"/>
              <w:marTop w:val="0"/>
              <w:marBottom w:val="0"/>
              <w:divBdr>
                <w:top w:val="none" w:sz="0" w:space="0" w:color="auto"/>
                <w:left w:val="none" w:sz="0" w:space="0" w:color="auto"/>
                <w:bottom w:val="none" w:sz="0" w:space="0" w:color="auto"/>
                <w:right w:val="none" w:sz="0" w:space="0" w:color="auto"/>
              </w:divBdr>
              <w:divsChild>
                <w:div w:id="1790397775">
                  <w:marLeft w:val="0"/>
                  <w:marRight w:val="0"/>
                  <w:marTop w:val="0"/>
                  <w:marBottom w:val="0"/>
                  <w:divBdr>
                    <w:top w:val="none" w:sz="0" w:space="0" w:color="auto"/>
                    <w:left w:val="none" w:sz="0" w:space="0" w:color="auto"/>
                    <w:bottom w:val="none" w:sz="0" w:space="0" w:color="auto"/>
                    <w:right w:val="none" w:sz="0" w:space="0" w:color="auto"/>
                  </w:divBdr>
                  <w:divsChild>
                    <w:div w:id="731513088">
                      <w:marLeft w:val="0"/>
                      <w:marRight w:val="0"/>
                      <w:marTop w:val="0"/>
                      <w:marBottom w:val="0"/>
                      <w:divBdr>
                        <w:top w:val="none" w:sz="0" w:space="0" w:color="auto"/>
                        <w:left w:val="none" w:sz="0" w:space="0" w:color="auto"/>
                        <w:bottom w:val="none" w:sz="0" w:space="0" w:color="auto"/>
                        <w:right w:val="none" w:sz="0" w:space="0" w:color="auto"/>
                      </w:divBdr>
                      <w:divsChild>
                        <w:div w:id="878320016">
                          <w:marLeft w:val="0"/>
                          <w:marRight w:val="0"/>
                          <w:marTop w:val="0"/>
                          <w:marBottom w:val="0"/>
                          <w:divBdr>
                            <w:top w:val="none" w:sz="0" w:space="0" w:color="auto"/>
                            <w:left w:val="none" w:sz="0" w:space="0" w:color="auto"/>
                            <w:bottom w:val="none" w:sz="0" w:space="0" w:color="auto"/>
                            <w:right w:val="none" w:sz="0" w:space="0" w:color="auto"/>
                          </w:divBdr>
                          <w:divsChild>
                            <w:div w:id="19155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116103">
      <w:bodyDiv w:val="1"/>
      <w:marLeft w:val="0"/>
      <w:marRight w:val="0"/>
      <w:marTop w:val="0"/>
      <w:marBottom w:val="0"/>
      <w:divBdr>
        <w:top w:val="none" w:sz="0" w:space="0" w:color="auto"/>
        <w:left w:val="none" w:sz="0" w:space="0" w:color="auto"/>
        <w:bottom w:val="none" w:sz="0" w:space="0" w:color="auto"/>
        <w:right w:val="none" w:sz="0" w:space="0" w:color="auto"/>
      </w:divBdr>
      <w:divsChild>
        <w:div w:id="66850974">
          <w:marLeft w:val="0"/>
          <w:marRight w:val="0"/>
          <w:marTop w:val="0"/>
          <w:marBottom w:val="0"/>
          <w:divBdr>
            <w:top w:val="none" w:sz="0" w:space="0" w:color="auto"/>
            <w:left w:val="none" w:sz="0" w:space="0" w:color="auto"/>
            <w:bottom w:val="none" w:sz="0" w:space="0" w:color="auto"/>
            <w:right w:val="none" w:sz="0" w:space="0" w:color="auto"/>
          </w:divBdr>
          <w:divsChild>
            <w:div w:id="601107562">
              <w:marLeft w:val="0"/>
              <w:marRight w:val="0"/>
              <w:marTop w:val="0"/>
              <w:marBottom w:val="0"/>
              <w:divBdr>
                <w:top w:val="none" w:sz="0" w:space="0" w:color="auto"/>
                <w:left w:val="none" w:sz="0" w:space="0" w:color="auto"/>
                <w:bottom w:val="none" w:sz="0" w:space="0" w:color="auto"/>
                <w:right w:val="none" w:sz="0" w:space="0" w:color="auto"/>
              </w:divBdr>
              <w:divsChild>
                <w:div w:id="1489788335">
                  <w:marLeft w:val="0"/>
                  <w:marRight w:val="0"/>
                  <w:marTop w:val="0"/>
                  <w:marBottom w:val="0"/>
                  <w:divBdr>
                    <w:top w:val="none" w:sz="0" w:space="0" w:color="auto"/>
                    <w:left w:val="none" w:sz="0" w:space="0" w:color="auto"/>
                    <w:bottom w:val="none" w:sz="0" w:space="0" w:color="auto"/>
                    <w:right w:val="none" w:sz="0" w:space="0" w:color="auto"/>
                  </w:divBdr>
                  <w:divsChild>
                    <w:div w:id="593898735">
                      <w:marLeft w:val="0"/>
                      <w:marRight w:val="0"/>
                      <w:marTop w:val="0"/>
                      <w:marBottom w:val="0"/>
                      <w:divBdr>
                        <w:top w:val="none" w:sz="0" w:space="0" w:color="auto"/>
                        <w:left w:val="none" w:sz="0" w:space="0" w:color="auto"/>
                        <w:bottom w:val="none" w:sz="0" w:space="0" w:color="auto"/>
                        <w:right w:val="none" w:sz="0" w:space="0" w:color="auto"/>
                      </w:divBdr>
                      <w:divsChild>
                        <w:div w:id="982277915">
                          <w:marLeft w:val="0"/>
                          <w:marRight w:val="0"/>
                          <w:marTop w:val="0"/>
                          <w:marBottom w:val="0"/>
                          <w:divBdr>
                            <w:top w:val="none" w:sz="0" w:space="0" w:color="auto"/>
                            <w:left w:val="none" w:sz="0" w:space="0" w:color="auto"/>
                            <w:bottom w:val="none" w:sz="0" w:space="0" w:color="auto"/>
                            <w:right w:val="none" w:sz="0" w:space="0" w:color="auto"/>
                          </w:divBdr>
                          <w:divsChild>
                            <w:div w:id="6631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693652">
      <w:bodyDiv w:val="1"/>
      <w:marLeft w:val="0"/>
      <w:marRight w:val="0"/>
      <w:marTop w:val="0"/>
      <w:marBottom w:val="0"/>
      <w:divBdr>
        <w:top w:val="none" w:sz="0" w:space="0" w:color="auto"/>
        <w:left w:val="none" w:sz="0" w:space="0" w:color="auto"/>
        <w:bottom w:val="none" w:sz="0" w:space="0" w:color="auto"/>
        <w:right w:val="none" w:sz="0" w:space="0" w:color="auto"/>
      </w:divBdr>
      <w:divsChild>
        <w:div w:id="40443443">
          <w:marLeft w:val="0"/>
          <w:marRight w:val="0"/>
          <w:marTop w:val="0"/>
          <w:marBottom w:val="0"/>
          <w:divBdr>
            <w:top w:val="none" w:sz="0" w:space="0" w:color="auto"/>
            <w:left w:val="none" w:sz="0" w:space="0" w:color="auto"/>
            <w:bottom w:val="none" w:sz="0" w:space="0" w:color="auto"/>
            <w:right w:val="none" w:sz="0" w:space="0" w:color="auto"/>
          </w:divBdr>
          <w:divsChild>
            <w:div w:id="599878560">
              <w:marLeft w:val="0"/>
              <w:marRight w:val="0"/>
              <w:marTop w:val="0"/>
              <w:marBottom w:val="0"/>
              <w:divBdr>
                <w:top w:val="none" w:sz="0" w:space="0" w:color="auto"/>
                <w:left w:val="none" w:sz="0" w:space="0" w:color="auto"/>
                <w:bottom w:val="none" w:sz="0" w:space="0" w:color="auto"/>
                <w:right w:val="none" w:sz="0" w:space="0" w:color="auto"/>
              </w:divBdr>
              <w:divsChild>
                <w:div w:id="465205010">
                  <w:marLeft w:val="0"/>
                  <w:marRight w:val="0"/>
                  <w:marTop w:val="0"/>
                  <w:marBottom w:val="0"/>
                  <w:divBdr>
                    <w:top w:val="none" w:sz="0" w:space="0" w:color="auto"/>
                    <w:left w:val="none" w:sz="0" w:space="0" w:color="auto"/>
                    <w:bottom w:val="none" w:sz="0" w:space="0" w:color="auto"/>
                    <w:right w:val="none" w:sz="0" w:space="0" w:color="auto"/>
                  </w:divBdr>
                  <w:divsChild>
                    <w:div w:id="443157716">
                      <w:marLeft w:val="0"/>
                      <w:marRight w:val="0"/>
                      <w:marTop w:val="0"/>
                      <w:marBottom w:val="0"/>
                      <w:divBdr>
                        <w:top w:val="none" w:sz="0" w:space="0" w:color="auto"/>
                        <w:left w:val="none" w:sz="0" w:space="0" w:color="auto"/>
                        <w:bottom w:val="none" w:sz="0" w:space="0" w:color="auto"/>
                        <w:right w:val="none" w:sz="0" w:space="0" w:color="auto"/>
                      </w:divBdr>
                      <w:divsChild>
                        <w:div w:id="6910694">
                          <w:marLeft w:val="0"/>
                          <w:marRight w:val="0"/>
                          <w:marTop w:val="0"/>
                          <w:marBottom w:val="0"/>
                          <w:divBdr>
                            <w:top w:val="none" w:sz="0" w:space="0" w:color="auto"/>
                            <w:left w:val="none" w:sz="0" w:space="0" w:color="auto"/>
                            <w:bottom w:val="none" w:sz="0" w:space="0" w:color="auto"/>
                            <w:right w:val="none" w:sz="0" w:space="0" w:color="auto"/>
                          </w:divBdr>
                          <w:divsChild>
                            <w:div w:id="11509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274559">
      <w:bodyDiv w:val="1"/>
      <w:marLeft w:val="0"/>
      <w:marRight w:val="0"/>
      <w:marTop w:val="0"/>
      <w:marBottom w:val="0"/>
      <w:divBdr>
        <w:top w:val="none" w:sz="0" w:space="0" w:color="auto"/>
        <w:left w:val="none" w:sz="0" w:space="0" w:color="auto"/>
        <w:bottom w:val="none" w:sz="0" w:space="0" w:color="auto"/>
        <w:right w:val="none" w:sz="0" w:space="0" w:color="auto"/>
      </w:divBdr>
      <w:divsChild>
        <w:div w:id="341322732">
          <w:marLeft w:val="0"/>
          <w:marRight w:val="0"/>
          <w:marTop w:val="0"/>
          <w:marBottom w:val="0"/>
          <w:divBdr>
            <w:top w:val="none" w:sz="0" w:space="0" w:color="auto"/>
            <w:left w:val="none" w:sz="0" w:space="0" w:color="auto"/>
            <w:bottom w:val="none" w:sz="0" w:space="0" w:color="auto"/>
            <w:right w:val="none" w:sz="0" w:space="0" w:color="auto"/>
          </w:divBdr>
          <w:divsChild>
            <w:div w:id="933628712">
              <w:marLeft w:val="0"/>
              <w:marRight w:val="0"/>
              <w:marTop w:val="0"/>
              <w:marBottom w:val="0"/>
              <w:divBdr>
                <w:top w:val="none" w:sz="0" w:space="0" w:color="auto"/>
                <w:left w:val="none" w:sz="0" w:space="0" w:color="auto"/>
                <w:bottom w:val="none" w:sz="0" w:space="0" w:color="auto"/>
                <w:right w:val="none" w:sz="0" w:space="0" w:color="auto"/>
              </w:divBdr>
              <w:divsChild>
                <w:div w:id="1775780513">
                  <w:marLeft w:val="0"/>
                  <w:marRight w:val="0"/>
                  <w:marTop w:val="0"/>
                  <w:marBottom w:val="0"/>
                  <w:divBdr>
                    <w:top w:val="none" w:sz="0" w:space="0" w:color="auto"/>
                    <w:left w:val="none" w:sz="0" w:space="0" w:color="auto"/>
                    <w:bottom w:val="none" w:sz="0" w:space="0" w:color="auto"/>
                    <w:right w:val="none" w:sz="0" w:space="0" w:color="auto"/>
                  </w:divBdr>
                  <w:divsChild>
                    <w:div w:id="2091727722">
                      <w:marLeft w:val="0"/>
                      <w:marRight w:val="0"/>
                      <w:marTop w:val="0"/>
                      <w:marBottom w:val="0"/>
                      <w:divBdr>
                        <w:top w:val="none" w:sz="0" w:space="0" w:color="auto"/>
                        <w:left w:val="none" w:sz="0" w:space="0" w:color="auto"/>
                        <w:bottom w:val="none" w:sz="0" w:space="0" w:color="auto"/>
                        <w:right w:val="none" w:sz="0" w:space="0" w:color="auto"/>
                      </w:divBdr>
                      <w:divsChild>
                        <w:div w:id="1908153436">
                          <w:marLeft w:val="0"/>
                          <w:marRight w:val="0"/>
                          <w:marTop w:val="0"/>
                          <w:marBottom w:val="0"/>
                          <w:divBdr>
                            <w:top w:val="none" w:sz="0" w:space="0" w:color="auto"/>
                            <w:left w:val="none" w:sz="0" w:space="0" w:color="auto"/>
                            <w:bottom w:val="none" w:sz="0" w:space="0" w:color="auto"/>
                            <w:right w:val="none" w:sz="0" w:space="0" w:color="auto"/>
                          </w:divBdr>
                          <w:divsChild>
                            <w:div w:id="13956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662755">
      <w:bodyDiv w:val="1"/>
      <w:marLeft w:val="0"/>
      <w:marRight w:val="0"/>
      <w:marTop w:val="0"/>
      <w:marBottom w:val="0"/>
      <w:divBdr>
        <w:top w:val="none" w:sz="0" w:space="0" w:color="auto"/>
        <w:left w:val="none" w:sz="0" w:space="0" w:color="auto"/>
        <w:bottom w:val="none" w:sz="0" w:space="0" w:color="auto"/>
        <w:right w:val="none" w:sz="0" w:space="0" w:color="auto"/>
      </w:divBdr>
      <w:divsChild>
        <w:div w:id="801535368">
          <w:marLeft w:val="0"/>
          <w:marRight w:val="0"/>
          <w:marTop w:val="0"/>
          <w:marBottom w:val="0"/>
          <w:divBdr>
            <w:top w:val="none" w:sz="0" w:space="0" w:color="auto"/>
            <w:left w:val="none" w:sz="0" w:space="0" w:color="auto"/>
            <w:bottom w:val="none" w:sz="0" w:space="0" w:color="auto"/>
            <w:right w:val="none" w:sz="0" w:space="0" w:color="auto"/>
          </w:divBdr>
          <w:divsChild>
            <w:div w:id="293557842">
              <w:marLeft w:val="0"/>
              <w:marRight w:val="0"/>
              <w:marTop w:val="0"/>
              <w:marBottom w:val="0"/>
              <w:divBdr>
                <w:top w:val="none" w:sz="0" w:space="0" w:color="auto"/>
                <w:left w:val="none" w:sz="0" w:space="0" w:color="auto"/>
                <w:bottom w:val="none" w:sz="0" w:space="0" w:color="auto"/>
                <w:right w:val="none" w:sz="0" w:space="0" w:color="auto"/>
              </w:divBdr>
              <w:divsChild>
                <w:div w:id="459878557">
                  <w:marLeft w:val="0"/>
                  <w:marRight w:val="0"/>
                  <w:marTop w:val="0"/>
                  <w:marBottom w:val="0"/>
                  <w:divBdr>
                    <w:top w:val="none" w:sz="0" w:space="0" w:color="auto"/>
                    <w:left w:val="none" w:sz="0" w:space="0" w:color="auto"/>
                    <w:bottom w:val="none" w:sz="0" w:space="0" w:color="auto"/>
                    <w:right w:val="none" w:sz="0" w:space="0" w:color="auto"/>
                  </w:divBdr>
                  <w:divsChild>
                    <w:div w:id="717433483">
                      <w:marLeft w:val="0"/>
                      <w:marRight w:val="0"/>
                      <w:marTop w:val="0"/>
                      <w:marBottom w:val="0"/>
                      <w:divBdr>
                        <w:top w:val="none" w:sz="0" w:space="0" w:color="auto"/>
                        <w:left w:val="none" w:sz="0" w:space="0" w:color="auto"/>
                        <w:bottom w:val="none" w:sz="0" w:space="0" w:color="auto"/>
                        <w:right w:val="none" w:sz="0" w:space="0" w:color="auto"/>
                      </w:divBdr>
                      <w:divsChild>
                        <w:div w:id="1381636015">
                          <w:marLeft w:val="0"/>
                          <w:marRight w:val="0"/>
                          <w:marTop w:val="0"/>
                          <w:marBottom w:val="0"/>
                          <w:divBdr>
                            <w:top w:val="none" w:sz="0" w:space="0" w:color="auto"/>
                            <w:left w:val="none" w:sz="0" w:space="0" w:color="auto"/>
                            <w:bottom w:val="none" w:sz="0" w:space="0" w:color="auto"/>
                            <w:right w:val="none" w:sz="0" w:space="0" w:color="auto"/>
                          </w:divBdr>
                          <w:divsChild>
                            <w:div w:id="2971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076108">
      <w:bodyDiv w:val="1"/>
      <w:marLeft w:val="0"/>
      <w:marRight w:val="0"/>
      <w:marTop w:val="0"/>
      <w:marBottom w:val="0"/>
      <w:divBdr>
        <w:top w:val="none" w:sz="0" w:space="0" w:color="auto"/>
        <w:left w:val="none" w:sz="0" w:space="0" w:color="auto"/>
        <w:bottom w:val="none" w:sz="0" w:space="0" w:color="auto"/>
        <w:right w:val="none" w:sz="0" w:space="0" w:color="auto"/>
      </w:divBdr>
      <w:divsChild>
        <w:div w:id="1220750066">
          <w:marLeft w:val="0"/>
          <w:marRight w:val="0"/>
          <w:marTop w:val="0"/>
          <w:marBottom w:val="0"/>
          <w:divBdr>
            <w:top w:val="none" w:sz="0" w:space="0" w:color="auto"/>
            <w:left w:val="none" w:sz="0" w:space="0" w:color="auto"/>
            <w:bottom w:val="none" w:sz="0" w:space="0" w:color="auto"/>
            <w:right w:val="none" w:sz="0" w:space="0" w:color="auto"/>
          </w:divBdr>
          <w:divsChild>
            <w:div w:id="1075857044">
              <w:marLeft w:val="0"/>
              <w:marRight w:val="0"/>
              <w:marTop w:val="0"/>
              <w:marBottom w:val="0"/>
              <w:divBdr>
                <w:top w:val="none" w:sz="0" w:space="0" w:color="auto"/>
                <w:left w:val="none" w:sz="0" w:space="0" w:color="auto"/>
                <w:bottom w:val="none" w:sz="0" w:space="0" w:color="auto"/>
                <w:right w:val="none" w:sz="0" w:space="0" w:color="auto"/>
              </w:divBdr>
              <w:divsChild>
                <w:div w:id="164906521">
                  <w:marLeft w:val="0"/>
                  <w:marRight w:val="0"/>
                  <w:marTop w:val="0"/>
                  <w:marBottom w:val="0"/>
                  <w:divBdr>
                    <w:top w:val="none" w:sz="0" w:space="0" w:color="auto"/>
                    <w:left w:val="none" w:sz="0" w:space="0" w:color="auto"/>
                    <w:bottom w:val="none" w:sz="0" w:space="0" w:color="auto"/>
                    <w:right w:val="none" w:sz="0" w:space="0" w:color="auto"/>
                  </w:divBdr>
                  <w:divsChild>
                    <w:div w:id="91904657">
                      <w:marLeft w:val="0"/>
                      <w:marRight w:val="0"/>
                      <w:marTop w:val="0"/>
                      <w:marBottom w:val="0"/>
                      <w:divBdr>
                        <w:top w:val="none" w:sz="0" w:space="0" w:color="auto"/>
                        <w:left w:val="none" w:sz="0" w:space="0" w:color="auto"/>
                        <w:bottom w:val="none" w:sz="0" w:space="0" w:color="auto"/>
                        <w:right w:val="none" w:sz="0" w:space="0" w:color="auto"/>
                      </w:divBdr>
                      <w:divsChild>
                        <w:div w:id="1490752036">
                          <w:marLeft w:val="0"/>
                          <w:marRight w:val="0"/>
                          <w:marTop w:val="0"/>
                          <w:marBottom w:val="0"/>
                          <w:divBdr>
                            <w:top w:val="none" w:sz="0" w:space="0" w:color="auto"/>
                            <w:left w:val="none" w:sz="0" w:space="0" w:color="auto"/>
                            <w:bottom w:val="none" w:sz="0" w:space="0" w:color="auto"/>
                            <w:right w:val="none" w:sz="0" w:space="0" w:color="auto"/>
                          </w:divBdr>
                          <w:divsChild>
                            <w:div w:id="16523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987628">
      <w:bodyDiv w:val="1"/>
      <w:marLeft w:val="0"/>
      <w:marRight w:val="0"/>
      <w:marTop w:val="0"/>
      <w:marBottom w:val="0"/>
      <w:divBdr>
        <w:top w:val="none" w:sz="0" w:space="0" w:color="auto"/>
        <w:left w:val="none" w:sz="0" w:space="0" w:color="auto"/>
        <w:bottom w:val="none" w:sz="0" w:space="0" w:color="auto"/>
        <w:right w:val="none" w:sz="0" w:space="0" w:color="auto"/>
      </w:divBdr>
      <w:divsChild>
        <w:div w:id="98988144">
          <w:marLeft w:val="0"/>
          <w:marRight w:val="0"/>
          <w:marTop w:val="0"/>
          <w:marBottom w:val="0"/>
          <w:divBdr>
            <w:top w:val="none" w:sz="0" w:space="0" w:color="auto"/>
            <w:left w:val="none" w:sz="0" w:space="0" w:color="auto"/>
            <w:bottom w:val="none" w:sz="0" w:space="0" w:color="auto"/>
            <w:right w:val="none" w:sz="0" w:space="0" w:color="auto"/>
          </w:divBdr>
          <w:divsChild>
            <w:div w:id="921569187">
              <w:marLeft w:val="0"/>
              <w:marRight w:val="0"/>
              <w:marTop w:val="0"/>
              <w:marBottom w:val="0"/>
              <w:divBdr>
                <w:top w:val="none" w:sz="0" w:space="0" w:color="auto"/>
                <w:left w:val="none" w:sz="0" w:space="0" w:color="auto"/>
                <w:bottom w:val="none" w:sz="0" w:space="0" w:color="auto"/>
                <w:right w:val="none" w:sz="0" w:space="0" w:color="auto"/>
              </w:divBdr>
              <w:divsChild>
                <w:div w:id="1587109029">
                  <w:marLeft w:val="0"/>
                  <w:marRight w:val="0"/>
                  <w:marTop w:val="0"/>
                  <w:marBottom w:val="0"/>
                  <w:divBdr>
                    <w:top w:val="none" w:sz="0" w:space="0" w:color="auto"/>
                    <w:left w:val="none" w:sz="0" w:space="0" w:color="auto"/>
                    <w:bottom w:val="none" w:sz="0" w:space="0" w:color="auto"/>
                    <w:right w:val="none" w:sz="0" w:space="0" w:color="auto"/>
                  </w:divBdr>
                  <w:divsChild>
                    <w:div w:id="1684821284">
                      <w:marLeft w:val="0"/>
                      <w:marRight w:val="0"/>
                      <w:marTop w:val="0"/>
                      <w:marBottom w:val="0"/>
                      <w:divBdr>
                        <w:top w:val="none" w:sz="0" w:space="0" w:color="auto"/>
                        <w:left w:val="none" w:sz="0" w:space="0" w:color="auto"/>
                        <w:bottom w:val="none" w:sz="0" w:space="0" w:color="auto"/>
                        <w:right w:val="none" w:sz="0" w:space="0" w:color="auto"/>
                      </w:divBdr>
                      <w:divsChild>
                        <w:div w:id="2145849901">
                          <w:marLeft w:val="0"/>
                          <w:marRight w:val="0"/>
                          <w:marTop w:val="0"/>
                          <w:marBottom w:val="0"/>
                          <w:divBdr>
                            <w:top w:val="none" w:sz="0" w:space="0" w:color="auto"/>
                            <w:left w:val="none" w:sz="0" w:space="0" w:color="auto"/>
                            <w:bottom w:val="none" w:sz="0" w:space="0" w:color="auto"/>
                            <w:right w:val="none" w:sz="0" w:space="0" w:color="auto"/>
                          </w:divBdr>
                          <w:divsChild>
                            <w:div w:id="12984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238817">
      <w:bodyDiv w:val="1"/>
      <w:marLeft w:val="0"/>
      <w:marRight w:val="0"/>
      <w:marTop w:val="0"/>
      <w:marBottom w:val="0"/>
      <w:divBdr>
        <w:top w:val="none" w:sz="0" w:space="0" w:color="auto"/>
        <w:left w:val="none" w:sz="0" w:space="0" w:color="auto"/>
        <w:bottom w:val="none" w:sz="0" w:space="0" w:color="auto"/>
        <w:right w:val="none" w:sz="0" w:space="0" w:color="auto"/>
      </w:divBdr>
      <w:divsChild>
        <w:div w:id="217129707">
          <w:marLeft w:val="0"/>
          <w:marRight w:val="0"/>
          <w:marTop w:val="0"/>
          <w:marBottom w:val="0"/>
          <w:divBdr>
            <w:top w:val="none" w:sz="0" w:space="0" w:color="auto"/>
            <w:left w:val="none" w:sz="0" w:space="0" w:color="auto"/>
            <w:bottom w:val="none" w:sz="0" w:space="0" w:color="auto"/>
            <w:right w:val="none" w:sz="0" w:space="0" w:color="auto"/>
          </w:divBdr>
          <w:divsChild>
            <w:div w:id="583993171">
              <w:marLeft w:val="0"/>
              <w:marRight w:val="0"/>
              <w:marTop w:val="0"/>
              <w:marBottom w:val="0"/>
              <w:divBdr>
                <w:top w:val="none" w:sz="0" w:space="0" w:color="auto"/>
                <w:left w:val="none" w:sz="0" w:space="0" w:color="auto"/>
                <w:bottom w:val="none" w:sz="0" w:space="0" w:color="auto"/>
                <w:right w:val="none" w:sz="0" w:space="0" w:color="auto"/>
              </w:divBdr>
              <w:divsChild>
                <w:div w:id="397484289">
                  <w:marLeft w:val="0"/>
                  <w:marRight w:val="0"/>
                  <w:marTop w:val="0"/>
                  <w:marBottom w:val="0"/>
                  <w:divBdr>
                    <w:top w:val="none" w:sz="0" w:space="0" w:color="auto"/>
                    <w:left w:val="none" w:sz="0" w:space="0" w:color="auto"/>
                    <w:bottom w:val="none" w:sz="0" w:space="0" w:color="auto"/>
                    <w:right w:val="none" w:sz="0" w:space="0" w:color="auto"/>
                  </w:divBdr>
                  <w:divsChild>
                    <w:div w:id="2003728556">
                      <w:marLeft w:val="0"/>
                      <w:marRight w:val="0"/>
                      <w:marTop w:val="0"/>
                      <w:marBottom w:val="0"/>
                      <w:divBdr>
                        <w:top w:val="none" w:sz="0" w:space="0" w:color="auto"/>
                        <w:left w:val="none" w:sz="0" w:space="0" w:color="auto"/>
                        <w:bottom w:val="none" w:sz="0" w:space="0" w:color="auto"/>
                        <w:right w:val="none" w:sz="0" w:space="0" w:color="auto"/>
                      </w:divBdr>
                      <w:divsChild>
                        <w:div w:id="1019618897">
                          <w:marLeft w:val="0"/>
                          <w:marRight w:val="0"/>
                          <w:marTop w:val="0"/>
                          <w:marBottom w:val="0"/>
                          <w:divBdr>
                            <w:top w:val="none" w:sz="0" w:space="0" w:color="auto"/>
                            <w:left w:val="none" w:sz="0" w:space="0" w:color="auto"/>
                            <w:bottom w:val="none" w:sz="0" w:space="0" w:color="auto"/>
                            <w:right w:val="none" w:sz="0" w:space="0" w:color="auto"/>
                          </w:divBdr>
                          <w:divsChild>
                            <w:div w:id="5456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474033">
      <w:bodyDiv w:val="1"/>
      <w:marLeft w:val="0"/>
      <w:marRight w:val="0"/>
      <w:marTop w:val="0"/>
      <w:marBottom w:val="0"/>
      <w:divBdr>
        <w:top w:val="none" w:sz="0" w:space="0" w:color="auto"/>
        <w:left w:val="none" w:sz="0" w:space="0" w:color="auto"/>
        <w:bottom w:val="none" w:sz="0" w:space="0" w:color="auto"/>
        <w:right w:val="none" w:sz="0" w:space="0" w:color="auto"/>
      </w:divBdr>
      <w:divsChild>
        <w:div w:id="313534388">
          <w:marLeft w:val="0"/>
          <w:marRight w:val="0"/>
          <w:marTop w:val="0"/>
          <w:marBottom w:val="0"/>
          <w:divBdr>
            <w:top w:val="none" w:sz="0" w:space="0" w:color="auto"/>
            <w:left w:val="none" w:sz="0" w:space="0" w:color="auto"/>
            <w:bottom w:val="none" w:sz="0" w:space="0" w:color="auto"/>
            <w:right w:val="none" w:sz="0" w:space="0" w:color="auto"/>
          </w:divBdr>
          <w:divsChild>
            <w:div w:id="1024210641">
              <w:marLeft w:val="0"/>
              <w:marRight w:val="0"/>
              <w:marTop w:val="0"/>
              <w:marBottom w:val="0"/>
              <w:divBdr>
                <w:top w:val="none" w:sz="0" w:space="0" w:color="auto"/>
                <w:left w:val="none" w:sz="0" w:space="0" w:color="auto"/>
                <w:bottom w:val="none" w:sz="0" w:space="0" w:color="auto"/>
                <w:right w:val="none" w:sz="0" w:space="0" w:color="auto"/>
              </w:divBdr>
              <w:divsChild>
                <w:div w:id="1987124031">
                  <w:marLeft w:val="0"/>
                  <w:marRight w:val="0"/>
                  <w:marTop w:val="0"/>
                  <w:marBottom w:val="0"/>
                  <w:divBdr>
                    <w:top w:val="none" w:sz="0" w:space="0" w:color="auto"/>
                    <w:left w:val="none" w:sz="0" w:space="0" w:color="auto"/>
                    <w:bottom w:val="none" w:sz="0" w:space="0" w:color="auto"/>
                    <w:right w:val="none" w:sz="0" w:space="0" w:color="auto"/>
                  </w:divBdr>
                  <w:divsChild>
                    <w:div w:id="287207318">
                      <w:marLeft w:val="0"/>
                      <w:marRight w:val="0"/>
                      <w:marTop w:val="0"/>
                      <w:marBottom w:val="0"/>
                      <w:divBdr>
                        <w:top w:val="none" w:sz="0" w:space="0" w:color="auto"/>
                        <w:left w:val="none" w:sz="0" w:space="0" w:color="auto"/>
                        <w:bottom w:val="none" w:sz="0" w:space="0" w:color="auto"/>
                        <w:right w:val="none" w:sz="0" w:space="0" w:color="auto"/>
                      </w:divBdr>
                      <w:divsChild>
                        <w:div w:id="13575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533469">
      <w:bodyDiv w:val="1"/>
      <w:marLeft w:val="0"/>
      <w:marRight w:val="0"/>
      <w:marTop w:val="0"/>
      <w:marBottom w:val="0"/>
      <w:divBdr>
        <w:top w:val="none" w:sz="0" w:space="0" w:color="auto"/>
        <w:left w:val="none" w:sz="0" w:space="0" w:color="auto"/>
        <w:bottom w:val="none" w:sz="0" w:space="0" w:color="auto"/>
        <w:right w:val="none" w:sz="0" w:space="0" w:color="auto"/>
      </w:divBdr>
      <w:divsChild>
        <w:div w:id="1467241456">
          <w:marLeft w:val="0"/>
          <w:marRight w:val="0"/>
          <w:marTop w:val="0"/>
          <w:marBottom w:val="0"/>
          <w:divBdr>
            <w:top w:val="none" w:sz="0" w:space="0" w:color="auto"/>
            <w:left w:val="none" w:sz="0" w:space="0" w:color="auto"/>
            <w:bottom w:val="none" w:sz="0" w:space="0" w:color="auto"/>
            <w:right w:val="none" w:sz="0" w:space="0" w:color="auto"/>
          </w:divBdr>
          <w:divsChild>
            <w:div w:id="381179722">
              <w:marLeft w:val="0"/>
              <w:marRight w:val="0"/>
              <w:marTop w:val="0"/>
              <w:marBottom w:val="0"/>
              <w:divBdr>
                <w:top w:val="none" w:sz="0" w:space="0" w:color="auto"/>
                <w:left w:val="none" w:sz="0" w:space="0" w:color="auto"/>
                <w:bottom w:val="none" w:sz="0" w:space="0" w:color="auto"/>
                <w:right w:val="none" w:sz="0" w:space="0" w:color="auto"/>
              </w:divBdr>
              <w:divsChild>
                <w:div w:id="609629772">
                  <w:marLeft w:val="0"/>
                  <w:marRight w:val="0"/>
                  <w:marTop w:val="0"/>
                  <w:marBottom w:val="0"/>
                  <w:divBdr>
                    <w:top w:val="none" w:sz="0" w:space="0" w:color="auto"/>
                    <w:left w:val="none" w:sz="0" w:space="0" w:color="auto"/>
                    <w:bottom w:val="none" w:sz="0" w:space="0" w:color="auto"/>
                    <w:right w:val="none" w:sz="0" w:space="0" w:color="auto"/>
                  </w:divBdr>
                  <w:divsChild>
                    <w:div w:id="440495693">
                      <w:marLeft w:val="0"/>
                      <w:marRight w:val="0"/>
                      <w:marTop w:val="0"/>
                      <w:marBottom w:val="0"/>
                      <w:divBdr>
                        <w:top w:val="none" w:sz="0" w:space="0" w:color="auto"/>
                        <w:left w:val="none" w:sz="0" w:space="0" w:color="auto"/>
                        <w:bottom w:val="none" w:sz="0" w:space="0" w:color="auto"/>
                        <w:right w:val="none" w:sz="0" w:space="0" w:color="auto"/>
                      </w:divBdr>
                      <w:divsChild>
                        <w:div w:id="1050152758">
                          <w:marLeft w:val="0"/>
                          <w:marRight w:val="0"/>
                          <w:marTop w:val="0"/>
                          <w:marBottom w:val="0"/>
                          <w:divBdr>
                            <w:top w:val="none" w:sz="0" w:space="0" w:color="auto"/>
                            <w:left w:val="none" w:sz="0" w:space="0" w:color="auto"/>
                            <w:bottom w:val="none" w:sz="0" w:space="0" w:color="auto"/>
                            <w:right w:val="none" w:sz="0" w:space="0" w:color="auto"/>
                          </w:divBdr>
                          <w:divsChild>
                            <w:div w:id="919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704025">
      <w:bodyDiv w:val="1"/>
      <w:marLeft w:val="0"/>
      <w:marRight w:val="0"/>
      <w:marTop w:val="0"/>
      <w:marBottom w:val="0"/>
      <w:divBdr>
        <w:top w:val="none" w:sz="0" w:space="0" w:color="auto"/>
        <w:left w:val="none" w:sz="0" w:space="0" w:color="auto"/>
        <w:bottom w:val="none" w:sz="0" w:space="0" w:color="auto"/>
        <w:right w:val="none" w:sz="0" w:space="0" w:color="auto"/>
      </w:divBdr>
      <w:divsChild>
        <w:div w:id="1411073080">
          <w:marLeft w:val="0"/>
          <w:marRight w:val="0"/>
          <w:marTop w:val="0"/>
          <w:marBottom w:val="0"/>
          <w:divBdr>
            <w:top w:val="none" w:sz="0" w:space="0" w:color="auto"/>
            <w:left w:val="none" w:sz="0" w:space="0" w:color="auto"/>
            <w:bottom w:val="none" w:sz="0" w:space="0" w:color="auto"/>
            <w:right w:val="none" w:sz="0" w:space="0" w:color="auto"/>
          </w:divBdr>
          <w:divsChild>
            <w:div w:id="398868203">
              <w:marLeft w:val="0"/>
              <w:marRight w:val="0"/>
              <w:marTop w:val="0"/>
              <w:marBottom w:val="0"/>
              <w:divBdr>
                <w:top w:val="none" w:sz="0" w:space="0" w:color="auto"/>
                <w:left w:val="none" w:sz="0" w:space="0" w:color="auto"/>
                <w:bottom w:val="none" w:sz="0" w:space="0" w:color="auto"/>
                <w:right w:val="none" w:sz="0" w:space="0" w:color="auto"/>
              </w:divBdr>
              <w:divsChild>
                <w:div w:id="502596342">
                  <w:marLeft w:val="0"/>
                  <w:marRight w:val="0"/>
                  <w:marTop w:val="0"/>
                  <w:marBottom w:val="0"/>
                  <w:divBdr>
                    <w:top w:val="none" w:sz="0" w:space="0" w:color="auto"/>
                    <w:left w:val="none" w:sz="0" w:space="0" w:color="auto"/>
                    <w:bottom w:val="none" w:sz="0" w:space="0" w:color="auto"/>
                    <w:right w:val="none" w:sz="0" w:space="0" w:color="auto"/>
                  </w:divBdr>
                  <w:divsChild>
                    <w:div w:id="6489019">
                      <w:marLeft w:val="0"/>
                      <w:marRight w:val="0"/>
                      <w:marTop w:val="0"/>
                      <w:marBottom w:val="0"/>
                      <w:divBdr>
                        <w:top w:val="none" w:sz="0" w:space="0" w:color="auto"/>
                        <w:left w:val="none" w:sz="0" w:space="0" w:color="auto"/>
                        <w:bottom w:val="none" w:sz="0" w:space="0" w:color="auto"/>
                        <w:right w:val="none" w:sz="0" w:space="0" w:color="auto"/>
                      </w:divBdr>
                      <w:divsChild>
                        <w:div w:id="666984658">
                          <w:marLeft w:val="0"/>
                          <w:marRight w:val="0"/>
                          <w:marTop w:val="0"/>
                          <w:marBottom w:val="0"/>
                          <w:divBdr>
                            <w:top w:val="none" w:sz="0" w:space="0" w:color="auto"/>
                            <w:left w:val="none" w:sz="0" w:space="0" w:color="auto"/>
                            <w:bottom w:val="none" w:sz="0" w:space="0" w:color="auto"/>
                            <w:right w:val="none" w:sz="0" w:space="0" w:color="auto"/>
                          </w:divBdr>
                          <w:divsChild>
                            <w:div w:id="12404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621386">
      <w:bodyDiv w:val="1"/>
      <w:marLeft w:val="0"/>
      <w:marRight w:val="0"/>
      <w:marTop w:val="0"/>
      <w:marBottom w:val="0"/>
      <w:divBdr>
        <w:top w:val="none" w:sz="0" w:space="0" w:color="auto"/>
        <w:left w:val="none" w:sz="0" w:space="0" w:color="auto"/>
        <w:bottom w:val="none" w:sz="0" w:space="0" w:color="auto"/>
        <w:right w:val="none" w:sz="0" w:space="0" w:color="auto"/>
      </w:divBdr>
      <w:divsChild>
        <w:div w:id="1034573132">
          <w:marLeft w:val="0"/>
          <w:marRight w:val="0"/>
          <w:marTop w:val="0"/>
          <w:marBottom w:val="0"/>
          <w:divBdr>
            <w:top w:val="none" w:sz="0" w:space="0" w:color="auto"/>
            <w:left w:val="none" w:sz="0" w:space="0" w:color="auto"/>
            <w:bottom w:val="none" w:sz="0" w:space="0" w:color="auto"/>
            <w:right w:val="none" w:sz="0" w:space="0" w:color="auto"/>
          </w:divBdr>
          <w:divsChild>
            <w:div w:id="1902446384">
              <w:marLeft w:val="0"/>
              <w:marRight w:val="0"/>
              <w:marTop w:val="0"/>
              <w:marBottom w:val="0"/>
              <w:divBdr>
                <w:top w:val="none" w:sz="0" w:space="0" w:color="auto"/>
                <w:left w:val="none" w:sz="0" w:space="0" w:color="auto"/>
                <w:bottom w:val="none" w:sz="0" w:space="0" w:color="auto"/>
                <w:right w:val="none" w:sz="0" w:space="0" w:color="auto"/>
              </w:divBdr>
              <w:divsChild>
                <w:div w:id="803429258">
                  <w:marLeft w:val="0"/>
                  <w:marRight w:val="0"/>
                  <w:marTop w:val="0"/>
                  <w:marBottom w:val="0"/>
                  <w:divBdr>
                    <w:top w:val="single" w:sz="6" w:space="0" w:color="DDDDDD"/>
                    <w:left w:val="none" w:sz="0" w:space="0" w:color="auto"/>
                    <w:bottom w:val="none" w:sz="0" w:space="0" w:color="auto"/>
                    <w:right w:val="none" w:sz="0" w:space="0" w:color="auto"/>
                  </w:divBdr>
                  <w:divsChild>
                    <w:div w:id="386539837">
                      <w:marLeft w:val="345"/>
                      <w:marRight w:val="360"/>
                      <w:marTop w:val="375"/>
                      <w:marBottom w:val="330"/>
                      <w:divBdr>
                        <w:top w:val="none" w:sz="0" w:space="0" w:color="auto"/>
                        <w:left w:val="none" w:sz="0" w:space="0" w:color="auto"/>
                        <w:bottom w:val="none" w:sz="0" w:space="0" w:color="auto"/>
                        <w:right w:val="none" w:sz="0" w:space="0" w:color="auto"/>
                      </w:divBdr>
                      <w:divsChild>
                        <w:div w:id="1302887947">
                          <w:marLeft w:val="0"/>
                          <w:marRight w:val="0"/>
                          <w:marTop w:val="0"/>
                          <w:marBottom w:val="0"/>
                          <w:divBdr>
                            <w:top w:val="none" w:sz="0" w:space="0" w:color="auto"/>
                            <w:left w:val="none" w:sz="0" w:space="0" w:color="auto"/>
                            <w:bottom w:val="none" w:sz="0" w:space="0" w:color="auto"/>
                            <w:right w:val="none" w:sz="0" w:space="0" w:color="auto"/>
                          </w:divBdr>
                          <w:divsChild>
                            <w:div w:id="126900466">
                              <w:marLeft w:val="0"/>
                              <w:marRight w:val="0"/>
                              <w:marTop w:val="0"/>
                              <w:marBottom w:val="0"/>
                              <w:divBdr>
                                <w:top w:val="none" w:sz="0" w:space="0" w:color="auto"/>
                                <w:left w:val="none" w:sz="0" w:space="0" w:color="auto"/>
                                <w:bottom w:val="none" w:sz="0" w:space="0" w:color="auto"/>
                                <w:right w:val="none" w:sz="0" w:space="0" w:color="auto"/>
                              </w:divBdr>
                              <w:divsChild>
                                <w:div w:id="3723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789161844">
      <w:bodyDiv w:val="1"/>
      <w:marLeft w:val="0"/>
      <w:marRight w:val="0"/>
      <w:marTop w:val="0"/>
      <w:marBottom w:val="0"/>
      <w:divBdr>
        <w:top w:val="none" w:sz="0" w:space="0" w:color="auto"/>
        <w:left w:val="none" w:sz="0" w:space="0" w:color="auto"/>
        <w:bottom w:val="none" w:sz="0" w:space="0" w:color="auto"/>
        <w:right w:val="none" w:sz="0" w:space="0" w:color="auto"/>
      </w:divBdr>
      <w:divsChild>
        <w:div w:id="1335914016">
          <w:marLeft w:val="0"/>
          <w:marRight w:val="0"/>
          <w:marTop w:val="0"/>
          <w:marBottom w:val="0"/>
          <w:divBdr>
            <w:top w:val="none" w:sz="0" w:space="0" w:color="auto"/>
            <w:left w:val="none" w:sz="0" w:space="0" w:color="auto"/>
            <w:bottom w:val="none" w:sz="0" w:space="0" w:color="auto"/>
            <w:right w:val="none" w:sz="0" w:space="0" w:color="auto"/>
          </w:divBdr>
          <w:divsChild>
            <w:div w:id="1060206899">
              <w:marLeft w:val="0"/>
              <w:marRight w:val="0"/>
              <w:marTop w:val="0"/>
              <w:marBottom w:val="0"/>
              <w:divBdr>
                <w:top w:val="none" w:sz="0" w:space="0" w:color="auto"/>
                <w:left w:val="none" w:sz="0" w:space="0" w:color="auto"/>
                <w:bottom w:val="none" w:sz="0" w:space="0" w:color="auto"/>
                <w:right w:val="none" w:sz="0" w:space="0" w:color="auto"/>
              </w:divBdr>
              <w:divsChild>
                <w:div w:id="855726878">
                  <w:marLeft w:val="0"/>
                  <w:marRight w:val="0"/>
                  <w:marTop w:val="0"/>
                  <w:marBottom w:val="0"/>
                  <w:divBdr>
                    <w:top w:val="none" w:sz="0" w:space="0" w:color="auto"/>
                    <w:left w:val="none" w:sz="0" w:space="0" w:color="auto"/>
                    <w:bottom w:val="none" w:sz="0" w:space="0" w:color="auto"/>
                    <w:right w:val="none" w:sz="0" w:space="0" w:color="auto"/>
                  </w:divBdr>
                  <w:divsChild>
                    <w:div w:id="1245334544">
                      <w:marLeft w:val="0"/>
                      <w:marRight w:val="0"/>
                      <w:marTop w:val="0"/>
                      <w:marBottom w:val="0"/>
                      <w:divBdr>
                        <w:top w:val="none" w:sz="0" w:space="0" w:color="auto"/>
                        <w:left w:val="none" w:sz="0" w:space="0" w:color="auto"/>
                        <w:bottom w:val="none" w:sz="0" w:space="0" w:color="auto"/>
                        <w:right w:val="none" w:sz="0" w:space="0" w:color="auto"/>
                      </w:divBdr>
                      <w:divsChild>
                        <w:div w:id="954672483">
                          <w:marLeft w:val="0"/>
                          <w:marRight w:val="0"/>
                          <w:marTop w:val="0"/>
                          <w:marBottom w:val="0"/>
                          <w:divBdr>
                            <w:top w:val="none" w:sz="0" w:space="0" w:color="auto"/>
                            <w:left w:val="none" w:sz="0" w:space="0" w:color="auto"/>
                            <w:bottom w:val="none" w:sz="0" w:space="0" w:color="auto"/>
                            <w:right w:val="none" w:sz="0" w:space="0" w:color="auto"/>
                          </w:divBdr>
                          <w:divsChild>
                            <w:div w:id="17769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167107">
      <w:bodyDiv w:val="1"/>
      <w:marLeft w:val="0"/>
      <w:marRight w:val="0"/>
      <w:marTop w:val="0"/>
      <w:marBottom w:val="0"/>
      <w:divBdr>
        <w:top w:val="none" w:sz="0" w:space="0" w:color="auto"/>
        <w:left w:val="none" w:sz="0" w:space="0" w:color="auto"/>
        <w:bottom w:val="none" w:sz="0" w:space="0" w:color="auto"/>
        <w:right w:val="none" w:sz="0" w:space="0" w:color="auto"/>
      </w:divBdr>
      <w:divsChild>
        <w:div w:id="479228852">
          <w:marLeft w:val="0"/>
          <w:marRight w:val="0"/>
          <w:marTop w:val="0"/>
          <w:marBottom w:val="0"/>
          <w:divBdr>
            <w:top w:val="none" w:sz="0" w:space="0" w:color="auto"/>
            <w:left w:val="none" w:sz="0" w:space="0" w:color="auto"/>
            <w:bottom w:val="none" w:sz="0" w:space="0" w:color="auto"/>
            <w:right w:val="none" w:sz="0" w:space="0" w:color="auto"/>
          </w:divBdr>
          <w:divsChild>
            <w:div w:id="1814908407">
              <w:marLeft w:val="0"/>
              <w:marRight w:val="0"/>
              <w:marTop w:val="0"/>
              <w:marBottom w:val="0"/>
              <w:divBdr>
                <w:top w:val="none" w:sz="0" w:space="0" w:color="auto"/>
                <w:left w:val="none" w:sz="0" w:space="0" w:color="auto"/>
                <w:bottom w:val="none" w:sz="0" w:space="0" w:color="auto"/>
                <w:right w:val="none" w:sz="0" w:space="0" w:color="auto"/>
              </w:divBdr>
              <w:divsChild>
                <w:div w:id="503864903">
                  <w:marLeft w:val="0"/>
                  <w:marRight w:val="0"/>
                  <w:marTop w:val="0"/>
                  <w:marBottom w:val="0"/>
                  <w:divBdr>
                    <w:top w:val="none" w:sz="0" w:space="0" w:color="auto"/>
                    <w:left w:val="none" w:sz="0" w:space="0" w:color="auto"/>
                    <w:bottom w:val="none" w:sz="0" w:space="0" w:color="auto"/>
                    <w:right w:val="none" w:sz="0" w:space="0" w:color="auto"/>
                  </w:divBdr>
                  <w:divsChild>
                    <w:div w:id="1396199667">
                      <w:marLeft w:val="0"/>
                      <w:marRight w:val="0"/>
                      <w:marTop w:val="0"/>
                      <w:marBottom w:val="0"/>
                      <w:divBdr>
                        <w:top w:val="none" w:sz="0" w:space="0" w:color="auto"/>
                        <w:left w:val="none" w:sz="0" w:space="0" w:color="auto"/>
                        <w:bottom w:val="none" w:sz="0" w:space="0" w:color="auto"/>
                        <w:right w:val="none" w:sz="0" w:space="0" w:color="auto"/>
                      </w:divBdr>
                      <w:divsChild>
                        <w:div w:id="480536295">
                          <w:marLeft w:val="0"/>
                          <w:marRight w:val="0"/>
                          <w:marTop w:val="0"/>
                          <w:marBottom w:val="0"/>
                          <w:divBdr>
                            <w:top w:val="none" w:sz="0" w:space="0" w:color="auto"/>
                            <w:left w:val="none" w:sz="0" w:space="0" w:color="auto"/>
                            <w:bottom w:val="none" w:sz="0" w:space="0" w:color="auto"/>
                            <w:right w:val="none" w:sz="0" w:space="0" w:color="auto"/>
                          </w:divBdr>
                          <w:divsChild>
                            <w:div w:id="14703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58906">
      <w:bodyDiv w:val="1"/>
      <w:marLeft w:val="0"/>
      <w:marRight w:val="0"/>
      <w:marTop w:val="0"/>
      <w:marBottom w:val="0"/>
      <w:divBdr>
        <w:top w:val="none" w:sz="0" w:space="0" w:color="auto"/>
        <w:left w:val="none" w:sz="0" w:space="0" w:color="auto"/>
        <w:bottom w:val="none" w:sz="0" w:space="0" w:color="auto"/>
        <w:right w:val="none" w:sz="0" w:space="0" w:color="auto"/>
      </w:divBdr>
      <w:divsChild>
        <w:div w:id="856188037">
          <w:marLeft w:val="0"/>
          <w:marRight w:val="0"/>
          <w:marTop w:val="0"/>
          <w:marBottom w:val="0"/>
          <w:divBdr>
            <w:top w:val="none" w:sz="0" w:space="0" w:color="auto"/>
            <w:left w:val="none" w:sz="0" w:space="0" w:color="auto"/>
            <w:bottom w:val="none" w:sz="0" w:space="0" w:color="auto"/>
            <w:right w:val="none" w:sz="0" w:space="0" w:color="auto"/>
          </w:divBdr>
          <w:divsChild>
            <w:div w:id="978146021">
              <w:marLeft w:val="0"/>
              <w:marRight w:val="0"/>
              <w:marTop w:val="0"/>
              <w:marBottom w:val="0"/>
              <w:divBdr>
                <w:top w:val="none" w:sz="0" w:space="0" w:color="auto"/>
                <w:left w:val="none" w:sz="0" w:space="0" w:color="auto"/>
                <w:bottom w:val="none" w:sz="0" w:space="0" w:color="auto"/>
                <w:right w:val="none" w:sz="0" w:space="0" w:color="auto"/>
              </w:divBdr>
              <w:divsChild>
                <w:div w:id="362168546">
                  <w:marLeft w:val="0"/>
                  <w:marRight w:val="0"/>
                  <w:marTop w:val="0"/>
                  <w:marBottom w:val="0"/>
                  <w:divBdr>
                    <w:top w:val="none" w:sz="0" w:space="0" w:color="auto"/>
                    <w:left w:val="none" w:sz="0" w:space="0" w:color="auto"/>
                    <w:bottom w:val="none" w:sz="0" w:space="0" w:color="auto"/>
                    <w:right w:val="none" w:sz="0" w:space="0" w:color="auto"/>
                  </w:divBdr>
                  <w:divsChild>
                    <w:div w:id="1032535038">
                      <w:marLeft w:val="0"/>
                      <w:marRight w:val="0"/>
                      <w:marTop w:val="0"/>
                      <w:marBottom w:val="0"/>
                      <w:divBdr>
                        <w:top w:val="none" w:sz="0" w:space="0" w:color="auto"/>
                        <w:left w:val="none" w:sz="0" w:space="0" w:color="auto"/>
                        <w:bottom w:val="none" w:sz="0" w:space="0" w:color="auto"/>
                        <w:right w:val="none" w:sz="0" w:space="0" w:color="auto"/>
                      </w:divBdr>
                      <w:divsChild>
                        <w:div w:id="1936399157">
                          <w:marLeft w:val="0"/>
                          <w:marRight w:val="0"/>
                          <w:marTop w:val="0"/>
                          <w:marBottom w:val="0"/>
                          <w:divBdr>
                            <w:top w:val="none" w:sz="0" w:space="0" w:color="auto"/>
                            <w:left w:val="none" w:sz="0" w:space="0" w:color="auto"/>
                            <w:bottom w:val="none" w:sz="0" w:space="0" w:color="auto"/>
                            <w:right w:val="none" w:sz="0" w:space="0" w:color="auto"/>
                          </w:divBdr>
                          <w:divsChild>
                            <w:div w:id="823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321924">
      <w:bodyDiv w:val="1"/>
      <w:marLeft w:val="0"/>
      <w:marRight w:val="0"/>
      <w:marTop w:val="0"/>
      <w:marBottom w:val="0"/>
      <w:divBdr>
        <w:top w:val="none" w:sz="0" w:space="0" w:color="auto"/>
        <w:left w:val="none" w:sz="0" w:space="0" w:color="auto"/>
        <w:bottom w:val="none" w:sz="0" w:space="0" w:color="auto"/>
        <w:right w:val="none" w:sz="0" w:space="0" w:color="auto"/>
      </w:divBdr>
      <w:divsChild>
        <w:div w:id="19553056">
          <w:marLeft w:val="0"/>
          <w:marRight w:val="0"/>
          <w:marTop w:val="0"/>
          <w:marBottom w:val="0"/>
          <w:divBdr>
            <w:top w:val="none" w:sz="0" w:space="0" w:color="auto"/>
            <w:left w:val="none" w:sz="0" w:space="0" w:color="auto"/>
            <w:bottom w:val="none" w:sz="0" w:space="0" w:color="auto"/>
            <w:right w:val="none" w:sz="0" w:space="0" w:color="auto"/>
          </w:divBdr>
          <w:divsChild>
            <w:div w:id="205484450">
              <w:marLeft w:val="0"/>
              <w:marRight w:val="0"/>
              <w:marTop w:val="0"/>
              <w:marBottom w:val="0"/>
              <w:divBdr>
                <w:top w:val="none" w:sz="0" w:space="0" w:color="auto"/>
                <w:left w:val="none" w:sz="0" w:space="0" w:color="auto"/>
                <w:bottom w:val="none" w:sz="0" w:space="0" w:color="auto"/>
                <w:right w:val="none" w:sz="0" w:space="0" w:color="auto"/>
              </w:divBdr>
              <w:divsChild>
                <w:div w:id="1449356139">
                  <w:marLeft w:val="0"/>
                  <w:marRight w:val="0"/>
                  <w:marTop w:val="0"/>
                  <w:marBottom w:val="0"/>
                  <w:divBdr>
                    <w:top w:val="none" w:sz="0" w:space="0" w:color="auto"/>
                    <w:left w:val="none" w:sz="0" w:space="0" w:color="auto"/>
                    <w:bottom w:val="none" w:sz="0" w:space="0" w:color="auto"/>
                    <w:right w:val="none" w:sz="0" w:space="0" w:color="auto"/>
                  </w:divBdr>
                  <w:divsChild>
                    <w:div w:id="2040472894">
                      <w:marLeft w:val="0"/>
                      <w:marRight w:val="0"/>
                      <w:marTop w:val="0"/>
                      <w:marBottom w:val="0"/>
                      <w:divBdr>
                        <w:top w:val="none" w:sz="0" w:space="0" w:color="auto"/>
                        <w:left w:val="none" w:sz="0" w:space="0" w:color="auto"/>
                        <w:bottom w:val="none" w:sz="0" w:space="0" w:color="auto"/>
                        <w:right w:val="none" w:sz="0" w:space="0" w:color="auto"/>
                      </w:divBdr>
                      <w:divsChild>
                        <w:div w:id="2100447203">
                          <w:marLeft w:val="0"/>
                          <w:marRight w:val="0"/>
                          <w:marTop w:val="0"/>
                          <w:marBottom w:val="0"/>
                          <w:divBdr>
                            <w:top w:val="none" w:sz="0" w:space="0" w:color="auto"/>
                            <w:left w:val="none" w:sz="0" w:space="0" w:color="auto"/>
                            <w:bottom w:val="none" w:sz="0" w:space="0" w:color="auto"/>
                            <w:right w:val="none" w:sz="0" w:space="0" w:color="auto"/>
                          </w:divBdr>
                          <w:divsChild>
                            <w:div w:id="17532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511109">
      <w:bodyDiv w:val="1"/>
      <w:marLeft w:val="0"/>
      <w:marRight w:val="0"/>
      <w:marTop w:val="0"/>
      <w:marBottom w:val="0"/>
      <w:divBdr>
        <w:top w:val="none" w:sz="0" w:space="0" w:color="auto"/>
        <w:left w:val="none" w:sz="0" w:space="0" w:color="auto"/>
        <w:bottom w:val="none" w:sz="0" w:space="0" w:color="auto"/>
        <w:right w:val="none" w:sz="0" w:space="0" w:color="auto"/>
      </w:divBdr>
      <w:divsChild>
        <w:div w:id="1670214303">
          <w:marLeft w:val="0"/>
          <w:marRight w:val="0"/>
          <w:marTop w:val="0"/>
          <w:marBottom w:val="0"/>
          <w:divBdr>
            <w:top w:val="none" w:sz="0" w:space="0" w:color="auto"/>
            <w:left w:val="none" w:sz="0" w:space="0" w:color="auto"/>
            <w:bottom w:val="none" w:sz="0" w:space="0" w:color="auto"/>
            <w:right w:val="none" w:sz="0" w:space="0" w:color="auto"/>
          </w:divBdr>
          <w:divsChild>
            <w:div w:id="895974391">
              <w:marLeft w:val="0"/>
              <w:marRight w:val="0"/>
              <w:marTop w:val="0"/>
              <w:marBottom w:val="0"/>
              <w:divBdr>
                <w:top w:val="none" w:sz="0" w:space="0" w:color="auto"/>
                <w:left w:val="none" w:sz="0" w:space="0" w:color="auto"/>
                <w:bottom w:val="none" w:sz="0" w:space="0" w:color="auto"/>
                <w:right w:val="none" w:sz="0" w:space="0" w:color="auto"/>
              </w:divBdr>
              <w:divsChild>
                <w:div w:id="272982815">
                  <w:marLeft w:val="0"/>
                  <w:marRight w:val="0"/>
                  <w:marTop w:val="0"/>
                  <w:marBottom w:val="0"/>
                  <w:divBdr>
                    <w:top w:val="none" w:sz="0" w:space="0" w:color="auto"/>
                    <w:left w:val="none" w:sz="0" w:space="0" w:color="auto"/>
                    <w:bottom w:val="none" w:sz="0" w:space="0" w:color="auto"/>
                    <w:right w:val="none" w:sz="0" w:space="0" w:color="auto"/>
                  </w:divBdr>
                  <w:divsChild>
                    <w:div w:id="1799713353">
                      <w:marLeft w:val="0"/>
                      <w:marRight w:val="0"/>
                      <w:marTop w:val="0"/>
                      <w:marBottom w:val="0"/>
                      <w:divBdr>
                        <w:top w:val="none" w:sz="0" w:space="0" w:color="auto"/>
                        <w:left w:val="none" w:sz="0" w:space="0" w:color="auto"/>
                        <w:bottom w:val="none" w:sz="0" w:space="0" w:color="auto"/>
                        <w:right w:val="none" w:sz="0" w:space="0" w:color="auto"/>
                      </w:divBdr>
                      <w:divsChild>
                        <w:div w:id="1964194402">
                          <w:marLeft w:val="0"/>
                          <w:marRight w:val="0"/>
                          <w:marTop w:val="0"/>
                          <w:marBottom w:val="0"/>
                          <w:divBdr>
                            <w:top w:val="none" w:sz="0" w:space="0" w:color="auto"/>
                            <w:left w:val="none" w:sz="0" w:space="0" w:color="auto"/>
                            <w:bottom w:val="none" w:sz="0" w:space="0" w:color="auto"/>
                            <w:right w:val="none" w:sz="0" w:space="0" w:color="auto"/>
                          </w:divBdr>
                          <w:divsChild>
                            <w:div w:id="2223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512331">
      <w:bodyDiv w:val="1"/>
      <w:marLeft w:val="0"/>
      <w:marRight w:val="0"/>
      <w:marTop w:val="0"/>
      <w:marBottom w:val="0"/>
      <w:divBdr>
        <w:top w:val="none" w:sz="0" w:space="0" w:color="auto"/>
        <w:left w:val="none" w:sz="0" w:space="0" w:color="auto"/>
        <w:bottom w:val="none" w:sz="0" w:space="0" w:color="auto"/>
        <w:right w:val="none" w:sz="0" w:space="0" w:color="auto"/>
      </w:divBdr>
      <w:divsChild>
        <w:div w:id="341246622">
          <w:marLeft w:val="0"/>
          <w:marRight w:val="0"/>
          <w:marTop w:val="0"/>
          <w:marBottom w:val="0"/>
          <w:divBdr>
            <w:top w:val="none" w:sz="0" w:space="0" w:color="auto"/>
            <w:left w:val="none" w:sz="0" w:space="0" w:color="auto"/>
            <w:bottom w:val="none" w:sz="0" w:space="0" w:color="auto"/>
            <w:right w:val="none" w:sz="0" w:space="0" w:color="auto"/>
          </w:divBdr>
          <w:divsChild>
            <w:div w:id="1576817013">
              <w:marLeft w:val="0"/>
              <w:marRight w:val="0"/>
              <w:marTop w:val="0"/>
              <w:marBottom w:val="0"/>
              <w:divBdr>
                <w:top w:val="none" w:sz="0" w:space="0" w:color="auto"/>
                <w:left w:val="none" w:sz="0" w:space="0" w:color="auto"/>
                <w:bottom w:val="none" w:sz="0" w:space="0" w:color="auto"/>
                <w:right w:val="none" w:sz="0" w:space="0" w:color="auto"/>
              </w:divBdr>
              <w:divsChild>
                <w:div w:id="1330207259">
                  <w:marLeft w:val="0"/>
                  <w:marRight w:val="0"/>
                  <w:marTop w:val="0"/>
                  <w:marBottom w:val="0"/>
                  <w:divBdr>
                    <w:top w:val="none" w:sz="0" w:space="0" w:color="auto"/>
                    <w:left w:val="none" w:sz="0" w:space="0" w:color="auto"/>
                    <w:bottom w:val="none" w:sz="0" w:space="0" w:color="auto"/>
                    <w:right w:val="none" w:sz="0" w:space="0" w:color="auto"/>
                  </w:divBdr>
                  <w:divsChild>
                    <w:div w:id="1654135341">
                      <w:marLeft w:val="0"/>
                      <w:marRight w:val="0"/>
                      <w:marTop w:val="0"/>
                      <w:marBottom w:val="0"/>
                      <w:divBdr>
                        <w:top w:val="none" w:sz="0" w:space="0" w:color="auto"/>
                        <w:left w:val="none" w:sz="0" w:space="0" w:color="auto"/>
                        <w:bottom w:val="none" w:sz="0" w:space="0" w:color="auto"/>
                        <w:right w:val="none" w:sz="0" w:space="0" w:color="auto"/>
                      </w:divBdr>
                      <w:divsChild>
                        <w:div w:id="258875460">
                          <w:marLeft w:val="0"/>
                          <w:marRight w:val="0"/>
                          <w:marTop w:val="0"/>
                          <w:marBottom w:val="0"/>
                          <w:divBdr>
                            <w:top w:val="none" w:sz="0" w:space="0" w:color="auto"/>
                            <w:left w:val="none" w:sz="0" w:space="0" w:color="auto"/>
                            <w:bottom w:val="none" w:sz="0" w:space="0" w:color="auto"/>
                            <w:right w:val="none" w:sz="0" w:space="0" w:color="auto"/>
                          </w:divBdr>
                          <w:divsChild>
                            <w:div w:id="576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135522">
      <w:bodyDiv w:val="1"/>
      <w:marLeft w:val="0"/>
      <w:marRight w:val="0"/>
      <w:marTop w:val="0"/>
      <w:marBottom w:val="0"/>
      <w:divBdr>
        <w:top w:val="none" w:sz="0" w:space="0" w:color="auto"/>
        <w:left w:val="none" w:sz="0" w:space="0" w:color="auto"/>
        <w:bottom w:val="none" w:sz="0" w:space="0" w:color="auto"/>
        <w:right w:val="none" w:sz="0" w:space="0" w:color="auto"/>
      </w:divBdr>
      <w:divsChild>
        <w:div w:id="1339966098">
          <w:marLeft w:val="0"/>
          <w:marRight w:val="0"/>
          <w:marTop w:val="0"/>
          <w:marBottom w:val="0"/>
          <w:divBdr>
            <w:top w:val="none" w:sz="0" w:space="0" w:color="auto"/>
            <w:left w:val="none" w:sz="0" w:space="0" w:color="auto"/>
            <w:bottom w:val="none" w:sz="0" w:space="0" w:color="auto"/>
            <w:right w:val="none" w:sz="0" w:space="0" w:color="auto"/>
          </w:divBdr>
          <w:divsChild>
            <w:div w:id="776024218">
              <w:marLeft w:val="0"/>
              <w:marRight w:val="0"/>
              <w:marTop w:val="0"/>
              <w:marBottom w:val="0"/>
              <w:divBdr>
                <w:top w:val="none" w:sz="0" w:space="0" w:color="auto"/>
                <w:left w:val="none" w:sz="0" w:space="0" w:color="auto"/>
                <w:bottom w:val="none" w:sz="0" w:space="0" w:color="auto"/>
                <w:right w:val="none" w:sz="0" w:space="0" w:color="auto"/>
              </w:divBdr>
              <w:divsChild>
                <w:div w:id="1654875548">
                  <w:marLeft w:val="0"/>
                  <w:marRight w:val="0"/>
                  <w:marTop w:val="0"/>
                  <w:marBottom w:val="0"/>
                  <w:divBdr>
                    <w:top w:val="single" w:sz="6" w:space="0" w:color="DDDDDD"/>
                    <w:left w:val="none" w:sz="0" w:space="0" w:color="auto"/>
                    <w:bottom w:val="none" w:sz="0" w:space="0" w:color="auto"/>
                    <w:right w:val="none" w:sz="0" w:space="0" w:color="auto"/>
                  </w:divBdr>
                  <w:divsChild>
                    <w:div w:id="205990020">
                      <w:marLeft w:val="345"/>
                      <w:marRight w:val="360"/>
                      <w:marTop w:val="375"/>
                      <w:marBottom w:val="330"/>
                      <w:divBdr>
                        <w:top w:val="none" w:sz="0" w:space="0" w:color="auto"/>
                        <w:left w:val="none" w:sz="0" w:space="0" w:color="auto"/>
                        <w:bottom w:val="none" w:sz="0" w:space="0" w:color="auto"/>
                        <w:right w:val="none" w:sz="0" w:space="0" w:color="auto"/>
                      </w:divBdr>
                      <w:divsChild>
                        <w:div w:id="574360527">
                          <w:marLeft w:val="0"/>
                          <w:marRight w:val="0"/>
                          <w:marTop w:val="0"/>
                          <w:marBottom w:val="0"/>
                          <w:divBdr>
                            <w:top w:val="none" w:sz="0" w:space="0" w:color="auto"/>
                            <w:left w:val="none" w:sz="0" w:space="0" w:color="auto"/>
                            <w:bottom w:val="none" w:sz="0" w:space="0" w:color="auto"/>
                            <w:right w:val="none" w:sz="0" w:space="0" w:color="auto"/>
                          </w:divBdr>
                          <w:divsChild>
                            <w:div w:id="338122365">
                              <w:marLeft w:val="0"/>
                              <w:marRight w:val="0"/>
                              <w:marTop w:val="0"/>
                              <w:marBottom w:val="0"/>
                              <w:divBdr>
                                <w:top w:val="none" w:sz="0" w:space="0" w:color="auto"/>
                                <w:left w:val="none" w:sz="0" w:space="0" w:color="auto"/>
                                <w:bottom w:val="none" w:sz="0" w:space="0" w:color="auto"/>
                                <w:right w:val="none" w:sz="0" w:space="0" w:color="auto"/>
                              </w:divBdr>
                              <w:divsChild>
                                <w:div w:id="16973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EE52A5-0FA2-4F13-9173-D5368517CF33}"/>
</file>

<file path=customXml/itemProps2.xml><?xml version="1.0" encoding="utf-8"?>
<ds:datastoreItem xmlns:ds="http://schemas.openxmlformats.org/officeDocument/2006/customXml" ds:itemID="{4FBC7AEC-E407-4921-AD70-48318615675F}"/>
</file>

<file path=customXml/itemProps3.xml><?xml version="1.0" encoding="utf-8"?>
<ds:datastoreItem xmlns:ds="http://schemas.openxmlformats.org/officeDocument/2006/customXml" ds:itemID="{6B42993E-CB93-49E4-BF13-21FEF6A412F8}"/>
</file>

<file path=customXml/itemProps4.xml><?xml version="1.0" encoding="utf-8"?>
<ds:datastoreItem xmlns:ds="http://schemas.openxmlformats.org/officeDocument/2006/customXml" ds:itemID="{B428D784-794B-4CA1-A15C-C2AE37FD921E}"/>
</file>

<file path=docProps/app.xml><?xml version="1.0" encoding="utf-8"?>
<Properties xmlns="http://schemas.openxmlformats.org/officeDocument/2006/extended-properties" xmlns:vt="http://schemas.openxmlformats.org/officeDocument/2006/docPropsVTypes">
  <Template>Normal.dotm</Template>
  <TotalTime>0</TotalTime>
  <Pages>1</Pages>
  <Words>5419</Words>
  <Characters>30891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36238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2017-06-16T12:54:00Z</dcterms:created>
  <dcterms:modified xsi:type="dcterms:W3CDTF">2017-06-16T12:54:00Z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