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4.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2B6725" w:rsidR="006444A1" w:rsidP="002B6725" w:rsidRDefault="006444A1">
      <w:pPr>
        <w:jc w:val="center"/>
        <w:rPr>
          <w:b/>
          <w:sz w:val="28"/>
          <w:szCs w:val="28"/>
          <w:lang w:val="en-GB"/>
        </w:rPr>
      </w:pPr>
      <w:bookmarkStart w:name="_GoBack" w:id="0"/>
      <w:bookmarkEnd w:id="0"/>
    </w:p>
    <w:p w:rsidRPr="002B6725" w:rsidR="006444A1" w:rsidP="002B6725" w:rsidRDefault="006444A1">
      <w:pPr>
        <w:jc w:val="center"/>
        <w:rPr>
          <w:lang w:val="en-GB"/>
        </w:rPr>
      </w:pPr>
    </w:p>
    <w:p w:rsidRPr="002B6725" w:rsidR="00014566" w:rsidP="002B6725" w:rsidRDefault="00014566">
      <w:pPr>
        <w:jc w:val="center"/>
        <w:rPr>
          <w:lang w:val="en-GB"/>
        </w:rPr>
      </w:pPr>
    </w:p>
    <w:p w:rsidRPr="002B6725" w:rsidR="00014566" w:rsidP="002B6725" w:rsidRDefault="00157B2E">
      <w:pPr>
        <w:jc w:val="center"/>
        <w:rPr>
          <w:lang w:val="en-GB"/>
        </w:rPr>
      </w:pPr>
      <w:r w:rsidRPr="002B6725">
        <w:rPr>
          <w:lang w:val="en-GB"/>
        </w:rPr>
        <w:t>FIFTH SECTION</w:t>
      </w:r>
    </w:p>
    <w:p w:rsidRPr="002B6725" w:rsidR="00014566" w:rsidP="002B6725" w:rsidRDefault="00014566">
      <w:pPr>
        <w:jc w:val="center"/>
        <w:rPr>
          <w:lang w:val="en-GB"/>
        </w:rPr>
      </w:pPr>
    </w:p>
    <w:p w:rsidRPr="002B6725" w:rsidR="006444A1" w:rsidP="002B6725" w:rsidRDefault="006444A1">
      <w:pPr>
        <w:jc w:val="center"/>
        <w:rPr>
          <w:lang w:val="en-GB"/>
        </w:rPr>
      </w:pPr>
    </w:p>
    <w:p w:rsidRPr="002B6725" w:rsidR="006444A1" w:rsidP="002B6725" w:rsidRDefault="006444A1">
      <w:pPr>
        <w:jc w:val="center"/>
        <w:rPr>
          <w:lang w:val="en-GB"/>
        </w:rPr>
      </w:pPr>
    </w:p>
    <w:p w:rsidRPr="002B6725" w:rsidR="006444A1" w:rsidP="002B6725" w:rsidRDefault="006444A1">
      <w:pPr>
        <w:jc w:val="center"/>
        <w:rPr>
          <w:lang w:val="en-GB"/>
        </w:rPr>
      </w:pPr>
    </w:p>
    <w:p w:rsidRPr="002B6725" w:rsidR="006444A1" w:rsidP="002B6725" w:rsidRDefault="006444A1">
      <w:pPr>
        <w:jc w:val="center"/>
        <w:rPr>
          <w:lang w:val="en-GB"/>
        </w:rPr>
      </w:pPr>
    </w:p>
    <w:p w:rsidRPr="002B6725" w:rsidR="006444A1" w:rsidP="002B6725" w:rsidRDefault="006444A1">
      <w:pPr>
        <w:jc w:val="center"/>
        <w:rPr>
          <w:lang w:val="en-GB"/>
        </w:rPr>
      </w:pPr>
    </w:p>
    <w:p w:rsidRPr="002B6725" w:rsidR="00014566" w:rsidP="002B6725" w:rsidRDefault="00014566">
      <w:pPr>
        <w:jc w:val="center"/>
        <w:rPr>
          <w:b/>
          <w:lang w:val="en-GB"/>
        </w:rPr>
      </w:pPr>
      <w:bookmarkStart w:name="To" w:id="1"/>
      <w:r w:rsidRPr="002B6725">
        <w:rPr>
          <w:b/>
          <w:lang w:val="en-GB"/>
        </w:rPr>
        <w:t xml:space="preserve">CASE OF </w:t>
      </w:r>
      <w:bookmarkEnd w:id="1"/>
      <w:r w:rsidRPr="002B6725" w:rsidR="00157B2E">
        <w:rPr>
          <w:b/>
          <w:lang w:val="en-GB"/>
        </w:rPr>
        <w:t>MOROZ v. UKRAINE</w:t>
      </w:r>
    </w:p>
    <w:p w:rsidRPr="002B6725" w:rsidR="00014566" w:rsidP="002B6725" w:rsidRDefault="00014566">
      <w:pPr>
        <w:jc w:val="center"/>
        <w:rPr>
          <w:lang w:val="en-GB"/>
        </w:rPr>
      </w:pPr>
    </w:p>
    <w:p w:rsidRPr="002B6725" w:rsidR="00014566" w:rsidP="002B6725" w:rsidRDefault="00014566">
      <w:pPr>
        <w:jc w:val="center"/>
        <w:rPr>
          <w:i/>
          <w:lang w:val="en-GB"/>
        </w:rPr>
      </w:pPr>
      <w:r w:rsidRPr="002B6725">
        <w:rPr>
          <w:i/>
          <w:lang w:val="en-GB"/>
        </w:rPr>
        <w:t>(</w:t>
      </w:r>
      <w:r w:rsidRPr="002B6725" w:rsidR="00157B2E">
        <w:rPr>
          <w:i/>
          <w:lang w:val="en-GB"/>
        </w:rPr>
        <w:t>Application no. 5187/07</w:t>
      </w:r>
      <w:r w:rsidRPr="002B6725">
        <w:rPr>
          <w:i/>
          <w:lang w:val="en-GB"/>
        </w:rPr>
        <w:t>)</w:t>
      </w:r>
    </w:p>
    <w:p w:rsidRPr="002B6725" w:rsidR="00014566" w:rsidP="002B6725" w:rsidRDefault="00014566">
      <w:pPr>
        <w:jc w:val="center"/>
        <w:rPr>
          <w:lang w:val="en-GB"/>
        </w:rPr>
      </w:pPr>
    </w:p>
    <w:p w:rsidRPr="002B6725" w:rsidR="00014566" w:rsidP="002B6725" w:rsidRDefault="00014566">
      <w:pPr>
        <w:jc w:val="center"/>
        <w:rPr>
          <w:lang w:val="en-GB"/>
        </w:rPr>
      </w:pPr>
    </w:p>
    <w:p w:rsidRPr="002B6725" w:rsidR="00014566" w:rsidP="002B6725" w:rsidRDefault="00014566">
      <w:pPr>
        <w:jc w:val="center"/>
        <w:rPr>
          <w:lang w:val="en-GB"/>
        </w:rPr>
      </w:pPr>
    </w:p>
    <w:p w:rsidRPr="002B6725" w:rsidR="00014566" w:rsidP="002B6725" w:rsidRDefault="00014566">
      <w:pPr>
        <w:jc w:val="center"/>
        <w:rPr>
          <w:lang w:val="en-GB"/>
        </w:rPr>
      </w:pPr>
    </w:p>
    <w:p w:rsidRPr="002B6725" w:rsidR="00750D68" w:rsidP="002B6725" w:rsidRDefault="00750D68">
      <w:pPr>
        <w:jc w:val="center"/>
        <w:rPr>
          <w:lang w:val="en-GB"/>
        </w:rPr>
      </w:pPr>
    </w:p>
    <w:p w:rsidRPr="002B6725" w:rsidR="00750D68" w:rsidP="002B6725" w:rsidRDefault="00750D68">
      <w:pPr>
        <w:jc w:val="center"/>
        <w:rPr>
          <w:lang w:val="en-GB"/>
        </w:rPr>
      </w:pPr>
    </w:p>
    <w:p w:rsidRPr="002B6725" w:rsidR="00750D68" w:rsidP="002B6725" w:rsidRDefault="00750D68">
      <w:pPr>
        <w:jc w:val="center"/>
        <w:rPr>
          <w:lang w:val="en-GB"/>
        </w:rPr>
      </w:pPr>
    </w:p>
    <w:p w:rsidRPr="002B6725" w:rsidR="00014566" w:rsidP="002B6725" w:rsidRDefault="00014566">
      <w:pPr>
        <w:jc w:val="center"/>
        <w:rPr>
          <w:lang w:val="en-GB"/>
        </w:rPr>
      </w:pPr>
    </w:p>
    <w:p w:rsidRPr="002B6725" w:rsidR="005A6337" w:rsidP="002B6725" w:rsidRDefault="006444A1">
      <w:pPr>
        <w:jc w:val="center"/>
        <w:rPr>
          <w:lang w:val="en-GB"/>
        </w:rPr>
      </w:pPr>
      <w:r w:rsidRPr="002B6725">
        <w:rPr>
          <w:lang w:val="en-GB"/>
        </w:rPr>
        <w:t>JUDGMENT</w:t>
      </w:r>
    </w:p>
    <w:p w:rsidRPr="002B6725" w:rsidR="00014566" w:rsidP="002B6725" w:rsidRDefault="00014566">
      <w:pPr>
        <w:jc w:val="center"/>
        <w:rPr>
          <w:lang w:val="en-GB"/>
        </w:rPr>
      </w:pPr>
    </w:p>
    <w:p w:rsidRPr="002B6725" w:rsidR="006444A1" w:rsidP="002B6725" w:rsidRDefault="006444A1">
      <w:pPr>
        <w:jc w:val="center"/>
        <w:rPr>
          <w:lang w:val="en-GB"/>
        </w:rPr>
      </w:pPr>
    </w:p>
    <w:p w:rsidRPr="002B6725" w:rsidR="006444A1" w:rsidP="002B6725" w:rsidRDefault="006444A1">
      <w:pPr>
        <w:jc w:val="center"/>
        <w:rPr>
          <w:lang w:val="en-GB"/>
        </w:rPr>
      </w:pPr>
    </w:p>
    <w:p w:rsidRPr="002B6725" w:rsidR="006444A1" w:rsidP="002B6725" w:rsidRDefault="006444A1">
      <w:pPr>
        <w:jc w:val="center"/>
        <w:rPr>
          <w:lang w:val="en-GB"/>
        </w:rPr>
      </w:pPr>
      <w:r w:rsidRPr="002B6725">
        <w:rPr>
          <w:lang w:val="en-GB"/>
        </w:rPr>
        <w:t>STRASBOURG</w:t>
      </w:r>
    </w:p>
    <w:p w:rsidRPr="002B6725" w:rsidR="006444A1" w:rsidP="002B6725" w:rsidRDefault="006444A1">
      <w:pPr>
        <w:jc w:val="center"/>
        <w:rPr>
          <w:lang w:val="en-GB"/>
        </w:rPr>
      </w:pPr>
    </w:p>
    <w:p w:rsidRPr="002B6725" w:rsidR="006444A1" w:rsidP="002B6725" w:rsidRDefault="006444A1">
      <w:pPr>
        <w:jc w:val="center"/>
        <w:rPr>
          <w:lang w:val="en-GB"/>
        </w:rPr>
      </w:pPr>
      <w:r w:rsidRPr="002B6725">
        <w:rPr>
          <w:lang w:val="en-GB"/>
        </w:rPr>
        <w:t>2 March 2017</w:t>
      </w:r>
    </w:p>
    <w:p w:rsidRPr="002B6725" w:rsidR="006444A1" w:rsidP="002B6725" w:rsidRDefault="006444A1">
      <w:pPr>
        <w:jc w:val="center"/>
        <w:rPr>
          <w:lang w:val="en-GB"/>
        </w:rPr>
      </w:pPr>
    </w:p>
    <w:p w:rsidRPr="002B6725" w:rsidR="002B6725" w:rsidP="002B6725" w:rsidRDefault="002B6725">
      <w:pPr>
        <w:pStyle w:val="jucase0"/>
        <w:ind w:firstLine="0"/>
        <w:jc w:val="center"/>
        <w:rPr>
          <w:color w:val="FF0000"/>
          <w:sz w:val="28"/>
          <w:szCs w:val="28"/>
          <w:u w:val="single"/>
        </w:rPr>
      </w:pPr>
      <w:r w:rsidRPr="002B6725">
        <w:rPr>
          <w:color w:val="FF0000"/>
          <w:sz w:val="28"/>
          <w:szCs w:val="28"/>
          <w:u w:val="single"/>
        </w:rPr>
        <w:t>FINAL</w:t>
      </w:r>
    </w:p>
    <w:p w:rsidRPr="002B6725" w:rsidR="002B6725" w:rsidP="002B6725" w:rsidRDefault="002B6725">
      <w:pPr>
        <w:pStyle w:val="jupara"/>
        <w:tabs>
          <w:tab w:val="left" w:pos="4650"/>
        </w:tabs>
        <w:ind w:firstLine="0"/>
        <w:jc w:val="center"/>
        <w:rPr>
          <w:color w:val="FF0000"/>
          <w:sz w:val="28"/>
          <w:szCs w:val="28"/>
        </w:rPr>
      </w:pPr>
    </w:p>
    <w:p w:rsidRPr="002B6725" w:rsidR="002B6725" w:rsidP="002B6725" w:rsidRDefault="002B6725">
      <w:pPr>
        <w:pStyle w:val="jupara"/>
        <w:ind w:firstLine="0"/>
        <w:jc w:val="center"/>
        <w:rPr>
          <w:color w:val="FF0000"/>
          <w:sz w:val="28"/>
          <w:szCs w:val="28"/>
        </w:rPr>
      </w:pPr>
      <w:r w:rsidRPr="002B6725">
        <w:rPr>
          <w:color w:val="FF0000"/>
          <w:sz w:val="28"/>
          <w:szCs w:val="28"/>
        </w:rPr>
        <w:t>18/09/2017</w:t>
      </w:r>
    </w:p>
    <w:p w:rsidRPr="002B6725" w:rsidR="002B6725" w:rsidP="002B6725" w:rsidRDefault="002B6725">
      <w:pPr>
        <w:pStyle w:val="jupara"/>
        <w:ind w:firstLine="0"/>
        <w:jc w:val="center"/>
      </w:pPr>
    </w:p>
    <w:p w:rsidRPr="002B6725" w:rsidR="002B6725" w:rsidP="002B6725" w:rsidRDefault="002B6725">
      <w:pPr>
        <w:jc w:val="center"/>
        <w:rPr>
          <w:i/>
          <w:iCs/>
          <w:sz w:val="22"/>
        </w:rPr>
      </w:pPr>
      <w:r w:rsidRPr="002B6725">
        <w:rPr>
          <w:i/>
          <w:iCs/>
          <w:sz w:val="22"/>
        </w:rPr>
        <w:t>This judgment has become final under Article 44 § 2 of the Convention. It may be subject to editorial revision.</w:t>
      </w:r>
    </w:p>
    <w:p w:rsidRPr="002B6725" w:rsidR="0048494E" w:rsidP="002B6725" w:rsidRDefault="0048494E">
      <w:pPr>
        <w:jc w:val="center"/>
        <w:rPr>
          <w:i/>
          <w:iCs/>
          <w:sz w:val="22"/>
        </w:rPr>
      </w:pPr>
    </w:p>
    <w:p w:rsidRPr="002B6725" w:rsidR="006444A1" w:rsidP="002B6725" w:rsidRDefault="006444A1">
      <w:pPr>
        <w:pStyle w:val="JuCase"/>
        <w:ind w:firstLine="0"/>
        <w:rPr>
          <w:b w:val="0"/>
          <w:lang w:val="en-GB"/>
        </w:rPr>
        <w:sectPr w:rsidRPr="002B6725" w:rsidR="006444A1" w:rsidSect="006444A1">
          <w:headerReference w:type="default" r:id="rId8"/>
          <w:headerReference w:type="first" r:id="rId9"/>
          <w:footerReference w:type="first" r:id="rId10"/>
          <w:footnotePr>
            <w:numRestart w:val="eachSect"/>
          </w:footnotePr>
          <w:pgSz w:w="11906" w:h="16838" w:code="9"/>
          <w:pgMar w:top="2274" w:right="2274" w:bottom="2274" w:left="2274" w:header="1701" w:footer="720" w:gutter="0"/>
          <w:pgNumType w:start="1"/>
          <w:cols w:space="720"/>
          <w:titlePg/>
          <w:docGrid w:linePitch="326"/>
        </w:sectPr>
      </w:pPr>
    </w:p>
    <w:p w:rsidRPr="002B6725" w:rsidR="00014566" w:rsidP="002B6725" w:rsidRDefault="00014566">
      <w:pPr>
        <w:pStyle w:val="JuCase"/>
        <w:rPr>
          <w:bCs/>
          <w:lang w:val="en-GB"/>
        </w:rPr>
      </w:pPr>
      <w:r w:rsidRPr="002B6725">
        <w:rPr>
          <w:lang w:val="en-GB"/>
        </w:rPr>
        <w:t xml:space="preserve">In the case of </w:t>
      </w:r>
      <w:r w:rsidRPr="002B6725" w:rsidR="00157B2E">
        <w:rPr>
          <w:lang w:val="en-GB"/>
        </w:rPr>
        <w:t>Moroz v. Ukraine</w:t>
      </w:r>
      <w:r w:rsidRPr="002B6725">
        <w:rPr>
          <w:lang w:val="en-GB"/>
        </w:rPr>
        <w:t>,</w:t>
      </w:r>
    </w:p>
    <w:p w:rsidRPr="002B6725" w:rsidR="00014566" w:rsidP="002B6725" w:rsidRDefault="00014566">
      <w:pPr>
        <w:pStyle w:val="ECHRPara"/>
        <w:rPr>
          <w:lang w:val="en-GB"/>
        </w:rPr>
      </w:pPr>
      <w:r w:rsidRPr="002B6725">
        <w:rPr>
          <w:lang w:val="en-GB"/>
        </w:rPr>
        <w:t>The European Court of Human Rights (</w:t>
      </w:r>
      <w:r w:rsidRPr="002B6725" w:rsidR="00157B2E">
        <w:rPr>
          <w:lang w:val="en-GB"/>
        </w:rPr>
        <w:t>Fifth Section</w:t>
      </w:r>
      <w:r w:rsidRPr="002B6725">
        <w:rPr>
          <w:lang w:val="en-GB"/>
        </w:rPr>
        <w:t xml:space="preserve">), sitting as a </w:t>
      </w:r>
      <w:r w:rsidRPr="002B6725" w:rsidR="00157B2E">
        <w:rPr>
          <w:lang w:val="en-GB"/>
        </w:rPr>
        <w:t>Chamber</w:t>
      </w:r>
      <w:r w:rsidRPr="002B6725">
        <w:rPr>
          <w:lang w:val="en-GB"/>
        </w:rPr>
        <w:t xml:space="preserve"> composed of:</w:t>
      </w:r>
    </w:p>
    <w:p w:rsidRPr="002B6725" w:rsidR="00014566" w:rsidP="002B6725" w:rsidRDefault="006444A1">
      <w:pPr>
        <w:pStyle w:val="ECHRDecisionBody"/>
        <w:rPr>
          <w:lang w:val="en-GB"/>
        </w:rPr>
      </w:pPr>
      <w:r w:rsidRPr="002B6725">
        <w:tab/>
        <w:t>Angelika Nußberger,</w:t>
      </w:r>
      <w:r w:rsidRPr="002B6725">
        <w:rPr>
          <w:i/>
        </w:rPr>
        <w:t xml:space="preserve"> President,</w:t>
      </w:r>
      <w:r w:rsidRPr="002B6725">
        <w:rPr>
          <w:i/>
        </w:rPr>
        <w:br/>
      </w:r>
      <w:r w:rsidRPr="002B6725">
        <w:tab/>
        <w:t>Erik Møse,</w:t>
      </w:r>
      <w:r w:rsidRPr="002B6725">
        <w:rPr>
          <w:i/>
        </w:rPr>
        <w:br/>
      </w:r>
      <w:r w:rsidRPr="002B6725">
        <w:tab/>
        <w:t>Ganna Yudkivska,</w:t>
      </w:r>
      <w:r w:rsidRPr="002B6725">
        <w:rPr>
          <w:i/>
        </w:rPr>
        <w:br/>
      </w:r>
      <w:r w:rsidRPr="002B6725">
        <w:tab/>
        <w:t>Faris Vehabović,</w:t>
      </w:r>
      <w:r w:rsidRPr="002B6725">
        <w:rPr>
          <w:i/>
        </w:rPr>
        <w:br/>
      </w:r>
      <w:r w:rsidRPr="002B6725">
        <w:tab/>
        <w:t>Síofra O</w:t>
      </w:r>
      <w:r w:rsidRPr="002B6725" w:rsidR="002B6725">
        <w:t>’</w:t>
      </w:r>
      <w:r w:rsidRPr="002B6725">
        <w:t>Leary,</w:t>
      </w:r>
      <w:r w:rsidRPr="002B6725">
        <w:rPr>
          <w:i/>
        </w:rPr>
        <w:br/>
      </w:r>
      <w:r w:rsidRPr="002B6725">
        <w:tab/>
        <w:t>Carlo Ranzoni,</w:t>
      </w:r>
      <w:r w:rsidRPr="002B6725">
        <w:rPr>
          <w:i/>
        </w:rPr>
        <w:br/>
      </w:r>
      <w:r w:rsidRPr="002B6725">
        <w:tab/>
        <w:t>Lәtif Hüseynov,</w:t>
      </w:r>
      <w:r w:rsidRPr="002B6725">
        <w:rPr>
          <w:i/>
        </w:rPr>
        <w:t xml:space="preserve"> judges,</w:t>
      </w:r>
      <w:r w:rsidRPr="002B6725">
        <w:rPr>
          <w:i/>
        </w:rPr>
        <w:br/>
      </w:r>
      <w:r w:rsidRPr="002B6725" w:rsidR="00014566">
        <w:rPr>
          <w:lang w:val="en-GB"/>
        </w:rPr>
        <w:t xml:space="preserve">and </w:t>
      </w:r>
      <w:r w:rsidRPr="002B6725">
        <w:rPr>
          <w:lang w:val="en-GB"/>
        </w:rPr>
        <w:t>Milan Bla</w:t>
      </w:r>
      <w:r w:rsidRPr="002B6725">
        <w:rPr>
          <w:rFonts w:cstheme="minorHAnsi"/>
          <w:lang w:val="en-GB"/>
        </w:rPr>
        <w:t>š</w:t>
      </w:r>
      <w:r w:rsidRPr="002B6725">
        <w:rPr>
          <w:lang w:val="en-GB"/>
        </w:rPr>
        <w:t>ko</w:t>
      </w:r>
      <w:r w:rsidRPr="002B6725" w:rsidR="00014566">
        <w:rPr>
          <w:lang w:val="en-GB"/>
        </w:rPr>
        <w:t xml:space="preserve">, </w:t>
      </w:r>
      <w:r w:rsidRPr="002B6725">
        <w:rPr>
          <w:i/>
          <w:lang w:val="en-GB"/>
        </w:rPr>
        <w:t>Deputy</w:t>
      </w:r>
      <w:r w:rsidRPr="002B6725">
        <w:rPr>
          <w:lang w:val="en-GB"/>
        </w:rPr>
        <w:t xml:space="preserve"> </w:t>
      </w:r>
      <w:r w:rsidRPr="002B6725" w:rsidR="00157B2E">
        <w:rPr>
          <w:i/>
          <w:lang w:val="en-GB"/>
        </w:rPr>
        <w:t xml:space="preserve">Section </w:t>
      </w:r>
      <w:r w:rsidRPr="002B6725" w:rsidR="00157B2E">
        <w:rPr>
          <w:i/>
          <w:iCs/>
          <w:lang w:val="en-GB"/>
        </w:rPr>
        <w:t>Registrar</w:t>
      </w:r>
      <w:r w:rsidRPr="002B6725" w:rsidR="00014566">
        <w:rPr>
          <w:i/>
          <w:lang w:val="en-GB"/>
        </w:rPr>
        <w:t>,</w:t>
      </w:r>
    </w:p>
    <w:p w:rsidRPr="002B6725" w:rsidR="00014566" w:rsidP="002B6725" w:rsidRDefault="00014566">
      <w:pPr>
        <w:pStyle w:val="ECHRPara"/>
        <w:rPr>
          <w:lang w:val="en-GB"/>
        </w:rPr>
      </w:pPr>
      <w:r w:rsidRPr="002B6725">
        <w:rPr>
          <w:lang w:val="en-GB"/>
        </w:rPr>
        <w:t xml:space="preserve">Having deliberated in private on </w:t>
      </w:r>
      <w:r w:rsidRPr="002B6725" w:rsidR="006444A1">
        <w:rPr>
          <w:lang w:val="en-GB"/>
        </w:rPr>
        <w:t>31 January 2017</w:t>
      </w:r>
      <w:r w:rsidRPr="002B6725">
        <w:rPr>
          <w:lang w:val="en-GB"/>
        </w:rPr>
        <w:t>,</w:t>
      </w:r>
    </w:p>
    <w:p w:rsidRPr="002B6725" w:rsidR="00014566" w:rsidP="002B6725" w:rsidRDefault="00014566">
      <w:pPr>
        <w:pStyle w:val="ECHRPara"/>
        <w:rPr>
          <w:lang w:val="en-GB"/>
        </w:rPr>
      </w:pPr>
      <w:r w:rsidRPr="002B6725">
        <w:rPr>
          <w:lang w:val="en-GB"/>
        </w:rPr>
        <w:t>Delivers the following judgment, which was adopted on that date:</w:t>
      </w:r>
    </w:p>
    <w:p w:rsidRPr="002B6725" w:rsidR="00014566" w:rsidP="002B6725" w:rsidRDefault="00014566">
      <w:pPr>
        <w:pStyle w:val="ECHRTitle1"/>
        <w:rPr>
          <w:lang w:val="en-GB"/>
        </w:rPr>
      </w:pPr>
      <w:r w:rsidRPr="002B6725">
        <w:rPr>
          <w:lang w:val="en-GB"/>
        </w:rPr>
        <w:t>PROCEDURE</w:t>
      </w:r>
    </w:p>
    <w:p w:rsidRPr="002B6725" w:rsidR="00750D68" w:rsidP="002B6725" w:rsidRDefault="00157B2E">
      <w:pPr>
        <w:pStyle w:val="ECHRPara"/>
        <w:rPr>
          <w:lang w:val="en-GB"/>
        </w:rPr>
      </w:pPr>
      <w:r w:rsidRPr="002B6725">
        <w:rPr>
          <w:lang w:val="en-GB"/>
        </w:rPr>
        <w:fldChar w:fldCharType="begin"/>
      </w:r>
      <w:r w:rsidRPr="002B6725">
        <w:rPr>
          <w:lang w:val="en-GB"/>
        </w:rPr>
        <w:instrText xml:space="preserve"> SEQ level0 \*arabic </w:instrText>
      </w:r>
      <w:r w:rsidRPr="002B6725">
        <w:rPr>
          <w:lang w:val="en-GB"/>
        </w:rPr>
        <w:fldChar w:fldCharType="separate"/>
      </w:r>
      <w:r w:rsidRPr="002B6725" w:rsidR="002B6725">
        <w:rPr>
          <w:noProof/>
          <w:lang w:val="en-GB"/>
        </w:rPr>
        <w:t>1</w:t>
      </w:r>
      <w:r w:rsidRPr="002B6725">
        <w:rPr>
          <w:lang w:val="en-GB"/>
        </w:rPr>
        <w:fldChar w:fldCharType="end"/>
      </w:r>
      <w:r w:rsidRPr="002B6725" w:rsidR="00014566">
        <w:rPr>
          <w:lang w:val="en-GB"/>
        </w:rPr>
        <w:t xml:space="preserve">.  The case originated in </w:t>
      </w:r>
      <w:r w:rsidRPr="002B6725">
        <w:rPr>
          <w:lang w:val="en-GB"/>
        </w:rPr>
        <w:t>an application (no. 5187/07)</w:t>
      </w:r>
      <w:r w:rsidRPr="002B6725" w:rsidR="00014566">
        <w:rPr>
          <w:lang w:val="en-GB"/>
        </w:rPr>
        <w:t xml:space="preserve"> against </w:t>
      </w:r>
      <w:r w:rsidRPr="002B6725">
        <w:rPr>
          <w:lang w:val="en-GB"/>
        </w:rPr>
        <w:t>Ukraine</w:t>
      </w:r>
      <w:r w:rsidRPr="002B6725" w:rsidR="00014566">
        <w:rPr>
          <w:lang w:val="en-GB"/>
        </w:rPr>
        <w:t xml:space="preserve"> lodged with the </w:t>
      </w:r>
      <w:r w:rsidRPr="002B6725">
        <w:rPr>
          <w:lang w:val="en-GB"/>
        </w:rPr>
        <w:t>Court under Article 34</w:t>
      </w:r>
      <w:r w:rsidRPr="002B6725" w:rsidR="00014566">
        <w:rPr>
          <w:lang w:val="en-GB"/>
        </w:rPr>
        <w:t xml:space="preserve"> of the Convention for the Protection of Human Rights and Fundamental Freedoms (“the Convention”) by </w:t>
      </w:r>
      <w:r w:rsidRPr="002B6725">
        <w:rPr>
          <w:lang w:val="en-GB"/>
        </w:rPr>
        <w:t xml:space="preserve">a Ukrainian national, Mr Oleg Viktorovich Moroz (“the applicant”), on </w:t>
      </w:r>
      <w:r w:rsidRPr="002B6725" w:rsidR="00C72699">
        <w:rPr>
          <w:lang w:val="en-GB"/>
        </w:rPr>
        <w:t>16 </w:t>
      </w:r>
      <w:r w:rsidRPr="002B6725">
        <w:rPr>
          <w:lang w:val="en-GB"/>
        </w:rPr>
        <w:t>January 2007</w:t>
      </w:r>
      <w:r w:rsidRPr="002B6725" w:rsidR="00014566">
        <w:rPr>
          <w:lang w:val="en-GB"/>
        </w:rPr>
        <w:t>.</w:t>
      </w:r>
    </w:p>
    <w:p w:rsidRPr="002B6725" w:rsidR="00157B2E" w:rsidP="002B6725" w:rsidRDefault="00157B2E">
      <w:pPr>
        <w:pStyle w:val="ECHRPara"/>
        <w:rPr>
          <w:lang w:val="en-GB"/>
        </w:rPr>
      </w:pPr>
      <w:r w:rsidRPr="002B6725">
        <w:rPr>
          <w:lang w:val="en-GB"/>
        </w:rPr>
        <w:fldChar w:fldCharType="begin"/>
      </w:r>
      <w:r w:rsidRPr="002B6725">
        <w:rPr>
          <w:lang w:val="en-GB"/>
        </w:rPr>
        <w:instrText xml:space="preserve"> SEQ level0 \*arabic </w:instrText>
      </w:r>
      <w:r w:rsidRPr="002B6725">
        <w:rPr>
          <w:lang w:val="en-GB"/>
        </w:rPr>
        <w:fldChar w:fldCharType="separate"/>
      </w:r>
      <w:r w:rsidRPr="002B6725" w:rsidR="002B6725">
        <w:rPr>
          <w:noProof/>
          <w:lang w:val="en-GB"/>
        </w:rPr>
        <w:t>2</w:t>
      </w:r>
      <w:r w:rsidRPr="002B6725">
        <w:rPr>
          <w:lang w:val="en-GB"/>
        </w:rPr>
        <w:fldChar w:fldCharType="end"/>
      </w:r>
      <w:r w:rsidRPr="002B6725" w:rsidR="00014566">
        <w:rPr>
          <w:lang w:val="en-GB"/>
        </w:rPr>
        <w:t xml:space="preserve">.  The </w:t>
      </w:r>
      <w:r w:rsidRPr="002B6725">
        <w:rPr>
          <w:lang w:val="en-GB"/>
        </w:rPr>
        <w:t>Ukrainian</w:t>
      </w:r>
      <w:r w:rsidRPr="002B6725" w:rsidR="00014566">
        <w:rPr>
          <w:lang w:val="en-GB"/>
        </w:rPr>
        <w:t xml:space="preserve"> Government (“the Government”) were represented by their Agent</w:t>
      </w:r>
      <w:r w:rsidRPr="002B6725" w:rsidR="00046246">
        <w:rPr>
          <w:lang w:val="en-GB"/>
        </w:rPr>
        <w:t>s</w:t>
      </w:r>
      <w:r w:rsidRPr="002B6725" w:rsidR="00014566">
        <w:rPr>
          <w:lang w:val="en-GB"/>
        </w:rPr>
        <w:t xml:space="preserve">, </w:t>
      </w:r>
      <w:r w:rsidRPr="002B6725" w:rsidR="00046246">
        <w:rPr>
          <w:lang w:val="en-GB"/>
        </w:rPr>
        <w:t xml:space="preserve">most recently </w:t>
      </w:r>
      <w:r w:rsidRPr="002B6725" w:rsidR="00014566">
        <w:rPr>
          <w:lang w:val="en-GB"/>
        </w:rPr>
        <w:t>Mr</w:t>
      </w:r>
      <w:r w:rsidRPr="002B6725" w:rsidR="00046246">
        <w:rPr>
          <w:lang w:val="en-GB"/>
        </w:rPr>
        <w:t xml:space="preserve"> I. Lishchyna from the Ministry of Justice</w:t>
      </w:r>
      <w:r w:rsidRPr="002B6725" w:rsidR="00014566">
        <w:rPr>
          <w:lang w:val="en-GB"/>
        </w:rPr>
        <w:t>.</w:t>
      </w:r>
    </w:p>
    <w:p w:rsidRPr="002B6725" w:rsidR="00046246" w:rsidP="002B6725" w:rsidRDefault="00157B2E">
      <w:pPr>
        <w:pStyle w:val="ECHRPara"/>
      </w:pPr>
      <w:r w:rsidRPr="002B6725">
        <w:rPr>
          <w:lang w:val="en-GB"/>
        </w:rPr>
        <w:fldChar w:fldCharType="begin"/>
      </w:r>
      <w:r w:rsidRPr="002B6725">
        <w:rPr>
          <w:lang w:val="en-GB"/>
        </w:rPr>
        <w:instrText xml:space="preserve"> SEQ level0 \*arabic </w:instrText>
      </w:r>
      <w:r w:rsidRPr="002B6725">
        <w:rPr>
          <w:lang w:val="en-GB"/>
        </w:rPr>
        <w:fldChar w:fldCharType="separate"/>
      </w:r>
      <w:r w:rsidRPr="002B6725" w:rsidR="002B6725">
        <w:rPr>
          <w:noProof/>
          <w:lang w:val="en-GB"/>
        </w:rPr>
        <w:t>3</w:t>
      </w:r>
      <w:r w:rsidRPr="002B6725">
        <w:rPr>
          <w:lang w:val="en-GB"/>
        </w:rPr>
        <w:fldChar w:fldCharType="end"/>
      </w:r>
      <w:r w:rsidRPr="002B6725">
        <w:rPr>
          <w:lang w:val="en-GB"/>
        </w:rPr>
        <w:t xml:space="preserve">.  The applicant </w:t>
      </w:r>
      <w:r w:rsidRPr="002B6725" w:rsidR="00C21276">
        <w:t xml:space="preserve">complained </w:t>
      </w:r>
      <w:r w:rsidRPr="002B6725" w:rsidR="00E578FB">
        <w:t xml:space="preserve">of the </w:t>
      </w:r>
      <w:r w:rsidRPr="002B6725" w:rsidR="00C21276">
        <w:t xml:space="preserve">inappropriate conditions of his </w:t>
      </w:r>
      <w:r w:rsidRPr="002B6725" w:rsidR="00C72699">
        <w:t>pre</w:t>
      </w:r>
      <w:r w:rsidRPr="002B6725" w:rsidR="00C72699">
        <w:noBreakHyphen/>
      </w:r>
      <w:r w:rsidRPr="002B6725" w:rsidR="00046246">
        <w:t xml:space="preserve">trial </w:t>
      </w:r>
      <w:r w:rsidRPr="002B6725" w:rsidR="00C21276">
        <w:t>detention</w:t>
      </w:r>
      <w:r w:rsidRPr="002B6725" w:rsidR="00513AAF">
        <w:t xml:space="preserve"> and the lack of medical assistance</w:t>
      </w:r>
      <w:r w:rsidRPr="002B6725" w:rsidR="00046246">
        <w:t xml:space="preserve">. He also alleged that he had </w:t>
      </w:r>
      <w:r w:rsidRPr="002B6725" w:rsidR="00AC5478">
        <w:t xml:space="preserve">not </w:t>
      </w:r>
      <w:r w:rsidRPr="002B6725" w:rsidR="00046246">
        <w:t xml:space="preserve">been </w:t>
      </w:r>
      <w:r w:rsidRPr="002B6725" w:rsidR="003E6B35">
        <w:t>allowed</w:t>
      </w:r>
      <w:r w:rsidRPr="002B6725" w:rsidR="00046246">
        <w:t xml:space="preserve"> to have visits from his relatives and to correspond with them while in pre-trial detention. He further stated that his right to practice his religion had been breached </w:t>
      </w:r>
      <w:r w:rsidRPr="002B6725" w:rsidR="00E578FB">
        <w:t>during</w:t>
      </w:r>
      <w:r w:rsidRPr="002B6725" w:rsidR="00046246">
        <w:t xml:space="preserve"> pre-trial detention.</w:t>
      </w:r>
    </w:p>
    <w:p w:rsidRPr="002B6725" w:rsidR="00014566" w:rsidP="002B6725" w:rsidRDefault="00157B2E">
      <w:pPr>
        <w:pStyle w:val="ECHRPara"/>
        <w:rPr>
          <w:lang w:val="en-GB"/>
        </w:rPr>
      </w:pPr>
      <w:r w:rsidRPr="002B6725">
        <w:rPr>
          <w:lang w:val="en-GB"/>
        </w:rPr>
        <w:fldChar w:fldCharType="begin"/>
      </w:r>
      <w:r w:rsidRPr="002B6725">
        <w:rPr>
          <w:lang w:val="en-GB"/>
        </w:rPr>
        <w:instrText xml:space="preserve"> SEQ level0 \*arabic </w:instrText>
      </w:r>
      <w:r w:rsidRPr="002B6725">
        <w:rPr>
          <w:lang w:val="en-GB"/>
        </w:rPr>
        <w:fldChar w:fldCharType="separate"/>
      </w:r>
      <w:r w:rsidRPr="002B6725" w:rsidR="002B6725">
        <w:rPr>
          <w:noProof/>
          <w:lang w:val="en-GB"/>
        </w:rPr>
        <w:t>4</w:t>
      </w:r>
      <w:r w:rsidRPr="002B6725">
        <w:rPr>
          <w:lang w:val="en-GB"/>
        </w:rPr>
        <w:fldChar w:fldCharType="end"/>
      </w:r>
      <w:r w:rsidRPr="002B6725" w:rsidR="00014566">
        <w:rPr>
          <w:lang w:val="en-GB"/>
        </w:rPr>
        <w:t>.  </w:t>
      </w:r>
      <w:r w:rsidRPr="002B6725">
        <w:rPr>
          <w:lang w:val="en-GB"/>
        </w:rPr>
        <w:t xml:space="preserve">On </w:t>
      </w:r>
      <w:r w:rsidRPr="002B6725">
        <w:rPr>
          <w:szCs w:val="24"/>
          <w:lang w:val="en-GB"/>
        </w:rPr>
        <w:t>12 December 2012</w:t>
      </w:r>
      <w:r w:rsidRPr="002B6725" w:rsidR="00014566">
        <w:rPr>
          <w:lang w:val="en-GB"/>
        </w:rPr>
        <w:t xml:space="preserve"> the </w:t>
      </w:r>
      <w:r w:rsidRPr="002B6725">
        <w:rPr>
          <w:lang w:val="en-GB"/>
        </w:rPr>
        <w:t>application was communicated to the Government</w:t>
      </w:r>
      <w:r w:rsidRPr="002B6725" w:rsidR="00014566">
        <w:rPr>
          <w:lang w:val="en-GB"/>
        </w:rPr>
        <w:t>.</w:t>
      </w:r>
    </w:p>
    <w:p w:rsidRPr="002B6725" w:rsidR="00014566" w:rsidP="002B6725" w:rsidRDefault="00014566">
      <w:pPr>
        <w:pStyle w:val="ECHRTitle1"/>
        <w:rPr>
          <w:lang w:val="en-GB"/>
        </w:rPr>
      </w:pPr>
      <w:r w:rsidRPr="002B6725">
        <w:rPr>
          <w:lang w:val="en-GB"/>
        </w:rPr>
        <w:t>THE FACTS</w:t>
      </w:r>
    </w:p>
    <w:p w:rsidRPr="002B6725" w:rsidR="00014566" w:rsidP="002B6725" w:rsidRDefault="00014566">
      <w:pPr>
        <w:pStyle w:val="ECHRHeading1"/>
        <w:rPr>
          <w:lang w:val="en-GB"/>
        </w:rPr>
      </w:pPr>
      <w:r w:rsidRPr="002B6725">
        <w:rPr>
          <w:lang w:val="en-GB"/>
        </w:rPr>
        <w:t>I.  THE CIRCUMSTANCES OF THE CASE</w:t>
      </w:r>
    </w:p>
    <w:p w:rsidRPr="002B6725" w:rsidR="00014566" w:rsidP="002B6725" w:rsidRDefault="00AF6287">
      <w:pPr>
        <w:pStyle w:val="ECHRPara"/>
        <w:rPr>
          <w:lang w:val="en-GB"/>
        </w:rPr>
      </w:pPr>
      <w:r w:rsidRPr="002B6725">
        <w:rPr>
          <w:lang w:val="en-GB"/>
        </w:rPr>
        <w:fldChar w:fldCharType="begin"/>
      </w:r>
      <w:r w:rsidRPr="002B6725">
        <w:rPr>
          <w:lang w:val="en-GB"/>
        </w:rPr>
        <w:instrText xml:space="preserve"> SEQ level0 \*arabic </w:instrText>
      </w:r>
      <w:r w:rsidRPr="002B6725">
        <w:rPr>
          <w:lang w:val="en-GB"/>
        </w:rPr>
        <w:fldChar w:fldCharType="separate"/>
      </w:r>
      <w:r w:rsidRPr="002B6725" w:rsidR="002B6725">
        <w:rPr>
          <w:noProof/>
          <w:lang w:val="en-GB"/>
        </w:rPr>
        <w:t>5</w:t>
      </w:r>
      <w:r w:rsidRPr="002B6725">
        <w:rPr>
          <w:lang w:val="en-GB"/>
        </w:rPr>
        <w:fldChar w:fldCharType="end"/>
      </w:r>
      <w:r w:rsidRPr="002B6725">
        <w:rPr>
          <w:lang w:val="en-GB"/>
        </w:rPr>
        <w:t>.  </w:t>
      </w:r>
      <w:r w:rsidRPr="002B6725" w:rsidR="00014566">
        <w:rPr>
          <w:lang w:val="en-GB"/>
        </w:rPr>
        <w:t xml:space="preserve">The </w:t>
      </w:r>
      <w:r w:rsidRPr="002B6725" w:rsidR="00157B2E">
        <w:rPr>
          <w:lang w:val="en-GB"/>
        </w:rPr>
        <w:t xml:space="preserve">applicant was born in 1967 and is </w:t>
      </w:r>
      <w:r w:rsidRPr="002B6725" w:rsidR="00B076E7">
        <w:rPr>
          <w:lang w:val="en-GB"/>
        </w:rPr>
        <w:t>currently serving his prison sentence</w:t>
      </w:r>
      <w:r w:rsidRPr="002B6725" w:rsidR="00014566">
        <w:rPr>
          <w:lang w:val="en-GB"/>
        </w:rPr>
        <w:t>.</w:t>
      </w:r>
    </w:p>
    <w:p w:rsidRPr="002B6725" w:rsidR="00D169C1" w:rsidP="002B6725" w:rsidRDefault="00A46EE1">
      <w:pPr>
        <w:pStyle w:val="ECHRHeading2"/>
      </w:pPr>
      <w:r w:rsidRPr="002B6725">
        <w:t>A.</w:t>
      </w:r>
      <w:r w:rsidRPr="002B6725" w:rsidR="00D169C1">
        <w:t>  </w:t>
      </w:r>
      <w:r w:rsidRPr="002B6725" w:rsidR="00F95421">
        <w:rPr>
          <w:lang w:val="en-GB"/>
        </w:rPr>
        <w:t>E</w:t>
      </w:r>
      <w:r w:rsidRPr="002B6725">
        <w:rPr>
          <w:lang w:val="en-GB"/>
        </w:rPr>
        <w:t>vents of 1 June 2005 and the c</w:t>
      </w:r>
      <w:r w:rsidRPr="002B6725" w:rsidR="00D169C1">
        <w:t>riminal proceedings against the applicant</w:t>
      </w:r>
    </w:p>
    <w:p w:rsidRPr="002B6725" w:rsidR="00A46EE1" w:rsidP="002B6725" w:rsidRDefault="00157B2E">
      <w:pPr>
        <w:pStyle w:val="ECHRPara"/>
      </w:pPr>
      <w:r w:rsidRPr="002B6725">
        <w:rPr>
          <w:lang w:val="en-GB"/>
        </w:rPr>
        <w:fldChar w:fldCharType="begin"/>
      </w:r>
      <w:r w:rsidRPr="002B6725">
        <w:rPr>
          <w:lang w:val="en-GB"/>
        </w:rPr>
        <w:instrText xml:space="preserve"> SEQ level0 \*arabic </w:instrText>
      </w:r>
      <w:r w:rsidRPr="002B6725">
        <w:rPr>
          <w:lang w:val="en-GB"/>
        </w:rPr>
        <w:fldChar w:fldCharType="separate"/>
      </w:r>
      <w:r w:rsidRPr="002B6725" w:rsidR="002B6725">
        <w:rPr>
          <w:noProof/>
          <w:lang w:val="en-GB"/>
        </w:rPr>
        <w:t>6</w:t>
      </w:r>
      <w:r w:rsidRPr="002B6725">
        <w:rPr>
          <w:lang w:val="en-GB"/>
        </w:rPr>
        <w:fldChar w:fldCharType="end"/>
      </w:r>
      <w:r w:rsidRPr="002B6725" w:rsidR="00014566">
        <w:rPr>
          <w:lang w:val="en-GB"/>
        </w:rPr>
        <w:t>.  </w:t>
      </w:r>
      <w:r w:rsidRPr="002B6725" w:rsidR="00A46EE1">
        <w:rPr>
          <w:lang w:val="en-GB"/>
        </w:rPr>
        <w:t xml:space="preserve">At about 10 a.m. on </w:t>
      </w:r>
      <w:r w:rsidRPr="002B6725" w:rsidR="00E82D72">
        <w:t xml:space="preserve">1 June 2005 </w:t>
      </w:r>
      <w:r w:rsidRPr="002B6725" w:rsidR="00073869">
        <w:t>O., the president of the Ukrainian Dent</w:t>
      </w:r>
      <w:r w:rsidRPr="002B6725" w:rsidR="00E578FB">
        <w:t>al</w:t>
      </w:r>
      <w:r w:rsidRPr="002B6725" w:rsidR="00073869">
        <w:t xml:space="preserve"> Association</w:t>
      </w:r>
      <w:r w:rsidRPr="002B6725" w:rsidR="005A30FD">
        <w:t>,</w:t>
      </w:r>
      <w:r w:rsidRPr="002B6725" w:rsidR="00073869">
        <w:t xml:space="preserve"> was shot at his office with a </w:t>
      </w:r>
      <w:r w:rsidRPr="002B6725" w:rsidR="00D67A54">
        <w:t xml:space="preserve">rifle </w:t>
      </w:r>
      <w:r w:rsidRPr="002B6725" w:rsidR="00E578FB">
        <w:t>which</w:t>
      </w:r>
      <w:r w:rsidRPr="002B6725" w:rsidR="00073869">
        <w:t xml:space="preserve"> </w:t>
      </w:r>
      <w:r w:rsidRPr="002B6725" w:rsidR="00E578FB">
        <w:t xml:space="preserve">the </w:t>
      </w:r>
      <w:r w:rsidRPr="002B6725" w:rsidR="00073869">
        <w:t>applicant</w:t>
      </w:r>
      <w:r w:rsidRPr="002B6725" w:rsidR="00E578FB">
        <w:t xml:space="preserve"> had brought</w:t>
      </w:r>
      <w:r w:rsidRPr="002B6725" w:rsidR="00073869">
        <w:t>.</w:t>
      </w:r>
      <w:r w:rsidRPr="002B6725" w:rsidR="005A30FD">
        <w:t xml:space="preserve"> </w:t>
      </w:r>
      <w:r w:rsidRPr="002B6725" w:rsidR="00851532">
        <w:t>The applicant was present at O</w:t>
      </w:r>
      <w:r w:rsidRPr="002B6725" w:rsidR="005F2674">
        <w:t>.</w:t>
      </w:r>
      <w:r w:rsidRPr="002B6725" w:rsidR="002B6725">
        <w:t>’</w:t>
      </w:r>
      <w:r w:rsidRPr="002B6725" w:rsidR="00851532">
        <w:t>s office at the time of the event.</w:t>
      </w:r>
      <w:r w:rsidRPr="002B6725" w:rsidR="00A21988">
        <w:t xml:space="preserve"> </w:t>
      </w:r>
      <w:r w:rsidRPr="002B6725" w:rsidR="003E6B35">
        <w:t>H</w:t>
      </w:r>
      <w:r w:rsidRPr="002B6725" w:rsidR="00A21988">
        <w:t xml:space="preserve">e asked </w:t>
      </w:r>
      <w:r w:rsidRPr="002B6725" w:rsidR="00E578FB">
        <w:t xml:space="preserve">for </w:t>
      </w:r>
      <w:r w:rsidRPr="002B6725" w:rsidR="00A21988">
        <w:t>the police and an ambulance to be called and, o</w:t>
      </w:r>
      <w:r w:rsidRPr="002B6725" w:rsidR="00A46EE1">
        <w:t>nce the police arrived,</w:t>
      </w:r>
      <w:r w:rsidRPr="002B6725" w:rsidR="00A66420">
        <w:t xml:space="preserve"> </w:t>
      </w:r>
      <w:r w:rsidRPr="002B6725" w:rsidR="00981597">
        <w:t>stated</w:t>
      </w:r>
      <w:r w:rsidRPr="002B6725" w:rsidR="00D36946">
        <w:t xml:space="preserve"> </w:t>
      </w:r>
      <w:r w:rsidRPr="002B6725" w:rsidR="00A46EE1">
        <w:t xml:space="preserve">that an </w:t>
      </w:r>
      <w:r w:rsidRPr="002B6725" w:rsidR="005B3C6F">
        <w:t>ac</w:t>
      </w:r>
      <w:r w:rsidRPr="002B6725" w:rsidR="00A46EE1">
        <w:t xml:space="preserve">cident had happened. </w:t>
      </w:r>
      <w:r w:rsidRPr="002B6725" w:rsidR="006C4301">
        <w:t xml:space="preserve">He </w:t>
      </w:r>
      <w:r w:rsidRPr="002B6725" w:rsidR="00981597">
        <w:t xml:space="preserve">explained </w:t>
      </w:r>
      <w:r w:rsidRPr="002B6725" w:rsidR="006C4301">
        <w:t>that</w:t>
      </w:r>
      <w:r w:rsidRPr="002B6725" w:rsidR="00A46EE1">
        <w:t xml:space="preserve"> he and O. were interested in hunting and he had brought the shotgun to O. as a present. While he </w:t>
      </w:r>
      <w:r w:rsidRPr="002B6725" w:rsidR="00E166CB">
        <w:t xml:space="preserve">had been </w:t>
      </w:r>
      <w:r w:rsidRPr="002B6725" w:rsidR="00A46EE1">
        <w:t xml:space="preserve">demonstrating the gun to O., the latter </w:t>
      </w:r>
      <w:r w:rsidRPr="002B6725" w:rsidR="00E166CB">
        <w:t xml:space="preserve">had </w:t>
      </w:r>
      <w:r w:rsidRPr="002B6725" w:rsidR="00A46EE1">
        <w:t xml:space="preserve">wanted to see it closer and </w:t>
      </w:r>
      <w:r w:rsidRPr="002B6725" w:rsidR="00E166CB">
        <w:t xml:space="preserve">had </w:t>
      </w:r>
      <w:r w:rsidRPr="002B6725" w:rsidR="00A46EE1">
        <w:t>pulled it to</w:t>
      </w:r>
      <w:r w:rsidRPr="002B6725" w:rsidR="00E578FB">
        <w:t>wards</w:t>
      </w:r>
      <w:r w:rsidRPr="002B6725" w:rsidR="00A46EE1">
        <w:t xml:space="preserve"> himself</w:t>
      </w:r>
      <w:r w:rsidRPr="002B6725" w:rsidR="00E578FB">
        <w:t>;</w:t>
      </w:r>
      <w:r w:rsidRPr="002B6725" w:rsidR="00A46EE1">
        <w:t xml:space="preserve"> the gun </w:t>
      </w:r>
      <w:r w:rsidRPr="002B6725" w:rsidR="00E166CB">
        <w:t xml:space="preserve">had </w:t>
      </w:r>
      <w:r w:rsidRPr="002B6725" w:rsidR="00A46EE1">
        <w:t xml:space="preserve">accidentally </w:t>
      </w:r>
      <w:r w:rsidRPr="002B6725" w:rsidR="00E166CB">
        <w:t xml:space="preserve">gone </w:t>
      </w:r>
      <w:r w:rsidRPr="002B6725" w:rsidR="00A46EE1">
        <w:t xml:space="preserve">off. </w:t>
      </w:r>
      <w:r w:rsidRPr="002B6725" w:rsidR="007C5FE4">
        <w:t xml:space="preserve">According to the applicant, once he </w:t>
      </w:r>
      <w:r w:rsidRPr="002B6725" w:rsidR="00D36946">
        <w:t xml:space="preserve">had </w:t>
      </w:r>
      <w:r w:rsidRPr="002B6725" w:rsidR="007C5FE4">
        <w:t>replied to the questions of the police</w:t>
      </w:r>
      <w:r w:rsidRPr="002B6725" w:rsidR="004D4D19">
        <w:t xml:space="preserve">, </w:t>
      </w:r>
      <w:r w:rsidRPr="002B6725" w:rsidR="006422D3">
        <w:t>handcuffs were put on him</w:t>
      </w:r>
      <w:r w:rsidRPr="002B6725" w:rsidR="00D36946">
        <w:t xml:space="preserve">; </w:t>
      </w:r>
      <w:r w:rsidRPr="002B6725" w:rsidR="006C4301">
        <w:t>he was searched</w:t>
      </w:r>
      <w:r w:rsidRPr="002B6725" w:rsidR="006422D3">
        <w:t xml:space="preserve"> </w:t>
      </w:r>
      <w:r w:rsidRPr="002B6725" w:rsidR="00A46EE1">
        <w:t xml:space="preserve">and </w:t>
      </w:r>
      <w:r w:rsidRPr="002B6725" w:rsidR="006C4301">
        <w:t xml:space="preserve">samples were taken from him for forensic examination. </w:t>
      </w:r>
      <w:r w:rsidRPr="002B6725" w:rsidR="00D36946">
        <w:t xml:space="preserve">His request for a lawyer </w:t>
      </w:r>
      <w:r w:rsidRPr="002B6725" w:rsidR="00E578FB">
        <w:t xml:space="preserve">was </w:t>
      </w:r>
      <w:r w:rsidRPr="002B6725" w:rsidR="00D36946">
        <w:t>allegedly ignored.</w:t>
      </w:r>
    </w:p>
    <w:p w:rsidRPr="002B6725" w:rsidR="00682AEF" w:rsidP="002B6725" w:rsidRDefault="00964C1F">
      <w:pPr>
        <w:pStyle w:val="ECHRPara"/>
      </w:pPr>
      <w:r w:rsidRPr="002B6725">
        <w:rPr>
          <w:rFonts w:eastAsia="PMingLiU"/>
          <w:lang w:val="en-GB" w:eastAsia="uk-UA"/>
        </w:rPr>
        <w:fldChar w:fldCharType="begin"/>
      </w:r>
      <w:r w:rsidRPr="002B6725">
        <w:rPr>
          <w:rFonts w:eastAsia="PMingLiU"/>
          <w:lang w:val="en-GB" w:eastAsia="uk-UA"/>
        </w:rPr>
        <w:instrText xml:space="preserve"> SEQ level0 \*arabic </w:instrText>
      </w:r>
      <w:r w:rsidRPr="002B6725">
        <w:rPr>
          <w:rFonts w:eastAsia="PMingLiU"/>
          <w:lang w:val="en-GB" w:eastAsia="uk-UA"/>
        </w:rPr>
        <w:fldChar w:fldCharType="separate"/>
      </w:r>
      <w:r w:rsidRPr="002B6725" w:rsidR="002B6725">
        <w:rPr>
          <w:rFonts w:eastAsia="PMingLiU"/>
          <w:noProof/>
          <w:lang w:val="en-GB" w:eastAsia="uk-UA"/>
        </w:rPr>
        <w:t>7</w:t>
      </w:r>
      <w:r w:rsidRPr="002B6725">
        <w:rPr>
          <w:rFonts w:eastAsia="PMingLiU"/>
          <w:lang w:val="en-GB" w:eastAsia="uk-UA"/>
        </w:rPr>
        <w:fldChar w:fldCharType="end"/>
      </w:r>
      <w:r w:rsidRPr="002B6725">
        <w:rPr>
          <w:rFonts w:eastAsia="PMingLiU"/>
          <w:lang w:val="en-GB" w:eastAsia="uk-UA"/>
        </w:rPr>
        <w:t>.  </w:t>
      </w:r>
      <w:r w:rsidRPr="002B6725" w:rsidR="00EE38EE">
        <w:rPr>
          <w:rFonts w:eastAsia="PMingLiU"/>
          <w:lang w:val="en-GB" w:eastAsia="uk-UA"/>
        </w:rPr>
        <w:t>O</w:t>
      </w:r>
      <w:r w:rsidRPr="002B6725" w:rsidR="007C5FE4">
        <w:rPr>
          <w:lang w:val="en-GB"/>
        </w:rPr>
        <w:t>n</w:t>
      </w:r>
      <w:r w:rsidRPr="002B6725" w:rsidR="00EE38EE">
        <w:rPr>
          <w:lang w:val="en-GB"/>
        </w:rPr>
        <w:t xml:space="preserve"> the same date </w:t>
      </w:r>
      <w:r w:rsidRPr="002B6725" w:rsidR="007C5FE4">
        <w:rPr>
          <w:rFonts w:eastAsia="PMingLiU"/>
          <w:lang w:val="en-GB" w:eastAsia="uk-UA"/>
        </w:rPr>
        <w:t>the applicant</w:t>
      </w:r>
      <w:r w:rsidRPr="002B6725" w:rsidR="002B6725">
        <w:rPr>
          <w:rFonts w:eastAsia="PMingLiU"/>
          <w:lang w:val="en-GB" w:eastAsia="uk-UA"/>
        </w:rPr>
        <w:t>’</w:t>
      </w:r>
      <w:r w:rsidRPr="002B6725" w:rsidR="007C5FE4">
        <w:rPr>
          <w:rFonts w:eastAsia="PMingLiU"/>
          <w:lang w:val="en-GB" w:eastAsia="uk-UA"/>
        </w:rPr>
        <w:t>s arrest report was drawn up</w:t>
      </w:r>
      <w:r w:rsidRPr="002B6725" w:rsidR="00EE38EE">
        <w:rPr>
          <w:rFonts w:eastAsia="PMingLiU"/>
          <w:lang w:val="en-GB" w:eastAsia="uk-UA"/>
        </w:rPr>
        <w:t xml:space="preserve"> </w:t>
      </w:r>
      <w:r w:rsidRPr="002B6725" w:rsidR="0072408B">
        <w:rPr>
          <w:rFonts w:eastAsia="PMingLiU"/>
          <w:lang w:val="en-GB" w:eastAsia="uk-UA"/>
        </w:rPr>
        <w:t xml:space="preserve">which stated </w:t>
      </w:r>
      <w:r w:rsidRPr="002B6725" w:rsidR="00EE38EE">
        <w:rPr>
          <w:rFonts w:eastAsia="PMingLiU"/>
          <w:lang w:val="en-GB" w:eastAsia="uk-UA"/>
        </w:rPr>
        <w:t>that</w:t>
      </w:r>
      <w:r w:rsidRPr="002B6725" w:rsidR="0072408B">
        <w:rPr>
          <w:rFonts w:eastAsia="PMingLiU"/>
          <w:lang w:val="en-GB" w:eastAsia="uk-UA"/>
        </w:rPr>
        <w:t xml:space="preserve"> the</w:t>
      </w:r>
      <w:r w:rsidRPr="002B6725" w:rsidR="00EE38EE">
        <w:rPr>
          <w:rFonts w:eastAsia="PMingLiU"/>
          <w:lang w:val="en-GB" w:eastAsia="uk-UA"/>
        </w:rPr>
        <w:t xml:space="preserve"> applicant had been arrested </w:t>
      </w:r>
      <w:r w:rsidRPr="002B6725" w:rsidR="002233E3">
        <w:rPr>
          <w:rFonts w:eastAsia="PMingLiU"/>
          <w:lang w:val="en-GB" w:eastAsia="uk-UA"/>
        </w:rPr>
        <w:t xml:space="preserve">for </w:t>
      </w:r>
      <w:r w:rsidRPr="002B6725" w:rsidR="00EE38EE">
        <w:rPr>
          <w:rFonts w:eastAsia="PMingLiU"/>
          <w:lang w:val="en-GB" w:eastAsia="uk-UA"/>
        </w:rPr>
        <w:t xml:space="preserve">the murder of O. at 10 p.m. </w:t>
      </w:r>
      <w:r w:rsidRPr="002B6725" w:rsidR="00EE38EE">
        <w:rPr>
          <w:lang w:val="en-GB"/>
        </w:rPr>
        <w:t xml:space="preserve">at the police station. </w:t>
      </w:r>
      <w:r w:rsidRPr="002B6725" w:rsidR="0072408B">
        <w:rPr>
          <w:lang w:val="en-GB"/>
        </w:rPr>
        <w:t>He</w:t>
      </w:r>
      <w:r w:rsidRPr="002B6725" w:rsidR="00EE38EE">
        <w:rPr>
          <w:lang w:val="en-GB"/>
        </w:rPr>
        <w:t xml:space="preserve"> was </w:t>
      </w:r>
      <w:r w:rsidRPr="002B6725" w:rsidR="0072408B">
        <w:rPr>
          <w:lang w:val="en-GB"/>
        </w:rPr>
        <w:t xml:space="preserve">subsequently </w:t>
      </w:r>
      <w:r w:rsidRPr="002B6725" w:rsidR="00EE38EE">
        <w:rPr>
          <w:lang w:val="en-GB"/>
        </w:rPr>
        <w:t>questioned in the presen</w:t>
      </w:r>
      <w:r w:rsidRPr="002B6725" w:rsidR="00D36946">
        <w:rPr>
          <w:lang w:val="en-GB"/>
        </w:rPr>
        <w:t>ce</w:t>
      </w:r>
      <w:r w:rsidRPr="002B6725" w:rsidR="00EE38EE">
        <w:rPr>
          <w:lang w:val="en-GB"/>
        </w:rPr>
        <w:t xml:space="preserve"> of K</w:t>
      </w:r>
      <w:r w:rsidRPr="002B6725" w:rsidR="00CD6BDD">
        <w:rPr>
          <w:lang w:val="en-GB"/>
        </w:rPr>
        <w:t>.</w:t>
      </w:r>
      <w:r w:rsidRPr="002B6725" w:rsidR="00C72699">
        <w:rPr>
          <w:lang w:val="en-GB"/>
        </w:rPr>
        <w:t>,</w:t>
      </w:r>
      <w:r w:rsidRPr="002B6725" w:rsidR="0072408B">
        <w:rPr>
          <w:lang w:val="en-GB"/>
        </w:rPr>
        <w:t xml:space="preserve"> his lawyer.</w:t>
      </w:r>
      <w:r w:rsidRPr="002B6725" w:rsidR="00EE38EE">
        <w:rPr>
          <w:lang w:val="en-GB"/>
        </w:rPr>
        <w:t xml:space="preserve"> </w:t>
      </w:r>
      <w:r w:rsidRPr="002B6725" w:rsidR="007C5FE4">
        <w:rPr>
          <w:rFonts w:eastAsia="PMingLiU"/>
          <w:lang w:val="en-GB" w:eastAsia="uk-UA"/>
        </w:rPr>
        <w:t xml:space="preserve">He pleaded not guilty and </w:t>
      </w:r>
      <w:r w:rsidRPr="002B6725" w:rsidR="00981597">
        <w:rPr>
          <w:rFonts w:eastAsia="PMingLiU"/>
          <w:lang w:val="en-GB" w:eastAsia="uk-UA"/>
        </w:rPr>
        <w:t>repeated his statements made earlier</w:t>
      </w:r>
      <w:r w:rsidRPr="002B6725" w:rsidR="007C5FE4">
        <w:rPr>
          <w:rFonts w:eastAsia="PMingLiU"/>
          <w:lang w:val="en-GB" w:eastAsia="uk-UA"/>
        </w:rPr>
        <w:t>.</w:t>
      </w:r>
      <w:r w:rsidRPr="002B6725" w:rsidR="005B3C6F">
        <w:t xml:space="preserve"> According to the applicant</w:t>
      </w:r>
      <w:r w:rsidRPr="002B6725" w:rsidR="004C75EC">
        <w:t>,</w:t>
      </w:r>
      <w:r w:rsidRPr="002B6725" w:rsidR="005B3C6F">
        <w:t xml:space="preserve"> </w:t>
      </w:r>
      <w:r w:rsidRPr="002B6725" w:rsidR="00F95620">
        <w:t xml:space="preserve">his </w:t>
      </w:r>
      <w:r w:rsidRPr="002B6725" w:rsidR="00795646">
        <w:rPr>
          <w:lang w:val="en-GB"/>
        </w:rPr>
        <w:t>lawyer immediately indicated to the investigator that, under the Code of Criminal Procedure, the applicant had to be provided with the possibility to talk with him in private before the questioning, with a view to defining the legal defence strategy. Having heard that, the applicant insisted on such a meeting. The investigator, however, rejected that request on the ground that the applicant would be able to talk to his lawyer later.</w:t>
      </w:r>
    </w:p>
    <w:p w:rsidRPr="002B6725" w:rsidR="00531873" w:rsidP="002B6725" w:rsidRDefault="00964C1F">
      <w:pPr>
        <w:pStyle w:val="ECHRPara"/>
        <w:rPr>
          <w:rFonts w:eastAsia="PMingLiU"/>
          <w:lang w:val="en-GB" w:eastAsia="uk-UA"/>
        </w:rPr>
      </w:pPr>
      <w:r w:rsidRPr="002B6725">
        <w:rPr>
          <w:rFonts w:eastAsia="PMingLiU"/>
          <w:lang w:val="en-GB" w:eastAsia="uk-UA"/>
        </w:rPr>
        <w:fldChar w:fldCharType="begin"/>
      </w:r>
      <w:r w:rsidRPr="002B6725">
        <w:rPr>
          <w:rFonts w:eastAsia="PMingLiU"/>
          <w:lang w:val="en-GB" w:eastAsia="uk-UA"/>
        </w:rPr>
        <w:instrText xml:space="preserve"> SEQ level0 \*arabic </w:instrText>
      </w:r>
      <w:r w:rsidRPr="002B6725">
        <w:rPr>
          <w:rFonts w:eastAsia="PMingLiU"/>
          <w:lang w:val="en-GB" w:eastAsia="uk-UA"/>
        </w:rPr>
        <w:fldChar w:fldCharType="separate"/>
      </w:r>
      <w:r w:rsidRPr="002B6725" w:rsidR="002B6725">
        <w:rPr>
          <w:rFonts w:eastAsia="PMingLiU"/>
          <w:noProof/>
          <w:lang w:val="en-GB" w:eastAsia="uk-UA"/>
        </w:rPr>
        <w:t>8</w:t>
      </w:r>
      <w:r w:rsidRPr="002B6725">
        <w:rPr>
          <w:rFonts w:eastAsia="PMingLiU"/>
          <w:lang w:val="en-GB" w:eastAsia="uk-UA"/>
        </w:rPr>
        <w:fldChar w:fldCharType="end"/>
      </w:r>
      <w:r w:rsidRPr="002B6725">
        <w:rPr>
          <w:rFonts w:eastAsia="PMingLiU"/>
          <w:lang w:val="en-GB" w:eastAsia="uk-UA"/>
        </w:rPr>
        <w:t>.  </w:t>
      </w:r>
      <w:r w:rsidRPr="002B6725" w:rsidR="00531873">
        <w:rPr>
          <w:rFonts w:eastAsia="PMingLiU"/>
          <w:lang w:val="en-GB" w:eastAsia="uk-UA"/>
        </w:rPr>
        <w:t>On 2 June 2005 a reconstruction of the crime was carried out in the presen</w:t>
      </w:r>
      <w:r w:rsidRPr="002B6725" w:rsidR="00981597">
        <w:rPr>
          <w:rFonts w:eastAsia="PMingLiU"/>
          <w:lang w:val="en-GB" w:eastAsia="uk-UA"/>
        </w:rPr>
        <w:t>ce</w:t>
      </w:r>
      <w:r w:rsidRPr="002B6725" w:rsidR="00531873">
        <w:rPr>
          <w:rFonts w:eastAsia="PMingLiU"/>
          <w:lang w:val="en-GB" w:eastAsia="uk-UA"/>
        </w:rPr>
        <w:t xml:space="preserve"> of the applicant</w:t>
      </w:r>
      <w:r w:rsidRPr="002B6725" w:rsidR="002B6725">
        <w:rPr>
          <w:rFonts w:eastAsia="PMingLiU"/>
          <w:lang w:val="en-GB" w:eastAsia="uk-UA"/>
        </w:rPr>
        <w:t>’</w:t>
      </w:r>
      <w:r w:rsidRPr="002B6725" w:rsidR="00531873">
        <w:rPr>
          <w:rFonts w:eastAsia="PMingLiU"/>
          <w:lang w:val="en-GB" w:eastAsia="uk-UA"/>
        </w:rPr>
        <w:t>s lawyer.</w:t>
      </w:r>
    </w:p>
    <w:p w:rsidRPr="002B6725" w:rsidR="00E82D72" w:rsidP="002B6725" w:rsidRDefault="002B6725">
      <w:pPr>
        <w:pStyle w:val="ECHRPara"/>
      </w:pPr>
      <w:fldSimple w:instr=" SEQ level0 \*arabic ">
        <w:r w:rsidRPr="002B6725">
          <w:rPr>
            <w:noProof/>
          </w:rPr>
          <w:t>9</w:t>
        </w:r>
      </w:fldSimple>
      <w:r w:rsidRPr="002B6725" w:rsidR="00964C1F">
        <w:t>.  </w:t>
      </w:r>
      <w:r w:rsidRPr="002B6725" w:rsidR="00E82D72">
        <w:t xml:space="preserve">On 3 June 2005 the </w:t>
      </w:r>
      <w:r w:rsidRPr="002B6725" w:rsidR="00981597">
        <w:t>applicant</w:t>
      </w:r>
      <w:r w:rsidRPr="002B6725">
        <w:t>’</w:t>
      </w:r>
      <w:r w:rsidRPr="002B6725" w:rsidR="00981597">
        <w:t>s pre-trial detention was ordered by a court</w:t>
      </w:r>
      <w:r w:rsidRPr="002B6725" w:rsidR="00E82D72">
        <w:t>.</w:t>
      </w:r>
    </w:p>
    <w:p w:rsidRPr="002B6725" w:rsidR="00FD45CD" w:rsidP="002B6725" w:rsidRDefault="00964C1F">
      <w:pPr>
        <w:pStyle w:val="ECHRPara"/>
        <w:rPr>
          <w:rFonts w:ascii="Times New Roman" w:hAnsi="Times New Roman" w:eastAsia="PMingLiU"/>
          <w:szCs w:val="24"/>
          <w:lang w:val="en-GB" w:eastAsia="uk-UA"/>
        </w:rPr>
      </w:pPr>
      <w:r w:rsidRPr="002B6725">
        <w:rPr>
          <w:rFonts w:ascii="Times New Roman" w:hAnsi="Times New Roman" w:eastAsia="PMingLiU"/>
          <w:szCs w:val="24"/>
          <w:lang w:val="en-GB" w:eastAsia="uk-UA"/>
        </w:rPr>
        <w:fldChar w:fldCharType="begin"/>
      </w:r>
      <w:r w:rsidRPr="002B6725">
        <w:rPr>
          <w:rFonts w:ascii="Times New Roman" w:hAnsi="Times New Roman" w:eastAsia="PMingLiU"/>
          <w:szCs w:val="24"/>
          <w:lang w:val="en-GB" w:eastAsia="uk-UA"/>
        </w:rPr>
        <w:instrText xml:space="preserve"> SEQ level0 \*arabic </w:instrText>
      </w:r>
      <w:r w:rsidRPr="002B6725">
        <w:rPr>
          <w:rFonts w:ascii="Times New Roman" w:hAnsi="Times New Roman" w:eastAsia="PMingLiU"/>
          <w:szCs w:val="24"/>
          <w:lang w:val="en-GB" w:eastAsia="uk-UA"/>
        </w:rPr>
        <w:fldChar w:fldCharType="separate"/>
      </w:r>
      <w:r w:rsidRPr="002B6725" w:rsidR="002B6725">
        <w:rPr>
          <w:rFonts w:ascii="Times New Roman" w:hAnsi="Times New Roman" w:eastAsia="PMingLiU"/>
          <w:noProof/>
          <w:szCs w:val="24"/>
          <w:lang w:val="en-GB" w:eastAsia="uk-UA"/>
        </w:rPr>
        <w:t>10</w:t>
      </w:r>
      <w:r w:rsidRPr="002B6725">
        <w:rPr>
          <w:rFonts w:ascii="Times New Roman" w:hAnsi="Times New Roman" w:eastAsia="PMingLiU"/>
          <w:szCs w:val="24"/>
          <w:lang w:val="en-GB" w:eastAsia="uk-UA"/>
        </w:rPr>
        <w:fldChar w:fldCharType="end"/>
      </w:r>
      <w:r w:rsidRPr="002B6725">
        <w:rPr>
          <w:rFonts w:ascii="Times New Roman" w:hAnsi="Times New Roman" w:eastAsia="PMingLiU"/>
          <w:szCs w:val="24"/>
          <w:lang w:val="en-GB" w:eastAsia="uk-UA"/>
        </w:rPr>
        <w:t>.  </w:t>
      </w:r>
      <w:r w:rsidRPr="002B6725" w:rsidR="00FD45CD">
        <w:rPr>
          <w:rFonts w:ascii="Times New Roman" w:hAnsi="Times New Roman" w:eastAsia="PMingLiU"/>
          <w:szCs w:val="24"/>
          <w:lang w:val="en-GB" w:eastAsia="uk-UA"/>
        </w:rPr>
        <w:t>On 6 June 2005</w:t>
      </w:r>
      <w:r w:rsidRPr="002B6725" w:rsidR="0083581E">
        <w:rPr>
          <w:rFonts w:ascii="Times New Roman" w:hAnsi="Times New Roman" w:eastAsia="PMingLiU"/>
          <w:szCs w:val="24"/>
          <w:lang w:val="en-GB" w:eastAsia="uk-UA"/>
        </w:rPr>
        <w:t xml:space="preserve"> </w:t>
      </w:r>
      <w:r w:rsidRPr="002B6725" w:rsidR="00FD45CD">
        <w:rPr>
          <w:rFonts w:ascii="Times New Roman" w:hAnsi="Times New Roman" w:eastAsia="PMingLiU"/>
          <w:szCs w:val="24"/>
          <w:lang w:val="en-GB" w:eastAsia="uk-UA"/>
        </w:rPr>
        <w:t>L. was a</w:t>
      </w:r>
      <w:r w:rsidRPr="002B6725" w:rsidR="0083581E">
        <w:rPr>
          <w:rFonts w:ascii="Times New Roman" w:hAnsi="Times New Roman" w:eastAsia="PMingLiU"/>
          <w:szCs w:val="24"/>
          <w:lang w:val="en-GB" w:eastAsia="uk-UA"/>
        </w:rPr>
        <w:t xml:space="preserve">dmitted to </w:t>
      </w:r>
      <w:r w:rsidRPr="002B6725" w:rsidR="00FD45CD">
        <w:rPr>
          <w:rFonts w:ascii="Times New Roman" w:hAnsi="Times New Roman" w:eastAsia="PMingLiU"/>
          <w:szCs w:val="24"/>
          <w:lang w:val="en-GB" w:eastAsia="uk-UA"/>
        </w:rPr>
        <w:t>the proceedings as the applicant</w:t>
      </w:r>
      <w:r w:rsidRPr="002B6725" w:rsidR="002B6725">
        <w:rPr>
          <w:rFonts w:ascii="Times New Roman" w:hAnsi="Times New Roman" w:eastAsia="PMingLiU"/>
          <w:szCs w:val="24"/>
          <w:lang w:val="en-GB" w:eastAsia="uk-UA"/>
        </w:rPr>
        <w:t>’</w:t>
      </w:r>
      <w:r w:rsidRPr="002B6725" w:rsidR="00FD45CD">
        <w:rPr>
          <w:rFonts w:ascii="Times New Roman" w:hAnsi="Times New Roman" w:eastAsia="PMingLiU"/>
          <w:szCs w:val="24"/>
          <w:lang w:val="en-GB" w:eastAsia="uk-UA"/>
        </w:rPr>
        <w:t xml:space="preserve">s </w:t>
      </w:r>
      <w:r w:rsidRPr="002B6725" w:rsidR="0083581E">
        <w:rPr>
          <w:rFonts w:ascii="Times New Roman" w:hAnsi="Times New Roman" w:eastAsia="PMingLiU"/>
          <w:szCs w:val="24"/>
          <w:lang w:val="en-GB" w:eastAsia="uk-UA"/>
        </w:rPr>
        <w:t xml:space="preserve">second </w:t>
      </w:r>
      <w:r w:rsidRPr="002B6725" w:rsidR="00FD45CD">
        <w:rPr>
          <w:rFonts w:ascii="Times New Roman" w:hAnsi="Times New Roman" w:eastAsia="PMingLiU"/>
          <w:szCs w:val="24"/>
          <w:lang w:val="en-GB" w:eastAsia="uk-UA"/>
        </w:rPr>
        <w:t>lawyer.</w:t>
      </w:r>
    </w:p>
    <w:p w:rsidRPr="002B6725" w:rsidR="007151BF" w:rsidP="002B6725" w:rsidRDefault="00964C1F">
      <w:pPr>
        <w:pStyle w:val="ECHRPara"/>
        <w:rPr>
          <w:rFonts w:eastAsia="PMingLiU"/>
          <w:lang w:val="en-GB" w:eastAsia="uk-UA"/>
        </w:rPr>
      </w:pPr>
      <w:r w:rsidRPr="002B6725">
        <w:rPr>
          <w:rFonts w:eastAsia="PMingLiU"/>
          <w:lang w:val="en-GB" w:eastAsia="uk-UA"/>
        </w:rPr>
        <w:fldChar w:fldCharType="begin"/>
      </w:r>
      <w:r w:rsidRPr="002B6725">
        <w:rPr>
          <w:rFonts w:eastAsia="PMingLiU"/>
          <w:lang w:val="en-GB" w:eastAsia="uk-UA"/>
        </w:rPr>
        <w:instrText xml:space="preserve"> SEQ level0 \*arabic </w:instrText>
      </w:r>
      <w:r w:rsidRPr="002B6725">
        <w:rPr>
          <w:rFonts w:eastAsia="PMingLiU"/>
          <w:lang w:val="en-GB" w:eastAsia="uk-UA"/>
        </w:rPr>
        <w:fldChar w:fldCharType="separate"/>
      </w:r>
      <w:r w:rsidRPr="002B6725" w:rsidR="002B6725">
        <w:rPr>
          <w:rFonts w:eastAsia="PMingLiU"/>
          <w:noProof/>
          <w:lang w:val="en-GB" w:eastAsia="uk-UA"/>
        </w:rPr>
        <w:t>11</w:t>
      </w:r>
      <w:r w:rsidRPr="002B6725">
        <w:rPr>
          <w:rFonts w:eastAsia="PMingLiU"/>
          <w:lang w:val="en-GB" w:eastAsia="uk-UA"/>
        </w:rPr>
        <w:fldChar w:fldCharType="end"/>
      </w:r>
      <w:r w:rsidRPr="002B6725">
        <w:rPr>
          <w:rFonts w:eastAsia="PMingLiU"/>
          <w:lang w:val="en-GB" w:eastAsia="uk-UA"/>
        </w:rPr>
        <w:t>.  </w:t>
      </w:r>
      <w:r w:rsidRPr="002B6725" w:rsidR="007151BF">
        <w:rPr>
          <w:rFonts w:eastAsia="PMingLiU"/>
          <w:lang w:val="en-GB" w:eastAsia="uk-UA"/>
        </w:rPr>
        <w:t>On 9 June 2005</w:t>
      </w:r>
      <w:r w:rsidRPr="002B6725" w:rsidR="004C5C0F">
        <w:rPr>
          <w:rFonts w:eastAsia="PMingLiU"/>
          <w:lang w:val="en-GB" w:eastAsia="uk-UA"/>
        </w:rPr>
        <w:t xml:space="preserve"> </w:t>
      </w:r>
      <w:r w:rsidRPr="002B6725" w:rsidR="00FD45CD">
        <w:rPr>
          <w:rFonts w:eastAsia="PMingLiU"/>
          <w:lang w:val="en-GB" w:eastAsia="uk-UA"/>
        </w:rPr>
        <w:t xml:space="preserve">the applicant was </w:t>
      </w:r>
      <w:r w:rsidRPr="002B6725" w:rsidR="007151BF">
        <w:rPr>
          <w:rFonts w:eastAsia="PMingLiU"/>
          <w:lang w:val="en-GB" w:eastAsia="uk-UA"/>
        </w:rPr>
        <w:t xml:space="preserve">charged with </w:t>
      </w:r>
      <w:r w:rsidRPr="002B6725" w:rsidR="00FD45CD">
        <w:rPr>
          <w:rFonts w:eastAsia="PMingLiU"/>
          <w:lang w:val="en-GB" w:eastAsia="uk-UA"/>
        </w:rPr>
        <w:t>murder and questioned</w:t>
      </w:r>
      <w:r w:rsidRPr="002B6725" w:rsidR="004C5C0F">
        <w:rPr>
          <w:rFonts w:eastAsia="PMingLiU"/>
          <w:lang w:val="en-GB" w:eastAsia="uk-UA"/>
        </w:rPr>
        <w:t xml:space="preserve"> in </w:t>
      </w:r>
      <w:r w:rsidRPr="002B6725" w:rsidR="002233E3">
        <w:rPr>
          <w:rFonts w:eastAsia="PMingLiU"/>
          <w:lang w:val="en-GB" w:eastAsia="uk-UA"/>
        </w:rPr>
        <w:t xml:space="preserve">the </w:t>
      </w:r>
      <w:r w:rsidRPr="002B6725" w:rsidR="004C5C0F">
        <w:rPr>
          <w:rFonts w:eastAsia="PMingLiU"/>
          <w:lang w:val="en-GB" w:eastAsia="uk-UA"/>
        </w:rPr>
        <w:t xml:space="preserve">presence of his lawyers. </w:t>
      </w:r>
      <w:r w:rsidRPr="002B6725" w:rsidR="00FD45CD">
        <w:rPr>
          <w:rFonts w:eastAsia="PMingLiU"/>
          <w:lang w:val="en-GB" w:eastAsia="uk-UA"/>
        </w:rPr>
        <w:t xml:space="preserve">He </w:t>
      </w:r>
      <w:r w:rsidRPr="002B6725" w:rsidR="004C5C0F">
        <w:rPr>
          <w:rFonts w:eastAsia="PMingLiU"/>
          <w:lang w:val="en-GB" w:eastAsia="uk-UA"/>
        </w:rPr>
        <w:t xml:space="preserve">pleaded not guilty and </w:t>
      </w:r>
      <w:r w:rsidRPr="002B6725" w:rsidR="007151BF">
        <w:rPr>
          <w:rFonts w:eastAsia="PMingLiU"/>
          <w:lang w:val="en-GB" w:eastAsia="uk-UA"/>
        </w:rPr>
        <w:t>repeated his previous statement</w:t>
      </w:r>
      <w:r w:rsidRPr="002B6725" w:rsidR="00FD45CD">
        <w:rPr>
          <w:rFonts w:eastAsia="PMingLiU"/>
          <w:lang w:val="en-GB" w:eastAsia="uk-UA"/>
        </w:rPr>
        <w:t xml:space="preserve"> that </w:t>
      </w:r>
      <w:r w:rsidRPr="002B6725" w:rsidR="00981597">
        <w:rPr>
          <w:rFonts w:eastAsia="PMingLiU"/>
          <w:lang w:val="en-GB" w:eastAsia="uk-UA"/>
        </w:rPr>
        <w:t xml:space="preserve">O. had been shot by </w:t>
      </w:r>
      <w:r w:rsidRPr="002B6725" w:rsidR="00FD45CD">
        <w:rPr>
          <w:rFonts w:eastAsia="PMingLiU"/>
          <w:lang w:val="en-GB" w:eastAsia="uk-UA"/>
        </w:rPr>
        <w:t>accident</w:t>
      </w:r>
      <w:r w:rsidRPr="002B6725" w:rsidR="007151BF">
        <w:rPr>
          <w:rFonts w:eastAsia="PMingLiU"/>
          <w:lang w:val="en-GB" w:eastAsia="uk-UA"/>
        </w:rPr>
        <w:t>.</w:t>
      </w:r>
    </w:p>
    <w:p w:rsidRPr="002B6725" w:rsidR="007151BF" w:rsidP="002B6725" w:rsidRDefault="00964C1F">
      <w:pPr>
        <w:pStyle w:val="ECHRPara"/>
        <w:rPr>
          <w:rFonts w:eastAsia="PMingLiU"/>
          <w:lang w:val="en-GB" w:eastAsia="uk-UA"/>
        </w:rPr>
      </w:pPr>
      <w:r w:rsidRPr="002B6725">
        <w:rPr>
          <w:rFonts w:eastAsia="PMingLiU"/>
          <w:lang w:val="en-GB" w:eastAsia="uk-UA"/>
        </w:rPr>
        <w:fldChar w:fldCharType="begin"/>
      </w:r>
      <w:r w:rsidRPr="002B6725">
        <w:rPr>
          <w:rFonts w:eastAsia="PMingLiU"/>
          <w:lang w:val="en-GB" w:eastAsia="uk-UA"/>
        </w:rPr>
        <w:instrText xml:space="preserve"> SEQ level0 \*arabic </w:instrText>
      </w:r>
      <w:r w:rsidRPr="002B6725">
        <w:rPr>
          <w:rFonts w:eastAsia="PMingLiU"/>
          <w:lang w:val="en-GB" w:eastAsia="uk-UA"/>
        </w:rPr>
        <w:fldChar w:fldCharType="separate"/>
      </w:r>
      <w:r w:rsidRPr="002B6725" w:rsidR="002B6725">
        <w:rPr>
          <w:rFonts w:eastAsia="PMingLiU"/>
          <w:noProof/>
          <w:lang w:val="en-GB" w:eastAsia="uk-UA"/>
        </w:rPr>
        <w:t>12</w:t>
      </w:r>
      <w:r w:rsidRPr="002B6725">
        <w:rPr>
          <w:rFonts w:eastAsia="PMingLiU"/>
          <w:lang w:val="en-GB" w:eastAsia="uk-UA"/>
        </w:rPr>
        <w:fldChar w:fldCharType="end"/>
      </w:r>
      <w:r w:rsidRPr="002B6725">
        <w:rPr>
          <w:rFonts w:eastAsia="PMingLiU"/>
          <w:lang w:val="en-GB" w:eastAsia="uk-UA"/>
        </w:rPr>
        <w:t>.  </w:t>
      </w:r>
      <w:r w:rsidRPr="002B6725" w:rsidR="007151BF">
        <w:rPr>
          <w:rFonts w:eastAsia="PMingLiU"/>
          <w:lang w:val="en-GB" w:eastAsia="uk-UA"/>
        </w:rPr>
        <w:t xml:space="preserve">On 11 August 2005 the applicant was questioned </w:t>
      </w:r>
      <w:r w:rsidRPr="002B6725" w:rsidR="005B6C48">
        <w:rPr>
          <w:rFonts w:eastAsia="PMingLiU"/>
          <w:lang w:val="en-GB" w:eastAsia="uk-UA"/>
        </w:rPr>
        <w:t>in</w:t>
      </w:r>
      <w:r w:rsidRPr="002B6725" w:rsidR="008C1DC6">
        <w:rPr>
          <w:rFonts w:eastAsia="PMingLiU"/>
          <w:lang w:val="en-GB" w:eastAsia="uk-UA"/>
        </w:rPr>
        <w:t xml:space="preserve"> the</w:t>
      </w:r>
      <w:r w:rsidRPr="002B6725" w:rsidR="005B6C48">
        <w:rPr>
          <w:rFonts w:eastAsia="PMingLiU"/>
          <w:lang w:val="en-GB" w:eastAsia="uk-UA"/>
        </w:rPr>
        <w:t xml:space="preserve"> presence of K</w:t>
      </w:r>
      <w:r w:rsidRPr="002B6725" w:rsidR="007151BF">
        <w:rPr>
          <w:rFonts w:eastAsia="PMingLiU"/>
          <w:lang w:val="en-GB" w:eastAsia="uk-UA"/>
        </w:rPr>
        <w:t>. The applicant repeated his previous statements.</w:t>
      </w:r>
    </w:p>
    <w:p w:rsidRPr="002B6725" w:rsidR="00750D68" w:rsidP="002B6725" w:rsidRDefault="00964C1F">
      <w:pPr>
        <w:pStyle w:val="ECHRPara"/>
        <w:rPr>
          <w:rFonts w:eastAsia="PMingLiU"/>
          <w:lang w:val="en-GB" w:eastAsia="uk-UA"/>
        </w:rPr>
      </w:pPr>
      <w:r w:rsidRPr="002B6725">
        <w:rPr>
          <w:rFonts w:eastAsia="PMingLiU"/>
          <w:lang w:val="en-GB" w:eastAsia="uk-UA"/>
        </w:rPr>
        <w:fldChar w:fldCharType="begin"/>
      </w:r>
      <w:r w:rsidRPr="002B6725">
        <w:rPr>
          <w:rFonts w:eastAsia="PMingLiU"/>
          <w:lang w:val="en-GB" w:eastAsia="uk-UA"/>
        </w:rPr>
        <w:instrText xml:space="preserve"> SEQ level0 \*arabic </w:instrText>
      </w:r>
      <w:r w:rsidRPr="002B6725">
        <w:rPr>
          <w:rFonts w:eastAsia="PMingLiU"/>
          <w:lang w:val="en-GB" w:eastAsia="uk-UA"/>
        </w:rPr>
        <w:fldChar w:fldCharType="separate"/>
      </w:r>
      <w:r w:rsidRPr="002B6725" w:rsidR="002B6725">
        <w:rPr>
          <w:rFonts w:eastAsia="PMingLiU"/>
          <w:noProof/>
          <w:lang w:val="en-GB" w:eastAsia="uk-UA"/>
        </w:rPr>
        <w:t>13</w:t>
      </w:r>
      <w:r w:rsidRPr="002B6725">
        <w:rPr>
          <w:rFonts w:eastAsia="PMingLiU"/>
          <w:lang w:val="en-GB" w:eastAsia="uk-UA"/>
        </w:rPr>
        <w:fldChar w:fldCharType="end"/>
      </w:r>
      <w:r w:rsidRPr="002B6725">
        <w:rPr>
          <w:rFonts w:eastAsia="PMingLiU"/>
          <w:lang w:val="en-GB" w:eastAsia="uk-UA"/>
        </w:rPr>
        <w:t>.  </w:t>
      </w:r>
      <w:r w:rsidRPr="002B6725" w:rsidR="00466757">
        <w:rPr>
          <w:rFonts w:eastAsia="PMingLiU"/>
          <w:lang w:val="en-GB" w:eastAsia="uk-UA"/>
        </w:rPr>
        <w:t xml:space="preserve">On the same date the applicant and the lawyer K. </w:t>
      </w:r>
      <w:r w:rsidRPr="002B6725" w:rsidR="008C1DC6">
        <w:rPr>
          <w:rFonts w:eastAsia="PMingLiU"/>
          <w:lang w:val="en-GB" w:eastAsia="uk-UA"/>
        </w:rPr>
        <w:t>became aware of</w:t>
      </w:r>
      <w:r w:rsidRPr="002B6725" w:rsidR="00466757">
        <w:rPr>
          <w:rFonts w:eastAsia="PMingLiU"/>
          <w:lang w:val="en-GB" w:eastAsia="uk-UA"/>
        </w:rPr>
        <w:t xml:space="preserve"> the results of a number of forensic examinations in the case.</w:t>
      </w:r>
      <w:r w:rsidRPr="002B6725" w:rsidR="00981597">
        <w:rPr>
          <w:rFonts w:eastAsia="PMingLiU"/>
          <w:lang w:val="en-GB" w:eastAsia="uk-UA"/>
        </w:rPr>
        <w:t xml:space="preserve"> They made no observations in this </w:t>
      </w:r>
      <w:r w:rsidRPr="002B6725" w:rsidR="008C1DC6">
        <w:rPr>
          <w:rFonts w:eastAsia="PMingLiU"/>
          <w:lang w:val="en-GB" w:eastAsia="uk-UA"/>
        </w:rPr>
        <w:t>connection</w:t>
      </w:r>
      <w:r w:rsidRPr="002B6725" w:rsidR="00981597">
        <w:rPr>
          <w:rFonts w:eastAsia="PMingLiU"/>
          <w:lang w:val="en-GB" w:eastAsia="uk-UA"/>
        </w:rPr>
        <w:t>.</w:t>
      </w:r>
    </w:p>
    <w:p w:rsidRPr="002B6725" w:rsidR="007151BF" w:rsidP="002B6725" w:rsidRDefault="00964C1F">
      <w:pPr>
        <w:pStyle w:val="ECHRPara"/>
        <w:rPr>
          <w:rFonts w:eastAsia="PMingLiU"/>
          <w:lang w:val="en-GB" w:eastAsia="uk-UA"/>
        </w:rPr>
      </w:pPr>
      <w:r w:rsidRPr="002B6725">
        <w:rPr>
          <w:rFonts w:eastAsia="PMingLiU"/>
          <w:lang w:val="en-GB" w:eastAsia="uk-UA"/>
        </w:rPr>
        <w:fldChar w:fldCharType="begin"/>
      </w:r>
      <w:r w:rsidRPr="002B6725">
        <w:rPr>
          <w:rFonts w:eastAsia="PMingLiU"/>
          <w:lang w:val="en-GB" w:eastAsia="uk-UA"/>
        </w:rPr>
        <w:instrText xml:space="preserve"> SEQ level0 \*arabic </w:instrText>
      </w:r>
      <w:r w:rsidRPr="002B6725">
        <w:rPr>
          <w:rFonts w:eastAsia="PMingLiU"/>
          <w:lang w:val="en-GB" w:eastAsia="uk-UA"/>
        </w:rPr>
        <w:fldChar w:fldCharType="separate"/>
      </w:r>
      <w:r w:rsidRPr="002B6725" w:rsidR="002B6725">
        <w:rPr>
          <w:rFonts w:eastAsia="PMingLiU"/>
          <w:noProof/>
          <w:lang w:val="en-GB" w:eastAsia="uk-UA"/>
        </w:rPr>
        <w:t>14</w:t>
      </w:r>
      <w:r w:rsidRPr="002B6725">
        <w:rPr>
          <w:rFonts w:eastAsia="PMingLiU"/>
          <w:lang w:val="en-GB" w:eastAsia="uk-UA"/>
        </w:rPr>
        <w:fldChar w:fldCharType="end"/>
      </w:r>
      <w:r w:rsidRPr="002B6725">
        <w:rPr>
          <w:rFonts w:eastAsia="PMingLiU"/>
          <w:lang w:val="en-GB" w:eastAsia="uk-UA"/>
        </w:rPr>
        <w:t>.  </w:t>
      </w:r>
      <w:r w:rsidRPr="002B6725" w:rsidR="007151BF">
        <w:rPr>
          <w:rFonts w:eastAsia="PMingLiU"/>
          <w:lang w:val="en-GB" w:eastAsia="uk-UA"/>
        </w:rPr>
        <w:t xml:space="preserve">On 17 November 2005 criminal proceedings were instituted against the applicant </w:t>
      </w:r>
      <w:r w:rsidRPr="002B6725" w:rsidR="005B6C48">
        <w:rPr>
          <w:rFonts w:eastAsia="PMingLiU"/>
          <w:lang w:val="en-GB" w:eastAsia="uk-UA"/>
        </w:rPr>
        <w:t xml:space="preserve">for </w:t>
      </w:r>
      <w:r w:rsidRPr="002B6725" w:rsidR="008C1DC6">
        <w:rPr>
          <w:rFonts w:eastAsia="PMingLiU"/>
          <w:lang w:val="en-GB" w:eastAsia="uk-UA"/>
        </w:rPr>
        <w:t>i</w:t>
      </w:r>
      <w:r w:rsidRPr="002B6725" w:rsidR="007151BF">
        <w:rPr>
          <w:rFonts w:eastAsia="PMingLiU"/>
          <w:lang w:val="en-GB" w:eastAsia="uk-UA"/>
        </w:rPr>
        <w:t xml:space="preserve">llegal </w:t>
      </w:r>
      <w:r w:rsidRPr="002B6725" w:rsidR="003C3B6B">
        <w:rPr>
          <w:rFonts w:eastAsia="PMingLiU"/>
          <w:lang w:val="en-GB" w:eastAsia="uk-UA"/>
        </w:rPr>
        <w:t xml:space="preserve">production, </w:t>
      </w:r>
      <w:r w:rsidRPr="002B6725" w:rsidR="007151BF">
        <w:rPr>
          <w:rFonts w:eastAsia="PMingLiU"/>
          <w:lang w:val="en-GB" w:eastAsia="uk-UA"/>
        </w:rPr>
        <w:t>possession</w:t>
      </w:r>
      <w:r w:rsidRPr="002B6725" w:rsidR="003C3B6B">
        <w:rPr>
          <w:rFonts w:eastAsia="PMingLiU"/>
          <w:lang w:val="en-GB" w:eastAsia="uk-UA"/>
        </w:rPr>
        <w:t xml:space="preserve"> and storage </w:t>
      </w:r>
      <w:r w:rsidRPr="002B6725" w:rsidR="007151BF">
        <w:rPr>
          <w:rFonts w:eastAsia="PMingLiU"/>
          <w:lang w:val="en-GB" w:eastAsia="uk-UA"/>
        </w:rPr>
        <w:t>of firearms. On the same day</w:t>
      </w:r>
      <w:r w:rsidRPr="002B6725" w:rsidR="005B6C48">
        <w:rPr>
          <w:rFonts w:eastAsia="PMingLiU"/>
          <w:lang w:val="en-GB" w:eastAsia="uk-UA"/>
        </w:rPr>
        <w:t xml:space="preserve"> the applicant was charged with the above offence and questioned in the presence of K. </w:t>
      </w:r>
      <w:r w:rsidRPr="002B6725" w:rsidR="003C3B6B">
        <w:rPr>
          <w:rFonts w:eastAsia="PMingLiU"/>
          <w:lang w:val="en-GB" w:eastAsia="uk-UA"/>
        </w:rPr>
        <w:t>T</w:t>
      </w:r>
      <w:r w:rsidRPr="002B6725" w:rsidR="00A66420">
        <w:rPr>
          <w:rFonts w:eastAsia="PMingLiU"/>
          <w:lang w:val="en-GB" w:eastAsia="uk-UA"/>
        </w:rPr>
        <w:t>h</w:t>
      </w:r>
      <w:r w:rsidRPr="002B6725" w:rsidR="008C1DC6">
        <w:rPr>
          <w:rFonts w:eastAsia="PMingLiU"/>
          <w:lang w:val="en-GB" w:eastAsia="uk-UA"/>
        </w:rPr>
        <w:t>o</w:t>
      </w:r>
      <w:r w:rsidRPr="002B6725" w:rsidR="00A66420">
        <w:rPr>
          <w:rFonts w:eastAsia="PMingLiU"/>
          <w:lang w:val="en-GB" w:eastAsia="uk-UA"/>
        </w:rPr>
        <w:t>se proceedings were</w:t>
      </w:r>
      <w:r w:rsidRPr="002B6725" w:rsidR="003C3B6B">
        <w:rPr>
          <w:rFonts w:eastAsia="PMingLiU"/>
          <w:lang w:val="en-GB" w:eastAsia="uk-UA"/>
        </w:rPr>
        <w:t xml:space="preserve"> subsequently </w:t>
      </w:r>
      <w:r w:rsidRPr="002B6725" w:rsidR="00A66420">
        <w:rPr>
          <w:rFonts w:eastAsia="PMingLiU"/>
          <w:lang w:val="en-GB" w:eastAsia="uk-UA"/>
        </w:rPr>
        <w:t>joined to the murder case against the applicant.</w:t>
      </w:r>
    </w:p>
    <w:p w:rsidRPr="002B6725" w:rsidR="0048494E" w:rsidP="002B6725" w:rsidRDefault="002B6725">
      <w:pPr>
        <w:pStyle w:val="ECHRPara"/>
      </w:pPr>
      <w:fldSimple w:instr=" SEQ level0 \*arabic ">
        <w:r w:rsidRPr="002B6725">
          <w:rPr>
            <w:noProof/>
          </w:rPr>
          <w:t>15</w:t>
        </w:r>
      </w:fldSimple>
      <w:r w:rsidRPr="002B6725" w:rsidR="00964C1F">
        <w:t>.  </w:t>
      </w:r>
      <w:r w:rsidRPr="002B6725" w:rsidR="00E82D72">
        <w:t>On 16 January 2006 the case was referred to the Kyiv City Court of Appeal</w:t>
      </w:r>
      <w:r w:rsidRPr="002B6725" w:rsidR="000E3E91">
        <w:t xml:space="preserve"> (“the Court of Appeal”)</w:t>
      </w:r>
      <w:r w:rsidRPr="002B6725" w:rsidR="00981597">
        <w:t xml:space="preserve"> for trial</w:t>
      </w:r>
      <w:r w:rsidRPr="002B6725" w:rsidR="00E82D72">
        <w:t>.</w:t>
      </w:r>
      <w:r w:rsidRPr="002B6725" w:rsidR="001407CB">
        <w:t xml:space="preserve"> Throughout the trial the applicant denied the murder</w:t>
      </w:r>
      <w:r w:rsidRPr="002B6725" w:rsidR="008C1DC6">
        <w:t xml:space="preserve"> charge</w:t>
      </w:r>
      <w:r w:rsidRPr="002B6725" w:rsidR="001407CB">
        <w:t xml:space="preserve"> and </w:t>
      </w:r>
      <w:r w:rsidRPr="002B6725" w:rsidR="00502AE8">
        <w:t xml:space="preserve">consistently </w:t>
      </w:r>
      <w:r w:rsidRPr="002B6725" w:rsidR="001407CB">
        <w:t xml:space="preserve">claimed that O. had </w:t>
      </w:r>
      <w:r w:rsidRPr="002B6725" w:rsidR="0024624A">
        <w:t>been shot by accident</w:t>
      </w:r>
      <w:r w:rsidRPr="002B6725" w:rsidR="001407CB">
        <w:t>.</w:t>
      </w:r>
    </w:p>
    <w:p w:rsidRPr="002B6725" w:rsidR="00E82D72" w:rsidP="002B6725" w:rsidRDefault="002B6725">
      <w:pPr>
        <w:pStyle w:val="ECHRPara"/>
      </w:pPr>
      <w:fldSimple w:instr=" SEQ level0 \*arabic ">
        <w:r w:rsidRPr="002B6725">
          <w:rPr>
            <w:noProof/>
          </w:rPr>
          <w:t>16</w:t>
        </w:r>
      </w:fldSimple>
      <w:r w:rsidRPr="002B6725" w:rsidR="00964C1F">
        <w:t>.  </w:t>
      </w:r>
      <w:r w:rsidRPr="002B6725" w:rsidR="00E82D72">
        <w:t xml:space="preserve">On 19 May 2006 the Court of Appeal, acting as a first-instance court, </w:t>
      </w:r>
      <w:r w:rsidRPr="002B6725" w:rsidR="00A66420">
        <w:t xml:space="preserve">found the applicant guilty as charged and </w:t>
      </w:r>
      <w:r w:rsidRPr="002B6725" w:rsidR="00E82D72">
        <w:t xml:space="preserve">sentenced </w:t>
      </w:r>
      <w:r w:rsidRPr="002B6725" w:rsidR="00A66420">
        <w:t xml:space="preserve">him </w:t>
      </w:r>
      <w:r w:rsidRPr="002B6725" w:rsidR="00E82D72">
        <w:t>to fifteen years</w:t>
      </w:r>
      <w:r w:rsidRPr="002B6725">
        <w:t>’</w:t>
      </w:r>
      <w:r w:rsidRPr="002B6725" w:rsidR="00E82D72">
        <w:t xml:space="preserve"> imprisonment. </w:t>
      </w:r>
      <w:r w:rsidRPr="002B6725" w:rsidR="008C1DC6">
        <w:t>T</w:t>
      </w:r>
      <w:r w:rsidRPr="002B6725" w:rsidR="00E82D72">
        <w:t xml:space="preserve">he court </w:t>
      </w:r>
      <w:r w:rsidRPr="002B6725" w:rsidR="008C1DC6">
        <w:t>found that</w:t>
      </w:r>
      <w:r w:rsidRPr="002B6725" w:rsidR="00E82D72">
        <w:t xml:space="preserve"> on 27 May 2005 the </w:t>
      </w:r>
      <w:r w:rsidRPr="002B6725" w:rsidR="008C1DC6">
        <w:t>c</w:t>
      </w:r>
      <w:r w:rsidRPr="002B6725" w:rsidR="00E82D72">
        <w:t xml:space="preserve">oordinating </w:t>
      </w:r>
      <w:r w:rsidRPr="002B6725" w:rsidR="008C1DC6">
        <w:t>c</w:t>
      </w:r>
      <w:r w:rsidRPr="002B6725" w:rsidR="00E82D72">
        <w:t>ouncil of the Ukrainian Dent</w:t>
      </w:r>
      <w:r w:rsidRPr="002B6725" w:rsidR="008C1DC6">
        <w:t>al</w:t>
      </w:r>
      <w:r w:rsidRPr="002B6725" w:rsidR="00E82D72">
        <w:t xml:space="preserve"> Association </w:t>
      </w:r>
      <w:r w:rsidRPr="002B6725" w:rsidR="008C1DC6">
        <w:t xml:space="preserve">had </w:t>
      </w:r>
      <w:r w:rsidRPr="002B6725" w:rsidR="00E82D72">
        <w:t>held its meeting in Kyiv and the applicant had run for the position of acting executive director of the Association. The victim, O.</w:t>
      </w:r>
      <w:r w:rsidRPr="002B6725" w:rsidR="00466757">
        <w:t>,</w:t>
      </w:r>
      <w:r w:rsidRPr="002B6725" w:rsidR="00E82D72">
        <w:t xml:space="preserve"> </w:t>
      </w:r>
      <w:r w:rsidRPr="002B6725" w:rsidR="00981597">
        <w:t xml:space="preserve">had </w:t>
      </w:r>
      <w:r w:rsidRPr="002B6725" w:rsidR="00E82D72">
        <w:t xml:space="preserve">proposed another candidate for the same position and that candidate </w:t>
      </w:r>
      <w:r w:rsidRPr="002B6725" w:rsidR="008C1DC6">
        <w:t xml:space="preserve">had been </w:t>
      </w:r>
      <w:r w:rsidRPr="002B6725" w:rsidR="00E82D72">
        <w:t xml:space="preserve">elected. The applicant </w:t>
      </w:r>
      <w:r w:rsidRPr="002B6725" w:rsidR="008C1DC6">
        <w:t xml:space="preserve">had </w:t>
      </w:r>
      <w:r w:rsidRPr="002B6725" w:rsidR="00E82D72">
        <w:t xml:space="preserve">therefore decided to take revenge and </w:t>
      </w:r>
      <w:r w:rsidRPr="002B6725" w:rsidR="008C1DC6">
        <w:t xml:space="preserve">had </w:t>
      </w:r>
      <w:r w:rsidRPr="002B6725" w:rsidR="00E82D72">
        <w:t>c</w:t>
      </w:r>
      <w:r w:rsidRPr="002B6725" w:rsidR="008C1DC6">
        <w:t>ome</w:t>
      </w:r>
      <w:r w:rsidRPr="002B6725" w:rsidR="00E82D72">
        <w:t xml:space="preserve"> to the office of O. with a shotgun and fired twice at O.</w:t>
      </w:r>
      <w:r w:rsidRPr="002B6725">
        <w:t>’</w:t>
      </w:r>
      <w:r w:rsidRPr="002B6725" w:rsidR="00E82D72">
        <w:t xml:space="preserve">s head. The applicant </w:t>
      </w:r>
      <w:r w:rsidRPr="002B6725" w:rsidR="008C1DC6">
        <w:t xml:space="preserve">had </w:t>
      </w:r>
      <w:r w:rsidRPr="002B6725" w:rsidR="00E82D72">
        <w:t xml:space="preserve">also </w:t>
      </w:r>
      <w:r w:rsidRPr="002B6725" w:rsidR="008C1DC6">
        <w:t xml:space="preserve">been </w:t>
      </w:r>
      <w:r w:rsidRPr="002B6725" w:rsidR="00E82D72">
        <w:t>found guilty of modifying the shotgun in question prior to the incident.</w:t>
      </w:r>
    </w:p>
    <w:p w:rsidRPr="002B6725" w:rsidR="00E82D72" w:rsidP="002B6725" w:rsidRDefault="002B6725">
      <w:pPr>
        <w:pStyle w:val="ECHRPara"/>
      </w:pPr>
      <w:fldSimple w:instr=" SEQ level0 \*arabic ">
        <w:r w:rsidRPr="002B6725">
          <w:rPr>
            <w:noProof/>
          </w:rPr>
          <w:t>17</w:t>
        </w:r>
      </w:fldSimple>
      <w:r w:rsidRPr="002B6725" w:rsidR="00964C1F">
        <w:t>.  </w:t>
      </w:r>
      <w:r w:rsidRPr="002B6725" w:rsidR="00E82D72">
        <w:t xml:space="preserve">The </w:t>
      </w:r>
      <w:r w:rsidRPr="002B6725" w:rsidR="00981597">
        <w:t>C</w:t>
      </w:r>
      <w:r w:rsidRPr="002B6725" w:rsidR="00E82D72">
        <w:t>ourt</w:t>
      </w:r>
      <w:r w:rsidRPr="002B6725" w:rsidR="00981597">
        <w:t xml:space="preserve"> of Appeal </w:t>
      </w:r>
      <w:r w:rsidRPr="002B6725" w:rsidR="00E82D72">
        <w:t xml:space="preserve">noted that although the applicant had </w:t>
      </w:r>
      <w:r w:rsidRPr="002B6725" w:rsidR="00981597">
        <w:t>never</w:t>
      </w:r>
      <w:r w:rsidRPr="002B6725" w:rsidR="00E82D72">
        <w:t xml:space="preserve"> pleaded guilty and had claimed that </w:t>
      </w:r>
      <w:r w:rsidRPr="002B6725" w:rsidR="008C1DC6">
        <w:t xml:space="preserve">the incident </w:t>
      </w:r>
      <w:r w:rsidRPr="002B6725" w:rsidR="00E82D72">
        <w:t>had been an accident, his guilt was proved by the testimonies of witnesses and the results of forensic examinations. In particular, O.</w:t>
      </w:r>
      <w:r w:rsidRPr="002B6725">
        <w:t>’</w:t>
      </w:r>
      <w:r w:rsidRPr="002B6725" w:rsidR="00264857">
        <w:t>s wife</w:t>
      </w:r>
      <w:r w:rsidRPr="002B6725" w:rsidR="008C1DC6">
        <w:t xml:space="preserve"> had</w:t>
      </w:r>
      <w:r w:rsidRPr="002B6725" w:rsidR="00E82D72">
        <w:t xml:space="preserve"> testified that she had been in the </w:t>
      </w:r>
      <w:r w:rsidRPr="002B6725" w:rsidR="00E905BE">
        <w:t>neighbo</w:t>
      </w:r>
      <w:r w:rsidRPr="002B6725" w:rsidR="002233E3">
        <w:t>u</w:t>
      </w:r>
      <w:r w:rsidRPr="002B6725" w:rsidR="00E905BE">
        <w:t>ring</w:t>
      </w:r>
      <w:r w:rsidRPr="002B6725" w:rsidR="00E82D72">
        <w:t xml:space="preserve"> office when the incident </w:t>
      </w:r>
      <w:r w:rsidRPr="002B6725" w:rsidR="008C1DC6">
        <w:t xml:space="preserve">had </w:t>
      </w:r>
      <w:r w:rsidRPr="002B6725" w:rsidR="00E82D72">
        <w:t>t</w:t>
      </w:r>
      <w:r w:rsidRPr="002B6725" w:rsidR="008C1DC6">
        <w:t>aken</w:t>
      </w:r>
      <w:r w:rsidRPr="002B6725" w:rsidR="00E82D72">
        <w:t xml:space="preserve"> place and when she had entered her husband</w:t>
      </w:r>
      <w:r w:rsidRPr="002B6725">
        <w:t>’</w:t>
      </w:r>
      <w:r w:rsidRPr="002B6725" w:rsidR="008C1DC6">
        <w:t>s office</w:t>
      </w:r>
      <w:r w:rsidRPr="002B6725" w:rsidR="00E82D72">
        <w:t xml:space="preserve"> she had seen the applicant smiling with satisfaction. She </w:t>
      </w:r>
      <w:r w:rsidRPr="002B6725" w:rsidR="008C1DC6">
        <w:t xml:space="preserve">had </w:t>
      </w:r>
      <w:r w:rsidRPr="002B6725" w:rsidR="00E82D72">
        <w:t xml:space="preserve">also maintained that her husband had not liked hunting and therefore would not </w:t>
      </w:r>
      <w:r w:rsidRPr="002B6725" w:rsidR="008C1DC6">
        <w:t xml:space="preserve">have </w:t>
      </w:r>
      <w:r w:rsidRPr="002B6725" w:rsidR="00E82D72">
        <w:t>accept</w:t>
      </w:r>
      <w:r w:rsidRPr="002B6725" w:rsidR="008C1DC6">
        <w:t>ed</w:t>
      </w:r>
      <w:r w:rsidRPr="002B6725" w:rsidR="00E82D72">
        <w:t xml:space="preserve"> a shotgun as a present. The negative attitude of O. to hunting had also been confirmed by his brother. O.</w:t>
      </w:r>
      <w:r w:rsidRPr="002B6725">
        <w:t>’</w:t>
      </w:r>
      <w:r w:rsidRPr="002B6725" w:rsidR="008C1DC6">
        <w:t>s secretary</w:t>
      </w:r>
      <w:r w:rsidRPr="002B6725" w:rsidR="00E82D72">
        <w:t xml:space="preserve"> and one of his colleagues </w:t>
      </w:r>
      <w:r w:rsidRPr="002B6725" w:rsidR="008C1DC6">
        <w:t xml:space="preserve">had </w:t>
      </w:r>
      <w:r w:rsidRPr="002B6725" w:rsidR="00E82D72">
        <w:t xml:space="preserve">also confirmed that the applicant had been smiling when they </w:t>
      </w:r>
      <w:r w:rsidRPr="002B6725" w:rsidR="002233E3">
        <w:t xml:space="preserve">had </w:t>
      </w:r>
      <w:r w:rsidRPr="002B6725" w:rsidR="00E82D72">
        <w:t>entered the office after the incident.</w:t>
      </w:r>
    </w:p>
    <w:p w:rsidRPr="002B6725" w:rsidR="00E82D72" w:rsidP="002B6725" w:rsidRDefault="002B6725">
      <w:pPr>
        <w:pStyle w:val="ECHRPara"/>
      </w:pPr>
      <w:fldSimple w:instr=" SEQ level0 \*arabic ">
        <w:r w:rsidRPr="002B6725">
          <w:rPr>
            <w:noProof/>
          </w:rPr>
          <w:t>18</w:t>
        </w:r>
      </w:fldSimple>
      <w:r w:rsidRPr="002B6725" w:rsidR="00964C1F">
        <w:t>.  </w:t>
      </w:r>
      <w:r w:rsidRPr="002B6725" w:rsidR="00E82D72">
        <w:t>Several witnesses</w:t>
      </w:r>
      <w:r w:rsidRPr="002B6725" w:rsidR="004E042F">
        <w:t xml:space="preserve"> had</w:t>
      </w:r>
      <w:r w:rsidRPr="002B6725" w:rsidR="00E82D72">
        <w:t xml:space="preserve"> also confirmed that the applicant had shown dissatisfaction with the fact that he had not been elected to the position of the executive director of the Dent</w:t>
      </w:r>
      <w:r w:rsidRPr="002B6725" w:rsidR="008C1DC6">
        <w:t>al</w:t>
      </w:r>
      <w:r w:rsidRPr="002B6725" w:rsidR="00E82D72">
        <w:t xml:space="preserve"> Association.</w:t>
      </w:r>
    </w:p>
    <w:p w:rsidRPr="002B6725" w:rsidR="00E82D72" w:rsidP="002B6725" w:rsidRDefault="002B6725">
      <w:pPr>
        <w:pStyle w:val="ECHRPara"/>
      </w:pPr>
      <w:fldSimple w:instr=" SEQ level0 \*arabic ">
        <w:r w:rsidRPr="002B6725">
          <w:rPr>
            <w:noProof/>
          </w:rPr>
          <w:t>19</w:t>
        </w:r>
      </w:fldSimple>
      <w:r w:rsidRPr="002B6725" w:rsidR="00964C1F">
        <w:t>.  </w:t>
      </w:r>
      <w:r w:rsidRPr="002B6725" w:rsidR="00E82D72">
        <w:t xml:space="preserve">The forensic expert, questioned in the court hearings, had confirmed the conclusions of the examination that the shots had been </w:t>
      </w:r>
      <w:r w:rsidRPr="002B6725" w:rsidR="004E042F">
        <w:t xml:space="preserve">fired </w:t>
      </w:r>
      <w:r w:rsidRPr="002B6725" w:rsidR="00E82D72">
        <w:t xml:space="preserve">from some distance and not from close range, as the applicant </w:t>
      </w:r>
      <w:r w:rsidRPr="002B6725" w:rsidR="004E042F">
        <w:t xml:space="preserve">had </w:t>
      </w:r>
      <w:r w:rsidRPr="002B6725" w:rsidR="00E82D72">
        <w:t>suggested, given that traces of metals and gunpowder, typical</w:t>
      </w:r>
      <w:r w:rsidRPr="002B6725" w:rsidR="00A36DDF">
        <w:t>ly</w:t>
      </w:r>
      <w:r w:rsidRPr="002B6725" w:rsidR="004E042F">
        <w:t xml:space="preserve"> found following</w:t>
      </w:r>
      <w:r w:rsidRPr="002B6725" w:rsidR="00E82D72">
        <w:t xml:space="preserve"> close-range shots, </w:t>
      </w:r>
      <w:r w:rsidRPr="002B6725" w:rsidR="002233E3">
        <w:t xml:space="preserve">had </w:t>
      </w:r>
      <w:r w:rsidRPr="002B6725" w:rsidR="00E82D72">
        <w:t>not</w:t>
      </w:r>
      <w:r w:rsidRPr="002B6725" w:rsidR="002233E3">
        <w:t xml:space="preserve"> been</w:t>
      </w:r>
      <w:r w:rsidRPr="002B6725" w:rsidR="00E82D72">
        <w:t xml:space="preserve"> found on the victim. The court also noted that the outcome of the ballistic examination as to the distance, trajectory and angle of the </w:t>
      </w:r>
      <w:r w:rsidRPr="002B6725" w:rsidR="00F0731D">
        <w:t xml:space="preserve">entry wounds </w:t>
      </w:r>
      <w:r w:rsidRPr="002B6725" w:rsidR="00E82D72">
        <w:t>had not matched the applicant</w:t>
      </w:r>
      <w:r w:rsidRPr="002B6725">
        <w:t>’</w:t>
      </w:r>
      <w:r w:rsidRPr="002B6725" w:rsidR="00E82D72">
        <w:t>s version of events.</w:t>
      </w:r>
    </w:p>
    <w:p w:rsidRPr="002B6725" w:rsidR="00750D68" w:rsidP="002B6725" w:rsidRDefault="002B6725">
      <w:pPr>
        <w:pStyle w:val="ECHRPara"/>
      </w:pPr>
      <w:fldSimple w:instr=" SEQ level0 \*arabic ">
        <w:r w:rsidRPr="002B6725">
          <w:rPr>
            <w:noProof/>
          </w:rPr>
          <w:t>20</w:t>
        </w:r>
      </w:fldSimple>
      <w:r w:rsidRPr="002B6725" w:rsidR="00964C1F">
        <w:t>.  </w:t>
      </w:r>
      <w:r w:rsidRPr="002B6725" w:rsidR="000E3E91">
        <w:t xml:space="preserve">The applicant appealed. He submitted, </w:t>
      </w:r>
      <w:r w:rsidRPr="002B6725" w:rsidR="000E3E91">
        <w:rPr>
          <w:i/>
        </w:rPr>
        <w:t>inter alia</w:t>
      </w:r>
      <w:r w:rsidRPr="002B6725" w:rsidR="000E3E91">
        <w:t xml:space="preserve">, that his defence rights had been violated as he had not been given </w:t>
      </w:r>
      <w:r w:rsidRPr="002B6725" w:rsidR="00A36DDF">
        <w:t xml:space="preserve">an </w:t>
      </w:r>
      <w:r w:rsidRPr="002B6725" w:rsidR="000E3E91">
        <w:t xml:space="preserve">opportunity to talk to his lawyer in private before </w:t>
      </w:r>
      <w:r w:rsidRPr="002B6725" w:rsidR="004E042F">
        <w:t xml:space="preserve">his </w:t>
      </w:r>
      <w:r w:rsidRPr="002B6725" w:rsidR="000E3E91">
        <w:t>questioning</w:t>
      </w:r>
      <w:r w:rsidRPr="002B6725" w:rsidR="004E042F">
        <w:t xml:space="preserve"> at the police station</w:t>
      </w:r>
      <w:r w:rsidRPr="002B6725" w:rsidR="000E3E91">
        <w:t xml:space="preserve"> on 1 June 2005, with no further details given.</w:t>
      </w:r>
    </w:p>
    <w:p w:rsidRPr="002B6725" w:rsidR="00E82D72" w:rsidP="002B6725" w:rsidRDefault="002B6725">
      <w:pPr>
        <w:pStyle w:val="ECHRPara"/>
      </w:pPr>
      <w:fldSimple w:instr=" SEQ level0 \*arabic ">
        <w:r w:rsidRPr="002B6725">
          <w:rPr>
            <w:noProof/>
          </w:rPr>
          <w:t>21</w:t>
        </w:r>
      </w:fldSimple>
      <w:r w:rsidRPr="002B6725" w:rsidR="008D606C">
        <w:t>.  </w:t>
      </w:r>
      <w:r w:rsidRPr="002B6725" w:rsidR="00E82D72">
        <w:t>On 28 November 2006 the Supreme Court</w:t>
      </w:r>
      <w:r w:rsidRPr="002B6725" w:rsidR="0068153A">
        <w:t>, in the presence of the applicant and his two lawyers</w:t>
      </w:r>
      <w:r w:rsidRPr="002B6725" w:rsidR="00A36DDF">
        <w:t>,</w:t>
      </w:r>
      <w:r w:rsidRPr="002B6725" w:rsidR="0068153A">
        <w:t xml:space="preserve"> </w:t>
      </w:r>
      <w:r w:rsidRPr="002B6725" w:rsidR="00E82D72">
        <w:t xml:space="preserve">upheld the decision of the </w:t>
      </w:r>
      <w:r w:rsidRPr="002B6725" w:rsidR="007B1590">
        <w:t>C</w:t>
      </w:r>
      <w:r w:rsidRPr="002B6725" w:rsidR="00E82D72">
        <w:t xml:space="preserve">ourt of </w:t>
      </w:r>
      <w:r w:rsidRPr="002B6725" w:rsidR="007B1590">
        <w:t>A</w:t>
      </w:r>
      <w:r w:rsidRPr="002B6725" w:rsidR="00E82D72">
        <w:t>ppeal</w:t>
      </w:r>
      <w:r w:rsidRPr="002B6725" w:rsidR="00666608">
        <w:t xml:space="preserve">, </w:t>
      </w:r>
      <w:r w:rsidRPr="002B6725" w:rsidR="004E042F">
        <w:t>noting</w:t>
      </w:r>
      <w:r w:rsidRPr="002B6725" w:rsidR="00666608">
        <w:t xml:space="preserve"> </w:t>
      </w:r>
      <w:r w:rsidRPr="002B6725" w:rsidR="004E042F">
        <w:t xml:space="preserve">the </w:t>
      </w:r>
      <w:r w:rsidRPr="002B6725" w:rsidR="00666608">
        <w:t>aggregate of evidence against the applicant.</w:t>
      </w:r>
    </w:p>
    <w:p w:rsidRPr="002B6725" w:rsidR="00E82D72" w:rsidP="002B6725" w:rsidRDefault="00A46EE1">
      <w:pPr>
        <w:pStyle w:val="ECHRHeading2"/>
      </w:pPr>
      <w:r w:rsidRPr="002B6725">
        <w:t>B</w:t>
      </w:r>
      <w:r w:rsidRPr="002B6725" w:rsidR="00E82D72">
        <w:t>.  Conditions of the applicant</w:t>
      </w:r>
      <w:r w:rsidRPr="002B6725" w:rsidR="002B6725">
        <w:t>’</w:t>
      </w:r>
      <w:r w:rsidRPr="002B6725" w:rsidR="00E82D72">
        <w:t xml:space="preserve">s </w:t>
      </w:r>
      <w:r w:rsidRPr="002B6725" w:rsidR="00FD45CD">
        <w:t xml:space="preserve">pre-trial </w:t>
      </w:r>
      <w:r w:rsidRPr="002B6725" w:rsidR="00E82D72">
        <w:t>detention</w:t>
      </w:r>
    </w:p>
    <w:p w:rsidRPr="002B6725" w:rsidR="00750D68" w:rsidP="002B6725" w:rsidRDefault="002B6725">
      <w:pPr>
        <w:pStyle w:val="ECHRPara"/>
      </w:pPr>
      <w:fldSimple w:instr=" SEQ level0 \*arabic ">
        <w:r w:rsidRPr="002B6725">
          <w:rPr>
            <w:noProof/>
          </w:rPr>
          <w:t>22</w:t>
        </w:r>
      </w:fldSimple>
      <w:r w:rsidRPr="002B6725" w:rsidR="00964C1F">
        <w:t>.  </w:t>
      </w:r>
      <w:r w:rsidRPr="002B6725" w:rsidR="003604EF">
        <w:t xml:space="preserve">From </w:t>
      </w:r>
      <w:r w:rsidRPr="002B6725" w:rsidR="00E82D72">
        <w:t>5 July 2005</w:t>
      </w:r>
      <w:r w:rsidRPr="002B6725" w:rsidR="003604EF">
        <w:t xml:space="preserve"> to 2</w:t>
      </w:r>
      <w:r w:rsidRPr="002B6725" w:rsidR="00FD45CD">
        <w:t>5</w:t>
      </w:r>
      <w:r w:rsidRPr="002B6725" w:rsidR="003604EF">
        <w:t xml:space="preserve"> January 2007 the applicant was detained at </w:t>
      </w:r>
      <w:r w:rsidRPr="002B6725" w:rsidR="00E82D72">
        <w:t xml:space="preserve">Kyiv </w:t>
      </w:r>
      <w:r w:rsidRPr="002B6725" w:rsidR="00E6386F">
        <w:t>p</w:t>
      </w:r>
      <w:r w:rsidRPr="002B6725" w:rsidR="007D79C0">
        <w:t>re-</w:t>
      </w:r>
      <w:r w:rsidRPr="002B6725" w:rsidR="00E6386F">
        <w:t>t</w:t>
      </w:r>
      <w:r w:rsidRPr="002B6725" w:rsidR="007D79C0">
        <w:t xml:space="preserve">rial </w:t>
      </w:r>
      <w:r w:rsidRPr="002B6725" w:rsidR="00E6386F">
        <w:t>d</w:t>
      </w:r>
      <w:r w:rsidRPr="002B6725" w:rsidR="007D79C0">
        <w:t xml:space="preserve">etention </w:t>
      </w:r>
      <w:r w:rsidRPr="002B6725" w:rsidR="00E6386F">
        <w:t>c</w:t>
      </w:r>
      <w:r w:rsidRPr="002B6725" w:rsidR="007D79C0">
        <w:t>entre</w:t>
      </w:r>
      <w:r w:rsidRPr="002B6725" w:rsidR="00E82D72">
        <w:t xml:space="preserve"> no. 13</w:t>
      </w:r>
      <w:r w:rsidRPr="002B6725" w:rsidR="007D79C0">
        <w:t xml:space="preserve"> </w:t>
      </w:r>
      <w:r w:rsidRPr="002B6725" w:rsidR="003C2865">
        <w:t>(“the SIZO”).</w:t>
      </w:r>
    </w:p>
    <w:p w:rsidRPr="002B6725" w:rsidR="003604EF" w:rsidP="002B6725" w:rsidRDefault="00C72699">
      <w:pPr>
        <w:pStyle w:val="ECHRHeading3"/>
      </w:pPr>
      <w:r w:rsidRPr="002B6725">
        <w:t>1.  </w:t>
      </w:r>
      <w:r w:rsidRPr="002B6725" w:rsidR="003604EF">
        <w:t>The applicant</w:t>
      </w:r>
      <w:r w:rsidRPr="002B6725" w:rsidR="002B6725">
        <w:t>’</w:t>
      </w:r>
      <w:r w:rsidRPr="002B6725" w:rsidR="003604EF">
        <w:t>s account</w:t>
      </w:r>
    </w:p>
    <w:p w:rsidRPr="002B6725" w:rsidR="00750D68" w:rsidP="002B6725" w:rsidRDefault="002B6725">
      <w:pPr>
        <w:pStyle w:val="ECHRPara"/>
      </w:pPr>
      <w:fldSimple w:instr=" SEQ level0 \*arabic ">
        <w:r w:rsidRPr="002B6725">
          <w:rPr>
            <w:noProof/>
          </w:rPr>
          <w:t>23</w:t>
        </w:r>
      </w:fldSimple>
      <w:r w:rsidRPr="002B6725" w:rsidR="00964C1F">
        <w:t>.  </w:t>
      </w:r>
      <w:r w:rsidRPr="002B6725" w:rsidR="003604EF">
        <w:t>According to the applicant</w:t>
      </w:r>
      <w:r w:rsidRPr="002B6725" w:rsidR="00A242C6">
        <w:t>,</w:t>
      </w:r>
      <w:r w:rsidRPr="002B6725" w:rsidR="004966B9">
        <w:t xml:space="preserve"> the facility was often overcrowded with </w:t>
      </w:r>
      <w:r w:rsidRPr="002B6725" w:rsidR="001548C0">
        <w:t>the</w:t>
      </w:r>
      <w:r w:rsidRPr="002B6725" w:rsidR="004966B9">
        <w:t xml:space="preserve"> number of</w:t>
      </w:r>
      <w:r w:rsidRPr="002B6725" w:rsidR="00E91B32">
        <w:t xml:space="preserve"> detainees</w:t>
      </w:r>
      <w:r w:rsidRPr="002B6725" w:rsidR="004966B9">
        <w:t xml:space="preserve"> exceeding the number of</w:t>
      </w:r>
      <w:r w:rsidRPr="002B6725" w:rsidR="00E91B32">
        <w:t xml:space="preserve"> beds</w:t>
      </w:r>
      <w:r w:rsidRPr="002B6725" w:rsidR="004966B9">
        <w:t xml:space="preserve">. It was infested with </w:t>
      </w:r>
      <w:r w:rsidRPr="002B6725" w:rsidR="00E91B32">
        <w:t>insects</w:t>
      </w:r>
      <w:r w:rsidRPr="002B6725" w:rsidR="004966B9">
        <w:t xml:space="preserve">, cockroaches and mice. The quality and quantity of food was unsatisfactory. There was only one pair of scissors and </w:t>
      </w:r>
      <w:r w:rsidRPr="002B6725" w:rsidR="002233E3">
        <w:t xml:space="preserve">one </w:t>
      </w:r>
      <w:r w:rsidRPr="002B6725" w:rsidR="004966B9">
        <w:t>hair</w:t>
      </w:r>
      <w:r w:rsidRPr="002B6725" w:rsidR="001548C0">
        <w:t xml:space="preserve"> clippers</w:t>
      </w:r>
      <w:r w:rsidRPr="002B6725" w:rsidR="004966B9">
        <w:t xml:space="preserve"> for the whole SIZO and they were not disinfected prior</w:t>
      </w:r>
      <w:r w:rsidRPr="002B6725" w:rsidR="001548C0">
        <w:t xml:space="preserve"> to</w:t>
      </w:r>
      <w:r w:rsidRPr="002B6725" w:rsidR="004966B9">
        <w:t xml:space="preserve"> or after use</w:t>
      </w:r>
      <w:r w:rsidRPr="002B6725" w:rsidR="0022720A">
        <w:t>. As a result, t</w:t>
      </w:r>
      <w:r w:rsidRPr="002B6725" w:rsidR="004966B9">
        <w:t>he applicant contracted Hepatitis B.</w:t>
      </w:r>
    </w:p>
    <w:p w:rsidRPr="002B6725" w:rsidR="00750D68" w:rsidP="002B6725" w:rsidRDefault="002B6725">
      <w:pPr>
        <w:pStyle w:val="ECHRPara"/>
      </w:pPr>
      <w:fldSimple w:instr=" SEQ level0 \*arabic ">
        <w:r w:rsidRPr="002B6725">
          <w:rPr>
            <w:noProof/>
          </w:rPr>
          <w:t>24</w:t>
        </w:r>
      </w:fldSimple>
      <w:r w:rsidRPr="002B6725" w:rsidR="00964C1F">
        <w:t>.  </w:t>
      </w:r>
      <w:r w:rsidRPr="002B6725" w:rsidR="0022720A">
        <w:t>F</w:t>
      </w:r>
      <w:r w:rsidRPr="002B6725" w:rsidR="00C56468">
        <w:t xml:space="preserve">rom 8 July until 8 November 2005 he </w:t>
      </w:r>
      <w:r w:rsidRPr="002B6725" w:rsidR="00952EA3">
        <w:t>was</w:t>
      </w:r>
      <w:r w:rsidRPr="002B6725" w:rsidR="00C56468">
        <w:t xml:space="preserve"> detained in cells nos. 18 and 116 in </w:t>
      </w:r>
      <w:r w:rsidRPr="002B6725" w:rsidR="00771B53">
        <w:t xml:space="preserve">conditions </w:t>
      </w:r>
      <w:r w:rsidRPr="002B6725" w:rsidR="00C56468">
        <w:t>which</w:t>
      </w:r>
      <w:r w:rsidRPr="002B6725" w:rsidR="00771B53">
        <w:t xml:space="preserve"> were detrimental to his health and incompatible with human dignity. </w:t>
      </w:r>
      <w:r w:rsidRPr="002B6725" w:rsidR="00326007">
        <w:t xml:space="preserve">In particular, those </w:t>
      </w:r>
      <w:r w:rsidRPr="002B6725" w:rsidR="00C56468">
        <w:t>cells had no access to natural light</w:t>
      </w:r>
      <w:r w:rsidRPr="002B6725" w:rsidR="001548C0">
        <w:t xml:space="preserve"> as</w:t>
      </w:r>
      <w:r w:rsidRPr="002B6725" w:rsidR="00C56468">
        <w:t xml:space="preserve"> the windows </w:t>
      </w:r>
      <w:r w:rsidRPr="002B6725" w:rsidR="001548C0">
        <w:t xml:space="preserve">were </w:t>
      </w:r>
      <w:r w:rsidRPr="002B6725" w:rsidR="00C56468">
        <w:t xml:space="preserve">obscured by metal </w:t>
      </w:r>
      <w:r w:rsidRPr="002B6725" w:rsidR="001548C0">
        <w:t>slats</w:t>
      </w:r>
      <w:r w:rsidRPr="002B6725" w:rsidR="00C56468">
        <w:t>. The walls were permanently wet and covered with m</w:t>
      </w:r>
      <w:r w:rsidRPr="002B6725" w:rsidR="001548C0">
        <w:t>ould</w:t>
      </w:r>
      <w:r w:rsidRPr="002B6725" w:rsidR="00C56468">
        <w:t>. The applicant had to share cell no</w:t>
      </w:r>
      <w:r w:rsidRPr="002B6725" w:rsidR="00771B53">
        <w:t>.</w:t>
      </w:r>
      <w:r w:rsidRPr="002B6725" w:rsidR="00131C53">
        <w:t xml:space="preserve"> </w:t>
      </w:r>
      <w:r w:rsidRPr="002B6725" w:rsidR="00771B53">
        <w:t>116</w:t>
      </w:r>
      <w:r w:rsidRPr="002B6725" w:rsidR="00C56468">
        <w:t>, which measured about 12 square metres, with three other detainees w</w:t>
      </w:r>
      <w:r w:rsidRPr="002B6725" w:rsidR="00A242C6">
        <w:t>ho</w:t>
      </w:r>
      <w:r w:rsidRPr="002B6725" w:rsidR="00C56468">
        <w:t xml:space="preserve"> were heavy smokers. </w:t>
      </w:r>
      <w:r w:rsidRPr="002B6725" w:rsidR="00F545B3">
        <w:t xml:space="preserve">The artificial lighting was not sufficiently </w:t>
      </w:r>
      <w:r w:rsidRPr="002B6725" w:rsidR="00952EA3">
        <w:t xml:space="preserve">powerful </w:t>
      </w:r>
      <w:r w:rsidRPr="002B6725" w:rsidR="00F545B3">
        <w:t>with the result that the cells were dim. T</w:t>
      </w:r>
      <w:r w:rsidRPr="002B6725" w:rsidR="00771B53">
        <w:t>he</w:t>
      </w:r>
      <w:r w:rsidRPr="002B6725" w:rsidR="001548C0">
        <w:t>ir</w:t>
      </w:r>
      <w:r w:rsidRPr="002B6725" w:rsidR="00771B53">
        <w:t xml:space="preserve"> clothes and linen were always wet and cold.</w:t>
      </w:r>
    </w:p>
    <w:p w:rsidRPr="002B6725" w:rsidR="00750D68" w:rsidP="002B6725" w:rsidRDefault="002B6725">
      <w:pPr>
        <w:pStyle w:val="ECHRPara"/>
      </w:pPr>
      <w:fldSimple w:instr=" SEQ level0 \*arabic ">
        <w:r w:rsidRPr="002B6725">
          <w:rPr>
            <w:noProof/>
          </w:rPr>
          <w:t>25</w:t>
        </w:r>
      </w:fldSimple>
      <w:r w:rsidRPr="002B6725" w:rsidR="00964C1F">
        <w:t>.  </w:t>
      </w:r>
      <w:r w:rsidRPr="002B6725" w:rsidR="0022720A">
        <w:t>On 7 September, 7 and 21 November 2006 t</w:t>
      </w:r>
      <w:r w:rsidRPr="002B6725" w:rsidR="008E4278">
        <w:t>he applicant request</w:t>
      </w:r>
      <w:r w:rsidRPr="002B6725" w:rsidR="0022720A">
        <w:t>ed</w:t>
      </w:r>
      <w:r w:rsidRPr="002B6725" w:rsidR="004D4D19">
        <w:t xml:space="preserve"> </w:t>
      </w:r>
      <w:r w:rsidRPr="002B6725" w:rsidR="000D5E7F">
        <w:t xml:space="preserve">that </w:t>
      </w:r>
      <w:r w:rsidRPr="002B6725" w:rsidR="004D4D19">
        <w:t xml:space="preserve">the investigator </w:t>
      </w:r>
      <w:r w:rsidRPr="002B6725" w:rsidR="008E4278">
        <w:t xml:space="preserve">allow visits from his family </w:t>
      </w:r>
      <w:r w:rsidRPr="002B6725" w:rsidR="0022720A">
        <w:t>but to no avail</w:t>
      </w:r>
      <w:r w:rsidRPr="002B6725" w:rsidR="000D5E7F">
        <w:t>; the</w:t>
      </w:r>
      <w:r w:rsidRPr="002B6725" w:rsidR="008E4278">
        <w:t xml:space="preserve"> investigator </w:t>
      </w:r>
      <w:r w:rsidRPr="002B6725" w:rsidR="000D5E7F">
        <w:t xml:space="preserve">attempted to </w:t>
      </w:r>
      <w:r w:rsidRPr="002B6725" w:rsidR="008E4278">
        <w:t>extort money from him for granting permission to see the relatives</w:t>
      </w:r>
      <w:r w:rsidRPr="002B6725" w:rsidR="00237791">
        <w:t>.</w:t>
      </w:r>
    </w:p>
    <w:p w:rsidRPr="002B6725" w:rsidR="00750D68" w:rsidP="002B6725" w:rsidRDefault="002B6725">
      <w:pPr>
        <w:pStyle w:val="ECHRPara"/>
      </w:pPr>
      <w:fldSimple w:instr=" SEQ level0 \*arabic ">
        <w:r w:rsidRPr="002B6725">
          <w:rPr>
            <w:noProof/>
          </w:rPr>
          <w:t>26</w:t>
        </w:r>
      </w:fldSimple>
      <w:r w:rsidRPr="002B6725" w:rsidR="00964C1F">
        <w:t>.  </w:t>
      </w:r>
      <w:r w:rsidRPr="002B6725" w:rsidR="0022720A">
        <w:t xml:space="preserve">On </w:t>
      </w:r>
      <w:r w:rsidRPr="002B6725" w:rsidR="001C2D30">
        <w:t xml:space="preserve">5 February and 4 July 2006 </w:t>
      </w:r>
      <w:r w:rsidRPr="002B6725" w:rsidR="0022720A">
        <w:t xml:space="preserve">the applicant </w:t>
      </w:r>
      <w:r w:rsidRPr="002B6725" w:rsidR="00161C34">
        <w:t xml:space="preserve">asked </w:t>
      </w:r>
      <w:r w:rsidRPr="002B6725" w:rsidR="00237791">
        <w:t xml:space="preserve">the Court of Appeal </w:t>
      </w:r>
      <w:r w:rsidRPr="002B6725" w:rsidR="0022720A">
        <w:t xml:space="preserve">to allow </w:t>
      </w:r>
      <w:r w:rsidRPr="002B6725" w:rsidR="00635867">
        <w:t xml:space="preserve">him to </w:t>
      </w:r>
      <w:r w:rsidRPr="002B6725" w:rsidR="00237791">
        <w:t xml:space="preserve">correspond </w:t>
      </w:r>
      <w:r w:rsidRPr="002B6725" w:rsidR="00635867">
        <w:t xml:space="preserve">with his </w:t>
      </w:r>
      <w:r w:rsidRPr="002B6725" w:rsidR="00237791">
        <w:t>relatives</w:t>
      </w:r>
      <w:r w:rsidRPr="002B6725" w:rsidR="0022720A">
        <w:t xml:space="preserve"> but received no answer. </w:t>
      </w:r>
      <w:r w:rsidRPr="002B6725" w:rsidR="00EF4370">
        <w:t xml:space="preserve">He unsuccessfully complained </w:t>
      </w:r>
      <w:r w:rsidRPr="002B6725" w:rsidR="00161C34">
        <w:t xml:space="preserve">of </w:t>
      </w:r>
      <w:r w:rsidRPr="002B6725" w:rsidR="00EF4370">
        <w:t xml:space="preserve">these </w:t>
      </w:r>
      <w:r w:rsidRPr="002B6725" w:rsidR="00161C34">
        <w:t xml:space="preserve">matters </w:t>
      </w:r>
      <w:r w:rsidRPr="002B6725" w:rsidR="00EF4370">
        <w:t>to the prosecutor</w:t>
      </w:r>
      <w:r w:rsidRPr="002B6725">
        <w:t>’</w:t>
      </w:r>
      <w:r w:rsidRPr="002B6725" w:rsidR="008E4278">
        <w:t>s office on a number of occasions.</w:t>
      </w:r>
    </w:p>
    <w:p w:rsidRPr="002B6725" w:rsidR="00750D68" w:rsidP="002B6725" w:rsidRDefault="002B6725">
      <w:pPr>
        <w:pStyle w:val="ECHRPara"/>
      </w:pPr>
      <w:fldSimple w:instr=" SEQ level0 \*arabic ">
        <w:r w:rsidRPr="002B6725">
          <w:rPr>
            <w:noProof/>
          </w:rPr>
          <w:t>27</w:t>
        </w:r>
      </w:fldSimple>
      <w:r w:rsidRPr="002B6725" w:rsidR="00964C1F">
        <w:t>.  </w:t>
      </w:r>
      <w:r w:rsidRPr="002B6725" w:rsidR="00990B87">
        <w:t xml:space="preserve">The applicant was not allowed to visit the SIZO church. His requests to the SIZO governor of </w:t>
      </w:r>
      <w:r w:rsidRPr="002B6725" w:rsidR="002C24C9">
        <w:t xml:space="preserve">15 July and 1 August 2005 </w:t>
      </w:r>
      <w:r w:rsidRPr="002B6725" w:rsidR="00EB5AA2">
        <w:t>to</w:t>
      </w:r>
      <w:r w:rsidRPr="002B6725" w:rsidR="002C24C9">
        <w:t xml:space="preserve"> meet with a priest</w:t>
      </w:r>
      <w:r w:rsidRPr="002B6725" w:rsidR="0022720A">
        <w:t xml:space="preserve"> </w:t>
      </w:r>
      <w:r w:rsidRPr="002B6725" w:rsidR="00A242C6">
        <w:t xml:space="preserve">also </w:t>
      </w:r>
      <w:r w:rsidRPr="002B6725" w:rsidR="008D5C5F">
        <w:t xml:space="preserve">remained </w:t>
      </w:r>
      <w:r w:rsidRPr="002B6725" w:rsidR="003223BD">
        <w:t>unanswered</w:t>
      </w:r>
      <w:r w:rsidRPr="002B6725" w:rsidR="0022720A">
        <w:t xml:space="preserve">. On </w:t>
      </w:r>
      <w:r w:rsidRPr="002B6725" w:rsidR="003223BD">
        <w:t xml:space="preserve">6 and 7 September 2005 </w:t>
      </w:r>
      <w:r w:rsidRPr="002B6725" w:rsidR="0022720A">
        <w:t>the applicant</w:t>
      </w:r>
      <w:r w:rsidRPr="002B6725" w:rsidR="00990B87">
        <w:t xml:space="preserve"> further </w:t>
      </w:r>
      <w:r w:rsidRPr="002B6725" w:rsidR="0022720A">
        <w:t xml:space="preserve">complained </w:t>
      </w:r>
      <w:r w:rsidRPr="002B6725" w:rsidR="00A242C6">
        <w:t xml:space="preserve">to the SIZO administration </w:t>
      </w:r>
      <w:r w:rsidRPr="002B6725" w:rsidR="003223BD">
        <w:t xml:space="preserve">that his religious literature </w:t>
      </w:r>
      <w:r w:rsidRPr="002B6725" w:rsidR="00F3372F">
        <w:t xml:space="preserve">and </w:t>
      </w:r>
      <w:r w:rsidRPr="002B6725" w:rsidR="0022720A">
        <w:t>some</w:t>
      </w:r>
      <w:r w:rsidRPr="002B6725" w:rsidR="00F3372F">
        <w:t xml:space="preserve"> items of a religious nature </w:t>
      </w:r>
      <w:r w:rsidRPr="002B6725" w:rsidR="002C24C9">
        <w:t xml:space="preserve">had been </w:t>
      </w:r>
      <w:r w:rsidRPr="002B6725" w:rsidR="00F3372F">
        <w:t>seized by the SIZO staff</w:t>
      </w:r>
      <w:r w:rsidRPr="002B6725" w:rsidR="00B95FE6">
        <w:t>. On 23 </w:t>
      </w:r>
      <w:r w:rsidRPr="002B6725" w:rsidR="003223BD">
        <w:t xml:space="preserve">September 2005 a “talk” </w:t>
      </w:r>
      <w:r w:rsidRPr="002B6725" w:rsidR="00EB5AA2">
        <w:t>was</w:t>
      </w:r>
      <w:r w:rsidRPr="002B6725" w:rsidR="0022720A">
        <w:t xml:space="preserve"> held </w:t>
      </w:r>
      <w:r w:rsidRPr="002B6725" w:rsidR="003223BD">
        <w:t xml:space="preserve">with the applicant </w:t>
      </w:r>
      <w:r w:rsidRPr="002B6725" w:rsidR="0022720A">
        <w:t xml:space="preserve">by one of the prison staff </w:t>
      </w:r>
      <w:r w:rsidRPr="002B6725" w:rsidR="00990B87">
        <w:t xml:space="preserve">on account of his complaints during which </w:t>
      </w:r>
      <w:r w:rsidRPr="002B6725" w:rsidR="00F0731D">
        <w:t xml:space="preserve">it was </w:t>
      </w:r>
      <w:r w:rsidRPr="002B6725" w:rsidR="00990B87">
        <w:t xml:space="preserve">explained </w:t>
      </w:r>
      <w:r w:rsidRPr="002B6725" w:rsidR="00F0731D">
        <w:t xml:space="preserve">to him </w:t>
      </w:r>
      <w:r w:rsidRPr="002B6725" w:rsidR="00990B87">
        <w:t xml:space="preserve">that nothing </w:t>
      </w:r>
      <w:r w:rsidRPr="002B6725" w:rsidR="00EB5AA2">
        <w:t xml:space="preserve">untoward </w:t>
      </w:r>
      <w:r w:rsidRPr="002B6725" w:rsidR="00990B87">
        <w:t xml:space="preserve">had happened. On </w:t>
      </w:r>
      <w:r w:rsidRPr="002B6725" w:rsidR="001F7463">
        <w:t xml:space="preserve">1 October 2006 </w:t>
      </w:r>
      <w:r w:rsidRPr="002B6725" w:rsidR="00990B87">
        <w:t xml:space="preserve">the applicant complained to the Prosecutor General about the violation of his right to </w:t>
      </w:r>
      <w:r w:rsidRPr="002B6725" w:rsidR="00EB5AA2">
        <w:t xml:space="preserve">practise </w:t>
      </w:r>
      <w:r w:rsidRPr="002B6725" w:rsidR="00990B87">
        <w:t>his religion but received no reply.</w:t>
      </w:r>
    </w:p>
    <w:p w:rsidRPr="002B6725" w:rsidR="00014566" w:rsidP="002B6725" w:rsidRDefault="00C72699">
      <w:pPr>
        <w:pStyle w:val="ECHRHeading3"/>
      </w:pPr>
      <w:r w:rsidRPr="002B6725">
        <w:t>2.  </w:t>
      </w:r>
      <w:r w:rsidRPr="002B6725" w:rsidR="003604EF">
        <w:t>The Government</w:t>
      </w:r>
      <w:r w:rsidRPr="002B6725" w:rsidR="002B6725">
        <w:t>’</w:t>
      </w:r>
      <w:r w:rsidRPr="002B6725" w:rsidR="003604EF">
        <w:t>s account</w:t>
      </w:r>
    </w:p>
    <w:p w:rsidRPr="002B6725" w:rsidR="00750D68" w:rsidP="002B6725" w:rsidRDefault="00964C1F">
      <w:pPr>
        <w:pStyle w:val="ECHRPara"/>
        <w:rPr>
          <w:rFonts w:eastAsia="MS Mincho"/>
          <w:lang w:eastAsia="uk-UA"/>
        </w:rPr>
      </w:pPr>
      <w:r w:rsidRPr="002B6725">
        <w:rPr>
          <w:rFonts w:eastAsia="MS Mincho"/>
          <w:lang w:eastAsia="uk-UA"/>
        </w:rPr>
        <w:fldChar w:fldCharType="begin"/>
      </w:r>
      <w:r w:rsidRPr="002B6725">
        <w:rPr>
          <w:rFonts w:eastAsia="MS Mincho"/>
          <w:lang w:eastAsia="uk-UA"/>
        </w:rPr>
        <w:instrText xml:space="preserve"> SEQ level0 \*arabic </w:instrText>
      </w:r>
      <w:r w:rsidRPr="002B6725">
        <w:rPr>
          <w:rFonts w:eastAsia="MS Mincho"/>
          <w:lang w:eastAsia="uk-UA"/>
        </w:rPr>
        <w:fldChar w:fldCharType="separate"/>
      </w:r>
      <w:r w:rsidRPr="002B6725" w:rsidR="002B6725">
        <w:rPr>
          <w:rFonts w:eastAsia="MS Mincho"/>
          <w:noProof/>
          <w:lang w:eastAsia="uk-UA"/>
        </w:rPr>
        <w:t>28</w:t>
      </w:r>
      <w:r w:rsidRPr="002B6725">
        <w:rPr>
          <w:rFonts w:eastAsia="MS Mincho"/>
          <w:lang w:eastAsia="uk-UA"/>
        </w:rPr>
        <w:fldChar w:fldCharType="end"/>
      </w:r>
      <w:r w:rsidRPr="002B6725">
        <w:rPr>
          <w:rFonts w:eastAsia="MS Mincho"/>
          <w:lang w:eastAsia="uk-UA"/>
        </w:rPr>
        <w:t>.  </w:t>
      </w:r>
      <w:r w:rsidRPr="002B6725" w:rsidR="000D2A0D">
        <w:rPr>
          <w:rFonts w:eastAsia="MS Mincho"/>
          <w:lang w:eastAsia="uk-UA"/>
        </w:rPr>
        <w:t xml:space="preserve">During his stay at the SIZO the applicant was held in </w:t>
      </w:r>
      <w:r w:rsidRPr="002B6725" w:rsidR="00EB5AA2">
        <w:rPr>
          <w:rFonts w:eastAsia="MS Mincho"/>
          <w:lang w:eastAsia="uk-UA"/>
        </w:rPr>
        <w:t xml:space="preserve">twelve </w:t>
      </w:r>
      <w:r w:rsidRPr="002B6725" w:rsidR="000D2A0D">
        <w:rPr>
          <w:rFonts w:eastAsia="MS Mincho"/>
          <w:lang w:eastAsia="uk-UA"/>
        </w:rPr>
        <w:t>different cells (including cells nos. 18 and 116) and</w:t>
      </w:r>
      <w:r w:rsidRPr="002B6725" w:rsidR="00EB5AA2">
        <w:rPr>
          <w:rFonts w:eastAsia="MS Mincho"/>
          <w:lang w:eastAsia="uk-UA"/>
        </w:rPr>
        <w:t xml:space="preserve"> was</w:t>
      </w:r>
      <w:r w:rsidRPr="002B6725" w:rsidR="000D2A0D">
        <w:rPr>
          <w:rFonts w:eastAsia="MS Mincho"/>
          <w:lang w:eastAsia="uk-UA"/>
        </w:rPr>
        <w:t xml:space="preserve"> </w:t>
      </w:r>
      <w:r w:rsidRPr="002B6725" w:rsidR="00EB5AA2">
        <w:rPr>
          <w:rFonts w:eastAsia="MS Mincho"/>
          <w:lang w:eastAsia="uk-UA"/>
        </w:rPr>
        <w:t>mov</w:t>
      </w:r>
      <w:r w:rsidRPr="002B6725" w:rsidR="000D2A0D">
        <w:rPr>
          <w:rFonts w:eastAsia="MS Mincho"/>
          <w:lang w:eastAsia="uk-UA"/>
        </w:rPr>
        <w:t xml:space="preserve">ed </w:t>
      </w:r>
      <w:r w:rsidRPr="002B6725" w:rsidR="00EB5AA2">
        <w:rPr>
          <w:rFonts w:eastAsia="MS Mincho"/>
          <w:lang w:eastAsia="uk-UA"/>
        </w:rPr>
        <w:t>fourteen</w:t>
      </w:r>
      <w:r w:rsidRPr="002B6725" w:rsidR="000D2A0D">
        <w:rPr>
          <w:rFonts w:eastAsia="MS Mincho"/>
          <w:lang w:eastAsia="uk-UA"/>
        </w:rPr>
        <w:t xml:space="preserve"> times.</w:t>
      </w:r>
    </w:p>
    <w:p w:rsidRPr="002B6725" w:rsidR="00E475DB" w:rsidP="002B6725" w:rsidRDefault="002B6725">
      <w:pPr>
        <w:pStyle w:val="ECHRPara"/>
        <w:rPr>
          <w:rFonts w:eastAsia="MS Mincho"/>
          <w:lang w:eastAsia="uk-UA"/>
        </w:rPr>
      </w:pPr>
      <w:fldSimple w:instr=" SEQ level0 \*arabic ">
        <w:r w:rsidRPr="002B6725">
          <w:rPr>
            <w:noProof/>
          </w:rPr>
          <w:t>29</w:t>
        </w:r>
      </w:fldSimple>
      <w:r w:rsidRPr="002B6725" w:rsidR="00964C1F">
        <w:t>.  </w:t>
      </w:r>
      <w:r w:rsidRPr="002B6725" w:rsidR="00E475DB">
        <w:t xml:space="preserve">The Government could not provide any information about the number of inmates in the cells at the relevant time </w:t>
      </w:r>
      <w:r w:rsidRPr="002B6725" w:rsidR="00EB5AA2">
        <w:t>or</w:t>
      </w:r>
      <w:r w:rsidRPr="002B6725" w:rsidR="00E475DB">
        <w:t xml:space="preserve"> regarding the conditions of </w:t>
      </w:r>
      <w:r w:rsidRPr="002B6725" w:rsidR="00264857">
        <w:t xml:space="preserve">the </w:t>
      </w:r>
      <w:r w:rsidRPr="002B6725" w:rsidR="00E475DB">
        <w:t>floor</w:t>
      </w:r>
      <w:r w:rsidRPr="002B6725" w:rsidR="00A242C6">
        <w:t>,</w:t>
      </w:r>
      <w:r w:rsidRPr="002B6725" w:rsidR="00E475DB">
        <w:t xml:space="preserve"> walls and linen because the </w:t>
      </w:r>
      <w:r w:rsidRPr="002B6725" w:rsidR="00EB5AA2">
        <w:t>compulsory period</w:t>
      </w:r>
      <w:r w:rsidRPr="002B6725" w:rsidR="00E475DB">
        <w:t xml:space="preserve"> for keeping the relevant documents had expired and the records had been destroyed.</w:t>
      </w:r>
    </w:p>
    <w:p w:rsidRPr="002B6725" w:rsidR="00750D68" w:rsidP="002B6725" w:rsidRDefault="00964C1F">
      <w:pPr>
        <w:pStyle w:val="ECHRPara"/>
        <w:rPr>
          <w:rFonts w:eastAsia="MS Mincho"/>
          <w:lang w:eastAsia="uk-UA"/>
        </w:rPr>
      </w:pPr>
      <w:r w:rsidRPr="002B6725">
        <w:rPr>
          <w:rFonts w:eastAsia="MS Mincho"/>
          <w:lang w:eastAsia="uk-UA"/>
        </w:rPr>
        <w:fldChar w:fldCharType="begin"/>
      </w:r>
      <w:r w:rsidRPr="002B6725">
        <w:rPr>
          <w:rFonts w:eastAsia="MS Mincho"/>
          <w:lang w:eastAsia="uk-UA"/>
        </w:rPr>
        <w:instrText xml:space="preserve"> SEQ level0 \*arabic </w:instrText>
      </w:r>
      <w:r w:rsidRPr="002B6725">
        <w:rPr>
          <w:rFonts w:eastAsia="MS Mincho"/>
          <w:lang w:eastAsia="uk-UA"/>
        </w:rPr>
        <w:fldChar w:fldCharType="separate"/>
      </w:r>
      <w:r w:rsidRPr="002B6725" w:rsidR="002B6725">
        <w:rPr>
          <w:rFonts w:eastAsia="MS Mincho"/>
          <w:noProof/>
          <w:lang w:eastAsia="uk-UA"/>
        </w:rPr>
        <w:t>30</w:t>
      </w:r>
      <w:r w:rsidRPr="002B6725">
        <w:rPr>
          <w:rFonts w:eastAsia="MS Mincho"/>
          <w:lang w:eastAsia="uk-UA"/>
        </w:rPr>
        <w:fldChar w:fldCharType="end"/>
      </w:r>
      <w:r w:rsidRPr="002B6725">
        <w:rPr>
          <w:rFonts w:eastAsia="MS Mincho"/>
          <w:lang w:eastAsia="uk-UA"/>
        </w:rPr>
        <w:t>.  </w:t>
      </w:r>
      <w:r w:rsidRPr="002B6725" w:rsidR="00E475DB">
        <w:rPr>
          <w:rFonts w:eastAsia="MS Mincho"/>
          <w:lang w:eastAsia="uk-UA"/>
        </w:rPr>
        <w:t xml:space="preserve">They stated that the </w:t>
      </w:r>
      <w:r w:rsidRPr="002B6725" w:rsidR="000D2A0D">
        <w:rPr>
          <w:rFonts w:eastAsia="MS Mincho"/>
          <w:lang w:eastAsia="uk-UA"/>
        </w:rPr>
        <w:t xml:space="preserve">general detention conditions in </w:t>
      </w:r>
      <w:r w:rsidRPr="002B6725" w:rsidR="00E475DB">
        <w:rPr>
          <w:rFonts w:eastAsia="MS Mincho"/>
          <w:lang w:eastAsia="uk-UA"/>
        </w:rPr>
        <w:t xml:space="preserve">the </w:t>
      </w:r>
      <w:r w:rsidRPr="002B6725" w:rsidR="000D2A0D">
        <w:rPr>
          <w:rFonts w:eastAsia="MS Mincho"/>
          <w:lang w:eastAsia="uk-UA"/>
        </w:rPr>
        <w:t>SIZO</w:t>
      </w:r>
      <w:r w:rsidRPr="002B6725" w:rsidR="00E475DB">
        <w:rPr>
          <w:rFonts w:eastAsia="MS Mincho"/>
          <w:lang w:eastAsia="uk-UA"/>
        </w:rPr>
        <w:t xml:space="preserve"> had been satisfactory and in compliance with the domestic standards: </w:t>
      </w:r>
      <w:r w:rsidRPr="002B6725" w:rsidR="000D2A0D">
        <w:rPr>
          <w:rFonts w:eastAsia="MS Mincho"/>
          <w:lang w:eastAsia="uk-UA"/>
        </w:rPr>
        <w:t xml:space="preserve">all the cells </w:t>
      </w:r>
      <w:r w:rsidRPr="002B6725" w:rsidR="00E475DB">
        <w:rPr>
          <w:rFonts w:eastAsia="MS Mincho"/>
          <w:lang w:eastAsia="uk-UA"/>
        </w:rPr>
        <w:t>had</w:t>
      </w:r>
      <w:r w:rsidRPr="002B6725" w:rsidR="00EB5AA2">
        <w:rPr>
          <w:rFonts w:eastAsia="MS Mincho"/>
          <w:lang w:eastAsia="uk-UA"/>
        </w:rPr>
        <w:t xml:space="preserve"> had</w:t>
      </w:r>
      <w:r w:rsidRPr="002B6725" w:rsidR="00E475DB">
        <w:rPr>
          <w:rFonts w:eastAsia="MS Mincho"/>
          <w:lang w:eastAsia="uk-UA"/>
        </w:rPr>
        <w:t xml:space="preserve"> windows and </w:t>
      </w:r>
      <w:r w:rsidRPr="002B6725" w:rsidR="00EB5AA2">
        <w:rPr>
          <w:rFonts w:eastAsia="MS Mincho"/>
          <w:lang w:eastAsia="uk-UA"/>
        </w:rPr>
        <w:t xml:space="preserve">had </w:t>
      </w:r>
      <w:r w:rsidRPr="002B6725" w:rsidR="00E475DB">
        <w:rPr>
          <w:rFonts w:eastAsia="MS Mincho"/>
          <w:lang w:eastAsia="uk-UA"/>
        </w:rPr>
        <w:t>been</w:t>
      </w:r>
      <w:r w:rsidRPr="002B6725" w:rsidR="000D2A0D">
        <w:rPr>
          <w:rFonts w:eastAsia="MS Mincho"/>
          <w:lang w:eastAsia="uk-UA"/>
        </w:rPr>
        <w:t xml:space="preserve"> </w:t>
      </w:r>
      <w:r w:rsidRPr="002B6725" w:rsidR="00E475DB">
        <w:rPr>
          <w:rFonts w:eastAsia="MS Mincho"/>
          <w:lang w:eastAsia="uk-UA"/>
        </w:rPr>
        <w:t xml:space="preserve">equipped with sufficient </w:t>
      </w:r>
      <w:r w:rsidRPr="002B6725" w:rsidR="000D2A0D">
        <w:rPr>
          <w:rFonts w:eastAsia="MS Mincho"/>
          <w:lang w:eastAsia="uk-UA"/>
        </w:rPr>
        <w:t>artificial light</w:t>
      </w:r>
      <w:r w:rsidRPr="002B6725" w:rsidR="00EB5AA2">
        <w:rPr>
          <w:rFonts w:eastAsia="MS Mincho"/>
          <w:lang w:eastAsia="uk-UA"/>
        </w:rPr>
        <w:t>ing</w:t>
      </w:r>
      <w:r w:rsidRPr="002B6725" w:rsidR="0036166D">
        <w:rPr>
          <w:rFonts w:eastAsia="MS Mincho"/>
          <w:lang w:eastAsia="uk-UA"/>
        </w:rPr>
        <w:t xml:space="preserve">; </w:t>
      </w:r>
      <w:r w:rsidRPr="002B6725" w:rsidR="0036166D">
        <w:t xml:space="preserve">the applicant </w:t>
      </w:r>
      <w:r w:rsidRPr="002B6725" w:rsidR="00EB5AA2">
        <w:t xml:space="preserve">had been </w:t>
      </w:r>
      <w:r w:rsidRPr="002B6725" w:rsidR="0036166D">
        <w:t>provided with adequate nutrition in accordance with the applicable standards</w:t>
      </w:r>
      <w:r w:rsidRPr="002B6725" w:rsidR="000D2A0D">
        <w:rPr>
          <w:rFonts w:eastAsia="MS Mincho"/>
          <w:lang w:eastAsia="uk-UA"/>
        </w:rPr>
        <w:t>.</w:t>
      </w:r>
      <w:r w:rsidRPr="002B6725" w:rsidR="0035450C">
        <w:rPr>
          <w:rFonts w:eastAsia="MS Mincho"/>
          <w:lang w:eastAsia="uk-UA"/>
        </w:rPr>
        <w:t xml:space="preserve"> </w:t>
      </w:r>
      <w:r w:rsidRPr="002B6725" w:rsidR="00617692">
        <w:rPr>
          <w:rFonts w:eastAsia="MS Mincho"/>
          <w:lang w:eastAsia="uk-UA"/>
        </w:rPr>
        <w:t>S</w:t>
      </w:r>
      <w:r w:rsidRPr="002B6725" w:rsidR="0035450C">
        <w:rPr>
          <w:rFonts w:eastAsia="MS Mincho"/>
          <w:lang w:eastAsia="uk-UA"/>
        </w:rPr>
        <w:t xml:space="preserve">cissors and </w:t>
      </w:r>
      <w:r w:rsidRPr="002B6725" w:rsidR="00264857">
        <w:rPr>
          <w:rFonts w:eastAsia="MS Mincho"/>
          <w:lang w:eastAsia="uk-UA"/>
        </w:rPr>
        <w:t xml:space="preserve">other </w:t>
      </w:r>
      <w:r w:rsidRPr="002B6725" w:rsidR="0035450C">
        <w:rPr>
          <w:rFonts w:eastAsia="MS Mincho"/>
          <w:lang w:eastAsia="uk-UA"/>
        </w:rPr>
        <w:t>hair</w:t>
      </w:r>
      <w:r w:rsidRPr="002B6725" w:rsidR="00EB5AA2">
        <w:rPr>
          <w:rFonts w:eastAsia="MS Mincho"/>
          <w:lang w:eastAsia="uk-UA"/>
        </w:rPr>
        <w:t>dressing</w:t>
      </w:r>
      <w:r w:rsidRPr="002B6725" w:rsidR="0035450C">
        <w:rPr>
          <w:rFonts w:eastAsia="MS Mincho"/>
          <w:lang w:eastAsia="uk-UA"/>
        </w:rPr>
        <w:t xml:space="preserve"> </w:t>
      </w:r>
      <w:r w:rsidRPr="002B6725" w:rsidR="00EB5AA2">
        <w:rPr>
          <w:rFonts w:eastAsia="MS Mincho"/>
          <w:lang w:eastAsia="uk-UA"/>
        </w:rPr>
        <w:t xml:space="preserve">implements </w:t>
      </w:r>
      <w:r w:rsidRPr="002B6725" w:rsidR="0035450C">
        <w:rPr>
          <w:rFonts w:eastAsia="MS Mincho"/>
          <w:lang w:eastAsia="uk-UA"/>
        </w:rPr>
        <w:t xml:space="preserve">had been disinfected after each use </w:t>
      </w:r>
      <w:r w:rsidRPr="002B6725" w:rsidR="00617692">
        <w:rPr>
          <w:rFonts w:eastAsia="MS Mincho"/>
          <w:lang w:eastAsia="uk-UA"/>
        </w:rPr>
        <w:t>in accordance with</w:t>
      </w:r>
      <w:r w:rsidRPr="002B6725" w:rsidR="0035450C">
        <w:rPr>
          <w:rFonts w:eastAsia="MS Mincho"/>
          <w:lang w:eastAsia="uk-UA"/>
        </w:rPr>
        <w:t xml:space="preserve"> the relevant regulations</w:t>
      </w:r>
      <w:r w:rsidRPr="002B6725" w:rsidR="00617692">
        <w:rPr>
          <w:rFonts w:eastAsia="MS Mincho"/>
          <w:lang w:eastAsia="uk-UA"/>
        </w:rPr>
        <w:t>. T</w:t>
      </w:r>
      <w:r w:rsidRPr="002B6725" w:rsidR="0035450C">
        <w:rPr>
          <w:rFonts w:eastAsia="MS Mincho"/>
          <w:lang w:eastAsia="uk-UA"/>
        </w:rPr>
        <w:t>h</w:t>
      </w:r>
      <w:r w:rsidRPr="002B6725" w:rsidR="00EB5AA2">
        <w:rPr>
          <w:rFonts w:eastAsia="MS Mincho"/>
          <w:lang w:eastAsia="uk-UA"/>
        </w:rPr>
        <w:t>at</w:t>
      </w:r>
      <w:r w:rsidRPr="002B6725" w:rsidR="0035450C">
        <w:rPr>
          <w:rFonts w:eastAsia="MS Mincho"/>
          <w:lang w:eastAsia="uk-UA"/>
        </w:rPr>
        <w:t xml:space="preserve"> fact had been confirmed </w:t>
      </w:r>
      <w:r w:rsidRPr="002B6725" w:rsidR="00617692">
        <w:rPr>
          <w:rFonts w:eastAsia="MS Mincho"/>
          <w:lang w:eastAsia="uk-UA"/>
        </w:rPr>
        <w:t xml:space="preserve">by the results of </w:t>
      </w:r>
      <w:r w:rsidRPr="002B6725" w:rsidR="00264857">
        <w:rPr>
          <w:rFonts w:eastAsia="MS Mincho"/>
          <w:lang w:eastAsia="uk-UA"/>
        </w:rPr>
        <w:t xml:space="preserve">an </w:t>
      </w:r>
      <w:r w:rsidRPr="002B6725" w:rsidR="0035450C">
        <w:rPr>
          <w:rFonts w:eastAsia="MS Mincho"/>
          <w:lang w:eastAsia="uk-UA"/>
        </w:rPr>
        <w:t xml:space="preserve">investigation </w:t>
      </w:r>
      <w:r w:rsidRPr="002B6725" w:rsidR="00617692">
        <w:rPr>
          <w:rFonts w:eastAsia="MS Mincho"/>
          <w:lang w:eastAsia="uk-UA"/>
        </w:rPr>
        <w:t>conducted by the Ministry of Health and the prosecutor</w:t>
      </w:r>
      <w:r w:rsidRPr="002B6725" w:rsidR="002B6725">
        <w:rPr>
          <w:rFonts w:eastAsia="MS Mincho"/>
          <w:lang w:eastAsia="uk-UA"/>
        </w:rPr>
        <w:t>’</w:t>
      </w:r>
      <w:r w:rsidRPr="002B6725" w:rsidR="00617692">
        <w:rPr>
          <w:rFonts w:eastAsia="MS Mincho"/>
          <w:lang w:eastAsia="uk-UA"/>
        </w:rPr>
        <w:t xml:space="preserve">s office </w:t>
      </w:r>
      <w:r w:rsidRPr="002B6725" w:rsidR="00EB5AA2">
        <w:rPr>
          <w:rFonts w:eastAsia="MS Mincho"/>
          <w:lang w:eastAsia="uk-UA"/>
        </w:rPr>
        <w:t xml:space="preserve">following </w:t>
      </w:r>
      <w:r w:rsidRPr="002B6725" w:rsidR="0035450C">
        <w:rPr>
          <w:rFonts w:eastAsia="MS Mincho"/>
          <w:lang w:eastAsia="uk-UA"/>
        </w:rPr>
        <w:t>the applicant</w:t>
      </w:r>
      <w:r w:rsidRPr="002B6725" w:rsidR="002B6725">
        <w:rPr>
          <w:rFonts w:eastAsia="MS Mincho"/>
          <w:lang w:eastAsia="uk-UA"/>
        </w:rPr>
        <w:t>’</w:t>
      </w:r>
      <w:r w:rsidRPr="002B6725" w:rsidR="0035450C">
        <w:rPr>
          <w:rFonts w:eastAsia="MS Mincho"/>
          <w:lang w:eastAsia="uk-UA"/>
        </w:rPr>
        <w:t>s complaint</w:t>
      </w:r>
      <w:r w:rsidRPr="002B6725" w:rsidR="00617692">
        <w:rPr>
          <w:rFonts w:eastAsia="MS Mincho"/>
          <w:lang w:eastAsia="uk-UA"/>
        </w:rPr>
        <w:t>s</w:t>
      </w:r>
      <w:r w:rsidRPr="002B6725" w:rsidR="0035450C">
        <w:rPr>
          <w:rFonts w:eastAsia="MS Mincho"/>
          <w:lang w:eastAsia="uk-UA"/>
        </w:rPr>
        <w:t>.</w:t>
      </w:r>
    </w:p>
    <w:p w:rsidRPr="002B6725" w:rsidR="00635867" w:rsidP="002B6725" w:rsidRDefault="002B6725">
      <w:pPr>
        <w:pStyle w:val="ECHRPara"/>
      </w:pPr>
      <w:fldSimple w:instr=" SEQ level0 \*arabic ">
        <w:r w:rsidRPr="002B6725">
          <w:rPr>
            <w:noProof/>
          </w:rPr>
          <w:t>31</w:t>
        </w:r>
      </w:fldSimple>
      <w:r w:rsidRPr="002B6725" w:rsidR="00964C1F">
        <w:t>.  </w:t>
      </w:r>
      <w:r w:rsidRPr="002B6725" w:rsidR="00631065">
        <w:t xml:space="preserve">The </w:t>
      </w:r>
      <w:r w:rsidRPr="002B6725" w:rsidR="00C072CF">
        <w:t xml:space="preserve">Government </w:t>
      </w:r>
      <w:r w:rsidRPr="002B6725" w:rsidR="00B0283D">
        <w:t>submitted</w:t>
      </w:r>
      <w:r w:rsidRPr="002B6725" w:rsidR="00C072CF">
        <w:t xml:space="preserve">, having provided the relevant documents, that </w:t>
      </w:r>
      <w:r w:rsidRPr="002B6725" w:rsidR="00E64C18">
        <w:t xml:space="preserve">the applicant </w:t>
      </w:r>
      <w:r w:rsidRPr="002B6725" w:rsidR="006616F3">
        <w:t xml:space="preserve">had </w:t>
      </w:r>
      <w:r w:rsidRPr="002B6725" w:rsidR="00E64C18">
        <w:t xml:space="preserve">requested family visits </w:t>
      </w:r>
      <w:r w:rsidRPr="002B6725" w:rsidR="00617692">
        <w:t xml:space="preserve">before the relevant authorities </w:t>
      </w:r>
      <w:r w:rsidRPr="002B6725" w:rsidR="00BB5473">
        <w:t>o</w:t>
      </w:r>
      <w:r w:rsidRPr="002B6725" w:rsidR="00E64C18">
        <w:t>n</w:t>
      </w:r>
      <w:r w:rsidRPr="002B6725" w:rsidR="00617692">
        <w:t xml:space="preserve">ly on </w:t>
      </w:r>
      <w:r w:rsidRPr="002B6725" w:rsidR="00E64C18">
        <w:t xml:space="preserve">10 and 20 October </w:t>
      </w:r>
      <w:r w:rsidRPr="002B6725" w:rsidR="00264857">
        <w:t>and</w:t>
      </w:r>
      <w:r w:rsidRPr="002B6725" w:rsidR="00E64C18">
        <w:t xml:space="preserve"> 29 December 2005</w:t>
      </w:r>
      <w:r w:rsidRPr="002B6725" w:rsidR="00BB5473">
        <w:t xml:space="preserve"> and on </w:t>
      </w:r>
      <w:r w:rsidRPr="002B6725" w:rsidR="00C72699">
        <w:t>11 </w:t>
      </w:r>
      <w:r w:rsidRPr="002B6725" w:rsidR="00E64C18">
        <w:t xml:space="preserve">January and 5 February 2006 and </w:t>
      </w:r>
      <w:r w:rsidRPr="002B6725" w:rsidR="006616F3">
        <w:t xml:space="preserve">had </w:t>
      </w:r>
      <w:r w:rsidRPr="002B6725" w:rsidR="00C072CF">
        <w:t xml:space="preserve">asked for </w:t>
      </w:r>
      <w:r w:rsidRPr="002B6725" w:rsidR="00E64C18">
        <w:t>permission to send correspondence to his relatives on 10 and 2</w:t>
      </w:r>
      <w:r w:rsidRPr="002B6725" w:rsidR="00EE557B">
        <w:t>7</w:t>
      </w:r>
      <w:r w:rsidRPr="002B6725" w:rsidR="00E64C18">
        <w:t xml:space="preserve"> October 2005 </w:t>
      </w:r>
      <w:r w:rsidRPr="002B6725" w:rsidR="006616F3">
        <w:t>and</w:t>
      </w:r>
      <w:r w:rsidRPr="002B6725" w:rsidR="00E64C18">
        <w:t xml:space="preserve"> 5 February and 8 August 2006. </w:t>
      </w:r>
      <w:r w:rsidRPr="002B6725" w:rsidR="00617692">
        <w:t xml:space="preserve">All </w:t>
      </w:r>
      <w:r w:rsidRPr="002B6725" w:rsidR="00EF4370">
        <w:t>h</w:t>
      </w:r>
      <w:r w:rsidRPr="002B6725" w:rsidR="00E64C18">
        <w:t>is requests were rejected</w:t>
      </w:r>
      <w:r w:rsidRPr="002B6725" w:rsidR="00A242C6">
        <w:t xml:space="preserve"> for security reasons</w:t>
      </w:r>
      <w:r w:rsidRPr="002B6725" w:rsidR="00E64C18">
        <w:t>.</w:t>
      </w:r>
    </w:p>
    <w:p w:rsidRPr="002B6725" w:rsidR="00750D68" w:rsidP="002B6725" w:rsidRDefault="00964C1F">
      <w:pPr>
        <w:pStyle w:val="ECHRPara"/>
        <w:rPr>
          <w:rFonts w:eastAsia="MS Mincho"/>
          <w:lang w:eastAsia="uk-UA"/>
        </w:rPr>
      </w:pPr>
      <w:r w:rsidRPr="002B6725">
        <w:rPr>
          <w:rFonts w:eastAsia="MS Mincho"/>
          <w:lang w:eastAsia="uk-UA"/>
        </w:rPr>
        <w:fldChar w:fldCharType="begin"/>
      </w:r>
      <w:r w:rsidRPr="002B6725">
        <w:rPr>
          <w:rFonts w:eastAsia="MS Mincho"/>
          <w:lang w:eastAsia="uk-UA"/>
        </w:rPr>
        <w:instrText xml:space="preserve"> SEQ level0 \*arabic </w:instrText>
      </w:r>
      <w:r w:rsidRPr="002B6725">
        <w:rPr>
          <w:rFonts w:eastAsia="MS Mincho"/>
          <w:lang w:eastAsia="uk-UA"/>
        </w:rPr>
        <w:fldChar w:fldCharType="separate"/>
      </w:r>
      <w:r w:rsidRPr="002B6725" w:rsidR="002B6725">
        <w:rPr>
          <w:rFonts w:eastAsia="MS Mincho"/>
          <w:noProof/>
          <w:lang w:eastAsia="uk-UA"/>
        </w:rPr>
        <w:t>32</w:t>
      </w:r>
      <w:r w:rsidRPr="002B6725">
        <w:rPr>
          <w:rFonts w:eastAsia="MS Mincho"/>
          <w:lang w:eastAsia="uk-UA"/>
        </w:rPr>
        <w:fldChar w:fldCharType="end"/>
      </w:r>
      <w:r w:rsidRPr="002B6725">
        <w:rPr>
          <w:rFonts w:eastAsia="MS Mincho"/>
          <w:lang w:eastAsia="uk-UA"/>
        </w:rPr>
        <w:t>.  </w:t>
      </w:r>
      <w:r w:rsidRPr="002B6725" w:rsidR="00635867">
        <w:rPr>
          <w:rFonts w:eastAsia="MS Mincho"/>
          <w:lang w:eastAsia="uk-UA"/>
        </w:rPr>
        <w:t xml:space="preserve">The applicant </w:t>
      </w:r>
      <w:r w:rsidRPr="002B6725" w:rsidR="00264857">
        <w:rPr>
          <w:rFonts w:eastAsia="MS Mincho"/>
          <w:lang w:eastAsia="uk-UA"/>
        </w:rPr>
        <w:t xml:space="preserve">had been </w:t>
      </w:r>
      <w:r w:rsidRPr="002B6725" w:rsidR="00635867">
        <w:rPr>
          <w:rFonts w:eastAsia="MS Mincho"/>
          <w:lang w:eastAsia="uk-UA"/>
        </w:rPr>
        <w:t xml:space="preserve">free to </w:t>
      </w:r>
      <w:r w:rsidRPr="002B6725" w:rsidR="006616F3">
        <w:rPr>
          <w:rFonts w:eastAsia="MS Mincho"/>
          <w:lang w:eastAsia="uk-UA"/>
        </w:rPr>
        <w:t>ask the investigator in his case or a court to allow him</w:t>
      </w:r>
      <w:r w:rsidRPr="002B6725" w:rsidR="00635867">
        <w:rPr>
          <w:rFonts w:eastAsia="MS Mincho"/>
          <w:lang w:eastAsia="uk-UA"/>
        </w:rPr>
        <w:t xml:space="preserve"> </w:t>
      </w:r>
      <w:r w:rsidRPr="002B6725" w:rsidR="006616F3">
        <w:rPr>
          <w:rFonts w:eastAsia="MS Mincho"/>
          <w:lang w:eastAsia="uk-UA"/>
        </w:rPr>
        <w:t>to meet</w:t>
      </w:r>
      <w:r w:rsidRPr="002B6725" w:rsidR="00635867">
        <w:rPr>
          <w:rFonts w:eastAsia="MS Mincho"/>
          <w:lang w:eastAsia="uk-UA"/>
        </w:rPr>
        <w:t xml:space="preserve"> with a priest but</w:t>
      </w:r>
      <w:r w:rsidRPr="002B6725" w:rsidR="00264857">
        <w:rPr>
          <w:rFonts w:eastAsia="MS Mincho"/>
          <w:lang w:eastAsia="uk-UA"/>
        </w:rPr>
        <w:t xml:space="preserve"> had</w:t>
      </w:r>
      <w:r w:rsidRPr="002B6725" w:rsidR="00635867">
        <w:rPr>
          <w:rFonts w:eastAsia="MS Mincho"/>
          <w:lang w:eastAsia="uk-UA"/>
        </w:rPr>
        <w:t xml:space="preserve"> failed to do so. He </w:t>
      </w:r>
      <w:r w:rsidRPr="002B6725" w:rsidR="00264857">
        <w:rPr>
          <w:rFonts w:eastAsia="MS Mincho"/>
          <w:lang w:eastAsia="uk-UA"/>
        </w:rPr>
        <w:t>had</w:t>
      </w:r>
      <w:r w:rsidRPr="002B6725" w:rsidR="00F1511B">
        <w:rPr>
          <w:rFonts w:eastAsia="MS Mincho"/>
          <w:lang w:eastAsia="uk-UA"/>
        </w:rPr>
        <w:t xml:space="preserve"> also </w:t>
      </w:r>
      <w:r w:rsidRPr="002B6725" w:rsidR="00264857">
        <w:rPr>
          <w:rFonts w:eastAsia="MS Mincho"/>
          <w:lang w:eastAsia="uk-UA"/>
        </w:rPr>
        <w:t xml:space="preserve">been </w:t>
      </w:r>
      <w:r w:rsidRPr="002B6725" w:rsidR="00C072CF">
        <w:rPr>
          <w:rFonts w:eastAsia="MS Mincho"/>
          <w:lang w:eastAsia="uk-UA"/>
        </w:rPr>
        <w:t xml:space="preserve">entitled by law to </w:t>
      </w:r>
      <w:r w:rsidRPr="002B6725" w:rsidR="00635867">
        <w:rPr>
          <w:rFonts w:eastAsia="MS Mincho"/>
          <w:lang w:eastAsia="uk-UA"/>
        </w:rPr>
        <w:t xml:space="preserve">possess religious literature and </w:t>
      </w:r>
      <w:r w:rsidRPr="002B6725" w:rsidR="00C072CF">
        <w:t xml:space="preserve">other items of a religious nature </w:t>
      </w:r>
      <w:r w:rsidRPr="002B6725" w:rsidR="00635867">
        <w:rPr>
          <w:rFonts w:eastAsia="MS Mincho"/>
          <w:lang w:eastAsia="uk-UA"/>
        </w:rPr>
        <w:t xml:space="preserve">and </w:t>
      </w:r>
      <w:r w:rsidRPr="002B6725" w:rsidR="00C072CF">
        <w:rPr>
          <w:rFonts w:eastAsia="MS Mincho"/>
          <w:lang w:eastAsia="uk-UA"/>
        </w:rPr>
        <w:t xml:space="preserve">never raised </w:t>
      </w:r>
      <w:r w:rsidRPr="002B6725" w:rsidR="00635867">
        <w:rPr>
          <w:rFonts w:eastAsia="MS Mincho"/>
          <w:lang w:eastAsia="uk-UA"/>
        </w:rPr>
        <w:t xml:space="preserve">any complaint in this </w:t>
      </w:r>
      <w:r w:rsidRPr="002B6725" w:rsidR="006616F3">
        <w:rPr>
          <w:rFonts w:eastAsia="MS Mincho"/>
          <w:lang w:eastAsia="uk-UA"/>
        </w:rPr>
        <w:t xml:space="preserve">connection </w:t>
      </w:r>
      <w:r w:rsidRPr="002B6725" w:rsidR="00A242C6">
        <w:rPr>
          <w:rFonts w:eastAsia="MS Mincho"/>
          <w:lang w:eastAsia="uk-UA"/>
        </w:rPr>
        <w:t xml:space="preserve">either </w:t>
      </w:r>
      <w:r w:rsidRPr="002B6725" w:rsidR="00C072CF">
        <w:rPr>
          <w:rFonts w:eastAsia="MS Mincho"/>
          <w:lang w:eastAsia="uk-UA"/>
        </w:rPr>
        <w:t xml:space="preserve">before </w:t>
      </w:r>
      <w:r w:rsidRPr="002B6725" w:rsidR="00635867">
        <w:rPr>
          <w:rFonts w:eastAsia="MS Mincho"/>
          <w:lang w:eastAsia="uk-UA"/>
        </w:rPr>
        <w:t xml:space="preserve">the SIZO governor or </w:t>
      </w:r>
      <w:r w:rsidRPr="002B6725" w:rsidR="006616F3">
        <w:rPr>
          <w:rFonts w:eastAsia="MS Mincho"/>
          <w:lang w:eastAsia="uk-UA"/>
        </w:rPr>
        <w:t>with</w:t>
      </w:r>
      <w:r w:rsidRPr="002B6725" w:rsidR="00635867">
        <w:rPr>
          <w:rFonts w:eastAsia="MS Mincho"/>
          <w:lang w:eastAsia="uk-UA"/>
        </w:rPr>
        <w:t xml:space="preserve"> the prosecutor</w:t>
      </w:r>
      <w:r w:rsidRPr="002B6725" w:rsidR="00617692">
        <w:rPr>
          <w:rFonts w:eastAsia="MS Mincho"/>
          <w:lang w:eastAsia="uk-UA"/>
        </w:rPr>
        <w:t xml:space="preserve"> responsible for observing compliance </w:t>
      </w:r>
      <w:r w:rsidRPr="002B6725" w:rsidR="00264857">
        <w:rPr>
          <w:rFonts w:eastAsia="MS Mincho"/>
          <w:lang w:eastAsia="uk-UA"/>
        </w:rPr>
        <w:t xml:space="preserve">with </w:t>
      </w:r>
      <w:r w:rsidRPr="002B6725" w:rsidR="00617692">
        <w:rPr>
          <w:rFonts w:eastAsia="MS Mincho"/>
          <w:lang w:eastAsia="uk-UA"/>
        </w:rPr>
        <w:t>the law in the detention facilities.</w:t>
      </w:r>
    </w:p>
    <w:p w:rsidRPr="002B6725" w:rsidR="0039070C" w:rsidP="002B6725" w:rsidRDefault="00A46EE1">
      <w:pPr>
        <w:pStyle w:val="ECHRHeading2"/>
      </w:pPr>
      <w:r w:rsidRPr="002B6725">
        <w:t>C</w:t>
      </w:r>
      <w:r w:rsidRPr="002B6725" w:rsidR="00C72699">
        <w:t>.  </w:t>
      </w:r>
      <w:r w:rsidRPr="002B6725" w:rsidR="0039070C">
        <w:t xml:space="preserve">Medical treatment in </w:t>
      </w:r>
      <w:r w:rsidRPr="002B6725" w:rsidR="00E905BE">
        <w:t>the SIZO</w:t>
      </w:r>
    </w:p>
    <w:p w:rsidRPr="002B6725" w:rsidR="0039070C" w:rsidP="002B6725" w:rsidRDefault="00C72699">
      <w:pPr>
        <w:pStyle w:val="ECHRHeading3"/>
      </w:pPr>
      <w:r w:rsidRPr="002B6725">
        <w:t>1.  </w:t>
      </w:r>
      <w:r w:rsidRPr="002B6725" w:rsidR="0039070C">
        <w:t>The applicant</w:t>
      </w:r>
      <w:r w:rsidRPr="002B6725" w:rsidR="002B6725">
        <w:t>’</w:t>
      </w:r>
      <w:r w:rsidRPr="002B6725" w:rsidR="0039070C">
        <w:t>s account</w:t>
      </w:r>
    </w:p>
    <w:p w:rsidRPr="002B6725" w:rsidR="00B52441" w:rsidP="002B6725" w:rsidRDefault="002B6725">
      <w:pPr>
        <w:pStyle w:val="ECHRPara"/>
        <w:rPr>
          <w:strike/>
        </w:rPr>
      </w:pPr>
      <w:fldSimple w:instr=" SEQ level0 \*arabic ">
        <w:r w:rsidRPr="002B6725">
          <w:rPr>
            <w:noProof/>
          </w:rPr>
          <w:t>33</w:t>
        </w:r>
      </w:fldSimple>
      <w:r w:rsidRPr="002B6725" w:rsidR="00964C1F">
        <w:t>.  </w:t>
      </w:r>
      <w:r w:rsidRPr="002B6725" w:rsidR="001F7463">
        <w:t>N</w:t>
      </w:r>
      <w:r w:rsidRPr="002B6725" w:rsidR="00E905BE">
        <w:t xml:space="preserve">o medical aid </w:t>
      </w:r>
      <w:r w:rsidRPr="002B6725" w:rsidR="008F4DE8">
        <w:t>was</w:t>
      </w:r>
      <w:r w:rsidRPr="002B6725" w:rsidR="00E905BE">
        <w:t xml:space="preserve"> provided to </w:t>
      </w:r>
      <w:r w:rsidRPr="002B6725" w:rsidR="001F7463">
        <w:t xml:space="preserve">the applicant </w:t>
      </w:r>
      <w:r w:rsidRPr="002B6725" w:rsidR="00F037E7">
        <w:t xml:space="preserve">in respect of his </w:t>
      </w:r>
      <w:r w:rsidRPr="002B6725" w:rsidR="00E905BE">
        <w:t xml:space="preserve">heart </w:t>
      </w:r>
      <w:r w:rsidRPr="002B6725" w:rsidR="00D840A8">
        <w:t>and teeth problems</w:t>
      </w:r>
      <w:r w:rsidRPr="002B6725" w:rsidR="001F7463">
        <w:t xml:space="preserve">. </w:t>
      </w:r>
      <w:r w:rsidRPr="002B6725" w:rsidR="00A242C6">
        <w:t>O</w:t>
      </w:r>
      <w:r w:rsidRPr="002B6725" w:rsidR="008F1584">
        <w:t>n 3 June 2006</w:t>
      </w:r>
      <w:r w:rsidRPr="002B6725" w:rsidR="00A242C6">
        <w:t xml:space="preserve"> the applicant </w:t>
      </w:r>
      <w:r w:rsidRPr="002B6725" w:rsidR="008F4DE8">
        <w:t xml:space="preserve">asked </w:t>
      </w:r>
      <w:r w:rsidRPr="002B6725" w:rsidR="008F1584">
        <w:t xml:space="preserve">the SIZO governor </w:t>
      </w:r>
      <w:r w:rsidRPr="002B6725" w:rsidR="001F7463">
        <w:t xml:space="preserve">to conduct </w:t>
      </w:r>
      <w:r w:rsidRPr="002B6725" w:rsidR="00A242C6">
        <w:t>a</w:t>
      </w:r>
      <w:r w:rsidRPr="002B6725" w:rsidR="001F7463">
        <w:t xml:space="preserve"> </w:t>
      </w:r>
      <w:r w:rsidRPr="002B6725" w:rsidR="008F1584">
        <w:t>medical examination</w:t>
      </w:r>
      <w:r w:rsidRPr="002B6725" w:rsidR="00A242C6">
        <w:t xml:space="preserve"> as he believed he had contracted </w:t>
      </w:r>
      <w:r w:rsidRPr="002B6725" w:rsidR="008F4DE8">
        <w:t xml:space="preserve">hepatitis </w:t>
      </w:r>
      <w:r w:rsidRPr="002B6725" w:rsidR="00A242C6">
        <w:t>B because of the failure of the SIZO staff to respect hygiene</w:t>
      </w:r>
      <w:r w:rsidRPr="002B6725" w:rsidR="005B5F6A">
        <w:t xml:space="preserve"> rules</w:t>
      </w:r>
      <w:r w:rsidRPr="002B6725" w:rsidR="001F7463">
        <w:t xml:space="preserve">. This </w:t>
      </w:r>
      <w:r w:rsidRPr="002B6725" w:rsidR="000C3B86">
        <w:t xml:space="preserve">request </w:t>
      </w:r>
      <w:r w:rsidRPr="002B6725" w:rsidR="001F7463">
        <w:t>was</w:t>
      </w:r>
      <w:r w:rsidRPr="002B6725" w:rsidR="000C3B86">
        <w:t xml:space="preserve"> rejected</w:t>
      </w:r>
      <w:r w:rsidRPr="002B6725" w:rsidR="008F4DE8">
        <w:t>;</w:t>
      </w:r>
      <w:r w:rsidRPr="002B6725" w:rsidR="000C3B86">
        <w:t xml:space="preserve"> </w:t>
      </w:r>
      <w:r w:rsidRPr="002B6725" w:rsidR="008F4DE8">
        <w:t>so was</w:t>
      </w:r>
      <w:r w:rsidRPr="002B6725" w:rsidR="000C3B86">
        <w:t xml:space="preserve"> </w:t>
      </w:r>
      <w:r w:rsidRPr="002B6725" w:rsidR="001F7463">
        <w:t xml:space="preserve">another </w:t>
      </w:r>
      <w:r w:rsidRPr="002B6725" w:rsidR="008F4DE8">
        <w:t xml:space="preserve">request </w:t>
      </w:r>
      <w:r w:rsidRPr="002B6725" w:rsidR="000C3B86">
        <w:t>for a special diet</w:t>
      </w:r>
      <w:r w:rsidRPr="002B6725" w:rsidR="00A242C6">
        <w:t xml:space="preserve"> in view of </w:t>
      </w:r>
      <w:r w:rsidRPr="002B6725" w:rsidR="008F4DE8">
        <w:t xml:space="preserve">his </w:t>
      </w:r>
      <w:r w:rsidRPr="002B6725" w:rsidR="00A242C6">
        <w:t xml:space="preserve">possible </w:t>
      </w:r>
      <w:r w:rsidRPr="002B6725" w:rsidR="008F4DE8">
        <w:t>h</w:t>
      </w:r>
      <w:r w:rsidRPr="002B6725" w:rsidR="00A242C6">
        <w:t>epatitis infection</w:t>
      </w:r>
      <w:r w:rsidRPr="002B6725" w:rsidR="000C3B86">
        <w:t>. On 2 November 20</w:t>
      </w:r>
      <w:r w:rsidRPr="002B6725" w:rsidR="001F7463">
        <w:t>06</w:t>
      </w:r>
      <w:r w:rsidRPr="002B6725" w:rsidR="000C3B86">
        <w:t xml:space="preserve"> the applicant asked the Minister of Health to </w:t>
      </w:r>
      <w:r w:rsidRPr="002B6725" w:rsidR="008F4DE8">
        <w:t>order a</w:t>
      </w:r>
      <w:r w:rsidRPr="002B6725" w:rsidR="000C3B86">
        <w:t xml:space="preserve"> medical examination </w:t>
      </w:r>
      <w:r w:rsidRPr="002B6725" w:rsidR="001F7463">
        <w:t>in view of his possible hepatitis</w:t>
      </w:r>
      <w:r w:rsidRPr="002B6725" w:rsidR="008F4DE8">
        <w:t xml:space="preserve"> infection, </w:t>
      </w:r>
      <w:r w:rsidRPr="002B6725" w:rsidR="000C3B86">
        <w:t>to no avail. No copies of the mentioned requests have been provided by the applicant.</w:t>
      </w:r>
    </w:p>
    <w:p w:rsidRPr="002B6725" w:rsidR="0039070C" w:rsidP="002B6725" w:rsidRDefault="00C72699">
      <w:pPr>
        <w:pStyle w:val="ECHRHeading3"/>
      </w:pPr>
      <w:r w:rsidRPr="002B6725">
        <w:t>2.  </w:t>
      </w:r>
      <w:r w:rsidRPr="002B6725" w:rsidR="0039070C">
        <w:t>The Government</w:t>
      </w:r>
      <w:r w:rsidRPr="002B6725" w:rsidR="002B6725">
        <w:t>’</w:t>
      </w:r>
      <w:r w:rsidRPr="002B6725" w:rsidR="0039070C">
        <w:t>s account</w:t>
      </w:r>
    </w:p>
    <w:p w:rsidRPr="002B6725" w:rsidR="007A201E" w:rsidP="002B6725" w:rsidRDefault="00964C1F">
      <w:pPr>
        <w:pStyle w:val="ECHRPara"/>
        <w:rPr>
          <w:rFonts w:eastAsia="MS Mincho"/>
          <w:lang w:eastAsia="uk-UA"/>
        </w:rPr>
      </w:pPr>
      <w:r w:rsidRPr="002B6725">
        <w:rPr>
          <w:rFonts w:eastAsia="MS Mincho"/>
          <w:lang w:eastAsia="uk-UA"/>
        </w:rPr>
        <w:fldChar w:fldCharType="begin"/>
      </w:r>
      <w:r w:rsidRPr="002B6725">
        <w:rPr>
          <w:rFonts w:eastAsia="MS Mincho"/>
          <w:lang w:eastAsia="uk-UA"/>
        </w:rPr>
        <w:instrText xml:space="preserve"> SEQ level0 \*arabic </w:instrText>
      </w:r>
      <w:r w:rsidRPr="002B6725">
        <w:rPr>
          <w:rFonts w:eastAsia="MS Mincho"/>
          <w:lang w:eastAsia="uk-UA"/>
        </w:rPr>
        <w:fldChar w:fldCharType="separate"/>
      </w:r>
      <w:r w:rsidRPr="002B6725" w:rsidR="002B6725">
        <w:rPr>
          <w:rFonts w:eastAsia="MS Mincho"/>
          <w:noProof/>
          <w:lang w:eastAsia="uk-UA"/>
        </w:rPr>
        <w:t>34</w:t>
      </w:r>
      <w:r w:rsidRPr="002B6725">
        <w:rPr>
          <w:rFonts w:eastAsia="MS Mincho"/>
          <w:lang w:eastAsia="uk-UA"/>
        </w:rPr>
        <w:fldChar w:fldCharType="end"/>
      </w:r>
      <w:r w:rsidRPr="002B6725">
        <w:rPr>
          <w:rFonts w:eastAsia="MS Mincho"/>
          <w:lang w:eastAsia="uk-UA"/>
        </w:rPr>
        <w:t>.  </w:t>
      </w:r>
      <w:r w:rsidRPr="002B6725" w:rsidR="007A201E">
        <w:rPr>
          <w:rFonts w:eastAsia="MS Mincho"/>
          <w:lang w:eastAsia="uk-UA"/>
        </w:rPr>
        <w:t>According to the Government</w:t>
      </w:r>
      <w:r w:rsidRPr="002B6725" w:rsidR="00CB50A5">
        <w:rPr>
          <w:rFonts w:eastAsia="MS Mincho"/>
          <w:lang w:eastAsia="uk-UA"/>
        </w:rPr>
        <w:t>,</w:t>
      </w:r>
      <w:r w:rsidRPr="002B6725" w:rsidR="007A201E">
        <w:rPr>
          <w:rFonts w:eastAsia="MS Mincho"/>
          <w:lang w:eastAsia="uk-UA"/>
        </w:rPr>
        <w:t xml:space="preserve"> </w:t>
      </w:r>
      <w:r w:rsidRPr="002B6725" w:rsidR="00A242C6">
        <w:rPr>
          <w:rFonts w:eastAsia="MS Mincho"/>
          <w:lang w:eastAsia="uk-UA"/>
        </w:rPr>
        <w:t xml:space="preserve">during his stay in the SIZO </w:t>
      </w:r>
      <w:r w:rsidRPr="002B6725" w:rsidR="007A201E">
        <w:rPr>
          <w:rFonts w:eastAsia="MS Mincho"/>
          <w:lang w:eastAsia="uk-UA"/>
        </w:rPr>
        <w:t>th</w:t>
      </w:r>
      <w:r w:rsidRPr="002B6725" w:rsidR="00724282">
        <w:rPr>
          <w:rFonts w:eastAsia="MS Mincho"/>
          <w:lang w:eastAsia="uk-UA"/>
        </w:rPr>
        <w:t xml:space="preserve">e applicant never </w:t>
      </w:r>
      <w:r w:rsidRPr="002B6725" w:rsidR="008F4DE8">
        <w:rPr>
          <w:rFonts w:eastAsia="MS Mincho"/>
          <w:lang w:eastAsia="uk-UA"/>
        </w:rPr>
        <w:t xml:space="preserve">went to </w:t>
      </w:r>
      <w:r w:rsidRPr="002B6725" w:rsidR="00724282">
        <w:rPr>
          <w:rFonts w:eastAsia="MS Mincho"/>
          <w:lang w:eastAsia="uk-UA"/>
        </w:rPr>
        <w:t xml:space="preserve">the </w:t>
      </w:r>
      <w:r w:rsidRPr="002B6725" w:rsidR="007A201E">
        <w:rPr>
          <w:rFonts w:eastAsia="MS Mincho"/>
          <w:lang w:eastAsia="uk-UA"/>
        </w:rPr>
        <w:t xml:space="preserve">medical unit </w:t>
      </w:r>
      <w:r w:rsidRPr="002B6725" w:rsidR="00724282">
        <w:rPr>
          <w:rFonts w:eastAsia="MS Mincho"/>
          <w:lang w:eastAsia="uk-UA"/>
        </w:rPr>
        <w:t xml:space="preserve">on account of </w:t>
      </w:r>
      <w:r w:rsidRPr="002B6725" w:rsidR="00E035CB">
        <w:rPr>
          <w:rFonts w:eastAsia="MS Mincho"/>
          <w:lang w:eastAsia="uk-UA"/>
        </w:rPr>
        <w:t xml:space="preserve">his suffering from hepatitis B, </w:t>
      </w:r>
      <w:r w:rsidRPr="002B6725" w:rsidR="007A201E">
        <w:rPr>
          <w:rFonts w:eastAsia="MS Mincho"/>
          <w:lang w:eastAsia="uk-UA"/>
        </w:rPr>
        <w:t>heart</w:t>
      </w:r>
      <w:r w:rsidRPr="002B6725" w:rsidR="00E035CB">
        <w:rPr>
          <w:rFonts w:eastAsia="MS Mincho"/>
          <w:lang w:eastAsia="uk-UA"/>
        </w:rPr>
        <w:t xml:space="preserve"> pain or </w:t>
      </w:r>
      <w:r w:rsidRPr="002B6725" w:rsidR="007A201E">
        <w:rPr>
          <w:rFonts w:eastAsia="MS Mincho"/>
          <w:lang w:eastAsia="uk-UA"/>
        </w:rPr>
        <w:t>p</w:t>
      </w:r>
      <w:r w:rsidRPr="002B6725" w:rsidR="00CB50A5">
        <w:rPr>
          <w:rFonts w:eastAsia="MS Mincho"/>
          <w:lang w:eastAsia="uk-UA"/>
        </w:rPr>
        <w:t xml:space="preserve">roblems </w:t>
      </w:r>
      <w:r w:rsidRPr="002B6725" w:rsidR="00E035CB">
        <w:rPr>
          <w:rFonts w:eastAsia="MS Mincho"/>
          <w:lang w:eastAsia="uk-UA"/>
        </w:rPr>
        <w:t xml:space="preserve">with </w:t>
      </w:r>
      <w:r w:rsidRPr="002B6725" w:rsidR="00724282">
        <w:rPr>
          <w:rFonts w:eastAsia="MS Mincho"/>
          <w:lang w:eastAsia="uk-UA"/>
        </w:rPr>
        <w:t xml:space="preserve">his </w:t>
      </w:r>
      <w:r w:rsidRPr="002B6725" w:rsidR="00CB50A5">
        <w:rPr>
          <w:rFonts w:eastAsia="MS Mincho"/>
          <w:lang w:eastAsia="uk-UA"/>
        </w:rPr>
        <w:t>teeth and</w:t>
      </w:r>
      <w:r w:rsidRPr="002B6725" w:rsidR="00724282">
        <w:rPr>
          <w:rFonts w:eastAsia="MS Mincho"/>
          <w:lang w:eastAsia="uk-UA"/>
        </w:rPr>
        <w:t xml:space="preserve"> </w:t>
      </w:r>
      <w:r w:rsidRPr="002B6725" w:rsidR="00CB50A5">
        <w:rPr>
          <w:rFonts w:eastAsia="MS Mincho"/>
          <w:lang w:eastAsia="uk-UA"/>
        </w:rPr>
        <w:t xml:space="preserve">never </w:t>
      </w:r>
      <w:r w:rsidRPr="002B6725" w:rsidR="005B33BE">
        <w:rPr>
          <w:rFonts w:eastAsia="MS Mincho"/>
          <w:lang w:eastAsia="uk-UA"/>
        </w:rPr>
        <w:t xml:space="preserve">lodged </w:t>
      </w:r>
      <w:r w:rsidRPr="002B6725" w:rsidR="00CB50A5">
        <w:rPr>
          <w:rFonts w:eastAsia="MS Mincho"/>
          <w:lang w:eastAsia="uk-UA"/>
        </w:rPr>
        <w:t>any complaint</w:t>
      </w:r>
      <w:r w:rsidRPr="002B6725" w:rsidR="005B5F6A">
        <w:rPr>
          <w:rFonts w:eastAsia="MS Mincho"/>
          <w:lang w:eastAsia="uk-UA"/>
        </w:rPr>
        <w:t>s</w:t>
      </w:r>
      <w:r w:rsidRPr="002B6725" w:rsidR="00CB50A5">
        <w:rPr>
          <w:rFonts w:eastAsia="MS Mincho"/>
          <w:lang w:eastAsia="uk-UA"/>
        </w:rPr>
        <w:t xml:space="preserve"> </w:t>
      </w:r>
      <w:r w:rsidRPr="002B6725" w:rsidR="000B7081">
        <w:rPr>
          <w:rFonts w:eastAsia="MS Mincho"/>
          <w:lang w:eastAsia="uk-UA"/>
        </w:rPr>
        <w:t xml:space="preserve">regarding </w:t>
      </w:r>
      <w:r w:rsidRPr="002B6725" w:rsidR="0050006F">
        <w:rPr>
          <w:rFonts w:eastAsia="MS Mincho"/>
          <w:lang w:eastAsia="uk-UA"/>
        </w:rPr>
        <w:t xml:space="preserve">a </w:t>
      </w:r>
      <w:r w:rsidRPr="002B6725" w:rsidR="00724282">
        <w:rPr>
          <w:rFonts w:eastAsia="MS Mincho"/>
          <w:lang w:eastAsia="uk-UA"/>
        </w:rPr>
        <w:t xml:space="preserve">lack of </w:t>
      </w:r>
      <w:r w:rsidRPr="002B6725" w:rsidR="00CB50A5">
        <w:rPr>
          <w:rFonts w:eastAsia="MS Mincho"/>
          <w:lang w:eastAsia="uk-UA"/>
        </w:rPr>
        <w:t>medical assistance.</w:t>
      </w:r>
      <w:r w:rsidRPr="002B6725" w:rsidR="00952F27">
        <w:t xml:space="preserve"> H</w:t>
      </w:r>
      <w:r w:rsidRPr="002B6725" w:rsidR="00952F27">
        <w:rPr>
          <w:rFonts w:eastAsia="MS Mincho"/>
          <w:lang w:eastAsia="uk-UA"/>
        </w:rPr>
        <w:t xml:space="preserve">is state of health </w:t>
      </w:r>
      <w:r w:rsidRPr="002B6725" w:rsidR="0050006F">
        <w:rPr>
          <w:rFonts w:eastAsia="MS Mincho"/>
          <w:lang w:eastAsia="uk-UA"/>
        </w:rPr>
        <w:t xml:space="preserve">did </w:t>
      </w:r>
      <w:r w:rsidRPr="002B6725" w:rsidR="00952F27">
        <w:rPr>
          <w:rFonts w:eastAsia="MS Mincho"/>
          <w:lang w:eastAsia="uk-UA"/>
        </w:rPr>
        <w:t>not necessitate a special diet.</w:t>
      </w:r>
    </w:p>
    <w:p w:rsidRPr="002B6725" w:rsidR="00750D68" w:rsidP="002B6725" w:rsidRDefault="00964C1F">
      <w:pPr>
        <w:pStyle w:val="ECHRPara"/>
        <w:rPr>
          <w:lang w:val="en-GB"/>
        </w:rPr>
      </w:pPr>
      <w:r w:rsidRPr="002B6725">
        <w:rPr>
          <w:rFonts w:eastAsia="MS Mincho"/>
          <w:lang w:eastAsia="uk-UA"/>
        </w:rPr>
        <w:fldChar w:fldCharType="begin"/>
      </w:r>
      <w:r w:rsidRPr="002B6725">
        <w:rPr>
          <w:rFonts w:eastAsia="MS Mincho"/>
          <w:lang w:eastAsia="uk-UA"/>
        </w:rPr>
        <w:instrText xml:space="preserve"> SEQ level0 \*arabic </w:instrText>
      </w:r>
      <w:r w:rsidRPr="002B6725">
        <w:rPr>
          <w:rFonts w:eastAsia="MS Mincho"/>
          <w:lang w:eastAsia="uk-UA"/>
        </w:rPr>
        <w:fldChar w:fldCharType="separate"/>
      </w:r>
      <w:r w:rsidRPr="002B6725" w:rsidR="002B6725">
        <w:rPr>
          <w:rFonts w:eastAsia="MS Mincho"/>
          <w:noProof/>
          <w:lang w:eastAsia="uk-UA"/>
        </w:rPr>
        <w:t>35</w:t>
      </w:r>
      <w:r w:rsidRPr="002B6725">
        <w:rPr>
          <w:rFonts w:eastAsia="MS Mincho"/>
          <w:lang w:eastAsia="uk-UA"/>
        </w:rPr>
        <w:fldChar w:fldCharType="end"/>
      </w:r>
      <w:r w:rsidRPr="002B6725">
        <w:rPr>
          <w:rFonts w:eastAsia="MS Mincho"/>
          <w:lang w:eastAsia="uk-UA"/>
        </w:rPr>
        <w:t>.  </w:t>
      </w:r>
      <w:r w:rsidRPr="002B6725" w:rsidR="00724282">
        <w:rPr>
          <w:rFonts w:eastAsia="MS Mincho"/>
          <w:lang w:eastAsia="uk-UA"/>
        </w:rPr>
        <w:t>F</w:t>
      </w:r>
      <w:r w:rsidRPr="002B6725" w:rsidR="00A532C7">
        <w:rPr>
          <w:rFonts w:eastAsia="MS Mincho"/>
          <w:lang w:eastAsia="uk-UA"/>
        </w:rPr>
        <w:t>ollowing a liver-related complaint</w:t>
      </w:r>
      <w:r w:rsidRPr="002B6725" w:rsidR="008F4DE8">
        <w:rPr>
          <w:rFonts w:eastAsia="MS Mincho"/>
          <w:lang w:eastAsia="uk-UA"/>
        </w:rPr>
        <w:t xml:space="preserve"> that the applicant was suffering from,</w:t>
      </w:r>
      <w:r w:rsidRPr="002B6725" w:rsidR="00A532C7">
        <w:rPr>
          <w:rFonts w:eastAsia="MS Mincho"/>
          <w:lang w:eastAsia="uk-UA"/>
        </w:rPr>
        <w:t xml:space="preserve"> he was diagnosed with </w:t>
      </w:r>
      <w:r w:rsidRPr="002B6725" w:rsidR="008F4DE8">
        <w:rPr>
          <w:rFonts w:eastAsia="Times New Roman"/>
          <w:lang w:eastAsia="ru-RU"/>
        </w:rPr>
        <w:t xml:space="preserve">bile-duct </w:t>
      </w:r>
      <w:r w:rsidRPr="002B6725" w:rsidR="00A532C7">
        <w:rPr>
          <w:rFonts w:eastAsia="Times New Roman"/>
          <w:lang w:eastAsia="ru-RU"/>
        </w:rPr>
        <w:t>dyskinesia (</w:t>
      </w:r>
      <w:r w:rsidRPr="002B6725" w:rsidR="00A532C7">
        <w:rPr>
          <w:rFonts w:eastAsia="Times New Roman"/>
          <w:i/>
          <w:lang w:val="uk-UA" w:eastAsia="ru-RU"/>
        </w:rPr>
        <w:t>дискінезія сечовивідних шляхів</w:t>
      </w:r>
      <w:r w:rsidRPr="002B6725" w:rsidR="00A532C7">
        <w:rPr>
          <w:rFonts w:eastAsia="Times New Roman"/>
          <w:lang w:eastAsia="ru-RU"/>
        </w:rPr>
        <w:t xml:space="preserve">) and </w:t>
      </w:r>
      <w:r w:rsidRPr="002B6725" w:rsidR="00A532C7">
        <w:rPr>
          <w:rFonts w:eastAsia="MS Mincho"/>
          <w:lang w:eastAsia="uk-UA"/>
        </w:rPr>
        <w:t>f</w:t>
      </w:r>
      <w:r w:rsidRPr="002B6725" w:rsidR="00CC1DC0">
        <w:rPr>
          <w:rFonts w:eastAsia="MS Mincho"/>
          <w:lang w:eastAsia="uk-UA"/>
        </w:rPr>
        <w:t xml:space="preserve">rom 20 October to </w:t>
      </w:r>
      <w:r w:rsidRPr="002B6725" w:rsidR="00CC1DC0">
        <w:rPr>
          <w:rFonts w:eastAsia="Times New Roman"/>
          <w:lang w:eastAsia="ru-RU"/>
        </w:rPr>
        <w:t>15 November 2006 h</w:t>
      </w:r>
      <w:r w:rsidRPr="002B6725" w:rsidR="008F4DE8">
        <w:rPr>
          <w:rFonts w:eastAsia="Times New Roman"/>
          <w:lang w:eastAsia="ru-RU"/>
        </w:rPr>
        <w:t>e</w:t>
      </w:r>
      <w:r w:rsidRPr="002B6725" w:rsidR="00CC1DC0">
        <w:rPr>
          <w:rFonts w:eastAsia="Times New Roman"/>
          <w:lang w:eastAsia="ru-RU"/>
        </w:rPr>
        <w:t xml:space="preserve"> under</w:t>
      </w:r>
      <w:r w:rsidRPr="002B6725" w:rsidR="008F4DE8">
        <w:rPr>
          <w:rFonts w:eastAsia="Times New Roman"/>
          <w:lang w:eastAsia="ru-RU"/>
        </w:rPr>
        <w:t>went</w:t>
      </w:r>
      <w:r w:rsidRPr="002B6725" w:rsidR="00CC1DC0">
        <w:rPr>
          <w:rFonts w:eastAsia="Times New Roman"/>
          <w:lang w:eastAsia="ru-RU"/>
        </w:rPr>
        <w:t xml:space="preserve"> inpatient treatment in the SIZO medical unit</w:t>
      </w:r>
      <w:r w:rsidRPr="002B6725" w:rsidR="00A532C7">
        <w:rPr>
          <w:rFonts w:eastAsia="Times New Roman"/>
          <w:lang w:eastAsia="ru-RU"/>
        </w:rPr>
        <w:t>.</w:t>
      </w:r>
      <w:r w:rsidRPr="002B6725" w:rsidR="00574DC6">
        <w:rPr>
          <w:rFonts w:eastAsia="Times New Roman"/>
          <w:lang w:eastAsia="ru-RU"/>
        </w:rPr>
        <w:t xml:space="preserve"> A number of laboratory tests </w:t>
      </w:r>
      <w:r w:rsidRPr="002B6725" w:rsidR="008F4DE8">
        <w:rPr>
          <w:rFonts w:eastAsia="Times New Roman"/>
          <w:lang w:eastAsia="ru-RU"/>
        </w:rPr>
        <w:t>were</w:t>
      </w:r>
      <w:r w:rsidRPr="002B6725" w:rsidR="00574DC6">
        <w:rPr>
          <w:rFonts w:eastAsia="Times New Roman"/>
          <w:lang w:eastAsia="ru-RU"/>
        </w:rPr>
        <w:t xml:space="preserve"> </w:t>
      </w:r>
      <w:r w:rsidRPr="002B6725" w:rsidR="008F4DE8">
        <w:rPr>
          <w:rFonts w:eastAsia="Times New Roman"/>
          <w:lang w:eastAsia="ru-RU"/>
        </w:rPr>
        <w:t>carried out on</w:t>
      </w:r>
      <w:r w:rsidRPr="002B6725" w:rsidR="00574DC6">
        <w:rPr>
          <w:rFonts w:eastAsia="Times New Roman"/>
          <w:lang w:eastAsia="ru-RU"/>
        </w:rPr>
        <w:t xml:space="preserve"> the applicant, including a speciali</w:t>
      </w:r>
      <w:r w:rsidRPr="002B6725" w:rsidR="008F4DE8">
        <w:rPr>
          <w:rFonts w:eastAsia="Times New Roman"/>
          <w:lang w:eastAsia="ru-RU"/>
        </w:rPr>
        <w:t>s</w:t>
      </w:r>
      <w:r w:rsidRPr="002B6725" w:rsidR="00574DC6">
        <w:rPr>
          <w:rFonts w:eastAsia="Times New Roman"/>
          <w:lang w:eastAsia="ru-RU"/>
        </w:rPr>
        <w:t xml:space="preserve">ed </w:t>
      </w:r>
      <w:r w:rsidRPr="002B6725" w:rsidR="00574DC6">
        <w:rPr>
          <w:lang w:val="en-GB"/>
        </w:rPr>
        <w:t xml:space="preserve">blood test for hepatitis </w:t>
      </w:r>
      <w:r w:rsidRPr="002B6725" w:rsidR="008F4DE8">
        <w:rPr>
          <w:rFonts w:eastAsia="Times New Roman"/>
          <w:lang w:eastAsia="ru-RU"/>
        </w:rPr>
        <w:t>indicators</w:t>
      </w:r>
      <w:r w:rsidRPr="002B6725" w:rsidR="00574DC6">
        <w:rPr>
          <w:rFonts w:eastAsia="Times New Roman"/>
          <w:lang w:eastAsia="ru-RU"/>
        </w:rPr>
        <w:t xml:space="preserve">. The latter revealed </w:t>
      </w:r>
      <w:r w:rsidRPr="002B6725" w:rsidR="008F4DE8">
        <w:rPr>
          <w:rFonts w:eastAsia="Times New Roman"/>
          <w:lang w:eastAsia="ru-RU"/>
        </w:rPr>
        <w:t xml:space="preserve">hBs </w:t>
      </w:r>
      <w:r w:rsidRPr="002B6725" w:rsidR="00574DC6">
        <w:rPr>
          <w:rFonts w:eastAsia="Times New Roman"/>
          <w:lang w:eastAsia="ru-RU"/>
        </w:rPr>
        <w:t>antigen</w:t>
      </w:r>
      <w:r w:rsidRPr="002B6725" w:rsidR="008F4DE8">
        <w:rPr>
          <w:rFonts w:eastAsia="Times New Roman"/>
          <w:lang w:eastAsia="ru-RU"/>
        </w:rPr>
        <w:t>s</w:t>
      </w:r>
      <w:r w:rsidRPr="002B6725" w:rsidR="005B5F6A">
        <w:rPr>
          <w:rFonts w:eastAsia="Times New Roman"/>
          <w:lang w:eastAsia="ru-RU"/>
        </w:rPr>
        <w:t>,</w:t>
      </w:r>
      <w:r w:rsidRPr="002B6725" w:rsidR="00574DC6">
        <w:rPr>
          <w:rFonts w:eastAsia="Times New Roman"/>
          <w:lang w:eastAsia="ru-RU"/>
        </w:rPr>
        <w:t xml:space="preserve"> </w:t>
      </w:r>
      <w:r w:rsidRPr="002B6725" w:rsidR="00AC3371">
        <w:rPr>
          <w:rFonts w:eastAsia="Times New Roman"/>
          <w:lang w:eastAsia="ru-RU"/>
        </w:rPr>
        <w:t xml:space="preserve">which meant </w:t>
      </w:r>
      <w:r w:rsidRPr="002B6725" w:rsidR="00574DC6">
        <w:rPr>
          <w:rFonts w:eastAsia="Times New Roman"/>
          <w:lang w:eastAsia="ru-RU"/>
        </w:rPr>
        <w:t xml:space="preserve">that the applicant had </w:t>
      </w:r>
      <w:r w:rsidRPr="002B6725" w:rsidR="00AC3371">
        <w:rPr>
          <w:rFonts w:eastAsia="Times New Roman"/>
          <w:lang w:eastAsia="ru-RU"/>
        </w:rPr>
        <w:t>h</w:t>
      </w:r>
      <w:r w:rsidRPr="002B6725" w:rsidR="00574DC6">
        <w:rPr>
          <w:rFonts w:eastAsia="Times New Roman"/>
          <w:lang w:eastAsia="ru-RU"/>
        </w:rPr>
        <w:t>epatitis B anti</w:t>
      </w:r>
      <w:r w:rsidRPr="002B6725" w:rsidR="008F4DE8">
        <w:rPr>
          <w:rFonts w:eastAsia="Times New Roman"/>
          <w:lang w:eastAsia="ru-RU"/>
        </w:rPr>
        <w:t>bodies</w:t>
      </w:r>
      <w:r w:rsidRPr="002B6725" w:rsidR="00574DC6">
        <w:rPr>
          <w:rFonts w:eastAsia="Times New Roman"/>
          <w:lang w:eastAsia="ru-RU"/>
        </w:rPr>
        <w:t xml:space="preserve"> in his blood but not that he had been </w:t>
      </w:r>
      <w:r w:rsidRPr="002B6725" w:rsidR="00AC3371">
        <w:rPr>
          <w:rFonts w:eastAsia="Times New Roman"/>
          <w:lang w:eastAsia="ru-RU"/>
        </w:rPr>
        <w:t xml:space="preserve">definitely </w:t>
      </w:r>
      <w:r w:rsidRPr="002B6725" w:rsidR="00574DC6">
        <w:rPr>
          <w:rFonts w:eastAsia="Times New Roman"/>
          <w:lang w:eastAsia="ru-RU"/>
        </w:rPr>
        <w:t xml:space="preserve">suffering from </w:t>
      </w:r>
      <w:r w:rsidRPr="002B6725" w:rsidR="00AC3371">
        <w:rPr>
          <w:rFonts w:eastAsia="Times New Roman"/>
          <w:lang w:eastAsia="ru-RU"/>
        </w:rPr>
        <w:t xml:space="preserve">the </w:t>
      </w:r>
      <w:r w:rsidRPr="002B6725" w:rsidR="00574DC6">
        <w:rPr>
          <w:rFonts w:eastAsia="Times New Roman"/>
          <w:lang w:eastAsia="ru-RU"/>
        </w:rPr>
        <w:t xml:space="preserve">active form of the disease. The applicant was prescribed </w:t>
      </w:r>
      <w:r w:rsidRPr="002B6725" w:rsidR="000A414B">
        <w:rPr>
          <w:rFonts w:eastAsia="Times New Roman"/>
          <w:lang w:eastAsia="ru-RU"/>
        </w:rPr>
        <w:t>the relevant treatment (</w:t>
      </w:r>
      <w:r w:rsidRPr="002B6725" w:rsidR="00574DC6">
        <w:rPr>
          <w:lang w:val="en-GB"/>
        </w:rPr>
        <w:t xml:space="preserve">Carsil, </w:t>
      </w:r>
      <w:r w:rsidRPr="002B6725" w:rsidR="000A414B">
        <w:rPr>
          <w:lang w:val="en-GB"/>
        </w:rPr>
        <w:t xml:space="preserve">Livolin, Alochol, Gastronorm, </w:t>
      </w:r>
      <w:r w:rsidRPr="002B6725" w:rsidR="00574DC6">
        <w:rPr>
          <w:lang w:val="en-GB"/>
        </w:rPr>
        <w:t>Ursohol)</w:t>
      </w:r>
      <w:r w:rsidRPr="002B6725" w:rsidR="0050006F">
        <w:rPr>
          <w:lang w:val="en-GB"/>
        </w:rPr>
        <w:t>,</w:t>
      </w:r>
      <w:r w:rsidRPr="002B6725" w:rsidR="000A414B">
        <w:rPr>
          <w:lang w:val="en-GB"/>
        </w:rPr>
        <w:t xml:space="preserve"> which he received in full, and </w:t>
      </w:r>
      <w:r w:rsidRPr="002B6725" w:rsidR="00574DC6">
        <w:rPr>
          <w:lang w:val="en-GB"/>
        </w:rPr>
        <w:t xml:space="preserve">at the end of </w:t>
      </w:r>
      <w:r w:rsidRPr="002B6725" w:rsidR="00AC3371">
        <w:rPr>
          <w:lang w:val="en-GB"/>
        </w:rPr>
        <w:t xml:space="preserve">his </w:t>
      </w:r>
      <w:r w:rsidRPr="002B6725" w:rsidR="00574DC6">
        <w:rPr>
          <w:lang w:val="en-GB"/>
        </w:rPr>
        <w:t xml:space="preserve">treatment </w:t>
      </w:r>
      <w:r w:rsidRPr="002B6725" w:rsidR="000A414B">
        <w:rPr>
          <w:lang w:val="en-GB"/>
        </w:rPr>
        <w:t xml:space="preserve">he </w:t>
      </w:r>
      <w:r w:rsidRPr="002B6725" w:rsidR="00574DC6">
        <w:rPr>
          <w:lang w:val="en-GB"/>
        </w:rPr>
        <w:t xml:space="preserve">was </w:t>
      </w:r>
      <w:r w:rsidRPr="002B6725" w:rsidR="00AC3371">
        <w:rPr>
          <w:lang w:val="en-GB"/>
        </w:rPr>
        <w:t xml:space="preserve">deemed </w:t>
      </w:r>
      <w:r w:rsidRPr="002B6725" w:rsidR="00574DC6">
        <w:rPr>
          <w:lang w:val="en-GB"/>
        </w:rPr>
        <w:t>to be in good health.</w:t>
      </w:r>
    </w:p>
    <w:p w:rsidRPr="002B6725" w:rsidR="007A201E" w:rsidP="002B6725" w:rsidRDefault="00964C1F">
      <w:pPr>
        <w:pStyle w:val="ECHRPara"/>
        <w:rPr>
          <w:rFonts w:eastAsia="MS Mincho"/>
          <w:lang w:eastAsia="uk-UA"/>
        </w:rPr>
      </w:pPr>
      <w:r w:rsidRPr="002B6725">
        <w:rPr>
          <w:rFonts w:eastAsia="MS Mincho"/>
          <w:lang w:eastAsia="uk-UA"/>
        </w:rPr>
        <w:fldChar w:fldCharType="begin"/>
      </w:r>
      <w:r w:rsidRPr="002B6725">
        <w:rPr>
          <w:rFonts w:eastAsia="MS Mincho"/>
          <w:lang w:eastAsia="uk-UA"/>
        </w:rPr>
        <w:instrText xml:space="preserve"> SEQ level0 \*arabic </w:instrText>
      </w:r>
      <w:r w:rsidRPr="002B6725">
        <w:rPr>
          <w:rFonts w:eastAsia="MS Mincho"/>
          <w:lang w:eastAsia="uk-UA"/>
        </w:rPr>
        <w:fldChar w:fldCharType="separate"/>
      </w:r>
      <w:r w:rsidRPr="002B6725" w:rsidR="002B6725">
        <w:rPr>
          <w:rFonts w:eastAsia="MS Mincho"/>
          <w:noProof/>
          <w:lang w:eastAsia="uk-UA"/>
        </w:rPr>
        <w:t>36</w:t>
      </w:r>
      <w:r w:rsidRPr="002B6725">
        <w:rPr>
          <w:rFonts w:eastAsia="MS Mincho"/>
          <w:lang w:eastAsia="uk-UA"/>
        </w:rPr>
        <w:fldChar w:fldCharType="end"/>
      </w:r>
      <w:r w:rsidRPr="002B6725">
        <w:rPr>
          <w:rFonts w:eastAsia="MS Mincho"/>
          <w:lang w:eastAsia="uk-UA"/>
        </w:rPr>
        <w:t>.  </w:t>
      </w:r>
      <w:r w:rsidRPr="002B6725" w:rsidR="007A201E">
        <w:rPr>
          <w:rFonts w:eastAsia="MS Mincho"/>
          <w:lang w:eastAsia="uk-UA"/>
        </w:rPr>
        <w:t xml:space="preserve">On </w:t>
      </w:r>
      <w:r w:rsidRPr="002B6725" w:rsidR="000E5740">
        <w:rPr>
          <w:rFonts w:eastAsia="MS Mincho"/>
          <w:lang w:eastAsia="uk-UA"/>
        </w:rPr>
        <w:t xml:space="preserve">1 July </w:t>
      </w:r>
      <w:r w:rsidRPr="002B6725" w:rsidR="001F7463">
        <w:rPr>
          <w:rFonts w:eastAsia="MS Mincho"/>
          <w:lang w:eastAsia="uk-UA"/>
        </w:rPr>
        <w:t xml:space="preserve">2007 </w:t>
      </w:r>
      <w:r w:rsidRPr="002B6725" w:rsidR="000E5740">
        <w:rPr>
          <w:rFonts w:eastAsia="MS Mincho"/>
          <w:lang w:eastAsia="uk-UA"/>
        </w:rPr>
        <w:t xml:space="preserve">the applicant was transferred to prison no. 72 to serve his sentence. On </w:t>
      </w:r>
      <w:r w:rsidRPr="002B6725" w:rsidR="007A201E">
        <w:rPr>
          <w:rFonts w:eastAsia="MS Mincho"/>
          <w:lang w:eastAsia="uk-UA"/>
        </w:rPr>
        <w:t>1</w:t>
      </w:r>
      <w:r w:rsidRPr="002B6725" w:rsidR="000E5740">
        <w:rPr>
          <w:rFonts w:eastAsia="MS Mincho"/>
          <w:lang w:eastAsia="uk-UA"/>
        </w:rPr>
        <w:t xml:space="preserve">1 August </w:t>
      </w:r>
      <w:r w:rsidRPr="002B6725" w:rsidR="007A201E">
        <w:rPr>
          <w:rFonts w:eastAsia="MS Mincho"/>
          <w:lang w:eastAsia="uk-UA"/>
        </w:rPr>
        <w:t>200</w:t>
      </w:r>
      <w:r w:rsidRPr="002B6725" w:rsidR="000E5740">
        <w:rPr>
          <w:rFonts w:eastAsia="MS Mincho"/>
          <w:lang w:eastAsia="uk-UA"/>
        </w:rPr>
        <w:t xml:space="preserve">7 he </w:t>
      </w:r>
      <w:r w:rsidRPr="002B6725" w:rsidR="007A201E">
        <w:rPr>
          <w:rFonts w:eastAsia="MS Mincho"/>
          <w:lang w:eastAsia="uk-UA"/>
        </w:rPr>
        <w:t xml:space="preserve">was diagnosed with </w:t>
      </w:r>
      <w:r w:rsidRPr="002B6725" w:rsidR="004442FC">
        <w:rPr>
          <w:rFonts w:eastAsia="MS Mincho"/>
          <w:lang w:eastAsia="uk-UA"/>
        </w:rPr>
        <w:t>h</w:t>
      </w:r>
      <w:r w:rsidRPr="002B6725" w:rsidR="007A201E">
        <w:rPr>
          <w:rFonts w:eastAsia="MS Mincho"/>
          <w:lang w:eastAsia="uk-UA"/>
        </w:rPr>
        <w:t>epatitis B</w:t>
      </w:r>
      <w:r w:rsidRPr="002B6725" w:rsidR="00574DC6">
        <w:rPr>
          <w:rFonts w:eastAsia="MS Mincho"/>
          <w:lang w:eastAsia="uk-UA"/>
        </w:rPr>
        <w:t xml:space="preserve">. Thereafter </w:t>
      </w:r>
      <w:r w:rsidRPr="002B6725" w:rsidR="000A414B">
        <w:rPr>
          <w:rFonts w:eastAsia="MS Mincho"/>
          <w:lang w:eastAsia="uk-UA"/>
        </w:rPr>
        <w:t>he</w:t>
      </w:r>
      <w:r w:rsidRPr="002B6725" w:rsidR="00574DC6">
        <w:rPr>
          <w:rFonts w:eastAsia="MS Mincho"/>
          <w:lang w:eastAsia="uk-UA"/>
        </w:rPr>
        <w:t xml:space="preserve"> </w:t>
      </w:r>
      <w:r w:rsidRPr="002B6725" w:rsidR="000E5740">
        <w:t xml:space="preserve">lodged a number of complaints </w:t>
      </w:r>
      <w:r w:rsidRPr="002B6725" w:rsidR="004442FC">
        <w:t xml:space="preserve">with </w:t>
      </w:r>
      <w:r w:rsidRPr="002B6725" w:rsidR="000E5740">
        <w:t xml:space="preserve">different </w:t>
      </w:r>
      <w:r w:rsidRPr="002B6725" w:rsidR="004442FC">
        <w:t xml:space="preserve">State </w:t>
      </w:r>
      <w:r w:rsidRPr="002B6725" w:rsidR="000E5740">
        <w:t>bodies</w:t>
      </w:r>
      <w:r w:rsidRPr="002B6725" w:rsidR="00574DC6">
        <w:t xml:space="preserve"> alleging that he had contracted hepatitis in the SIZO </w:t>
      </w:r>
      <w:r w:rsidRPr="002B6725" w:rsidR="004442FC">
        <w:t xml:space="preserve">owing </w:t>
      </w:r>
      <w:r w:rsidRPr="002B6725" w:rsidR="00574DC6">
        <w:t xml:space="preserve">to the failure to disinfect </w:t>
      </w:r>
      <w:r w:rsidRPr="002B6725" w:rsidR="004442FC">
        <w:t xml:space="preserve">hairdressing implements, </w:t>
      </w:r>
      <w:r w:rsidRPr="002B6725" w:rsidR="00574DC6">
        <w:t xml:space="preserve">and demanding investigation </w:t>
      </w:r>
      <w:r w:rsidRPr="002B6725" w:rsidR="004442FC">
        <w:t xml:space="preserve">of </w:t>
      </w:r>
      <w:r w:rsidRPr="002B6725" w:rsidR="00574DC6">
        <w:t xml:space="preserve">this </w:t>
      </w:r>
      <w:r w:rsidRPr="002B6725" w:rsidR="004442FC">
        <w:t>matter</w:t>
      </w:r>
      <w:r w:rsidRPr="002B6725" w:rsidR="00574DC6">
        <w:t>.</w:t>
      </w:r>
      <w:r w:rsidRPr="002B6725" w:rsidR="000E5740">
        <w:t xml:space="preserve"> </w:t>
      </w:r>
      <w:r w:rsidRPr="002B6725" w:rsidR="007A201E">
        <w:rPr>
          <w:rFonts w:eastAsia="MS Mincho"/>
          <w:lang w:eastAsia="uk-UA"/>
        </w:rPr>
        <w:t>Following</w:t>
      </w:r>
      <w:r w:rsidRPr="002B6725" w:rsidR="004442FC">
        <w:rPr>
          <w:rFonts w:eastAsia="MS Mincho"/>
          <w:lang w:eastAsia="uk-UA"/>
        </w:rPr>
        <w:t xml:space="preserve"> his allegations,</w:t>
      </w:r>
      <w:r w:rsidRPr="002B6725" w:rsidR="007A201E">
        <w:rPr>
          <w:rFonts w:eastAsia="MS Mincho"/>
          <w:lang w:eastAsia="uk-UA"/>
        </w:rPr>
        <w:t xml:space="preserve"> investigations </w:t>
      </w:r>
      <w:r w:rsidRPr="002B6725" w:rsidR="004442FC">
        <w:rPr>
          <w:rFonts w:eastAsia="MS Mincho"/>
          <w:lang w:eastAsia="uk-UA"/>
        </w:rPr>
        <w:t xml:space="preserve">were </w:t>
      </w:r>
      <w:r w:rsidRPr="002B6725" w:rsidR="007A201E">
        <w:rPr>
          <w:rFonts w:eastAsia="MS Mincho"/>
          <w:lang w:eastAsia="uk-UA"/>
        </w:rPr>
        <w:t xml:space="preserve">conducted by the </w:t>
      </w:r>
      <w:r w:rsidRPr="002B6725" w:rsidR="00DF2BD7">
        <w:rPr>
          <w:rFonts w:eastAsia="MS Mincho"/>
          <w:lang w:eastAsia="uk-UA"/>
        </w:rPr>
        <w:t xml:space="preserve">Health Ministry </w:t>
      </w:r>
      <w:r w:rsidRPr="002B6725" w:rsidR="00CC1DC0">
        <w:rPr>
          <w:rFonts w:eastAsia="MS Mincho"/>
          <w:lang w:eastAsia="uk-UA"/>
        </w:rPr>
        <w:t xml:space="preserve">and </w:t>
      </w:r>
      <w:r w:rsidRPr="002B6725" w:rsidR="00580D03">
        <w:rPr>
          <w:rFonts w:eastAsia="MS Mincho"/>
          <w:lang w:eastAsia="uk-UA"/>
        </w:rPr>
        <w:t>the prosecutor</w:t>
      </w:r>
      <w:r w:rsidRPr="002B6725" w:rsidR="002B6725">
        <w:rPr>
          <w:rFonts w:eastAsia="MS Mincho"/>
          <w:lang w:eastAsia="uk-UA"/>
        </w:rPr>
        <w:t>’</w:t>
      </w:r>
      <w:r w:rsidRPr="002B6725" w:rsidR="00580D03">
        <w:rPr>
          <w:rFonts w:eastAsia="MS Mincho"/>
          <w:lang w:eastAsia="uk-UA"/>
        </w:rPr>
        <w:t>s office</w:t>
      </w:r>
      <w:r w:rsidRPr="002B6725" w:rsidR="0050006F">
        <w:rPr>
          <w:rFonts w:eastAsia="MS Mincho"/>
          <w:lang w:eastAsia="uk-UA"/>
        </w:rPr>
        <w:t>,</w:t>
      </w:r>
      <w:r w:rsidRPr="002B6725" w:rsidR="00044650">
        <w:rPr>
          <w:rFonts w:eastAsia="MS Mincho"/>
          <w:lang w:eastAsia="uk-UA"/>
        </w:rPr>
        <w:t xml:space="preserve"> </w:t>
      </w:r>
      <w:r w:rsidRPr="002B6725" w:rsidR="004442FC">
        <w:rPr>
          <w:rFonts w:eastAsia="MS Mincho"/>
          <w:lang w:eastAsia="uk-UA"/>
        </w:rPr>
        <w:t xml:space="preserve">which found </w:t>
      </w:r>
      <w:r w:rsidRPr="002B6725" w:rsidR="00044650">
        <w:rPr>
          <w:rFonts w:eastAsia="MS Mincho"/>
          <w:lang w:eastAsia="uk-UA"/>
        </w:rPr>
        <w:t>no evidence to support the applicant</w:t>
      </w:r>
      <w:r w:rsidRPr="002B6725" w:rsidR="002B6725">
        <w:rPr>
          <w:rFonts w:eastAsia="MS Mincho"/>
          <w:lang w:eastAsia="uk-UA"/>
        </w:rPr>
        <w:t>’</w:t>
      </w:r>
      <w:r w:rsidRPr="002B6725" w:rsidR="00044650">
        <w:rPr>
          <w:rFonts w:eastAsia="MS Mincho"/>
          <w:lang w:eastAsia="uk-UA"/>
        </w:rPr>
        <w:t>s allegations</w:t>
      </w:r>
      <w:r w:rsidRPr="002B6725" w:rsidR="000A414B">
        <w:rPr>
          <w:rFonts w:eastAsia="MS Mincho"/>
          <w:lang w:eastAsia="uk-UA"/>
        </w:rPr>
        <w:t xml:space="preserve">. The applicant was informed of the results of the investigation by </w:t>
      </w:r>
      <w:r w:rsidRPr="002B6725" w:rsidR="000253AB">
        <w:rPr>
          <w:rFonts w:eastAsia="MS Mincho"/>
          <w:lang w:eastAsia="uk-UA"/>
        </w:rPr>
        <w:t xml:space="preserve">a </w:t>
      </w:r>
      <w:r w:rsidRPr="002B6725" w:rsidR="000A414B">
        <w:rPr>
          <w:rFonts w:eastAsia="MS Mincho"/>
          <w:lang w:eastAsia="uk-UA"/>
        </w:rPr>
        <w:t>prosecutor</w:t>
      </w:r>
      <w:r w:rsidRPr="002B6725" w:rsidR="002B6725">
        <w:rPr>
          <w:rFonts w:eastAsia="MS Mincho"/>
          <w:lang w:eastAsia="uk-UA"/>
        </w:rPr>
        <w:t>’</w:t>
      </w:r>
      <w:r w:rsidRPr="002B6725" w:rsidR="000A414B">
        <w:rPr>
          <w:rFonts w:eastAsia="MS Mincho"/>
          <w:lang w:eastAsia="uk-UA"/>
        </w:rPr>
        <w:t xml:space="preserve">s letter of </w:t>
      </w:r>
      <w:r w:rsidRPr="002B6725" w:rsidR="000E5740">
        <w:t>27 July 2009</w:t>
      </w:r>
      <w:r w:rsidRPr="002B6725" w:rsidR="00A17C02">
        <w:t>.</w:t>
      </w:r>
    </w:p>
    <w:p w:rsidRPr="002B6725" w:rsidR="00750D68" w:rsidP="002B6725" w:rsidRDefault="00014566">
      <w:pPr>
        <w:pStyle w:val="ECHRHeading1"/>
        <w:rPr>
          <w:lang w:val="en-GB"/>
        </w:rPr>
      </w:pPr>
      <w:r w:rsidRPr="002B6725">
        <w:rPr>
          <w:lang w:val="en-GB"/>
        </w:rPr>
        <w:t>II.  RELEVANT DOMESTIC LAW</w:t>
      </w:r>
    </w:p>
    <w:p w:rsidRPr="002B6725" w:rsidR="00932193" w:rsidP="002B6725" w:rsidRDefault="00C72699">
      <w:pPr>
        <w:pStyle w:val="ECHRHeading2"/>
        <w:rPr>
          <w:lang w:val="en-GB"/>
        </w:rPr>
      </w:pPr>
      <w:r w:rsidRPr="002B6725">
        <w:rPr>
          <w:lang w:val="en-GB"/>
        </w:rPr>
        <w:t>A.  </w:t>
      </w:r>
      <w:r w:rsidRPr="002B6725" w:rsidR="00932193">
        <w:rPr>
          <w:lang w:val="en-GB"/>
        </w:rPr>
        <w:t>Code of Criminal Procedure of 1960 (</w:t>
      </w:r>
      <w:r w:rsidRPr="002B6725" w:rsidR="000253AB">
        <w:rPr>
          <w:lang w:val="en-GB"/>
        </w:rPr>
        <w:t xml:space="preserve">“the </w:t>
      </w:r>
      <w:r w:rsidRPr="002B6725" w:rsidR="00932193">
        <w:rPr>
          <w:lang w:val="en-GB"/>
        </w:rPr>
        <w:t>CCP</w:t>
      </w:r>
      <w:r w:rsidRPr="002B6725" w:rsidR="000253AB">
        <w:rPr>
          <w:lang w:val="en-GB"/>
        </w:rPr>
        <w:t>”</w:t>
      </w:r>
      <w:r w:rsidRPr="002B6725" w:rsidR="00932193">
        <w:rPr>
          <w:lang w:val="en-GB"/>
        </w:rPr>
        <w:t>)</w:t>
      </w:r>
    </w:p>
    <w:p w:rsidRPr="002B6725" w:rsidR="00932193" w:rsidP="002B6725" w:rsidRDefault="00932193">
      <w:pPr>
        <w:pStyle w:val="ECHRPara"/>
        <w:rPr>
          <w:noProof/>
        </w:rPr>
      </w:pPr>
      <w:r w:rsidRPr="002B6725">
        <w:rPr>
          <w:noProof/>
        </w:rPr>
        <w:fldChar w:fldCharType="begin"/>
      </w:r>
      <w:r w:rsidRPr="002B6725">
        <w:rPr>
          <w:noProof/>
        </w:rPr>
        <w:instrText xml:space="preserve"> SEQ level0 \*arabic </w:instrText>
      </w:r>
      <w:r w:rsidRPr="002B6725">
        <w:rPr>
          <w:noProof/>
        </w:rPr>
        <w:fldChar w:fldCharType="separate"/>
      </w:r>
      <w:r w:rsidRPr="002B6725" w:rsidR="002B6725">
        <w:rPr>
          <w:noProof/>
        </w:rPr>
        <w:t>37</w:t>
      </w:r>
      <w:r w:rsidRPr="002B6725">
        <w:rPr>
          <w:noProof/>
        </w:rPr>
        <w:fldChar w:fldCharType="end"/>
      </w:r>
      <w:r w:rsidRPr="002B6725">
        <w:rPr>
          <w:noProof/>
        </w:rPr>
        <w:t>.  Article 162 of the CCP</w:t>
      </w:r>
      <w:r w:rsidRPr="002B6725" w:rsidR="000253AB">
        <w:rPr>
          <w:noProof/>
        </w:rPr>
        <w:t xml:space="preserve"> provided</w:t>
      </w:r>
      <w:r w:rsidRPr="002B6725">
        <w:rPr>
          <w:noProof/>
        </w:rPr>
        <w:t>, a</w:t>
      </w:r>
      <w:r w:rsidRPr="002B6725" w:rsidR="000253AB">
        <w:rPr>
          <w:noProof/>
        </w:rPr>
        <w:t>t</w:t>
      </w:r>
      <w:r w:rsidRPr="002B6725" w:rsidR="00A36DDF">
        <w:rPr>
          <w:noProof/>
        </w:rPr>
        <w:t xml:space="preserve"> the </w:t>
      </w:r>
      <w:r w:rsidRPr="002B6725">
        <w:rPr>
          <w:noProof/>
        </w:rPr>
        <w:t xml:space="preserve">relevant time, </w:t>
      </w:r>
      <w:r w:rsidRPr="002B6725" w:rsidR="000253AB">
        <w:rPr>
          <w:noProof/>
        </w:rPr>
        <w:t>t</w:t>
      </w:r>
      <w:r w:rsidRPr="002B6725">
        <w:rPr>
          <w:noProof/>
        </w:rPr>
        <w:t xml:space="preserve">hat visits of relatives or other </w:t>
      </w:r>
      <w:r w:rsidRPr="002B6725" w:rsidR="00F95421">
        <w:rPr>
          <w:noProof/>
        </w:rPr>
        <w:t xml:space="preserve">people </w:t>
      </w:r>
      <w:r w:rsidRPr="002B6725">
        <w:rPr>
          <w:noProof/>
        </w:rPr>
        <w:t xml:space="preserve">to a detainee could be allowed by </w:t>
      </w:r>
      <w:r w:rsidRPr="002B6725" w:rsidR="0050006F">
        <w:rPr>
          <w:noProof/>
        </w:rPr>
        <w:t xml:space="preserve">the responsible </w:t>
      </w:r>
      <w:r w:rsidRPr="002B6725">
        <w:rPr>
          <w:noProof/>
        </w:rPr>
        <w:t xml:space="preserve">person or institution </w:t>
      </w:r>
      <w:r w:rsidRPr="002B6725" w:rsidR="000253AB">
        <w:rPr>
          <w:noProof/>
        </w:rPr>
        <w:t>dealing</w:t>
      </w:r>
      <w:r w:rsidRPr="002B6725">
        <w:rPr>
          <w:noProof/>
        </w:rPr>
        <w:t xml:space="preserve"> with the case. The duration of the visit should be fixed </w:t>
      </w:r>
      <w:r w:rsidRPr="002B6725" w:rsidR="000253AB">
        <w:rPr>
          <w:noProof/>
        </w:rPr>
        <w:t xml:space="preserve">at </w:t>
      </w:r>
      <w:r w:rsidRPr="002B6725">
        <w:rPr>
          <w:noProof/>
        </w:rPr>
        <w:t xml:space="preserve">from one to two hours. </w:t>
      </w:r>
      <w:r w:rsidRPr="002B6725" w:rsidR="000253AB">
        <w:rPr>
          <w:noProof/>
        </w:rPr>
        <w:t>V</w:t>
      </w:r>
      <w:r w:rsidRPr="002B6725">
        <w:rPr>
          <w:noProof/>
        </w:rPr>
        <w:t>isit</w:t>
      </w:r>
      <w:r w:rsidRPr="002B6725" w:rsidR="000253AB">
        <w:rPr>
          <w:noProof/>
        </w:rPr>
        <w:t>s</w:t>
      </w:r>
      <w:r w:rsidRPr="002B6725">
        <w:rPr>
          <w:noProof/>
        </w:rPr>
        <w:t xml:space="preserve"> </w:t>
      </w:r>
      <w:r w:rsidRPr="002B6725" w:rsidR="000253AB">
        <w:rPr>
          <w:noProof/>
        </w:rPr>
        <w:t>sh</w:t>
      </w:r>
      <w:r w:rsidRPr="002B6725">
        <w:rPr>
          <w:noProof/>
        </w:rPr>
        <w:t>ould be allowed, as a rule, not more than once a month.</w:t>
      </w:r>
    </w:p>
    <w:p w:rsidRPr="002B6725" w:rsidR="00072280" w:rsidP="002B6725" w:rsidRDefault="00932193">
      <w:pPr>
        <w:pStyle w:val="ECHRHeading2"/>
        <w:rPr>
          <w:lang w:val="en-GB"/>
        </w:rPr>
      </w:pPr>
      <w:r w:rsidRPr="002B6725">
        <w:rPr>
          <w:lang w:val="en-GB"/>
        </w:rPr>
        <w:t>B</w:t>
      </w:r>
      <w:r w:rsidRPr="002B6725" w:rsidR="00C72699">
        <w:rPr>
          <w:lang w:val="en-GB"/>
        </w:rPr>
        <w:t>.  </w:t>
      </w:r>
      <w:r w:rsidRPr="002B6725" w:rsidR="00072280">
        <w:rPr>
          <w:lang w:val="en-GB"/>
        </w:rPr>
        <w:t>Pre-</w:t>
      </w:r>
      <w:r w:rsidRPr="002B6725" w:rsidR="000253AB">
        <w:rPr>
          <w:lang w:val="en-GB"/>
        </w:rPr>
        <w:t xml:space="preserve">Trial </w:t>
      </w:r>
      <w:r w:rsidRPr="002B6725" w:rsidR="00072280">
        <w:rPr>
          <w:lang w:val="en-GB"/>
        </w:rPr>
        <w:t xml:space="preserve">Detention </w:t>
      </w:r>
      <w:r w:rsidRPr="002B6725" w:rsidR="000253AB">
        <w:rPr>
          <w:lang w:val="en-GB"/>
        </w:rPr>
        <w:t xml:space="preserve">Act </w:t>
      </w:r>
      <w:r w:rsidRPr="002B6725" w:rsidR="00072280">
        <w:rPr>
          <w:lang w:val="en-GB"/>
        </w:rPr>
        <w:t>of 30 June 1993</w:t>
      </w:r>
      <w:r w:rsidRPr="002B6725" w:rsidR="00CC673D">
        <w:rPr>
          <w:lang w:val="en-GB"/>
        </w:rPr>
        <w:t xml:space="preserve"> (as in force at the </w:t>
      </w:r>
      <w:r w:rsidRPr="002B6725" w:rsidR="00A36DDF">
        <w:rPr>
          <w:lang w:val="en-GB"/>
        </w:rPr>
        <w:t xml:space="preserve">relevant </w:t>
      </w:r>
      <w:r w:rsidRPr="002B6725" w:rsidR="00CC673D">
        <w:rPr>
          <w:lang w:val="en-GB"/>
        </w:rPr>
        <w:t>time)</w:t>
      </w:r>
    </w:p>
    <w:p w:rsidRPr="002B6725" w:rsidR="00046246" w:rsidP="002B6725" w:rsidRDefault="002B6725">
      <w:pPr>
        <w:pStyle w:val="ECHRPara"/>
        <w:rPr>
          <w:lang w:val="en-GB"/>
        </w:rPr>
      </w:pPr>
      <w:fldSimple w:instr=" SEQ level0 \*arabic ">
        <w:r w:rsidRPr="002B6725">
          <w:rPr>
            <w:noProof/>
          </w:rPr>
          <w:t>38</w:t>
        </w:r>
      </w:fldSimple>
      <w:r w:rsidRPr="002B6725" w:rsidR="00046246">
        <w:t>.  The relevant provisions of the Act read as follows:</w:t>
      </w:r>
    </w:p>
    <w:p w:rsidRPr="002B6725" w:rsidR="00072280" w:rsidP="002B6725" w:rsidRDefault="00072280">
      <w:pPr>
        <w:pStyle w:val="ECHRHeading4"/>
        <w:ind w:left="0" w:firstLine="0"/>
        <w:jc w:val="center"/>
        <w:rPr>
          <w:rFonts w:eastAsia="MS Mincho"/>
          <w:lang w:eastAsia="uk-UA"/>
        </w:rPr>
      </w:pPr>
      <w:r w:rsidRPr="002B6725">
        <w:rPr>
          <w:rFonts w:eastAsia="MS Mincho"/>
          <w:lang w:val="en-GB" w:eastAsia="uk-UA"/>
        </w:rPr>
        <w:t xml:space="preserve">Article 9. Rights of </w:t>
      </w:r>
      <w:r w:rsidRPr="002B6725" w:rsidR="00756297">
        <w:rPr>
          <w:rFonts w:eastAsia="MS Mincho"/>
          <w:lang w:val="en-GB" w:eastAsia="uk-UA"/>
        </w:rPr>
        <w:t xml:space="preserve">individuals </w:t>
      </w:r>
      <w:r w:rsidRPr="002B6725">
        <w:rPr>
          <w:rFonts w:eastAsia="MS Mincho"/>
          <w:lang w:val="en-GB" w:eastAsia="uk-UA"/>
        </w:rPr>
        <w:t>remanded in custody</w:t>
      </w:r>
    </w:p>
    <w:p w:rsidRPr="002B6725" w:rsidR="00750D68" w:rsidP="002B6725" w:rsidRDefault="008D3EBF">
      <w:pPr>
        <w:pStyle w:val="ECHRParaQuote"/>
        <w:rPr>
          <w:rFonts w:eastAsia="MS Mincho"/>
          <w:lang w:eastAsia="uk-UA"/>
        </w:rPr>
      </w:pPr>
      <w:r w:rsidRPr="002B6725">
        <w:rPr>
          <w:rFonts w:eastAsia="MS Mincho"/>
          <w:lang w:val="en-GB" w:eastAsia="uk-UA"/>
        </w:rPr>
        <w:t>“</w:t>
      </w:r>
      <w:r w:rsidRPr="002B6725" w:rsidR="00072280">
        <w:rPr>
          <w:rFonts w:eastAsia="MS Mincho"/>
          <w:lang w:val="en-GB" w:eastAsia="uk-UA"/>
        </w:rPr>
        <w:t>Any person remanded in custody shall have the right</w:t>
      </w:r>
      <w:r w:rsidRPr="002B6725" w:rsidR="00072280">
        <w:rPr>
          <w:rFonts w:eastAsia="MS Mincho"/>
          <w:lang w:eastAsia="uk-UA"/>
        </w:rPr>
        <w:t>:</w:t>
      </w:r>
    </w:p>
    <w:p w:rsidRPr="002B6725" w:rsidR="00072280" w:rsidP="002B6725" w:rsidRDefault="006444A1">
      <w:pPr>
        <w:pStyle w:val="ECHRParaQuote"/>
        <w:rPr>
          <w:rFonts w:eastAsia="MS Mincho"/>
          <w:lang w:eastAsia="uk-UA"/>
        </w:rPr>
      </w:pPr>
      <w:r w:rsidRPr="002B6725">
        <w:rPr>
          <w:rFonts w:eastAsia="MS Mincho"/>
          <w:lang w:eastAsia="uk-UA"/>
        </w:rPr>
        <w:t>...</w:t>
      </w:r>
    </w:p>
    <w:p w:rsidRPr="002B6725" w:rsidR="008D3EBF" w:rsidP="002B6725" w:rsidRDefault="00072280">
      <w:pPr>
        <w:pStyle w:val="ECHRParaQuote"/>
        <w:rPr>
          <w:rFonts w:eastAsia="MS Mincho"/>
          <w:lang w:eastAsia="uk-UA"/>
        </w:rPr>
      </w:pPr>
      <w:r w:rsidRPr="002B6725">
        <w:rPr>
          <w:rFonts w:eastAsia="MS Mincho"/>
          <w:lang w:val="en-GB" w:eastAsia="uk-UA"/>
        </w:rPr>
        <w:t>to</w:t>
      </w:r>
      <w:r w:rsidRPr="002B6725">
        <w:rPr>
          <w:rFonts w:eastAsia="MS Mincho"/>
          <w:lang w:eastAsia="uk-UA"/>
        </w:rPr>
        <w:t xml:space="preserve"> </w:t>
      </w:r>
      <w:r w:rsidRPr="002B6725">
        <w:rPr>
          <w:rFonts w:eastAsia="MS Mincho"/>
          <w:lang w:val="en-GB" w:eastAsia="uk-UA"/>
        </w:rPr>
        <w:t>worship</w:t>
      </w:r>
      <w:r w:rsidRPr="002B6725">
        <w:rPr>
          <w:rFonts w:eastAsia="MS Mincho"/>
          <w:lang w:eastAsia="uk-UA"/>
        </w:rPr>
        <w:t xml:space="preserve"> </w:t>
      </w:r>
      <w:r w:rsidRPr="002B6725">
        <w:rPr>
          <w:rFonts w:eastAsia="MS Mincho"/>
          <w:lang w:val="en-GB" w:eastAsia="uk-UA"/>
        </w:rPr>
        <w:t>individually</w:t>
      </w:r>
      <w:r w:rsidRPr="002B6725" w:rsidR="0050006F">
        <w:rPr>
          <w:rFonts w:eastAsia="MS Mincho"/>
          <w:lang w:eastAsia="uk-UA"/>
        </w:rPr>
        <w:t xml:space="preserve"> [and]</w:t>
      </w:r>
      <w:r w:rsidRPr="002B6725">
        <w:rPr>
          <w:rFonts w:eastAsia="MS Mincho"/>
          <w:lang w:eastAsia="uk-UA"/>
        </w:rPr>
        <w:t xml:space="preserve"> </w:t>
      </w:r>
      <w:r w:rsidRPr="002B6725">
        <w:rPr>
          <w:rFonts w:eastAsia="MS Mincho"/>
          <w:lang w:val="en-GB" w:eastAsia="uk-UA"/>
        </w:rPr>
        <w:t>use</w:t>
      </w:r>
      <w:r w:rsidRPr="002B6725">
        <w:rPr>
          <w:rFonts w:eastAsia="MS Mincho"/>
          <w:lang w:eastAsia="uk-UA"/>
        </w:rPr>
        <w:t xml:space="preserve"> </w:t>
      </w:r>
      <w:r w:rsidRPr="002B6725">
        <w:rPr>
          <w:rFonts w:eastAsia="MS Mincho"/>
          <w:lang w:val="en-GB" w:eastAsia="uk-UA"/>
        </w:rPr>
        <w:t>religious</w:t>
      </w:r>
      <w:r w:rsidRPr="002B6725">
        <w:rPr>
          <w:rFonts w:eastAsia="MS Mincho"/>
          <w:lang w:eastAsia="uk-UA"/>
        </w:rPr>
        <w:t xml:space="preserve"> </w:t>
      </w:r>
      <w:r w:rsidRPr="002B6725">
        <w:rPr>
          <w:rFonts w:eastAsia="MS Mincho"/>
          <w:lang w:val="en-GB" w:eastAsia="uk-UA"/>
        </w:rPr>
        <w:t>literature</w:t>
      </w:r>
      <w:r w:rsidRPr="002B6725">
        <w:rPr>
          <w:rFonts w:eastAsia="MS Mincho"/>
          <w:lang w:eastAsia="uk-UA"/>
        </w:rPr>
        <w:t xml:space="preserve"> </w:t>
      </w:r>
      <w:r w:rsidRPr="002B6725">
        <w:rPr>
          <w:rFonts w:eastAsia="MS Mincho"/>
          <w:lang w:val="en-GB" w:eastAsia="uk-UA"/>
        </w:rPr>
        <w:t>and</w:t>
      </w:r>
      <w:r w:rsidRPr="002B6725">
        <w:rPr>
          <w:rFonts w:eastAsia="MS Mincho"/>
          <w:lang w:eastAsia="uk-UA"/>
        </w:rPr>
        <w:t xml:space="preserve"> </w:t>
      </w:r>
      <w:r w:rsidRPr="002B6725">
        <w:rPr>
          <w:rFonts w:eastAsia="MS Mincho"/>
          <w:lang w:val="en-GB" w:eastAsia="uk-UA"/>
        </w:rPr>
        <w:t>devotional</w:t>
      </w:r>
      <w:r w:rsidRPr="002B6725">
        <w:rPr>
          <w:rFonts w:eastAsia="MS Mincho"/>
          <w:lang w:eastAsia="uk-UA"/>
        </w:rPr>
        <w:t xml:space="preserve"> </w:t>
      </w:r>
      <w:r w:rsidRPr="002B6725">
        <w:rPr>
          <w:rFonts w:eastAsia="MS Mincho"/>
          <w:lang w:val="en-GB" w:eastAsia="uk-UA"/>
        </w:rPr>
        <w:t>articles</w:t>
      </w:r>
      <w:r w:rsidRPr="002B6725">
        <w:rPr>
          <w:rFonts w:eastAsia="MS Mincho"/>
          <w:lang w:eastAsia="uk-UA"/>
        </w:rPr>
        <w:t xml:space="preserve"> </w:t>
      </w:r>
      <w:r w:rsidRPr="002B6725">
        <w:rPr>
          <w:rFonts w:eastAsia="MS Mincho"/>
          <w:lang w:val="en-GB" w:eastAsia="uk-UA"/>
        </w:rPr>
        <w:t>related</w:t>
      </w:r>
      <w:r w:rsidRPr="002B6725">
        <w:rPr>
          <w:rFonts w:eastAsia="MS Mincho"/>
          <w:lang w:eastAsia="uk-UA"/>
        </w:rPr>
        <w:t xml:space="preserve"> </w:t>
      </w:r>
      <w:r w:rsidRPr="002B6725">
        <w:rPr>
          <w:rFonts w:eastAsia="MS Mincho"/>
          <w:lang w:val="en-GB" w:eastAsia="uk-UA"/>
        </w:rPr>
        <w:t>to</w:t>
      </w:r>
      <w:r w:rsidRPr="002B6725">
        <w:rPr>
          <w:rFonts w:eastAsia="MS Mincho"/>
          <w:lang w:eastAsia="uk-UA"/>
        </w:rPr>
        <w:t xml:space="preserve"> </w:t>
      </w:r>
      <w:r w:rsidRPr="002B6725">
        <w:rPr>
          <w:rFonts w:eastAsia="MS Mincho"/>
          <w:lang w:val="en-GB" w:eastAsia="uk-UA"/>
        </w:rPr>
        <w:t>his</w:t>
      </w:r>
      <w:r w:rsidRPr="002B6725">
        <w:rPr>
          <w:rFonts w:eastAsia="MS Mincho"/>
          <w:lang w:eastAsia="uk-UA"/>
        </w:rPr>
        <w:t xml:space="preserve"> </w:t>
      </w:r>
      <w:r w:rsidRPr="002B6725">
        <w:rPr>
          <w:rFonts w:eastAsia="MS Mincho"/>
          <w:lang w:val="en-GB" w:eastAsia="uk-UA"/>
        </w:rPr>
        <w:t>or</w:t>
      </w:r>
      <w:r w:rsidRPr="002B6725">
        <w:rPr>
          <w:rFonts w:eastAsia="MS Mincho"/>
          <w:lang w:eastAsia="uk-UA"/>
        </w:rPr>
        <w:t xml:space="preserve"> </w:t>
      </w:r>
      <w:r w:rsidRPr="002B6725">
        <w:rPr>
          <w:rFonts w:eastAsia="MS Mincho"/>
          <w:lang w:val="en-GB" w:eastAsia="uk-UA"/>
        </w:rPr>
        <w:t>her</w:t>
      </w:r>
      <w:r w:rsidRPr="002B6725">
        <w:rPr>
          <w:rFonts w:eastAsia="MS Mincho"/>
          <w:lang w:eastAsia="uk-UA"/>
        </w:rPr>
        <w:t xml:space="preserve"> </w:t>
      </w:r>
      <w:r w:rsidRPr="002B6725">
        <w:rPr>
          <w:rFonts w:eastAsia="MS Mincho"/>
          <w:lang w:val="en-GB" w:eastAsia="uk-UA"/>
        </w:rPr>
        <w:t>religious</w:t>
      </w:r>
      <w:r w:rsidRPr="002B6725">
        <w:rPr>
          <w:rFonts w:eastAsia="MS Mincho"/>
          <w:lang w:eastAsia="uk-UA"/>
        </w:rPr>
        <w:t xml:space="preserve"> </w:t>
      </w:r>
      <w:r w:rsidRPr="002B6725">
        <w:rPr>
          <w:rFonts w:eastAsia="MS Mincho"/>
          <w:lang w:val="en-GB" w:eastAsia="uk-UA"/>
        </w:rPr>
        <w:t>faith</w:t>
      </w:r>
      <w:r w:rsidRPr="002B6725">
        <w:rPr>
          <w:rFonts w:eastAsia="MS Mincho"/>
          <w:lang w:eastAsia="uk-UA"/>
        </w:rPr>
        <w:t xml:space="preserve"> </w:t>
      </w:r>
      <w:r w:rsidRPr="002B6725">
        <w:rPr>
          <w:rFonts w:eastAsia="MS Mincho"/>
          <w:lang w:val="en-GB" w:eastAsia="uk-UA"/>
        </w:rPr>
        <w:t>made</w:t>
      </w:r>
      <w:r w:rsidRPr="002B6725">
        <w:rPr>
          <w:rFonts w:eastAsia="MS Mincho"/>
          <w:lang w:eastAsia="uk-UA"/>
        </w:rPr>
        <w:t xml:space="preserve"> </w:t>
      </w:r>
      <w:r w:rsidRPr="002B6725">
        <w:rPr>
          <w:rFonts w:eastAsia="MS Mincho"/>
          <w:lang w:val="en-GB" w:eastAsia="uk-UA"/>
        </w:rPr>
        <w:t>of</w:t>
      </w:r>
      <w:r w:rsidRPr="002B6725">
        <w:rPr>
          <w:rFonts w:eastAsia="MS Mincho"/>
          <w:lang w:eastAsia="uk-UA"/>
        </w:rPr>
        <w:t xml:space="preserve"> </w:t>
      </w:r>
      <w:r w:rsidRPr="002B6725">
        <w:rPr>
          <w:rFonts w:eastAsia="MS Mincho"/>
          <w:lang w:val="en-GB" w:eastAsia="uk-UA"/>
        </w:rPr>
        <w:t>low</w:t>
      </w:r>
      <w:r w:rsidRPr="002B6725" w:rsidR="000B7081">
        <w:rPr>
          <w:rFonts w:eastAsia="MS Mincho"/>
          <w:lang w:eastAsia="uk-UA"/>
        </w:rPr>
        <w:t>-</w:t>
      </w:r>
      <w:r w:rsidRPr="002B6725">
        <w:rPr>
          <w:rFonts w:eastAsia="MS Mincho"/>
          <w:lang w:val="en-GB" w:eastAsia="uk-UA"/>
        </w:rPr>
        <w:t>value</w:t>
      </w:r>
      <w:r w:rsidRPr="002B6725">
        <w:rPr>
          <w:rFonts w:eastAsia="MS Mincho"/>
          <w:lang w:eastAsia="uk-UA"/>
        </w:rPr>
        <w:t xml:space="preserve"> </w:t>
      </w:r>
      <w:r w:rsidRPr="002B6725">
        <w:rPr>
          <w:rFonts w:eastAsia="MS Mincho"/>
          <w:lang w:val="en-GB" w:eastAsia="uk-UA"/>
        </w:rPr>
        <w:t>materials</w:t>
      </w:r>
      <w:r w:rsidRPr="002B6725">
        <w:rPr>
          <w:rFonts w:eastAsia="MS Mincho"/>
          <w:lang w:eastAsia="uk-UA"/>
        </w:rPr>
        <w:t xml:space="preserve">, </w:t>
      </w:r>
      <w:r w:rsidRPr="002B6725">
        <w:rPr>
          <w:rFonts w:eastAsia="MS Mincho"/>
          <w:lang w:val="en-GB" w:eastAsia="uk-UA"/>
        </w:rPr>
        <w:t>provided</w:t>
      </w:r>
      <w:r w:rsidRPr="002B6725">
        <w:rPr>
          <w:rFonts w:eastAsia="MS Mincho"/>
          <w:lang w:eastAsia="uk-UA"/>
        </w:rPr>
        <w:t xml:space="preserve"> </w:t>
      </w:r>
      <w:r w:rsidRPr="002B6725">
        <w:rPr>
          <w:rFonts w:eastAsia="MS Mincho"/>
          <w:lang w:val="en-GB" w:eastAsia="uk-UA"/>
        </w:rPr>
        <w:t>that</w:t>
      </w:r>
      <w:r w:rsidRPr="002B6725">
        <w:rPr>
          <w:rFonts w:eastAsia="MS Mincho"/>
          <w:lang w:eastAsia="uk-UA"/>
        </w:rPr>
        <w:t xml:space="preserve"> </w:t>
      </w:r>
      <w:r w:rsidRPr="002B6725">
        <w:rPr>
          <w:rFonts w:eastAsia="MS Mincho"/>
          <w:lang w:val="en-GB" w:eastAsia="uk-UA"/>
        </w:rPr>
        <w:t>this</w:t>
      </w:r>
      <w:r w:rsidRPr="002B6725">
        <w:rPr>
          <w:rFonts w:eastAsia="MS Mincho"/>
          <w:lang w:eastAsia="uk-UA"/>
        </w:rPr>
        <w:t xml:space="preserve"> </w:t>
      </w:r>
      <w:r w:rsidRPr="002B6725">
        <w:rPr>
          <w:rFonts w:eastAsia="MS Mincho"/>
          <w:lang w:val="en-GB" w:eastAsia="uk-UA"/>
        </w:rPr>
        <w:t>does</w:t>
      </w:r>
      <w:r w:rsidRPr="002B6725">
        <w:rPr>
          <w:rFonts w:eastAsia="MS Mincho"/>
          <w:lang w:eastAsia="uk-UA"/>
        </w:rPr>
        <w:t xml:space="preserve"> </w:t>
      </w:r>
      <w:r w:rsidRPr="002B6725">
        <w:rPr>
          <w:rFonts w:eastAsia="MS Mincho"/>
          <w:lang w:val="en-GB" w:eastAsia="uk-UA"/>
        </w:rPr>
        <w:t>not</w:t>
      </w:r>
      <w:r w:rsidRPr="002B6725">
        <w:rPr>
          <w:rFonts w:eastAsia="MS Mincho"/>
          <w:lang w:eastAsia="uk-UA"/>
        </w:rPr>
        <w:t xml:space="preserve"> </w:t>
      </w:r>
      <w:r w:rsidRPr="002B6725">
        <w:rPr>
          <w:rFonts w:eastAsia="MS Mincho"/>
          <w:lang w:val="en-GB" w:eastAsia="uk-UA"/>
        </w:rPr>
        <w:t>violate</w:t>
      </w:r>
      <w:r w:rsidRPr="002B6725">
        <w:rPr>
          <w:rFonts w:eastAsia="MS Mincho"/>
          <w:lang w:eastAsia="uk-UA"/>
        </w:rPr>
        <w:t xml:space="preserve"> </w:t>
      </w:r>
      <w:r w:rsidRPr="002B6725">
        <w:rPr>
          <w:rFonts w:eastAsia="MS Mincho"/>
          <w:lang w:val="en-GB" w:eastAsia="uk-UA"/>
        </w:rPr>
        <w:t>the</w:t>
      </w:r>
      <w:r w:rsidRPr="002B6725">
        <w:rPr>
          <w:rFonts w:eastAsia="MS Mincho"/>
          <w:lang w:eastAsia="uk-UA"/>
        </w:rPr>
        <w:t xml:space="preserve"> </w:t>
      </w:r>
      <w:r w:rsidRPr="002B6725">
        <w:rPr>
          <w:rFonts w:eastAsia="MS Mincho"/>
          <w:lang w:val="en-GB" w:eastAsia="uk-UA"/>
        </w:rPr>
        <w:t>established</w:t>
      </w:r>
      <w:r w:rsidRPr="002B6725">
        <w:rPr>
          <w:rFonts w:eastAsia="MS Mincho"/>
          <w:lang w:eastAsia="uk-UA"/>
        </w:rPr>
        <w:t xml:space="preserve"> </w:t>
      </w:r>
      <w:r w:rsidRPr="002B6725">
        <w:rPr>
          <w:rFonts w:eastAsia="MS Mincho"/>
          <w:lang w:val="en-GB" w:eastAsia="uk-UA"/>
        </w:rPr>
        <w:t>order</w:t>
      </w:r>
      <w:r w:rsidRPr="002B6725">
        <w:rPr>
          <w:rFonts w:eastAsia="MS Mincho"/>
          <w:lang w:eastAsia="uk-UA"/>
        </w:rPr>
        <w:t xml:space="preserve"> </w:t>
      </w:r>
      <w:r w:rsidRPr="002B6725">
        <w:rPr>
          <w:rFonts w:eastAsia="MS Mincho"/>
          <w:lang w:val="en-GB" w:eastAsia="uk-UA"/>
        </w:rPr>
        <w:t>in</w:t>
      </w:r>
      <w:r w:rsidRPr="002B6725">
        <w:rPr>
          <w:rFonts w:eastAsia="MS Mincho"/>
          <w:lang w:eastAsia="uk-UA"/>
        </w:rPr>
        <w:t xml:space="preserve"> </w:t>
      </w:r>
      <w:r w:rsidRPr="002B6725">
        <w:rPr>
          <w:rFonts w:eastAsia="MS Mincho"/>
          <w:lang w:val="en-GB" w:eastAsia="uk-UA"/>
        </w:rPr>
        <w:t>the</w:t>
      </w:r>
      <w:r w:rsidRPr="002B6725">
        <w:rPr>
          <w:rFonts w:eastAsia="MS Mincho"/>
          <w:lang w:eastAsia="uk-UA"/>
        </w:rPr>
        <w:t xml:space="preserve"> </w:t>
      </w:r>
      <w:r w:rsidRPr="002B6725">
        <w:rPr>
          <w:rFonts w:eastAsia="MS Mincho"/>
          <w:lang w:val="en-GB" w:eastAsia="uk-UA"/>
        </w:rPr>
        <w:t>pre</w:t>
      </w:r>
      <w:r w:rsidRPr="002B6725">
        <w:rPr>
          <w:rFonts w:eastAsia="MS Mincho"/>
          <w:lang w:eastAsia="uk-UA"/>
        </w:rPr>
        <w:t>-</w:t>
      </w:r>
      <w:r w:rsidRPr="002B6725">
        <w:rPr>
          <w:rFonts w:eastAsia="MS Mincho"/>
          <w:lang w:val="en-GB" w:eastAsia="uk-UA"/>
        </w:rPr>
        <w:t>trial</w:t>
      </w:r>
      <w:r w:rsidRPr="002B6725">
        <w:rPr>
          <w:rFonts w:eastAsia="MS Mincho"/>
          <w:lang w:eastAsia="uk-UA"/>
        </w:rPr>
        <w:t xml:space="preserve"> </w:t>
      </w:r>
      <w:r w:rsidRPr="002B6725">
        <w:rPr>
          <w:rFonts w:eastAsia="MS Mincho"/>
          <w:lang w:val="en-GB" w:eastAsia="uk-UA"/>
        </w:rPr>
        <w:t>detention</w:t>
      </w:r>
      <w:r w:rsidRPr="002B6725">
        <w:rPr>
          <w:rFonts w:eastAsia="MS Mincho"/>
          <w:lang w:eastAsia="uk-UA"/>
        </w:rPr>
        <w:t xml:space="preserve"> </w:t>
      </w:r>
      <w:r w:rsidRPr="002B6725">
        <w:rPr>
          <w:rFonts w:eastAsia="MS Mincho"/>
          <w:lang w:val="en-GB" w:eastAsia="uk-UA"/>
        </w:rPr>
        <w:t>facility</w:t>
      </w:r>
      <w:r w:rsidRPr="002B6725">
        <w:rPr>
          <w:rFonts w:eastAsia="MS Mincho"/>
          <w:lang w:eastAsia="uk-UA"/>
        </w:rPr>
        <w:t xml:space="preserve"> </w:t>
      </w:r>
      <w:r w:rsidRPr="002B6725">
        <w:rPr>
          <w:rFonts w:eastAsia="MS Mincho"/>
          <w:lang w:val="en-GB" w:eastAsia="uk-UA"/>
        </w:rPr>
        <w:t>or</w:t>
      </w:r>
      <w:r w:rsidRPr="002B6725">
        <w:rPr>
          <w:rFonts w:eastAsia="MS Mincho"/>
          <w:lang w:eastAsia="uk-UA"/>
        </w:rPr>
        <w:t xml:space="preserve"> </w:t>
      </w:r>
      <w:r w:rsidRPr="002B6725">
        <w:rPr>
          <w:rFonts w:eastAsia="MS Mincho"/>
          <w:lang w:val="en-GB" w:eastAsia="uk-UA"/>
        </w:rPr>
        <w:t>impair</w:t>
      </w:r>
      <w:r w:rsidRPr="002B6725">
        <w:rPr>
          <w:rFonts w:eastAsia="MS Mincho"/>
          <w:lang w:eastAsia="uk-UA"/>
        </w:rPr>
        <w:t xml:space="preserve"> </w:t>
      </w:r>
      <w:r w:rsidRPr="002B6725" w:rsidR="0050006F">
        <w:rPr>
          <w:rFonts w:eastAsia="MS Mincho"/>
          <w:lang w:eastAsia="uk-UA"/>
        </w:rPr>
        <w:t xml:space="preserve">the </w:t>
      </w:r>
      <w:r w:rsidRPr="002B6725">
        <w:rPr>
          <w:rFonts w:eastAsia="MS Mincho"/>
          <w:lang w:val="en-GB" w:eastAsia="uk-UA"/>
        </w:rPr>
        <w:t>rights</w:t>
      </w:r>
      <w:r w:rsidRPr="002B6725">
        <w:rPr>
          <w:rFonts w:eastAsia="MS Mincho"/>
          <w:lang w:eastAsia="uk-UA"/>
        </w:rPr>
        <w:t xml:space="preserve"> </w:t>
      </w:r>
      <w:r w:rsidRPr="002B6725">
        <w:rPr>
          <w:rFonts w:eastAsia="MS Mincho"/>
          <w:lang w:val="en-GB" w:eastAsia="uk-UA"/>
        </w:rPr>
        <w:t>of</w:t>
      </w:r>
      <w:r w:rsidRPr="002B6725">
        <w:rPr>
          <w:rFonts w:eastAsia="MS Mincho"/>
          <w:lang w:eastAsia="uk-UA"/>
        </w:rPr>
        <w:t xml:space="preserve"> </w:t>
      </w:r>
      <w:r w:rsidRPr="002B6725">
        <w:rPr>
          <w:rFonts w:eastAsia="MS Mincho"/>
          <w:lang w:val="en-GB" w:eastAsia="uk-UA"/>
        </w:rPr>
        <w:t>others</w:t>
      </w:r>
      <w:r w:rsidRPr="002B6725">
        <w:rPr>
          <w:rFonts w:eastAsia="MS Mincho"/>
          <w:lang w:eastAsia="uk-UA"/>
        </w:rPr>
        <w:t>;</w:t>
      </w:r>
      <w:r w:rsidRPr="002B6725" w:rsidR="008D3EBF">
        <w:rPr>
          <w:rFonts w:eastAsia="MS Mincho"/>
          <w:lang w:eastAsia="uk-UA"/>
        </w:rPr>
        <w:t xml:space="preserve"> </w:t>
      </w:r>
      <w:r w:rsidRPr="002B6725" w:rsidR="006444A1">
        <w:rPr>
          <w:rFonts w:eastAsia="MS Mincho"/>
          <w:lang w:eastAsia="uk-UA"/>
        </w:rPr>
        <w:t>...</w:t>
      </w:r>
      <w:r w:rsidRPr="002B6725" w:rsidR="008D3EBF">
        <w:rPr>
          <w:rFonts w:eastAsia="MS Mincho"/>
          <w:lang w:eastAsia="uk-UA"/>
        </w:rPr>
        <w:t>”</w:t>
      </w:r>
    </w:p>
    <w:p w:rsidRPr="002B6725" w:rsidR="00750D68" w:rsidP="002B6725" w:rsidRDefault="00072280">
      <w:pPr>
        <w:pStyle w:val="ECHRHeading4"/>
        <w:ind w:left="0" w:firstLine="0"/>
        <w:jc w:val="center"/>
        <w:rPr>
          <w:rFonts w:eastAsia="MS Mincho"/>
          <w:lang w:val="en-GB" w:eastAsia="uk-UA"/>
        </w:rPr>
      </w:pPr>
      <w:r w:rsidRPr="002B6725">
        <w:rPr>
          <w:rFonts w:eastAsia="MS Mincho"/>
          <w:lang w:val="en-GB" w:eastAsia="uk-UA"/>
        </w:rPr>
        <w:t>Article 11. Material and everyday supply of detainees</w:t>
      </w:r>
    </w:p>
    <w:p w:rsidRPr="002B6725" w:rsidR="00072280" w:rsidP="002B6725" w:rsidRDefault="008D3EBF">
      <w:pPr>
        <w:pStyle w:val="ECHRParaQuote"/>
        <w:rPr>
          <w:lang w:val="en-GB"/>
        </w:rPr>
      </w:pPr>
      <w:r w:rsidRPr="002B6725">
        <w:rPr>
          <w:lang w:val="en-GB"/>
        </w:rPr>
        <w:t>“</w:t>
      </w:r>
      <w:r w:rsidRPr="002B6725" w:rsidR="00E6386F">
        <w:rPr>
          <w:lang w:val="en-GB"/>
        </w:rPr>
        <w:t>D</w:t>
      </w:r>
      <w:r w:rsidRPr="002B6725" w:rsidR="00072280">
        <w:rPr>
          <w:lang w:val="en-GB"/>
        </w:rPr>
        <w:t>etainees shall be provided with living conditions corresponding to the requirements of sanitation and hygiene rules.</w:t>
      </w:r>
    </w:p>
    <w:p w:rsidRPr="002B6725" w:rsidR="00072280" w:rsidP="002B6725" w:rsidRDefault="00072280">
      <w:pPr>
        <w:pStyle w:val="ECHRParaQuote"/>
        <w:rPr>
          <w:lang w:val="en-GB"/>
        </w:rPr>
      </w:pPr>
      <w:r w:rsidRPr="002B6725">
        <w:rPr>
          <w:lang w:val="en-GB"/>
        </w:rPr>
        <w:t xml:space="preserve">The </w:t>
      </w:r>
      <w:r w:rsidRPr="002B6725" w:rsidR="00E6386F">
        <w:rPr>
          <w:lang w:val="en-GB"/>
        </w:rPr>
        <w:t xml:space="preserve">area </w:t>
      </w:r>
      <w:r w:rsidRPr="002B6725">
        <w:rPr>
          <w:lang w:val="en-GB"/>
        </w:rPr>
        <w:t>of the cell per detainee shall not be less than 2</w:t>
      </w:r>
      <w:r w:rsidRPr="002B6725" w:rsidR="00E6386F">
        <w:rPr>
          <w:lang w:val="en-GB"/>
        </w:rPr>
        <w:t>.</w:t>
      </w:r>
      <w:r w:rsidRPr="002B6725">
        <w:rPr>
          <w:lang w:val="en-GB"/>
        </w:rPr>
        <w:t>5 square met</w:t>
      </w:r>
      <w:r w:rsidRPr="002B6725" w:rsidR="00E6386F">
        <w:rPr>
          <w:lang w:val="en-GB"/>
        </w:rPr>
        <w:t>re</w:t>
      </w:r>
      <w:r w:rsidRPr="002B6725">
        <w:rPr>
          <w:lang w:val="en-GB"/>
        </w:rPr>
        <w:t xml:space="preserve">s and for the pregnant </w:t>
      </w:r>
      <w:r w:rsidRPr="002B6725" w:rsidR="00A36DDF">
        <w:rPr>
          <w:lang w:val="en-GB"/>
        </w:rPr>
        <w:t xml:space="preserve">women </w:t>
      </w:r>
      <w:r w:rsidRPr="002B6725">
        <w:rPr>
          <w:lang w:val="en-GB"/>
        </w:rPr>
        <w:t>and wom</w:t>
      </w:r>
      <w:r w:rsidRPr="002B6725" w:rsidR="00E6386F">
        <w:rPr>
          <w:lang w:val="en-GB"/>
        </w:rPr>
        <w:t>e</w:t>
      </w:r>
      <w:r w:rsidRPr="002B6725">
        <w:rPr>
          <w:lang w:val="en-GB"/>
        </w:rPr>
        <w:t xml:space="preserve">n </w:t>
      </w:r>
      <w:r w:rsidRPr="002B6725" w:rsidR="00E6386F">
        <w:rPr>
          <w:lang w:val="en-GB"/>
        </w:rPr>
        <w:t>accompanied by</w:t>
      </w:r>
      <w:r w:rsidRPr="002B6725">
        <w:rPr>
          <w:lang w:val="en-GB"/>
        </w:rPr>
        <w:t xml:space="preserve"> a child</w:t>
      </w:r>
      <w:r w:rsidRPr="002B6725" w:rsidR="00E6386F">
        <w:rPr>
          <w:lang w:val="en-GB"/>
        </w:rPr>
        <w:t>,</w:t>
      </w:r>
      <w:r w:rsidRPr="002B6725">
        <w:rPr>
          <w:lang w:val="en-GB"/>
        </w:rPr>
        <w:t xml:space="preserve"> not less than 4</w:t>
      </w:r>
      <w:r w:rsidRPr="002B6725" w:rsidR="00E6386F">
        <w:rPr>
          <w:lang w:val="en-GB"/>
        </w:rPr>
        <w:t>.</w:t>
      </w:r>
      <w:r w:rsidRPr="002B6725">
        <w:rPr>
          <w:lang w:val="en-GB"/>
        </w:rPr>
        <w:t>5 square met</w:t>
      </w:r>
      <w:r w:rsidRPr="002B6725" w:rsidR="00E6386F">
        <w:rPr>
          <w:lang w:val="en-GB"/>
        </w:rPr>
        <w:t>re</w:t>
      </w:r>
      <w:r w:rsidRPr="002B6725">
        <w:rPr>
          <w:lang w:val="en-GB"/>
        </w:rPr>
        <w:t>s.</w:t>
      </w:r>
    </w:p>
    <w:p w:rsidRPr="002B6725" w:rsidR="00072280" w:rsidP="002B6725" w:rsidRDefault="006444A1">
      <w:pPr>
        <w:pStyle w:val="ECHRParaQuote"/>
        <w:rPr>
          <w:lang w:val="en-GB"/>
        </w:rPr>
      </w:pPr>
      <w:r w:rsidRPr="002B6725">
        <w:rPr>
          <w:lang w:val="en-GB"/>
        </w:rPr>
        <w:t>...</w:t>
      </w:r>
    </w:p>
    <w:p w:rsidRPr="002B6725" w:rsidR="00750D68" w:rsidP="002B6725" w:rsidRDefault="00E6386F">
      <w:pPr>
        <w:pStyle w:val="ECHRParaQuote"/>
        <w:rPr>
          <w:rFonts w:eastAsia="MS Mincho"/>
          <w:iCs/>
          <w:lang w:val="en-GB" w:eastAsia="uk-UA"/>
        </w:rPr>
      </w:pPr>
      <w:r w:rsidRPr="002B6725">
        <w:rPr>
          <w:rFonts w:eastAsia="MS Mincho"/>
          <w:iCs/>
          <w:lang w:val="en-GB" w:eastAsia="uk-UA"/>
        </w:rPr>
        <w:t>D</w:t>
      </w:r>
      <w:r w:rsidRPr="002B6725" w:rsidR="00072280">
        <w:rPr>
          <w:rFonts w:eastAsia="MS Mincho"/>
          <w:iCs/>
          <w:lang w:val="en-GB" w:eastAsia="uk-UA"/>
        </w:rPr>
        <w:t xml:space="preserve">etainees shall be provided for free with food, personal sleeping space, bedding and other types of material and everyday </w:t>
      </w:r>
      <w:r w:rsidRPr="002B6725">
        <w:rPr>
          <w:rFonts w:eastAsia="MS Mincho"/>
          <w:iCs/>
          <w:lang w:val="en-GB" w:eastAsia="uk-UA"/>
        </w:rPr>
        <w:t xml:space="preserve">goods </w:t>
      </w:r>
      <w:r w:rsidRPr="002B6725" w:rsidR="00072280">
        <w:rPr>
          <w:rFonts w:eastAsia="MS Mincho"/>
          <w:iCs/>
          <w:lang w:val="en-GB" w:eastAsia="uk-UA"/>
        </w:rPr>
        <w:t>under the unified rules adopted by the Cabinet of Ministers of Ukraine. In cases of necessity they can be also provided with standard clothes and shoes.</w:t>
      </w:r>
    </w:p>
    <w:p w:rsidRPr="002B6725" w:rsidR="00750D68" w:rsidP="002B6725" w:rsidRDefault="00072280">
      <w:pPr>
        <w:pStyle w:val="ECHRParaQuote"/>
      </w:pPr>
      <w:r w:rsidRPr="002B6725">
        <w:rPr>
          <w:lang w:val="en-GB"/>
        </w:rPr>
        <w:t>Medical servic</w:t>
      </w:r>
      <w:r w:rsidRPr="002B6725" w:rsidR="00E6386F">
        <w:rPr>
          <w:lang w:val="en-GB"/>
        </w:rPr>
        <w:t>es</w:t>
      </w:r>
      <w:r w:rsidRPr="002B6725">
        <w:rPr>
          <w:lang w:val="en-GB"/>
        </w:rPr>
        <w:t xml:space="preserve"> as well as preventive</w:t>
      </w:r>
      <w:r w:rsidRPr="002B6725" w:rsidR="00E6386F">
        <w:rPr>
          <w:lang w:val="en-GB"/>
        </w:rPr>
        <w:t xml:space="preserve"> medical</w:t>
      </w:r>
      <w:r w:rsidRPr="002B6725">
        <w:rPr>
          <w:lang w:val="en-GB"/>
        </w:rPr>
        <w:t xml:space="preserve"> and anti-epidemic measures shall be organi</w:t>
      </w:r>
      <w:r w:rsidRPr="002B6725" w:rsidR="008F4DE8">
        <w:rPr>
          <w:lang w:val="en-GB"/>
        </w:rPr>
        <w:t>s</w:t>
      </w:r>
      <w:r w:rsidRPr="002B6725">
        <w:rPr>
          <w:lang w:val="en-GB"/>
        </w:rPr>
        <w:t xml:space="preserve">ed and </w:t>
      </w:r>
      <w:r w:rsidRPr="002B6725" w:rsidR="00E6386F">
        <w:rPr>
          <w:lang w:val="en-GB"/>
        </w:rPr>
        <w:t xml:space="preserve">carried out </w:t>
      </w:r>
      <w:r w:rsidRPr="002B6725">
        <w:rPr>
          <w:lang w:val="en-GB"/>
        </w:rPr>
        <w:t>in</w:t>
      </w:r>
      <w:r w:rsidRPr="002B6725" w:rsidR="00E6386F">
        <w:rPr>
          <w:lang w:val="en-GB"/>
        </w:rPr>
        <w:t xml:space="preserve"> </w:t>
      </w:r>
      <w:r w:rsidRPr="002B6725">
        <w:rPr>
          <w:lang w:val="en-GB"/>
        </w:rPr>
        <w:t>places of pre-trial detention in compliance with health legislation</w:t>
      </w:r>
      <w:r w:rsidRPr="002B6725" w:rsidR="00E6386F">
        <w:t xml:space="preserve"> </w:t>
      </w:r>
      <w:r w:rsidRPr="002B6725" w:rsidR="006444A1">
        <w:t>...</w:t>
      </w:r>
      <w:r w:rsidRPr="002B6725" w:rsidR="008D3EBF">
        <w:t>”</w:t>
      </w:r>
    </w:p>
    <w:p w:rsidRPr="002B6725" w:rsidR="00072280" w:rsidP="002B6725" w:rsidRDefault="00072280">
      <w:pPr>
        <w:pStyle w:val="ECHRHeading4"/>
        <w:ind w:left="0" w:firstLine="0"/>
        <w:jc w:val="center"/>
        <w:rPr>
          <w:rFonts w:eastAsia="MS Mincho"/>
          <w:lang w:val="en-GB" w:eastAsia="uk-UA"/>
        </w:rPr>
      </w:pPr>
      <w:r w:rsidRPr="002B6725">
        <w:rPr>
          <w:rFonts w:eastAsia="MS Mincho"/>
          <w:lang w:val="en-GB" w:eastAsia="uk-UA"/>
        </w:rPr>
        <w:t xml:space="preserve">Article 12. Allowing </w:t>
      </w:r>
      <w:r w:rsidRPr="002B6725" w:rsidR="00756297">
        <w:rPr>
          <w:rFonts w:eastAsia="MS Mincho"/>
          <w:lang w:val="en-GB" w:eastAsia="uk-UA"/>
        </w:rPr>
        <w:t>individuals</w:t>
      </w:r>
      <w:r w:rsidRPr="002B6725">
        <w:rPr>
          <w:rFonts w:eastAsia="MS Mincho"/>
          <w:lang w:val="en-GB" w:eastAsia="uk-UA"/>
        </w:rPr>
        <w:t xml:space="preserve"> remanded in custody to receive visitors</w:t>
      </w:r>
    </w:p>
    <w:p w:rsidRPr="002B6725" w:rsidR="008D3EBF" w:rsidP="002B6725" w:rsidRDefault="008D3EBF">
      <w:pPr>
        <w:pStyle w:val="ECHRParaQuote"/>
        <w:rPr>
          <w:lang w:val="en-GB"/>
        </w:rPr>
      </w:pPr>
      <w:r w:rsidRPr="002B6725">
        <w:rPr>
          <w:lang w:val="en-GB"/>
        </w:rPr>
        <w:t>“</w:t>
      </w:r>
      <w:r w:rsidRPr="002B6725" w:rsidR="00072280">
        <w:rPr>
          <w:lang w:val="en-GB"/>
        </w:rPr>
        <w:t xml:space="preserve">Visits </w:t>
      </w:r>
      <w:r w:rsidRPr="002B6725" w:rsidR="00E6386F">
        <w:rPr>
          <w:lang w:val="en-GB"/>
        </w:rPr>
        <w:t xml:space="preserve">by </w:t>
      </w:r>
      <w:r w:rsidRPr="002B6725" w:rsidR="00072280">
        <w:rPr>
          <w:lang w:val="en-GB"/>
        </w:rPr>
        <w:t xml:space="preserve">relatives or other </w:t>
      </w:r>
      <w:r w:rsidRPr="002B6725" w:rsidR="00E6386F">
        <w:rPr>
          <w:lang w:val="en-GB"/>
        </w:rPr>
        <w:t>people</w:t>
      </w:r>
      <w:r w:rsidRPr="002B6725" w:rsidR="00072280">
        <w:rPr>
          <w:lang w:val="en-GB"/>
        </w:rPr>
        <w:t xml:space="preserve"> can be allowed to </w:t>
      </w:r>
      <w:r w:rsidRPr="002B6725" w:rsidR="00E6386F">
        <w:rPr>
          <w:lang w:val="en-GB"/>
        </w:rPr>
        <w:t xml:space="preserve">individuals </w:t>
      </w:r>
      <w:r w:rsidRPr="002B6725" w:rsidR="00072280">
        <w:rPr>
          <w:lang w:val="en-GB"/>
        </w:rPr>
        <w:t xml:space="preserve">remanded in custody by </w:t>
      </w:r>
      <w:r w:rsidRPr="002B6725" w:rsidR="00E6386F">
        <w:rPr>
          <w:lang w:val="en-GB"/>
        </w:rPr>
        <w:t xml:space="preserve">the </w:t>
      </w:r>
      <w:r w:rsidRPr="002B6725" w:rsidR="00072280">
        <w:rPr>
          <w:lang w:val="en-GB"/>
        </w:rPr>
        <w:t>administration</w:t>
      </w:r>
      <w:r w:rsidRPr="002B6725" w:rsidR="0050006F">
        <w:rPr>
          <w:lang w:val="en-GB"/>
        </w:rPr>
        <w:t xml:space="preserve"> of a</w:t>
      </w:r>
      <w:r w:rsidRPr="002B6725" w:rsidR="00072280">
        <w:rPr>
          <w:lang w:val="en-GB"/>
        </w:rPr>
        <w:t xml:space="preserve"> pre-trial detention </w:t>
      </w:r>
      <w:r w:rsidRPr="002B6725" w:rsidR="00E6386F">
        <w:rPr>
          <w:lang w:val="en-GB"/>
        </w:rPr>
        <w:t xml:space="preserve">facility </w:t>
      </w:r>
      <w:r w:rsidRPr="002B6725" w:rsidR="00072280">
        <w:rPr>
          <w:lang w:val="en-GB"/>
        </w:rPr>
        <w:t xml:space="preserve">only </w:t>
      </w:r>
      <w:r w:rsidRPr="002B6725" w:rsidR="00E6386F">
        <w:rPr>
          <w:lang w:val="en-GB"/>
        </w:rPr>
        <w:t xml:space="preserve">with the </w:t>
      </w:r>
      <w:r w:rsidRPr="002B6725" w:rsidR="00072280">
        <w:rPr>
          <w:lang w:val="en-GB"/>
        </w:rPr>
        <w:t xml:space="preserve">written permission of </w:t>
      </w:r>
      <w:r w:rsidRPr="002B6725" w:rsidR="00E6386F">
        <w:rPr>
          <w:lang w:val="en-GB"/>
        </w:rPr>
        <w:t xml:space="preserve">an </w:t>
      </w:r>
      <w:r w:rsidRPr="002B6725" w:rsidR="00072280">
        <w:rPr>
          <w:lang w:val="en-GB"/>
        </w:rPr>
        <w:t xml:space="preserve">investigator, </w:t>
      </w:r>
      <w:r w:rsidRPr="002B6725" w:rsidR="00E6386F">
        <w:rPr>
          <w:lang w:val="en-GB"/>
        </w:rPr>
        <w:t xml:space="preserve">the </w:t>
      </w:r>
      <w:r w:rsidRPr="002B6725" w:rsidR="00072280">
        <w:rPr>
          <w:lang w:val="en-GB"/>
        </w:rPr>
        <w:t>investigati</w:t>
      </w:r>
      <w:r w:rsidRPr="002B6725" w:rsidR="00E6386F">
        <w:rPr>
          <w:lang w:val="en-GB"/>
        </w:rPr>
        <w:t>ng</w:t>
      </w:r>
      <w:r w:rsidRPr="002B6725" w:rsidR="00072280">
        <w:rPr>
          <w:lang w:val="en-GB"/>
        </w:rPr>
        <w:t xml:space="preserve"> authorities or </w:t>
      </w:r>
      <w:r w:rsidRPr="002B6725" w:rsidR="00E6386F">
        <w:rPr>
          <w:lang w:val="en-GB"/>
        </w:rPr>
        <w:t xml:space="preserve">the </w:t>
      </w:r>
      <w:r w:rsidRPr="002B6725" w:rsidR="00072280">
        <w:rPr>
          <w:lang w:val="en-GB"/>
        </w:rPr>
        <w:t xml:space="preserve">court </w:t>
      </w:r>
      <w:r w:rsidRPr="002B6725" w:rsidR="00072280">
        <w:t xml:space="preserve">examining the </w:t>
      </w:r>
      <w:r w:rsidRPr="002B6725" w:rsidR="00072280">
        <w:rPr>
          <w:lang w:val="en-GB"/>
        </w:rPr>
        <w:t xml:space="preserve">case, as a rule, once per a month. </w:t>
      </w:r>
      <w:r w:rsidRPr="002B6725" w:rsidR="00E6386F">
        <w:rPr>
          <w:lang w:val="en-GB"/>
        </w:rPr>
        <w:t xml:space="preserve">The duration </w:t>
      </w:r>
      <w:r w:rsidRPr="002B6725" w:rsidR="00072280">
        <w:rPr>
          <w:lang w:val="en-GB"/>
        </w:rPr>
        <w:t xml:space="preserve">of </w:t>
      </w:r>
      <w:r w:rsidRPr="002B6725" w:rsidR="00E6386F">
        <w:rPr>
          <w:lang w:val="en-GB"/>
        </w:rPr>
        <w:t xml:space="preserve">a </w:t>
      </w:r>
      <w:r w:rsidRPr="002B6725" w:rsidR="00072280">
        <w:rPr>
          <w:lang w:val="en-GB"/>
        </w:rPr>
        <w:t>visit is from one to four hours</w:t>
      </w:r>
      <w:r w:rsidRPr="002B6725" w:rsidR="00E6386F">
        <w:rPr>
          <w:lang w:val="en-GB"/>
        </w:rPr>
        <w:t xml:space="preserve"> </w:t>
      </w:r>
      <w:r w:rsidRPr="002B6725" w:rsidR="006444A1">
        <w:rPr>
          <w:lang w:val="en-GB"/>
        </w:rPr>
        <w:t>...</w:t>
      </w:r>
      <w:r w:rsidRPr="002B6725">
        <w:rPr>
          <w:lang w:val="en-GB"/>
        </w:rPr>
        <w:t>”</w:t>
      </w:r>
    </w:p>
    <w:p w:rsidRPr="002B6725" w:rsidR="00072280" w:rsidP="002B6725" w:rsidRDefault="00072280">
      <w:pPr>
        <w:pStyle w:val="ECHRHeading4"/>
        <w:ind w:left="0" w:firstLine="0"/>
        <w:jc w:val="center"/>
        <w:rPr>
          <w:rFonts w:eastAsia="MS Mincho"/>
          <w:lang w:val="en-GB" w:eastAsia="uk-UA"/>
        </w:rPr>
      </w:pPr>
      <w:r w:rsidRPr="002B6725">
        <w:rPr>
          <w:rFonts w:eastAsia="MS Mincho"/>
          <w:lang w:val="en-GB" w:eastAsia="uk-UA"/>
        </w:rPr>
        <w:t xml:space="preserve">Article 13. Correspondence of </w:t>
      </w:r>
      <w:r w:rsidRPr="002B6725" w:rsidR="00B143ED">
        <w:rPr>
          <w:rFonts w:eastAsia="MS Mincho"/>
          <w:lang w:val="en-GB" w:eastAsia="uk-UA"/>
        </w:rPr>
        <w:t xml:space="preserve">individuals </w:t>
      </w:r>
      <w:r w:rsidRPr="002B6725">
        <w:rPr>
          <w:rFonts w:eastAsia="MS Mincho"/>
          <w:lang w:val="en-GB" w:eastAsia="uk-UA"/>
        </w:rPr>
        <w:t>remanded in custody. Procedure for sending complaints, applications, or letters</w:t>
      </w:r>
    </w:p>
    <w:p w:rsidRPr="002B6725" w:rsidR="00072280" w:rsidP="002B6725" w:rsidRDefault="008D3EBF">
      <w:pPr>
        <w:pStyle w:val="ECHRParaQuote"/>
        <w:rPr>
          <w:rFonts w:eastAsia="Times New Roman"/>
          <w:lang w:eastAsia="ru-RU"/>
        </w:rPr>
      </w:pPr>
      <w:r w:rsidRPr="002B6725">
        <w:rPr>
          <w:rFonts w:eastAsia="Times New Roman"/>
          <w:lang w:val="en-GB" w:eastAsia="ru-RU"/>
        </w:rPr>
        <w:t>“</w:t>
      </w:r>
      <w:r w:rsidRPr="002B6725" w:rsidR="00B143ED">
        <w:rPr>
          <w:rFonts w:eastAsia="Times New Roman"/>
          <w:lang w:val="en-GB" w:eastAsia="ru-RU"/>
        </w:rPr>
        <w:t xml:space="preserve">Individuals </w:t>
      </w:r>
      <w:r w:rsidRPr="002B6725" w:rsidR="00072280">
        <w:rPr>
          <w:rFonts w:eastAsia="Times New Roman"/>
          <w:lang w:val="en-GB" w:eastAsia="ru-RU"/>
        </w:rPr>
        <w:t xml:space="preserve">remanded in custody shall have the right to correspond with their relatives and other </w:t>
      </w:r>
      <w:r w:rsidRPr="002B6725" w:rsidR="00F95421">
        <w:rPr>
          <w:rFonts w:eastAsia="Times New Roman"/>
          <w:lang w:val="en-GB" w:eastAsia="ru-RU"/>
        </w:rPr>
        <w:t>people</w:t>
      </w:r>
      <w:r w:rsidRPr="002B6725" w:rsidR="00B143ED">
        <w:rPr>
          <w:rFonts w:eastAsia="Times New Roman"/>
          <w:lang w:val="en-GB" w:eastAsia="ru-RU"/>
        </w:rPr>
        <w:t xml:space="preserve">, </w:t>
      </w:r>
      <w:r w:rsidRPr="002B6725" w:rsidR="00072280">
        <w:rPr>
          <w:rFonts w:eastAsia="Times New Roman"/>
          <w:lang w:val="en-GB" w:eastAsia="ru-RU"/>
        </w:rPr>
        <w:t xml:space="preserve">enterprises, institutions, and organisations </w:t>
      </w:r>
      <w:r w:rsidRPr="002B6725" w:rsidR="00B143ED">
        <w:rPr>
          <w:rFonts w:eastAsia="Times New Roman"/>
          <w:lang w:val="en-GB" w:eastAsia="ru-RU"/>
        </w:rPr>
        <w:t xml:space="preserve">with the </w:t>
      </w:r>
      <w:r w:rsidRPr="002B6725" w:rsidR="00072280">
        <w:rPr>
          <w:rFonts w:eastAsia="Times New Roman"/>
          <w:lang w:val="en-GB" w:eastAsia="ru-RU"/>
        </w:rPr>
        <w:t xml:space="preserve">written consent </w:t>
      </w:r>
      <w:r w:rsidRPr="002B6725" w:rsidR="00B143ED">
        <w:rPr>
          <w:rFonts w:eastAsia="Times New Roman"/>
          <w:lang w:val="en-GB" w:eastAsia="ru-RU"/>
        </w:rPr>
        <w:t>of</w:t>
      </w:r>
      <w:r w:rsidRPr="002B6725" w:rsidR="00072280">
        <w:rPr>
          <w:rFonts w:eastAsia="Times New Roman"/>
          <w:lang w:val="en-GB" w:eastAsia="ru-RU"/>
        </w:rPr>
        <w:t xml:space="preserve"> the person or authority in charge of the criminal case against the detainee concerned. After the judgment convicting a detainee becomes final, he or she </w:t>
      </w:r>
      <w:r w:rsidRPr="002B6725" w:rsidR="00B143ED">
        <w:rPr>
          <w:rFonts w:eastAsia="Times New Roman"/>
          <w:lang w:val="en-GB" w:eastAsia="ru-RU"/>
        </w:rPr>
        <w:t xml:space="preserve">can </w:t>
      </w:r>
      <w:r w:rsidRPr="002B6725" w:rsidR="00072280">
        <w:rPr>
          <w:rFonts w:eastAsia="Times New Roman"/>
          <w:lang w:val="en-GB" w:eastAsia="ru-RU"/>
        </w:rPr>
        <w:t xml:space="preserve">carry on correspondence </w:t>
      </w:r>
      <w:r w:rsidRPr="002B6725" w:rsidR="00B143ED">
        <w:rPr>
          <w:rFonts w:eastAsia="Times New Roman"/>
          <w:lang w:val="en-GB" w:eastAsia="ru-RU"/>
        </w:rPr>
        <w:t>in accordance with</w:t>
      </w:r>
      <w:r w:rsidRPr="002B6725" w:rsidR="00072280">
        <w:rPr>
          <w:rFonts w:eastAsia="Times New Roman"/>
          <w:lang w:val="en-GB" w:eastAsia="ru-RU"/>
        </w:rPr>
        <w:t xml:space="preserve"> the law ...</w:t>
      </w:r>
      <w:r w:rsidRPr="002B6725">
        <w:rPr>
          <w:rFonts w:eastAsia="Times New Roman"/>
          <w:lang w:eastAsia="ru-RU"/>
        </w:rPr>
        <w:t>”</w:t>
      </w:r>
    </w:p>
    <w:p w:rsidRPr="002B6725" w:rsidR="00072280" w:rsidP="002B6725" w:rsidRDefault="00072280">
      <w:pPr>
        <w:pStyle w:val="ECHRHeading4"/>
        <w:ind w:left="0" w:firstLine="0"/>
        <w:jc w:val="center"/>
        <w:rPr>
          <w:rFonts w:eastAsia="MS Mincho"/>
          <w:lang w:val="en-GB" w:eastAsia="uk-UA"/>
        </w:rPr>
      </w:pPr>
      <w:r w:rsidRPr="002B6725">
        <w:rPr>
          <w:rFonts w:eastAsia="MS Mincho"/>
          <w:lang w:val="en-GB" w:eastAsia="uk-UA"/>
        </w:rPr>
        <w:t>Article 22. Prosecutor</w:t>
      </w:r>
      <w:r w:rsidRPr="002B6725" w:rsidR="002B6725">
        <w:rPr>
          <w:rFonts w:eastAsia="MS Mincho"/>
          <w:lang w:val="en-GB" w:eastAsia="uk-UA"/>
        </w:rPr>
        <w:t>’</w:t>
      </w:r>
      <w:r w:rsidRPr="002B6725">
        <w:rPr>
          <w:rFonts w:eastAsia="MS Mincho"/>
          <w:lang w:val="en-GB" w:eastAsia="uk-UA"/>
        </w:rPr>
        <w:t xml:space="preserve">s inspection </w:t>
      </w:r>
      <w:r w:rsidRPr="002B6725" w:rsidR="000D6732">
        <w:rPr>
          <w:rFonts w:eastAsia="MS Mincho"/>
          <w:lang w:val="en-GB" w:eastAsia="uk-UA"/>
        </w:rPr>
        <w:t>of</w:t>
      </w:r>
      <w:r w:rsidRPr="002B6725">
        <w:rPr>
          <w:rFonts w:eastAsia="MS Mincho"/>
          <w:lang w:val="en-GB" w:eastAsia="uk-UA"/>
        </w:rPr>
        <w:t xml:space="preserve"> compliance with legislation at remand</w:t>
      </w:r>
      <w:r w:rsidRPr="002B6725" w:rsidR="001E6AEF">
        <w:rPr>
          <w:rFonts w:eastAsia="MS Mincho"/>
          <w:lang w:val="en-GB" w:eastAsia="uk-UA"/>
        </w:rPr>
        <w:t xml:space="preserve"> prisons</w:t>
      </w:r>
    </w:p>
    <w:p w:rsidRPr="002B6725" w:rsidR="00072280" w:rsidP="002B6725" w:rsidRDefault="008D3EBF">
      <w:pPr>
        <w:pStyle w:val="ECHRParaQuote"/>
        <w:rPr>
          <w:rFonts w:eastAsia="Times New Roman"/>
          <w:lang w:val="en-GB" w:eastAsia="ru-RU"/>
        </w:rPr>
      </w:pPr>
      <w:r w:rsidRPr="002B6725">
        <w:rPr>
          <w:rFonts w:eastAsia="Times New Roman"/>
          <w:lang w:val="en-GB" w:eastAsia="ru-RU"/>
        </w:rPr>
        <w:t>“</w:t>
      </w:r>
      <w:r w:rsidRPr="002B6725" w:rsidR="00072280">
        <w:rPr>
          <w:rFonts w:eastAsia="Times New Roman"/>
          <w:lang w:val="en-GB" w:eastAsia="ru-RU"/>
        </w:rPr>
        <w:t xml:space="preserve">An inspection </w:t>
      </w:r>
      <w:r w:rsidRPr="002B6725" w:rsidR="000D6732">
        <w:rPr>
          <w:rFonts w:eastAsia="Times New Roman"/>
          <w:lang w:val="en-GB" w:eastAsia="ru-RU"/>
        </w:rPr>
        <w:t>of</w:t>
      </w:r>
      <w:r w:rsidRPr="002B6725" w:rsidR="00072280">
        <w:rPr>
          <w:rFonts w:eastAsia="Times New Roman"/>
          <w:lang w:val="en-GB" w:eastAsia="ru-RU"/>
        </w:rPr>
        <w:t xml:space="preserve"> compliance with legislation at remand</w:t>
      </w:r>
      <w:r w:rsidRPr="002B6725" w:rsidR="00D62B07">
        <w:rPr>
          <w:rFonts w:eastAsia="Times New Roman"/>
          <w:lang w:val="en-GB" w:eastAsia="ru-RU"/>
        </w:rPr>
        <w:t xml:space="preserve"> prisons</w:t>
      </w:r>
      <w:r w:rsidRPr="002B6725" w:rsidR="00072280">
        <w:rPr>
          <w:rFonts w:eastAsia="Times New Roman"/>
          <w:lang w:val="en-GB" w:eastAsia="ru-RU"/>
        </w:rPr>
        <w:t xml:space="preserve"> shall be carried out by the General Prosecutor of Ukraine and prosecutors subordinate to him</w:t>
      </w:r>
      <w:r w:rsidRPr="002B6725" w:rsidR="00D62B07">
        <w:rPr>
          <w:rFonts w:eastAsia="Times New Roman"/>
          <w:lang w:val="en-GB" w:eastAsia="ru-RU"/>
        </w:rPr>
        <w:t xml:space="preserve"> or her</w:t>
      </w:r>
      <w:r w:rsidRPr="002B6725" w:rsidR="00072280">
        <w:rPr>
          <w:rFonts w:eastAsia="Times New Roman"/>
          <w:lang w:val="en-GB" w:eastAsia="ru-RU"/>
        </w:rPr>
        <w:t xml:space="preserve"> pursuant to </w:t>
      </w:r>
      <w:r w:rsidRPr="002B6725" w:rsidR="00685238">
        <w:rPr>
          <w:rFonts w:eastAsia="Times New Roman"/>
          <w:lang w:val="en-GB" w:eastAsia="ru-RU"/>
        </w:rPr>
        <w:t>the Public Prosecutor</w:t>
      </w:r>
      <w:r w:rsidRPr="002B6725" w:rsidR="002B6725">
        <w:rPr>
          <w:rFonts w:eastAsia="Times New Roman"/>
          <w:lang w:val="en-GB" w:eastAsia="ru-RU"/>
        </w:rPr>
        <w:t>’</w:t>
      </w:r>
      <w:r w:rsidRPr="002B6725" w:rsidR="00685238">
        <w:rPr>
          <w:rFonts w:eastAsia="Times New Roman"/>
          <w:lang w:val="en-GB" w:eastAsia="ru-RU"/>
        </w:rPr>
        <w:t>s Office</w:t>
      </w:r>
      <w:r w:rsidRPr="002B6725" w:rsidR="00D62B07">
        <w:rPr>
          <w:rFonts w:eastAsia="Times New Roman"/>
          <w:lang w:val="en-GB" w:eastAsia="ru-RU"/>
        </w:rPr>
        <w:t xml:space="preserve"> Act</w:t>
      </w:r>
      <w:r w:rsidRPr="002B6725" w:rsidR="00072280">
        <w:rPr>
          <w:rFonts w:eastAsia="Times New Roman"/>
          <w:lang w:val="en-GB" w:eastAsia="ru-RU"/>
        </w:rPr>
        <w:t>.</w:t>
      </w:r>
    </w:p>
    <w:p w:rsidRPr="002B6725" w:rsidR="00072280" w:rsidP="002B6725" w:rsidRDefault="00072280">
      <w:pPr>
        <w:pStyle w:val="ECHRParaQuote"/>
        <w:rPr>
          <w:rFonts w:eastAsia="Times New Roman"/>
          <w:lang w:eastAsia="ru-RU"/>
        </w:rPr>
      </w:pPr>
      <w:r w:rsidRPr="002B6725">
        <w:rPr>
          <w:rFonts w:eastAsia="Times New Roman"/>
          <w:lang w:val="en-GB" w:eastAsia="ru-RU"/>
        </w:rPr>
        <w:t>Rulings and resolutions issued by prosecutors as to the compliance with the procedure and conditions of detention established by legislation shall be subject to compulsory fulfilment by the detention centre</w:t>
      </w:r>
      <w:r w:rsidRPr="002B6725" w:rsidR="002B6725">
        <w:rPr>
          <w:rFonts w:eastAsia="Times New Roman"/>
          <w:lang w:val="en-GB" w:eastAsia="ru-RU"/>
        </w:rPr>
        <w:t>’</w:t>
      </w:r>
      <w:r w:rsidRPr="002B6725">
        <w:rPr>
          <w:rFonts w:eastAsia="Times New Roman"/>
          <w:lang w:val="en-GB" w:eastAsia="ru-RU"/>
        </w:rPr>
        <w:t>s administration.</w:t>
      </w:r>
      <w:r w:rsidRPr="002B6725" w:rsidR="008D3EBF">
        <w:rPr>
          <w:rFonts w:eastAsia="Times New Roman"/>
          <w:lang w:val="en-GB" w:eastAsia="ru-RU"/>
        </w:rPr>
        <w:t>”</w:t>
      </w:r>
    </w:p>
    <w:p w:rsidRPr="002B6725" w:rsidR="00750D68" w:rsidP="002B6725" w:rsidRDefault="00A36DDF">
      <w:pPr>
        <w:pStyle w:val="ECHRHeading2"/>
        <w:rPr>
          <w:lang w:val="en-GB"/>
        </w:rPr>
      </w:pPr>
      <w:r w:rsidRPr="002B6725">
        <w:rPr>
          <w:lang w:val="en-GB"/>
        </w:rPr>
        <w:t>C</w:t>
      </w:r>
      <w:r w:rsidRPr="002B6725" w:rsidR="00C72699">
        <w:rPr>
          <w:lang w:val="en-GB"/>
        </w:rPr>
        <w:t>.  </w:t>
      </w:r>
      <w:r w:rsidRPr="002B6725" w:rsidR="008D3EBF">
        <w:rPr>
          <w:lang w:val="en-GB"/>
        </w:rPr>
        <w:t>Citizen</w:t>
      </w:r>
      <w:r w:rsidRPr="002B6725" w:rsidR="003D72F2">
        <w:rPr>
          <w:lang w:val="en-GB"/>
        </w:rPr>
        <w:t>s</w:t>
      </w:r>
      <w:r w:rsidRPr="002B6725" w:rsidR="002B6725">
        <w:rPr>
          <w:lang w:val="en-GB"/>
        </w:rPr>
        <w:t>’</w:t>
      </w:r>
      <w:r w:rsidRPr="002B6725" w:rsidR="000D6732">
        <w:rPr>
          <w:lang w:val="en-GB"/>
        </w:rPr>
        <w:t xml:space="preserve"> Appeals</w:t>
      </w:r>
      <w:r w:rsidRPr="002B6725" w:rsidR="00D376B9">
        <w:rPr>
          <w:lang w:val="en-GB"/>
        </w:rPr>
        <w:t xml:space="preserve"> Act</w:t>
      </w:r>
      <w:r w:rsidRPr="002B6725" w:rsidR="008D3EBF">
        <w:rPr>
          <w:lang w:val="en-GB"/>
        </w:rPr>
        <w:t xml:space="preserve"> </w:t>
      </w:r>
      <w:r w:rsidRPr="002B6725" w:rsidR="00F831B9">
        <w:rPr>
          <w:lang w:val="en-GB"/>
        </w:rPr>
        <w:t>(</w:t>
      </w:r>
      <w:r w:rsidRPr="002B6725" w:rsidR="00F831B9">
        <w:rPr>
          <w:lang w:val="ru-RU"/>
        </w:rPr>
        <w:t>Закон</w:t>
      </w:r>
      <w:r w:rsidRPr="002B6725" w:rsidR="00F831B9">
        <w:rPr>
          <w:lang w:val="en-GB"/>
        </w:rPr>
        <w:t xml:space="preserve"> </w:t>
      </w:r>
      <w:r w:rsidRPr="002B6725" w:rsidR="00F831B9">
        <w:rPr>
          <w:lang w:val="ru-RU"/>
        </w:rPr>
        <w:t>Укра</w:t>
      </w:r>
      <w:r w:rsidRPr="002B6725" w:rsidR="00253EFD">
        <w:rPr>
          <w:lang w:val="ru-RU"/>
        </w:rPr>
        <w:t>ї</w:t>
      </w:r>
      <w:r w:rsidRPr="002B6725" w:rsidR="00F831B9">
        <w:rPr>
          <w:lang w:val="ru-RU"/>
        </w:rPr>
        <w:t>ни</w:t>
      </w:r>
      <w:r w:rsidRPr="002B6725" w:rsidR="00F831B9">
        <w:rPr>
          <w:lang w:val="en-GB"/>
        </w:rPr>
        <w:t xml:space="preserve"> «</w:t>
      </w:r>
      <w:r w:rsidRPr="002B6725" w:rsidR="00F831B9">
        <w:rPr>
          <w:lang w:val="ru-RU"/>
        </w:rPr>
        <w:t>Про</w:t>
      </w:r>
      <w:r w:rsidRPr="002B6725" w:rsidR="00F831B9">
        <w:rPr>
          <w:lang w:val="en-GB"/>
        </w:rPr>
        <w:t xml:space="preserve"> </w:t>
      </w:r>
      <w:r w:rsidRPr="002B6725" w:rsidR="00F831B9">
        <w:rPr>
          <w:lang w:val="ru-RU"/>
        </w:rPr>
        <w:t>звернення</w:t>
      </w:r>
      <w:r w:rsidRPr="002B6725" w:rsidR="00F831B9">
        <w:rPr>
          <w:lang w:val="en-GB"/>
        </w:rPr>
        <w:t xml:space="preserve"> </w:t>
      </w:r>
      <w:r w:rsidRPr="002B6725" w:rsidR="00F831B9">
        <w:rPr>
          <w:lang w:val="ru-RU"/>
        </w:rPr>
        <w:t>громадян</w:t>
      </w:r>
      <w:r w:rsidRPr="002B6725" w:rsidR="00F831B9">
        <w:rPr>
          <w:lang w:val="en-GB"/>
        </w:rPr>
        <w:t xml:space="preserve">») </w:t>
      </w:r>
      <w:r w:rsidRPr="002B6725" w:rsidR="008D3EBF">
        <w:rPr>
          <w:lang w:val="en-GB"/>
        </w:rPr>
        <w:t xml:space="preserve">of </w:t>
      </w:r>
      <w:r w:rsidRPr="002B6725" w:rsidR="003D72F2">
        <w:rPr>
          <w:lang w:val="en-GB"/>
        </w:rPr>
        <w:t>2 October 1996</w:t>
      </w:r>
    </w:p>
    <w:bookmarkStart w:name="n57" w:id="2"/>
    <w:bookmarkEnd w:id="2"/>
    <w:p w:rsidRPr="002B6725" w:rsidR="00750D68" w:rsidP="002B6725" w:rsidRDefault="00661526">
      <w:pPr>
        <w:pStyle w:val="ECHRPara"/>
        <w:rPr>
          <w:rFonts w:eastAsia="Times New Roman"/>
          <w:lang w:val="en-GB" w:eastAsia="en-GB"/>
        </w:rPr>
      </w:pPr>
      <w:r w:rsidRPr="002B6725">
        <w:rPr>
          <w:rFonts w:eastAsia="Times New Roman"/>
          <w:lang w:val="en-GB" w:eastAsia="en-GB"/>
        </w:rPr>
        <w:fldChar w:fldCharType="begin"/>
      </w:r>
      <w:r w:rsidRPr="002B6725">
        <w:rPr>
          <w:rFonts w:eastAsia="Times New Roman"/>
          <w:lang w:val="en-GB" w:eastAsia="en-GB"/>
        </w:rPr>
        <w:instrText xml:space="preserve"> SEQ level0 \*arabic </w:instrText>
      </w:r>
      <w:r w:rsidRPr="002B6725">
        <w:rPr>
          <w:rFonts w:eastAsia="Times New Roman"/>
          <w:lang w:val="en-GB" w:eastAsia="en-GB"/>
        </w:rPr>
        <w:fldChar w:fldCharType="separate"/>
      </w:r>
      <w:r w:rsidRPr="002B6725" w:rsidR="002B6725">
        <w:rPr>
          <w:rFonts w:eastAsia="Times New Roman"/>
          <w:noProof/>
          <w:lang w:val="en-GB" w:eastAsia="en-GB"/>
        </w:rPr>
        <w:t>39</w:t>
      </w:r>
      <w:r w:rsidRPr="002B6725">
        <w:rPr>
          <w:rFonts w:eastAsia="Times New Roman"/>
          <w:lang w:val="en-GB" w:eastAsia="en-GB"/>
        </w:rPr>
        <w:fldChar w:fldCharType="end"/>
      </w:r>
      <w:r w:rsidRPr="002B6725">
        <w:rPr>
          <w:rFonts w:eastAsia="Times New Roman"/>
          <w:lang w:val="en-GB" w:eastAsia="en-GB"/>
        </w:rPr>
        <w:t>.  </w:t>
      </w:r>
      <w:r w:rsidRPr="002B6725" w:rsidR="003D72F2">
        <w:rPr>
          <w:rFonts w:eastAsia="Times New Roman"/>
          <w:lang w:val="en-GB" w:eastAsia="en-GB"/>
        </w:rPr>
        <w:t xml:space="preserve">Article 12 </w:t>
      </w:r>
      <w:r w:rsidRPr="002B6725" w:rsidR="00C978D6">
        <w:rPr>
          <w:rFonts w:eastAsia="Times New Roman"/>
          <w:lang w:val="en-GB" w:eastAsia="en-GB"/>
        </w:rPr>
        <w:t>of th</w:t>
      </w:r>
      <w:r w:rsidRPr="002B6725" w:rsidR="00D376B9">
        <w:rPr>
          <w:rFonts w:eastAsia="Times New Roman"/>
          <w:lang w:val="en-GB" w:eastAsia="en-GB"/>
        </w:rPr>
        <w:t>is</w:t>
      </w:r>
      <w:r w:rsidRPr="002B6725" w:rsidR="00C978D6">
        <w:rPr>
          <w:rFonts w:eastAsia="Times New Roman"/>
          <w:lang w:val="en-GB" w:eastAsia="en-GB"/>
        </w:rPr>
        <w:t xml:space="preserve"> </w:t>
      </w:r>
      <w:r w:rsidRPr="002B6725" w:rsidR="00A36DDF">
        <w:rPr>
          <w:rFonts w:eastAsia="Times New Roman"/>
          <w:lang w:val="en-GB" w:eastAsia="en-GB"/>
        </w:rPr>
        <w:t xml:space="preserve">Act </w:t>
      </w:r>
      <w:r w:rsidRPr="002B6725" w:rsidR="00C978D6">
        <w:rPr>
          <w:rFonts w:eastAsia="Times New Roman"/>
          <w:lang w:val="en-GB" w:eastAsia="en-GB"/>
        </w:rPr>
        <w:t xml:space="preserve">provides that </w:t>
      </w:r>
      <w:r w:rsidRPr="002B6725" w:rsidR="000D6732">
        <w:rPr>
          <w:rFonts w:eastAsia="Times New Roman"/>
          <w:lang w:val="en-GB" w:eastAsia="en-GB"/>
        </w:rPr>
        <w:t>it</w:t>
      </w:r>
      <w:r w:rsidRPr="002B6725" w:rsidR="00C978D6">
        <w:rPr>
          <w:rFonts w:eastAsia="Times New Roman"/>
          <w:lang w:val="en-GB" w:eastAsia="en-GB"/>
        </w:rPr>
        <w:t xml:space="preserve"> </w:t>
      </w:r>
      <w:r w:rsidRPr="002B6725" w:rsidR="003D72F2">
        <w:rPr>
          <w:rFonts w:eastAsia="Times New Roman"/>
          <w:lang w:val="en-GB" w:eastAsia="en-GB"/>
        </w:rPr>
        <w:t xml:space="preserve">shall not </w:t>
      </w:r>
      <w:r w:rsidRPr="002B6725" w:rsidR="000D6732">
        <w:rPr>
          <w:rFonts w:eastAsia="Times New Roman"/>
          <w:lang w:val="en-GB" w:eastAsia="en-GB"/>
        </w:rPr>
        <w:t>apply</w:t>
      </w:r>
      <w:r w:rsidRPr="002B6725" w:rsidR="003D72F2">
        <w:rPr>
          <w:rFonts w:eastAsia="Times New Roman"/>
          <w:lang w:val="en-GB" w:eastAsia="en-GB"/>
        </w:rPr>
        <w:t xml:space="preserve"> to complaints and applications </w:t>
      </w:r>
      <w:r w:rsidRPr="002B6725" w:rsidR="0050664D">
        <w:rPr>
          <w:rFonts w:eastAsia="Times New Roman"/>
          <w:lang w:val="en-GB" w:eastAsia="en-GB"/>
        </w:rPr>
        <w:t xml:space="preserve">subject to examination </w:t>
      </w:r>
      <w:r w:rsidRPr="002B6725" w:rsidR="00C978D6">
        <w:rPr>
          <w:rFonts w:eastAsia="Times New Roman"/>
          <w:lang w:val="en-GB" w:eastAsia="en-GB"/>
        </w:rPr>
        <w:t xml:space="preserve">under </w:t>
      </w:r>
      <w:r w:rsidRPr="002B6725" w:rsidR="004026EB">
        <w:rPr>
          <w:rFonts w:eastAsia="Times New Roman"/>
          <w:lang w:val="en-GB" w:eastAsia="en-GB"/>
        </w:rPr>
        <w:t>criminal procedural l</w:t>
      </w:r>
      <w:r w:rsidRPr="002B6725" w:rsidR="00C978D6">
        <w:rPr>
          <w:rFonts w:eastAsia="Times New Roman"/>
          <w:lang w:val="en-GB" w:eastAsia="en-GB"/>
        </w:rPr>
        <w:t>egislation</w:t>
      </w:r>
      <w:r w:rsidRPr="002B6725" w:rsidR="004026EB">
        <w:rPr>
          <w:rFonts w:eastAsia="Times New Roman"/>
          <w:lang w:val="en-GB" w:eastAsia="en-GB"/>
        </w:rPr>
        <w:t>.</w:t>
      </w:r>
    </w:p>
    <w:p w:rsidRPr="002B6725" w:rsidR="00014566" w:rsidP="002B6725" w:rsidRDefault="00014566">
      <w:pPr>
        <w:pStyle w:val="ECHRTitle1"/>
        <w:rPr>
          <w:lang w:val="en-GB"/>
        </w:rPr>
      </w:pPr>
      <w:r w:rsidRPr="002B6725">
        <w:rPr>
          <w:lang w:val="en-GB"/>
        </w:rPr>
        <w:t>THE LAW</w:t>
      </w:r>
    </w:p>
    <w:p w:rsidRPr="002B6725" w:rsidR="00014566" w:rsidP="002B6725" w:rsidRDefault="00014566">
      <w:pPr>
        <w:pStyle w:val="ECHRHeading1"/>
        <w:rPr>
          <w:lang w:val="en-GB"/>
        </w:rPr>
      </w:pPr>
      <w:r w:rsidRPr="002B6725">
        <w:rPr>
          <w:lang w:val="en-GB"/>
        </w:rPr>
        <w:t xml:space="preserve">I.  ALLEGED VIOLATION OF ARTICLE </w:t>
      </w:r>
      <w:r w:rsidRPr="002B6725" w:rsidR="0074375A">
        <w:rPr>
          <w:lang w:val="en-GB"/>
        </w:rPr>
        <w:t>3</w:t>
      </w:r>
      <w:r w:rsidRPr="002B6725">
        <w:rPr>
          <w:lang w:val="en-GB"/>
        </w:rPr>
        <w:t xml:space="preserve"> OF THE CONVENTION</w:t>
      </w:r>
    </w:p>
    <w:p w:rsidRPr="002B6725" w:rsidR="00014566" w:rsidP="002B6725" w:rsidRDefault="00157B2E">
      <w:pPr>
        <w:pStyle w:val="ECHRPara"/>
        <w:rPr>
          <w:lang w:val="en-GB"/>
        </w:rPr>
      </w:pPr>
      <w:r w:rsidRPr="002B6725">
        <w:rPr>
          <w:lang w:val="en-GB"/>
        </w:rPr>
        <w:fldChar w:fldCharType="begin"/>
      </w:r>
      <w:r w:rsidRPr="002B6725">
        <w:rPr>
          <w:lang w:val="en-GB"/>
        </w:rPr>
        <w:instrText xml:space="preserve"> SEQ level0 \*arabic </w:instrText>
      </w:r>
      <w:r w:rsidRPr="002B6725">
        <w:rPr>
          <w:lang w:val="en-GB"/>
        </w:rPr>
        <w:fldChar w:fldCharType="separate"/>
      </w:r>
      <w:r w:rsidRPr="002B6725" w:rsidR="002B6725">
        <w:rPr>
          <w:noProof/>
          <w:lang w:val="en-GB"/>
        </w:rPr>
        <w:t>40</w:t>
      </w:r>
      <w:r w:rsidRPr="002B6725">
        <w:rPr>
          <w:lang w:val="en-GB"/>
        </w:rPr>
        <w:fldChar w:fldCharType="end"/>
      </w:r>
      <w:r w:rsidRPr="002B6725" w:rsidR="00014566">
        <w:rPr>
          <w:lang w:val="en-GB"/>
        </w:rPr>
        <w:t xml:space="preserve">.  The applicant complained </w:t>
      </w:r>
      <w:r w:rsidRPr="002B6725" w:rsidR="00D376B9">
        <w:rPr>
          <w:lang w:val="en-GB"/>
        </w:rPr>
        <w:t xml:space="preserve">of the </w:t>
      </w:r>
      <w:r w:rsidRPr="002B6725" w:rsidR="004966B9">
        <w:rPr>
          <w:lang w:val="en-GB"/>
        </w:rPr>
        <w:t xml:space="preserve">poor conditions of his detention in the SIZO and that he had not been provided with appropriate medical assistance in that facility. He relied on </w:t>
      </w:r>
      <w:r w:rsidRPr="002B6725" w:rsidR="00014566">
        <w:rPr>
          <w:lang w:val="en-GB"/>
        </w:rPr>
        <w:t xml:space="preserve">Article </w:t>
      </w:r>
      <w:r w:rsidRPr="002B6725" w:rsidR="004966B9">
        <w:rPr>
          <w:lang w:val="en-GB"/>
        </w:rPr>
        <w:t>3</w:t>
      </w:r>
      <w:r w:rsidRPr="002B6725" w:rsidR="00014566">
        <w:rPr>
          <w:lang w:val="en-GB"/>
        </w:rPr>
        <w:t xml:space="preserve"> of the Convention, which reads as follows:</w:t>
      </w:r>
    </w:p>
    <w:p w:rsidRPr="002B6725" w:rsidR="00014566" w:rsidP="002B6725" w:rsidRDefault="004966B9">
      <w:pPr>
        <w:pStyle w:val="ECHRParaQuote"/>
        <w:rPr>
          <w:lang w:val="en-GB"/>
        </w:rPr>
      </w:pPr>
      <w:r w:rsidRPr="002B6725">
        <w:t>“No one shall be subjected to torture or to inhuman or degrading treatment or punishment.”</w:t>
      </w:r>
    </w:p>
    <w:p w:rsidRPr="002B6725" w:rsidR="00750D68" w:rsidP="002B6725" w:rsidRDefault="00014566">
      <w:pPr>
        <w:pStyle w:val="ECHRHeading2"/>
        <w:rPr>
          <w:lang w:val="en-GB"/>
        </w:rPr>
      </w:pPr>
      <w:r w:rsidRPr="002B6725">
        <w:rPr>
          <w:lang w:val="en-GB"/>
        </w:rPr>
        <w:t>A. </w:t>
      </w:r>
      <w:r w:rsidRPr="002B6725" w:rsidR="00C72699">
        <w:rPr>
          <w:lang w:val="en-GB"/>
        </w:rPr>
        <w:t> </w:t>
      </w:r>
      <w:r w:rsidRPr="002B6725" w:rsidR="00F13C86">
        <w:rPr>
          <w:lang w:val="en-GB"/>
        </w:rPr>
        <w:t>Conditions of detention</w:t>
      </w:r>
    </w:p>
    <w:p w:rsidRPr="002B6725" w:rsidR="00750D68" w:rsidP="002B6725" w:rsidRDefault="00157B2E">
      <w:pPr>
        <w:pStyle w:val="ECHRPara"/>
        <w:rPr>
          <w:rFonts w:eastAsia="Times New Roman"/>
          <w:lang w:val="en-GB" w:eastAsia="en-GB"/>
        </w:rPr>
      </w:pPr>
      <w:r w:rsidRPr="002B6725">
        <w:rPr>
          <w:lang w:val="en-GB"/>
        </w:rPr>
        <w:fldChar w:fldCharType="begin"/>
      </w:r>
      <w:r w:rsidRPr="002B6725">
        <w:rPr>
          <w:lang w:val="en-GB"/>
        </w:rPr>
        <w:instrText xml:space="preserve"> SEQ level0 \*arabic </w:instrText>
      </w:r>
      <w:r w:rsidRPr="002B6725">
        <w:rPr>
          <w:lang w:val="en-GB"/>
        </w:rPr>
        <w:fldChar w:fldCharType="separate"/>
      </w:r>
      <w:r w:rsidRPr="002B6725" w:rsidR="002B6725">
        <w:rPr>
          <w:noProof/>
          <w:lang w:val="en-GB"/>
        </w:rPr>
        <w:t>41</w:t>
      </w:r>
      <w:r w:rsidRPr="002B6725">
        <w:rPr>
          <w:lang w:val="en-GB"/>
        </w:rPr>
        <w:fldChar w:fldCharType="end"/>
      </w:r>
      <w:r w:rsidRPr="002B6725" w:rsidR="00014566">
        <w:rPr>
          <w:lang w:val="en-GB"/>
        </w:rPr>
        <w:t>.  </w:t>
      </w:r>
      <w:r w:rsidRPr="002B6725" w:rsidR="007525D0">
        <w:rPr>
          <w:lang w:val="en-GB"/>
        </w:rPr>
        <w:t xml:space="preserve">The </w:t>
      </w:r>
      <w:r w:rsidRPr="002B6725" w:rsidR="00B0283D">
        <w:rPr>
          <w:rFonts w:eastAsia="Times New Roman"/>
          <w:lang w:val="en-GB" w:eastAsia="en-GB"/>
        </w:rPr>
        <w:t>Government claimed that the applicant</w:t>
      </w:r>
      <w:r w:rsidRPr="002B6725" w:rsidR="002B6725">
        <w:rPr>
          <w:rFonts w:eastAsia="Times New Roman"/>
          <w:lang w:val="en-GB" w:eastAsia="en-GB"/>
        </w:rPr>
        <w:t>’</w:t>
      </w:r>
      <w:r w:rsidRPr="002B6725" w:rsidR="00B0283D">
        <w:rPr>
          <w:rFonts w:eastAsia="Times New Roman"/>
          <w:lang w:val="en-GB" w:eastAsia="en-GB"/>
        </w:rPr>
        <w:t>s complaint</w:t>
      </w:r>
      <w:r w:rsidRPr="002B6725" w:rsidR="002F1E90">
        <w:rPr>
          <w:rFonts w:eastAsia="Times New Roman"/>
          <w:lang w:val="en-GB" w:eastAsia="en-GB"/>
        </w:rPr>
        <w:t>s</w:t>
      </w:r>
      <w:r w:rsidRPr="002B6725" w:rsidR="00B0283D">
        <w:rPr>
          <w:rFonts w:eastAsia="Times New Roman"/>
          <w:lang w:val="en-GB" w:eastAsia="en-GB"/>
        </w:rPr>
        <w:t xml:space="preserve"> </w:t>
      </w:r>
      <w:r w:rsidRPr="002B6725" w:rsidR="006B1E9C">
        <w:rPr>
          <w:rFonts w:eastAsia="Times New Roman"/>
          <w:lang w:val="en-GB" w:eastAsia="en-GB"/>
        </w:rPr>
        <w:t>w</w:t>
      </w:r>
      <w:r w:rsidRPr="002B6725" w:rsidR="002F1E90">
        <w:rPr>
          <w:rFonts w:eastAsia="Times New Roman"/>
          <w:lang w:val="en-GB" w:eastAsia="en-GB"/>
        </w:rPr>
        <w:t>ere</w:t>
      </w:r>
      <w:r w:rsidRPr="002B6725" w:rsidR="006B1E9C">
        <w:rPr>
          <w:rFonts w:eastAsia="Times New Roman"/>
          <w:lang w:val="en-GB" w:eastAsia="en-GB"/>
        </w:rPr>
        <w:t xml:space="preserve"> </w:t>
      </w:r>
      <w:r w:rsidRPr="002B6725" w:rsidR="00B0283D">
        <w:rPr>
          <w:rFonts w:eastAsia="Times New Roman"/>
          <w:lang w:val="en-GB" w:eastAsia="en-GB"/>
        </w:rPr>
        <w:t>unsubstantiated</w:t>
      </w:r>
      <w:r w:rsidRPr="002B6725" w:rsidR="002A032C">
        <w:rPr>
          <w:rFonts w:eastAsia="Times New Roman"/>
          <w:lang w:val="en-GB" w:eastAsia="en-GB"/>
        </w:rPr>
        <w:t>, some of them being general statement</w:t>
      </w:r>
      <w:r w:rsidRPr="002B6725" w:rsidR="00EA63B7">
        <w:rPr>
          <w:rFonts w:eastAsia="Times New Roman"/>
          <w:lang w:val="en-GB" w:eastAsia="en-GB"/>
        </w:rPr>
        <w:t>s</w:t>
      </w:r>
      <w:r w:rsidRPr="002B6725" w:rsidR="002A032C">
        <w:rPr>
          <w:rFonts w:eastAsia="Times New Roman"/>
          <w:lang w:val="en-GB" w:eastAsia="en-GB"/>
        </w:rPr>
        <w:t xml:space="preserve"> </w:t>
      </w:r>
      <w:r w:rsidRPr="002B6725" w:rsidR="00B0283D">
        <w:rPr>
          <w:rFonts w:eastAsia="Times New Roman"/>
          <w:lang w:val="en-GB" w:eastAsia="en-GB"/>
        </w:rPr>
        <w:t>not supported by any evidence.</w:t>
      </w:r>
    </w:p>
    <w:p w:rsidRPr="002B6725" w:rsidR="0048494E" w:rsidP="002B6725" w:rsidRDefault="00661526">
      <w:pPr>
        <w:pStyle w:val="ECHRPara"/>
        <w:rPr>
          <w:rFonts w:eastAsia="Times New Roman"/>
          <w:lang w:val="en-GB" w:eastAsia="en-GB"/>
        </w:rPr>
      </w:pPr>
      <w:r w:rsidRPr="002B6725">
        <w:rPr>
          <w:rFonts w:eastAsia="Times New Roman"/>
          <w:lang w:val="en-GB" w:eastAsia="en-GB"/>
        </w:rPr>
        <w:fldChar w:fldCharType="begin"/>
      </w:r>
      <w:r w:rsidRPr="002B6725">
        <w:rPr>
          <w:rFonts w:eastAsia="Times New Roman"/>
          <w:lang w:val="en-GB" w:eastAsia="en-GB"/>
        </w:rPr>
        <w:instrText xml:space="preserve"> SEQ level0 \*arabic </w:instrText>
      </w:r>
      <w:r w:rsidRPr="002B6725">
        <w:rPr>
          <w:rFonts w:eastAsia="Times New Roman"/>
          <w:lang w:val="en-GB" w:eastAsia="en-GB"/>
        </w:rPr>
        <w:fldChar w:fldCharType="separate"/>
      </w:r>
      <w:r w:rsidRPr="002B6725" w:rsidR="002B6725">
        <w:rPr>
          <w:rFonts w:eastAsia="Times New Roman"/>
          <w:noProof/>
          <w:lang w:val="en-GB" w:eastAsia="en-GB"/>
        </w:rPr>
        <w:t>42</w:t>
      </w:r>
      <w:r w:rsidRPr="002B6725">
        <w:rPr>
          <w:rFonts w:eastAsia="Times New Roman"/>
          <w:lang w:val="en-GB" w:eastAsia="en-GB"/>
        </w:rPr>
        <w:fldChar w:fldCharType="end"/>
      </w:r>
      <w:r w:rsidRPr="002B6725">
        <w:rPr>
          <w:rFonts w:eastAsia="Times New Roman"/>
          <w:lang w:val="en-GB" w:eastAsia="en-GB"/>
        </w:rPr>
        <w:t>.  </w:t>
      </w:r>
      <w:r w:rsidRPr="002B6725" w:rsidR="005B2A6A">
        <w:rPr>
          <w:rFonts w:eastAsia="Times New Roman"/>
          <w:lang w:val="en-GB" w:eastAsia="en-GB"/>
        </w:rPr>
        <w:t xml:space="preserve">The applicant </w:t>
      </w:r>
      <w:r w:rsidRPr="002B6725" w:rsidR="002A032C">
        <w:rPr>
          <w:rFonts w:eastAsia="Times New Roman"/>
          <w:lang w:val="en-GB" w:eastAsia="en-GB"/>
        </w:rPr>
        <w:t>disagreed</w:t>
      </w:r>
      <w:r w:rsidRPr="002B6725" w:rsidR="00532271">
        <w:rPr>
          <w:rFonts w:eastAsia="Times New Roman"/>
          <w:lang w:val="en-GB" w:eastAsia="en-GB"/>
        </w:rPr>
        <w:t>.</w:t>
      </w:r>
    </w:p>
    <w:p w:rsidRPr="002B6725" w:rsidR="00750D68" w:rsidP="002B6725" w:rsidRDefault="00661526">
      <w:pPr>
        <w:pStyle w:val="ECHRPara"/>
        <w:rPr>
          <w:rFonts w:ascii="Times New Roman" w:hAnsi="Times New Roman" w:eastAsia="Times New Roman" w:cs="Times New Roman"/>
          <w:szCs w:val="24"/>
          <w:lang w:val="en-GB" w:eastAsia="en-GB"/>
        </w:rPr>
      </w:pPr>
      <w:r w:rsidRPr="002B6725">
        <w:rPr>
          <w:rFonts w:ascii="Times New Roman" w:hAnsi="Times New Roman" w:eastAsia="Times New Roman" w:cs="Times New Roman"/>
          <w:szCs w:val="24"/>
          <w:lang w:val="en-GB" w:eastAsia="en-GB"/>
        </w:rPr>
        <w:fldChar w:fldCharType="begin"/>
      </w:r>
      <w:r w:rsidRPr="002B6725">
        <w:rPr>
          <w:rFonts w:ascii="Times New Roman" w:hAnsi="Times New Roman" w:eastAsia="Times New Roman" w:cs="Times New Roman"/>
          <w:szCs w:val="24"/>
          <w:lang w:val="en-GB" w:eastAsia="en-GB"/>
        </w:rPr>
        <w:instrText xml:space="preserve"> SEQ level0 \*arabic </w:instrText>
      </w:r>
      <w:r w:rsidRPr="002B6725">
        <w:rPr>
          <w:rFonts w:ascii="Times New Roman" w:hAnsi="Times New Roman" w:eastAsia="Times New Roman" w:cs="Times New Roman"/>
          <w:szCs w:val="24"/>
          <w:lang w:val="en-GB" w:eastAsia="en-GB"/>
        </w:rPr>
        <w:fldChar w:fldCharType="separate"/>
      </w:r>
      <w:r w:rsidRPr="002B6725" w:rsidR="002B6725">
        <w:rPr>
          <w:rFonts w:ascii="Times New Roman" w:hAnsi="Times New Roman" w:eastAsia="Times New Roman" w:cs="Times New Roman"/>
          <w:noProof/>
          <w:szCs w:val="24"/>
          <w:lang w:val="en-GB" w:eastAsia="en-GB"/>
        </w:rPr>
        <w:t>43</w:t>
      </w:r>
      <w:r w:rsidRPr="002B6725">
        <w:rPr>
          <w:rFonts w:ascii="Times New Roman" w:hAnsi="Times New Roman" w:eastAsia="Times New Roman" w:cs="Times New Roman"/>
          <w:szCs w:val="24"/>
          <w:lang w:val="en-GB" w:eastAsia="en-GB"/>
        </w:rPr>
        <w:fldChar w:fldCharType="end"/>
      </w:r>
      <w:r w:rsidRPr="002B6725">
        <w:rPr>
          <w:rFonts w:ascii="Times New Roman" w:hAnsi="Times New Roman" w:eastAsia="Times New Roman" w:cs="Times New Roman"/>
          <w:szCs w:val="24"/>
          <w:lang w:val="en-GB" w:eastAsia="en-GB"/>
        </w:rPr>
        <w:t>.  </w:t>
      </w:r>
      <w:r w:rsidRPr="002B6725" w:rsidR="00A62049">
        <w:rPr>
          <w:rFonts w:ascii="Times New Roman" w:hAnsi="Times New Roman" w:eastAsia="Times New Roman" w:cs="Times New Roman"/>
          <w:szCs w:val="24"/>
          <w:lang w:val="en-GB" w:eastAsia="en-GB"/>
        </w:rPr>
        <w:t>The Court notes that the applicant complained of the particular conditions of his detention only regarding two cells (nos.</w:t>
      </w:r>
      <w:r w:rsidRPr="002B6725" w:rsidR="00A62049">
        <w:t xml:space="preserve"> 18 and 116)</w:t>
      </w:r>
      <w:r w:rsidRPr="002B6725" w:rsidR="00A62049">
        <w:rPr>
          <w:rFonts w:ascii="Times New Roman" w:hAnsi="Times New Roman" w:eastAsia="Times New Roman" w:cs="Times New Roman"/>
          <w:szCs w:val="24"/>
          <w:lang w:val="en-GB" w:eastAsia="en-GB"/>
        </w:rPr>
        <w:t>, in which he had been detained for about four month</w:t>
      </w:r>
      <w:r w:rsidRPr="002B6725" w:rsidR="00293D3A">
        <w:rPr>
          <w:rFonts w:ascii="Times New Roman" w:hAnsi="Times New Roman" w:eastAsia="Times New Roman" w:cs="Times New Roman"/>
          <w:szCs w:val="24"/>
          <w:lang w:val="en-GB" w:eastAsia="en-GB"/>
        </w:rPr>
        <w:t>s</w:t>
      </w:r>
      <w:r w:rsidRPr="002B6725" w:rsidR="00A62049">
        <w:rPr>
          <w:rFonts w:ascii="Times New Roman" w:hAnsi="Times New Roman" w:eastAsia="Times New Roman" w:cs="Times New Roman"/>
          <w:szCs w:val="24"/>
          <w:lang w:val="en-GB" w:eastAsia="en-GB"/>
        </w:rPr>
        <w:t xml:space="preserve"> in total in 2005, while providing no description and making no complaints in respect of ten other cells</w:t>
      </w:r>
      <w:r w:rsidRPr="002B6725" w:rsidR="00717EC4">
        <w:rPr>
          <w:rFonts w:ascii="Times New Roman" w:hAnsi="Times New Roman" w:eastAsia="Times New Roman" w:cs="Times New Roman"/>
          <w:szCs w:val="24"/>
          <w:lang w:val="en-GB" w:eastAsia="en-GB"/>
        </w:rPr>
        <w:t xml:space="preserve"> (see paragraphs 2</w:t>
      </w:r>
      <w:r w:rsidRPr="002B6725" w:rsidR="00951B6D">
        <w:rPr>
          <w:rFonts w:ascii="Times New Roman" w:hAnsi="Times New Roman" w:eastAsia="Times New Roman" w:cs="Times New Roman"/>
          <w:szCs w:val="24"/>
          <w:lang w:val="en-GB" w:eastAsia="en-GB"/>
        </w:rPr>
        <w:t>4</w:t>
      </w:r>
      <w:r w:rsidRPr="002B6725" w:rsidR="00717EC4">
        <w:rPr>
          <w:rFonts w:ascii="Times New Roman" w:hAnsi="Times New Roman" w:eastAsia="Times New Roman" w:cs="Times New Roman"/>
          <w:szCs w:val="24"/>
          <w:lang w:val="en-GB" w:eastAsia="en-GB"/>
        </w:rPr>
        <w:t xml:space="preserve"> and 2</w:t>
      </w:r>
      <w:r w:rsidRPr="002B6725" w:rsidR="00951B6D">
        <w:rPr>
          <w:rFonts w:ascii="Times New Roman" w:hAnsi="Times New Roman" w:eastAsia="Times New Roman" w:cs="Times New Roman"/>
          <w:szCs w:val="24"/>
          <w:lang w:val="en-GB" w:eastAsia="en-GB"/>
        </w:rPr>
        <w:t>8</w:t>
      </w:r>
      <w:r w:rsidRPr="002B6725" w:rsidR="00717EC4">
        <w:rPr>
          <w:rFonts w:ascii="Times New Roman" w:hAnsi="Times New Roman" w:eastAsia="Times New Roman" w:cs="Times New Roman"/>
          <w:szCs w:val="24"/>
          <w:lang w:val="en-GB" w:eastAsia="en-GB"/>
        </w:rPr>
        <w:t xml:space="preserve"> above)</w:t>
      </w:r>
      <w:r w:rsidRPr="002B6725" w:rsidR="00A62049">
        <w:rPr>
          <w:rFonts w:ascii="Times New Roman" w:hAnsi="Times New Roman" w:eastAsia="Times New Roman" w:cs="Times New Roman"/>
          <w:szCs w:val="24"/>
          <w:lang w:val="en-GB" w:eastAsia="en-GB"/>
        </w:rPr>
        <w:t>.</w:t>
      </w:r>
    </w:p>
    <w:p w:rsidRPr="002B6725" w:rsidR="00EC291C" w:rsidP="002B6725" w:rsidRDefault="00661526">
      <w:pPr>
        <w:pStyle w:val="ECHRPara"/>
        <w:rPr>
          <w:rFonts w:ascii="Times New Roman" w:hAnsi="Times New Roman" w:eastAsia="Times New Roman" w:cs="Times New Roman"/>
          <w:szCs w:val="24"/>
          <w:lang w:val="en-GB" w:eastAsia="en-GB"/>
        </w:rPr>
      </w:pPr>
      <w:r w:rsidRPr="002B6725">
        <w:rPr>
          <w:rFonts w:ascii="Times New Roman" w:hAnsi="Times New Roman" w:eastAsia="Times New Roman" w:cs="Times New Roman"/>
          <w:szCs w:val="24"/>
          <w:lang w:val="en-GB" w:eastAsia="en-GB"/>
        </w:rPr>
        <w:fldChar w:fldCharType="begin"/>
      </w:r>
      <w:r w:rsidRPr="002B6725">
        <w:rPr>
          <w:rFonts w:ascii="Times New Roman" w:hAnsi="Times New Roman" w:eastAsia="Times New Roman" w:cs="Times New Roman"/>
          <w:szCs w:val="24"/>
          <w:lang w:val="en-GB" w:eastAsia="en-GB"/>
        </w:rPr>
        <w:instrText xml:space="preserve"> SEQ level0 \*arabic </w:instrText>
      </w:r>
      <w:r w:rsidRPr="002B6725">
        <w:rPr>
          <w:rFonts w:ascii="Times New Roman" w:hAnsi="Times New Roman" w:eastAsia="Times New Roman" w:cs="Times New Roman"/>
          <w:szCs w:val="24"/>
          <w:lang w:val="en-GB" w:eastAsia="en-GB"/>
        </w:rPr>
        <w:fldChar w:fldCharType="separate"/>
      </w:r>
      <w:r w:rsidRPr="002B6725" w:rsidR="002B6725">
        <w:rPr>
          <w:rFonts w:ascii="Times New Roman" w:hAnsi="Times New Roman" w:eastAsia="Times New Roman" w:cs="Times New Roman"/>
          <w:noProof/>
          <w:szCs w:val="24"/>
          <w:lang w:val="en-GB" w:eastAsia="en-GB"/>
        </w:rPr>
        <w:t>44</w:t>
      </w:r>
      <w:r w:rsidRPr="002B6725">
        <w:rPr>
          <w:rFonts w:ascii="Times New Roman" w:hAnsi="Times New Roman" w:eastAsia="Times New Roman" w:cs="Times New Roman"/>
          <w:szCs w:val="24"/>
          <w:lang w:val="en-GB" w:eastAsia="en-GB"/>
        </w:rPr>
        <w:fldChar w:fldCharType="end"/>
      </w:r>
      <w:r w:rsidRPr="002B6725">
        <w:rPr>
          <w:rFonts w:ascii="Times New Roman" w:hAnsi="Times New Roman" w:eastAsia="Times New Roman" w:cs="Times New Roman"/>
          <w:szCs w:val="24"/>
          <w:lang w:val="en-GB" w:eastAsia="en-GB"/>
        </w:rPr>
        <w:t>.  </w:t>
      </w:r>
      <w:r w:rsidRPr="002B6725" w:rsidR="00A62049">
        <w:rPr>
          <w:rFonts w:ascii="Times New Roman" w:hAnsi="Times New Roman" w:eastAsia="Times New Roman" w:cs="Times New Roman"/>
          <w:szCs w:val="24"/>
          <w:lang w:val="en-GB" w:eastAsia="en-GB"/>
        </w:rPr>
        <w:t xml:space="preserve">The Court reiterates in this connection that in accordance with Article 35 § 1 of the Convention it may only deal with a matter within a period of six months of the date of the final domestic decision, a rule which may not be set aside solely because a Government have not raised the relevant objection (see </w:t>
      </w:r>
      <w:r w:rsidRPr="002B6725" w:rsidR="00A62049">
        <w:rPr>
          <w:rFonts w:ascii="Times New Roman" w:hAnsi="Times New Roman" w:eastAsia="Times New Roman" w:cs="Times New Roman"/>
          <w:i/>
          <w:szCs w:val="24"/>
          <w:lang w:val="en-GB" w:eastAsia="en-GB"/>
        </w:rPr>
        <w:t>Walker v. the United Kingdom</w:t>
      </w:r>
      <w:r w:rsidRPr="002B6725" w:rsidR="00A62049">
        <w:rPr>
          <w:rFonts w:ascii="Times New Roman" w:hAnsi="Times New Roman" w:eastAsia="Times New Roman" w:cs="Times New Roman"/>
          <w:szCs w:val="24"/>
          <w:lang w:val="en-GB" w:eastAsia="en-GB"/>
        </w:rPr>
        <w:t xml:space="preserve"> (dec.), no. 34979/97, ECHR 2000</w:t>
      </w:r>
      <w:r w:rsidRPr="002B6725" w:rsidR="00A62049">
        <w:rPr>
          <w:rFonts w:ascii="Times New Roman" w:hAnsi="Times New Roman" w:eastAsia="Times New Roman" w:cs="Times New Roman"/>
          <w:szCs w:val="24"/>
          <w:lang w:val="en-GB" w:eastAsia="en-GB"/>
        </w:rPr>
        <w:noBreakHyphen/>
        <w:t>I). The Court further reiterates that where no domestic remedy is available, the six</w:t>
      </w:r>
      <w:r w:rsidRPr="002B6725" w:rsidR="00A62049">
        <w:rPr>
          <w:rFonts w:ascii="Times New Roman" w:hAnsi="Times New Roman" w:eastAsia="Times New Roman" w:cs="Times New Roman"/>
          <w:szCs w:val="24"/>
          <w:lang w:val="en-GB" w:eastAsia="en-GB"/>
        </w:rPr>
        <w:noBreakHyphen/>
        <w:t xml:space="preserve">month period runs from the act alleged to constitute a violation of the Convention and where it concerns a continuing situation, it runs from the end of the situation concerned (see </w:t>
      </w:r>
      <w:r w:rsidRPr="002B6725" w:rsidR="00C72699">
        <w:rPr>
          <w:rFonts w:ascii="Times New Roman" w:hAnsi="Times New Roman" w:eastAsia="Times New Roman" w:cs="Times New Roman"/>
          <w:i/>
          <w:szCs w:val="24"/>
          <w:lang w:val="en-GB" w:eastAsia="en-GB"/>
        </w:rPr>
        <w:t>Antonenkov and Others v. </w:t>
      </w:r>
      <w:r w:rsidRPr="002B6725" w:rsidR="00A62049">
        <w:rPr>
          <w:rFonts w:ascii="Times New Roman" w:hAnsi="Times New Roman" w:eastAsia="Times New Roman" w:cs="Times New Roman"/>
          <w:i/>
          <w:szCs w:val="24"/>
          <w:lang w:val="en-GB" w:eastAsia="en-GB"/>
        </w:rPr>
        <w:t>Ukraine</w:t>
      </w:r>
      <w:r w:rsidRPr="002B6725" w:rsidR="00A62049">
        <w:rPr>
          <w:rFonts w:ascii="Times New Roman" w:hAnsi="Times New Roman" w:eastAsia="Times New Roman" w:cs="Times New Roman"/>
          <w:szCs w:val="24"/>
          <w:lang w:val="en-GB" w:eastAsia="en-GB"/>
        </w:rPr>
        <w:t xml:space="preserve">, no. 14183/02, § 32, 22 November 2005). The Court has already found in a number of similar cases lodged against Ukraine that no effective domestic remedies in respect of complaints concerning poor conditions of detention were available (see, among </w:t>
      </w:r>
      <w:r w:rsidRPr="002B6725" w:rsidR="00A62049">
        <w:t xml:space="preserve">other authorities, </w:t>
      </w:r>
      <w:r w:rsidRPr="002B6725" w:rsidR="00A62049">
        <w:rPr>
          <w:i/>
        </w:rPr>
        <w:t>Melnik v. Ukraine</w:t>
      </w:r>
      <w:r w:rsidRPr="002B6725" w:rsidR="00A62049">
        <w:t xml:space="preserve">, no. 72286/01, §§ 113-16, 28 March 2006; </w:t>
      </w:r>
      <w:r w:rsidRPr="002B6725" w:rsidR="00A62049">
        <w:rPr>
          <w:i/>
        </w:rPr>
        <w:t>Ukhan v. Ukraine</w:t>
      </w:r>
      <w:r w:rsidRPr="002B6725" w:rsidR="00A62049">
        <w:t xml:space="preserve">, no. 30628/02, §§ 91-92, 18 December 2008; and </w:t>
      </w:r>
      <w:r w:rsidRPr="002B6725" w:rsidR="00A62049">
        <w:rPr>
          <w:i/>
        </w:rPr>
        <w:t>Iglin v. Ukraine</w:t>
      </w:r>
      <w:r w:rsidRPr="002B6725" w:rsidR="00A62049">
        <w:t xml:space="preserve">, no. 39908/05, § 77, </w:t>
      </w:r>
      <w:r w:rsidRPr="002B6725" w:rsidR="00C72699">
        <w:t>12 </w:t>
      </w:r>
      <w:r w:rsidRPr="002B6725" w:rsidR="00A62049">
        <w:t>January 2012)</w:t>
      </w:r>
      <w:r w:rsidRPr="002B6725" w:rsidR="00A62049">
        <w:rPr>
          <w:rFonts w:ascii="Times New Roman" w:hAnsi="Times New Roman" w:eastAsia="Times New Roman" w:cs="Times New Roman"/>
          <w:szCs w:val="24"/>
          <w:lang w:val="en-GB" w:eastAsia="en-GB"/>
        </w:rPr>
        <w:t>.</w:t>
      </w:r>
    </w:p>
    <w:p w:rsidRPr="002B6725" w:rsidR="00532271" w:rsidP="002B6725" w:rsidRDefault="00661526">
      <w:pPr>
        <w:pStyle w:val="ECHRPara"/>
        <w:rPr>
          <w:rFonts w:ascii="Times New Roman" w:hAnsi="Times New Roman" w:eastAsia="Times New Roman" w:cs="Times New Roman"/>
          <w:szCs w:val="24"/>
          <w:lang w:val="en-GB" w:eastAsia="en-GB"/>
        </w:rPr>
      </w:pPr>
      <w:r w:rsidRPr="002B6725">
        <w:rPr>
          <w:rFonts w:ascii="Times New Roman" w:hAnsi="Times New Roman" w:eastAsia="Times New Roman" w:cs="Times New Roman"/>
          <w:szCs w:val="24"/>
          <w:lang w:val="en-GB" w:eastAsia="en-GB"/>
        </w:rPr>
        <w:fldChar w:fldCharType="begin"/>
      </w:r>
      <w:r w:rsidRPr="002B6725">
        <w:rPr>
          <w:rFonts w:ascii="Times New Roman" w:hAnsi="Times New Roman" w:eastAsia="Times New Roman" w:cs="Times New Roman"/>
          <w:szCs w:val="24"/>
          <w:lang w:val="en-GB" w:eastAsia="en-GB"/>
        </w:rPr>
        <w:instrText xml:space="preserve"> SEQ level0 \*arabic </w:instrText>
      </w:r>
      <w:r w:rsidRPr="002B6725">
        <w:rPr>
          <w:rFonts w:ascii="Times New Roman" w:hAnsi="Times New Roman" w:eastAsia="Times New Roman" w:cs="Times New Roman"/>
          <w:szCs w:val="24"/>
          <w:lang w:val="en-GB" w:eastAsia="en-GB"/>
        </w:rPr>
        <w:fldChar w:fldCharType="separate"/>
      </w:r>
      <w:r w:rsidRPr="002B6725" w:rsidR="002B6725">
        <w:rPr>
          <w:rFonts w:ascii="Times New Roman" w:hAnsi="Times New Roman" w:eastAsia="Times New Roman" w:cs="Times New Roman"/>
          <w:noProof/>
          <w:szCs w:val="24"/>
          <w:lang w:val="en-GB" w:eastAsia="en-GB"/>
        </w:rPr>
        <w:t>45</w:t>
      </w:r>
      <w:r w:rsidRPr="002B6725">
        <w:rPr>
          <w:rFonts w:ascii="Times New Roman" w:hAnsi="Times New Roman" w:eastAsia="Times New Roman" w:cs="Times New Roman"/>
          <w:szCs w:val="24"/>
          <w:lang w:val="en-GB" w:eastAsia="en-GB"/>
        </w:rPr>
        <w:fldChar w:fldCharType="end"/>
      </w:r>
      <w:r w:rsidRPr="002B6725">
        <w:rPr>
          <w:rFonts w:ascii="Times New Roman" w:hAnsi="Times New Roman" w:eastAsia="Times New Roman" w:cs="Times New Roman"/>
          <w:szCs w:val="24"/>
          <w:lang w:val="en-GB" w:eastAsia="en-GB"/>
        </w:rPr>
        <w:t>. </w:t>
      </w:r>
      <w:r w:rsidRPr="002B6725" w:rsidR="00A62049">
        <w:rPr>
          <w:rFonts w:ascii="Times New Roman" w:hAnsi="Times New Roman" w:eastAsia="Times New Roman" w:cs="Times New Roman"/>
          <w:szCs w:val="24"/>
          <w:lang w:val="en-GB" w:eastAsia="en-GB"/>
        </w:rPr>
        <w:t xml:space="preserve">Having regard to the above principles, the Court </w:t>
      </w:r>
      <w:r w:rsidRPr="002B6725" w:rsidR="00A62049">
        <w:rPr>
          <w:rFonts w:eastAsia="Times New Roman"/>
          <w:lang w:val="en-GB" w:eastAsia="en-GB"/>
        </w:rPr>
        <w:t xml:space="preserve">observes </w:t>
      </w:r>
      <w:r w:rsidRPr="002B6725" w:rsidR="00A62049">
        <w:rPr>
          <w:rFonts w:ascii="Times New Roman" w:hAnsi="Times New Roman" w:eastAsia="Times New Roman" w:cs="Times New Roman"/>
          <w:szCs w:val="24"/>
          <w:lang w:val="en-GB" w:eastAsia="en-GB"/>
        </w:rPr>
        <w:t>that the period of the applicant</w:t>
      </w:r>
      <w:r w:rsidRPr="002B6725" w:rsidR="002B6725">
        <w:rPr>
          <w:rFonts w:ascii="Times New Roman" w:hAnsi="Times New Roman" w:eastAsia="Times New Roman" w:cs="Times New Roman"/>
          <w:szCs w:val="24"/>
          <w:lang w:val="en-GB" w:eastAsia="en-GB"/>
        </w:rPr>
        <w:t>’</w:t>
      </w:r>
      <w:r w:rsidRPr="002B6725" w:rsidR="00A62049">
        <w:rPr>
          <w:rFonts w:ascii="Times New Roman" w:hAnsi="Times New Roman" w:eastAsia="Times New Roman" w:cs="Times New Roman"/>
          <w:szCs w:val="24"/>
          <w:lang w:val="en-GB" w:eastAsia="en-GB"/>
        </w:rPr>
        <w:t>s detention in the above cells ended more than six months before the present applicatio</w:t>
      </w:r>
      <w:r w:rsidRPr="002B6725" w:rsidR="00C72699">
        <w:rPr>
          <w:rFonts w:ascii="Times New Roman" w:hAnsi="Times New Roman" w:eastAsia="Times New Roman" w:cs="Times New Roman"/>
          <w:szCs w:val="24"/>
          <w:lang w:val="en-GB" w:eastAsia="en-GB"/>
        </w:rPr>
        <w:t>n was lodged with the Court (16 </w:t>
      </w:r>
      <w:r w:rsidRPr="002B6725" w:rsidR="00A62049">
        <w:rPr>
          <w:rFonts w:ascii="Times New Roman" w:hAnsi="Times New Roman" w:eastAsia="Times New Roman" w:cs="Times New Roman"/>
          <w:szCs w:val="24"/>
          <w:lang w:val="en-GB" w:eastAsia="en-GB"/>
        </w:rPr>
        <w:t>January 2007). Consequently, this part of the applicant</w:t>
      </w:r>
      <w:r w:rsidRPr="002B6725" w:rsidR="002B6725">
        <w:rPr>
          <w:rFonts w:ascii="Times New Roman" w:hAnsi="Times New Roman" w:eastAsia="Times New Roman" w:cs="Times New Roman"/>
          <w:szCs w:val="24"/>
          <w:lang w:val="en-GB" w:eastAsia="en-GB"/>
        </w:rPr>
        <w:t>’</w:t>
      </w:r>
      <w:r w:rsidRPr="002B6725" w:rsidR="00A62049">
        <w:rPr>
          <w:rFonts w:ascii="Times New Roman" w:hAnsi="Times New Roman" w:eastAsia="Times New Roman" w:cs="Times New Roman"/>
          <w:szCs w:val="24"/>
          <w:lang w:val="en-GB" w:eastAsia="en-GB"/>
        </w:rPr>
        <w:t>s complaint must be rejected for having been lodged out of time.</w:t>
      </w:r>
    </w:p>
    <w:p w:rsidRPr="002B6725" w:rsidR="00750D68" w:rsidP="002B6725" w:rsidRDefault="00661526">
      <w:pPr>
        <w:pStyle w:val="ECHRPara"/>
        <w:rPr>
          <w:rFonts w:ascii="Times New Roman" w:hAnsi="Times New Roman" w:eastAsia="Times New Roman" w:cs="Times New Roman"/>
          <w:szCs w:val="24"/>
          <w:lang w:val="en-GB" w:eastAsia="en-GB"/>
        </w:rPr>
      </w:pPr>
      <w:r w:rsidRPr="002B6725">
        <w:rPr>
          <w:rFonts w:ascii="Times New Roman" w:hAnsi="Times New Roman" w:eastAsia="Times New Roman" w:cs="Times New Roman"/>
          <w:szCs w:val="24"/>
          <w:lang w:val="en-GB" w:eastAsia="en-GB"/>
        </w:rPr>
        <w:fldChar w:fldCharType="begin"/>
      </w:r>
      <w:r w:rsidRPr="002B6725">
        <w:rPr>
          <w:rFonts w:ascii="Times New Roman" w:hAnsi="Times New Roman" w:eastAsia="Times New Roman" w:cs="Times New Roman"/>
          <w:szCs w:val="24"/>
          <w:lang w:val="en-GB" w:eastAsia="en-GB"/>
        </w:rPr>
        <w:instrText xml:space="preserve"> SEQ level0 \*arabic </w:instrText>
      </w:r>
      <w:r w:rsidRPr="002B6725">
        <w:rPr>
          <w:rFonts w:ascii="Times New Roman" w:hAnsi="Times New Roman" w:eastAsia="Times New Roman" w:cs="Times New Roman"/>
          <w:szCs w:val="24"/>
          <w:lang w:val="en-GB" w:eastAsia="en-GB"/>
        </w:rPr>
        <w:fldChar w:fldCharType="separate"/>
      </w:r>
      <w:r w:rsidRPr="002B6725" w:rsidR="002B6725">
        <w:rPr>
          <w:rFonts w:ascii="Times New Roman" w:hAnsi="Times New Roman" w:eastAsia="Times New Roman" w:cs="Times New Roman"/>
          <w:noProof/>
          <w:szCs w:val="24"/>
          <w:lang w:val="en-GB" w:eastAsia="en-GB"/>
        </w:rPr>
        <w:t>46</w:t>
      </w:r>
      <w:r w:rsidRPr="002B6725">
        <w:rPr>
          <w:rFonts w:ascii="Times New Roman" w:hAnsi="Times New Roman" w:eastAsia="Times New Roman" w:cs="Times New Roman"/>
          <w:szCs w:val="24"/>
          <w:lang w:val="en-GB" w:eastAsia="en-GB"/>
        </w:rPr>
        <w:fldChar w:fldCharType="end"/>
      </w:r>
      <w:r w:rsidRPr="002B6725">
        <w:rPr>
          <w:rFonts w:ascii="Times New Roman" w:hAnsi="Times New Roman" w:eastAsia="Times New Roman" w:cs="Times New Roman"/>
          <w:szCs w:val="24"/>
          <w:lang w:val="en-GB" w:eastAsia="en-GB"/>
        </w:rPr>
        <w:t>.  </w:t>
      </w:r>
      <w:r w:rsidRPr="002B6725" w:rsidR="00A62049">
        <w:rPr>
          <w:rFonts w:ascii="Times New Roman" w:hAnsi="Times New Roman" w:eastAsia="Times New Roman" w:cs="Times New Roman"/>
          <w:szCs w:val="24"/>
          <w:lang w:val="en-GB" w:eastAsia="en-GB"/>
        </w:rPr>
        <w:t xml:space="preserve"> The applicant failed to specify which cells – out of the twelve in which he had been detained according to the Government – had been overpopulated and provided no further details in that connection. In the absence of the relevant information, the Court dismisses this complaint as unsubstantiated.</w:t>
      </w:r>
    </w:p>
    <w:p w:rsidRPr="002B6725" w:rsidR="00D63AD1" w:rsidP="002B6725" w:rsidRDefault="00661526">
      <w:pPr>
        <w:pStyle w:val="ECHRPara"/>
      </w:pPr>
      <w:r w:rsidRPr="002B6725">
        <w:rPr>
          <w:rFonts w:eastAsia="Times New Roman"/>
          <w:lang w:val="en-GB" w:eastAsia="en-GB"/>
        </w:rPr>
        <w:fldChar w:fldCharType="begin"/>
      </w:r>
      <w:r w:rsidRPr="002B6725">
        <w:rPr>
          <w:rFonts w:eastAsia="Times New Roman"/>
          <w:lang w:val="en-GB" w:eastAsia="en-GB"/>
        </w:rPr>
        <w:instrText xml:space="preserve"> SEQ level0 \*arabic </w:instrText>
      </w:r>
      <w:r w:rsidRPr="002B6725">
        <w:rPr>
          <w:rFonts w:eastAsia="Times New Roman"/>
          <w:lang w:val="en-GB" w:eastAsia="en-GB"/>
        </w:rPr>
        <w:fldChar w:fldCharType="separate"/>
      </w:r>
      <w:r w:rsidRPr="002B6725" w:rsidR="002B6725">
        <w:rPr>
          <w:rFonts w:eastAsia="Times New Roman"/>
          <w:noProof/>
          <w:lang w:val="en-GB" w:eastAsia="en-GB"/>
        </w:rPr>
        <w:t>47</w:t>
      </w:r>
      <w:r w:rsidRPr="002B6725">
        <w:rPr>
          <w:rFonts w:eastAsia="Times New Roman"/>
          <w:lang w:val="en-GB" w:eastAsia="en-GB"/>
        </w:rPr>
        <w:fldChar w:fldCharType="end"/>
      </w:r>
      <w:r w:rsidRPr="002B6725">
        <w:rPr>
          <w:rFonts w:eastAsia="Times New Roman"/>
          <w:lang w:val="en-GB" w:eastAsia="en-GB"/>
        </w:rPr>
        <w:t>.  </w:t>
      </w:r>
      <w:r w:rsidRPr="002B6725" w:rsidR="00532271">
        <w:rPr>
          <w:rFonts w:eastAsia="Times New Roman"/>
          <w:lang w:val="en-GB" w:eastAsia="en-GB"/>
        </w:rPr>
        <w:t>As regards the remainder of the applicant</w:t>
      </w:r>
      <w:r w:rsidRPr="002B6725" w:rsidR="002B6725">
        <w:rPr>
          <w:rFonts w:eastAsia="Times New Roman"/>
          <w:lang w:val="en-GB" w:eastAsia="en-GB"/>
        </w:rPr>
        <w:t>’</w:t>
      </w:r>
      <w:r w:rsidRPr="002B6725" w:rsidR="00532271">
        <w:rPr>
          <w:rFonts w:eastAsia="Times New Roman"/>
          <w:lang w:val="en-GB" w:eastAsia="en-GB"/>
        </w:rPr>
        <w:t xml:space="preserve">s complaint, </w:t>
      </w:r>
      <w:r w:rsidRPr="002B6725" w:rsidR="007F1C78">
        <w:rPr>
          <w:rFonts w:eastAsia="Times New Roman"/>
          <w:lang w:val="en-GB" w:eastAsia="en-GB"/>
        </w:rPr>
        <w:t xml:space="preserve">the Court notes that the </w:t>
      </w:r>
      <w:r w:rsidRPr="002B6725" w:rsidR="00242275">
        <w:rPr>
          <w:rFonts w:eastAsia="Times New Roman"/>
          <w:lang w:val="en-GB" w:eastAsia="en-GB"/>
        </w:rPr>
        <w:t>applicant</w:t>
      </w:r>
      <w:r w:rsidRPr="002B6725" w:rsidR="002B6725">
        <w:rPr>
          <w:rFonts w:eastAsia="Times New Roman"/>
          <w:lang w:val="en-GB" w:eastAsia="en-GB"/>
        </w:rPr>
        <w:t>’</w:t>
      </w:r>
      <w:r w:rsidRPr="002B6725" w:rsidR="00242275">
        <w:rPr>
          <w:rFonts w:eastAsia="Times New Roman"/>
          <w:lang w:val="en-GB" w:eastAsia="en-GB"/>
        </w:rPr>
        <w:t>s allegation of the overcrowding as well as his initial complaint concerning inadequate nutrition in the SIZO were confined to general statements with no further details given. Some details regarding the nutrition in the SIZO had been given by the applicant only in reply to the Government</w:t>
      </w:r>
      <w:r w:rsidRPr="002B6725" w:rsidR="002B6725">
        <w:rPr>
          <w:rFonts w:eastAsia="Times New Roman"/>
          <w:lang w:val="en-GB" w:eastAsia="en-GB"/>
        </w:rPr>
        <w:t>’</w:t>
      </w:r>
      <w:r w:rsidRPr="002B6725" w:rsidR="00242275">
        <w:rPr>
          <w:rFonts w:eastAsia="Times New Roman"/>
          <w:lang w:val="en-GB" w:eastAsia="en-GB"/>
        </w:rPr>
        <w:t xml:space="preserve">s comments. In any event, the applicant has failed to provide evidence showing that </w:t>
      </w:r>
      <w:r w:rsidRPr="002B6725" w:rsidR="00242275">
        <w:t xml:space="preserve">the level of nutrition did not comply with the statutory norms or that the food was inadequate (see </w:t>
      </w:r>
      <w:r w:rsidRPr="002B6725" w:rsidR="00242275">
        <w:rPr>
          <w:i/>
        </w:rPr>
        <w:t>Yakovenko v. Ukraine</w:t>
      </w:r>
      <w:r w:rsidRPr="002B6725" w:rsidR="00242275">
        <w:t xml:space="preserve">, no. </w:t>
      </w:r>
      <w:r w:rsidRPr="002B6725" w:rsidR="00242275">
        <w:rPr>
          <w:rFonts w:eastAsia="Times New Roman"/>
          <w:lang w:val="en-GB" w:eastAsia="en-GB"/>
        </w:rPr>
        <w:t>15825/06, § 88, 25 October 2007).</w:t>
      </w:r>
      <w:r w:rsidRPr="002B6725" w:rsidR="00C701C6">
        <w:rPr>
          <w:rFonts w:eastAsia="Times New Roman"/>
          <w:lang w:val="en-GB" w:eastAsia="en-GB"/>
        </w:rPr>
        <w:t xml:space="preserve"> Likewise, the applicant provided no evidence in support of his </w:t>
      </w:r>
      <w:r w:rsidRPr="002B6725" w:rsidR="00242275">
        <w:rPr>
          <w:rFonts w:eastAsia="Times New Roman"/>
          <w:lang w:val="en-GB" w:eastAsia="en-GB"/>
        </w:rPr>
        <w:t>statements about poor hygiene and sanitary conditions</w:t>
      </w:r>
      <w:r w:rsidRPr="002B6725" w:rsidR="00C701C6">
        <w:rPr>
          <w:rFonts w:eastAsia="Times New Roman"/>
          <w:lang w:val="en-GB" w:eastAsia="en-GB"/>
        </w:rPr>
        <w:t xml:space="preserve"> in detention, </w:t>
      </w:r>
      <w:r w:rsidRPr="002B6725" w:rsidR="007F1C78">
        <w:rPr>
          <w:rFonts w:eastAsia="Times New Roman"/>
          <w:lang w:val="en-GB" w:eastAsia="en-GB"/>
        </w:rPr>
        <w:t xml:space="preserve">such as, for example, statements by his cellmates or other detainees (compare </w:t>
      </w:r>
      <w:r w:rsidRPr="002B6725" w:rsidR="00C701C6">
        <w:rPr>
          <w:rFonts w:eastAsia="Times New Roman"/>
          <w:i/>
          <w:lang w:val="en-GB" w:eastAsia="en-GB"/>
        </w:rPr>
        <w:t>Visloguzov v. Ukraine</w:t>
      </w:r>
      <w:r w:rsidRPr="002B6725" w:rsidR="00C701C6">
        <w:rPr>
          <w:rFonts w:eastAsia="Times New Roman"/>
          <w:lang w:val="en-GB" w:eastAsia="en-GB"/>
        </w:rPr>
        <w:t>, no. 32362/02</w:t>
      </w:r>
      <w:r w:rsidRPr="002B6725" w:rsidR="00C72699">
        <w:rPr>
          <w:rFonts w:eastAsia="Times New Roman"/>
          <w:lang w:val="en-GB" w:eastAsia="en-GB"/>
        </w:rPr>
        <w:t>, § 45, 20 </w:t>
      </w:r>
      <w:r w:rsidRPr="002B6725" w:rsidR="00C701C6">
        <w:rPr>
          <w:rFonts w:eastAsia="Times New Roman"/>
          <w:lang w:val="en-GB" w:eastAsia="en-GB"/>
        </w:rPr>
        <w:t>May 2010, with further references;</w:t>
      </w:r>
      <w:r w:rsidRPr="002B6725" w:rsidR="00A513E4">
        <w:rPr>
          <w:rFonts w:eastAsia="Times New Roman"/>
          <w:lang w:val="en-GB" w:eastAsia="en-GB"/>
        </w:rPr>
        <w:t xml:space="preserve"> </w:t>
      </w:r>
      <w:r w:rsidRPr="002B6725" w:rsidR="00C72699">
        <w:rPr>
          <w:rFonts w:eastAsia="Times New Roman"/>
          <w:i/>
          <w:lang w:val="en-GB" w:eastAsia="en-GB"/>
        </w:rPr>
        <w:t>Korneykova and Korneykov v. </w:t>
      </w:r>
      <w:r w:rsidRPr="002B6725" w:rsidR="007F1C78">
        <w:rPr>
          <w:rFonts w:eastAsia="Times New Roman"/>
          <w:i/>
          <w:lang w:val="en-GB" w:eastAsia="en-GB"/>
        </w:rPr>
        <w:t>Ukraine</w:t>
      </w:r>
      <w:r w:rsidRPr="002B6725" w:rsidR="00750D68">
        <w:rPr>
          <w:rFonts w:eastAsia="Times New Roman"/>
          <w:lang w:val="en-GB" w:eastAsia="en-GB"/>
        </w:rPr>
        <w:t>, no. </w:t>
      </w:r>
      <w:r w:rsidRPr="002B6725" w:rsidR="007F1C78">
        <w:rPr>
          <w:rFonts w:eastAsia="Times New Roman"/>
          <w:lang w:val="en-GB" w:eastAsia="en-GB"/>
        </w:rPr>
        <w:t>56660/12,</w:t>
      </w:r>
      <w:r w:rsidRPr="002B6725" w:rsidR="007F1C78">
        <w:t xml:space="preserve"> </w:t>
      </w:r>
      <w:r w:rsidRPr="002B6725" w:rsidR="007F1C78">
        <w:rPr>
          <w:rFonts w:eastAsia="Times New Roman"/>
          <w:lang w:val="en-GB" w:eastAsia="en-GB"/>
        </w:rPr>
        <w:t xml:space="preserve">§§ </w:t>
      </w:r>
      <w:r w:rsidRPr="002B6725" w:rsidR="007F1C78">
        <w:t>26, 48 and 50,</w:t>
      </w:r>
      <w:r w:rsidRPr="002B6725" w:rsidR="007F1C78">
        <w:rPr>
          <w:rFonts w:eastAsia="Times New Roman"/>
          <w:lang w:val="en-GB" w:eastAsia="en-GB"/>
        </w:rPr>
        <w:t xml:space="preserve"> 24 March 2016</w:t>
      </w:r>
      <w:r w:rsidRPr="002B6725" w:rsidR="00C701C6">
        <w:rPr>
          <w:rFonts w:eastAsia="Times New Roman"/>
          <w:lang w:val="en-GB" w:eastAsia="en-GB"/>
        </w:rPr>
        <w:t xml:space="preserve">; and </w:t>
      </w:r>
      <w:r w:rsidRPr="002B6725" w:rsidR="00C72699">
        <w:rPr>
          <w:rFonts w:eastAsia="Times New Roman"/>
          <w:i/>
          <w:lang w:val="en-GB" w:eastAsia="en-GB"/>
        </w:rPr>
        <w:t>Gavula v. </w:t>
      </w:r>
      <w:r w:rsidRPr="002B6725" w:rsidR="00C701C6">
        <w:rPr>
          <w:rFonts w:eastAsia="Times New Roman"/>
          <w:i/>
          <w:lang w:val="en-GB" w:eastAsia="en-GB"/>
        </w:rPr>
        <w:t>Ukraine</w:t>
      </w:r>
      <w:r w:rsidRPr="002B6725" w:rsidR="00750D68">
        <w:rPr>
          <w:rFonts w:eastAsia="Times New Roman"/>
          <w:lang w:val="en-GB" w:eastAsia="en-GB"/>
        </w:rPr>
        <w:t>, no. </w:t>
      </w:r>
      <w:r w:rsidRPr="002B6725" w:rsidR="00C701C6">
        <w:rPr>
          <w:rFonts w:eastAsia="Times New Roman"/>
          <w:lang w:val="en-GB" w:eastAsia="en-GB"/>
        </w:rPr>
        <w:t>52652/07, § 73, 16 May 2013</w:t>
      </w:r>
      <w:r w:rsidRPr="002B6725" w:rsidR="007F1C78">
        <w:rPr>
          <w:rFonts w:eastAsia="Times New Roman"/>
          <w:lang w:val="en-GB" w:eastAsia="en-GB"/>
        </w:rPr>
        <w:t>).</w:t>
      </w:r>
    </w:p>
    <w:p w:rsidRPr="002B6725" w:rsidR="00E23922" w:rsidP="002B6725" w:rsidRDefault="00C701C6">
      <w:pPr>
        <w:pStyle w:val="ECHRPara"/>
        <w:rPr>
          <w:rFonts w:eastAsia="Times New Roman"/>
          <w:lang w:val="en-GB" w:eastAsia="en-GB"/>
        </w:rPr>
      </w:pPr>
      <w:r w:rsidRPr="002B6725">
        <w:rPr>
          <w:rFonts w:eastAsia="Times New Roman"/>
          <w:lang w:val="en-GB" w:eastAsia="en-GB"/>
        </w:rPr>
        <w:fldChar w:fldCharType="begin"/>
      </w:r>
      <w:r w:rsidRPr="002B6725">
        <w:rPr>
          <w:rFonts w:eastAsia="Times New Roman"/>
          <w:lang w:val="en-GB" w:eastAsia="en-GB"/>
        </w:rPr>
        <w:instrText xml:space="preserve"> SEQ level0 \*arabic </w:instrText>
      </w:r>
      <w:r w:rsidRPr="002B6725">
        <w:rPr>
          <w:rFonts w:eastAsia="Times New Roman"/>
          <w:lang w:val="en-GB" w:eastAsia="en-GB"/>
        </w:rPr>
        <w:fldChar w:fldCharType="separate"/>
      </w:r>
      <w:r w:rsidRPr="002B6725" w:rsidR="002B6725">
        <w:rPr>
          <w:rFonts w:eastAsia="Times New Roman"/>
          <w:noProof/>
          <w:lang w:val="en-GB" w:eastAsia="en-GB"/>
        </w:rPr>
        <w:t>48</w:t>
      </w:r>
      <w:r w:rsidRPr="002B6725">
        <w:rPr>
          <w:rFonts w:eastAsia="Times New Roman"/>
          <w:lang w:val="en-GB" w:eastAsia="en-GB"/>
        </w:rPr>
        <w:fldChar w:fldCharType="end"/>
      </w:r>
      <w:r w:rsidRPr="002B6725">
        <w:rPr>
          <w:rFonts w:eastAsia="Times New Roman"/>
          <w:lang w:val="en-GB" w:eastAsia="en-GB"/>
        </w:rPr>
        <w:t>. </w:t>
      </w:r>
      <w:r w:rsidRPr="002B6725" w:rsidR="007616AF">
        <w:rPr>
          <w:rFonts w:eastAsia="Times New Roman"/>
          <w:lang w:val="en-GB" w:eastAsia="en-GB"/>
        </w:rPr>
        <w:t>T</w:t>
      </w:r>
      <w:r w:rsidRPr="002B6725" w:rsidR="00F10997">
        <w:rPr>
          <w:rFonts w:eastAsia="Times New Roman"/>
          <w:lang w:val="en-GB" w:eastAsia="en-GB"/>
        </w:rPr>
        <w:t xml:space="preserve">he Court </w:t>
      </w:r>
      <w:r w:rsidRPr="002B6725" w:rsidR="007616AF">
        <w:rPr>
          <w:rFonts w:eastAsia="Times New Roman"/>
          <w:lang w:val="en-GB" w:eastAsia="en-GB"/>
        </w:rPr>
        <w:t xml:space="preserve">therefore </w:t>
      </w:r>
      <w:r w:rsidRPr="002B6725" w:rsidR="00F10997">
        <w:rPr>
          <w:rFonts w:eastAsia="Times New Roman"/>
          <w:lang w:val="en-GB" w:eastAsia="en-GB"/>
        </w:rPr>
        <w:t>considers that th</w:t>
      </w:r>
      <w:r w:rsidRPr="002B6725">
        <w:rPr>
          <w:rFonts w:eastAsia="Times New Roman"/>
          <w:lang w:val="en-GB" w:eastAsia="en-GB"/>
        </w:rPr>
        <w:t>e above complaints have</w:t>
      </w:r>
      <w:r w:rsidRPr="002B6725" w:rsidR="00F10997">
        <w:rPr>
          <w:rFonts w:eastAsia="Times New Roman"/>
          <w:lang w:val="en-GB" w:eastAsia="en-GB"/>
        </w:rPr>
        <w:t xml:space="preserve"> not been </w:t>
      </w:r>
      <w:r w:rsidRPr="002B6725" w:rsidR="007E4839">
        <w:rPr>
          <w:rFonts w:eastAsia="Times New Roman"/>
          <w:lang w:val="en-GB" w:eastAsia="en-GB"/>
        </w:rPr>
        <w:t xml:space="preserve">properly </w:t>
      </w:r>
      <w:r w:rsidRPr="002B6725" w:rsidR="00F10997">
        <w:rPr>
          <w:rFonts w:eastAsia="Times New Roman"/>
          <w:lang w:val="en-GB" w:eastAsia="en-GB"/>
        </w:rPr>
        <w:t>substantiated by the applicant</w:t>
      </w:r>
      <w:r w:rsidRPr="002B6725" w:rsidR="00E23922">
        <w:rPr>
          <w:rFonts w:eastAsia="Times New Roman"/>
          <w:lang w:val="en-GB" w:eastAsia="en-GB"/>
        </w:rPr>
        <w:t>.</w:t>
      </w:r>
    </w:p>
    <w:p w:rsidRPr="002B6725" w:rsidR="00F10997" w:rsidP="002B6725" w:rsidRDefault="00C701C6">
      <w:pPr>
        <w:pStyle w:val="ECHRPara"/>
        <w:rPr>
          <w:rFonts w:ascii="Times New Roman" w:hAnsi="Times New Roman" w:eastAsia="Times New Roman" w:cs="Times New Roman"/>
          <w:szCs w:val="24"/>
          <w:lang w:val="en-GB" w:eastAsia="en-GB"/>
        </w:rPr>
      </w:pPr>
      <w:r w:rsidRPr="002B6725">
        <w:rPr>
          <w:rFonts w:ascii="Times New Roman" w:hAnsi="Times New Roman" w:eastAsia="Times New Roman" w:cs="Times New Roman"/>
          <w:szCs w:val="24"/>
          <w:lang w:val="en-GB" w:eastAsia="en-GB"/>
        </w:rPr>
        <w:fldChar w:fldCharType="begin"/>
      </w:r>
      <w:r w:rsidRPr="002B6725">
        <w:rPr>
          <w:rFonts w:ascii="Times New Roman" w:hAnsi="Times New Roman" w:eastAsia="Times New Roman" w:cs="Times New Roman"/>
          <w:szCs w:val="24"/>
          <w:lang w:val="en-GB" w:eastAsia="en-GB"/>
        </w:rPr>
        <w:instrText xml:space="preserve"> SEQ level0 \*arabic </w:instrText>
      </w:r>
      <w:r w:rsidRPr="002B6725">
        <w:rPr>
          <w:rFonts w:ascii="Times New Roman" w:hAnsi="Times New Roman" w:eastAsia="Times New Roman" w:cs="Times New Roman"/>
          <w:szCs w:val="24"/>
          <w:lang w:val="en-GB" w:eastAsia="en-GB"/>
        </w:rPr>
        <w:fldChar w:fldCharType="separate"/>
      </w:r>
      <w:r w:rsidRPr="002B6725" w:rsidR="002B6725">
        <w:rPr>
          <w:rFonts w:ascii="Times New Roman" w:hAnsi="Times New Roman" w:eastAsia="Times New Roman" w:cs="Times New Roman"/>
          <w:noProof/>
          <w:szCs w:val="24"/>
          <w:lang w:val="en-GB" w:eastAsia="en-GB"/>
        </w:rPr>
        <w:t>49</w:t>
      </w:r>
      <w:r w:rsidRPr="002B6725">
        <w:rPr>
          <w:rFonts w:ascii="Times New Roman" w:hAnsi="Times New Roman" w:eastAsia="Times New Roman" w:cs="Times New Roman"/>
          <w:szCs w:val="24"/>
          <w:lang w:val="en-GB" w:eastAsia="en-GB"/>
        </w:rPr>
        <w:fldChar w:fldCharType="end"/>
      </w:r>
      <w:r w:rsidRPr="002B6725">
        <w:rPr>
          <w:rFonts w:ascii="Times New Roman" w:hAnsi="Times New Roman" w:eastAsia="Times New Roman" w:cs="Times New Roman"/>
          <w:szCs w:val="24"/>
          <w:lang w:val="en-GB" w:eastAsia="en-GB"/>
        </w:rPr>
        <w:t>. </w:t>
      </w:r>
      <w:r w:rsidRPr="002B6725" w:rsidR="007616AF">
        <w:rPr>
          <w:rFonts w:ascii="Times New Roman" w:hAnsi="Times New Roman" w:eastAsia="Times New Roman" w:cs="Times New Roman"/>
          <w:szCs w:val="24"/>
          <w:lang w:val="en-GB" w:eastAsia="en-GB"/>
        </w:rPr>
        <w:t xml:space="preserve">In view of the aforesaid, </w:t>
      </w:r>
      <w:r w:rsidRPr="002B6725">
        <w:rPr>
          <w:rFonts w:ascii="Times New Roman" w:hAnsi="Times New Roman" w:eastAsia="Times New Roman" w:cs="Times New Roman"/>
          <w:szCs w:val="24"/>
          <w:lang w:val="en-GB" w:eastAsia="en-GB"/>
        </w:rPr>
        <w:t xml:space="preserve">this part of the application </w:t>
      </w:r>
      <w:r w:rsidRPr="002B6725" w:rsidR="007616AF">
        <w:t xml:space="preserve">must be rejected </w:t>
      </w:r>
      <w:r w:rsidRPr="002B6725" w:rsidR="00F10997">
        <w:rPr>
          <w:rFonts w:ascii="Times New Roman" w:hAnsi="Times New Roman" w:eastAsia="Times New Roman" w:cs="Times New Roman"/>
          <w:szCs w:val="24"/>
          <w:lang w:val="en-GB" w:eastAsia="en-GB"/>
        </w:rPr>
        <w:t xml:space="preserve">pursuant to Article 35 §§ </w:t>
      </w:r>
      <w:r w:rsidRPr="002B6725" w:rsidR="00E23922">
        <w:rPr>
          <w:rFonts w:ascii="Times New Roman" w:hAnsi="Times New Roman" w:eastAsia="Times New Roman" w:cs="Times New Roman"/>
          <w:szCs w:val="24"/>
          <w:lang w:val="en-GB" w:eastAsia="en-GB"/>
        </w:rPr>
        <w:t xml:space="preserve">1, </w:t>
      </w:r>
      <w:r w:rsidRPr="002B6725" w:rsidR="00F10997">
        <w:rPr>
          <w:rFonts w:ascii="Times New Roman" w:hAnsi="Times New Roman" w:eastAsia="Times New Roman" w:cs="Times New Roman"/>
          <w:szCs w:val="24"/>
          <w:lang w:val="en-GB" w:eastAsia="en-GB"/>
        </w:rPr>
        <w:t>3 (a) and 4 of the Convention.</w:t>
      </w:r>
    </w:p>
    <w:p w:rsidRPr="002B6725" w:rsidR="00750D68" w:rsidP="002B6725" w:rsidRDefault="00E92720">
      <w:pPr>
        <w:pStyle w:val="ECHRHeading2"/>
        <w:rPr>
          <w:lang w:val="en-GB"/>
        </w:rPr>
      </w:pPr>
      <w:r w:rsidRPr="002B6725">
        <w:rPr>
          <w:lang w:val="en-GB"/>
        </w:rPr>
        <w:t>B.</w:t>
      </w:r>
      <w:r w:rsidRPr="002B6725" w:rsidR="00C72699">
        <w:rPr>
          <w:lang w:val="en-GB"/>
        </w:rPr>
        <w:t>  </w:t>
      </w:r>
      <w:r w:rsidRPr="002B6725" w:rsidR="002027FD">
        <w:rPr>
          <w:lang w:val="en-GB"/>
        </w:rPr>
        <w:t>Medical assistance in detention</w:t>
      </w:r>
    </w:p>
    <w:p w:rsidRPr="002B6725" w:rsidR="00F037E7" w:rsidP="002B6725" w:rsidRDefault="00661526">
      <w:pPr>
        <w:pStyle w:val="ECHRPara"/>
        <w:rPr>
          <w:lang w:val="en-GB"/>
        </w:rPr>
      </w:pPr>
      <w:r w:rsidRPr="002B6725">
        <w:rPr>
          <w:lang w:val="en-GB"/>
        </w:rPr>
        <w:fldChar w:fldCharType="begin"/>
      </w:r>
      <w:r w:rsidRPr="002B6725">
        <w:rPr>
          <w:lang w:val="en-GB"/>
        </w:rPr>
        <w:instrText xml:space="preserve"> SEQ level0 \*arabic </w:instrText>
      </w:r>
      <w:r w:rsidRPr="002B6725">
        <w:rPr>
          <w:lang w:val="en-GB"/>
        </w:rPr>
        <w:fldChar w:fldCharType="separate"/>
      </w:r>
      <w:r w:rsidRPr="002B6725" w:rsidR="002B6725">
        <w:rPr>
          <w:noProof/>
          <w:lang w:val="en-GB"/>
        </w:rPr>
        <w:t>50</w:t>
      </w:r>
      <w:r w:rsidRPr="002B6725">
        <w:rPr>
          <w:lang w:val="en-GB"/>
        </w:rPr>
        <w:fldChar w:fldCharType="end"/>
      </w:r>
      <w:r w:rsidRPr="002B6725">
        <w:rPr>
          <w:lang w:val="en-GB"/>
        </w:rPr>
        <w:t>.  </w:t>
      </w:r>
      <w:r w:rsidRPr="002B6725" w:rsidR="00DE6DAA">
        <w:rPr>
          <w:lang w:val="en-GB"/>
        </w:rPr>
        <w:t>Having referred to their factual submissions</w:t>
      </w:r>
      <w:r w:rsidRPr="002B6725" w:rsidR="00131C53">
        <w:rPr>
          <w:lang w:val="en-GB"/>
        </w:rPr>
        <w:t>,</w:t>
      </w:r>
      <w:r w:rsidRPr="002B6725" w:rsidR="00C539A5">
        <w:rPr>
          <w:lang w:val="en-GB"/>
        </w:rPr>
        <w:t xml:space="preserve"> </w:t>
      </w:r>
      <w:r w:rsidRPr="002B6725" w:rsidR="00DE6DAA">
        <w:rPr>
          <w:lang w:val="en-GB"/>
        </w:rPr>
        <w:t>t</w:t>
      </w:r>
      <w:r w:rsidRPr="002B6725" w:rsidR="00B7115F">
        <w:rPr>
          <w:lang w:val="en-GB"/>
        </w:rPr>
        <w:t xml:space="preserve">he Government </w:t>
      </w:r>
      <w:r w:rsidRPr="002B6725" w:rsidR="00B7115F">
        <w:rPr>
          <w:rFonts w:eastAsia="Times New Roman"/>
          <w:lang w:val="en-GB" w:eastAsia="en-GB"/>
        </w:rPr>
        <w:t>claimed that the applicant</w:t>
      </w:r>
      <w:r w:rsidRPr="002B6725" w:rsidR="002B6725">
        <w:rPr>
          <w:rFonts w:eastAsia="Times New Roman"/>
          <w:lang w:val="en-GB" w:eastAsia="en-GB"/>
        </w:rPr>
        <w:t>’</w:t>
      </w:r>
      <w:r w:rsidRPr="002B6725" w:rsidR="00B7115F">
        <w:rPr>
          <w:rFonts w:eastAsia="Times New Roman"/>
          <w:lang w:val="en-GB" w:eastAsia="en-GB"/>
        </w:rPr>
        <w:t xml:space="preserve">s complaint was manifestly ill-founded. They </w:t>
      </w:r>
      <w:r w:rsidRPr="002B6725" w:rsidR="00DE6DAA">
        <w:rPr>
          <w:rFonts w:eastAsia="Times New Roman"/>
          <w:lang w:val="en-GB" w:eastAsia="en-GB"/>
        </w:rPr>
        <w:t>particularly noted the</w:t>
      </w:r>
      <w:r w:rsidRPr="002B6725" w:rsidR="00B7115F">
        <w:rPr>
          <w:rFonts w:eastAsia="Times New Roman"/>
          <w:lang w:val="en-GB" w:eastAsia="en-GB"/>
        </w:rPr>
        <w:t xml:space="preserve"> general nature</w:t>
      </w:r>
      <w:r w:rsidRPr="002B6725" w:rsidR="00DE6DAA">
        <w:rPr>
          <w:rFonts w:eastAsia="Times New Roman"/>
          <w:lang w:val="en-GB" w:eastAsia="en-GB"/>
        </w:rPr>
        <w:t xml:space="preserve"> of the applicant</w:t>
      </w:r>
      <w:r w:rsidRPr="002B6725" w:rsidR="002B6725">
        <w:rPr>
          <w:rFonts w:eastAsia="Times New Roman"/>
          <w:lang w:val="en-GB" w:eastAsia="en-GB"/>
        </w:rPr>
        <w:t>’</w:t>
      </w:r>
      <w:r w:rsidRPr="002B6725" w:rsidR="00DE6DAA">
        <w:rPr>
          <w:rFonts w:eastAsia="Times New Roman"/>
          <w:lang w:val="en-GB" w:eastAsia="en-GB"/>
        </w:rPr>
        <w:t xml:space="preserve">s allegations </w:t>
      </w:r>
      <w:r w:rsidRPr="002B6725" w:rsidR="00B7115F">
        <w:rPr>
          <w:rFonts w:eastAsia="Times New Roman"/>
          <w:lang w:val="en-GB" w:eastAsia="en-GB"/>
        </w:rPr>
        <w:t xml:space="preserve">and </w:t>
      </w:r>
      <w:r w:rsidRPr="002B6725" w:rsidR="00DE6DAA">
        <w:rPr>
          <w:rFonts w:eastAsia="Times New Roman"/>
          <w:lang w:val="en-GB" w:eastAsia="en-GB"/>
        </w:rPr>
        <w:t xml:space="preserve">his failure </w:t>
      </w:r>
      <w:r w:rsidRPr="002B6725" w:rsidR="00B13FB8">
        <w:rPr>
          <w:rFonts w:eastAsia="Times New Roman"/>
          <w:lang w:val="en-GB" w:eastAsia="en-GB"/>
        </w:rPr>
        <w:t xml:space="preserve">to </w:t>
      </w:r>
      <w:r w:rsidRPr="002B6725" w:rsidR="003A576E">
        <w:rPr>
          <w:rFonts w:eastAsia="Times New Roman"/>
          <w:lang w:val="en-GB" w:eastAsia="en-GB"/>
        </w:rPr>
        <w:t>specify what</w:t>
      </w:r>
      <w:r w:rsidRPr="002B6725" w:rsidR="00422C3D">
        <w:rPr>
          <w:rFonts w:eastAsia="Times New Roman"/>
          <w:lang w:val="en-GB" w:eastAsia="en-GB"/>
        </w:rPr>
        <w:t xml:space="preserve"> kind of assistance h</w:t>
      </w:r>
      <w:r w:rsidRPr="002B6725" w:rsidR="00B13FB8">
        <w:rPr>
          <w:rFonts w:eastAsia="Times New Roman"/>
          <w:lang w:val="en-GB" w:eastAsia="en-GB"/>
        </w:rPr>
        <w:t>is condition</w:t>
      </w:r>
      <w:r w:rsidRPr="002B6725" w:rsidR="00422C3D">
        <w:rPr>
          <w:rFonts w:eastAsia="Times New Roman"/>
          <w:lang w:val="en-GB" w:eastAsia="en-GB"/>
        </w:rPr>
        <w:t xml:space="preserve"> had necessitated, whether and when he had applied for that assistance to the SIZO medical unit</w:t>
      </w:r>
      <w:r w:rsidRPr="002B6725" w:rsidR="00DE6DAA">
        <w:rPr>
          <w:rFonts w:eastAsia="Times New Roman"/>
          <w:lang w:val="en-GB" w:eastAsia="en-GB"/>
        </w:rPr>
        <w:t>,</w:t>
      </w:r>
      <w:r w:rsidRPr="002B6725" w:rsidR="00422C3D">
        <w:rPr>
          <w:rFonts w:eastAsia="Times New Roman"/>
          <w:lang w:val="en-GB" w:eastAsia="en-GB"/>
        </w:rPr>
        <w:t xml:space="preserve"> and what the </w:t>
      </w:r>
      <w:r w:rsidRPr="002B6725" w:rsidR="003A576E">
        <w:rPr>
          <w:rFonts w:eastAsia="Times New Roman"/>
          <w:lang w:val="en-GB" w:eastAsia="en-GB"/>
        </w:rPr>
        <w:t>alleged inadequacy</w:t>
      </w:r>
      <w:r w:rsidRPr="002B6725" w:rsidR="00B7115F">
        <w:rPr>
          <w:rFonts w:eastAsia="Times New Roman"/>
          <w:lang w:val="en-GB" w:eastAsia="en-GB"/>
        </w:rPr>
        <w:t xml:space="preserve"> of the medical </w:t>
      </w:r>
      <w:r w:rsidRPr="002B6725" w:rsidR="003A576E">
        <w:rPr>
          <w:rFonts w:eastAsia="Times New Roman"/>
          <w:lang w:val="en-GB" w:eastAsia="en-GB"/>
        </w:rPr>
        <w:t xml:space="preserve">treatment </w:t>
      </w:r>
      <w:r w:rsidRPr="002B6725" w:rsidR="00B13FB8">
        <w:rPr>
          <w:rFonts w:eastAsia="Times New Roman"/>
          <w:lang w:val="en-GB" w:eastAsia="en-GB"/>
        </w:rPr>
        <w:t xml:space="preserve">had </w:t>
      </w:r>
      <w:r w:rsidRPr="002B6725" w:rsidR="003A576E">
        <w:rPr>
          <w:rFonts w:eastAsia="Times New Roman"/>
          <w:lang w:val="en-GB" w:eastAsia="en-GB"/>
        </w:rPr>
        <w:t xml:space="preserve">consisted </w:t>
      </w:r>
      <w:r w:rsidRPr="002B6725" w:rsidR="00B13FB8">
        <w:rPr>
          <w:rFonts w:eastAsia="Times New Roman"/>
          <w:lang w:val="en-GB" w:eastAsia="en-GB"/>
        </w:rPr>
        <w:t>of</w:t>
      </w:r>
      <w:r w:rsidRPr="002B6725" w:rsidR="003A576E">
        <w:rPr>
          <w:rFonts w:eastAsia="Times New Roman"/>
          <w:lang w:val="en-GB" w:eastAsia="en-GB"/>
        </w:rPr>
        <w:t>.</w:t>
      </w:r>
      <w:r w:rsidRPr="002B6725" w:rsidR="005D0379">
        <w:rPr>
          <w:rFonts w:eastAsia="Times New Roman"/>
          <w:lang w:val="en-GB" w:eastAsia="en-GB"/>
        </w:rPr>
        <w:t xml:space="preserve"> They further stated that the applicant had received adequate medical assistance for his </w:t>
      </w:r>
      <w:r w:rsidRPr="002B6725" w:rsidR="00657902">
        <w:rPr>
          <w:rFonts w:eastAsia="Times New Roman"/>
          <w:lang w:val="en-GB" w:eastAsia="en-GB"/>
        </w:rPr>
        <w:t>liver-related</w:t>
      </w:r>
      <w:r w:rsidRPr="002B6725" w:rsidR="005D0379">
        <w:rPr>
          <w:rFonts w:eastAsia="Times New Roman"/>
          <w:lang w:val="en-GB" w:eastAsia="en-GB"/>
        </w:rPr>
        <w:t xml:space="preserve"> problems. </w:t>
      </w:r>
      <w:r w:rsidRPr="002B6725" w:rsidR="002E2E64">
        <w:t>This aspect of the case was therefore manifestly ill-founded.</w:t>
      </w:r>
    </w:p>
    <w:p w:rsidRPr="002B6725" w:rsidR="00750D68" w:rsidP="002B6725" w:rsidRDefault="00661526">
      <w:pPr>
        <w:pStyle w:val="ECHRPara"/>
      </w:pPr>
      <w:r w:rsidRPr="002B6725">
        <w:rPr>
          <w:lang w:val="en-GB"/>
        </w:rPr>
        <w:fldChar w:fldCharType="begin"/>
      </w:r>
      <w:r w:rsidRPr="002B6725">
        <w:rPr>
          <w:lang w:val="en-GB"/>
        </w:rPr>
        <w:instrText xml:space="preserve"> SEQ level0 \*arabic </w:instrText>
      </w:r>
      <w:r w:rsidRPr="002B6725">
        <w:rPr>
          <w:lang w:val="en-GB"/>
        </w:rPr>
        <w:fldChar w:fldCharType="separate"/>
      </w:r>
      <w:r w:rsidRPr="002B6725" w:rsidR="002B6725">
        <w:rPr>
          <w:noProof/>
          <w:lang w:val="en-GB"/>
        </w:rPr>
        <w:t>51</w:t>
      </w:r>
      <w:r w:rsidRPr="002B6725">
        <w:rPr>
          <w:lang w:val="en-GB"/>
        </w:rPr>
        <w:fldChar w:fldCharType="end"/>
      </w:r>
      <w:r w:rsidRPr="002B6725">
        <w:rPr>
          <w:lang w:val="en-GB"/>
        </w:rPr>
        <w:t>.  </w:t>
      </w:r>
      <w:r w:rsidRPr="002B6725" w:rsidR="00F037E7">
        <w:rPr>
          <w:lang w:val="en-GB"/>
        </w:rPr>
        <w:t xml:space="preserve">The applicant </w:t>
      </w:r>
      <w:r w:rsidRPr="002B6725" w:rsidR="005F728D">
        <w:rPr>
          <w:lang w:val="en-GB"/>
        </w:rPr>
        <w:t xml:space="preserve">contested </w:t>
      </w:r>
      <w:r w:rsidRPr="002B6725" w:rsidR="002E2E64">
        <w:t xml:space="preserve">this view. </w:t>
      </w:r>
      <w:r w:rsidRPr="002B6725" w:rsidR="00845463">
        <w:t>In reply to the Government</w:t>
      </w:r>
      <w:r w:rsidRPr="002B6725" w:rsidR="002B6725">
        <w:t>’</w:t>
      </w:r>
      <w:r w:rsidRPr="002B6725" w:rsidR="00845463">
        <w:t>s observations he stated that he had never received the medicine referred to by the Government. He further submitted</w:t>
      </w:r>
      <w:r w:rsidRPr="002B6725" w:rsidR="00131C53">
        <w:t xml:space="preserve">, </w:t>
      </w:r>
      <w:r w:rsidRPr="002B6725" w:rsidR="00845463">
        <w:t>without providing any details</w:t>
      </w:r>
      <w:r w:rsidRPr="002B6725" w:rsidR="00131C53">
        <w:t xml:space="preserve">, </w:t>
      </w:r>
      <w:r w:rsidRPr="002B6725" w:rsidR="00845463">
        <w:t xml:space="preserve">that no inpatient treatment had been provided to him for </w:t>
      </w:r>
      <w:r w:rsidRPr="002B6725" w:rsidR="00DD0FA2">
        <w:t>h</w:t>
      </w:r>
      <w:r w:rsidRPr="002B6725" w:rsidR="00845463">
        <w:t xml:space="preserve">epatitis in </w:t>
      </w:r>
      <w:r w:rsidRPr="002B6725" w:rsidR="00DD0FA2">
        <w:t xml:space="preserve">prison following </w:t>
      </w:r>
      <w:r w:rsidRPr="002B6725" w:rsidR="00CA3606">
        <w:t>conviction</w:t>
      </w:r>
      <w:r w:rsidRPr="002B6725" w:rsidR="00845463">
        <w:t>.</w:t>
      </w:r>
    </w:p>
    <w:p w:rsidRPr="002B6725" w:rsidR="005F728D" w:rsidP="002B6725" w:rsidRDefault="00661526">
      <w:pPr>
        <w:pStyle w:val="ECHRPara"/>
      </w:pPr>
      <w:r w:rsidRPr="002B6725">
        <w:rPr>
          <w:lang w:val="en-GB"/>
        </w:rPr>
        <w:fldChar w:fldCharType="begin"/>
      </w:r>
      <w:r w:rsidRPr="002B6725">
        <w:rPr>
          <w:lang w:val="en-GB"/>
        </w:rPr>
        <w:instrText xml:space="preserve"> SEQ level0 \*arabic </w:instrText>
      </w:r>
      <w:r w:rsidRPr="002B6725">
        <w:rPr>
          <w:lang w:val="en-GB"/>
        </w:rPr>
        <w:fldChar w:fldCharType="separate"/>
      </w:r>
      <w:r w:rsidRPr="002B6725" w:rsidR="002B6725">
        <w:rPr>
          <w:noProof/>
          <w:lang w:val="en-GB"/>
        </w:rPr>
        <w:t>52</w:t>
      </w:r>
      <w:r w:rsidRPr="002B6725">
        <w:rPr>
          <w:lang w:val="en-GB"/>
        </w:rPr>
        <w:fldChar w:fldCharType="end"/>
      </w:r>
      <w:r w:rsidRPr="002B6725">
        <w:rPr>
          <w:lang w:val="en-GB"/>
        </w:rPr>
        <w:t>.  </w:t>
      </w:r>
      <w:r w:rsidRPr="002B6725" w:rsidR="007B7ADE">
        <w:rPr>
          <w:lang w:val="en-GB"/>
        </w:rPr>
        <w:t>T</w:t>
      </w:r>
      <w:r w:rsidRPr="002B6725" w:rsidR="005F728D">
        <w:rPr>
          <w:lang w:val="en-GB"/>
        </w:rPr>
        <w:t xml:space="preserve">he Court </w:t>
      </w:r>
      <w:r w:rsidRPr="002B6725" w:rsidR="00A803CA">
        <w:rPr>
          <w:lang w:val="en-GB"/>
        </w:rPr>
        <w:t xml:space="preserve">agrees with the Government </w:t>
      </w:r>
      <w:r w:rsidRPr="002B6725" w:rsidR="005F728D">
        <w:rPr>
          <w:lang w:val="en-GB"/>
        </w:rPr>
        <w:t>that the applicant</w:t>
      </w:r>
      <w:r w:rsidRPr="002B6725" w:rsidR="002B6725">
        <w:rPr>
          <w:lang w:val="en-GB"/>
        </w:rPr>
        <w:t>’</w:t>
      </w:r>
      <w:r w:rsidRPr="002B6725" w:rsidR="005F728D">
        <w:rPr>
          <w:lang w:val="en-GB"/>
        </w:rPr>
        <w:t xml:space="preserve">s complaint </w:t>
      </w:r>
      <w:r w:rsidRPr="002B6725" w:rsidR="00DD0FA2">
        <w:rPr>
          <w:lang w:val="en-GB"/>
        </w:rPr>
        <w:t xml:space="preserve">concerning a </w:t>
      </w:r>
      <w:r w:rsidRPr="002B6725" w:rsidR="005F728D">
        <w:rPr>
          <w:lang w:val="en-GB"/>
        </w:rPr>
        <w:t xml:space="preserve">lack of medical assistance for heart pain and dental problems </w:t>
      </w:r>
      <w:r w:rsidRPr="002B6725" w:rsidR="00DD0FA2">
        <w:rPr>
          <w:lang w:val="en-GB"/>
        </w:rPr>
        <w:t xml:space="preserve">was </w:t>
      </w:r>
      <w:r w:rsidRPr="002B6725" w:rsidR="005F728D">
        <w:t>limited to brief and general statements. He also did not take the opportunity to elaborate on this aspect of the application in the observations that he submitted in response to those of the Government.</w:t>
      </w:r>
      <w:r w:rsidRPr="002B6725" w:rsidR="00721243">
        <w:t xml:space="preserve"> </w:t>
      </w:r>
      <w:r w:rsidRPr="002B6725" w:rsidR="005F728D">
        <w:t xml:space="preserve">The Court therefore finds that the applicant has not sufficiently substantiated his allegations </w:t>
      </w:r>
      <w:r w:rsidRPr="002B6725" w:rsidR="00721243">
        <w:t xml:space="preserve">in this </w:t>
      </w:r>
      <w:r w:rsidRPr="002B6725" w:rsidR="000B7081">
        <w:t>regard</w:t>
      </w:r>
      <w:r w:rsidRPr="002B6725" w:rsidR="005F728D">
        <w:t>.</w:t>
      </w:r>
    </w:p>
    <w:p w:rsidRPr="002B6725" w:rsidR="00750D68" w:rsidP="002B6725" w:rsidRDefault="002B6725">
      <w:pPr>
        <w:pStyle w:val="ECHRPara"/>
      </w:pPr>
      <w:fldSimple w:instr=" SEQ level0 \*arabic ">
        <w:r w:rsidRPr="002B6725">
          <w:rPr>
            <w:noProof/>
          </w:rPr>
          <w:t>53</w:t>
        </w:r>
      </w:fldSimple>
      <w:r w:rsidRPr="002B6725" w:rsidR="00661526">
        <w:t>.  </w:t>
      </w:r>
      <w:r w:rsidRPr="002B6725" w:rsidR="00721243">
        <w:t>As regards the applicant</w:t>
      </w:r>
      <w:r w:rsidRPr="002B6725">
        <w:t>’</w:t>
      </w:r>
      <w:r w:rsidRPr="002B6725" w:rsidR="00721243">
        <w:t xml:space="preserve">s </w:t>
      </w:r>
      <w:r w:rsidRPr="002B6725" w:rsidR="009D0F24">
        <w:t xml:space="preserve">allegation that he had contracted </w:t>
      </w:r>
      <w:r w:rsidRPr="002B6725" w:rsidR="00DD0FA2">
        <w:t>h</w:t>
      </w:r>
      <w:r w:rsidRPr="002B6725" w:rsidR="00721243">
        <w:t>epatitis</w:t>
      </w:r>
      <w:r w:rsidRPr="002B6725" w:rsidR="00CA3606">
        <w:t xml:space="preserve"> B</w:t>
      </w:r>
      <w:r w:rsidRPr="002B6725" w:rsidR="00721243">
        <w:t xml:space="preserve"> in the SIZO</w:t>
      </w:r>
      <w:r w:rsidRPr="002B6725" w:rsidR="00ED7A37">
        <w:t xml:space="preserve"> and th</w:t>
      </w:r>
      <w:r w:rsidRPr="002B6725" w:rsidR="0097225B">
        <w:t xml:space="preserve">at </w:t>
      </w:r>
      <w:r w:rsidRPr="002B6725" w:rsidR="00752A14">
        <w:t xml:space="preserve">he had </w:t>
      </w:r>
      <w:r w:rsidRPr="002B6725" w:rsidR="0097225B">
        <w:t>no</w:t>
      </w:r>
      <w:r w:rsidRPr="002B6725" w:rsidR="00752A14">
        <w:t>t</w:t>
      </w:r>
      <w:r w:rsidRPr="002B6725" w:rsidR="0097225B">
        <w:t xml:space="preserve"> </w:t>
      </w:r>
      <w:r w:rsidRPr="002B6725" w:rsidR="00752A14">
        <w:t xml:space="preserve">been </w:t>
      </w:r>
      <w:r w:rsidRPr="002B6725" w:rsidR="0097225B">
        <w:t>examin</w:t>
      </w:r>
      <w:r w:rsidRPr="002B6725" w:rsidR="00752A14">
        <w:t>ed by a doctor nor</w:t>
      </w:r>
      <w:r w:rsidRPr="002B6725" w:rsidR="0097225B">
        <w:t xml:space="preserve"> </w:t>
      </w:r>
      <w:r w:rsidRPr="002B6725" w:rsidR="00752A14">
        <w:t>given</w:t>
      </w:r>
      <w:r w:rsidRPr="002B6725" w:rsidR="0097225B">
        <w:t xml:space="preserve"> treatment in this </w:t>
      </w:r>
      <w:r w:rsidRPr="002B6725" w:rsidR="00752A14">
        <w:t>connection</w:t>
      </w:r>
      <w:r w:rsidRPr="002B6725" w:rsidR="00721243">
        <w:t xml:space="preserve">, the </w:t>
      </w:r>
      <w:r w:rsidRPr="002B6725" w:rsidR="00D62498">
        <w:t>Court notes</w:t>
      </w:r>
      <w:r w:rsidRPr="002B6725" w:rsidR="00772792">
        <w:t xml:space="preserve"> </w:t>
      </w:r>
      <w:r w:rsidRPr="002B6725" w:rsidR="006C49C3">
        <w:t>from the outset that, as it has held in its case-law, it would be desirable if, with their consent, prisoners could benefit, within a reasonable time after being committed to prison, from free screening for transmissible diseases such as hepatitis or HIV/AIDS. Such a facility would have made it easier to assess the applicant</w:t>
      </w:r>
      <w:r w:rsidRPr="002B6725">
        <w:t>’</w:t>
      </w:r>
      <w:r w:rsidRPr="002B6725" w:rsidR="006C49C3">
        <w:t>s allegations in terms of ascertaining whether or not he had contracted the disease in the detention centre. However, i</w:t>
      </w:r>
      <w:r w:rsidRPr="002B6725" w:rsidR="006C49C3">
        <w:rPr>
          <w:lang w:val="en"/>
        </w:rPr>
        <w:t>n the absence of such a possibility, the Court must examine the applicant</w:t>
      </w:r>
      <w:r w:rsidRPr="002B6725">
        <w:rPr>
          <w:lang w:val="en"/>
        </w:rPr>
        <w:t>’</w:t>
      </w:r>
      <w:r w:rsidRPr="002B6725" w:rsidR="006C49C3">
        <w:rPr>
          <w:lang w:val="en"/>
        </w:rPr>
        <w:t xml:space="preserve">s allegations in the light of the evidence provided (see </w:t>
      </w:r>
      <w:r w:rsidRPr="002B6725" w:rsidR="006C49C3">
        <w:rPr>
          <w:i/>
        </w:rPr>
        <w:t>Cătălin Eugen Micu</w:t>
      </w:r>
      <w:r w:rsidRPr="002B6725" w:rsidR="006C49C3">
        <w:t xml:space="preserve"> </w:t>
      </w:r>
      <w:r w:rsidRPr="002B6725" w:rsidR="006C49C3">
        <w:rPr>
          <w:i/>
        </w:rPr>
        <w:t>v. Romania</w:t>
      </w:r>
      <w:r w:rsidRPr="002B6725" w:rsidR="006C49C3">
        <w:t>, no. 55104/13</w:t>
      </w:r>
      <w:r w:rsidRPr="002B6725" w:rsidR="006C49C3">
        <w:rPr>
          <w:snapToGrid w:val="0"/>
        </w:rPr>
        <w:t xml:space="preserve">, § 56, </w:t>
      </w:r>
      <w:r w:rsidRPr="002B6725" w:rsidR="006C49C3">
        <w:t>5</w:t>
      </w:r>
      <w:r w:rsidRPr="002B6725" w:rsidR="006C49C3">
        <w:rPr>
          <w:snapToGrid w:val="0"/>
        </w:rPr>
        <w:t xml:space="preserve"> </w:t>
      </w:r>
      <w:r w:rsidRPr="002B6725" w:rsidR="006C49C3">
        <w:t xml:space="preserve">January 2016). In the present case, that </w:t>
      </w:r>
      <w:r w:rsidRPr="002B6725" w:rsidR="00657902">
        <w:t xml:space="preserve">there is no evidence that would </w:t>
      </w:r>
      <w:r w:rsidRPr="002B6725" w:rsidR="007B7ADE">
        <w:t xml:space="preserve">enable </w:t>
      </w:r>
      <w:r w:rsidRPr="002B6725" w:rsidR="006C49C3">
        <w:t xml:space="preserve">the Court </w:t>
      </w:r>
      <w:r w:rsidRPr="002B6725" w:rsidR="007B7ADE">
        <w:t xml:space="preserve">to conclude </w:t>
      </w:r>
      <w:r w:rsidRPr="002B6725" w:rsidR="00CA3606">
        <w:t xml:space="preserve">beyond reasonable doubt </w:t>
      </w:r>
      <w:r w:rsidRPr="002B6725" w:rsidR="007B7ADE">
        <w:t xml:space="preserve">that </w:t>
      </w:r>
      <w:r w:rsidRPr="002B6725" w:rsidR="009D0F24">
        <w:t xml:space="preserve">the applicant had contracted </w:t>
      </w:r>
      <w:r w:rsidRPr="002B6725" w:rsidR="00DD0FA2">
        <w:t>h</w:t>
      </w:r>
      <w:r w:rsidRPr="002B6725" w:rsidR="00657902">
        <w:t>epatitis B</w:t>
      </w:r>
      <w:r w:rsidRPr="002B6725" w:rsidR="00752A14">
        <w:t xml:space="preserve"> in the SIZO</w:t>
      </w:r>
      <w:r w:rsidRPr="002B6725" w:rsidR="00657902">
        <w:t>.</w:t>
      </w:r>
    </w:p>
    <w:p w:rsidRPr="002B6725" w:rsidR="00ED7A37" w:rsidP="002B6725" w:rsidRDefault="002B6725">
      <w:pPr>
        <w:pStyle w:val="ECHRPara"/>
      </w:pPr>
      <w:fldSimple w:instr=" SEQ level0 \*arabic ">
        <w:r w:rsidRPr="002B6725">
          <w:rPr>
            <w:noProof/>
          </w:rPr>
          <w:t>54</w:t>
        </w:r>
      </w:fldSimple>
      <w:r w:rsidRPr="002B6725" w:rsidR="00661526">
        <w:t>.  </w:t>
      </w:r>
      <w:r w:rsidRPr="002B6725" w:rsidR="00A803CA">
        <w:t>As regards the applicant</w:t>
      </w:r>
      <w:r w:rsidRPr="002B6725">
        <w:t>’</w:t>
      </w:r>
      <w:r w:rsidRPr="002B6725" w:rsidR="00A803CA">
        <w:t xml:space="preserve">s allegations </w:t>
      </w:r>
      <w:r w:rsidRPr="002B6725" w:rsidR="00D71A20">
        <w:t xml:space="preserve">concerning </w:t>
      </w:r>
      <w:r w:rsidRPr="002B6725" w:rsidR="00A803CA">
        <w:t>the authorities</w:t>
      </w:r>
      <w:r w:rsidRPr="002B6725">
        <w:t>’</w:t>
      </w:r>
      <w:r w:rsidRPr="002B6725" w:rsidR="00A803CA">
        <w:t xml:space="preserve"> failure to conduct a special</w:t>
      </w:r>
      <w:r w:rsidRPr="002B6725" w:rsidR="00CA3606">
        <w:t>i</w:t>
      </w:r>
      <w:r w:rsidRPr="002B6725" w:rsidR="008F4DE8">
        <w:t>s</w:t>
      </w:r>
      <w:r w:rsidRPr="002B6725" w:rsidR="00CA3606">
        <w:t>ed</w:t>
      </w:r>
      <w:r w:rsidRPr="002B6725" w:rsidR="00A803CA">
        <w:t xml:space="preserve"> examination to find out if he had</w:t>
      </w:r>
      <w:r w:rsidRPr="002B6725" w:rsidR="002D4648">
        <w:t xml:space="preserve"> been</w:t>
      </w:r>
      <w:r w:rsidRPr="002B6725" w:rsidR="00A803CA">
        <w:t xml:space="preserve"> suffer</w:t>
      </w:r>
      <w:r w:rsidRPr="002B6725" w:rsidR="002D4648">
        <w:t>ing</w:t>
      </w:r>
      <w:r w:rsidRPr="002B6725" w:rsidR="00A803CA">
        <w:t xml:space="preserve"> </w:t>
      </w:r>
      <w:r w:rsidRPr="002B6725" w:rsidR="002D4648">
        <w:t xml:space="preserve">with hepatitis </w:t>
      </w:r>
      <w:r w:rsidRPr="002B6725" w:rsidR="00CA3606">
        <w:t>B</w:t>
      </w:r>
      <w:r w:rsidRPr="002B6725" w:rsidR="00A803CA">
        <w:t xml:space="preserve"> and, as a result, their failure to treat him </w:t>
      </w:r>
      <w:r w:rsidRPr="002B6725" w:rsidR="000B7081">
        <w:t xml:space="preserve">for </w:t>
      </w:r>
      <w:r w:rsidRPr="002B6725" w:rsidR="00A803CA">
        <w:t>this d</w:t>
      </w:r>
      <w:r w:rsidRPr="002B6725" w:rsidR="002D4648">
        <w:t>is</w:t>
      </w:r>
      <w:r w:rsidRPr="002B6725" w:rsidR="00A803CA">
        <w:t>ease, the Court re</w:t>
      </w:r>
      <w:r w:rsidRPr="002B6725" w:rsidR="002D4648">
        <w:t>iterate</w:t>
      </w:r>
      <w:r w:rsidRPr="002B6725" w:rsidR="00A803CA">
        <w:t>s that i</w:t>
      </w:r>
      <w:r w:rsidRPr="002B6725" w:rsidR="0097225B">
        <w:t xml:space="preserve">n assessing the quality of medical treatment administered to the applicant, </w:t>
      </w:r>
      <w:r w:rsidRPr="002B6725" w:rsidR="002D4648">
        <w:t>it</w:t>
      </w:r>
      <w:r w:rsidRPr="002B6725" w:rsidR="0097225B">
        <w:t xml:space="preserve"> must ascertain </w:t>
      </w:r>
      <w:r w:rsidRPr="002B6725" w:rsidR="000B7081">
        <w:t xml:space="preserve">whether </w:t>
      </w:r>
      <w:r w:rsidRPr="002B6725" w:rsidR="0097225B">
        <w:t xml:space="preserve">the </w:t>
      </w:r>
      <w:r w:rsidRPr="002B6725" w:rsidR="009D0F24">
        <w:rPr>
          <w:rFonts w:ascii="Times New Roman" w:hAnsi="Times New Roman" w:eastAsia="Times New Roman" w:cs="Times New Roman"/>
          <w:szCs w:val="24"/>
          <w:lang w:val="en-GB" w:eastAsia="en-GB"/>
        </w:rPr>
        <w:t xml:space="preserve">services provided </w:t>
      </w:r>
      <w:r w:rsidRPr="002B6725" w:rsidR="0097225B">
        <w:rPr>
          <w:rFonts w:ascii="Times New Roman" w:hAnsi="Times New Roman" w:eastAsia="Times New Roman" w:cs="Times New Roman"/>
          <w:szCs w:val="24"/>
          <w:lang w:val="en-GB" w:eastAsia="en-GB"/>
        </w:rPr>
        <w:t>corresponded to the applicant</w:t>
      </w:r>
      <w:r w:rsidRPr="002B6725">
        <w:rPr>
          <w:rFonts w:ascii="Times New Roman" w:hAnsi="Times New Roman" w:eastAsia="Times New Roman" w:cs="Times New Roman"/>
          <w:szCs w:val="24"/>
          <w:lang w:val="en-GB" w:eastAsia="en-GB"/>
        </w:rPr>
        <w:t>’</w:t>
      </w:r>
      <w:r w:rsidRPr="002B6725" w:rsidR="0097225B">
        <w:rPr>
          <w:rFonts w:ascii="Times New Roman" w:hAnsi="Times New Roman" w:eastAsia="Times New Roman" w:cs="Times New Roman"/>
          <w:szCs w:val="24"/>
          <w:lang w:val="en-GB" w:eastAsia="en-GB"/>
        </w:rPr>
        <w:t xml:space="preserve">s </w:t>
      </w:r>
      <w:r w:rsidRPr="002B6725" w:rsidR="009D0F24">
        <w:rPr>
          <w:rFonts w:ascii="Times New Roman" w:hAnsi="Times New Roman" w:eastAsia="Times New Roman" w:cs="Times New Roman"/>
          <w:szCs w:val="24"/>
          <w:lang w:val="en-GB" w:eastAsia="en-GB"/>
        </w:rPr>
        <w:t xml:space="preserve">state of health and “the practical demands of imprisonment” (see </w:t>
      </w:r>
      <w:r w:rsidRPr="002B6725" w:rsidR="009D0F24">
        <w:rPr>
          <w:rFonts w:ascii="Times New Roman" w:hAnsi="Times New Roman" w:eastAsia="Times New Roman" w:cs="Times New Roman"/>
          <w:i/>
          <w:szCs w:val="24"/>
          <w:lang w:val="en-GB" w:eastAsia="en-GB"/>
        </w:rPr>
        <w:t>Kaverzin v. Ukraine</w:t>
      </w:r>
      <w:r w:rsidRPr="002B6725" w:rsidR="009D0F24">
        <w:rPr>
          <w:rFonts w:ascii="Times New Roman" w:hAnsi="Times New Roman" w:eastAsia="Times New Roman" w:cs="Times New Roman"/>
          <w:szCs w:val="24"/>
          <w:lang w:val="en-GB" w:eastAsia="en-GB"/>
        </w:rPr>
        <w:t>, no.</w:t>
      </w:r>
      <w:r w:rsidRPr="002B6725" w:rsidR="00C72699">
        <w:rPr>
          <w:rFonts w:ascii="Times New Roman" w:hAnsi="Times New Roman" w:eastAsia="Times New Roman" w:cs="Times New Roman"/>
          <w:szCs w:val="24"/>
          <w:lang w:val="en-GB" w:eastAsia="en-GB"/>
        </w:rPr>
        <w:t> </w:t>
      </w:r>
      <w:r w:rsidRPr="002B6725" w:rsidR="00DE03AD">
        <w:rPr>
          <w:rFonts w:ascii="Times New Roman" w:hAnsi="Times New Roman" w:eastAsia="Times New Roman" w:cs="Times New Roman"/>
          <w:szCs w:val="24"/>
          <w:lang w:val="en-GB" w:eastAsia="en-GB"/>
        </w:rPr>
        <w:t>23893/03</w:t>
      </w:r>
      <w:r w:rsidRPr="002B6725" w:rsidR="009D0F24">
        <w:rPr>
          <w:rFonts w:ascii="Times New Roman" w:hAnsi="Times New Roman" w:eastAsia="Times New Roman" w:cs="Times New Roman"/>
          <w:szCs w:val="24"/>
          <w:lang w:val="en-GB" w:eastAsia="en-GB"/>
        </w:rPr>
        <w:t>, § 138, 15 May 2012, with further references).</w:t>
      </w:r>
    </w:p>
    <w:p w:rsidRPr="002B6725" w:rsidR="00750D68" w:rsidP="002B6725" w:rsidRDefault="002B6725">
      <w:pPr>
        <w:pStyle w:val="ECHRPara"/>
        <w:rPr>
          <w:color w:val="000000"/>
        </w:rPr>
      </w:pPr>
      <w:fldSimple w:instr=" SEQ level0 \*arabic ">
        <w:r w:rsidRPr="002B6725">
          <w:rPr>
            <w:noProof/>
          </w:rPr>
          <w:t>55</w:t>
        </w:r>
      </w:fldSimple>
      <w:r w:rsidRPr="002B6725" w:rsidR="00661526">
        <w:t>.  </w:t>
      </w:r>
      <w:r w:rsidRPr="002B6725" w:rsidR="00D62498">
        <w:t>T</w:t>
      </w:r>
      <w:r w:rsidRPr="002B6725" w:rsidR="00AC1B2C">
        <w:t xml:space="preserve">he Court </w:t>
      </w:r>
      <w:r w:rsidRPr="002B6725" w:rsidR="00657902">
        <w:t xml:space="preserve">observes </w:t>
      </w:r>
      <w:r w:rsidRPr="002B6725" w:rsidR="00D62498">
        <w:t xml:space="preserve">in this </w:t>
      </w:r>
      <w:r w:rsidRPr="002B6725" w:rsidR="008759F0">
        <w:t xml:space="preserve">connection </w:t>
      </w:r>
      <w:r w:rsidRPr="002B6725" w:rsidR="00D62498">
        <w:t>that</w:t>
      </w:r>
      <w:r w:rsidRPr="002B6725" w:rsidR="008759F0">
        <w:t>,</w:t>
      </w:r>
      <w:r w:rsidRPr="002B6725" w:rsidR="00D62498">
        <w:t xml:space="preserve"> </w:t>
      </w:r>
      <w:r w:rsidRPr="002B6725" w:rsidR="008759F0">
        <w:t>as is apparent</w:t>
      </w:r>
      <w:r w:rsidRPr="002B6725" w:rsidR="00D62498">
        <w:t xml:space="preserve"> </w:t>
      </w:r>
      <w:r w:rsidRPr="002B6725" w:rsidR="00657902">
        <w:t xml:space="preserve">from the </w:t>
      </w:r>
      <w:r w:rsidRPr="002B6725" w:rsidR="00B95E99">
        <w:t>medical documents provided by the Government</w:t>
      </w:r>
      <w:r w:rsidRPr="002B6725" w:rsidR="008759F0">
        <w:t>,</w:t>
      </w:r>
      <w:r w:rsidRPr="002B6725" w:rsidR="00B95E99">
        <w:t xml:space="preserve"> </w:t>
      </w:r>
      <w:r w:rsidRPr="002B6725" w:rsidR="00657902">
        <w:t xml:space="preserve">once the applicant </w:t>
      </w:r>
      <w:r w:rsidRPr="002B6725" w:rsidR="008759F0">
        <w:t>approached</w:t>
      </w:r>
      <w:r w:rsidRPr="002B6725" w:rsidR="00657902">
        <w:t xml:space="preserve"> the medical unit with liver-related problems</w:t>
      </w:r>
      <w:r w:rsidRPr="002B6725" w:rsidR="008759F0">
        <w:t>,</w:t>
      </w:r>
      <w:r w:rsidRPr="002B6725" w:rsidR="0070443C">
        <w:t xml:space="preserve"> </w:t>
      </w:r>
      <w:r w:rsidRPr="002B6725" w:rsidR="00CB375B">
        <w:t xml:space="preserve">he </w:t>
      </w:r>
      <w:r w:rsidRPr="002B6725" w:rsidR="0070443C">
        <w:t>under</w:t>
      </w:r>
      <w:r w:rsidRPr="002B6725" w:rsidR="00D71A20">
        <w:t>went</w:t>
      </w:r>
      <w:r w:rsidRPr="002B6725" w:rsidR="0070443C">
        <w:t xml:space="preserve"> </w:t>
      </w:r>
      <w:r w:rsidRPr="002B6725" w:rsidR="008759F0">
        <w:t xml:space="preserve">a </w:t>
      </w:r>
      <w:r w:rsidRPr="002B6725" w:rsidR="0070443C">
        <w:t xml:space="preserve">medical examination </w:t>
      </w:r>
      <w:r w:rsidRPr="002B6725" w:rsidR="008759F0">
        <w:t xml:space="preserve">during </w:t>
      </w:r>
      <w:r w:rsidRPr="002B6725" w:rsidR="0097225B">
        <w:t xml:space="preserve">which he </w:t>
      </w:r>
      <w:r w:rsidRPr="002B6725" w:rsidR="00D71A20">
        <w:t xml:space="preserve">was </w:t>
      </w:r>
      <w:r w:rsidRPr="002B6725" w:rsidR="00CB375B">
        <w:t xml:space="preserve">offered a number of tests, </w:t>
      </w:r>
      <w:r w:rsidRPr="002B6725" w:rsidR="00CB375B">
        <w:rPr>
          <w:lang w:val="en-GB"/>
        </w:rPr>
        <w:t xml:space="preserve">including </w:t>
      </w:r>
      <w:r w:rsidRPr="002B6725" w:rsidR="008759F0">
        <w:rPr>
          <w:lang w:val="en-GB"/>
        </w:rPr>
        <w:t xml:space="preserve">a </w:t>
      </w:r>
      <w:r w:rsidRPr="002B6725" w:rsidR="00CB375B">
        <w:rPr>
          <w:lang w:val="en-GB"/>
        </w:rPr>
        <w:t xml:space="preserve">specialised </w:t>
      </w:r>
      <w:r w:rsidRPr="002B6725" w:rsidR="0070443C">
        <w:rPr>
          <w:lang w:val="en-GB"/>
        </w:rPr>
        <w:t xml:space="preserve">blood test </w:t>
      </w:r>
      <w:r w:rsidRPr="002B6725" w:rsidR="00DB0EB0">
        <w:rPr>
          <w:lang w:val="en-GB"/>
        </w:rPr>
        <w:t xml:space="preserve">for </w:t>
      </w:r>
      <w:r w:rsidRPr="002B6725" w:rsidR="008759F0">
        <w:rPr>
          <w:lang w:val="en-GB"/>
        </w:rPr>
        <w:t xml:space="preserve">hepatitis </w:t>
      </w:r>
      <w:r w:rsidRPr="002B6725" w:rsidR="003B3B84">
        <w:rPr>
          <w:lang w:val="en-GB"/>
        </w:rPr>
        <w:t>B</w:t>
      </w:r>
      <w:r w:rsidRPr="002B6725" w:rsidR="00CB375B">
        <w:rPr>
          <w:lang w:val="en-GB"/>
        </w:rPr>
        <w:t xml:space="preserve"> anti</w:t>
      </w:r>
      <w:r w:rsidRPr="002B6725" w:rsidR="008759F0">
        <w:rPr>
          <w:lang w:val="en-GB"/>
        </w:rPr>
        <w:t>bodies</w:t>
      </w:r>
      <w:r w:rsidRPr="002B6725" w:rsidR="00DB0EB0">
        <w:rPr>
          <w:lang w:val="en-GB"/>
        </w:rPr>
        <w:t>,</w:t>
      </w:r>
      <w:r w:rsidRPr="002B6725" w:rsidR="00CB375B">
        <w:rPr>
          <w:lang w:val="en-GB"/>
        </w:rPr>
        <w:t xml:space="preserve"> which appeared to be positive. </w:t>
      </w:r>
      <w:r w:rsidRPr="002B6725" w:rsidR="00DB0EB0">
        <w:rPr>
          <w:lang w:val="en-GB"/>
        </w:rPr>
        <w:t>T</w:t>
      </w:r>
      <w:r w:rsidRPr="002B6725" w:rsidR="00CB375B">
        <w:rPr>
          <w:lang w:val="en-GB"/>
        </w:rPr>
        <w:t>he</w:t>
      </w:r>
      <w:r w:rsidRPr="002B6725" w:rsidR="00D62498">
        <w:rPr>
          <w:lang w:val="en-GB"/>
        </w:rPr>
        <w:t xml:space="preserve"> treatment prescribed included, among other medicines, </w:t>
      </w:r>
      <w:r w:rsidRPr="002B6725" w:rsidR="00F0731D">
        <w:rPr>
          <w:lang w:val="en-GB"/>
        </w:rPr>
        <w:t xml:space="preserve">antivirals </w:t>
      </w:r>
      <w:r w:rsidRPr="002B6725" w:rsidR="00D62498">
        <w:rPr>
          <w:lang w:val="en-GB"/>
        </w:rPr>
        <w:t>(see paragraph</w:t>
      </w:r>
      <w:r w:rsidRPr="002B6725" w:rsidR="00CA3606">
        <w:rPr>
          <w:lang w:val="en-GB"/>
        </w:rPr>
        <w:t xml:space="preserve"> </w:t>
      </w:r>
      <w:r w:rsidRPr="002B6725" w:rsidR="00951B6D">
        <w:rPr>
          <w:lang w:val="en-GB"/>
        </w:rPr>
        <w:t>35</w:t>
      </w:r>
      <w:r w:rsidRPr="002B6725" w:rsidR="00D62498">
        <w:rPr>
          <w:lang w:val="en-GB"/>
        </w:rPr>
        <w:t>)</w:t>
      </w:r>
      <w:r w:rsidRPr="002B6725" w:rsidR="0070443C">
        <w:rPr>
          <w:lang w:val="en-GB"/>
        </w:rPr>
        <w:t>.</w:t>
      </w:r>
      <w:r w:rsidRPr="002B6725" w:rsidR="00DB0EB0">
        <w:rPr>
          <w:lang w:val="en-GB"/>
        </w:rPr>
        <w:t xml:space="preserve"> </w:t>
      </w:r>
      <w:r w:rsidRPr="002B6725" w:rsidR="00D62498">
        <w:rPr>
          <w:lang w:val="en-GB"/>
        </w:rPr>
        <w:t xml:space="preserve">The relevant extract from the </w:t>
      </w:r>
      <w:r w:rsidRPr="002B6725" w:rsidR="00CB375B">
        <w:rPr>
          <w:color w:val="000000"/>
        </w:rPr>
        <w:t>applicant</w:t>
      </w:r>
      <w:r w:rsidRPr="002B6725">
        <w:rPr>
          <w:color w:val="000000"/>
        </w:rPr>
        <w:t>’</w:t>
      </w:r>
      <w:r w:rsidRPr="002B6725" w:rsidR="00CB375B">
        <w:rPr>
          <w:color w:val="000000"/>
        </w:rPr>
        <w:t xml:space="preserve">s medical file </w:t>
      </w:r>
      <w:r w:rsidRPr="002B6725" w:rsidR="00D62498">
        <w:rPr>
          <w:color w:val="000000"/>
        </w:rPr>
        <w:t xml:space="preserve">suggests </w:t>
      </w:r>
      <w:r w:rsidRPr="002B6725" w:rsidR="00CB375B">
        <w:rPr>
          <w:color w:val="000000"/>
        </w:rPr>
        <w:t xml:space="preserve">that the </w:t>
      </w:r>
      <w:r w:rsidRPr="002B6725" w:rsidR="00DB0EB0">
        <w:rPr>
          <w:color w:val="000000"/>
        </w:rPr>
        <w:t xml:space="preserve">applicant received the prescribed treatment </w:t>
      </w:r>
      <w:r w:rsidRPr="002B6725" w:rsidR="00D71A20">
        <w:rPr>
          <w:color w:val="000000"/>
        </w:rPr>
        <w:t>i</w:t>
      </w:r>
      <w:r w:rsidRPr="002B6725" w:rsidR="00DB0EB0">
        <w:rPr>
          <w:color w:val="000000"/>
        </w:rPr>
        <w:t>n full</w:t>
      </w:r>
      <w:r w:rsidRPr="002B6725" w:rsidR="00A14EC5">
        <w:rPr>
          <w:color w:val="000000"/>
        </w:rPr>
        <w:t>;</w:t>
      </w:r>
      <w:r w:rsidRPr="002B6725" w:rsidR="00D62498">
        <w:rPr>
          <w:color w:val="000000"/>
        </w:rPr>
        <w:t xml:space="preserve"> </w:t>
      </w:r>
      <w:r w:rsidRPr="002B6725" w:rsidR="00A14EC5">
        <w:rPr>
          <w:color w:val="000000"/>
        </w:rPr>
        <w:t>n</w:t>
      </w:r>
      <w:r w:rsidRPr="002B6725" w:rsidR="00DB0EB0">
        <w:rPr>
          <w:color w:val="000000"/>
        </w:rPr>
        <w:t xml:space="preserve">o evidence </w:t>
      </w:r>
      <w:r w:rsidRPr="002B6725" w:rsidR="00D62498">
        <w:rPr>
          <w:color w:val="000000"/>
        </w:rPr>
        <w:t xml:space="preserve">is available in the case file </w:t>
      </w:r>
      <w:r w:rsidRPr="002B6725" w:rsidR="00DB0EB0">
        <w:rPr>
          <w:color w:val="000000"/>
        </w:rPr>
        <w:t>in support of the applicant</w:t>
      </w:r>
      <w:r w:rsidRPr="002B6725">
        <w:rPr>
          <w:color w:val="000000"/>
        </w:rPr>
        <w:t>’</w:t>
      </w:r>
      <w:r w:rsidRPr="002B6725" w:rsidR="00DB0EB0">
        <w:rPr>
          <w:color w:val="000000"/>
        </w:rPr>
        <w:t xml:space="preserve">s </w:t>
      </w:r>
      <w:r w:rsidRPr="002B6725" w:rsidR="00CA3606">
        <w:rPr>
          <w:color w:val="000000"/>
        </w:rPr>
        <w:t>statements</w:t>
      </w:r>
      <w:r w:rsidRPr="002B6725" w:rsidR="00DB0EB0">
        <w:rPr>
          <w:color w:val="000000"/>
        </w:rPr>
        <w:t xml:space="preserve"> </w:t>
      </w:r>
      <w:r w:rsidRPr="002B6725" w:rsidR="00A14EC5">
        <w:rPr>
          <w:color w:val="000000"/>
        </w:rPr>
        <w:t xml:space="preserve">to </w:t>
      </w:r>
      <w:r w:rsidRPr="002B6725" w:rsidR="00DB0EB0">
        <w:rPr>
          <w:color w:val="000000"/>
        </w:rPr>
        <w:t xml:space="preserve">the </w:t>
      </w:r>
      <w:r w:rsidRPr="002B6725" w:rsidR="00A14EC5">
        <w:rPr>
          <w:color w:val="000000"/>
        </w:rPr>
        <w:t>contrary</w:t>
      </w:r>
      <w:r w:rsidRPr="002B6725" w:rsidR="00DB0EB0">
        <w:rPr>
          <w:color w:val="000000"/>
        </w:rPr>
        <w:t>.</w:t>
      </w:r>
      <w:r w:rsidRPr="002B6725" w:rsidR="00BC2394">
        <w:rPr>
          <w:color w:val="000000"/>
        </w:rPr>
        <w:t xml:space="preserve"> The applicant </w:t>
      </w:r>
      <w:r w:rsidRPr="002B6725" w:rsidR="002F0153">
        <w:rPr>
          <w:color w:val="000000"/>
        </w:rPr>
        <w:t>further</w:t>
      </w:r>
      <w:r w:rsidRPr="002B6725" w:rsidR="00BC2394">
        <w:rPr>
          <w:color w:val="000000"/>
        </w:rPr>
        <w:t xml:space="preserve"> failed to sho</w:t>
      </w:r>
      <w:r w:rsidRPr="002B6725" w:rsidR="002F0153">
        <w:rPr>
          <w:color w:val="000000"/>
        </w:rPr>
        <w:t>w</w:t>
      </w:r>
      <w:r w:rsidRPr="002B6725" w:rsidR="00BC2394">
        <w:rPr>
          <w:color w:val="000000"/>
        </w:rPr>
        <w:t xml:space="preserve"> that </w:t>
      </w:r>
      <w:r w:rsidRPr="002B6725" w:rsidR="0097225B">
        <w:rPr>
          <w:color w:val="000000"/>
        </w:rPr>
        <w:t xml:space="preserve">the diagnosis made by the SIZO doctors </w:t>
      </w:r>
      <w:r w:rsidRPr="002B6725" w:rsidR="00A14EC5">
        <w:rPr>
          <w:color w:val="000000"/>
        </w:rPr>
        <w:t xml:space="preserve">had </w:t>
      </w:r>
      <w:r w:rsidRPr="002B6725" w:rsidR="0097225B">
        <w:rPr>
          <w:color w:val="000000"/>
        </w:rPr>
        <w:t>not</w:t>
      </w:r>
      <w:r w:rsidRPr="002B6725" w:rsidR="00A14EC5">
        <w:rPr>
          <w:color w:val="000000"/>
        </w:rPr>
        <w:t xml:space="preserve"> been</w:t>
      </w:r>
      <w:r w:rsidRPr="002B6725" w:rsidR="0097225B">
        <w:rPr>
          <w:color w:val="000000"/>
        </w:rPr>
        <w:t xml:space="preserve"> correct or that </w:t>
      </w:r>
      <w:r w:rsidRPr="002B6725" w:rsidR="00BC2394">
        <w:rPr>
          <w:color w:val="000000"/>
        </w:rPr>
        <w:t xml:space="preserve">the prescribed treatment </w:t>
      </w:r>
      <w:r w:rsidRPr="002B6725" w:rsidR="00A14EC5">
        <w:rPr>
          <w:color w:val="000000"/>
        </w:rPr>
        <w:t xml:space="preserve">had </w:t>
      </w:r>
      <w:r w:rsidRPr="002B6725" w:rsidR="00BC2394">
        <w:rPr>
          <w:color w:val="000000"/>
        </w:rPr>
        <w:t>not correspond</w:t>
      </w:r>
      <w:r w:rsidRPr="002B6725" w:rsidR="00A14EC5">
        <w:rPr>
          <w:color w:val="000000"/>
        </w:rPr>
        <w:t xml:space="preserve">ed </w:t>
      </w:r>
      <w:r w:rsidRPr="002B6725" w:rsidR="00BC2394">
        <w:rPr>
          <w:color w:val="000000"/>
        </w:rPr>
        <w:t xml:space="preserve">to his </w:t>
      </w:r>
      <w:r w:rsidRPr="002B6725" w:rsidR="00A14EC5">
        <w:rPr>
          <w:color w:val="000000"/>
        </w:rPr>
        <w:t>condition</w:t>
      </w:r>
      <w:r w:rsidRPr="002B6725" w:rsidR="00BC2394">
        <w:rPr>
          <w:color w:val="000000"/>
        </w:rPr>
        <w:t xml:space="preserve"> </w:t>
      </w:r>
      <w:r w:rsidRPr="002B6725" w:rsidR="0097225B">
        <w:rPr>
          <w:color w:val="000000"/>
        </w:rPr>
        <w:t xml:space="preserve">and </w:t>
      </w:r>
      <w:r w:rsidRPr="002B6725" w:rsidR="00BC2394">
        <w:rPr>
          <w:color w:val="000000"/>
        </w:rPr>
        <w:t>that other treatment should have been administered to him.</w:t>
      </w:r>
      <w:r w:rsidRPr="002B6725" w:rsidR="002F0153">
        <w:rPr>
          <w:color w:val="000000"/>
        </w:rPr>
        <w:t xml:space="preserve"> No medical opinion </w:t>
      </w:r>
      <w:r w:rsidRPr="002B6725" w:rsidR="00A14EC5">
        <w:rPr>
          <w:color w:val="000000"/>
        </w:rPr>
        <w:t>was</w:t>
      </w:r>
      <w:r w:rsidRPr="002B6725" w:rsidR="002F0153">
        <w:rPr>
          <w:color w:val="000000"/>
        </w:rPr>
        <w:t xml:space="preserve"> submitted </w:t>
      </w:r>
      <w:r w:rsidRPr="002B6725" w:rsidR="00D13646">
        <w:rPr>
          <w:color w:val="000000"/>
        </w:rPr>
        <w:t>by</w:t>
      </w:r>
      <w:r w:rsidRPr="002B6725" w:rsidR="002F0153">
        <w:rPr>
          <w:color w:val="000000"/>
        </w:rPr>
        <w:t xml:space="preserve"> the applicant </w:t>
      </w:r>
      <w:r w:rsidRPr="002B6725" w:rsidR="00D76A5A">
        <w:rPr>
          <w:color w:val="000000"/>
        </w:rPr>
        <w:t xml:space="preserve">in </w:t>
      </w:r>
      <w:r w:rsidRPr="002B6725" w:rsidR="002F0153">
        <w:rPr>
          <w:color w:val="000000"/>
        </w:rPr>
        <w:t xml:space="preserve">this </w:t>
      </w:r>
      <w:r w:rsidRPr="002B6725" w:rsidR="00A14EC5">
        <w:rPr>
          <w:color w:val="000000"/>
        </w:rPr>
        <w:t>regard</w:t>
      </w:r>
      <w:r w:rsidRPr="002B6725" w:rsidR="002F0153">
        <w:rPr>
          <w:color w:val="000000"/>
        </w:rPr>
        <w:t xml:space="preserve">. </w:t>
      </w:r>
      <w:r w:rsidRPr="002B6725" w:rsidR="00BC2394">
        <w:rPr>
          <w:color w:val="000000"/>
        </w:rPr>
        <w:t xml:space="preserve">The mere fact that a complex examination for hepatitis </w:t>
      </w:r>
      <w:r w:rsidRPr="002B6725" w:rsidR="00A14EC5">
        <w:rPr>
          <w:color w:val="000000"/>
        </w:rPr>
        <w:t xml:space="preserve">was </w:t>
      </w:r>
      <w:r w:rsidRPr="002B6725" w:rsidR="002F0153">
        <w:rPr>
          <w:color w:val="000000"/>
        </w:rPr>
        <w:t xml:space="preserve">not </w:t>
      </w:r>
      <w:r w:rsidRPr="002B6725" w:rsidR="00BC2394">
        <w:rPr>
          <w:color w:val="000000"/>
        </w:rPr>
        <w:t xml:space="preserve">carried out in the SIZO cannot be regarded as proof of an overall deficiency in the medical assistance available to the applicant as it has not been shown that such an examination was indispensable in his particular situation </w:t>
      </w:r>
      <w:r w:rsidRPr="002B6725" w:rsidR="00845463">
        <w:rPr>
          <w:color w:val="000000"/>
        </w:rPr>
        <w:t xml:space="preserve">and that his state of health was adversely affected </w:t>
      </w:r>
      <w:r w:rsidRPr="002B6725" w:rsidR="00BC2394">
        <w:rPr>
          <w:color w:val="000000"/>
        </w:rPr>
        <w:t>(see</w:t>
      </w:r>
      <w:r w:rsidRPr="002B6725" w:rsidR="00D13646">
        <w:rPr>
          <w:color w:val="000000"/>
        </w:rPr>
        <w:t>,</w:t>
      </w:r>
      <w:r w:rsidRPr="002B6725" w:rsidR="00BC2394">
        <w:rPr>
          <w:color w:val="000000"/>
        </w:rPr>
        <w:t xml:space="preserve"> </w:t>
      </w:r>
      <w:r w:rsidRPr="002B6725" w:rsidR="00BC2394">
        <w:rPr>
          <w:i/>
          <w:color w:val="000000"/>
        </w:rPr>
        <w:t>mutatis mutandis</w:t>
      </w:r>
      <w:r w:rsidRPr="002B6725" w:rsidR="00D13646">
        <w:rPr>
          <w:color w:val="000000"/>
        </w:rPr>
        <w:t>,</w:t>
      </w:r>
      <w:r w:rsidRPr="002B6725" w:rsidR="00BC2394">
        <w:rPr>
          <w:color w:val="000000"/>
        </w:rPr>
        <w:t xml:space="preserve"> </w:t>
      </w:r>
      <w:r w:rsidRPr="002B6725" w:rsidR="00C72699">
        <w:rPr>
          <w:i/>
          <w:color w:val="000000"/>
        </w:rPr>
        <w:t>Polufakin and Chernyshev v. </w:t>
      </w:r>
      <w:r w:rsidRPr="002B6725" w:rsidR="00BC2394">
        <w:rPr>
          <w:i/>
          <w:color w:val="000000"/>
        </w:rPr>
        <w:t>Russia</w:t>
      </w:r>
      <w:r w:rsidRPr="002B6725" w:rsidR="00BC2394">
        <w:rPr>
          <w:color w:val="000000"/>
        </w:rPr>
        <w:t>, no</w:t>
      </w:r>
      <w:r w:rsidRPr="002B6725" w:rsidR="00BE3B55">
        <w:rPr>
          <w:color w:val="000000"/>
        </w:rPr>
        <w:t>.</w:t>
      </w:r>
      <w:r w:rsidRPr="002B6725" w:rsidR="00BE3B55">
        <w:t xml:space="preserve"> </w:t>
      </w:r>
      <w:r w:rsidRPr="002B6725" w:rsidR="00BE3B55">
        <w:rPr>
          <w:rStyle w:val="column01"/>
        </w:rPr>
        <w:t>30997/02</w:t>
      </w:r>
      <w:r w:rsidRPr="002B6725" w:rsidR="00BC2394">
        <w:rPr>
          <w:color w:val="000000"/>
        </w:rPr>
        <w:t xml:space="preserve">, </w:t>
      </w:r>
      <w:r w:rsidRPr="002B6725" w:rsidR="00BC2394">
        <w:t xml:space="preserve">§ </w:t>
      </w:r>
      <w:r w:rsidRPr="002B6725" w:rsidR="00BC2394">
        <w:rPr>
          <w:color w:val="000000"/>
        </w:rPr>
        <w:t>169</w:t>
      </w:r>
      <w:r w:rsidRPr="002B6725" w:rsidR="00BE3B55">
        <w:rPr>
          <w:color w:val="000000"/>
        </w:rPr>
        <w:t>,</w:t>
      </w:r>
      <w:r w:rsidRPr="002B6725" w:rsidR="00BE3B55">
        <w:t xml:space="preserve"> </w:t>
      </w:r>
      <w:r w:rsidRPr="002B6725" w:rsidR="00BE3B55">
        <w:rPr>
          <w:rStyle w:val="column04"/>
        </w:rPr>
        <w:t>25 September 2008</w:t>
      </w:r>
      <w:r w:rsidRPr="002B6725" w:rsidR="00BC2394">
        <w:rPr>
          <w:color w:val="000000"/>
        </w:rPr>
        <w:t>).</w:t>
      </w:r>
    </w:p>
    <w:p w:rsidRPr="002B6725" w:rsidR="00750D68" w:rsidP="002B6725" w:rsidRDefault="002B6725">
      <w:pPr>
        <w:pStyle w:val="ECHRPara"/>
      </w:pPr>
      <w:fldSimple w:instr=" SEQ level0 \*arabic ">
        <w:r w:rsidRPr="002B6725">
          <w:rPr>
            <w:noProof/>
          </w:rPr>
          <w:t>56</w:t>
        </w:r>
      </w:fldSimple>
      <w:r w:rsidRPr="002B6725" w:rsidR="00661526">
        <w:t>.  </w:t>
      </w:r>
      <w:r w:rsidRPr="002B6725" w:rsidR="00845463">
        <w:t>As regards the applicant</w:t>
      </w:r>
      <w:r w:rsidRPr="002B6725">
        <w:t>’</w:t>
      </w:r>
      <w:r w:rsidRPr="002B6725" w:rsidR="00845463">
        <w:t xml:space="preserve">s allegation </w:t>
      </w:r>
      <w:r w:rsidRPr="002B6725" w:rsidR="00163663">
        <w:t xml:space="preserve">concerning </w:t>
      </w:r>
      <w:r w:rsidRPr="002B6725" w:rsidR="00845463">
        <w:t xml:space="preserve">the lack of appropriate </w:t>
      </w:r>
      <w:r w:rsidRPr="002B6725" w:rsidR="00154402">
        <w:t xml:space="preserve">medical </w:t>
      </w:r>
      <w:r w:rsidRPr="002B6725" w:rsidR="00845463">
        <w:t xml:space="preserve">treatment </w:t>
      </w:r>
      <w:r w:rsidRPr="002B6725" w:rsidR="00154402">
        <w:t xml:space="preserve">for his </w:t>
      </w:r>
      <w:r w:rsidRPr="002B6725" w:rsidR="00845463">
        <w:t xml:space="preserve">hepatitis in the prison, the Court notes that </w:t>
      </w:r>
      <w:r w:rsidRPr="002B6725" w:rsidR="00154402">
        <w:t xml:space="preserve">this complaint </w:t>
      </w:r>
      <w:r w:rsidRPr="002B6725" w:rsidR="00163663">
        <w:t>was</w:t>
      </w:r>
      <w:r w:rsidRPr="002B6725" w:rsidR="00154402">
        <w:t xml:space="preserve"> raised for the first time in the applicant</w:t>
      </w:r>
      <w:r w:rsidRPr="002B6725">
        <w:t>’</w:t>
      </w:r>
      <w:r w:rsidRPr="002B6725" w:rsidR="00154402">
        <w:t>s reply to the Government</w:t>
      </w:r>
      <w:r w:rsidRPr="002B6725">
        <w:t>’</w:t>
      </w:r>
      <w:r w:rsidRPr="002B6725" w:rsidR="00154402">
        <w:t xml:space="preserve">s observations and that the Government </w:t>
      </w:r>
      <w:r w:rsidRPr="002B6725" w:rsidR="00163663">
        <w:t xml:space="preserve">was </w:t>
      </w:r>
      <w:r w:rsidRPr="002B6725" w:rsidR="00154402">
        <w:t xml:space="preserve">therefore not </w:t>
      </w:r>
      <w:r w:rsidRPr="002B6725" w:rsidR="002E6DE0">
        <w:t xml:space="preserve">invited </w:t>
      </w:r>
      <w:r w:rsidRPr="002B6725" w:rsidR="00154402">
        <w:t xml:space="preserve">to comment on it. In any event, </w:t>
      </w:r>
      <w:r w:rsidRPr="002B6725" w:rsidR="002E6DE0">
        <w:t>this complaint is couched in very general terms and not substantiated. It therefore does not raise any issue under Article 3 of the Convention.</w:t>
      </w:r>
    </w:p>
    <w:p w:rsidRPr="002B6725" w:rsidR="00845463" w:rsidP="002B6725" w:rsidRDefault="00661526">
      <w:pPr>
        <w:pStyle w:val="ECHRPara"/>
        <w:rPr>
          <w:rFonts w:ascii="Times New Roman" w:hAnsi="Times New Roman" w:eastAsia="Times New Roman" w:cs="Times New Roman"/>
          <w:szCs w:val="24"/>
          <w:lang w:val="en-GB" w:eastAsia="en-GB"/>
        </w:rPr>
      </w:pPr>
      <w:r w:rsidRPr="002B6725">
        <w:rPr>
          <w:color w:val="000000"/>
        </w:rPr>
        <w:fldChar w:fldCharType="begin"/>
      </w:r>
      <w:r w:rsidRPr="002B6725">
        <w:rPr>
          <w:color w:val="000000"/>
        </w:rPr>
        <w:instrText xml:space="preserve"> SEQ level0 \*arabic </w:instrText>
      </w:r>
      <w:r w:rsidRPr="002B6725">
        <w:rPr>
          <w:color w:val="000000"/>
        </w:rPr>
        <w:fldChar w:fldCharType="separate"/>
      </w:r>
      <w:r w:rsidRPr="002B6725" w:rsidR="002B6725">
        <w:rPr>
          <w:noProof/>
          <w:color w:val="000000"/>
        </w:rPr>
        <w:t>57</w:t>
      </w:r>
      <w:r w:rsidRPr="002B6725">
        <w:rPr>
          <w:color w:val="000000"/>
        </w:rPr>
        <w:fldChar w:fldCharType="end"/>
      </w:r>
      <w:r w:rsidRPr="002B6725">
        <w:rPr>
          <w:color w:val="000000"/>
        </w:rPr>
        <w:t>.  </w:t>
      </w:r>
      <w:r w:rsidRPr="002B6725" w:rsidR="00AC1B2C">
        <w:rPr>
          <w:color w:val="000000"/>
        </w:rPr>
        <w:t>In the</w:t>
      </w:r>
      <w:r w:rsidRPr="002B6725" w:rsidR="003B3B84">
        <w:rPr>
          <w:color w:val="000000"/>
        </w:rPr>
        <w:t xml:space="preserve">se </w:t>
      </w:r>
      <w:r w:rsidRPr="002B6725" w:rsidR="00AC1B2C">
        <w:rPr>
          <w:color w:val="000000"/>
        </w:rPr>
        <w:t>circumstances</w:t>
      </w:r>
      <w:r w:rsidRPr="002B6725" w:rsidR="00A532C7">
        <w:rPr>
          <w:color w:val="000000"/>
        </w:rPr>
        <w:t xml:space="preserve">, </w:t>
      </w:r>
      <w:r w:rsidRPr="002B6725" w:rsidR="00F164C5">
        <w:rPr>
          <w:color w:val="000000"/>
        </w:rPr>
        <w:t>h</w:t>
      </w:r>
      <w:r w:rsidRPr="002B6725" w:rsidR="00AC1B2C">
        <w:rPr>
          <w:color w:val="000000"/>
        </w:rPr>
        <w:t>aving examined all the material in its possession, the Court finds no basis on which to conclude that the medical assistance provided to the applicant</w:t>
      </w:r>
      <w:r w:rsidRPr="002B6725" w:rsidR="00F164C5">
        <w:rPr>
          <w:color w:val="000000"/>
        </w:rPr>
        <w:t xml:space="preserve"> </w:t>
      </w:r>
      <w:r w:rsidRPr="002B6725" w:rsidR="00163663">
        <w:rPr>
          <w:color w:val="000000"/>
        </w:rPr>
        <w:t xml:space="preserve">in </w:t>
      </w:r>
      <w:r w:rsidRPr="002B6725" w:rsidR="00F164C5">
        <w:rPr>
          <w:color w:val="000000"/>
        </w:rPr>
        <w:t>the SIZO</w:t>
      </w:r>
      <w:r w:rsidRPr="002B6725" w:rsidR="00AC1B2C">
        <w:rPr>
          <w:color w:val="000000"/>
        </w:rPr>
        <w:t xml:space="preserve"> was inadequate.</w:t>
      </w:r>
      <w:r w:rsidRPr="002B6725" w:rsidR="00FF5817">
        <w:rPr>
          <w:color w:val="000000"/>
        </w:rPr>
        <w:t xml:space="preserve"> </w:t>
      </w:r>
      <w:r w:rsidRPr="002B6725" w:rsidR="00F60FCF">
        <w:rPr>
          <w:color w:val="000000"/>
        </w:rPr>
        <w:t>I</w:t>
      </w:r>
      <w:r w:rsidRPr="002B6725" w:rsidR="0047322C">
        <w:rPr>
          <w:color w:val="000000"/>
        </w:rPr>
        <w:t xml:space="preserve">t therefore rejects this part of the application as </w:t>
      </w:r>
      <w:r w:rsidRPr="002B6725" w:rsidR="00845463">
        <w:rPr>
          <w:color w:val="000000"/>
        </w:rPr>
        <w:t>manifestly ill-founded in accordance with</w:t>
      </w:r>
      <w:r w:rsidRPr="002B6725" w:rsidR="00845463">
        <w:rPr>
          <w:rFonts w:ascii="Times New Roman" w:hAnsi="Times New Roman" w:eastAsia="Times New Roman" w:cs="Times New Roman"/>
          <w:szCs w:val="24"/>
          <w:lang w:val="en-GB" w:eastAsia="en-GB"/>
        </w:rPr>
        <w:t xml:space="preserve"> Article 35 §§ 3 (a) and 4 of the Convention.</w:t>
      </w:r>
    </w:p>
    <w:p w:rsidRPr="002B6725" w:rsidR="00014566" w:rsidP="002B6725" w:rsidRDefault="0074375A">
      <w:pPr>
        <w:pStyle w:val="ECHRHeading1"/>
        <w:rPr>
          <w:lang w:val="en-GB"/>
        </w:rPr>
      </w:pPr>
      <w:r w:rsidRPr="002B6725">
        <w:rPr>
          <w:lang w:val="en-GB"/>
        </w:rPr>
        <w:t>II</w:t>
      </w:r>
      <w:r w:rsidRPr="002B6725" w:rsidR="00014566">
        <w:rPr>
          <w:lang w:val="en-GB"/>
        </w:rPr>
        <w:t xml:space="preserve">.  ALLEGED VIOLATION OF ARTICLE </w:t>
      </w:r>
      <w:r w:rsidRPr="002B6725">
        <w:rPr>
          <w:lang w:val="en-GB"/>
        </w:rPr>
        <w:t>6</w:t>
      </w:r>
      <w:r w:rsidRPr="002B6725" w:rsidR="00014566">
        <w:rPr>
          <w:lang w:val="en-GB"/>
        </w:rPr>
        <w:t xml:space="preserve"> OF THE CONVENTION</w:t>
      </w:r>
    </w:p>
    <w:p w:rsidRPr="002B6725" w:rsidR="000508B7" w:rsidP="002B6725" w:rsidRDefault="00661526">
      <w:pPr>
        <w:pStyle w:val="ECHRPara"/>
        <w:rPr>
          <w:lang w:val="en-GB"/>
        </w:rPr>
      </w:pPr>
      <w:r w:rsidRPr="002B6725">
        <w:rPr>
          <w:lang w:val="en-GB"/>
        </w:rPr>
        <w:fldChar w:fldCharType="begin"/>
      </w:r>
      <w:r w:rsidRPr="002B6725">
        <w:rPr>
          <w:lang w:val="en-GB"/>
        </w:rPr>
        <w:instrText xml:space="preserve"> SEQ level0 \*arabic </w:instrText>
      </w:r>
      <w:r w:rsidRPr="002B6725">
        <w:rPr>
          <w:lang w:val="en-GB"/>
        </w:rPr>
        <w:fldChar w:fldCharType="separate"/>
      </w:r>
      <w:r w:rsidRPr="002B6725" w:rsidR="002B6725">
        <w:rPr>
          <w:noProof/>
          <w:lang w:val="en-GB"/>
        </w:rPr>
        <w:t>58</w:t>
      </w:r>
      <w:r w:rsidRPr="002B6725">
        <w:rPr>
          <w:lang w:val="en-GB"/>
        </w:rPr>
        <w:fldChar w:fldCharType="end"/>
      </w:r>
      <w:r w:rsidRPr="002B6725">
        <w:rPr>
          <w:lang w:val="en-GB"/>
        </w:rPr>
        <w:t>.  </w:t>
      </w:r>
      <w:r w:rsidRPr="002B6725" w:rsidR="00207B2D">
        <w:rPr>
          <w:lang w:val="en-GB"/>
        </w:rPr>
        <w:t xml:space="preserve">The applicant </w:t>
      </w:r>
      <w:r w:rsidRPr="002B6725" w:rsidR="00090EC0">
        <w:rPr>
          <w:lang w:val="en-GB"/>
        </w:rPr>
        <w:t xml:space="preserve">stated </w:t>
      </w:r>
      <w:r w:rsidRPr="002B6725" w:rsidR="00207B2D">
        <w:rPr>
          <w:lang w:val="en-GB"/>
        </w:rPr>
        <w:t>that his defence rights had been violated at the initial stage of the criminal proceedings.</w:t>
      </w:r>
      <w:r w:rsidRPr="002B6725" w:rsidR="000508B7">
        <w:rPr>
          <w:lang w:val="en-GB"/>
        </w:rPr>
        <w:t xml:space="preserve"> He relied on Article 6 of the Convention, the relevant parts of which provide:</w:t>
      </w:r>
    </w:p>
    <w:p w:rsidRPr="002B6725" w:rsidR="000508B7" w:rsidP="002B6725" w:rsidRDefault="000508B7">
      <w:pPr>
        <w:pStyle w:val="ECHRParaQuote"/>
      </w:pPr>
      <w:r w:rsidRPr="002B6725">
        <w:t>“1. In the determination of ... any criminal charge against him, everyone is entitled to a fair ... hearing ... by [a] ... tribunal ...</w:t>
      </w:r>
    </w:p>
    <w:p w:rsidRPr="002B6725" w:rsidR="000508B7" w:rsidP="002B6725" w:rsidRDefault="000508B7">
      <w:pPr>
        <w:pStyle w:val="ECHRParaQuote"/>
      </w:pPr>
      <w:r w:rsidRPr="002B6725">
        <w:t>3. Everyone charged with a criminal offence has the following minimum rights: ...</w:t>
      </w:r>
    </w:p>
    <w:p w:rsidRPr="002B6725" w:rsidR="000508B7" w:rsidP="002B6725" w:rsidRDefault="000508B7">
      <w:pPr>
        <w:pStyle w:val="ECHRParaQuote"/>
      </w:pPr>
      <w:r w:rsidRPr="002B6725">
        <w:t>(c) to defend himself in person or through legal assistance of his own choosing or, if he has not sufficient means to pay for legal assistance, to be given it free when the interests of justice so require; ...”</w:t>
      </w:r>
    </w:p>
    <w:p w:rsidRPr="002B6725" w:rsidR="006C791A" w:rsidP="002B6725" w:rsidRDefault="00C72699">
      <w:pPr>
        <w:pStyle w:val="ECHRHeading2"/>
      </w:pPr>
      <w:r w:rsidRPr="002B6725">
        <w:t>A.  </w:t>
      </w:r>
      <w:r w:rsidRPr="002B6725" w:rsidR="006C791A">
        <w:t>Admissibility</w:t>
      </w:r>
    </w:p>
    <w:p w:rsidRPr="002B6725" w:rsidR="00750D68" w:rsidP="002B6725" w:rsidRDefault="006C791A">
      <w:pPr>
        <w:pStyle w:val="ECHRPara"/>
        <w:rPr>
          <w:lang w:val="en-GB"/>
        </w:rPr>
      </w:pPr>
      <w:r w:rsidRPr="002B6725">
        <w:rPr>
          <w:lang w:val="en-GB"/>
        </w:rPr>
        <w:fldChar w:fldCharType="begin"/>
      </w:r>
      <w:r w:rsidRPr="002B6725">
        <w:rPr>
          <w:lang w:val="en-GB"/>
        </w:rPr>
        <w:instrText xml:space="preserve"> SEQ level0 \*arabic </w:instrText>
      </w:r>
      <w:r w:rsidRPr="002B6725">
        <w:rPr>
          <w:lang w:val="en-GB"/>
        </w:rPr>
        <w:fldChar w:fldCharType="separate"/>
      </w:r>
      <w:r w:rsidRPr="002B6725" w:rsidR="002B6725">
        <w:rPr>
          <w:noProof/>
          <w:lang w:val="en-GB"/>
        </w:rPr>
        <w:t>59</w:t>
      </w:r>
      <w:r w:rsidRPr="002B6725">
        <w:rPr>
          <w:lang w:val="en-GB"/>
        </w:rPr>
        <w:fldChar w:fldCharType="end"/>
      </w:r>
      <w:r w:rsidRPr="002B6725">
        <w:rPr>
          <w:lang w:val="en-GB"/>
        </w:rPr>
        <w:t xml:space="preserve">.  In his initial application to the Court </w:t>
      </w:r>
      <w:r w:rsidRPr="002B6725" w:rsidR="00D30C43">
        <w:rPr>
          <w:lang w:val="en-GB"/>
        </w:rPr>
        <w:t>t</w:t>
      </w:r>
      <w:r w:rsidRPr="002B6725">
        <w:rPr>
          <w:lang w:val="en-GB"/>
        </w:rPr>
        <w:t xml:space="preserve">he </w:t>
      </w:r>
      <w:r w:rsidRPr="002B6725" w:rsidR="00D30C43">
        <w:rPr>
          <w:lang w:val="en-GB"/>
        </w:rPr>
        <w:t xml:space="preserve">applicant </w:t>
      </w:r>
      <w:r w:rsidRPr="002B6725">
        <w:rPr>
          <w:lang w:val="en-GB"/>
        </w:rPr>
        <w:t xml:space="preserve">complained that he had not been allowed to have a confidential consultation with his lawyer prior to his interview at the police station on 1 June 2005. In his </w:t>
      </w:r>
      <w:r w:rsidRPr="002B6725">
        <w:t xml:space="preserve">observations lodged with the Court on 10 April 2013 </w:t>
      </w:r>
      <w:r w:rsidRPr="002B6725">
        <w:rPr>
          <w:lang w:val="en-GB"/>
        </w:rPr>
        <w:t>he submitted in addition that his first interview as a suspect had, in fact, taken place at the scene of the crime and no lawyer had been provided to him then despite his request for legal assistance.</w:t>
      </w:r>
    </w:p>
    <w:p w:rsidRPr="002B6725" w:rsidR="006C791A" w:rsidP="002B6725" w:rsidRDefault="006C791A">
      <w:pPr>
        <w:pStyle w:val="ECHRPara"/>
        <w:rPr>
          <w:lang w:val="en-GB"/>
        </w:rPr>
      </w:pPr>
      <w:r w:rsidRPr="002B6725">
        <w:rPr>
          <w:lang w:val="en-GB"/>
        </w:rPr>
        <w:fldChar w:fldCharType="begin"/>
      </w:r>
      <w:r w:rsidRPr="002B6725">
        <w:rPr>
          <w:lang w:val="en-GB"/>
        </w:rPr>
        <w:instrText xml:space="preserve"> SEQ level0 \*arabic </w:instrText>
      </w:r>
      <w:r w:rsidRPr="002B6725">
        <w:rPr>
          <w:lang w:val="en-GB"/>
        </w:rPr>
        <w:fldChar w:fldCharType="separate"/>
      </w:r>
      <w:r w:rsidRPr="002B6725" w:rsidR="002B6725">
        <w:rPr>
          <w:noProof/>
          <w:lang w:val="en-GB"/>
        </w:rPr>
        <w:t>60</w:t>
      </w:r>
      <w:r w:rsidRPr="002B6725">
        <w:rPr>
          <w:lang w:val="en-GB"/>
        </w:rPr>
        <w:fldChar w:fldCharType="end"/>
      </w:r>
      <w:r w:rsidRPr="002B6725">
        <w:rPr>
          <w:lang w:val="en-GB"/>
        </w:rPr>
        <w:t>.  The Government stated that the applicant had failed to exhaust domestic remedies for his complaint concerning the alleged failure to grant him a confidential meeting with his lawyer before the interview on 1 June 2005. In particular, in his appeal before the Supreme Court, the applicant had presented this complaint in a very general manner, without developing or substantiating it in any way.</w:t>
      </w:r>
    </w:p>
    <w:p w:rsidRPr="002B6725" w:rsidR="00750D68" w:rsidP="002B6725" w:rsidRDefault="006C791A">
      <w:pPr>
        <w:pStyle w:val="ECHRPara"/>
        <w:rPr>
          <w:lang w:val="en-GB"/>
        </w:rPr>
      </w:pPr>
      <w:r w:rsidRPr="002B6725">
        <w:rPr>
          <w:rFonts w:ascii="Times New Roman" w:hAnsi="Times New Roman" w:eastAsia="Times New Roman" w:cs="Times New Roman"/>
          <w:szCs w:val="24"/>
          <w:lang w:val="en-GB" w:eastAsia="en-GB"/>
        </w:rPr>
        <w:fldChar w:fldCharType="begin"/>
      </w:r>
      <w:r w:rsidRPr="002B6725">
        <w:rPr>
          <w:rFonts w:ascii="Times New Roman" w:hAnsi="Times New Roman" w:eastAsia="Times New Roman" w:cs="Times New Roman"/>
          <w:szCs w:val="24"/>
          <w:lang w:val="en-GB" w:eastAsia="en-GB"/>
        </w:rPr>
        <w:instrText xml:space="preserve"> SEQ level0 \*arabic </w:instrText>
      </w:r>
      <w:r w:rsidRPr="002B6725">
        <w:rPr>
          <w:rFonts w:ascii="Times New Roman" w:hAnsi="Times New Roman" w:eastAsia="Times New Roman" w:cs="Times New Roman"/>
          <w:szCs w:val="24"/>
          <w:lang w:val="en-GB" w:eastAsia="en-GB"/>
        </w:rPr>
        <w:fldChar w:fldCharType="separate"/>
      </w:r>
      <w:r w:rsidRPr="002B6725" w:rsidR="002B6725">
        <w:rPr>
          <w:rFonts w:ascii="Times New Roman" w:hAnsi="Times New Roman" w:eastAsia="Times New Roman" w:cs="Times New Roman"/>
          <w:noProof/>
          <w:szCs w:val="24"/>
          <w:lang w:val="en-GB" w:eastAsia="en-GB"/>
        </w:rPr>
        <w:t>61</w:t>
      </w:r>
      <w:r w:rsidRPr="002B6725">
        <w:rPr>
          <w:rFonts w:ascii="Times New Roman" w:hAnsi="Times New Roman" w:eastAsia="Times New Roman" w:cs="Times New Roman"/>
          <w:szCs w:val="24"/>
          <w:lang w:val="en-GB" w:eastAsia="en-GB"/>
        </w:rPr>
        <w:fldChar w:fldCharType="end"/>
      </w:r>
      <w:r w:rsidRPr="002B6725">
        <w:rPr>
          <w:rFonts w:ascii="Times New Roman" w:hAnsi="Times New Roman" w:eastAsia="Times New Roman" w:cs="Times New Roman"/>
          <w:szCs w:val="24"/>
          <w:lang w:val="en-GB" w:eastAsia="en-GB"/>
        </w:rPr>
        <w:t>.  The applicant contested those arguments. He submitted that he and his lawyers had raised</w:t>
      </w:r>
      <w:r w:rsidRPr="002B6725">
        <w:rPr>
          <w:lang w:val="en-GB"/>
        </w:rPr>
        <w:t xml:space="preserve"> the relevant issues during the hearings before the domestic courts but to no avail.</w:t>
      </w:r>
    </w:p>
    <w:p w:rsidRPr="002B6725" w:rsidR="006C791A" w:rsidP="002B6725" w:rsidRDefault="006C791A">
      <w:pPr>
        <w:pStyle w:val="ECHRPara"/>
        <w:rPr>
          <w:lang w:val="en-GB"/>
        </w:rPr>
      </w:pPr>
      <w:r w:rsidRPr="002B6725">
        <w:rPr>
          <w:lang w:val="en-GB"/>
        </w:rPr>
        <w:fldChar w:fldCharType="begin"/>
      </w:r>
      <w:r w:rsidRPr="002B6725">
        <w:rPr>
          <w:lang w:val="en-GB"/>
        </w:rPr>
        <w:instrText xml:space="preserve"> SEQ level0 \*arabic </w:instrText>
      </w:r>
      <w:r w:rsidRPr="002B6725">
        <w:rPr>
          <w:lang w:val="en-GB"/>
        </w:rPr>
        <w:fldChar w:fldCharType="separate"/>
      </w:r>
      <w:r w:rsidRPr="002B6725" w:rsidR="002B6725">
        <w:rPr>
          <w:noProof/>
          <w:lang w:val="en-GB"/>
        </w:rPr>
        <w:t>62</w:t>
      </w:r>
      <w:r w:rsidRPr="002B6725">
        <w:rPr>
          <w:lang w:val="en-GB"/>
        </w:rPr>
        <w:fldChar w:fldCharType="end"/>
      </w:r>
      <w:r w:rsidRPr="002B6725">
        <w:rPr>
          <w:lang w:val="en-GB"/>
        </w:rPr>
        <w:t xml:space="preserve">.  The Court notes at the outset that </w:t>
      </w:r>
      <w:r w:rsidRPr="002B6725">
        <w:t>the applicant</w:t>
      </w:r>
      <w:r w:rsidRPr="002B6725" w:rsidR="002B6725">
        <w:t>’</w:t>
      </w:r>
      <w:r w:rsidRPr="002B6725">
        <w:t>s additional complaint concerning the lack of legal assistance during his alleged first interview at the scene of crime was lodged before the Court for the first time in 2013, in his comments in reply to the Government</w:t>
      </w:r>
      <w:r w:rsidRPr="002B6725" w:rsidR="002B6725">
        <w:t>’</w:t>
      </w:r>
      <w:r w:rsidRPr="002B6725">
        <w:t>s observations, that is to say more than six month</w:t>
      </w:r>
      <w:r w:rsidRPr="002B6725" w:rsidR="00D76A5A">
        <w:t>s</w:t>
      </w:r>
      <w:r w:rsidRPr="002B6725">
        <w:t xml:space="preserve"> after the final decision by the Supreme Court in the criminal proceedings against the applicant had been taken (November 2006). </w:t>
      </w:r>
      <w:r w:rsidRPr="002B6725">
        <w:rPr>
          <w:lang w:val="en-GB"/>
        </w:rPr>
        <w:t>It therefore finds that this part of the application must be rejected, in accordance with Article 35 §§ 1 and 4 of the Convention, as being introduced out of time.</w:t>
      </w:r>
    </w:p>
    <w:p w:rsidRPr="002B6725" w:rsidR="006C791A" w:rsidP="002B6725" w:rsidRDefault="006C791A">
      <w:pPr>
        <w:pStyle w:val="ECHRPara"/>
        <w:rPr>
          <w:rFonts w:ascii="Times New Roman" w:hAnsi="Times New Roman" w:eastAsia="Times New Roman" w:cs="Times New Roman"/>
          <w:szCs w:val="24"/>
          <w:lang w:val="en-GB" w:eastAsia="en-GB"/>
        </w:rPr>
      </w:pPr>
      <w:r w:rsidRPr="002B6725">
        <w:rPr>
          <w:lang w:val="en-GB"/>
        </w:rPr>
        <w:fldChar w:fldCharType="begin"/>
      </w:r>
      <w:r w:rsidRPr="002B6725">
        <w:rPr>
          <w:lang w:val="en-GB"/>
        </w:rPr>
        <w:instrText xml:space="preserve"> SEQ level0 \*arabic </w:instrText>
      </w:r>
      <w:r w:rsidRPr="002B6725">
        <w:rPr>
          <w:lang w:val="en-GB"/>
        </w:rPr>
        <w:fldChar w:fldCharType="separate"/>
      </w:r>
      <w:r w:rsidRPr="002B6725" w:rsidR="002B6725">
        <w:rPr>
          <w:noProof/>
          <w:lang w:val="en-GB"/>
        </w:rPr>
        <w:t>63</w:t>
      </w:r>
      <w:r w:rsidRPr="002B6725">
        <w:rPr>
          <w:lang w:val="en-GB"/>
        </w:rPr>
        <w:fldChar w:fldCharType="end"/>
      </w:r>
      <w:r w:rsidRPr="002B6725">
        <w:rPr>
          <w:lang w:val="en-GB"/>
        </w:rPr>
        <w:t>.  As regards the alleged refusal to allow the applicant to confer privately with his lawyer before being questioned on 1 June 2005, the Court observes that the applicant did raise this complaint, although indeed in a rather general way, in his appeal before the Supreme Court. Furthermore, although there is no evidence in support of the applicant</w:t>
      </w:r>
      <w:r w:rsidRPr="002B6725" w:rsidR="002B6725">
        <w:rPr>
          <w:lang w:val="en-GB"/>
        </w:rPr>
        <w:t>’</w:t>
      </w:r>
      <w:r w:rsidRPr="002B6725">
        <w:rPr>
          <w:lang w:val="en-GB"/>
        </w:rPr>
        <w:t>s statement that the relevant complaint had been raised during the court hearings, the Court cannot but note that the Government eventually did not deny or comment in any way on this counterargument of the applicant. It therefore cannot be said, as alleged by the Government, that the authorities had not been sufficiently informed of the applicant</w:t>
      </w:r>
      <w:r w:rsidRPr="002B6725" w:rsidR="002B6725">
        <w:rPr>
          <w:lang w:val="en-GB"/>
        </w:rPr>
        <w:t>’</w:t>
      </w:r>
      <w:r w:rsidRPr="002B6725">
        <w:rPr>
          <w:lang w:val="en-GB"/>
        </w:rPr>
        <w:t xml:space="preserve">s grievance. </w:t>
      </w:r>
      <w:r w:rsidRPr="002B6725">
        <w:rPr>
          <w:rFonts w:ascii="Times New Roman" w:hAnsi="Times New Roman" w:eastAsia="Times New Roman" w:cs="Times New Roman"/>
          <w:szCs w:val="24"/>
          <w:lang w:val="en-GB" w:eastAsia="en-GB"/>
        </w:rPr>
        <w:t>The Court therefore rejects the objection by the Government.</w:t>
      </w:r>
    </w:p>
    <w:p w:rsidRPr="002B6725" w:rsidR="006C791A" w:rsidP="002B6725" w:rsidRDefault="006C791A">
      <w:pPr>
        <w:pStyle w:val="ECHRPara"/>
        <w:rPr>
          <w:lang w:val="en-GB"/>
        </w:rPr>
      </w:pPr>
      <w:r w:rsidRPr="002B6725">
        <w:rPr>
          <w:lang w:val="en-GB"/>
        </w:rPr>
        <w:fldChar w:fldCharType="begin"/>
      </w:r>
      <w:r w:rsidRPr="002B6725">
        <w:rPr>
          <w:lang w:val="en-GB"/>
        </w:rPr>
        <w:instrText xml:space="preserve"> SEQ level0 \*arabic </w:instrText>
      </w:r>
      <w:r w:rsidRPr="002B6725">
        <w:rPr>
          <w:lang w:val="en-GB"/>
        </w:rPr>
        <w:fldChar w:fldCharType="separate"/>
      </w:r>
      <w:r w:rsidRPr="002B6725" w:rsidR="002B6725">
        <w:rPr>
          <w:noProof/>
          <w:lang w:val="en-GB"/>
        </w:rPr>
        <w:t>64</w:t>
      </w:r>
      <w:r w:rsidRPr="002B6725">
        <w:rPr>
          <w:lang w:val="en-GB"/>
        </w:rPr>
        <w:fldChar w:fldCharType="end"/>
      </w:r>
      <w:r w:rsidRPr="002B6725">
        <w:rPr>
          <w:lang w:val="en-GB"/>
        </w:rPr>
        <w:t>.  It further notes that this complaint is not manifestly ill-founded within the meaning of Article 35 § 3 (a) of the Convention or inadmissible on any other grounds and must therefore be declared admissible.</w:t>
      </w:r>
    </w:p>
    <w:p w:rsidRPr="002B6725" w:rsidR="006C791A" w:rsidP="002B6725" w:rsidRDefault="00C72699">
      <w:pPr>
        <w:pStyle w:val="ECHRHeading2"/>
      </w:pPr>
      <w:r w:rsidRPr="002B6725">
        <w:t>B.  </w:t>
      </w:r>
      <w:r w:rsidRPr="002B6725" w:rsidR="006C791A">
        <w:t>Merits</w:t>
      </w:r>
    </w:p>
    <w:p w:rsidRPr="002B6725" w:rsidR="00750D68" w:rsidP="002B6725" w:rsidRDefault="00661526">
      <w:pPr>
        <w:pStyle w:val="ECHRPara"/>
        <w:rPr>
          <w:lang w:val="en-GB"/>
        </w:rPr>
      </w:pPr>
      <w:r w:rsidRPr="002B6725">
        <w:rPr>
          <w:lang w:val="en-GB"/>
        </w:rPr>
        <w:fldChar w:fldCharType="begin"/>
      </w:r>
      <w:r w:rsidRPr="002B6725">
        <w:rPr>
          <w:lang w:val="en-GB"/>
        </w:rPr>
        <w:instrText xml:space="preserve"> SEQ level0 \*arabic </w:instrText>
      </w:r>
      <w:r w:rsidRPr="002B6725">
        <w:rPr>
          <w:lang w:val="en-GB"/>
        </w:rPr>
        <w:fldChar w:fldCharType="separate"/>
      </w:r>
      <w:r w:rsidRPr="002B6725" w:rsidR="002B6725">
        <w:rPr>
          <w:noProof/>
          <w:lang w:val="en-GB"/>
        </w:rPr>
        <w:t>65</w:t>
      </w:r>
      <w:r w:rsidRPr="002B6725">
        <w:rPr>
          <w:lang w:val="en-GB"/>
        </w:rPr>
        <w:fldChar w:fldCharType="end"/>
      </w:r>
      <w:r w:rsidRPr="002B6725">
        <w:rPr>
          <w:lang w:val="en-GB"/>
        </w:rPr>
        <w:t>.  </w:t>
      </w:r>
      <w:r w:rsidRPr="002B6725" w:rsidR="00E47F46">
        <w:rPr>
          <w:lang w:val="en-GB"/>
        </w:rPr>
        <w:t>The applicant maintained</w:t>
      </w:r>
      <w:r w:rsidRPr="002B6725" w:rsidR="00C356F1">
        <w:rPr>
          <w:lang w:val="en-GB"/>
        </w:rPr>
        <w:t xml:space="preserve"> that he had been denied a confidential talk with his lawyer before being questioned on 1 June 2005.</w:t>
      </w:r>
    </w:p>
    <w:p w:rsidRPr="002B6725" w:rsidR="00750D68" w:rsidP="002B6725" w:rsidRDefault="002B537D">
      <w:pPr>
        <w:pStyle w:val="ECHRPara"/>
      </w:pPr>
      <w:r w:rsidRPr="002B6725">
        <w:rPr>
          <w:lang w:val="en-GB"/>
        </w:rPr>
        <w:fldChar w:fldCharType="begin"/>
      </w:r>
      <w:r w:rsidRPr="002B6725">
        <w:rPr>
          <w:lang w:val="en-GB"/>
        </w:rPr>
        <w:instrText xml:space="preserve"> SEQ level0 \*arabic </w:instrText>
      </w:r>
      <w:r w:rsidRPr="002B6725">
        <w:rPr>
          <w:lang w:val="en-GB"/>
        </w:rPr>
        <w:fldChar w:fldCharType="separate"/>
      </w:r>
      <w:r w:rsidRPr="002B6725" w:rsidR="002B6725">
        <w:rPr>
          <w:noProof/>
          <w:lang w:val="en-GB"/>
        </w:rPr>
        <w:t>66</w:t>
      </w:r>
      <w:r w:rsidRPr="002B6725">
        <w:rPr>
          <w:lang w:val="en-GB"/>
        </w:rPr>
        <w:fldChar w:fldCharType="end"/>
      </w:r>
      <w:r w:rsidRPr="002B6725">
        <w:rPr>
          <w:lang w:val="en-GB"/>
        </w:rPr>
        <w:t>.  </w:t>
      </w:r>
      <w:r w:rsidRPr="002B6725" w:rsidR="00E47F46">
        <w:rPr>
          <w:lang w:val="en-GB"/>
        </w:rPr>
        <w:t>The Government submitted that the applicant</w:t>
      </w:r>
      <w:r w:rsidRPr="002B6725" w:rsidR="002B6725">
        <w:rPr>
          <w:lang w:val="en-GB"/>
        </w:rPr>
        <w:t>’</w:t>
      </w:r>
      <w:r w:rsidRPr="002B6725" w:rsidR="00E47F46">
        <w:rPr>
          <w:lang w:val="en-GB"/>
        </w:rPr>
        <w:t>s right to legal assistance had not been violated</w:t>
      </w:r>
      <w:r w:rsidRPr="002B6725" w:rsidR="00CE6136">
        <w:rPr>
          <w:lang w:val="en-GB"/>
        </w:rPr>
        <w:t xml:space="preserve">. </w:t>
      </w:r>
      <w:r w:rsidRPr="002B6725" w:rsidR="006D6B9C">
        <w:rPr>
          <w:lang w:val="en-GB"/>
        </w:rPr>
        <w:t xml:space="preserve">In particular, he had been informed of his procedural rights from the beginning of his arrest and </w:t>
      </w:r>
      <w:r w:rsidRPr="002B6725" w:rsidR="008515C6">
        <w:rPr>
          <w:lang w:val="en-GB"/>
        </w:rPr>
        <w:t>made all his statements on his own free will. He was provided with a lawyer of his wish once request</w:t>
      </w:r>
      <w:r w:rsidRPr="002B6725" w:rsidR="00952315">
        <w:rPr>
          <w:lang w:val="en-GB"/>
        </w:rPr>
        <w:t>ed</w:t>
      </w:r>
      <w:r w:rsidRPr="002B6725" w:rsidR="008515C6">
        <w:rPr>
          <w:lang w:val="en-GB"/>
        </w:rPr>
        <w:t xml:space="preserve"> and was legally represented </w:t>
      </w:r>
      <w:r w:rsidRPr="002B6725" w:rsidR="009F3C4E">
        <w:rPr>
          <w:lang w:val="en-GB"/>
        </w:rPr>
        <w:t xml:space="preserve">by professional lawyers </w:t>
      </w:r>
      <w:r w:rsidRPr="002B6725" w:rsidR="008515C6">
        <w:rPr>
          <w:lang w:val="en-GB"/>
        </w:rPr>
        <w:t xml:space="preserve">throughout the proceedings. </w:t>
      </w:r>
      <w:r w:rsidRPr="002B6725" w:rsidR="00462FF7">
        <w:rPr>
          <w:lang w:val="en-GB"/>
        </w:rPr>
        <w:t xml:space="preserve">The lawyers </w:t>
      </w:r>
      <w:r w:rsidRPr="002B6725" w:rsidR="009F3C4E">
        <w:rPr>
          <w:lang w:val="en-GB"/>
        </w:rPr>
        <w:t xml:space="preserve">did not </w:t>
      </w:r>
      <w:r w:rsidRPr="002B6725" w:rsidR="00491E84">
        <w:rPr>
          <w:lang w:val="en-GB"/>
        </w:rPr>
        <w:t xml:space="preserve">raise complaints regarding violation of the </w:t>
      </w:r>
      <w:r w:rsidRPr="002B6725" w:rsidR="006A2703">
        <w:rPr>
          <w:lang w:val="en-GB"/>
        </w:rPr>
        <w:t>applicant</w:t>
      </w:r>
      <w:r w:rsidRPr="002B6725" w:rsidR="002B6725">
        <w:rPr>
          <w:lang w:val="en-GB"/>
        </w:rPr>
        <w:t>’</w:t>
      </w:r>
      <w:r w:rsidRPr="002B6725" w:rsidR="006A2703">
        <w:rPr>
          <w:lang w:val="en-GB"/>
        </w:rPr>
        <w:t>s</w:t>
      </w:r>
      <w:r w:rsidRPr="002B6725" w:rsidR="00491E84">
        <w:rPr>
          <w:lang w:val="en-GB"/>
        </w:rPr>
        <w:t xml:space="preserve"> defence rights.</w:t>
      </w:r>
      <w:r w:rsidRPr="002B6725" w:rsidR="009F3C4E">
        <w:rPr>
          <w:lang w:val="en-GB"/>
        </w:rPr>
        <w:t xml:space="preserve"> </w:t>
      </w:r>
      <w:r w:rsidRPr="002B6725" w:rsidR="00A24921">
        <w:rPr>
          <w:lang w:val="en-GB"/>
        </w:rPr>
        <w:t>T</w:t>
      </w:r>
      <w:r w:rsidRPr="002B6725" w:rsidR="00894DF9">
        <w:rPr>
          <w:lang w:val="en-GB"/>
        </w:rPr>
        <w:t xml:space="preserve">he </w:t>
      </w:r>
      <w:r w:rsidRPr="002B6725" w:rsidR="008515C6">
        <w:rPr>
          <w:lang w:val="en-GB"/>
        </w:rPr>
        <w:t xml:space="preserve">Government further </w:t>
      </w:r>
      <w:r w:rsidRPr="002B6725" w:rsidR="00491E84">
        <w:rPr>
          <w:lang w:val="en-GB"/>
        </w:rPr>
        <w:t>submitted that</w:t>
      </w:r>
      <w:r w:rsidRPr="002B6725" w:rsidR="00A24921">
        <w:rPr>
          <w:lang w:val="en-GB"/>
        </w:rPr>
        <w:t xml:space="preserve"> </w:t>
      </w:r>
      <w:r w:rsidRPr="002B6725" w:rsidR="00491E84">
        <w:rPr>
          <w:lang w:val="en-GB"/>
        </w:rPr>
        <w:t xml:space="preserve">the applicant had never </w:t>
      </w:r>
      <w:r w:rsidRPr="002B6725" w:rsidR="00A24921">
        <w:rPr>
          <w:lang w:val="en-GB"/>
        </w:rPr>
        <w:t xml:space="preserve">made </w:t>
      </w:r>
      <w:r w:rsidRPr="002B6725" w:rsidR="00491E84">
        <w:rPr>
          <w:lang w:val="en-GB"/>
        </w:rPr>
        <w:t>self-inc</w:t>
      </w:r>
      <w:r w:rsidRPr="002B6725" w:rsidR="00A24921">
        <w:rPr>
          <w:lang w:val="en-GB"/>
        </w:rPr>
        <w:t>riminating statements, had always pleaded not guilty and had never changed his position or version of events. His conviction was based on a number of evidence gathered by the prosecution</w:t>
      </w:r>
      <w:r w:rsidRPr="002B6725" w:rsidR="006D1C32">
        <w:rPr>
          <w:lang w:val="en-GB"/>
        </w:rPr>
        <w:t xml:space="preserve"> which had been found reliable by courts of three instances. The Government finally noted that the applicant had failed to explain, both at the domestic level and before the Court, what were the consequence</w:t>
      </w:r>
      <w:r w:rsidRPr="002B6725" w:rsidR="00224516">
        <w:rPr>
          <w:lang w:val="en-GB"/>
        </w:rPr>
        <w:t>s</w:t>
      </w:r>
      <w:r w:rsidRPr="002B6725" w:rsidR="006D1C32">
        <w:rPr>
          <w:lang w:val="en-GB"/>
        </w:rPr>
        <w:t xml:space="preserve"> of the alleged impossibility to talk with his lawyer before the questioning on the fairness of the proceedings. </w:t>
      </w:r>
      <w:r w:rsidRPr="002B6725" w:rsidR="008515C6">
        <w:rPr>
          <w:lang w:val="en-GB"/>
        </w:rPr>
        <w:t>The</w:t>
      </w:r>
      <w:r w:rsidRPr="002B6725" w:rsidR="006D1C32">
        <w:rPr>
          <w:lang w:val="en-GB"/>
        </w:rPr>
        <w:t>y</w:t>
      </w:r>
      <w:r w:rsidRPr="002B6725" w:rsidR="008515C6">
        <w:rPr>
          <w:lang w:val="en-GB"/>
        </w:rPr>
        <w:t xml:space="preserve"> </w:t>
      </w:r>
      <w:r w:rsidRPr="002B6725" w:rsidR="006D1C32">
        <w:rPr>
          <w:lang w:val="en-GB"/>
        </w:rPr>
        <w:t xml:space="preserve">concluded that </w:t>
      </w:r>
      <w:r w:rsidRPr="002B6725" w:rsidR="00E47F46">
        <w:rPr>
          <w:lang w:val="en-GB"/>
        </w:rPr>
        <w:t xml:space="preserve">the proceedings had been fair and </w:t>
      </w:r>
      <w:r w:rsidRPr="002B6725" w:rsidR="006D1C32">
        <w:rPr>
          <w:lang w:val="en-GB"/>
        </w:rPr>
        <w:t xml:space="preserve">that </w:t>
      </w:r>
      <w:r w:rsidRPr="002B6725" w:rsidR="00E47F46">
        <w:rPr>
          <w:lang w:val="en-GB"/>
        </w:rPr>
        <w:t xml:space="preserve">there had been no violation of </w:t>
      </w:r>
      <w:r w:rsidRPr="002B6725" w:rsidR="00E47F46">
        <w:t>Article 6</w:t>
      </w:r>
      <w:r w:rsidRPr="002B6725" w:rsidR="00E47F46">
        <w:rPr>
          <w:lang w:val="en-GB"/>
        </w:rPr>
        <w:t> §§ 1 and 3 (c) of the Convention.</w:t>
      </w:r>
    </w:p>
    <w:p w:rsidRPr="002B6725" w:rsidR="00E47F46" w:rsidP="002B6725" w:rsidRDefault="00E47F46">
      <w:pPr>
        <w:pStyle w:val="ECHRPara"/>
        <w:rPr>
          <w:i/>
          <w:lang w:val="en-GB"/>
        </w:rPr>
      </w:pPr>
      <w:r w:rsidRPr="002B6725">
        <w:rPr>
          <w:lang w:val="en-GB"/>
        </w:rPr>
        <w:fldChar w:fldCharType="begin"/>
      </w:r>
      <w:r w:rsidRPr="002B6725">
        <w:rPr>
          <w:lang w:val="en-GB"/>
        </w:rPr>
        <w:instrText xml:space="preserve"> SEQ level0 \*arabic </w:instrText>
      </w:r>
      <w:r w:rsidRPr="002B6725">
        <w:rPr>
          <w:lang w:val="en-GB"/>
        </w:rPr>
        <w:fldChar w:fldCharType="separate"/>
      </w:r>
      <w:r w:rsidRPr="002B6725" w:rsidR="002B6725">
        <w:rPr>
          <w:noProof/>
          <w:lang w:val="en-GB"/>
        </w:rPr>
        <w:t>67</w:t>
      </w:r>
      <w:r w:rsidRPr="002B6725">
        <w:rPr>
          <w:lang w:val="en-GB"/>
        </w:rPr>
        <w:fldChar w:fldCharType="end"/>
      </w:r>
      <w:r w:rsidRPr="002B6725">
        <w:rPr>
          <w:lang w:val="en-GB"/>
        </w:rPr>
        <w:t xml:space="preserve">. The Court reiterates that access to a lawyer should be provided from the first time a suspect is questioned by the police, unless it is demonstrated, in the light of the particular circumstances of each case, that there are compelling reasons to restrict this right. Even where compelling reasons may exceptionally justify denial of access to a lawyer, such a restriction – whatever its justification – must not unduly prejudice the rights of the accused under Article 6. The rights of the defence will, in principle, be irretrievably prejudiced when incriminating statements made during questioning by police without access to a lawyer are used for a conviction. Accordingly, the </w:t>
      </w:r>
      <w:r w:rsidRPr="002B6725">
        <w:t>test for assessing whether a restriction on access to a lawyer is compatible with the right to a fair trial is composed of two stages. In the first stage the Court must assess whether there were compelling reasons for the restriction. In the second stage, it must evaluate the prejudice caused to the rights of the defence by the restriction in the case in question</w:t>
      </w:r>
      <w:r w:rsidRPr="002B6725" w:rsidR="006E0122">
        <w:t>. In other words, the Court must examine the impact of the restriction on the overall fairness of the proceedings and decide whether the proceedings as a whole were fair</w:t>
      </w:r>
      <w:r w:rsidRPr="002B6725">
        <w:rPr>
          <w:lang w:val="en-GB"/>
        </w:rPr>
        <w:t xml:space="preserve"> (see </w:t>
      </w:r>
      <w:r w:rsidRPr="002B6725">
        <w:rPr>
          <w:i/>
          <w:snapToGrid w:val="0"/>
        </w:rPr>
        <w:t xml:space="preserve">Ibrahim and Others v. the United Kingdom </w:t>
      </w:r>
      <w:r w:rsidRPr="002B6725" w:rsidR="006444A1">
        <w:rPr>
          <w:snapToGrid w:val="0"/>
        </w:rPr>
        <w:t>[GC], nos. </w:t>
      </w:r>
      <w:r w:rsidRPr="002B6725">
        <w:rPr>
          <w:snapToGrid w:val="0"/>
        </w:rPr>
        <w:t xml:space="preserve">50541/08, 50571/08, 50573/08 and 40351/09, §§ 256 and 257, </w:t>
      </w:r>
      <w:r w:rsidRPr="002B6725">
        <w:t>13</w:t>
      </w:r>
      <w:r w:rsidRPr="002B6725" w:rsidR="006444A1">
        <w:rPr>
          <w:snapToGrid w:val="0"/>
        </w:rPr>
        <w:t> </w:t>
      </w:r>
      <w:r w:rsidRPr="002B6725">
        <w:rPr>
          <w:snapToGrid w:val="0"/>
        </w:rPr>
        <w:t>September 2016</w:t>
      </w:r>
      <w:r w:rsidRPr="002B6725">
        <w:rPr>
          <w:lang w:val="en-GB"/>
        </w:rPr>
        <w:t xml:space="preserve">). </w:t>
      </w:r>
      <w:r w:rsidRPr="002B6725">
        <w:t>Where there are no compelling reasons for restricting access to legal advice, the Court must apply a very strict scrutiny to its fairness assessment. The onus will be on the Government to demonstrate convincingly why, exceptionally and in the specific circumstances of the case, the overall fairness of the trial was not irretrievably prejudiced by the restriction on access to legal advice (ibid., § 265).</w:t>
      </w:r>
    </w:p>
    <w:p w:rsidRPr="002B6725" w:rsidR="008D7B7F" w:rsidP="002B6725" w:rsidRDefault="00E47F46">
      <w:pPr>
        <w:pStyle w:val="ECHRPara"/>
      </w:pPr>
      <w:r w:rsidRPr="002B6725">
        <w:rPr>
          <w:lang w:val="en-GB"/>
        </w:rPr>
        <w:fldChar w:fldCharType="begin"/>
      </w:r>
      <w:r w:rsidRPr="002B6725">
        <w:rPr>
          <w:lang w:val="en-GB"/>
        </w:rPr>
        <w:instrText xml:space="preserve"> SEQ level0 \*arabic </w:instrText>
      </w:r>
      <w:r w:rsidRPr="002B6725">
        <w:rPr>
          <w:lang w:val="en-GB"/>
        </w:rPr>
        <w:fldChar w:fldCharType="separate"/>
      </w:r>
      <w:r w:rsidRPr="002B6725" w:rsidR="002B6725">
        <w:rPr>
          <w:noProof/>
          <w:lang w:val="en-GB"/>
        </w:rPr>
        <w:t>68</w:t>
      </w:r>
      <w:r w:rsidRPr="002B6725">
        <w:rPr>
          <w:lang w:val="en-GB"/>
        </w:rPr>
        <w:fldChar w:fldCharType="end"/>
      </w:r>
      <w:r w:rsidRPr="002B6725">
        <w:rPr>
          <w:lang w:val="en-GB"/>
        </w:rPr>
        <w:t>. </w:t>
      </w:r>
      <w:r w:rsidRPr="002B6725" w:rsidR="00F60ADA">
        <w:t xml:space="preserve">The Court observes, and this is not in dispute, that in the present case </w:t>
      </w:r>
      <w:r w:rsidRPr="002B6725" w:rsidR="000564F8">
        <w:t xml:space="preserve">during the interview referred to by the applicant and onwards throughout the proceedings he </w:t>
      </w:r>
      <w:r w:rsidRPr="002B6725" w:rsidR="00F60ADA">
        <w:t>was legally represented</w:t>
      </w:r>
      <w:r w:rsidRPr="002B6725" w:rsidR="000564F8">
        <w:t>. Likewise, it is apparent from the case file, including the applicant</w:t>
      </w:r>
      <w:r w:rsidRPr="002B6725" w:rsidR="002B6725">
        <w:t>’</w:t>
      </w:r>
      <w:r w:rsidRPr="002B6725" w:rsidR="000564F8">
        <w:t xml:space="preserve">s own </w:t>
      </w:r>
      <w:r w:rsidRPr="002B6725" w:rsidR="008D7B7F">
        <w:t>submissions, that</w:t>
      </w:r>
      <w:r w:rsidRPr="002B6725" w:rsidR="000564F8">
        <w:t xml:space="preserve"> </w:t>
      </w:r>
      <w:r w:rsidRPr="002B6725" w:rsidR="00C356F1">
        <w:t xml:space="preserve">his </w:t>
      </w:r>
      <w:r w:rsidRPr="002B6725" w:rsidR="008D7B7F">
        <w:t xml:space="preserve">earlier statements regarding the incident </w:t>
      </w:r>
      <w:r w:rsidRPr="002B6725" w:rsidR="00C356F1">
        <w:t xml:space="preserve">had been </w:t>
      </w:r>
      <w:r w:rsidRPr="002B6725" w:rsidR="008D7B7F">
        <w:t xml:space="preserve">made to the police </w:t>
      </w:r>
      <w:r w:rsidRPr="002B6725" w:rsidR="000564F8">
        <w:t>of his own free will.</w:t>
      </w:r>
      <w:r w:rsidRPr="002B6725" w:rsidR="00F60ADA">
        <w:t xml:space="preserve"> </w:t>
      </w:r>
      <w:r w:rsidRPr="002B6725" w:rsidR="000564F8">
        <w:t>The essence of the applicant</w:t>
      </w:r>
      <w:r w:rsidRPr="002B6725" w:rsidR="002B6725">
        <w:t>’</w:t>
      </w:r>
      <w:r w:rsidRPr="002B6725" w:rsidR="000564F8">
        <w:t xml:space="preserve">s complaint is that he had been denied a private conversation with the lawyer before the interview </w:t>
      </w:r>
      <w:r w:rsidRPr="002B6725" w:rsidR="008D7B7F">
        <w:t xml:space="preserve">of 1 June 2005 </w:t>
      </w:r>
      <w:r w:rsidRPr="002B6725" w:rsidR="000564F8">
        <w:t>started</w:t>
      </w:r>
      <w:r w:rsidRPr="002B6725" w:rsidR="00D564B5">
        <w:t xml:space="preserve"> (see paragraph 7 above).</w:t>
      </w:r>
    </w:p>
    <w:p w:rsidRPr="002B6725" w:rsidR="00750D68" w:rsidP="002B6725" w:rsidRDefault="002B6725">
      <w:pPr>
        <w:pStyle w:val="ECHRPara"/>
      </w:pPr>
      <w:fldSimple w:instr=" SEQ level0 \*arabic ">
        <w:r w:rsidRPr="002B6725">
          <w:rPr>
            <w:noProof/>
          </w:rPr>
          <w:t>69</w:t>
        </w:r>
      </w:fldSimple>
      <w:r w:rsidRPr="002B6725" w:rsidR="002B537D">
        <w:t>.  </w:t>
      </w:r>
      <w:r w:rsidRPr="002B6725" w:rsidR="00DC77AD">
        <w:t>The Court observes that it has previously held that confidential communication with one</w:t>
      </w:r>
      <w:r w:rsidRPr="002B6725">
        <w:t>’</w:t>
      </w:r>
      <w:r w:rsidRPr="002B6725" w:rsidR="00DC77AD">
        <w:t xml:space="preserve">s lawyer is </w:t>
      </w:r>
      <w:r w:rsidRPr="002B6725" w:rsidR="006E0122">
        <w:t xml:space="preserve">part of the basic requirements of a fair trial in a democratic society and </w:t>
      </w:r>
      <w:r w:rsidRPr="002B6725" w:rsidR="00DC77AD">
        <w:t>an important safeguard of the rights of the defence</w:t>
      </w:r>
      <w:r w:rsidRPr="002B6725" w:rsidR="006E0122">
        <w:t xml:space="preserve"> which follows from Article 6 para. 3 (c) of the Convention</w:t>
      </w:r>
      <w:r w:rsidRPr="002B6725" w:rsidR="00DC77AD">
        <w:t xml:space="preserve"> (see, for instance,</w:t>
      </w:r>
      <w:r w:rsidRPr="002B6725" w:rsidR="006E0122">
        <w:t xml:space="preserve"> </w:t>
      </w:r>
      <w:r w:rsidRPr="002B6725" w:rsidR="006E0122">
        <w:rPr>
          <w:i/>
        </w:rPr>
        <w:t>S. v. Switzerland</w:t>
      </w:r>
      <w:r w:rsidRPr="002B6725" w:rsidR="006E0122">
        <w:t>, 28 November 1991, § 48, Series A no. 220;</w:t>
      </w:r>
      <w:r w:rsidRPr="002B6725" w:rsidR="00DC77AD">
        <w:t xml:space="preserve"> </w:t>
      </w:r>
      <w:r w:rsidRPr="002B6725" w:rsidR="00DC77AD">
        <w:rPr>
          <w:i/>
        </w:rPr>
        <w:t>Campbell v. the United Kingdom</w:t>
      </w:r>
      <w:r w:rsidRPr="002B6725" w:rsidR="00DC77AD">
        <w:t>, 25 March 1992, § 46, Series A no. 233).</w:t>
      </w:r>
    </w:p>
    <w:p w:rsidRPr="002B6725" w:rsidR="00750D68" w:rsidP="002B6725" w:rsidRDefault="002B6725">
      <w:pPr>
        <w:pStyle w:val="ECHRPara"/>
      </w:pPr>
      <w:fldSimple w:instr=" SEQ level0 \*arabic ">
        <w:r w:rsidRPr="002B6725">
          <w:rPr>
            <w:noProof/>
          </w:rPr>
          <w:t>70</w:t>
        </w:r>
      </w:fldSimple>
      <w:r w:rsidRPr="002B6725" w:rsidR="002B537D">
        <w:t>.  </w:t>
      </w:r>
      <w:r w:rsidRPr="002B6725" w:rsidR="00C13D48">
        <w:t xml:space="preserve">The Court notes that </w:t>
      </w:r>
      <w:r w:rsidRPr="002B6725" w:rsidR="00586013">
        <w:t xml:space="preserve">the Government did not refute that </w:t>
      </w:r>
      <w:r w:rsidRPr="002B6725" w:rsidR="00C13D48">
        <w:t xml:space="preserve">the applicant was denied </w:t>
      </w:r>
      <w:r w:rsidRPr="002B6725" w:rsidR="00586013">
        <w:t xml:space="preserve">the </w:t>
      </w:r>
      <w:r w:rsidRPr="002B6725" w:rsidR="00C13D48">
        <w:t xml:space="preserve">confidential meeting with his lawyer </w:t>
      </w:r>
      <w:r w:rsidRPr="002B6725" w:rsidR="00586013">
        <w:t>that he requested</w:t>
      </w:r>
      <w:r w:rsidRPr="002B6725" w:rsidR="00C13D48">
        <w:t xml:space="preserve">. In </w:t>
      </w:r>
      <w:r w:rsidRPr="002B6725" w:rsidR="00D66D23">
        <w:t xml:space="preserve">the absence of </w:t>
      </w:r>
      <w:r w:rsidRPr="002B6725" w:rsidR="00586013">
        <w:t xml:space="preserve">evidence suggesting that the applicant and his lawyer were able to communicate confidentially prior to the questioning when his lawyer was uncontestably present, </w:t>
      </w:r>
      <w:r w:rsidRPr="002B6725" w:rsidR="00C13D48">
        <w:t xml:space="preserve">the Court </w:t>
      </w:r>
      <w:r w:rsidRPr="002B6725" w:rsidR="00D34305">
        <w:t xml:space="preserve">however </w:t>
      </w:r>
      <w:r w:rsidRPr="002B6725" w:rsidR="00515224">
        <w:t xml:space="preserve">cannot but </w:t>
      </w:r>
      <w:r w:rsidRPr="002B6725" w:rsidR="00E25EA9">
        <w:t>accept the applicant</w:t>
      </w:r>
      <w:r w:rsidRPr="002B6725">
        <w:t>’</w:t>
      </w:r>
      <w:r w:rsidRPr="002B6725" w:rsidR="00E25EA9">
        <w:t xml:space="preserve">s </w:t>
      </w:r>
      <w:r w:rsidRPr="002B6725" w:rsidR="00586013">
        <w:t xml:space="preserve">version of events </w:t>
      </w:r>
      <w:r w:rsidRPr="002B6725" w:rsidR="00E25EA9">
        <w:t xml:space="preserve">and </w:t>
      </w:r>
      <w:r w:rsidRPr="002B6725" w:rsidR="00515224">
        <w:t xml:space="preserve">conclude </w:t>
      </w:r>
      <w:r w:rsidRPr="002B6725" w:rsidR="008D7B7F">
        <w:t xml:space="preserve">that </w:t>
      </w:r>
      <w:r w:rsidRPr="002B6725" w:rsidR="00586013">
        <w:t>his</w:t>
      </w:r>
      <w:r w:rsidRPr="002B6725" w:rsidR="00C13D48">
        <w:t xml:space="preserve"> </w:t>
      </w:r>
      <w:r w:rsidRPr="002B6725" w:rsidR="00F60ADA">
        <w:t xml:space="preserve">access to legal advice on the </w:t>
      </w:r>
      <w:r w:rsidRPr="002B6725" w:rsidR="00E25EA9">
        <w:t xml:space="preserve">referred </w:t>
      </w:r>
      <w:r w:rsidRPr="002B6725" w:rsidR="008D7B7F">
        <w:t>da</w:t>
      </w:r>
      <w:r w:rsidRPr="002B6725" w:rsidR="00E25EA9">
        <w:t>te</w:t>
      </w:r>
      <w:r w:rsidRPr="002B6725" w:rsidR="00515224">
        <w:t xml:space="preserve"> </w:t>
      </w:r>
      <w:r w:rsidRPr="002B6725" w:rsidR="00E25EA9">
        <w:t>was restricted.</w:t>
      </w:r>
      <w:r w:rsidRPr="002B6725" w:rsidR="0087570E">
        <w:t xml:space="preserve"> On the facts, the Court does not discern any compelling reason for that restriction.</w:t>
      </w:r>
    </w:p>
    <w:p w:rsidRPr="002B6725" w:rsidR="002B537D" w:rsidP="002B6725" w:rsidRDefault="002B537D">
      <w:pPr>
        <w:pStyle w:val="ECHRPara"/>
        <w:rPr>
          <w:lang w:val="en-GB"/>
        </w:rPr>
      </w:pPr>
      <w:r w:rsidRPr="002B6725">
        <w:rPr>
          <w:lang w:val="en-GB"/>
        </w:rPr>
        <w:fldChar w:fldCharType="begin"/>
      </w:r>
      <w:r w:rsidRPr="002B6725">
        <w:rPr>
          <w:lang w:val="en-GB"/>
        </w:rPr>
        <w:instrText xml:space="preserve"> SEQ level0 \*arabic </w:instrText>
      </w:r>
      <w:r w:rsidRPr="002B6725">
        <w:rPr>
          <w:lang w:val="en-GB"/>
        </w:rPr>
        <w:fldChar w:fldCharType="separate"/>
      </w:r>
      <w:r w:rsidRPr="002B6725" w:rsidR="002B6725">
        <w:rPr>
          <w:noProof/>
          <w:lang w:val="en-GB"/>
        </w:rPr>
        <w:t>71</w:t>
      </w:r>
      <w:r w:rsidRPr="002B6725">
        <w:rPr>
          <w:lang w:val="en-GB"/>
        </w:rPr>
        <w:fldChar w:fldCharType="end"/>
      </w:r>
      <w:r w:rsidRPr="002B6725">
        <w:rPr>
          <w:lang w:val="en-GB"/>
        </w:rPr>
        <w:t>.  Accordingly, the Court must apply a very strict scrutiny in assessing whether the restriction of the applicant</w:t>
      </w:r>
      <w:r w:rsidRPr="002B6725" w:rsidR="002B6725">
        <w:rPr>
          <w:lang w:val="en-GB"/>
        </w:rPr>
        <w:t>’</w:t>
      </w:r>
      <w:r w:rsidRPr="002B6725">
        <w:rPr>
          <w:lang w:val="en-GB"/>
        </w:rPr>
        <w:t xml:space="preserve">s right to legal advice during the interview of 1 June 2005 undermined the fairness of the proceedings against the applicant (see paragraph </w:t>
      </w:r>
      <w:r w:rsidRPr="002B6725" w:rsidR="00951B6D">
        <w:rPr>
          <w:lang w:val="en-GB"/>
        </w:rPr>
        <w:t xml:space="preserve">67 </w:t>
      </w:r>
      <w:r w:rsidRPr="002B6725">
        <w:rPr>
          <w:lang w:val="en-GB"/>
        </w:rPr>
        <w:t>above).</w:t>
      </w:r>
    </w:p>
    <w:p w:rsidRPr="002B6725" w:rsidR="00750D68" w:rsidP="002B6725" w:rsidRDefault="00661526">
      <w:pPr>
        <w:pStyle w:val="ECHRPara"/>
      </w:pPr>
      <w:r w:rsidRPr="002B6725">
        <w:rPr>
          <w:lang w:val="en-GB"/>
        </w:rPr>
        <w:fldChar w:fldCharType="begin"/>
      </w:r>
      <w:r w:rsidRPr="002B6725">
        <w:rPr>
          <w:lang w:val="en-GB"/>
        </w:rPr>
        <w:instrText xml:space="preserve"> SEQ level0 \*arabic </w:instrText>
      </w:r>
      <w:r w:rsidRPr="002B6725">
        <w:rPr>
          <w:lang w:val="en-GB"/>
        </w:rPr>
        <w:fldChar w:fldCharType="separate"/>
      </w:r>
      <w:r w:rsidRPr="002B6725" w:rsidR="002B6725">
        <w:rPr>
          <w:noProof/>
          <w:lang w:val="en-GB"/>
        </w:rPr>
        <w:t>72</w:t>
      </w:r>
      <w:r w:rsidRPr="002B6725">
        <w:rPr>
          <w:lang w:val="en-GB"/>
        </w:rPr>
        <w:fldChar w:fldCharType="end"/>
      </w:r>
      <w:r w:rsidRPr="002B6725">
        <w:rPr>
          <w:lang w:val="en-GB"/>
        </w:rPr>
        <w:t>.  </w:t>
      </w:r>
      <w:r w:rsidRPr="002B6725" w:rsidR="0012499C">
        <w:rPr>
          <w:lang w:val="en-GB"/>
        </w:rPr>
        <w:t xml:space="preserve">The Court notes that </w:t>
      </w:r>
      <w:r w:rsidRPr="002B6725" w:rsidR="0012499C">
        <w:t>t</w:t>
      </w:r>
      <w:r w:rsidRPr="002B6725" w:rsidR="00E25EA9">
        <w:t xml:space="preserve">here is nothing </w:t>
      </w:r>
      <w:r w:rsidRPr="002B6725" w:rsidR="006D66A7">
        <w:t xml:space="preserve">in the documents before </w:t>
      </w:r>
      <w:r w:rsidRPr="002B6725" w:rsidR="0012499C">
        <w:t xml:space="preserve">it </w:t>
      </w:r>
      <w:r w:rsidRPr="002B6725" w:rsidR="00E25EA9">
        <w:t xml:space="preserve">to suggest that during the </w:t>
      </w:r>
      <w:r w:rsidRPr="002B6725" w:rsidR="002B537D">
        <w:t xml:space="preserve">referred </w:t>
      </w:r>
      <w:r w:rsidRPr="002B6725" w:rsidR="00E25EA9">
        <w:t>interview, the applicant made any statements that differed from his earlier explanations given to the police or would differ from any of his statements made later. The applicant had been consistent in his version of events throughout the proceedings, including during the trial, and persistently denied murder claiming that an accident had happened</w:t>
      </w:r>
      <w:r w:rsidRPr="002B6725" w:rsidR="002B537D">
        <w:t xml:space="preserve"> (</w:t>
      </w:r>
      <w:r w:rsidRPr="002B6725" w:rsidR="006D66A7">
        <w:t xml:space="preserve">see, </w:t>
      </w:r>
      <w:r w:rsidRPr="002B6725" w:rsidR="006D66A7">
        <w:rPr>
          <w:i/>
        </w:rPr>
        <w:t>a contrario</w:t>
      </w:r>
      <w:r w:rsidRPr="002B6725" w:rsidR="006D66A7">
        <w:t xml:space="preserve">, the case of </w:t>
      </w:r>
      <w:r w:rsidRPr="002B6725" w:rsidR="006D66A7">
        <w:rPr>
          <w:i/>
        </w:rPr>
        <w:t>Çimen v. Turkey</w:t>
      </w:r>
      <w:r w:rsidRPr="002B6725" w:rsidR="0012499C">
        <w:t xml:space="preserve">, </w:t>
      </w:r>
      <w:r w:rsidRPr="002B6725" w:rsidR="006D66A7">
        <w:t>no. 19582/02</w:t>
      </w:r>
      <w:r w:rsidRPr="002B6725" w:rsidR="00C72699">
        <w:t>, § </w:t>
      </w:r>
      <w:r w:rsidRPr="002B6725" w:rsidR="006D66A7">
        <w:t>26, 3 February 2009)</w:t>
      </w:r>
      <w:r w:rsidRPr="002B6725" w:rsidR="00E25EA9">
        <w:t xml:space="preserve">. Furthermore, there is no indication in the case-file material that any of his statements played any role in his conviction (see, by contrast, </w:t>
      </w:r>
      <w:r w:rsidRPr="002B6725" w:rsidR="00E25EA9">
        <w:rPr>
          <w:i/>
        </w:rPr>
        <w:t>Leonid Lazarenko v. Ukraine</w:t>
      </w:r>
      <w:r w:rsidRPr="002B6725" w:rsidR="00E25EA9">
        <w:t>, no. 22313/04, 28 October 2010).</w:t>
      </w:r>
    </w:p>
    <w:p w:rsidRPr="002B6725" w:rsidR="002B537D" w:rsidP="002B6725" w:rsidRDefault="002B6725">
      <w:pPr>
        <w:pStyle w:val="ECHRPara"/>
      </w:pPr>
      <w:fldSimple w:instr=" SEQ level0 \*arabic ">
        <w:r w:rsidRPr="002B6725">
          <w:rPr>
            <w:noProof/>
          </w:rPr>
          <w:t>73</w:t>
        </w:r>
      </w:fldSimple>
      <w:r w:rsidRPr="002B6725" w:rsidR="00661526">
        <w:t>. </w:t>
      </w:r>
      <w:r w:rsidRPr="002B6725" w:rsidR="002B537D">
        <w:t>Lastly, the Court cannot but observe that</w:t>
      </w:r>
      <w:r w:rsidRPr="002B6725" w:rsidR="0012499C">
        <w:t xml:space="preserve"> </w:t>
      </w:r>
      <w:r w:rsidRPr="002B6725" w:rsidR="002B537D">
        <w:t>the applicant failed to explain</w:t>
      </w:r>
      <w:r w:rsidRPr="002B6725" w:rsidR="0012499C">
        <w:t xml:space="preserve">, both before and after the case had been communicated to the Government, </w:t>
      </w:r>
      <w:r w:rsidRPr="002B6725" w:rsidR="002B537D">
        <w:t xml:space="preserve">what prejudice to the overall fairness of his trial had been caused by the alleged </w:t>
      </w:r>
      <w:r w:rsidRPr="002B6725" w:rsidR="00C62E83">
        <w:t>failure to allow him to meet privately with his lawyer before the police interview at issue.</w:t>
      </w:r>
    </w:p>
    <w:p w:rsidRPr="002B6725" w:rsidR="002B537D" w:rsidP="002B6725" w:rsidRDefault="002B6725">
      <w:pPr>
        <w:pStyle w:val="ECHRPara"/>
      </w:pPr>
      <w:fldSimple w:instr=" SEQ level0 \*arabic ">
        <w:r w:rsidRPr="002B6725">
          <w:rPr>
            <w:noProof/>
          </w:rPr>
          <w:t>74</w:t>
        </w:r>
      </w:fldSimple>
      <w:r w:rsidRPr="002B6725" w:rsidR="00C62E83">
        <w:t>.  </w:t>
      </w:r>
      <w:r w:rsidRPr="002B6725" w:rsidR="006639F7">
        <w:t>In view of the above considerations it has been demonstrated that, in the circumstances of the present case, the overall fairness of the trial was not irretrievably prejudiced by the decision to refuse the applicant a confidential communication with his lawyer on 1 June 2005</w:t>
      </w:r>
      <w:r w:rsidRPr="002B6725" w:rsidR="002B537D">
        <w:t>.</w:t>
      </w:r>
    </w:p>
    <w:p w:rsidRPr="002B6725" w:rsidR="002B537D" w:rsidP="002B6725" w:rsidRDefault="002B6725">
      <w:pPr>
        <w:pStyle w:val="ECHRPara"/>
      </w:pPr>
      <w:fldSimple w:instr=" SEQ level0 \*arabic ">
        <w:r w:rsidRPr="002B6725">
          <w:rPr>
            <w:noProof/>
          </w:rPr>
          <w:t>75</w:t>
        </w:r>
      </w:fldSimple>
      <w:r w:rsidRPr="002B6725" w:rsidR="006D66A7">
        <w:t>.  </w:t>
      </w:r>
      <w:r w:rsidRPr="002B6725" w:rsidR="002B537D">
        <w:t>There has therefore been no violation of Article 6 §§ 1 and 3 (c) of the Convention in the present case.</w:t>
      </w:r>
    </w:p>
    <w:p w:rsidRPr="002B6725" w:rsidR="00014566" w:rsidP="002B6725" w:rsidRDefault="0074375A">
      <w:pPr>
        <w:pStyle w:val="ECHRHeading1"/>
        <w:rPr>
          <w:lang w:val="en-GB"/>
        </w:rPr>
      </w:pPr>
      <w:r w:rsidRPr="002B6725">
        <w:rPr>
          <w:lang w:val="en-GB"/>
        </w:rPr>
        <w:t>III</w:t>
      </w:r>
      <w:r w:rsidRPr="002B6725" w:rsidR="00014566">
        <w:rPr>
          <w:lang w:val="en-GB"/>
        </w:rPr>
        <w:t>.  ALLEGED VIOLATION</w:t>
      </w:r>
      <w:r w:rsidRPr="002B6725" w:rsidR="00E16CB5">
        <w:rPr>
          <w:lang w:val="en-GB"/>
        </w:rPr>
        <w:t>S</w:t>
      </w:r>
      <w:r w:rsidRPr="002B6725" w:rsidR="00014566">
        <w:rPr>
          <w:lang w:val="en-GB"/>
        </w:rPr>
        <w:t xml:space="preserve"> OF ARTICLE </w:t>
      </w:r>
      <w:r w:rsidRPr="002B6725">
        <w:rPr>
          <w:lang w:val="en-GB"/>
        </w:rPr>
        <w:t>8</w:t>
      </w:r>
      <w:r w:rsidRPr="002B6725" w:rsidR="00014566">
        <w:rPr>
          <w:lang w:val="en-GB"/>
        </w:rPr>
        <w:t xml:space="preserve"> OF THE CONVENTION</w:t>
      </w:r>
    </w:p>
    <w:p w:rsidRPr="002B6725" w:rsidR="00E16CB5" w:rsidP="002B6725" w:rsidRDefault="00661526">
      <w:pPr>
        <w:pStyle w:val="ECHRPara"/>
        <w:rPr>
          <w:noProof/>
        </w:rPr>
      </w:pPr>
      <w:r w:rsidRPr="002B6725">
        <w:rPr>
          <w:noProof/>
        </w:rPr>
        <w:fldChar w:fldCharType="begin"/>
      </w:r>
      <w:r w:rsidRPr="002B6725">
        <w:rPr>
          <w:noProof/>
        </w:rPr>
        <w:instrText xml:space="preserve"> SEQ level0 \*arabic </w:instrText>
      </w:r>
      <w:r w:rsidRPr="002B6725">
        <w:rPr>
          <w:noProof/>
        </w:rPr>
        <w:fldChar w:fldCharType="separate"/>
      </w:r>
      <w:r w:rsidRPr="002B6725" w:rsidR="002B6725">
        <w:rPr>
          <w:noProof/>
        </w:rPr>
        <w:t>76</w:t>
      </w:r>
      <w:r w:rsidRPr="002B6725">
        <w:rPr>
          <w:noProof/>
        </w:rPr>
        <w:fldChar w:fldCharType="end"/>
      </w:r>
      <w:r w:rsidRPr="002B6725">
        <w:rPr>
          <w:noProof/>
        </w:rPr>
        <w:t>.  </w:t>
      </w:r>
      <w:r w:rsidRPr="002B6725" w:rsidR="00E16CB5">
        <w:rPr>
          <w:noProof/>
        </w:rPr>
        <w:t xml:space="preserve">The applicant complained </w:t>
      </w:r>
      <w:r w:rsidRPr="002B6725" w:rsidR="00AE4AD7">
        <w:rPr>
          <w:noProof/>
        </w:rPr>
        <w:t xml:space="preserve">that from 26 August 2005 and until his conviction on 26 August 2006 he had not been allowed to see </w:t>
      </w:r>
      <w:r w:rsidRPr="002B6725" w:rsidR="00562DAB">
        <w:t xml:space="preserve">members of </w:t>
      </w:r>
      <w:r w:rsidRPr="002B6725" w:rsidR="00AE4AD7">
        <w:rPr>
          <w:noProof/>
        </w:rPr>
        <w:t xml:space="preserve">his family </w:t>
      </w:r>
      <w:r w:rsidRPr="002B6725" w:rsidR="00E16CB5">
        <w:rPr>
          <w:noProof/>
        </w:rPr>
        <w:t xml:space="preserve">and that </w:t>
      </w:r>
      <w:r w:rsidRPr="002B6725" w:rsidR="00AE4AD7">
        <w:rPr>
          <w:noProof/>
        </w:rPr>
        <w:t xml:space="preserve">during his pre-trial detention </w:t>
      </w:r>
      <w:r w:rsidRPr="002B6725" w:rsidR="00E16CB5">
        <w:rPr>
          <w:noProof/>
        </w:rPr>
        <w:t xml:space="preserve">he </w:t>
      </w:r>
      <w:r w:rsidRPr="002B6725" w:rsidR="00291A5D">
        <w:rPr>
          <w:noProof/>
        </w:rPr>
        <w:t xml:space="preserve">had also been </w:t>
      </w:r>
      <w:r w:rsidRPr="002B6725" w:rsidR="00AE4AD7">
        <w:rPr>
          <w:noProof/>
        </w:rPr>
        <w:t xml:space="preserve">prohibited from sending </w:t>
      </w:r>
      <w:r w:rsidRPr="002B6725" w:rsidR="00E16CB5">
        <w:rPr>
          <w:noProof/>
        </w:rPr>
        <w:t>correspond</w:t>
      </w:r>
      <w:r w:rsidRPr="002B6725" w:rsidR="00AE4AD7">
        <w:rPr>
          <w:noProof/>
        </w:rPr>
        <w:t>ence to them</w:t>
      </w:r>
      <w:r w:rsidRPr="002B6725" w:rsidR="00E16CB5">
        <w:rPr>
          <w:noProof/>
        </w:rPr>
        <w:t xml:space="preserve">. </w:t>
      </w:r>
      <w:r w:rsidRPr="002B6725" w:rsidR="00291A5D">
        <w:rPr>
          <w:noProof/>
        </w:rPr>
        <w:t xml:space="preserve">This </w:t>
      </w:r>
      <w:r w:rsidRPr="002B6725" w:rsidR="00BA2562">
        <w:rPr>
          <w:noProof/>
        </w:rPr>
        <w:t>complaint fall</w:t>
      </w:r>
      <w:r w:rsidRPr="002B6725" w:rsidR="00291A5D">
        <w:rPr>
          <w:noProof/>
        </w:rPr>
        <w:t>s</w:t>
      </w:r>
      <w:r w:rsidRPr="002B6725" w:rsidR="00BA2562">
        <w:rPr>
          <w:noProof/>
        </w:rPr>
        <w:t xml:space="preserve"> to be examined under A</w:t>
      </w:r>
      <w:r w:rsidRPr="002B6725" w:rsidR="00E16CB5">
        <w:rPr>
          <w:noProof/>
        </w:rPr>
        <w:t>rticle 8 of the Convention, which provides:</w:t>
      </w:r>
    </w:p>
    <w:p w:rsidRPr="002B6725" w:rsidR="00E16CB5" w:rsidP="002B6725" w:rsidRDefault="00E16CB5">
      <w:pPr>
        <w:pStyle w:val="ECHRParaQuote"/>
        <w:rPr>
          <w:rFonts w:eastAsia="Times New Roman"/>
          <w:lang w:val="en-GB" w:eastAsia="en-GB"/>
        </w:rPr>
      </w:pPr>
      <w:r w:rsidRPr="002B6725">
        <w:rPr>
          <w:rFonts w:eastAsia="Times New Roman"/>
          <w:lang w:val="en-GB" w:eastAsia="en-GB"/>
        </w:rPr>
        <w:t xml:space="preserve">“1. </w:t>
      </w:r>
      <w:r w:rsidRPr="002B6725" w:rsidR="0046041A">
        <w:t>Everyone has the right to respect for his private and family life, his home and his correspondence.</w:t>
      </w:r>
    </w:p>
    <w:p w:rsidRPr="002B6725" w:rsidR="00E16CB5" w:rsidP="002B6725" w:rsidRDefault="00E16CB5">
      <w:pPr>
        <w:pStyle w:val="ECHRParaQuote"/>
        <w:rPr>
          <w:rFonts w:eastAsia="Times New Roman"/>
          <w:lang w:val="en-GB" w:eastAsia="en-GB"/>
        </w:rPr>
      </w:pPr>
      <w:r w:rsidRPr="002B6725">
        <w:rPr>
          <w:rFonts w:eastAsia="Times New Roman"/>
          <w:lang w:val="en-GB" w:eastAsia="en-GB"/>
        </w:rPr>
        <w:t>2. There shall be no interference by a public authority with the exercise of this right except such as is in accordance with the law and is necessary in a democratic society in the interests of national security, public safety or the economic well-being of the country, for the prevention of disorder or crime, for the protection of health or morals, or for the protection of the rights and freedoms of others.”</w:t>
      </w:r>
    </w:p>
    <w:p w:rsidRPr="002B6725" w:rsidR="00326577" w:rsidP="002B6725" w:rsidRDefault="00255AA2">
      <w:pPr>
        <w:pStyle w:val="ECHRHeading2"/>
        <w:rPr>
          <w:rFonts w:eastAsia="Times New Roman"/>
          <w:lang w:val="en-GB" w:eastAsia="en-GB"/>
        </w:rPr>
      </w:pPr>
      <w:r w:rsidRPr="002B6725">
        <w:rPr>
          <w:rFonts w:eastAsia="Times New Roman"/>
          <w:lang w:val="en-GB" w:eastAsia="en-GB"/>
        </w:rPr>
        <w:t>A</w:t>
      </w:r>
      <w:r w:rsidRPr="002B6725" w:rsidR="00C72699">
        <w:rPr>
          <w:rFonts w:eastAsia="Times New Roman"/>
          <w:lang w:val="en-GB" w:eastAsia="en-GB"/>
        </w:rPr>
        <w:t>.  </w:t>
      </w:r>
      <w:r w:rsidRPr="002B6725" w:rsidR="00326577">
        <w:rPr>
          <w:rFonts w:eastAsia="Times New Roman"/>
          <w:lang w:val="en-GB" w:eastAsia="en-GB"/>
        </w:rPr>
        <w:t>Admissibility</w:t>
      </w:r>
    </w:p>
    <w:p w:rsidRPr="002B6725" w:rsidR="00326577" w:rsidP="002B6725" w:rsidRDefault="002B6725">
      <w:pPr>
        <w:pStyle w:val="ECHRPara"/>
        <w:rPr>
          <w:lang w:val="en-GB" w:eastAsia="en-GB"/>
        </w:rPr>
      </w:pPr>
      <w:fldSimple w:instr=" SEQ level0 \*arabic ">
        <w:r w:rsidRPr="002B6725">
          <w:rPr>
            <w:noProof/>
          </w:rPr>
          <w:t>77</w:t>
        </w:r>
      </w:fldSimple>
      <w:r w:rsidRPr="002B6725" w:rsidR="00661526">
        <w:t>.  </w:t>
      </w:r>
      <w:r w:rsidRPr="002B6725" w:rsidR="00326577">
        <w:t>The Court notes that this complaint is not manifestly ill-founded within the meaning of Article 35 § 3 of the Convention. It further notes that it is not inadmissible on any other grounds. It must therefore be declared admissible.</w:t>
      </w:r>
    </w:p>
    <w:p w:rsidRPr="002B6725" w:rsidR="00750D68" w:rsidP="002B6725" w:rsidRDefault="00C72699">
      <w:pPr>
        <w:pStyle w:val="ECHRHeading2"/>
        <w:rPr>
          <w:rFonts w:eastAsia="Times New Roman"/>
          <w:lang w:val="en-GB" w:eastAsia="en-GB"/>
        </w:rPr>
      </w:pPr>
      <w:r w:rsidRPr="002B6725">
        <w:rPr>
          <w:rFonts w:eastAsia="Times New Roman"/>
          <w:lang w:val="en-GB" w:eastAsia="en-GB"/>
        </w:rPr>
        <w:t>B.  </w:t>
      </w:r>
      <w:r w:rsidRPr="002B6725" w:rsidR="00326577">
        <w:rPr>
          <w:rFonts w:eastAsia="Times New Roman"/>
          <w:lang w:val="en-GB" w:eastAsia="en-GB"/>
        </w:rPr>
        <w:t>Merits</w:t>
      </w:r>
    </w:p>
    <w:p w:rsidRPr="002B6725" w:rsidR="00750D68" w:rsidP="002B6725" w:rsidRDefault="00661526">
      <w:pPr>
        <w:pStyle w:val="ECHRPara"/>
        <w:rPr>
          <w:rFonts w:eastAsia="Times New Roman"/>
          <w:lang w:val="en-GB" w:eastAsia="en-GB"/>
        </w:rPr>
      </w:pPr>
      <w:r w:rsidRPr="002B6725">
        <w:rPr>
          <w:rFonts w:eastAsia="Times New Roman"/>
          <w:lang w:val="en-GB" w:eastAsia="en-GB"/>
        </w:rPr>
        <w:fldChar w:fldCharType="begin"/>
      </w:r>
      <w:r w:rsidRPr="002B6725">
        <w:rPr>
          <w:rFonts w:eastAsia="Times New Roman"/>
          <w:lang w:val="en-GB" w:eastAsia="en-GB"/>
        </w:rPr>
        <w:instrText xml:space="preserve"> SEQ level0 \*arabic </w:instrText>
      </w:r>
      <w:r w:rsidRPr="002B6725">
        <w:rPr>
          <w:rFonts w:eastAsia="Times New Roman"/>
          <w:lang w:val="en-GB" w:eastAsia="en-GB"/>
        </w:rPr>
        <w:fldChar w:fldCharType="separate"/>
      </w:r>
      <w:r w:rsidRPr="002B6725" w:rsidR="002B6725">
        <w:rPr>
          <w:rFonts w:eastAsia="Times New Roman"/>
          <w:noProof/>
          <w:lang w:val="en-GB" w:eastAsia="en-GB"/>
        </w:rPr>
        <w:t>78</w:t>
      </w:r>
      <w:r w:rsidRPr="002B6725">
        <w:rPr>
          <w:rFonts w:eastAsia="Times New Roman"/>
          <w:lang w:val="en-GB" w:eastAsia="en-GB"/>
        </w:rPr>
        <w:fldChar w:fldCharType="end"/>
      </w:r>
      <w:r w:rsidRPr="002B6725">
        <w:rPr>
          <w:rFonts w:eastAsia="Times New Roman"/>
          <w:lang w:val="en-GB" w:eastAsia="en-GB"/>
        </w:rPr>
        <w:t>.  </w:t>
      </w:r>
      <w:r w:rsidRPr="002B6725" w:rsidR="00326577">
        <w:rPr>
          <w:rFonts w:eastAsia="Times New Roman"/>
          <w:lang w:val="en-GB" w:eastAsia="en-GB"/>
        </w:rPr>
        <w:t>The Government admitted that there had been an interference with the applicant</w:t>
      </w:r>
      <w:r w:rsidRPr="002B6725" w:rsidR="002B6725">
        <w:rPr>
          <w:rFonts w:eastAsia="Times New Roman"/>
          <w:lang w:val="en-GB" w:eastAsia="en-GB"/>
        </w:rPr>
        <w:t>’</w:t>
      </w:r>
      <w:r w:rsidRPr="002B6725" w:rsidR="00326577">
        <w:rPr>
          <w:rFonts w:eastAsia="Times New Roman"/>
          <w:lang w:val="en-GB" w:eastAsia="en-GB"/>
        </w:rPr>
        <w:t xml:space="preserve">s </w:t>
      </w:r>
      <w:r w:rsidRPr="002B6725" w:rsidR="007616AF">
        <w:rPr>
          <w:rFonts w:eastAsia="Times New Roman"/>
          <w:lang w:val="en-GB" w:eastAsia="en-GB"/>
        </w:rPr>
        <w:t xml:space="preserve">right to respect for his </w:t>
      </w:r>
      <w:r w:rsidRPr="002B6725" w:rsidR="00326577">
        <w:rPr>
          <w:rFonts w:eastAsia="Times New Roman"/>
          <w:lang w:val="en-GB" w:eastAsia="en-GB"/>
        </w:rPr>
        <w:t xml:space="preserve">family life. However, they considered that such interference </w:t>
      </w:r>
      <w:r w:rsidRPr="002B6725" w:rsidR="00B873AB">
        <w:rPr>
          <w:rFonts w:eastAsia="Times New Roman"/>
          <w:lang w:val="en-GB" w:eastAsia="en-GB"/>
        </w:rPr>
        <w:t xml:space="preserve">had been </w:t>
      </w:r>
      <w:r w:rsidRPr="002B6725" w:rsidR="00326577">
        <w:rPr>
          <w:rFonts w:eastAsia="Times New Roman"/>
          <w:lang w:val="en-GB" w:eastAsia="en-GB"/>
        </w:rPr>
        <w:t xml:space="preserve">necessary in a democratic society and </w:t>
      </w:r>
      <w:r w:rsidRPr="002B6725" w:rsidR="00B873AB">
        <w:rPr>
          <w:rFonts w:eastAsia="Times New Roman"/>
          <w:lang w:val="en-GB" w:eastAsia="en-GB"/>
        </w:rPr>
        <w:t xml:space="preserve">had been </w:t>
      </w:r>
      <w:r w:rsidRPr="002B6725" w:rsidR="00326577">
        <w:rPr>
          <w:rFonts w:eastAsia="Times New Roman"/>
          <w:lang w:val="en-GB" w:eastAsia="en-GB"/>
        </w:rPr>
        <w:t xml:space="preserve">justified by the need to ensure public safety and to prevent any obstruction by the applicant </w:t>
      </w:r>
      <w:r w:rsidRPr="002B6725" w:rsidR="00B873AB">
        <w:rPr>
          <w:rFonts w:eastAsia="Times New Roman"/>
          <w:lang w:val="en-GB" w:eastAsia="en-GB"/>
        </w:rPr>
        <w:t>of the</w:t>
      </w:r>
      <w:r w:rsidRPr="002B6725" w:rsidR="00326577">
        <w:rPr>
          <w:rFonts w:eastAsia="Times New Roman"/>
          <w:lang w:val="en-GB" w:eastAsia="en-GB"/>
        </w:rPr>
        <w:t xml:space="preserve"> investigation of the criminal case against him.</w:t>
      </w:r>
    </w:p>
    <w:p w:rsidRPr="002B6725" w:rsidR="00750D68" w:rsidP="002B6725" w:rsidRDefault="002B6725">
      <w:pPr>
        <w:pStyle w:val="ECHRPara"/>
      </w:pPr>
      <w:fldSimple w:instr=" SEQ level0 \*arabic ">
        <w:r w:rsidRPr="002B6725">
          <w:rPr>
            <w:noProof/>
          </w:rPr>
          <w:t>79</w:t>
        </w:r>
      </w:fldSimple>
      <w:r w:rsidRPr="002B6725" w:rsidR="00661526">
        <w:t>.  </w:t>
      </w:r>
      <w:r w:rsidRPr="002B6725" w:rsidR="00326577">
        <w:t xml:space="preserve">The applicant claimed that the justification advanced by the Government was vague as, in accordance </w:t>
      </w:r>
      <w:r w:rsidRPr="002B6725" w:rsidR="00B873AB">
        <w:t>with</w:t>
      </w:r>
      <w:r w:rsidRPr="002B6725" w:rsidR="00326577">
        <w:t xml:space="preserve"> domestic law, </w:t>
      </w:r>
      <w:r w:rsidRPr="002B6725" w:rsidR="00C42854">
        <w:t>detainees</w:t>
      </w:r>
      <w:r w:rsidRPr="002B6725">
        <w:t>’</w:t>
      </w:r>
      <w:r w:rsidRPr="002B6725" w:rsidR="00326577">
        <w:t xml:space="preserve"> correspondence to their relatives </w:t>
      </w:r>
      <w:r w:rsidRPr="002B6725" w:rsidR="00B873AB">
        <w:t xml:space="preserve">was </w:t>
      </w:r>
      <w:r w:rsidRPr="002B6725" w:rsidR="00326577">
        <w:t xml:space="preserve">subject to mandatory monitoring by the SIZO authorities and </w:t>
      </w:r>
      <w:r w:rsidRPr="002B6725" w:rsidR="00932193">
        <w:t xml:space="preserve">all </w:t>
      </w:r>
      <w:r w:rsidRPr="002B6725" w:rsidR="00326577">
        <w:t>meetings with relative</w:t>
      </w:r>
      <w:r w:rsidRPr="002B6725" w:rsidR="00C42854">
        <w:t>s</w:t>
      </w:r>
      <w:r w:rsidRPr="002B6725" w:rsidR="00326577">
        <w:t xml:space="preserve"> </w:t>
      </w:r>
      <w:r w:rsidRPr="002B6725" w:rsidR="00B873AB">
        <w:t xml:space="preserve">were </w:t>
      </w:r>
      <w:r w:rsidRPr="002B6725" w:rsidR="00C42854">
        <w:t xml:space="preserve">held </w:t>
      </w:r>
      <w:r w:rsidRPr="002B6725" w:rsidR="00326577">
        <w:t xml:space="preserve">in the presence and under </w:t>
      </w:r>
      <w:r w:rsidRPr="002B6725" w:rsidR="000B7081">
        <w:t xml:space="preserve">the </w:t>
      </w:r>
      <w:r w:rsidRPr="002B6725" w:rsidR="00326577">
        <w:t>close supervision of the SIZO staff.</w:t>
      </w:r>
    </w:p>
    <w:p w:rsidRPr="002B6725" w:rsidR="00326577" w:rsidP="002B6725" w:rsidRDefault="00326577">
      <w:pPr>
        <w:pStyle w:val="ECHRHeading3"/>
      </w:pPr>
      <w:r w:rsidRPr="002B6725">
        <w:t>1</w:t>
      </w:r>
      <w:r w:rsidRPr="002B6725" w:rsidR="00C72699">
        <w:t>.  </w:t>
      </w:r>
      <w:r w:rsidRPr="002B6725">
        <w:t xml:space="preserve">Whether there </w:t>
      </w:r>
      <w:r w:rsidRPr="002B6725" w:rsidR="0004307C">
        <w:t>was</w:t>
      </w:r>
      <w:r w:rsidRPr="002B6725">
        <w:t xml:space="preserve"> an interference</w:t>
      </w:r>
    </w:p>
    <w:p w:rsidRPr="002B6725" w:rsidR="00326577" w:rsidP="002B6725" w:rsidRDefault="00661526">
      <w:pPr>
        <w:pStyle w:val="ECHRPara"/>
        <w:rPr>
          <w:noProof/>
        </w:rPr>
      </w:pPr>
      <w:r w:rsidRPr="002B6725">
        <w:rPr>
          <w:noProof/>
        </w:rPr>
        <w:fldChar w:fldCharType="begin"/>
      </w:r>
      <w:r w:rsidRPr="002B6725">
        <w:rPr>
          <w:noProof/>
        </w:rPr>
        <w:instrText xml:space="preserve"> SEQ level0 \*arabic </w:instrText>
      </w:r>
      <w:r w:rsidRPr="002B6725">
        <w:rPr>
          <w:noProof/>
        </w:rPr>
        <w:fldChar w:fldCharType="separate"/>
      </w:r>
      <w:r w:rsidRPr="002B6725" w:rsidR="002B6725">
        <w:rPr>
          <w:noProof/>
        </w:rPr>
        <w:t>80</w:t>
      </w:r>
      <w:r w:rsidRPr="002B6725">
        <w:rPr>
          <w:noProof/>
        </w:rPr>
        <w:fldChar w:fldCharType="end"/>
      </w:r>
      <w:r w:rsidRPr="002B6725">
        <w:rPr>
          <w:noProof/>
        </w:rPr>
        <w:t>.  </w:t>
      </w:r>
      <w:r w:rsidRPr="002B6725" w:rsidR="00326577">
        <w:rPr>
          <w:noProof/>
        </w:rPr>
        <w:t xml:space="preserve">It was not disputed by the parties that there </w:t>
      </w:r>
      <w:r w:rsidRPr="002B6725" w:rsidR="000B7081">
        <w:rPr>
          <w:noProof/>
        </w:rPr>
        <w:t xml:space="preserve">had been </w:t>
      </w:r>
      <w:r w:rsidRPr="002B6725" w:rsidR="00326577">
        <w:rPr>
          <w:noProof/>
        </w:rPr>
        <w:t>“an interference by a public authority” within the meaning of Article 8 § 2 of the Convention with the applicant</w:t>
      </w:r>
      <w:r w:rsidRPr="002B6725" w:rsidR="002B6725">
        <w:rPr>
          <w:noProof/>
        </w:rPr>
        <w:t>’</w:t>
      </w:r>
      <w:r w:rsidRPr="002B6725" w:rsidR="00326577">
        <w:rPr>
          <w:noProof/>
        </w:rPr>
        <w:t>s right to respect for his family life and correspondence guaranteed by paragraph 1 of Article 8.</w:t>
      </w:r>
    </w:p>
    <w:p w:rsidRPr="002B6725" w:rsidR="00E16CB5" w:rsidP="002B6725" w:rsidRDefault="00326577">
      <w:pPr>
        <w:pStyle w:val="ECHRHeading3"/>
      </w:pPr>
      <w:r w:rsidRPr="002B6725">
        <w:t>2</w:t>
      </w:r>
      <w:r w:rsidRPr="002B6725" w:rsidR="00C72699">
        <w:t>.  </w:t>
      </w:r>
      <w:r w:rsidRPr="002B6725" w:rsidR="00E16CB5">
        <w:t>Whether the interference was justified</w:t>
      </w:r>
    </w:p>
    <w:p w:rsidRPr="002B6725" w:rsidR="005D14AB" w:rsidP="002B6725" w:rsidRDefault="00661526">
      <w:pPr>
        <w:pStyle w:val="ECHRPara"/>
        <w:rPr>
          <w:lang w:val="en-GB"/>
        </w:rPr>
      </w:pPr>
      <w:r w:rsidRPr="002B6725">
        <w:rPr>
          <w:rFonts w:eastAsia="Times New Roman"/>
          <w:lang w:val="en-GB" w:eastAsia="en-GB"/>
        </w:rPr>
        <w:fldChar w:fldCharType="begin"/>
      </w:r>
      <w:r w:rsidRPr="002B6725">
        <w:rPr>
          <w:rFonts w:eastAsia="Times New Roman"/>
          <w:lang w:val="en-GB" w:eastAsia="en-GB"/>
        </w:rPr>
        <w:instrText xml:space="preserve"> SEQ level0 \*arabic </w:instrText>
      </w:r>
      <w:r w:rsidRPr="002B6725">
        <w:rPr>
          <w:rFonts w:eastAsia="Times New Roman"/>
          <w:lang w:val="en-GB" w:eastAsia="en-GB"/>
        </w:rPr>
        <w:fldChar w:fldCharType="separate"/>
      </w:r>
      <w:r w:rsidRPr="002B6725" w:rsidR="002B6725">
        <w:rPr>
          <w:rFonts w:eastAsia="Times New Roman"/>
          <w:noProof/>
          <w:lang w:val="en-GB" w:eastAsia="en-GB"/>
        </w:rPr>
        <w:t>81</w:t>
      </w:r>
      <w:r w:rsidRPr="002B6725">
        <w:rPr>
          <w:rFonts w:eastAsia="Times New Roman"/>
          <w:lang w:val="en-GB" w:eastAsia="en-GB"/>
        </w:rPr>
        <w:fldChar w:fldCharType="end"/>
      </w:r>
      <w:r w:rsidRPr="002B6725">
        <w:rPr>
          <w:rFonts w:eastAsia="Times New Roman"/>
          <w:lang w:val="en-GB" w:eastAsia="en-GB"/>
        </w:rPr>
        <w:t>.  </w:t>
      </w:r>
      <w:r w:rsidRPr="002B6725" w:rsidR="005D14AB">
        <w:rPr>
          <w:rFonts w:eastAsia="Times New Roman"/>
          <w:lang w:val="en-GB" w:eastAsia="en-GB"/>
        </w:rPr>
        <w:t xml:space="preserve">The cardinal issue that arises is whether the above interference </w:t>
      </w:r>
      <w:r w:rsidRPr="002B6725" w:rsidR="000B7081">
        <w:rPr>
          <w:rFonts w:eastAsia="Times New Roman"/>
          <w:lang w:val="en-GB" w:eastAsia="en-GB"/>
        </w:rPr>
        <w:t xml:space="preserve">was </w:t>
      </w:r>
      <w:r w:rsidRPr="002B6725" w:rsidR="005D14AB">
        <w:rPr>
          <w:rFonts w:eastAsia="Times New Roman"/>
          <w:lang w:val="en-GB" w:eastAsia="en-GB"/>
        </w:rPr>
        <w:t xml:space="preserve">justifiable under paragraph 2 of Article 8. In particular, if it is not to contravene Article 8, </w:t>
      </w:r>
      <w:r w:rsidRPr="002B6725" w:rsidR="000B7081">
        <w:rPr>
          <w:rFonts w:eastAsia="Times New Roman"/>
          <w:lang w:val="en-GB" w:eastAsia="en-GB"/>
        </w:rPr>
        <w:t xml:space="preserve">such </w:t>
      </w:r>
      <w:r w:rsidRPr="002B6725" w:rsidR="005D14AB">
        <w:rPr>
          <w:rFonts w:eastAsia="Times New Roman"/>
          <w:lang w:val="en-GB" w:eastAsia="en-GB"/>
        </w:rPr>
        <w:t xml:space="preserve">interference must be “in accordance with the law”, pursue a legitimate aim and be necessary in a democratic society in order to achieve that aim (see </w:t>
      </w:r>
      <w:r w:rsidRPr="002B6725" w:rsidR="00B873AB">
        <w:rPr>
          <w:i/>
          <w:lang w:val="en-GB"/>
        </w:rPr>
        <w:t>Silver and Others v. the United Kingdom</w:t>
      </w:r>
      <w:r w:rsidRPr="002B6725" w:rsidR="00C72699">
        <w:rPr>
          <w:lang w:val="en-GB"/>
        </w:rPr>
        <w:t>, 25 </w:t>
      </w:r>
      <w:r w:rsidRPr="002B6725" w:rsidR="00B873AB">
        <w:rPr>
          <w:lang w:val="en-GB"/>
        </w:rPr>
        <w:t>March 1983, § 84, Series A no. 61</w:t>
      </w:r>
      <w:r w:rsidRPr="002B6725" w:rsidR="005D14AB">
        <w:rPr>
          <w:rFonts w:eastAsia="Times New Roman"/>
          <w:lang w:val="en-GB" w:eastAsia="en-GB"/>
        </w:rPr>
        <w:t xml:space="preserve">, and </w:t>
      </w:r>
      <w:r w:rsidRPr="002B6725" w:rsidR="00B873AB">
        <w:rPr>
          <w:i/>
          <w:lang w:val="en-GB"/>
        </w:rPr>
        <w:t>Petra v. Romania</w:t>
      </w:r>
      <w:r w:rsidRPr="002B6725" w:rsidR="00B873AB">
        <w:rPr>
          <w:lang w:val="en-GB"/>
        </w:rPr>
        <w:t xml:space="preserve">, 23 September 1998, § 36, </w:t>
      </w:r>
      <w:r w:rsidRPr="002B6725" w:rsidR="00B873AB">
        <w:rPr>
          <w:i/>
          <w:lang w:val="en-GB"/>
        </w:rPr>
        <w:t>Reports of Judgments and Decisions</w:t>
      </w:r>
      <w:r w:rsidRPr="002B6725" w:rsidR="00B873AB">
        <w:rPr>
          <w:lang w:val="en-GB"/>
        </w:rPr>
        <w:t xml:space="preserve"> 1998</w:t>
      </w:r>
      <w:r w:rsidRPr="002B6725" w:rsidR="00B873AB">
        <w:rPr>
          <w:lang w:val="en-GB"/>
        </w:rPr>
        <w:noBreakHyphen/>
        <w:t>VII</w:t>
      </w:r>
      <w:r w:rsidRPr="002B6725" w:rsidR="005D14AB">
        <w:rPr>
          <w:rFonts w:eastAsia="Times New Roman"/>
          <w:lang w:val="en-GB" w:eastAsia="en-GB"/>
        </w:rPr>
        <w:t>).</w:t>
      </w:r>
    </w:p>
    <w:p w:rsidRPr="002B6725" w:rsidR="005D14AB" w:rsidP="002B6725" w:rsidRDefault="00661526">
      <w:pPr>
        <w:pStyle w:val="ECHRPara"/>
        <w:rPr>
          <w:lang w:val="en-GB"/>
        </w:rPr>
      </w:pPr>
      <w:r w:rsidRPr="002B6725">
        <w:rPr>
          <w:rFonts w:eastAsia="Times New Roman"/>
          <w:lang w:val="en-GB" w:eastAsia="en-GB"/>
        </w:rPr>
        <w:fldChar w:fldCharType="begin"/>
      </w:r>
      <w:r w:rsidRPr="002B6725">
        <w:rPr>
          <w:rFonts w:eastAsia="Times New Roman"/>
          <w:lang w:val="en-GB" w:eastAsia="en-GB"/>
        </w:rPr>
        <w:instrText xml:space="preserve"> SEQ level0 \*arabic </w:instrText>
      </w:r>
      <w:r w:rsidRPr="002B6725">
        <w:rPr>
          <w:rFonts w:eastAsia="Times New Roman"/>
          <w:lang w:val="en-GB" w:eastAsia="en-GB"/>
        </w:rPr>
        <w:fldChar w:fldCharType="separate"/>
      </w:r>
      <w:r w:rsidRPr="002B6725" w:rsidR="002B6725">
        <w:rPr>
          <w:rFonts w:eastAsia="Times New Roman"/>
          <w:noProof/>
          <w:lang w:val="en-GB" w:eastAsia="en-GB"/>
        </w:rPr>
        <w:t>82</w:t>
      </w:r>
      <w:r w:rsidRPr="002B6725">
        <w:rPr>
          <w:rFonts w:eastAsia="Times New Roman"/>
          <w:lang w:val="en-GB" w:eastAsia="en-GB"/>
        </w:rPr>
        <w:fldChar w:fldCharType="end"/>
      </w:r>
      <w:r w:rsidRPr="002B6725">
        <w:rPr>
          <w:rFonts w:eastAsia="Times New Roman"/>
          <w:lang w:val="en-GB" w:eastAsia="en-GB"/>
        </w:rPr>
        <w:t>.  </w:t>
      </w:r>
      <w:r w:rsidRPr="002B6725" w:rsidR="005D14AB">
        <w:rPr>
          <w:rFonts w:eastAsia="Times New Roman"/>
          <w:lang w:val="en-GB" w:eastAsia="en-GB"/>
        </w:rPr>
        <w:t>The Court must first consider whether the interference was “in accordance with the law”. This requires firstly that the impugned measure should have some basis in domestic law; it also refers to the quality of the law in question, requiring that it should be accessible to the person concerned, who must moreover be able to foresee its consequences for him</w:t>
      </w:r>
      <w:r w:rsidRPr="002B6725" w:rsidR="00162E8C">
        <w:rPr>
          <w:rFonts w:eastAsia="Times New Roman"/>
          <w:lang w:val="en-GB" w:eastAsia="en-GB"/>
        </w:rPr>
        <w:t xml:space="preserve"> or her</w:t>
      </w:r>
      <w:r w:rsidRPr="002B6725" w:rsidR="005D14AB">
        <w:rPr>
          <w:rFonts w:eastAsia="Times New Roman"/>
          <w:lang w:val="en-GB" w:eastAsia="en-GB"/>
        </w:rPr>
        <w:t xml:space="preserve">, and be compatible with the rule of law (see </w:t>
      </w:r>
      <w:r w:rsidRPr="002B6725" w:rsidR="00162E8C">
        <w:rPr>
          <w:i/>
          <w:lang w:val="en-GB"/>
        </w:rPr>
        <w:t>Kruslin v. France</w:t>
      </w:r>
      <w:r w:rsidRPr="002B6725" w:rsidR="00C72699">
        <w:rPr>
          <w:lang w:val="en-GB"/>
        </w:rPr>
        <w:t>, 24 </w:t>
      </w:r>
      <w:r w:rsidRPr="002B6725" w:rsidR="00162E8C">
        <w:rPr>
          <w:lang w:val="en-GB"/>
        </w:rPr>
        <w:t>April 1990, § 27, Series A no. 176</w:t>
      </w:r>
      <w:r w:rsidRPr="002B6725" w:rsidR="00162E8C">
        <w:rPr>
          <w:lang w:val="en-GB"/>
        </w:rPr>
        <w:noBreakHyphen/>
        <w:t>A</w:t>
      </w:r>
      <w:r w:rsidRPr="002B6725" w:rsidR="005D14AB">
        <w:rPr>
          <w:rFonts w:eastAsia="Times New Roman"/>
          <w:lang w:val="en-GB" w:eastAsia="en-GB"/>
        </w:rPr>
        <w:t xml:space="preserve">, and </w:t>
      </w:r>
      <w:r w:rsidRPr="002B6725" w:rsidR="00162E8C">
        <w:rPr>
          <w:i/>
          <w:lang w:val="en-GB"/>
        </w:rPr>
        <w:t>Huvig v. France</w:t>
      </w:r>
      <w:r w:rsidRPr="002B6725" w:rsidR="00162E8C">
        <w:rPr>
          <w:lang w:val="en-GB"/>
        </w:rPr>
        <w:t>, 24 April 1990, § 26, Series A no. 176</w:t>
      </w:r>
      <w:r w:rsidRPr="002B6725" w:rsidR="00162E8C">
        <w:rPr>
          <w:lang w:val="en-GB"/>
        </w:rPr>
        <w:noBreakHyphen/>
        <w:t>B</w:t>
      </w:r>
      <w:r w:rsidRPr="002B6725" w:rsidR="005D14AB">
        <w:rPr>
          <w:rFonts w:eastAsia="Times New Roman"/>
          <w:lang w:val="en-GB" w:eastAsia="en-GB"/>
        </w:rPr>
        <w:t>).</w:t>
      </w:r>
    </w:p>
    <w:p w:rsidRPr="002B6725" w:rsidR="00750D68" w:rsidP="002B6725" w:rsidRDefault="00661526">
      <w:pPr>
        <w:pStyle w:val="ECHRPara"/>
        <w:rPr>
          <w:color w:val="000000"/>
        </w:rPr>
      </w:pPr>
      <w:r w:rsidRPr="002B6725">
        <w:rPr>
          <w:rFonts w:eastAsia="Times New Roman"/>
          <w:lang w:val="en-GB" w:eastAsia="en-GB"/>
        </w:rPr>
        <w:fldChar w:fldCharType="begin"/>
      </w:r>
      <w:r w:rsidRPr="002B6725">
        <w:rPr>
          <w:rFonts w:eastAsia="Times New Roman"/>
          <w:lang w:val="en-GB" w:eastAsia="en-GB"/>
        </w:rPr>
        <w:instrText xml:space="preserve"> SEQ level0 \*arabic </w:instrText>
      </w:r>
      <w:r w:rsidRPr="002B6725">
        <w:rPr>
          <w:rFonts w:eastAsia="Times New Roman"/>
          <w:lang w:val="en-GB" w:eastAsia="en-GB"/>
        </w:rPr>
        <w:fldChar w:fldCharType="separate"/>
      </w:r>
      <w:r w:rsidRPr="002B6725" w:rsidR="002B6725">
        <w:rPr>
          <w:rFonts w:eastAsia="Times New Roman"/>
          <w:noProof/>
          <w:lang w:val="en-GB" w:eastAsia="en-GB"/>
        </w:rPr>
        <w:t>83</w:t>
      </w:r>
      <w:r w:rsidRPr="002B6725">
        <w:rPr>
          <w:rFonts w:eastAsia="Times New Roman"/>
          <w:lang w:val="en-GB" w:eastAsia="en-GB"/>
        </w:rPr>
        <w:fldChar w:fldCharType="end"/>
      </w:r>
      <w:r w:rsidRPr="002B6725">
        <w:rPr>
          <w:rFonts w:eastAsia="Times New Roman"/>
          <w:lang w:val="en-GB" w:eastAsia="en-GB"/>
        </w:rPr>
        <w:t>.  </w:t>
      </w:r>
      <w:r w:rsidRPr="002B6725" w:rsidR="005D14AB">
        <w:rPr>
          <w:rFonts w:eastAsia="Times New Roman"/>
          <w:lang w:val="en-GB" w:eastAsia="en-GB"/>
        </w:rPr>
        <w:t xml:space="preserve">In contending that these requirements </w:t>
      </w:r>
      <w:r w:rsidRPr="002B6725" w:rsidR="00830DC8">
        <w:rPr>
          <w:rFonts w:eastAsia="Times New Roman"/>
          <w:lang w:val="en-GB" w:eastAsia="en-GB"/>
        </w:rPr>
        <w:t xml:space="preserve">had been </w:t>
      </w:r>
      <w:r w:rsidRPr="002B6725" w:rsidR="005D14AB">
        <w:rPr>
          <w:rFonts w:eastAsia="Times New Roman"/>
          <w:lang w:val="en-GB" w:eastAsia="en-GB"/>
        </w:rPr>
        <w:t>met</w:t>
      </w:r>
      <w:r w:rsidRPr="002B6725" w:rsidR="00326577">
        <w:rPr>
          <w:rFonts w:eastAsia="Times New Roman"/>
          <w:lang w:val="en-GB" w:eastAsia="en-GB"/>
        </w:rPr>
        <w:t xml:space="preserve"> in respect of the </w:t>
      </w:r>
      <w:r w:rsidRPr="002B6725" w:rsidR="003B3F89">
        <w:rPr>
          <w:rFonts w:eastAsia="Times New Roman"/>
          <w:lang w:val="en-GB" w:eastAsia="en-GB"/>
        </w:rPr>
        <w:t>limitations on visits</w:t>
      </w:r>
      <w:r w:rsidRPr="002B6725" w:rsidR="00755A48">
        <w:rPr>
          <w:rFonts w:eastAsia="Times New Roman"/>
          <w:lang w:val="en-GB" w:eastAsia="en-GB"/>
        </w:rPr>
        <w:t xml:space="preserve"> to the applicant</w:t>
      </w:r>
      <w:r w:rsidRPr="002B6725" w:rsidR="003B3F89">
        <w:rPr>
          <w:rFonts w:eastAsia="Times New Roman"/>
          <w:lang w:val="en-GB" w:eastAsia="en-GB"/>
        </w:rPr>
        <w:t xml:space="preserve"> </w:t>
      </w:r>
      <w:r w:rsidRPr="002B6725" w:rsidR="00830DC8">
        <w:rPr>
          <w:rFonts w:eastAsia="Times New Roman"/>
          <w:lang w:val="en-GB" w:eastAsia="en-GB"/>
        </w:rPr>
        <w:t xml:space="preserve">by </w:t>
      </w:r>
      <w:r w:rsidRPr="002B6725" w:rsidR="003B3F89">
        <w:rPr>
          <w:rFonts w:eastAsia="Times New Roman"/>
          <w:lang w:val="en-GB" w:eastAsia="en-GB"/>
        </w:rPr>
        <w:t>his family</w:t>
      </w:r>
      <w:r w:rsidRPr="002B6725" w:rsidR="005D14AB">
        <w:rPr>
          <w:rFonts w:eastAsia="Times New Roman"/>
          <w:lang w:val="en-GB" w:eastAsia="en-GB"/>
        </w:rPr>
        <w:t>,</w:t>
      </w:r>
      <w:r w:rsidRPr="002B6725" w:rsidR="003B3F89">
        <w:rPr>
          <w:rFonts w:eastAsia="Times New Roman"/>
          <w:lang w:val="en-GB" w:eastAsia="en-GB"/>
        </w:rPr>
        <w:t xml:space="preserve"> the Government referred to </w:t>
      </w:r>
      <w:r w:rsidRPr="002B6725" w:rsidR="003B3F89">
        <w:t>Article 162 of the Code of Criminal Proc</w:t>
      </w:r>
      <w:r w:rsidRPr="002B6725" w:rsidR="00C72699">
        <w:t>edure and Article 12 of the Pre</w:t>
      </w:r>
      <w:r w:rsidRPr="002B6725" w:rsidR="00C72699">
        <w:noBreakHyphen/>
      </w:r>
      <w:r w:rsidRPr="002B6725" w:rsidR="003B3F89">
        <w:t>Trial Detention Act which provided that an investigator or a judge c</w:t>
      </w:r>
      <w:r w:rsidRPr="002B6725" w:rsidR="00D46285">
        <w:t>ould</w:t>
      </w:r>
      <w:r w:rsidRPr="002B6725" w:rsidR="003B3F89">
        <w:t xml:space="preserve"> allow family visits during pre-trial detention. </w:t>
      </w:r>
      <w:r w:rsidRPr="002B6725" w:rsidR="00326577">
        <w:rPr>
          <w:rFonts w:eastAsia="Times New Roman"/>
          <w:lang w:val="en-GB" w:eastAsia="en-GB"/>
        </w:rPr>
        <w:t xml:space="preserve">As regards </w:t>
      </w:r>
      <w:r w:rsidRPr="002B6725" w:rsidR="003B3F89">
        <w:rPr>
          <w:rFonts w:eastAsia="Times New Roman"/>
          <w:lang w:val="en-GB" w:eastAsia="en-GB"/>
        </w:rPr>
        <w:t xml:space="preserve">the </w:t>
      </w:r>
      <w:r w:rsidRPr="002B6725" w:rsidR="00326577">
        <w:rPr>
          <w:rFonts w:eastAsia="Times New Roman"/>
          <w:lang w:val="en-GB" w:eastAsia="en-GB"/>
        </w:rPr>
        <w:t xml:space="preserve">possibility to correspond with relatives, </w:t>
      </w:r>
      <w:r w:rsidRPr="002B6725" w:rsidR="005D14AB">
        <w:rPr>
          <w:rFonts w:eastAsia="Times New Roman"/>
          <w:lang w:val="en-GB" w:eastAsia="en-GB"/>
        </w:rPr>
        <w:t>the</w:t>
      </w:r>
      <w:r w:rsidRPr="002B6725" w:rsidR="003B3F89">
        <w:rPr>
          <w:rFonts w:eastAsia="Times New Roman"/>
          <w:lang w:val="en-GB" w:eastAsia="en-GB"/>
        </w:rPr>
        <w:t xml:space="preserve">y noted that </w:t>
      </w:r>
      <w:r w:rsidRPr="002B6725" w:rsidR="005D14AB">
        <w:rPr>
          <w:rFonts w:eastAsia="Times New Roman"/>
          <w:lang w:val="en-GB" w:eastAsia="en-GB"/>
        </w:rPr>
        <w:t>Article 13 of the Pre-Trial Detention Act provide</w:t>
      </w:r>
      <w:r w:rsidRPr="002B6725" w:rsidR="003B3F89">
        <w:rPr>
          <w:rFonts w:eastAsia="Times New Roman"/>
          <w:lang w:val="en-GB" w:eastAsia="en-GB"/>
        </w:rPr>
        <w:t>d</w:t>
      </w:r>
      <w:r w:rsidRPr="002B6725" w:rsidR="005D14AB">
        <w:rPr>
          <w:rFonts w:eastAsia="Times New Roman"/>
          <w:lang w:val="en-GB" w:eastAsia="en-GB"/>
        </w:rPr>
        <w:t xml:space="preserve"> that a detainee </w:t>
      </w:r>
      <w:r w:rsidRPr="002B6725" w:rsidR="00D46285">
        <w:rPr>
          <w:rFonts w:eastAsia="Times New Roman"/>
          <w:lang w:val="en-GB" w:eastAsia="en-GB"/>
        </w:rPr>
        <w:t xml:space="preserve">could </w:t>
      </w:r>
      <w:r w:rsidRPr="002B6725" w:rsidR="005D14AB">
        <w:rPr>
          <w:color w:val="000000"/>
        </w:rPr>
        <w:t xml:space="preserve">correspond with </w:t>
      </w:r>
      <w:r w:rsidRPr="002B6725" w:rsidR="00C7105C">
        <w:rPr>
          <w:color w:val="000000"/>
        </w:rPr>
        <w:t xml:space="preserve">his or her </w:t>
      </w:r>
      <w:r w:rsidRPr="002B6725" w:rsidR="005D14AB">
        <w:rPr>
          <w:color w:val="000000"/>
        </w:rPr>
        <w:t xml:space="preserve">relatives and other </w:t>
      </w:r>
      <w:r w:rsidRPr="002B6725" w:rsidR="00F95421">
        <w:rPr>
          <w:color w:val="000000"/>
        </w:rPr>
        <w:t xml:space="preserve">people </w:t>
      </w:r>
      <w:r w:rsidRPr="002B6725" w:rsidR="00C7105C">
        <w:rPr>
          <w:color w:val="000000"/>
        </w:rPr>
        <w:t>with the</w:t>
      </w:r>
      <w:r w:rsidRPr="002B6725" w:rsidR="005D14AB">
        <w:rPr>
          <w:color w:val="000000"/>
        </w:rPr>
        <w:t xml:space="preserve"> written consent </w:t>
      </w:r>
      <w:r w:rsidRPr="002B6725" w:rsidR="00C7105C">
        <w:rPr>
          <w:color w:val="000000"/>
        </w:rPr>
        <w:t xml:space="preserve">of </w:t>
      </w:r>
      <w:r w:rsidRPr="002B6725" w:rsidR="005D14AB">
        <w:rPr>
          <w:color w:val="000000"/>
        </w:rPr>
        <w:t xml:space="preserve">the person or authority </w:t>
      </w:r>
      <w:r w:rsidRPr="002B6725" w:rsidR="002817A0">
        <w:t xml:space="preserve">dealing with the criminal case </w:t>
      </w:r>
      <w:r w:rsidRPr="002B6725" w:rsidR="005D14AB">
        <w:rPr>
          <w:color w:val="000000"/>
        </w:rPr>
        <w:t>against the detainee.</w:t>
      </w:r>
      <w:r w:rsidRPr="002B6725" w:rsidR="00932193">
        <w:rPr>
          <w:color w:val="000000"/>
        </w:rPr>
        <w:t xml:space="preserve"> The Court will deal with tho</w:t>
      </w:r>
      <w:r w:rsidRPr="002B6725" w:rsidR="00D46285">
        <w:rPr>
          <w:color w:val="000000"/>
        </w:rPr>
        <w:t>s</w:t>
      </w:r>
      <w:r w:rsidRPr="002B6725" w:rsidR="00932193">
        <w:rPr>
          <w:color w:val="000000"/>
        </w:rPr>
        <w:t>e arguments separately.</w:t>
      </w:r>
    </w:p>
    <w:p w:rsidRPr="002B6725" w:rsidR="00441B7A" w:rsidP="002B6725" w:rsidRDefault="00441B7A">
      <w:pPr>
        <w:pStyle w:val="ECHRHeading4"/>
        <w:rPr>
          <w:rFonts w:eastAsia="Times New Roman"/>
          <w:lang w:val="en-GB" w:eastAsia="en-GB"/>
        </w:rPr>
      </w:pPr>
      <w:r w:rsidRPr="002B6725">
        <w:rPr>
          <w:color w:val="000000"/>
        </w:rPr>
        <w:t>(a)</w:t>
      </w:r>
      <w:r w:rsidRPr="002B6725" w:rsidR="00C72699">
        <w:rPr>
          <w:rFonts w:eastAsia="Times New Roman"/>
          <w:lang w:val="en-GB" w:eastAsia="en-GB"/>
        </w:rPr>
        <w:t>  </w:t>
      </w:r>
      <w:r w:rsidRPr="002B6725">
        <w:t>Refusal of family visits</w:t>
      </w:r>
    </w:p>
    <w:p w:rsidRPr="002B6725" w:rsidR="00750D68" w:rsidP="002B6725" w:rsidRDefault="00661526">
      <w:pPr>
        <w:pStyle w:val="ECHRPara"/>
        <w:rPr>
          <w:rFonts w:eastAsia="Times New Roman"/>
          <w:lang w:val="en-GB" w:eastAsia="en-GB"/>
        </w:rPr>
      </w:pPr>
      <w:r w:rsidRPr="002B6725">
        <w:rPr>
          <w:rFonts w:eastAsia="Times New Roman"/>
          <w:lang w:val="en-GB" w:eastAsia="en-GB"/>
        </w:rPr>
        <w:fldChar w:fldCharType="begin"/>
      </w:r>
      <w:r w:rsidRPr="002B6725">
        <w:rPr>
          <w:rFonts w:eastAsia="Times New Roman"/>
          <w:lang w:val="en-GB" w:eastAsia="en-GB"/>
        </w:rPr>
        <w:instrText xml:space="preserve"> SEQ level0 \*arabic </w:instrText>
      </w:r>
      <w:r w:rsidRPr="002B6725">
        <w:rPr>
          <w:rFonts w:eastAsia="Times New Roman"/>
          <w:lang w:val="en-GB" w:eastAsia="en-GB"/>
        </w:rPr>
        <w:fldChar w:fldCharType="separate"/>
      </w:r>
      <w:r w:rsidRPr="002B6725" w:rsidR="002B6725">
        <w:rPr>
          <w:rFonts w:eastAsia="Times New Roman"/>
          <w:noProof/>
          <w:lang w:val="en-GB" w:eastAsia="en-GB"/>
        </w:rPr>
        <w:t>84</w:t>
      </w:r>
      <w:r w:rsidRPr="002B6725">
        <w:rPr>
          <w:rFonts w:eastAsia="Times New Roman"/>
          <w:lang w:val="en-GB" w:eastAsia="en-GB"/>
        </w:rPr>
        <w:fldChar w:fldCharType="end"/>
      </w:r>
      <w:r w:rsidRPr="002B6725">
        <w:rPr>
          <w:rFonts w:eastAsia="Times New Roman"/>
          <w:lang w:val="en-GB" w:eastAsia="en-GB"/>
        </w:rPr>
        <w:t>.  </w:t>
      </w:r>
      <w:r w:rsidRPr="002B6725" w:rsidR="00441B7A">
        <w:rPr>
          <w:rFonts w:eastAsia="Times New Roman"/>
          <w:lang w:val="en-GB" w:eastAsia="en-GB"/>
        </w:rPr>
        <w:t>The Court re</w:t>
      </w:r>
      <w:r w:rsidRPr="002B6725" w:rsidR="00945323">
        <w:rPr>
          <w:rFonts w:eastAsia="Times New Roman"/>
          <w:lang w:val="en-GB" w:eastAsia="en-GB"/>
        </w:rPr>
        <w:t>iterates</w:t>
      </w:r>
      <w:r w:rsidRPr="002B6725" w:rsidR="00441B7A">
        <w:rPr>
          <w:rFonts w:eastAsia="Times New Roman"/>
          <w:lang w:val="en-GB" w:eastAsia="en-GB"/>
        </w:rPr>
        <w:t xml:space="preserve"> that </w:t>
      </w:r>
      <w:r w:rsidRPr="002B6725" w:rsidR="00BD1120">
        <w:rPr>
          <w:rFonts w:eastAsia="Times New Roman"/>
          <w:lang w:val="en-GB" w:eastAsia="en-GB"/>
        </w:rPr>
        <w:t xml:space="preserve">it has already </w:t>
      </w:r>
      <w:r w:rsidRPr="002B6725" w:rsidR="00BD1120">
        <w:t>found violations of Article 8 of the Convention in similar cases against Ukraine, having established that the legislative provisions referred to by the Government</w:t>
      </w:r>
      <w:r w:rsidRPr="002B6725" w:rsidR="00120D7D">
        <w:t>, as in force at the relevant time,</w:t>
      </w:r>
      <w:r w:rsidRPr="002B6725" w:rsidR="00BD1120">
        <w:t xml:space="preserve"> </w:t>
      </w:r>
      <w:r w:rsidRPr="002B6725" w:rsidR="00BD1120">
        <w:rPr>
          <w:rFonts w:eastAsia="Times New Roman"/>
          <w:lang w:val="en-GB" w:eastAsia="en-GB"/>
        </w:rPr>
        <w:t xml:space="preserve">did not indicate with reasonable clarity the scope and manner of </w:t>
      </w:r>
      <w:r w:rsidRPr="002B6725" w:rsidR="00755A48">
        <w:rPr>
          <w:rFonts w:eastAsia="Times New Roman"/>
          <w:lang w:val="en-GB" w:eastAsia="en-GB"/>
        </w:rPr>
        <w:t xml:space="preserve">the </w:t>
      </w:r>
      <w:r w:rsidRPr="002B6725" w:rsidR="00BD1120">
        <w:rPr>
          <w:rFonts w:eastAsia="Times New Roman"/>
          <w:lang w:val="en-GB" w:eastAsia="en-GB"/>
        </w:rPr>
        <w:t>exercise of discretion conferred on the public authorities in respect of restrictions on detainees</w:t>
      </w:r>
      <w:r w:rsidRPr="002B6725" w:rsidR="002B6725">
        <w:rPr>
          <w:rFonts w:eastAsia="Times New Roman"/>
          <w:lang w:val="en-GB" w:eastAsia="en-GB"/>
        </w:rPr>
        <w:t>’</w:t>
      </w:r>
      <w:r w:rsidRPr="002B6725" w:rsidR="00BD1120">
        <w:rPr>
          <w:rFonts w:eastAsia="Times New Roman"/>
          <w:lang w:val="en-GB" w:eastAsia="en-GB"/>
        </w:rPr>
        <w:t xml:space="preserve"> contacts</w:t>
      </w:r>
      <w:r w:rsidRPr="002B6725" w:rsidR="00755A48">
        <w:rPr>
          <w:rFonts w:eastAsia="Times New Roman"/>
          <w:lang w:val="en-GB" w:eastAsia="en-GB"/>
        </w:rPr>
        <w:t xml:space="preserve"> with</w:t>
      </w:r>
      <w:r w:rsidRPr="002B6725" w:rsidR="00BD1120">
        <w:rPr>
          <w:rFonts w:eastAsia="Times New Roman"/>
          <w:lang w:val="en-GB" w:eastAsia="en-GB"/>
        </w:rPr>
        <w:t xml:space="preserve"> </w:t>
      </w:r>
      <w:r w:rsidRPr="002B6725" w:rsidR="00945323">
        <w:rPr>
          <w:rFonts w:eastAsia="Times New Roman"/>
          <w:lang w:val="en-GB" w:eastAsia="en-GB"/>
        </w:rPr>
        <w:t xml:space="preserve">their </w:t>
      </w:r>
      <w:r w:rsidRPr="002B6725" w:rsidR="00BD1120">
        <w:rPr>
          <w:rFonts w:eastAsia="Times New Roman"/>
          <w:lang w:val="en-GB" w:eastAsia="en-GB"/>
        </w:rPr>
        <w:t>famil</w:t>
      </w:r>
      <w:r w:rsidRPr="002B6725" w:rsidR="00945323">
        <w:rPr>
          <w:rFonts w:eastAsia="Times New Roman"/>
          <w:lang w:val="en-GB" w:eastAsia="en-GB"/>
        </w:rPr>
        <w:t>ies</w:t>
      </w:r>
      <w:r w:rsidRPr="002B6725" w:rsidR="00BD1120">
        <w:rPr>
          <w:rFonts w:eastAsia="Times New Roman"/>
          <w:lang w:val="en-GB" w:eastAsia="en-GB"/>
        </w:rPr>
        <w:t>. The above provisions</w:t>
      </w:r>
      <w:r w:rsidRPr="002B6725" w:rsidR="00C95069">
        <w:rPr>
          <w:rFonts w:eastAsia="Times New Roman"/>
          <w:lang w:val="en-GB" w:eastAsia="en-GB"/>
        </w:rPr>
        <w:t xml:space="preserve"> (see paragraphs 3</w:t>
      </w:r>
      <w:r w:rsidRPr="002B6725" w:rsidR="00951B6D">
        <w:rPr>
          <w:rFonts w:eastAsia="Times New Roman"/>
          <w:lang w:val="en-GB" w:eastAsia="en-GB"/>
        </w:rPr>
        <w:t>7</w:t>
      </w:r>
      <w:r w:rsidRPr="002B6725" w:rsidR="00C95069">
        <w:rPr>
          <w:rFonts w:eastAsia="Times New Roman"/>
          <w:lang w:val="en-GB" w:eastAsia="en-GB"/>
        </w:rPr>
        <w:t xml:space="preserve"> and 3</w:t>
      </w:r>
      <w:r w:rsidRPr="002B6725" w:rsidR="00951B6D">
        <w:rPr>
          <w:rFonts w:eastAsia="Times New Roman"/>
          <w:lang w:val="en-GB" w:eastAsia="en-GB"/>
        </w:rPr>
        <w:t>8</w:t>
      </w:r>
      <w:r w:rsidRPr="002B6725" w:rsidR="00C95069">
        <w:rPr>
          <w:rFonts w:eastAsia="Times New Roman"/>
          <w:lang w:val="en-GB" w:eastAsia="en-GB"/>
        </w:rPr>
        <w:t xml:space="preserve"> above)</w:t>
      </w:r>
      <w:r w:rsidRPr="002B6725" w:rsidR="00BD1120">
        <w:rPr>
          <w:rFonts w:eastAsia="Times New Roman"/>
          <w:lang w:val="en-GB" w:eastAsia="en-GB"/>
        </w:rPr>
        <w:t xml:space="preserve"> did not require them to give any reasons for their discretionary decision</w:t>
      </w:r>
      <w:r w:rsidRPr="002B6725" w:rsidR="00945323">
        <w:rPr>
          <w:rFonts w:eastAsia="Times New Roman"/>
          <w:lang w:val="en-GB" w:eastAsia="en-GB"/>
        </w:rPr>
        <w:t>s</w:t>
      </w:r>
      <w:r w:rsidRPr="002B6725" w:rsidR="00BD1120">
        <w:rPr>
          <w:rFonts w:eastAsia="Times New Roman"/>
          <w:lang w:val="en-GB" w:eastAsia="en-GB"/>
        </w:rPr>
        <w:t xml:space="preserve"> or even to take any formal decision that could be appealed against, and therefore contained no safeguards against arbitrariness or abuse (see</w:t>
      </w:r>
      <w:r w:rsidRPr="002B6725" w:rsidR="00C72699">
        <w:rPr>
          <w:rFonts w:eastAsia="Times New Roman"/>
          <w:lang w:val="en-GB" w:eastAsia="en-GB"/>
        </w:rPr>
        <w:t> </w:t>
      </w:r>
      <w:r w:rsidRPr="002B6725" w:rsidR="00D95954">
        <w:rPr>
          <w:rFonts w:eastAsia="Times New Roman"/>
          <w:i/>
          <w:lang w:val="en-GB" w:eastAsia="en-GB"/>
        </w:rPr>
        <w:t>Shalimov v. Ukraine</w:t>
      </w:r>
      <w:r w:rsidRPr="002B6725" w:rsidR="00D95954">
        <w:rPr>
          <w:rFonts w:eastAsia="Times New Roman"/>
          <w:lang w:val="en-GB" w:eastAsia="en-GB"/>
        </w:rPr>
        <w:t xml:space="preserve">, no. </w:t>
      </w:r>
      <w:r w:rsidRPr="002B6725" w:rsidR="00D95954">
        <w:rPr>
          <w:rStyle w:val="column01"/>
        </w:rPr>
        <w:t>20808/02,</w:t>
      </w:r>
      <w:r w:rsidRPr="002B6725" w:rsidR="00D95954">
        <w:rPr>
          <w:rFonts w:eastAsia="Times New Roman"/>
          <w:lang w:val="en-GB" w:eastAsia="en-GB"/>
        </w:rPr>
        <w:t xml:space="preserve"> §§ 84-91, </w:t>
      </w:r>
      <w:r w:rsidRPr="002B6725" w:rsidR="006444A1">
        <w:rPr>
          <w:rStyle w:val="column04"/>
        </w:rPr>
        <w:t>4 </w:t>
      </w:r>
      <w:r w:rsidRPr="002B6725" w:rsidR="00D95954">
        <w:rPr>
          <w:rStyle w:val="column04"/>
        </w:rPr>
        <w:t>March 2010</w:t>
      </w:r>
      <w:r w:rsidRPr="002B6725" w:rsidR="00945323">
        <w:rPr>
          <w:rFonts w:eastAsia="Times New Roman"/>
          <w:lang w:val="en-GB" w:eastAsia="en-GB"/>
        </w:rPr>
        <w:t>, and</w:t>
      </w:r>
      <w:r w:rsidRPr="002B6725" w:rsidR="00D95954">
        <w:rPr>
          <w:rFonts w:eastAsia="Times New Roman"/>
          <w:lang w:val="en-GB" w:eastAsia="en-GB"/>
        </w:rPr>
        <w:t xml:space="preserve"> </w:t>
      </w:r>
      <w:r w:rsidRPr="002B6725" w:rsidR="00D95954">
        <w:rPr>
          <w:rFonts w:eastAsia="Times New Roman"/>
          <w:i/>
          <w:lang w:val="en-GB" w:eastAsia="en-GB"/>
        </w:rPr>
        <w:t>Feldman v. Ukraine (no.2)</w:t>
      </w:r>
      <w:r w:rsidRPr="002B6725" w:rsidR="00D95954">
        <w:rPr>
          <w:rFonts w:eastAsia="Times New Roman"/>
          <w:lang w:val="en-GB" w:eastAsia="en-GB"/>
        </w:rPr>
        <w:t xml:space="preserve">, no. </w:t>
      </w:r>
      <w:r w:rsidRPr="002B6725" w:rsidR="00D95954">
        <w:rPr>
          <w:rStyle w:val="column01"/>
        </w:rPr>
        <w:t>42921/09,</w:t>
      </w:r>
      <w:r w:rsidRPr="002B6725" w:rsidR="00D95954">
        <w:t> </w:t>
      </w:r>
      <w:r w:rsidRPr="002B6725" w:rsidR="00D95954">
        <w:rPr>
          <w:lang w:val="en-GB"/>
        </w:rPr>
        <w:t>§§ 22-29,</w:t>
      </w:r>
      <w:r w:rsidRPr="002B6725" w:rsidR="006444A1">
        <w:rPr>
          <w:lang w:val="en-GB"/>
        </w:rPr>
        <w:t xml:space="preserve"> 12 </w:t>
      </w:r>
      <w:r w:rsidRPr="002B6725" w:rsidR="00D95954">
        <w:rPr>
          <w:lang w:val="en-GB"/>
        </w:rPr>
        <w:t>January 2012)</w:t>
      </w:r>
      <w:r w:rsidRPr="002B6725" w:rsidR="00BD1120">
        <w:rPr>
          <w:rFonts w:eastAsia="Times New Roman"/>
          <w:lang w:val="en-GB" w:eastAsia="en-GB"/>
        </w:rPr>
        <w:t>.</w:t>
      </w:r>
    </w:p>
    <w:p w:rsidRPr="002B6725" w:rsidR="00D95954" w:rsidP="002B6725" w:rsidRDefault="002B6725">
      <w:pPr>
        <w:pStyle w:val="ECHRPara"/>
        <w:rPr>
          <w:rFonts w:eastAsia="Times New Roman"/>
          <w:lang w:val="en-GB" w:eastAsia="en-GB"/>
        </w:rPr>
      </w:pPr>
      <w:fldSimple w:instr=" SEQ level0 \*arabic ">
        <w:r w:rsidRPr="002B6725">
          <w:rPr>
            <w:noProof/>
          </w:rPr>
          <w:t>85</w:t>
        </w:r>
      </w:fldSimple>
      <w:r w:rsidRPr="002B6725" w:rsidR="00661526">
        <w:t>.  </w:t>
      </w:r>
      <w:r w:rsidRPr="002B6725" w:rsidR="00D95954">
        <w:t>No arguments have been put forward in this case which would enable the Court to reach a different conclusion.</w:t>
      </w:r>
    </w:p>
    <w:p w:rsidRPr="002B6725" w:rsidR="00750D68" w:rsidP="002B6725" w:rsidRDefault="008D7979">
      <w:pPr>
        <w:pStyle w:val="ECHRPara"/>
        <w:rPr>
          <w:color w:val="000000"/>
        </w:rPr>
      </w:pPr>
      <w:r>
        <w:fldChar w:fldCharType="begin"/>
      </w:r>
      <w:r>
        <w:instrText xml:space="preserve"> SEQ level0 \*arabic </w:instrText>
      </w:r>
      <w:r>
        <w:fldChar w:fldCharType="separate"/>
      </w:r>
      <w:r w:rsidRPr="002B6725" w:rsidR="002B6725">
        <w:rPr>
          <w:noProof/>
        </w:rPr>
        <w:t>86</w:t>
      </w:r>
      <w:r>
        <w:rPr>
          <w:noProof/>
        </w:rPr>
        <w:fldChar w:fldCharType="end"/>
      </w:r>
      <w:r w:rsidRPr="002B6725" w:rsidR="00661526">
        <w:t>.  </w:t>
      </w:r>
      <w:r w:rsidRPr="002B6725" w:rsidR="00D95954">
        <w:t>The Court finds</w:t>
      </w:r>
      <w:r w:rsidRPr="002B6725" w:rsidR="00C42854">
        <w:t>,</w:t>
      </w:r>
      <w:r w:rsidRPr="002B6725" w:rsidR="00D95954">
        <w:t xml:space="preserve"> in these circumstances</w:t>
      </w:r>
      <w:r w:rsidRPr="002B6725" w:rsidR="00C42854">
        <w:t>,</w:t>
      </w:r>
      <w:r w:rsidRPr="002B6725" w:rsidR="00D95954">
        <w:t xml:space="preserve"> </w:t>
      </w:r>
      <w:r w:rsidRPr="002B6725" w:rsidR="00120D7D">
        <w:t xml:space="preserve">that </w:t>
      </w:r>
      <w:r w:rsidRPr="002B6725" w:rsidR="00D95954">
        <w:t>it cannot be said that the interference with the applicant</w:t>
      </w:r>
      <w:r w:rsidRPr="002B6725" w:rsidR="002B6725">
        <w:t>’</w:t>
      </w:r>
      <w:r w:rsidRPr="002B6725" w:rsidR="00D95954">
        <w:t>s right to respect for his family life was “in accordance with the law” as required by Article 8 § 2 of the Convention.</w:t>
      </w:r>
      <w:r w:rsidRPr="002B6725" w:rsidR="00120D7D">
        <w:t xml:space="preserve"> </w:t>
      </w:r>
      <w:r w:rsidRPr="002B6725" w:rsidR="00AC7D68">
        <w:t>It therefore does not consider it necessary in the instant case to ascertain whether the other requirements of paragraph 2 of Article 8 were complied with and holds that there has been a violation of that provision.</w:t>
      </w:r>
    </w:p>
    <w:p w:rsidRPr="002B6725" w:rsidR="00750D68" w:rsidP="002B6725" w:rsidRDefault="00D95954">
      <w:pPr>
        <w:pStyle w:val="ECHRHeading4"/>
        <w:rPr>
          <w:rFonts w:eastAsia="Times New Roman"/>
          <w:lang w:val="en-GB" w:eastAsia="en-GB"/>
        </w:rPr>
      </w:pPr>
      <w:r w:rsidRPr="002B6725">
        <w:rPr>
          <w:color w:val="000000"/>
        </w:rPr>
        <w:t>(b)</w:t>
      </w:r>
      <w:r w:rsidRPr="002B6725" w:rsidR="00C72699">
        <w:rPr>
          <w:rFonts w:eastAsia="Times New Roman"/>
          <w:lang w:val="en-GB" w:eastAsia="en-GB"/>
        </w:rPr>
        <w:t>  </w:t>
      </w:r>
      <w:r w:rsidRPr="002B6725">
        <w:rPr>
          <w:rFonts w:eastAsia="Times New Roman"/>
          <w:lang w:val="en-GB" w:eastAsia="en-GB"/>
        </w:rPr>
        <w:t>Restriction o</w:t>
      </w:r>
      <w:r w:rsidRPr="002B6725" w:rsidR="0078155C">
        <w:rPr>
          <w:rFonts w:eastAsia="Times New Roman"/>
          <w:lang w:val="en-GB" w:eastAsia="en-GB"/>
        </w:rPr>
        <w:t>n</w:t>
      </w:r>
      <w:r w:rsidRPr="002B6725">
        <w:rPr>
          <w:rFonts w:eastAsia="Times New Roman"/>
          <w:lang w:val="en-GB" w:eastAsia="en-GB"/>
        </w:rPr>
        <w:t xml:space="preserve"> correspondence with relatives</w:t>
      </w:r>
    </w:p>
    <w:p w:rsidRPr="002B6725" w:rsidR="00750D68" w:rsidP="002B6725" w:rsidRDefault="002B6725">
      <w:pPr>
        <w:pStyle w:val="ECHRPara"/>
      </w:pPr>
      <w:fldSimple w:instr=" SEQ level0 \*arabic ">
        <w:r w:rsidRPr="002B6725">
          <w:rPr>
            <w:noProof/>
          </w:rPr>
          <w:t>87</w:t>
        </w:r>
      </w:fldSimple>
      <w:r w:rsidRPr="002B6725" w:rsidR="00661526">
        <w:t>.  </w:t>
      </w:r>
      <w:r w:rsidRPr="002B6725" w:rsidR="00120D7D">
        <w:t>The Court observes that the legislative provisions governing restrictions on correspondence with relatives are similar to those governing family visits.</w:t>
      </w:r>
    </w:p>
    <w:p w:rsidRPr="002B6725" w:rsidR="00750D68" w:rsidP="002B6725" w:rsidRDefault="00962DC9">
      <w:pPr>
        <w:pStyle w:val="ECHRPara"/>
        <w:rPr>
          <w:rFonts w:ascii="Times New Roman" w:hAnsi="Times New Roman" w:eastAsia="Times New Roman" w:cs="Times New Roman"/>
          <w:szCs w:val="24"/>
          <w:lang w:val="en-GB" w:eastAsia="en-GB"/>
        </w:rPr>
      </w:pPr>
      <w:r w:rsidRPr="002B6725">
        <w:rPr>
          <w:lang w:val="en-GB"/>
        </w:rPr>
        <w:fldChar w:fldCharType="begin"/>
      </w:r>
      <w:r w:rsidRPr="002B6725">
        <w:rPr>
          <w:lang w:val="en-GB"/>
        </w:rPr>
        <w:instrText xml:space="preserve"> SEQ level0 \*arabic </w:instrText>
      </w:r>
      <w:r w:rsidRPr="002B6725">
        <w:rPr>
          <w:lang w:val="en-GB"/>
        </w:rPr>
        <w:fldChar w:fldCharType="separate"/>
      </w:r>
      <w:r w:rsidRPr="002B6725" w:rsidR="002B6725">
        <w:rPr>
          <w:noProof/>
          <w:lang w:val="en-GB"/>
        </w:rPr>
        <w:t>88</w:t>
      </w:r>
      <w:r w:rsidRPr="002B6725">
        <w:rPr>
          <w:lang w:val="en-GB"/>
        </w:rPr>
        <w:fldChar w:fldCharType="end"/>
      </w:r>
      <w:r w:rsidRPr="002B6725">
        <w:rPr>
          <w:lang w:val="en-GB"/>
        </w:rPr>
        <w:t>.  </w:t>
      </w:r>
      <w:r w:rsidRPr="002B6725" w:rsidR="00CE6136">
        <w:rPr>
          <w:lang w:val="en-GB"/>
        </w:rPr>
        <w:t xml:space="preserve">It further notes that </w:t>
      </w:r>
      <w:r w:rsidRPr="002B6725" w:rsidR="00CE6136">
        <w:t xml:space="preserve">it has already found a violation of Article 8 of the Convention in the case </w:t>
      </w:r>
      <w:r w:rsidRPr="002B6725" w:rsidR="009C7219">
        <w:t xml:space="preserve">of </w:t>
      </w:r>
      <w:r w:rsidRPr="002B6725" w:rsidR="009C7219">
        <w:rPr>
          <w:i/>
        </w:rPr>
        <w:t>Dovzhenko v. Ukraine</w:t>
      </w:r>
      <w:r w:rsidRPr="002B6725" w:rsidR="009C7219">
        <w:t xml:space="preserve"> </w:t>
      </w:r>
      <w:r w:rsidRPr="002B6725" w:rsidR="00CE6136">
        <w:t>raising issues similar to the present application</w:t>
      </w:r>
      <w:r w:rsidRPr="002B6725" w:rsidR="00CE6136">
        <w:rPr>
          <w:lang w:val="en-GB"/>
        </w:rPr>
        <w:t xml:space="preserve"> (</w:t>
      </w:r>
      <w:r w:rsidRPr="002B6725" w:rsidR="00CE6136">
        <w:rPr>
          <w:rFonts w:ascii="Times New Roman" w:hAnsi="Times New Roman" w:eastAsia="Times New Roman" w:cs="Times New Roman"/>
          <w:szCs w:val="24"/>
          <w:lang w:val="en-GB" w:eastAsia="en-GB"/>
        </w:rPr>
        <w:t>no. 36650/03,</w:t>
      </w:r>
      <w:r w:rsidRPr="002B6725" w:rsidR="00CE6136">
        <w:rPr>
          <w:lang w:val="en-GB"/>
        </w:rPr>
        <w:t xml:space="preserve"> </w:t>
      </w:r>
      <w:r w:rsidRPr="002B6725" w:rsidR="00CE6136">
        <w:rPr>
          <w:rFonts w:ascii="Times New Roman" w:hAnsi="Times New Roman" w:eastAsia="Times New Roman" w:cs="Times New Roman"/>
          <w:szCs w:val="24"/>
          <w:lang w:val="en-GB" w:eastAsia="en-GB"/>
        </w:rPr>
        <w:t xml:space="preserve">12 January 2012). </w:t>
      </w:r>
      <w:r w:rsidRPr="002B6725" w:rsidR="00F65C4D">
        <w:rPr>
          <w:rFonts w:ascii="Times New Roman" w:hAnsi="Times New Roman" w:eastAsia="Times New Roman" w:cs="Times New Roman"/>
          <w:szCs w:val="24"/>
          <w:lang w:val="en-GB" w:eastAsia="en-GB"/>
        </w:rPr>
        <w:t xml:space="preserve">In that case, the </w:t>
      </w:r>
      <w:r w:rsidRPr="002B6725" w:rsidR="009C7219">
        <w:rPr>
          <w:rFonts w:ascii="Times New Roman" w:hAnsi="Times New Roman" w:eastAsia="Times New Roman" w:cs="Times New Roman"/>
          <w:szCs w:val="24"/>
          <w:lang w:val="en-GB" w:eastAsia="en-GB"/>
        </w:rPr>
        <w:t xml:space="preserve">Court </w:t>
      </w:r>
      <w:r w:rsidRPr="002B6725" w:rsidR="00F65C4D">
        <w:rPr>
          <w:rFonts w:ascii="Times New Roman" w:hAnsi="Times New Roman" w:eastAsia="Times New Roman" w:cs="Times New Roman"/>
          <w:szCs w:val="24"/>
          <w:lang w:val="en-GB" w:eastAsia="en-GB"/>
        </w:rPr>
        <w:t xml:space="preserve">observed </w:t>
      </w:r>
      <w:r w:rsidRPr="002B6725" w:rsidR="00CE6136">
        <w:rPr>
          <w:rFonts w:ascii="Times New Roman" w:hAnsi="Times New Roman" w:eastAsia="Times New Roman" w:cs="Times New Roman"/>
          <w:szCs w:val="24"/>
          <w:lang w:val="en-GB" w:eastAsia="en-GB"/>
        </w:rPr>
        <w:t xml:space="preserve">that </w:t>
      </w:r>
      <w:r w:rsidRPr="002B6725" w:rsidR="00CE6136">
        <w:t>the applicable provision of the domestic law did not oblige the competent authority to adopt a formal decision on the request</w:t>
      </w:r>
      <w:r w:rsidRPr="002B6725" w:rsidR="009C7219">
        <w:t xml:space="preserve"> for a correspondence permit,</w:t>
      </w:r>
      <w:r w:rsidRPr="002B6725" w:rsidR="00CE6136">
        <w:t xml:space="preserve"> to</w:t>
      </w:r>
      <w:r w:rsidRPr="002B6725" w:rsidR="009C7219">
        <w:t xml:space="preserve"> g</w:t>
      </w:r>
      <w:r w:rsidRPr="002B6725" w:rsidR="00CE6136">
        <w:t>ive reasons for such a decision or provide a copy thereof to the detainee concerned. Nor d</w:t>
      </w:r>
      <w:r w:rsidRPr="002B6725" w:rsidR="009C7219">
        <w:t xml:space="preserve">id </w:t>
      </w:r>
      <w:r w:rsidRPr="002B6725" w:rsidR="00CE6136">
        <w:t xml:space="preserve">that provision lay down a specific remedy enabling </w:t>
      </w:r>
      <w:r w:rsidRPr="002B6725" w:rsidR="00776051">
        <w:t>a</w:t>
      </w:r>
      <w:r w:rsidRPr="002B6725" w:rsidR="00CE6136">
        <w:t xml:space="preserve"> detainee to contest the action or omission by the relevant authority. </w:t>
      </w:r>
      <w:r w:rsidRPr="002B6725" w:rsidR="009C7219">
        <w:t>D</w:t>
      </w:r>
      <w:r w:rsidRPr="002B6725" w:rsidR="00CE6136">
        <w:t>ue to the lack of th</w:t>
      </w:r>
      <w:r w:rsidRPr="002B6725" w:rsidR="009C7219">
        <w:t>ose</w:t>
      </w:r>
      <w:r w:rsidRPr="002B6725" w:rsidR="00CE6136">
        <w:t xml:space="preserve"> important procedural safeguards </w:t>
      </w:r>
      <w:r w:rsidRPr="002B6725" w:rsidR="009C7219">
        <w:t>detainees</w:t>
      </w:r>
      <w:r w:rsidRPr="002B6725" w:rsidR="002B6725">
        <w:t>’</w:t>
      </w:r>
      <w:r w:rsidRPr="002B6725" w:rsidR="00CE6136">
        <w:t xml:space="preserve"> requests for a correspondence permit could remain unanswered or refused for no valid reason. The </w:t>
      </w:r>
      <w:r w:rsidRPr="002B6725" w:rsidR="009C7219">
        <w:t xml:space="preserve">Court further noted that </w:t>
      </w:r>
      <w:r w:rsidRPr="002B6725" w:rsidR="00CE6136">
        <w:t xml:space="preserve">lack of the abovementioned guarantees </w:t>
      </w:r>
      <w:r w:rsidRPr="002B6725" w:rsidR="009C7219">
        <w:t>was</w:t>
      </w:r>
      <w:r w:rsidRPr="002B6725" w:rsidR="00CE6136">
        <w:t xml:space="preserve"> all the more disconcerting given that the domestic law, as a general rule, prohibit</w:t>
      </w:r>
      <w:r w:rsidRPr="002B6725" w:rsidR="009C7219">
        <w:t xml:space="preserve">ed </w:t>
      </w:r>
      <w:r w:rsidRPr="002B6725" w:rsidR="00CE6136">
        <w:t>correspondence and oblige</w:t>
      </w:r>
      <w:r w:rsidRPr="002B6725" w:rsidR="009C7219">
        <w:t>d</w:t>
      </w:r>
      <w:r w:rsidRPr="002B6725" w:rsidR="00C72699">
        <w:t xml:space="preserve"> pre</w:t>
      </w:r>
      <w:r w:rsidRPr="002B6725" w:rsidR="00C72699">
        <w:noBreakHyphen/>
      </w:r>
      <w:r w:rsidRPr="002B6725" w:rsidR="00CE6136">
        <w:t>trial detainees to seek a permit as an exception thereto, rather than respecting, in principle, a detainee</w:t>
      </w:r>
      <w:r w:rsidRPr="002B6725" w:rsidR="002B6725">
        <w:t>’</w:t>
      </w:r>
      <w:r w:rsidRPr="002B6725" w:rsidR="00CE6136">
        <w:t xml:space="preserve">s right to correspondence and ensuring that any interference therewith </w:t>
      </w:r>
      <w:r w:rsidRPr="002B6725" w:rsidR="00776051">
        <w:t>was</w:t>
      </w:r>
      <w:r w:rsidRPr="002B6725" w:rsidR="00CE6136">
        <w:t xml:space="preserve"> provided by and </w:t>
      </w:r>
      <w:r w:rsidRPr="002B6725" w:rsidR="00776051">
        <w:t>was</w:t>
      </w:r>
      <w:r w:rsidRPr="002B6725" w:rsidR="00CE6136">
        <w:t xml:space="preserve"> in accordance with law</w:t>
      </w:r>
      <w:r w:rsidRPr="002B6725">
        <w:t xml:space="preserve">. </w:t>
      </w:r>
      <w:r w:rsidRPr="002B6725" w:rsidR="00F65C4D">
        <w:t xml:space="preserve">It </w:t>
      </w:r>
      <w:r w:rsidRPr="002B6725" w:rsidR="009C7219">
        <w:t>therefore concluded</w:t>
      </w:r>
      <w:r w:rsidRPr="002B6725">
        <w:t xml:space="preserve"> </w:t>
      </w:r>
      <w:r w:rsidRPr="002B6725" w:rsidR="009C7219">
        <w:t xml:space="preserve">that </w:t>
      </w:r>
      <w:r w:rsidRPr="002B6725" w:rsidR="009C7219">
        <w:rPr>
          <w:rFonts w:eastAsia="Times New Roman"/>
          <w:lang w:val="en-GB" w:eastAsia="en-GB"/>
        </w:rPr>
        <w:t xml:space="preserve">the relevant legislative provisions did not meet the requirements </w:t>
      </w:r>
      <w:r w:rsidRPr="002B6725" w:rsidR="009C7219">
        <w:t>of quality of law for the purpose of the Convention and that the interference with the applicant</w:t>
      </w:r>
      <w:r w:rsidRPr="002B6725" w:rsidR="002B6725">
        <w:t>’</w:t>
      </w:r>
      <w:r w:rsidRPr="002B6725" w:rsidR="009C7219">
        <w:t>s right to respect for his correspondence was not “in accordance with the law” as required by Article 8 § 2 of the Convention</w:t>
      </w:r>
      <w:r w:rsidRPr="002B6725">
        <w:t xml:space="preserve"> (ibid</w:t>
      </w:r>
      <w:r w:rsidRPr="002B6725" w:rsidR="009C7219">
        <w:t>.</w:t>
      </w:r>
      <w:r w:rsidRPr="002B6725">
        <w:rPr>
          <w:lang w:val="en-GB"/>
        </w:rPr>
        <w:t xml:space="preserve"> §§</w:t>
      </w:r>
      <w:r w:rsidRPr="002B6725">
        <w:rPr>
          <w:rFonts w:ascii="Times New Roman" w:hAnsi="Times New Roman" w:eastAsia="Times New Roman" w:cs="Times New Roman"/>
          <w:szCs w:val="24"/>
          <w:lang w:val="en-GB" w:eastAsia="en-GB"/>
        </w:rPr>
        <w:t xml:space="preserve"> 74-79).</w:t>
      </w:r>
    </w:p>
    <w:p w:rsidRPr="002B6725" w:rsidR="00CE6136" w:rsidP="002B6725" w:rsidRDefault="002B6725">
      <w:pPr>
        <w:pStyle w:val="ECHRPara"/>
      </w:pPr>
      <w:fldSimple w:instr=" SEQ level0 \*arabic ">
        <w:r w:rsidRPr="002B6725">
          <w:rPr>
            <w:noProof/>
          </w:rPr>
          <w:t>89</w:t>
        </w:r>
      </w:fldSimple>
      <w:r w:rsidRPr="002B6725" w:rsidR="00962DC9">
        <w:t xml:space="preserve">.  On the basis of the case file, </w:t>
      </w:r>
      <w:r w:rsidRPr="002B6725" w:rsidR="009C7219">
        <w:t>t</w:t>
      </w:r>
      <w:r w:rsidRPr="002B6725" w:rsidR="00CE6136">
        <w:t>he Court finds no ground to depart from its case-law in the present case.</w:t>
      </w:r>
    </w:p>
    <w:p w:rsidRPr="002B6725" w:rsidR="00750D68" w:rsidP="002B6725" w:rsidRDefault="002B6725">
      <w:pPr>
        <w:pStyle w:val="ECHRPara"/>
        <w:rPr>
          <w:rFonts w:eastAsia="Times New Roman"/>
          <w:lang w:val="en-GB" w:eastAsia="en-GB"/>
        </w:rPr>
      </w:pPr>
      <w:fldSimple w:instr=" SEQ level0 \*arabic ">
        <w:r w:rsidRPr="002B6725">
          <w:rPr>
            <w:noProof/>
          </w:rPr>
          <w:t>90</w:t>
        </w:r>
      </w:fldSimple>
      <w:r w:rsidRPr="002B6725" w:rsidR="00962DC9">
        <w:t>.  </w:t>
      </w:r>
      <w:r w:rsidRPr="002B6725" w:rsidR="00CE6136">
        <w:t xml:space="preserve">There has accordingly been a violation of </w:t>
      </w:r>
      <w:r w:rsidRPr="002B6725" w:rsidR="00962DC9">
        <w:rPr>
          <w:rFonts w:eastAsia="Times New Roman"/>
          <w:lang w:val="en-GB" w:eastAsia="en-GB"/>
        </w:rPr>
        <w:t>Article 8 of the Convention in connection with this aspect of the complaint as well.</w:t>
      </w:r>
    </w:p>
    <w:p w:rsidRPr="002B6725" w:rsidR="00014566" w:rsidP="002B6725" w:rsidRDefault="0074375A">
      <w:pPr>
        <w:pStyle w:val="ECHRHeading1"/>
        <w:rPr>
          <w:lang w:val="en-GB"/>
        </w:rPr>
      </w:pPr>
      <w:r w:rsidRPr="002B6725">
        <w:rPr>
          <w:lang w:val="en-GB"/>
        </w:rPr>
        <w:t>IV</w:t>
      </w:r>
      <w:r w:rsidRPr="002B6725" w:rsidR="00014566">
        <w:rPr>
          <w:lang w:val="en-GB"/>
        </w:rPr>
        <w:t xml:space="preserve">.  ALLEGED VIOLATION OF ARTICLE </w:t>
      </w:r>
      <w:r w:rsidRPr="002B6725">
        <w:rPr>
          <w:lang w:val="en-GB"/>
        </w:rPr>
        <w:t>9</w:t>
      </w:r>
      <w:r w:rsidRPr="002B6725" w:rsidR="00014566">
        <w:rPr>
          <w:lang w:val="en-GB"/>
        </w:rPr>
        <w:t xml:space="preserve"> OF THE CONVENTION</w:t>
      </w:r>
    </w:p>
    <w:p w:rsidRPr="002B6725" w:rsidR="00E16CB5" w:rsidP="002B6725" w:rsidRDefault="00661526">
      <w:pPr>
        <w:pStyle w:val="ECHRPara"/>
        <w:rPr>
          <w:rFonts w:eastAsia="Times New Roman"/>
          <w:noProof/>
          <w:lang w:val="en-GB" w:eastAsia="en-GB"/>
        </w:rPr>
      </w:pPr>
      <w:r w:rsidRPr="002B6725">
        <w:rPr>
          <w:rFonts w:eastAsia="Times New Roman"/>
          <w:noProof/>
          <w:lang w:val="en-GB" w:eastAsia="en-GB"/>
        </w:rPr>
        <w:fldChar w:fldCharType="begin"/>
      </w:r>
      <w:r w:rsidRPr="002B6725">
        <w:rPr>
          <w:rFonts w:eastAsia="Times New Roman"/>
          <w:noProof/>
          <w:lang w:val="en-GB" w:eastAsia="en-GB"/>
        </w:rPr>
        <w:instrText xml:space="preserve"> SEQ level0 \*arabic </w:instrText>
      </w:r>
      <w:r w:rsidRPr="002B6725">
        <w:rPr>
          <w:rFonts w:eastAsia="Times New Roman"/>
          <w:noProof/>
          <w:lang w:val="en-GB" w:eastAsia="en-GB"/>
        </w:rPr>
        <w:fldChar w:fldCharType="separate"/>
      </w:r>
      <w:r w:rsidRPr="002B6725" w:rsidR="002B6725">
        <w:rPr>
          <w:rFonts w:eastAsia="Times New Roman"/>
          <w:noProof/>
          <w:lang w:val="en-GB" w:eastAsia="en-GB"/>
        </w:rPr>
        <w:t>91</w:t>
      </w:r>
      <w:r w:rsidRPr="002B6725">
        <w:rPr>
          <w:rFonts w:eastAsia="Times New Roman"/>
          <w:noProof/>
          <w:lang w:val="en-GB" w:eastAsia="en-GB"/>
        </w:rPr>
        <w:fldChar w:fldCharType="end"/>
      </w:r>
      <w:r w:rsidRPr="002B6725">
        <w:rPr>
          <w:rFonts w:eastAsia="Times New Roman"/>
          <w:noProof/>
          <w:lang w:val="en-GB" w:eastAsia="en-GB"/>
        </w:rPr>
        <w:t>.  </w:t>
      </w:r>
      <w:r w:rsidRPr="002B6725" w:rsidR="00E16CB5">
        <w:rPr>
          <w:rFonts w:eastAsia="Times New Roman"/>
          <w:noProof/>
          <w:lang w:val="en-GB" w:eastAsia="en-GB"/>
        </w:rPr>
        <w:t xml:space="preserve">The applicant complained that while in pre-trial detention he had not been allowed to </w:t>
      </w:r>
      <w:r w:rsidRPr="002B6725" w:rsidR="00EC30A5">
        <w:rPr>
          <w:rFonts w:eastAsia="Times New Roman"/>
          <w:noProof/>
          <w:lang w:val="en-GB" w:eastAsia="en-GB"/>
        </w:rPr>
        <w:t xml:space="preserve">meet with </w:t>
      </w:r>
      <w:r w:rsidRPr="002B6725" w:rsidR="00E16CB5">
        <w:rPr>
          <w:rFonts w:eastAsia="Times New Roman"/>
          <w:noProof/>
          <w:lang w:val="en-GB" w:eastAsia="en-GB"/>
        </w:rPr>
        <w:t xml:space="preserve">a </w:t>
      </w:r>
      <w:r w:rsidRPr="002B6725" w:rsidR="004F09F0">
        <w:rPr>
          <w:rFonts w:eastAsia="Times New Roman"/>
          <w:noProof/>
          <w:lang w:val="en-GB" w:eastAsia="en-GB"/>
        </w:rPr>
        <w:t xml:space="preserve">priest </w:t>
      </w:r>
      <w:r w:rsidRPr="002B6725" w:rsidR="0029465D">
        <w:rPr>
          <w:rFonts w:eastAsia="Times New Roman"/>
          <w:noProof/>
          <w:lang w:val="en-GB" w:eastAsia="en-GB"/>
        </w:rPr>
        <w:t>and to visit the SIZO ch</w:t>
      </w:r>
      <w:r w:rsidRPr="002B6725" w:rsidR="00160E36">
        <w:rPr>
          <w:rFonts w:eastAsia="Times New Roman"/>
          <w:noProof/>
          <w:lang w:val="en-GB" w:eastAsia="en-GB"/>
        </w:rPr>
        <w:t xml:space="preserve">apel </w:t>
      </w:r>
      <w:r w:rsidRPr="002B6725" w:rsidR="004F09F0">
        <w:rPr>
          <w:rFonts w:eastAsia="Times New Roman"/>
          <w:noProof/>
          <w:lang w:val="en-GB" w:eastAsia="en-GB"/>
        </w:rPr>
        <w:t xml:space="preserve">and </w:t>
      </w:r>
      <w:r w:rsidRPr="002B6725" w:rsidR="00F3372F">
        <w:rPr>
          <w:rFonts w:eastAsia="Times New Roman"/>
          <w:noProof/>
          <w:lang w:val="en-GB" w:eastAsia="en-GB"/>
        </w:rPr>
        <w:t xml:space="preserve">that his religious literature and other items of a religious nature </w:t>
      </w:r>
      <w:r w:rsidRPr="002B6725" w:rsidR="00EC30A5">
        <w:rPr>
          <w:rFonts w:eastAsia="Times New Roman"/>
          <w:noProof/>
          <w:lang w:val="en-GB" w:eastAsia="en-GB"/>
        </w:rPr>
        <w:t xml:space="preserve">had been </w:t>
      </w:r>
      <w:r w:rsidRPr="002B6725" w:rsidR="00F3372F">
        <w:rPr>
          <w:rFonts w:eastAsia="Times New Roman"/>
          <w:noProof/>
          <w:lang w:val="en-GB" w:eastAsia="en-GB"/>
        </w:rPr>
        <w:t xml:space="preserve">seized </w:t>
      </w:r>
      <w:r w:rsidRPr="002B6725" w:rsidR="00160E36">
        <w:rPr>
          <w:rFonts w:eastAsia="Times New Roman"/>
          <w:noProof/>
          <w:lang w:val="en-GB" w:eastAsia="en-GB"/>
        </w:rPr>
        <w:t xml:space="preserve">from him </w:t>
      </w:r>
      <w:r w:rsidRPr="002B6725" w:rsidR="00F3372F">
        <w:rPr>
          <w:rFonts w:eastAsia="Times New Roman"/>
          <w:noProof/>
          <w:lang w:val="en-GB" w:eastAsia="en-GB"/>
        </w:rPr>
        <w:t>by the SIZO staff</w:t>
      </w:r>
      <w:r w:rsidRPr="002B6725" w:rsidR="004F09F0">
        <w:rPr>
          <w:rFonts w:eastAsia="Times New Roman"/>
          <w:noProof/>
          <w:lang w:val="en-GB" w:eastAsia="en-GB"/>
        </w:rPr>
        <w:t>.</w:t>
      </w:r>
      <w:r w:rsidRPr="002B6725" w:rsidR="00E16CB5">
        <w:rPr>
          <w:rFonts w:eastAsia="Times New Roman"/>
          <w:noProof/>
          <w:lang w:val="en-GB" w:eastAsia="en-GB"/>
        </w:rPr>
        <w:t xml:space="preserve"> He relied on Article 9 of the Convention, which provides:</w:t>
      </w:r>
    </w:p>
    <w:p w:rsidRPr="002B6725" w:rsidR="00E16CB5" w:rsidP="002B6725" w:rsidRDefault="00E16CB5">
      <w:pPr>
        <w:pStyle w:val="ECHRParaQuote"/>
        <w:rPr>
          <w:rFonts w:eastAsia="Times New Roman"/>
          <w:lang w:val="en-GB" w:eastAsia="en-GB"/>
        </w:rPr>
      </w:pPr>
      <w:r w:rsidRPr="002B6725">
        <w:rPr>
          <w:rFonts w:eastAsia="Times New Roman"/>
          <w:lang w:val="en-GB" w:eastAsia="en-GB"/>
        </w:rPr>
        <w:t>“1. Everyone has the right to freedom of thought, conscience and religion; this right includes freedom to change his religion or belief and freedom, either alone or in community with others and in public or private, to manifest his religion or belief, in worship, teaching, practice and observance.</w:t>
      </w:r>
    </w:p>
    <w:p w:rsidRPr="002B6725" w:rsidR="00E16CB5" w:rsidP="002B6725" w:rsidRDefault="00E16CB5">
      <w:pPr>
        <w:pStyle w:val="ECHRParaQuote"/>
        <w:rPr>
          <w:rFonts w:eastAsia="Times New Roman"/>
          <w:lang w:val="en-GB" w:eastAsia="en-GB"/>
        </w:rPr>
      </w:pPr>
      <w:r w:rsidRPr="002B6725">
        <w:rPr>
          <w:rFonts w:eastAsia="Times New Roman"/>
          <w:lang w:val="en-GB" w:eastAsia="en-GB"/>
        </w:rPr>
        <w:t>2. Freedom to manifest one</w:t>
      </w:r>
      <w:r w:rsidRPr="002B6725" w:rsidR="002B6725">
        <w:rPr>
          <w:rFonts w:eastAsia="Times New Roman"/>
          <w:lang w:val="en-GB" w:eastAsia="en-GB"/>
        </w:rPr>
        <w:t>’</w:t>
      </w:r>
      <w:r w:rsidRPr="002B6725">
        <w:rPr>
          <w:rFonts w:eastAsia="Times New Roman"/>
          <w:lang w:val="en-GB" w:eastAsia="en-GB"/>
        </w:rPr>
        <w:t>s religion or beliefs shall be subject only to such limitations as are prescribed by law and are necessary in a democratic society in the interests of public safety, for the protection of public order, health or morals, or for the protection of the rights and freedoms of others.”</w:t>
      </w:r>
    </w:p>
    <w:p w:rsidRPr="002B6725" w:rsidR="0086455C" w:rsidP="002B6725" w:rsidRDefault="00C72699">
      <w:pPr>
        <w:pStyle w:val="ECHRHeading2"/>
        <w:rPr>
          <w:rFonts w:eastAsia="Times New Roman"/>
          <w:lang w:val="en-GB" w:eastAsia="en-GB"/>
        </w:rPr>
      </w:pPr>
      <w:r w:rsidRPr="002B6725">
        <w:rPr>
          <w:rFonts w:eastAsia="Times New Roman"/>
          <w:lang w:val="en-GB" w:eastAsia="en-GB"/>
        </w:rPr>
        <w:t>A.  </w:t>
      </w:r>
      <w:r w:rsidRPr="002B6725" w:rsidR="0086455C">
        <w:rPr>
          <w:rFonts w:eastAsia="Times New Roman"/>
          <w:lang w:val="en-GB" w:eastAsia="en-GB"/>
        </w:rPr>
        <w:t>Admissibility</w:t>
      </w:r>
    </w:p>
    <w:p w:rsidRPr="002B6725" w:rsidR="0086455C" w:rsidP="002B6725" w:rsidRDefault="00C72699">
      <w:pPr>
        <w:pStyle w:val="ECHRHeading3"/>
        <w:rPr>
          <w:rFonts w:eastAsia="Times New Roman"/>
          <w:lang w:val="en-GB" w:eastAsia="en-GB"/>
        </w:rPr>
      </w:pPr>
      <w:r w:rsidRPr="002B6725">
        <w:rPr>
          <w:rFonts w:eastAsia="Times New Roman"/>
          <w:lang w:val="en-GB" w:eastAsia="en-GB"/>
        </w:rPr>
        <w:t>1.  </w:t>
      </w:r>
      <w:r w:rsidRPr="002B6725" w:rsidR="00FF7795">
        <w:rPr>
          <w:rFonts w:eastAsia="Times New Roman"/>
          <w:lang w:val="en-GB" w:eastAsia="en-GB"/>
        </w:rPr>
        <w:t xml:space="preserve">The </w:t>
      </w:r>
      <w:r w:rsidRPr="002B6725" w:rsidR="000207E6">
        <w:rPr>
          <w:rFonts w:eastAsia="Times New Roman"/>
          <w:lang w:val="en-GB" w:eastAsia="en-GB"/>
        </w:rPr>
        <w:t>parties</w:t>
      </w:r>
      <w:r w:rsidRPr="002B6725" w:rsidR="002B6725">
        <w:rPr>
          <w:rFonts w:eastAsia="Times New Roman"/>
          <w:lang w:val="en-GB" w:eastAsia="en-GB"/>
        </w:rPr>
        <w:t>’</w:t>
      </w:r>
      <w:r w:rsidRPr="002B6725" w:rsidR="000366A1">
        <w:rPr>
          <w:rFonts w:eastAsia="Times New Roman"/>
          <w:lang w:val="en-GB" w:eastAsia="en-GB"/>
        </w:rPr>
        <w:t xml:space="preserve"> submissions</w:t>
      </w:r>
    </w:p>
    <w:p w:rsidRPr="002B6725" w:rsidR="00750D68" w:rsidP="002B6725" w:rsidRDefault="00661526">
      <w:pPr>
        <w:pStyle w:val="ECHRPara"/>
      </w:pPr>
      <w:r w:rsidRPr="002B6725">
        <w:rPr>
          <w:rFonts w:ascii="Times New Roman" w:hAnsi="Times New Roman" w:eastAsia="Times New Roman" w:cs="Times New Roman"/>
          <w:szCs w:val="24"/>
          <w:lang w:val="en-GB" w:eastAsia="en-GB"/>
        </w:rPr>
        <w:fldChar w:fldCharType="begin"/>
      </w:r>
      <w:r w:rsidRPr="002B6725">
        <w:rPr>
          <w:rFonts w:ascii="Times New Roman" w:hAnsi="Times New Roman" w:eastAsia="Times New Roman" w:cs="Times New Roman"/>
          <w:szCs w:val="24"/>
          <w:lang w:val="en-GB" w:eastAsia="en-GB"/>
        </w:rPr>
        <w:instrText xml:space="preserve"> SEQ level0 \*arabic </w:instrText>
      </w:r>
      <w:r w:rsidRPr="002B6725">
        <w:rPr>
          <w:rFonts w:ascii="Times New Roman" w:hAnsi="Times New Roman" w:eastAsia="Times New Roman" w:cs="Times New Roman"/>
          <w:szCs w:val="24"/>
          <w:lang w:val="en-GB" w:eastAsia="en-GB"/>
        </w:rPr>
        <w:fldChar w:fldCharType="separate"/>
      </w:r>
      <w:r w:rsidRPr="002B6725" w:rsidR="002B6725">
        <w:rPr>
          <w:rFonts w:ascii="Times New Roman" w:hAnsi="Times New Roman" w:eastAsia="Times New Roman" w:cs="Times New Roman"/>
          <w:noProof/>
          <w:szCs w:val="24"/>
          <w:lang w:val="en-GB" w:eastAsia="en-GB"/>
        </w:rPr>
        <w:t>92</w:t>
      </w:r>
      <w:r w:rsidRPr="002B6725">
        <w:rPr>
          <w:rFonts w:ascii="Times New Roman" w:hAnsi="Times New Roman" w:eastAsia="Times New Roman" w:cs="Times New Roman"/>
          <w:szCs w:val="24"/>
          <w:lang w:val="en-GB" w:eastAsia="en-GB"/>
        </w:rPr>
        <w:fldChar w:fldCharType="end"/>
      </w:r>
      <w:r w:rsidRPr="002B6725">
        <w:rPr>
          <w:rFonts w:ascii="Times New Roman" w:hAnsi="Times New Roman" w:eastAsia="Times New Roman" w:cs="Times New Roman"/>
          <w:szCs w:val="24"/>
          <w:lang w:val="en-GB" w:eastAsia="en-GB"/>
        </w:rPr>
        <w:t>.  </w:t>
      </w:r>
      <w:r w:rsidRPr="002B6725" w:rsidR="000366A1">
        <w:rPr>
          <w:rFonts w:ascii="Times New Roman" w:hAnsi="Times New Roman" w:eastAsia="Times New Roman" w:cs="Times New Roman"/>
          <w:szCs w:val="24"/>
          <w:lang w:val="en-GB" w:eastAsia="en-GB"/>
        </w:rPr>
        <w:t>The Government stated that the applicants</w:t>
      </w:r>
      <w:r w:rsidRPr="002B6725" w:rsidR="002B6725">
        <w:rPr>
          <w:rFonts w:ascii="Times New Roman" w:hAnsi="Times New Roman" w:eastAsia="Times New Roman" w:cs="Times New Roman"/>
          <w:szCs w:val="24"/>
          <w:lang w:val="en-GB" w:eastAsia="en-GB"/>
        </w:rPr>
        <w:t>’</w:t>
      </w:r>
      <w:r w:rsidRPr="002B6725" w:rsidR="000366A1">
        <w:rPr>
          <w:rFonts w:ascii="Times New Roman" w:hAnsi="Times New Roman" w:eastAsia="Times New Roman" w:cs="Times New Roman"/>
          <w:szCs w:val="24"/>
          <w:lang w:val="en-GB" w:eastAsia="en-GB"/>
        </w:rPr>
        <w:t xml:space="preserve"> </w:t>
      </w:r>
      <w:r w:rsidRPr="002B6725" w:rsidR="00F53048">
        <w:rPr>
          <w:rFonts w:ascii="Times New Roman" w:hAnsi="Times New Roman" w:eastAsia="Times New Roman" w:cs="Times New Roman"/>
          <w:szCs w:val="24"/>
          <w:lang w:val="en-GB" w:eastAsia="en-GB"/>
        </w:rPr>
        <w:t xml:space="preserve">complaints were </w:t>
      </w:r>
      <w:r w:rsidRPr="002B6725" w:rsidR="000366A1">
        <w:rPr>
          <w:rFonts w:ascii="Times New Roman" w:hAnsi="Times New Roman" w:eastAsia="Times New Roman" w:cs="Times New Roman"/>
          <w:szCs w:val="24"/>
          <w:lang w:val="en-GB" w:eastAsia="en-GB"/>
        </w:rPr>
        <w:t xml:space="preserve">manifestly ill-founded as there </w:t>
      </w:r>
      <w:r w:rsidRPr="002B6725" w:rsidR="000F3134">
        <w:rPr>
          <w:rFonts w:ascii="Times New Roman" w:hAnsi="Times New Roman" w:eastAsia="Times New Roman" w:cs="Times New Roman"/>
          <w:szCs w:val="24"/>
          <w:lang w:val="en-GB" w:eastAsia="en-GB"/>
        </w:rPr>
        <w:t>was</w:t>
      </w:r>
      <w:r w:rsidRPr="002B6725" w:rsidR="000366A1">
        <w:rPr>
          <w:rFonts w:ascii="Times New Roman" w:hAnsi="Times New Roman" w:eastAsia="Times New Roman" w:cs="Times New Roman"/>
          <w:szCs w:val="24"/>
          <w:lang w:val="en-GB" w:eastAsia="en-GB"/>
        </w:rPr>
        <w:t xml:space="preserve"> no evidence in support of </w:t>
      </w:r>
      <w:r w:rsidRPr="002B6725" w:rsidR="007616AF">
        <w:rPr>
          <w:rFonts w:ascii="Times New Roman" w:hAnsi="Times New Roman" w:eastAsia="Times New Roman" w:cs="Times New Roman"/>
          <w:szCs w:val="24"/>
          <w:lang w:val="en-GB" w:eastAsia="en-GB"/>
        </w:rPr>
        <w:t>his</w:t>
      </w:r>
      <w:r w:rsidRPr="002B6725" w:rsidR="000366A1">
        <w:rPr>
          <w:rFonts w:ascii="Times New Roman" w:hAnsi="Times New Roman" w:eastAsia="Times New Roman" w:cs="Times New Roman"/>
          <w:szCs w:val="24"/>
          <w:lang w:val="en-GB" w:eastAsia="en-GB"/>
        </w:rPr>
        <w:t xml:space="preserve"> allegations</w:t>
      </w:r>
      <w:r w:rsidRPr="002B6725" w:rsidR="00A26601">
        <w:rPr>
          <w:rFonts w:ascii="Times New Roman" w:hAnsi="Times New Roman" w:eastAsia="Times New Roman" w:cs="Times New Roman"/>
          <w:szCs w:val="24"/>
          <w:lang w:val="en-GB" w:eastAsia="en-GB"/>
        </w:rPr>
        <w:t xml:space="preserve"> that </w:t>
      </w:r>
      <w:r w:rsidRPr="002B6725" w:rsidR="000F3134">
        <w:rPr>
          <w:rFonts w:ascii="Times New Roman" w:hAnsi="Times New Roman" w:eastAsia="Times New Roman" w:cs="Times New Roman"/>
          <w:szCs w:val="24"/>
          <w:lang w:val="en-GB" w:eastAsia="en-GB"/>
        </w:rPr>
        <w:t>an</w:t>
      </w:r>
      <w:r w:rsidRPr="002B6725" w:rsidR="00A26601">
        <w:rPr>
          <w:rFonts w:ascii="Times New Roman" w:hAnsi="Times New Roman" w:eastAsia="Times New Roman" w:cs="Times New Roman"/>
          <w:szCs w:val="24"/>
          <w:lang w:val="en-GB" w:eastAsia="en-GB"/>
        </w:rPr>
        <w:t xml:space="preserve"> interference with his rights had taken place</w:t>
      </w:r>
      <w:r w:rsidRPr="002B6725" w:rsidR="000366A1">
        <w:rPr>
          <w:rFonts w:ascii="Times New Roman" w:hAnsi="Times New Roman" w:eastAsia="Times New Roman" w:cs="Times New Roman"/>
          <w:szCs w:val="24"/>
          <w:lang w:val="en-GB" w:eastAsia="en-GB"/>
        </w:rPr>
        <w:t>.</w:t>
      </w:r>
      <w:r w:rsidRPr="002B6725" w:rsidR="00A26601">
        <w:rPr>
          <w:rFonts w:ascii="Times New Roman" w:hAnsi="Times New Roman" w:eastAsia="Times New Roman" w:cs="Times New Roman"/>
          <w:szCs w:val="24"/>
          <w:lang w:val="en-GB" w:eastAsia="en-GB"/>
        </w:rPr>
        <w:t xml:space="preserve"> </w:t>
      </w:r>
      <w:r w:rsidRPr="002B6725" w:rsidR="00160E36">
        <w:rPr>
          <w:rFonts w:ascii="Times New Roman" w:hAnsi="Times New Roman" w:eastAsia="Times New Roman" w:cs="Times New Roman"/>
          <w:szCs w:val="24"/>
          <w:lang w:val="en-GB" w:eastAsia="en-GB"/>
        </w:rPr>
        <w:t>I</w:t>
      </w:r>
      <w:r w:rsidRPr="002B6725" w:rsidR="00A26601">
        <w:t>n particular</w:t>
      </w:r>
      <w:r w:rsidRPr="002B6725" w:rsidR="00160E36">
        <w:t>,</w:t>
      </w:r>
      <w:r w:rsidRPr="002B6725" w:rsidR="00A26601">
        <w:t xml:space="preserve"> there </w:t>
      </w:r>
      <w:r w:rsidRPr="002B6725" w:rsidR="000F3134">
        <w:t>was</w:t>
      </w:r>
      <w:r w:rsidRPr="002B6725" w:rsidR="00A26601">
        <w:t xml:space="preserve"> no evidence that the applicant had ever </w:t>
      </w:r>
      <w:r w:rsidRPr="002B6725" w:rsidR="000F3134">
        <w:t xml:space="preserve">asked for </w:t>
      </w:r>
      <w:r w:rsidRPr="002B6725" w:rsidR="00A26601">
        <w:t>permission</w:t>
      </w:r>
      <w:r w:rsidRPr="002B6725" w:rsidR="000F3134">
        <w:t xml:space="preserve"> before the relevant authorities</w:t>
      </w:r>
      <w:r w:rsidRPr="002B6725" w:rsidR="00CF1261">
        <w:t>, namely the investigator or the court involved,</w:t>
      </w:r>
      <w:r w:rsidRPr="002B6725" w:rsidR="00A26601">
        <w:t xml:space="preserve"> to </w:t>
      </w:r>
      <w:r w:rsidRPr="002B6725" w:rsidR="000F3134">
        <w:t>meet with a</w:t>
      </w:r>
      <w:r w:rsidRPr="002B6725" w:rsidR="00A26601">
        <w:t xml:space="preserve"> priest but had been refused.</w:t>
      </w:r>
    </w:p>
    <w:p w:rsidRPr="002B6725" w:rsidR="00436ECC" w:rsidP="002B6725" w:rsidRDefault="00661526">
      <w:pPr>
        <w:pStyle w:val="ECHRPara"/>
        <w:rPr>
          <w:rFonts w:eastAsia="Times New Roman"/>
          <w:lang w:val="en-GB" w:eastAsia="en-GB"/>
        </w:rPr>
      </w:pPr>
      <w:r w:rsidRPr="002B6725">
        <w:rPr>
          <w:rFonts w:ascii="Times New Roman" w:hAnsi="Times New Roman" w:eastAsia="Times New Roman" w:cs="Times New Roman"/>
          <w:szCs w:val="24"/>
          <w:lang w:val="en-GB" w:eastAsia="en-GB"/>
        </w:rPr>
        <w:fldChar w:fldCharType="begin"/>
      </w:r>
      <w:r w:rsidRPr="002B6725">
        <w:rPr>
          <w:rFonts w:ascii="Times New Roman" w:hAnsi="Times New Roman" w:eastAsia="Times New Roman" w:cs="Times New Roman"/>
          <w:szCs w:val="24"/>
          <w:lang w:val="en-GB" w:eastAsia="en-GB"/>
        </w:rPr>
        <w:instrText xml:space="preserve"> SEQ level0 \*arabic </w:instrText>
      </w:r>
      <w:r w:rsidRPr="002B6725">
        <w:rPr>
          <w:rFonts w:ascii="Times New Roman" w:hAnsi="Times New Roman" w:eastAsia="Times New Roman" w:cs="Times New Roman"/>
          <w:szCs w:val="24"/>
          <w:lang w:val="en-GB" w:eastAsia="en-GB"/>
        </w:rPr>
        <w:fldChar w:fldCharType="separate"/>
      </w:r>
      <w:r w:rsidRPr="002B6725" w:rsidR="002B6725">
        <w:rPr>
          <w:rFonts w:ascii="Times New Roman" w:hAnsi="Times New Roman" w:eastAsia="Times New Roman" w:cs="Times New Roman"/>
          <w:noProof/>
          <w:szCs w:val="24"/>
          <w:lang w:val="en-GB" w:eastAsia="en-GB"/>
        </w:rPr>
        <w:t>93</w:t>
      </w:r>
      <w:r w:rsidRPr="002B6725">
        <w:rPr>
          <w:rFonts w:ascii="Times New Roman" w:hAnsi="Times New Roman" w:eastAsia="Times New Roman" w:cs="Times New Roman"/>
          <w:szCs w:val="24"/>
          <w:lang w:val="en-GB" w:eastAsia="en-GB"/>
        </w:rPr>
        <w:fldChar w:fldCharType="end"/>
      </w:r>
      <w:r w:rsidRPr="002B6725">
        <w:rPr>
          <w:rFonts w:ascii="Times New Roman" w:hAnsi="Times New Roman" w:eastAsia="Times New Roman" w:cs="Times New Roman"/>
          <w:szCs w:val="24"/>
          <w:lang w:val="en-GB" w:eastAsia="en-GB"/>
        </w:rPr>
        <w:t>. </w:t>
      </w:r>
      <w:r w:rsidRPr="002B6725" w:rsidR="00A26601">
        <w:rPr>
          <w:rFonts w:ascii="Times New Roman" w:hAnsi="Times New Roman" w:eastAsia="Times New Roman" w:cs="Times New Roman"/>
          <w:szCs w:val="24"/>
          <w:lang w:val="en-GB" w:eastAsia="en-GB"/>
        </w:rPr>
        <w:t xml:space="preserve">The Government </w:t>
      </w:r>
      <w:r w:rsidRPr="002B6725" w:rsidR="000366A1">
        <w:rPr>
          <w:rFonts w:ascii="Times New Roman" w:hAnsi="Times New Roman" w:eastAsia="Times New Roman" w:cs="Times New Roman"/>
          <w:szCs w:val="24"/>
          <w:lang w:val="en-GB" w:eastAsia="en-GB"/>
        </w:rPr>
        <w:t>further submitted that the applicant had failed to exhaust the domestic remedies available to him</w:t>
      </w:r>
      <w:r w:rsidRPr="002B6725" w:rsidR="00A26601">
        <w:rPr>
          <w:rFonts w:ascii="Times New Roman" w:hAnsi="Times New Roman" w:eastAsia="Times New Roman" w:cs="Times New Roman"/>
          <w:szCs w:val="24"/>
          <w:lang w:val="en-GB" w:eastAsia="en-GB"/>
        </w:rPr>
        <w:t xml:space="preserve"> in respect to his complaint concerning visiting </w:t>
      </w:r>
      <w:r w:rsidRPr="002B6725" w:rsidR="00501939">
        <w:rPr>
          <w:rFonts w:ascii="Times New Roman" w:hAnsi="Times New Roman" w:eastAsia="Times New Roman" w:cs="Times New Roman"/>
          <w:szCs w:val="24"/>
          <w:lang w:val="en-GB" w:eastAsia="en-GB"/>
        </w:rPr>
        <w:t xml:space="preserve">the prison </w:t>
      </w:r>
      <w:r w:rsidRPr="002B6725" w:rsidR="00A26601">
        <w:rPr>
          <w:rFonts w:ascii="Times New Roman" w:hAnsi="Times New Roman" w:eastAsia="Times New Roman" w:cs="Times New Roman"/>
          <w:szCs w:val="24"/>
          <w:lang w:val="en-GB" w:eastAsia="en-GB"/>
        </w:rPr>
        <w:t>church and</w:t>
      </w:r>
      <w:r w:rsidRPr="002B6725" w:rsidR="00A26601">
        <w:t xml:space="preserve"> possessing religious literature</w:t>
      </w:r>
      <w:r w:rsidRPr="002B6725" w:rsidR="000366A1">
        <w:rPr>
          <w:rFonts w:ascii="Times New Roman" w:hAnsi="Times New Roman" w:eastAsia="Times New Roman" w:cs="Times New Roman"/>
          <w:szCs w:val="24"/>
          <w:lang w:val="en-GB" w:eastAsia="en-GB"/>
        </w:rPr>
        <w:t xml:space="preserve">. They noted in </w:t>
      </w:r>
      <w:r w:rsidRPr="002B6725" w:rsidR="00A26601">
        <w:rPr>
          <w:rFonts w:ascii="Times New Roman" w:hAnsi="Times New Roman" w:eastAsia="Times New Roman" w:cs="Times New Roman"/>
          <w:szCs w:val="24"/>
          <w:lang w:val="en-GB" w:eastAsia="en-GB"/>
        </w:rPr>
        <w:t xml:space="preserve">this </w:t>
      </w:r>
      <w:r w:rsidRPr="002B6725" w:rsidR="000F3134">
        <w:rPr>
          <w:rFonts w:ascii="Times New Roman" w:hAnsi="Times New Roman" w:eastAsia="Times New Roman" w:cs="Times New Roman"/>
          <w:szCs w:val="24"/>
          <w:lang w:val="en-GB" w:eastAsia="en-GB"/>
        </w:rPr>
        <w:t xml:space="preserve">connection </w:t>
      </w:r>
      <w:r w:rsidRPr="002B6725" w:rsidR="00A26601">
        <w:rPr>
          <w:rFonts w:ascii="Times New Roman" w:hAnsi="Times New Roman" w:eastAsia="Times New Roman" w:cs="Times New Roman"/>
          <w:szCs w:val="24"/>
          <w:lang w:val="en-GB" w:eastAsia="en-GB"/>
        </w:rPr>
        <w:t xml:space="preserve">that the </w:t>
      </w:r>
      <w:r w:rsidRPr="002B6725" w:rsidR="000366A1">
        <w:rPr>
          <w:rFonts w:ascii="Times New Roman" w:hAnsi="Times New Roman" w:eastAsia="Times New Roman" w:cs="Times New Roman"/>
          <w:szCs w:val="24"/>
          <w:lang w:val="en-GB" w:eastAsia="en-GB"/>
        </w:rPr>
        <w:t>detainees</w:t>
      </w:r>
      <w:r w:rsidRPr="002B6725" w:rsidR="002B6725">
        <w:rPr>
          <w:rFonts w:ascii="Times New Roman" w:hAnsi="Times New Roman" w:eastAsia="Times New Roman" w:cs="Times New Roman"/>
          <w:szCs w:val="24"/>
          <w:lang w:val="en-GB" w:eastAsia="en-GB"/>
        </w:rPr>
        <w:t>’</w:t>
      </w:r>
      <w:r w:rsidRPr="002B6725" w:rsidR="000366A1">
        <w:rPr>
          <w:rFonts w:ascii="Times New Roman" w:hAnsi="Times New Roman" w:eastAsia="Times New Roman" w:cs="Times New Roman"/>
          <w:szCs w:val="24"/>
          <w:lang w:val="en-GB" w:eastAsia="en-GB"/>
        </w:rPr>
        <w:t xml:space="preserve"> </w:t>
      </w:r>
      <w:r w:rsidRPr="002B6725" w:rsidR="000366A1">
        <w:t xml:space="preserve">right to practice their religion, including visiting </w:t>
      </w:r>
      <w:r w:rsidRPr="002B6725" w:rsidR="00160E36">
        <w:t xml:space="preserve">a </w:t>
      </w:r>
      <w:r w:rsidRPr="002B6725" w:rsidR="000366A1">
        <w:t xml:space="preserve">church and possessing religious literature, was </w:t>
      </w:r>
      <w:r w:rsidRPr="002B6725" w:rsidR="00436ECC">
        <w:t xml:space="preserve">clearly provided </w:t>
      </w:r>
      <w:r w:rsidRPr="002B6725" w:rsidR="000366A1">
        <w:t xml:space="preserve">by </w:t>
      </w:r>
      <w:r w:rsidRPr="002B6725" w:rsidR="00436ECC">
        <w:t>Article 9 of the Pre-</w:t>
      </w:r>
      <w:r w:rsidRPr="002B6725" w:rsidR="000F3134">
        <w:t>T</w:t>
      </w:r>
      <w:r w:rsidRPr="002B6725" w:rsidR="00436ECC">
        <w:t>rial Detention Act</w:t>
      </w:r>
      <w:r w:rsidRPr="002B6725" w:rsidR="00E27080">
        <w:t>.</w:t>
      </w:r>
      <w:r w:rsidRPr="002B6725" w:rsidR="00C35501">
        <w:t xml:space="preserve"> The SIZO had a chapel </w:t>
      </w:r>
      <w:r w:rsidRPr="002B6725" w:rsidR="006A4B4D">
        <w:t xml:space="preserve">which detainees had been free to </w:t>
      </w:r>
      <w:r w:rsidRPr="002B6725" w:rsidR="00755A48">
        <w:t>visit</w:t>
      </w:r>
      <w:r w:rsidRPr="002B6725" w:rsidR="006A4B4D">
        <w:t xml:space="preserve">. According to the Government, </w:t>
      </w:r>
      <w:r w:rsidRPr="002B6725" w:rsidR="00160E36">
        <w:t>i</w:t>
      </w:r>
      <w:r w:rsidRPr="002B6725" w:rsidR="000366A1">
        <w:t xml:space="preserve">n </w:t>
      </w:r>
      <w:r w:rsidRPr="002B6725" w:rsidR="000F3134">
        <w:t xml:space="preserve">a </w:t>
      </w:r>
      <w:r w:rsidRPr="002B6725" w:rsidR="000366A1">
        <w:t>case of a</w:t>
      </w:r>
      <w:r w:rsidRPr="002B6725" w:rsidR="006A4B4D">
        <w:t xml:space="preserve"> </w:t>
      </w:r>
      <w:r w:rsidRPr="002B6725" w:rsidR="000366A1">
        <w:t xml:space="preserve">violation </w:t>
      </w:r>
      <w:r w:rsidRPr="002B6725" w:rsidR="006A4B4D">
        <w:t>of the rights set forth in the mentioned Article</w:t>
      </w:r>
      <w:r w:rsidRPr="002B6725" w:rsidR="000366A1">
        <w:t xml:space="preserve">, the applicant should have </w:t>
      </w:r>
      <w:r w:rsidRPr="002B6725" w:rsidR="006A4B4D">
        <w:t xml:space="preserve">complained about it to the </w:t>
      </w:r>
      <w:r w:rsidRPr="002B6725" w:rsidR="00436ECC">
        <w:t>prosecut</w:t>
      </w:r>
      <w:r w:rsidRPr="002B6725" w:rsidR="00501939">
        <w:t>or</w:t>
      </w:r>
      <w:r w:rsidRPr="002B6725" w:rsidR="006A4B4D">
        <w:t xml:space="preserve"> or directly to the </w:t>
      </w:r>
      <w:r w:rsidRPr="002B6725" w:rsidR="00436ECC">
        <w:t>administrative court</w:t>
      </w:r>
      <w:r w:rsidRPr="002B6725" w:rsidR="006A4B4D">
        <w:t>.</w:t>
      </w:r>
    </w:p>
    <w:p w:rsidRPr="002B6725" w:rsidR="00750D68" w:rsidP="002B6725" w:rsidRDefault="002B6725">
      <w:pPr>
        <w:pStyle w:val="ECHRPara"/>
      </w:pPr>
      <w:fldSimple w:instr=" SEQ level0 \*arabic ">
        <w:r w:rsidRPr="002B6725">
          <w:rPr>
            <w:noProof/>
          </w:rPr>
          <w:t>94</w:t>
        </w:r>
      </w:fldSimple>
      <w:r w:rsidRPr="002B6725" w:rsidR="00661526">
        <w:t>.  </w:t>
      </w:r>
      <w:r w:rsidRPr="002B6725" w:rsidR="00F53048">
        <w:t xml:space="preserve">The applicant admitted that he had requested a meeting with a priest from the SIZO governor and not from the investigator or the court as required by law. </w:t>
      </w:r>
      <w:r w:rsidRPr="002B6725" w:rsidR="00B40F79">
        <w:t>In his opinion,</w:t>
      </w:r>
      <w:r w:rsidRPr="002B6725" w:rsidR="00F53048">
        <w:t xml:space="preserve"> however, in </w:t>
      </w:r>
      <w:r w:rsidRPr="002B6725" w:rsidR="008A365A">
        <w:t xml:space="preserve">a </w:t>
      </w:r>
      <w:r w:rsidRPr="002B6725" w:rsidR="00F53048">
        <w:t>case</w:t>
      </w:r>
      <w:r w:rsidRPr="002B6725" w:rsidR="008A365A">
        <w:t xml:space="preserve"> where</w:t>
      </w:r>
      <w:r w:rsidRPr="002B6725" w:rsidR="00F53048">
        <w:t xml:space="preserve"> the SIZO governor was not the right person to decide on his request</w:t>
      </w:r>
      <w:r w:rsidRPr="002B6725" w:rsidR="008A365A">
        <w:t>,</w:t>
      </w:r>
      <w:r w:rsidRPr="002B6725" w:rsidR="00F53048">
        <w:t xml:space="preserve"> he should have forwarded </w:t>
      </w:r>
      <w:r w:rsidRPr="002B6725" w:rsidR="00B40F79">
        <w:t xml:space="preserve">it </w:t>
      </w:r>
      <w:r w:rsidRPr="002B6725" w:rsidR="00F53048">
        <w:t>to the competent authority</w:t>
      </w:r>
      <w:r w:rsidRPr="002B6725" w:rsidR="00160E36">
        <w:t xml:space="preserve"> in accordance with t</w:t>
      </w:r>
      <w:r w:rsidRPr="002B6725" w:rsidR="008F761B">
        <w:t xml:space="preserve">he </w:t>
      </w:r>
      <w:r w:rsidRPr="002B6725" w:rsidR="002D52E4">
        <w:t>Citizen</w:t>
      </w:r>
      <w:r w:rsidRPr="002B6725" w:rsidR="00160E36">
        <w:t>s</w:t>
      </w:r>
      <w:r w:rsidRPr="002B6725">
        <w:t>’</w:t>
      </w:r>
      <w:r w:rsidRPr="002B6725" w:rsidR="000D6732">
        <w:t xml:space="preserve"> Appeals Act</w:t>
      </w:r>
      <w:r w:rsidRPr="002B6725" w:rsidR="008F761B">
        <w:t>.</w:t>
      </w:r>
    </w:p>
    <w:p w:rsidRPr="002B6725" w:rsidR="00FF7795" w:rsidP="002B6725" w:rsidRDefault="002B6725">
      <w:pPr>
        <w:pStyle w:val="ECHRPara"/>
      </w:pPr>
      <w:fldSimple w:instr=" SEQ level0 \*arabic ">
        <w:r w:rsidRPr="002B6725">
          <w:rPr>
            <w:noProof/>
          </w:rPr>
          <w:t>95</w:t>
        </w:r>
      </w:fldSimple>
      <w:r w:rsidRPr="002B6725" w:rsidR="00661526">
        <w:t>.  </w:t>
      </w:r>
      <w:r w:rsidRPr="002B6725" w:rsidR="00F53048">
        <w:t xml:space="preserve">The applicant further stated that </w:t>
      </w:r>
      <w:r w:rsidRPr="002B6725" w:rsidR="00F9428D">
        <w:t xml:space="preserve">he had complained on a number of occasions to the SIZO governor and </w:t>
      </w:r>
      <w:r w:rsidRPr="002B6725" w:rsidR="006A4B4D">
        <w:t xml:space="preserve">on 1 October 2006 </w:t>
      </w:r>
      <w:r w:rsidRPr="002B6725" w:rsidR="00F9428D">
        <w:t xml:space="preserve">to the Prosecutor General </w:t>
      </w:r>
      <w:r w:rsidRPr="002B6725" w:rsidR="00F53048">
        <w:t>about</w:t>
      </w:r>
      <w:r w:rsidRPr="002B6725" w:rsidR="006E5F6B">
        <w:t xml:space="preserve"> </w:t>
      </w:r>
      <w:r w:rsidRPr="002B6725" w:rsidR="00F53048">
        <w:t>violations of his right</w:t>
      </w:r>
      <w:r w:rsidRPr="002B6725" w:rsidR="006E5F6B">
        <w:t xml:space="preserve"> to practice his</w:t>
      </w:r>
      <w:r w:rsidRPr="002B6725" w:rsidR="00F53048">
        <w:t xml:space="preserve"> </w:t>
      </w:r>
      <w:r w:rsidRPr="002B6725" w:rsidR="006E5F6B">
        <w:t>religio</w:t>
      </w:r>
      <w:r w:rsidRPr="002B6725" w:rsidR="008A365A">
        <w:t>n</w:t>
      </w:r>
      <w:r w:rsidRPr="002B6725" w:rsidR="00501939">
        <w:t>, in particular</w:t>
      </w:r>
      <w:r w:rsidRPr="002B6725" w:rsidR="008A365A">
        <w:t xml:space="preserve"> regarding</w:t>
      </w:r>
      <w:r w:rsidRPr="002B6725" w:rsidR="00501939">
        <w:t xml:space="preserve"> the seizure of </w:t>
      </w:r>
      <w:r w:rsidRPr="002B6725" w:rsidR="008A365A">
        <w:t xml:space="preserve">his </w:t>
      </w:r>
      <w:r w:rsidRPr="002B6725" w:rsidR="006A4B4D">
        <w:t xml:space="preserve">religious literature and </w:t>
      </w:r>
      <w:r w:rsidRPr="002B6725" w:rsidR="008A365A">
        <w:t xml:space="preserve">paraphernalia </w:t>
      </w:r>
      <w:r w:rsidRPr="002B6725" w:rsidR="00501939">
        <w:t xml:space="preserve">and </w:t>
      </w:r>
      <w:r w:rsidRPr="002B6725" w:rsidR="00160E36">
        <w:t xml:space="preserve">the </w:t>
      </w:r>
      <w:r w:rsidRPr="002B6725" w:rsidR="006A4B4D">
        <w:t xml:space="preserve">impossibility to </w:t>
      </w:r>
      <w:r w:rsidRPr="002B6725" w:rsidR="00755A48">
        <w:t xml:space="preserve">visit </w:t>
      </w:r>
      <w:r w:rsidRPr="002B6725" w:rsidR="006A4B4D">
        <w:t>the SIZO chapel</w:t>
      </w:r>
      <w:r w:rsidRPr="002B6725" w:rsidR="00501939">
        <w:t xml:space="preserve">, </w:t>
      </w:r>
      <w:r w:rsidRPr="002B6725" w:rsidR="00FF7795">
        <w:t>but received no reply</w:t>
      </w:r>
      <w:r w:rsidRPr="002B6725" w:rsidR="00F53048">
        <w:t>.</w:t>
      </w:r>
    </w:p>
    <w:p w:rsidRPr="002B6725" w:rsidR="00750D68" w:rsidP="002B6725" w:rsidRDefault="00C72699">
      <w:pPr>
        <w:pStyle w:val="ECHRHeading3"/>
        <w:rPr>
          <w:rFonts w:eastAsia="Times New Roman"/>
          <w:lang w:val="en-GB" w:eastAsia="en-GB"/>
        </w:rPr>
      </w:pPr>
      <w:r w:rsidRPr="002B6725">
        <w:rPr>
          <w:rFonts w:eastAsia="Times New Roman"/>
          <w:lang w:val="en-GB" w:eastAsia="en-GB"/>
        </w:rPr>
        <w:t>2.  </w:t>
      </w:r>
      <w:r w:rsidRPr="002B6725" w:rsidR="00FF7795">
        <w:rPr>
          <w:rFonts w:eastAsia="Times New Roman"/>
          <w:lang w:val="en-GB" w:eastAsia="en-GB"/>
        </w:rPr>
        <w:t xml:space="preserve">The </w:t>
      </w:r>
      <w:r w:rsidRPr="002B6725" w:rsidR="000366A1">
        <w:rPr>
          <w:rFonts w:eastAsia="Times New Roman"/>
          <w:lang w:val="en-GB" w:eastAsia="en-GB"/>
        </w:rPr>
        <w:t>Court</w:t>
      </w:r>
      <w:r w:rsidRPr="002B6725" w:rsidR="002B6725">
        <w:rPr>
          <w:rFonts w:eastAsia="Times New Roman"/>
          <w:lang w:val="en-GB" w:eastAsia="en-GB"/>
        </w:rPr>
        <w:t>’</w:t>
      </w:r>
      <w:r w:rsidRPr="002B6725" w:rsidR="000366A1">
        <w:rPr>
          <w:rFonts w:eastAsia="Times New Roman"/>
          <w:lang w:val="en-GB" w:eastAsia="en-GB"/>
        </w:rPr>
        <w:t>s assessment</w:t>
      </w:r>
    </w:p>
    <w:p w:rsidRPr="002B6725" w:rsidR="000366A1" w:rsidP="002B6725" w:rsidRDefault="000366A1">
      <w:pPr>
        <w:pStyle w:val="ECHRHeading4"/>
      </w:pPr>
      <w:r w:rsidRPr="002B6725">
        <w:rPr>
          <w:rFonts w:ascii="Times New Roman" w:hAnsi="Times New Roman" w:eastAsia="Times New Roman" w:cs="Times New Roman"/>
          <w:szCs w:val="24"/>
          <w:lang w:val="en-GB" w:eastAsia="en-GB"/>
        </w:rPr>
        <w:t>(a)</w:t>
      </w:r>
      <w:r w:rsidRPr="002B6725" w:rsidR="00C72699">
        <w:rPr>
          <w:rFonts w:ascii="Times New Roman" w:hAnsi="Times New Roman" w:eastAsia="Times New Roman" w:cs="Times New Roman"/>
          <w:szCs w:val="24"/>
          <w:lang w:val="en-GB" w:eastAsia="en-GB"/>
        </w:rPr>
        <w:t>  </w:t>
      </w:r>
      <w:r w:rsidRPr="002B6725">
        <w:t xml:space="preserve">Refusal of visits </w:t>
      </w:r>
      <w:r w:rsidRPr="002B6725" w:rsidR="00654FE2">
        <w:t xml:space="preserve">by </w:t>
      </w:r>
      <w:r w:rsidRPr="002B6725">
        <w:t>a priest</w:t>
      </w:r>
    </w:p>
    <w:p w:rsidRPr="002B6725" w:rsidR="002A61C0" w:rsidP="002B6725" w:rsidRDefault="00661526">
      <w:pPr>
        <w:pStyle w:val="ECHRPara"/>
        <w:rPr>
          <w:rFonts w:eastAsia="Times New Roman"/>
          <w:lang w:val="en-GB" w:eastAsia="en-GB"/>
        </w:rPr>
      </w:pPr>
      <w:r w:rsidRPr="002B6725">
        <w:rPr>
          <w:rFonts w:eastAsia="Times New Roman"/>
          <w:lang w:val="en-GB" w:eastAsia="en-GB"/>
        </w:rPr>
        <w:fldChar w:fldCharType="begin"/>
      </w:r>
      <w:r w:rsidRPr="002B6725">
        <w:rPr>
          <w:rFonts w:eastAsia="Times New Roman"/>
          <w:lang w:val="en-GB" w:eastAsia="en-GB"/>
        </w:rPr>
        <w:instrText xml:space="preserve"> SEQ level0 \*arabic </w:instrText>
      </w:r>
      <w:r w:rsidRPr="002B6725">
        <w:rPr>
          <w:rFonts w:eastAsia="Times New Roman"/>
          <w:lang w:val="en-GB" w:eastAsia="en-GB"/>
        </w:rPr>
        <w:fldChar w:fldCharType="separate"/>
      </w:r>
      <w:r w:rsidRPr="002B6725" w:rsidR="002B6725">
        <w:rPr>
          <w:rFonts w:eastAsia="Times New Roman"/>
          <w:noProof/>
          <w:lang w:val="en-GB" w:eastAsia="en-GB"/>
        </w:rPr>
        <w:t>96</w:t>
      </w:r>
      <w:r w:rsidRPr="002B6725">
        <w:rPr>
          <w:rFonts w:eastAsia="Times New Roman"/>
          <w:lang w:val="en-GB" w:eastAsia="en-GB"/>
        </w:rPr>
        <w:fldChar w:fldCharType="end"/>
      </w:r>
      <w:r w:rsidRPr="002B6725">
        <w:rPr>
          <w:rFonts w:eastAsia="Times New Roman"/>
          <w:lang w:val="en-GB" w:eastAsia="en-GB"/>
        </w:rPr>
        <w:t>.  </w:t>
      </w:r>
      <w:r w:rsidRPr="002B6725" w:rsidR="00072936">
        <w:rPr>
          <w:rFonts w:eastAsia="Times New Roman"/>
          <w:lang w:val="en-GB" w:eastAsia="en-GB"/>
        </w:rPr>
        <w:t xml:space="preserve">The </w:t>
      </w:r>
      <w:r w:rsidRPr="002B6725" w:rsidR="00224616">
        <w:rPr>
          <w:rFonts w:eastAsia="Times New Roman"/>
          <w:lang w:val="en-GB" w:eastAsia="en-GB"/>
        </w:rPr>
        <w:t>Government did not contest the fact that the applicant had requested</w:t>
      </w:r>
      <w:r w:rsidRPr="002B6725" w:rsidR="00654FE2">
        <w:rPr>
          <w:rFonts w:eastAsia="Times New Roman"/>
          <w:lang w:val="en-GB" w:eastAsia="en-GB"/>
        </w:rPr>
        <w:t xml:space="preserve"> that the SIZO administration</w:t>
      </w:r>
      <w:r w:rsidRPr="002B6725" w:rsidR="00224616">
        <w:rPr>
          <w:rFonts w:eastAsia="Times New Roman"/>
          <w:lang w:val="en-GB" w:eastAsia="en-GB"/>
        </w:rPr>
        <w:t xml:space="preserve"> </w:t>
      </w:r>
      <w:r w:rsidRPr="002B6725" w:rsidR="00654FE2">
        <w:rPr>
          <w:rFonts w:eastAsia="Times New Roman"/>
          <w:lang w:val="en-GB" w:eastAsia="en-GB"/>
        </w:rPr>
        <w:t xml:space="preserve">give him an opportunity to meet </w:t>
      </w:r>
      <w:r w:rsidRPr="002B6725" w:rsidR="00224616">
        <w:rPr>
          <w:rFonts w:eastAsia="Times New Roman"/>
          <w:lang w:val="en-GB" w:eastAsia="en-GB"/>
        </w:rPr>
        <w:t>with a priest. The</w:t>
      </w:r>
      <w:r w:rsidRPr="002B6725" w:rsidR="00654FE2">
        <w:rPr>
          <w:rFonts w:eastAsia="Times New Roman"/>
          <w:lang w:val="en-GB" w:eastAsia="en-GB"/>
        </w:rPr>
        <w:t>ir</w:t>
      </w:r>
      <w:r w:rsidRPr="002B6725" w:rsidR="002A61C0">
        <w:rPr>
          <w:rFonts w:eastAsia="Times New Roman"/>
          <w:lang w:val="en-GB" w:eastAsia="en-GB"/>
        </w:rPr>
        <w:t xml:space="preserve"> objection </w:t>
      </w:r>
      <w:r w:rsidRPr="002B6725" w:rsidR="00072936">
        <w:rPr>
          <w:rFonts w:eastAsia="Times New Roman"/>
          <w:lang w:val="en-GB" w:eastAsia="en-GB"/>
        </w:rPr>
        <w:t xml:space="preserve">to the admissibility </w:t>
      </w:r>
      <w:r w:rsidRPr="002B6725" w:rsidR="002A61C0">
        <w:rPr>
          <w:rFonts w:eastAsia="Times New Roman"/>
          <w:lang w:val="en-GB" w:eastAsia="en-GB"/>
        </w:rPr>
        <w:t xml:space="preserve">is based </w:t>
      </w:r>
      <w:r w:rsidRPr="002B6725" w:rsidR="00755A48">
        <w:rPr>
          <w:rFonts w:eastAsia="Times New Roman"/>
          <w:lang w:val="en-GB" w:eastAsia="en-GB"/>
        </w:rPr>
        <w:t xml:space="preserve">rather </w:t>
      </w:r>
      <w:r w:rsidRPr="002B6725" w:rsidR="002A61C0">
        <w:rPr>
          <w:rFonts w:eastAsia="Times New Roman"/>
          <w:lang w:val="en-GB" w:eastAsia="en-GB"/>
        </w:rPr>
        <w:t xml:space="preserve">on the </w:t>
      </w:r>
      <w:r w:rsidRPr="002B6725" w:rsidR="00224616">
        <w:rPr>
          <w:rFonts w:eastAsia="Times New Roman"/>
          <w:lang w:val="en-GB" w:eastAsia="en-GB"/>
        </w:rPr>
        <w:t>fact that</w:t>
      </w:r>
      <w:r w:rsidRPr="002B6725" w:rsidR="001F782B">
        <w:rPr>
          <w:rFonts w:eastAsia="Times New Roman"/>
          <w:lang w:val="en-GB" w:eastAsia="en-GB"/>
        </w:rPr>
        <w:t>, in accordan</w:t>
      </w:r>
      <w:r w:rsidRPr="002B6725" w:rsidR="00072936">
        <w:rPr>
          <w:rFonts w:eastAsia="Times New Roman"/>
          <w:lang w:val="en-GB" w:eastAsia="en-GB"/>
        </w:rPr>
        <w:t>ce</w:t>
      </w:r>
      <w:r w:rsidRPr="002B6725" w:rsidR="001F782B">
        <w:rPr>
          <w:rFonts w:eastAsia="Times New Roman"/>
          <w:lang w:val="en-GB" w:eastAsia="en-GB"/>
        </w:rPr>
        <w:t xml:space="preserve"> </w:t>
      </w:r>
      <w:r w:rsidRPr="002B6725" w:rsidR="00654FE2">
        <w:rPr>
          <w:rFonts w:eastAsia="Times New Roman"/>
          <w:lang w:val="en-GB" w:eastAsia="en-GB"/>
        </w:rPr>
        <w:t xml:space="preserve">with </w:t>
      </w:r>
      <w:r w:rsidRPr="002B6725" w:rsidR="001F782B">
        <w:rPr>
          <w:rFonts w:eastAsia="Times New Roman"/>
          <w:lang w:val="en-GB" w:eastAsia="en-GB"/>
        </w:rPr>
        <w:t xml:space="preserve">the </w:t>
      </w:r>
      <w:r w:rsidRPr="002B6725" w:rsidR="00E27080">
        <w:rPr>
          <w:rFonts w:eastAsia="Times New Roman"/>
          <w:lang w:val="en-GB" w:eastAsia="en-GB"/>
        </w:rPr>
        <w:t xml:space="preserve">applicable </w:t>
      </w:r>
      <w:r w:rsidRPr="002B6725" w:rsidR="001F782B">
        <w:rPr>
          <w:rFonts w:eastAsia="Times New Roman"/>
          <w:lang w:val="en-GB" w:eastAsia="en-GB"/>
        </w:rPr>
        <w:t xml:space="preserve">domestic law, any request of that kind should have been lodged with the </w:t>
      </w:r>
      <w:r w:rsidRPr="002B6725" w:rsidR="002A61C0">
        <w:rPr>
          <w:rFonts w:eastAsia="Times New Roman"/>
          <w:lang w:val="en-GB" w:eastAsia="en-GB"/>
        </w:rPr>
        <w:t>investigator or the court dealing with the applicant</w:t>
      </w:r>
      <w:r w:rsidRPr="002B6725" w:rsidR="002B6725">
        <w:rPr>
          <w:rFonts w:eastAsia="Times New Roman"/>
          <w:lang w:val="en-GB" w:eastAsia="en-GB"/>
        </w:rPr>
        <w:t>’</w:t>
      </w:r>
      <w:r w:rsidRPr="002B6725" w:rsidR="002A61C0">
        <w:rPr>
          <w:rFonts w:eastAsia="Times New Roman"/>
          <w:lang w:val="en-GB" w:eastAsia="en-GB"/>
        </w:rPr>
        <w:t>s criminal case.</w:t>
      </w:r>
    </w:p>
    <w:p w:rsidRPr="002B6725" w:rsidR="00750D68" w:rsidP="002B6725" w:rsidRDefault="00661526">
      <w:pPr>
        <w:pStyle w:val="ECHRPara"/>
        <w:rPr>
          <w:rFonts w:eastAsia="Times New Roman"/>
          <w:lang w:val="en-GB" w:eastAsia="en-GB"/>
        </w:rPr>
      </w:pPr>
      <w:r w:rsidRPr="002B6725">
        <w:rPr>
          <w:rFonts w:eastAsia="Times New Roman"/>
          <w:lang w:val="en-GB" w:eastAsia="en-GB"/>
        </w:rPr>
        <w:fldChar w:fldCharType="begin"/>
      </w:r>
      <w:r w:rsidRPr="002B6725">
        <w:rPr>
          <w:rFonts w:eastAsia="Times New Roman"/>
          <w:lang w:val="en-GB" w:eastAsia="en-GB"/>
        </w:rPr>
        <w:instrText xml:space="preserve"> SEQ level0 \*arabic </w:instrText>
      </w:r>
      <w:r w:rsidRPr="002B6725">
        <w:rPr>
          <w:rFonts w:eastAsia="Times New Roman"/>
          <w:lang w:val="en-GB" w:eastAsia="en-GB"/>
        </w:rPr>
        <w:fldChar w:fldCharType="separate"/>
      </w:r>
      <w:r w:rsidRPr="002B6725" w:rsidR="002B6725">
        <w:rPr>
          <w:rFonts w:eastAsia="Times New Roman"/>
          <w:noProof/>
          <w:lang w:val="en-GB" w:eastAsia="en-GB"/>
        </w:rPr>
        <w:t>97</w:t>
      </w:r>
      <w:r w:rsidRPr="002B6725">
        <w:rPr>
          <w:rFonts w:eastAsia="Times New Roman"/>
          <w:lang w:val="en-GB" w:eastAsia="en-GB"/>
        </w:rPr>
        <w:fldChar w:fldCharType="end"/>
      </w:r>
      <w:r w:rsidRPr="002B6725">
        <w:rPr>
          <w:rFonts w:eastAsia="Times New Roman"/>
          <w:lang w:val="en-GB" w:eastAsia="en-GB"/>
        </w:rPr>
        <w:t>.  </w:t>
      </w:r>
      <w:r w:rsidRPr="002B6725" w:rsidR="00072936">
        <w:rPr>
          <w:rFonts w:eastAsia="Times New Roman"/>
          <w:lang w:val="en-GB" w:eastAsia="en-GB"/>
        </w:rPr>
        <w:t xml:space="preserve">The Court notes in this </w:t>
      </w:r>
      <w:r w:rsidRPr="002B6725" w:rsidR="00654FE2">
        <w:rPr>
          <w:rFonts w:eastAsia="Times New Roman"/>
          <w:lang w:val="en-GB" w:eastAsia="en-GB"/>
        </w:rPr>
        <w:t xml:space="preserve">connection </w:t>
      </w:r>
      <w:r w:rsidRPr="002B6725" w:rsidR="00072936">
        <w:rPr>
          <w:rFonts w:eastAsia="Times New Roman"/>
          <w:lang w:val="en-GB" w:eastAsia="en-GB"/>
        </w:rPr>
        <w:t xml:space="preserve">that the applicant was a detainee at the time. The </w:t>
      </w:r>
      <w:r w:rsidRPr="002B6725" w:rsidR="00755A48">
        <w:rPr>
          <w:rFonts w:eastAsia="Times New Roman"/>
          <w:lang w:val="en-GB" w:eastAsia="en-GB"/>
        </w:rPr>
        <w:t xml:space="preserve">procedure </w:t>
      </w:r>
      <w:r w:rsidRPr="002B6725" w:rsidR="00072936">
        <w:rPr>
          <w:rFonts w:eastAsia="Times New Roman"/>
          <w:lang w:val="en-GB" w:eastAsia="en-GB"/>
        </w:rPr>
        <w:t>regarding visiting a detainee w</w:t>
      </w:r>
      <w:r w:rsidRPr="002B6725" w:rsidR="00755A48">
        <w:rPr>
          <w:rFonts w:eastAsia="Times New Roman"/>
          <w:lang w:val="en-GB" w:eastAsia="en-GB"/>
        </w:rPr>
        <w:t>as</w:t>
      </w:r>
      <w:r w:rsidRPr="002B6725" w:rsidR="00072936">
        <w:rPr>
          <w:rFonts w:eastAsia="Times New Roman"/>
          <w:lang w:val="en-GB" w:eastAsia="en-GB"/>
        </w:rPr>
        <w:t xml:space="preserve"> </w:t>
      </w:r>
      <w:r w:rsidRPr="002B6725" w:rsidR="00E068F2">
        <w:rPr>
          <w:rFonts w:eastAsia="Times New Roman"/>
          <w:lang w:val="en-GB" w:eastAsia="en-GB"/>
        </w:rPr>
        <w:t xml:space="preserve">provided </w:t>
      </w:r>
      <w:r w:rsidRPr="002B6725" w:rsidR="00072936">
        <w:rPr>
          <w:rFonts w:eastAsia="Times New Roman"/>
          <w:lang w:val="en-GB" w:eastAsia="en-GB"/>
        </w:rPr>
        <w:t>by the Code of Criminal Procedure and the Pre-</w:t>
      </w:r>
      <w:r w:rsidRPr="002B6725" w:rsidR="00654FE2">
        <w:rPr>
          <w:rFonts w:eastAsia="Times New Roman"/>
          <w:lang w:val="en-GB" w:eastAsia="en-GB"/>
        </w:rPr>
        <w:t xml:space="preserve">Trial </w:t>
      </w:r>
      <w:r w:rsidRPr="002B6725" w:rsidR="00072936">
        <w:rPr>
          <w:rFonts w:eastAsia="Times New Roman"/>
          <w:lang w:val="en-GB" w:eastAsia="en-GB"/>
        </w:rPr>
        <w:t xml:space="preserve">Detention Act which clearly defined the authorities in charge of </w:t>
      </w:r>
      <w:r w:rsidRPr="002B6725" w:rsidR="00654FE2">
        <w:rPr>
          <w:rFonts w:eastAsia="Times New Roman"/>
          <w:lang w:val="en-GB" w:eastAsia="en-GB"/>
        </w:rPr>
        <w:t xml:space="preserve">the </w:t>
      </w:r>
      <w:r w:rsidRPr="002B6725" w:rsidR="00072936">
        <w:rPr>
          <w:rFonts w:eastAsia="Times New Roman"/>
          <w:lang w:val="en-GB" w:eastAsia="en-GB"/>
        </w:rPr>
        <w:t>examination of all respective requests</w:t>
      </w:r>
      <w:r w:rsidRPr="002B6725" w:rsidR="00160E36">
        <w:rPr>
          <w:rFonts w:eastAsia="Times New Roman"/>
          <w:lang w:val="en-GB" w:eastAsia="en-GB"/>
        </w:rPr>
        <w:t xml:space="preserve"> (see paragraphs </w:t>
      </w:r>
      <w:r w:rsidRPr="002B6725" w:rsidR="00951B6D">
        <w:rPr>
          <w:rFonts w:eastAsia="Times New Roman"/>
          <w:lang w:val="en-GB" w:eastAsia="en-GB"/>
        </w:rPr>
        <w:t>37 and 38</w:t>
      </w:r>
      <w:r w:rsidRPr="002B6725" w:rsidR="00A97FFA">
        <w:rPr>
          <w:rFonts w:eastAsia="Times New Roman"/>
          <w:lang w:val="en-GB" w:eastAsia="en-GB"/>
        </w:rPr>
        <w:t xml:space="preserve"> above</w:t>
      </w:r>
      <w:r w:rsidRPr="002B6725" w:rsidR="00160E36">
        <w:rPr>
          <w:rFonts w:eastAsia="Times New Roman"/>
          <w:lang w:val="en-GB" w:eastAsia="en-GB"/>
        </w:rPr>
        <w:t>)</w:t>
      </w:r>
      <w:r w:rsidRPr="002B6725" w:rsidR="00072936">
        <w:rPr>
          <w:rFonts w:eastAsia="Times New Roman"/>
          <w:lang w:val="en-GB" w:eastAsia="en-GB"/>
        </w:rPr>
        <w:t>.</w:t>
      </w:r>
      <w:r w:rsidRPr="002B6725" w:rsidR="00D25A81">
        <w:rPr>
          <w:rFonts w:eastAsia="Times New Roman"/>
          <w:lang w:val="en-GB" w:eastAsia="en-GB"/>
        </w:rPr>
        <w:t xml:space="preserve"> The mentioned legislative provisions were acce</w:t>
      </w:r>
      <w:r w:rsidRPr="002B6725" w:rsidR="001B4025">
        <w:rPr>
          <w:rFonts w:eastAsia="Times New Roman"/>
          <w:lang w:val="en-GB" w:eastAsia="en-GB"/>
        </w:rPr>
        <w:t xml:space="preserve">ssible </w:t>
      </w:r>
      <w:r w:rsidRPr="002B6725" w:rsidR="00D25A81">
        <w:rPr>
          <w:rFonts w:eastAsia="Times New Roman"/>
          <w:lang w:val="en-GB" w:eastAsia="en-GB"/>
        </w:rPr>
        <w:t xml:space="preserve">to public. The Court </w:t>
      </w:r>
      <w:r w:rsidRPr="002B6725" w:rsidR="00A033CF">
        <w:rPr>
          <w:rFonts w:eastAsia="Times New Roman"/>
          <w:lang w:val="en-GB" w:eastAsia="en-GB"/>
        </w:rPr>
        <w:t>is not aware of any reason that would justify the applicant</w:t>
      </w:r>
      <w:r w:rsidRPr="002B6725" w:rsidR="002B6725">
        <w:rPr>
          <w:rFonts w:eastAsia="Times New Roman"/>
          <w:lang w:val="en-GB" w:eastAsia="en-GB"/>
        </w:rPr>
        <w:t>’</w:t>
      </w:r>
      <w:r w:rsidRPr="002B6725" w:rsidR="00A033CF">
        <w:rPr>
          <w:rFonts w:eastAsia="Times New Roman"/>
          <w:lang w:val="en-GB" w:eastAsia="en-GB"/>
        </w:rPr>
        <w:t xml:space="preserve">s failure to </w:t>
      </w:r>
      <w:r w:rsidRPr="002B6725" w:rsidR="00D25A81">
        <w:rPr>
          <w:rFonts w:eastAsia="Times New Roman"/>
          <w:lang w:val="en-GB" w:eastAsia="en-GB"/>
        </w:rPr>
        <w:t>compl</w:t>
      </w:r>
      <w:r w:rsidRPr="002B6725" w:rsidR="00A033CF">
        <w:rPr>
          <w:rFonts w:eastAsia="Times New Roman"/>
          <w:lang w:val="en-GB" w:eastAsia="en-GB"/>
        </w:rPr>
        <w:t>y</w:t>
      </w:r>
      <w:r w:rsidRPr="002B6725" w:rsidR="00D25A81">
        <w:rPr>
          <w:rFonts w:eastAsia="Times New Roman"/>
          <w:lang w:val="en-GB" w:eastAsia="en-GB"/>
        </w:rPr>
        <w:t xml:space="preserve"> with the procedure</w:t>
      </w:r>
      <w:r w:rsidRPr="002B6725" w:rsidR="00A97FFA">
        <w:rPr>
          <w:rFonts w:eastAsia="Times New Roman"/>
          <w:lang w:val="en-GB" w:eastAsia="en-GB"/>
        </w:rPr>
        <w:t xml:space="preserve"> set forth therein</w:t>
      </w:r>
      <w:r w:rsidRPr="002B6725" w:rsidR="00D25A81">
        <w:rPr>
          <w:rFonts w:eastAsia="Times New Roman"/>
          <w:lang w:val="en-GB" w:eastAsia="en-GB"/>
        </w:rPr>
        <w:t>.</w:t>
      </w:r>
    </w:p>
    <w:p w:rsidRPr="002B6725" w:rsidR="00D25A81" w:rsidP="002B6725" w:rsidRDefault="00661526">
      <w:pPr>
        <w:pStyle w:val="ECHRPara"/>
        <w:rPr>
          <w:rFonts w:eastAsia="Times New Roman"/>
          <w:lang w:val="en-GB" w:eastAsia="en-GB"/>
        </w:rPr>
      </w:pPr>
      <w:r w:rsidRPr="002B6725">
        <w:rPr>
          <w:rFonts w:eastAsia="Times New Roman"/>
          <w:lang w:val="en-GB" w:eastAsia="en-GB"/>
        </w:rPr>
        <w:fldChar w:fldCharType="begin"/>
      </w:r>
      <w:r w:rsidRPr="002B6725">
        <w:rPr>
          <w:rFonts w:eastAsia="Times New Roman"/>
          <w:lang w:val="en-GB" w:eastAsia="en-GB"/>
        </w:rPr>
        <w:instrText xml:space="preserve"> SEQ level0 \*arabic </w:instrText>
      </w:r>
      <w:r w:rsidRPr="002B6725">
        <w:rPr>
          <w:rFonts w:eastAsia="Times New Roman"/>
          <w:lang w:val="en-GB" w:eastAsia="en-GB"/>
        </w:rPr>
        <w:fldChar w:fldCharType="separate"/>
      </w:r>
      <w:r w:rsidRPr="002B6725" w:rsidR="002B6725">
        <w:rPr>
          <w:rFonts w:eastAsia="Times New Roman"/>
          <w:noProof/>
          <w:lang w:val="en-GB" w:eastAsia="en-GB"/>
        </w:rPr>
        <w:t>98</w:t>
      </w:r>
      <w:r w:rsidRPr="002B6725">
        <w:rPr>
          <w:rFonts w:eastAsia="Times New Roman"/>
          <w:lang w:val="en-GB" w:eastAsia="en-GB"/>
        </w:rPr>
        <w:fldChar w:fldCharType="end"/>
      </w:r>
      <w:r w:rsidRPr="002B6725">
        <w:rPr>
          <w:rFonts w:eastAsia="Times New Roman"/>
          <w:lang w:val="en-GB" w:eastAsia="en-GB"/>
        </w:rPr>
        <w:t>.  </w:t>
      </w:r>
      <w:r w:rsidRPr="002B6725" w:rsidR="00D25A81">
        <w:rPr>
          <w:rFonts w:eastAsia="Times New Roman"/>
          <w:lang w:val="en-GB" w:eastAsia="en-GB"/>
        </w:rPr>
        <w:t xml:space="preserve">It should also not be overlooked in this context that the applicant </w:t>
      </w:r>
      <w:r w:rsidRPr="002B6725" w:rsidR="00C6285B">
        <w:rPr>
          <w:rFonts w:eastAsia="Times New Roman"/>
          <w:lang w:val="en-GB" w:eastAsia="en-GB"/>
        </w:rPr>
        <w:t>was</w:t>
      </w:r>
      <w:r w:rsidRPr="002B6725" w:rsidR="00D25A81">
        <w:rPr>
          <w:rFonts w:eastAsia="Times New Roman"/>
          <w:lang w:val="en-GB" w:eastAsia="en-GB"/>
        </w:rPr>
        <w:t xml:space="preserve"> legally represented at the time and thus could have benefited from </w:t>
      </w:r>
      <w:r w:rsidRPr="002B6725" w:rsidR="00C6285B">
        <w:rPr>
          <w:rFonts w:eastAsia="Times New Roman"/>
          <w:lang w:val="en-GB" w:eastAsia="en-GB"/>
        </w:rPr>
        <w:t xml:space="preserve">the </w:t>
      </w:r>
      <w:r w:rsidRPr="002B6725" w:rsidR="00D25A81">
        <w:rPr>
          <w:rFonts w:eastAsia="Times New Roman"/>
          <w:lang w:val="en-GB" w:eastAsia="en-GB"/>
        </w:rPr>
        <w:t>assistance of his lawyer</w:t>
      </w:r>
      <w:r w:rsidRPr="002B6725" w:rsidR="00A97FFA">
        <w:rPr>
          <w:rFonts w:eastAsia="Times New Roman"/>
          <w:lang w:val="en-GB" w:eastAsia="en-GB"/>
        </w:rPr>
        <w:t>s</w:t>
      </w:r>
      <w:r w:rsidRPr="002B6725" w:rsidR="00D25A81">
        <w:rPr>
          <w:rFonts w:eastAsia="Times New Roman"/>
          <w:lang w:val="en-GB" w:eastAsia="en-GB"/>
        </w:rPr>
        <w:t xml:space="preserve"> </w:t>
      </w:r>
      <w:r w:rsidRPr="002B6725" w:rsidR="00654FE2">
        <w:rPr>
          <w:rFonts w:eastAsia="Times New Roman"/>
          <w:lang w:val="en-GB" w:eastAsia="en-GB"/>
        </w:rPr>
        <w:t>i</w:t>
      </w:r>
      <w:r w:rsidRPr="002B6725" w:rsidR="00D25A81">
        <w:rPr>
          <w:rFonts w:eastAsia="Times New Roman"/>
          <w:lang w:val="en-GB" w:eastAsia="en-GB"/>
        </w:rPr>
        <w:t>n the matter.</w:t>
      </w:r>
    </w:p>
    <w:p w:rsidRPr="002B6725" w:rsidR="00514F83" w:rsidP="002B6725" w:rsidRDefault="00661526">
      <w:pPr>
        <w:pStyle w:val="ECHRPara"/>
        <w:rPr>
          <w:rFonts w:ascii="Times New Roman" w:hAnsi="Times New Roman" w:eastAsia="Times New Roman" w:cs="Times New Roman"/>
          <w:szCs w:val="24"/>
          <w:lang w:val="en-GB" w:eastAsia="en-GB"/>
        </w:rPr>
      </w:pPr>
      <w:r w:rsidRPr="002B6725">
        <w:rPr>
          <w:rFonts w:eastAsia="Times New Roman"/>
          <w:lang w:val="en-GB" w:eastAsia="en-GB"/>
        </w:rPr>
        <w:fldChar w:fldCharType="begin"/>
      </w:r>
      <w:r w:rsidRPr="002B6725">
        <w:rPr>
          <w:rFonts w:eastAsia="Times New Roman"/>
          <w:lang w:val="en-GB" w:eastAsia="en-GB"/>
        </w:rPr>
        <w:instrText xml:space="preserve"> SEQ level0 \*arabic </w:instrText>
      </w:r>
      <w:r w:rsidRPr="002B6725">
        <w:rPr>
          <w:rFonts w:eastAsia="Times New Roman"/>
          <w:lang w:val="en-GB" w:eastAsia="en-GB"/>
        </w:rPr>
        <w:fldChar w:fldCharType="separate"/>
      </w:r>
      <w:r w:rsidRPr="002B6725" w:rsidR="002B6725">
        <w:rPr>
          <w:rFonts w:eastAsia="Times New Roman"/>
          <w:noProof/>
          <w:lang w:val="en-GB" w:eastAsia="en-GB"/>
        </w:rPr>
        <w:t>99</w:t>
      </w:r>
      <w:r w:rsidRPr="002B6725">
        <w:rPr>
          <w:rFonts w:eastAsia="Times New Roman"/>
          <w:lang w:val="en-GB" w:eastAsia="en-GB"/>
        </w:rPr>
        <w:fldChar w:fldCharType="end"/>
      </w:r>
      <w:r w:rsidRPr="002B6725">
        <w:rPr>
          <w:rFonts w:eastAsia="Times New Roman"/>
          <w:lang w:val="en-GB" w:eastAsia="en-GB"/>
        </w:rPr>
        <w:t>.  </w:t>
      </w:r>
      <w:r w:rsidRPr="002B6725" w:rsidR="00514F83">
        <w:rPr>
          <w:rFonts w:eastAsia="Times New Roman"/>
          <w:lang w:val="en-GB" w:eastAsia="en-GB"/>
        </w:rPr>
        <w:t xml:space="preserve">Moreover, </w:t>
      </w:r>
      <w:r w:rsidRPr="002B6725" w:rsidR="00651EED">
        <w:rPr>
          <w:rFonts w:eastAsia="Times New Roman"/>
          <w:lang w:val="en-GB" w:eastAsia="en-GB"/>
        </w:rPr>
        <w:t xml:space="preserve">the </w:t>
      </w:r>
      <w:r w:rsidRPr="002B6725" w:rsidR="00514F83">
        <w:rPr>
          <w:rFonts w:eastAsia="Times New Roman"/>
          <w:lang w:val="en-GB" w:eastAsia="en-GB"/>
        </w:rPr>
        <w:t xml:space="preserve">Court observes that </w:t>
      </w:r>
      <w:r w:rsidRPr="002B6725" w:rsidR="00514F83">
        <w:rPr>
          <w:rFonts w:ascii="Times New Roman" w:hAnsi="Times New Roman" w:eastAsia="Times New Roman" w:cs="Times New Roman"/>
          <w:szCs w:val="24"/>
          <w:lang w:val="en-GB" w:eastAsia="en-GB"/>
        </w:rPr>
        <w:t xml:space="preserve">the restrictions on visits by either relatives or other </w:t>
      </w:r>
      <w:r w:rsidRPr="002B6725" w:rsidR="00F95421">
        <w:rPr>
          <w:rFonts w:ascii="Times New Roman" w:hAnsi="Times New Roman" w:eastAsia="Times New Roman" w:cs="Times New Roman"/>
          <w:szCs w:val="24"/>
          <w:lang w:val="en-GB" w:eastAsia="en-GB"/>
        </w:rPr>
        <w:t xml:space="preserve">people </w:t>
      </w:r>
      <w:r w:rsidRPr="002B6725" w:rsidR="00A97FFA">
        <w:rPr>
          <w:rFonts w:ascii="Times New Roman" w:hAnsi="Times New Roman" w:eastAsia="Times New Roman" w:cs="Times New Roman"/>
          <w:szCs w:val="24"/>
          <w:lang w:val="en-GB" w:eastAsia="en-GB"/>
        </w:rPr>
        <w:t>were</w:t>
      </w:r>
      <w:r w:rsidRPr="002B6725" w:rsidR="00514F83">
        <w:rPr>
          <w:rFonts w:ascii="Times New Roman" w:hAnsi="Times New Roman" w:eastAsia="Times New Roman" w:cs="Times New Roman"/>
          <w:szCs w:val="24"/>
          <w:lang w:val="en-GB" w:eastAsia="en-GB"/>
        </w:rPr>
        <w:t xml:space="preserve"> </w:t>
      </w:r>
      <w:r w:rsidRPr="002B6725" w:rsidR="00E068F2">
        <w:rPr>
          <w:rFonts w:ascii="Times New Roman" w:hAnsi="Times New Roman" w:eastAsia="Times New Roman" w:cs="Times New Roman"/>
          <w:szCs w:val="24"/>
          <w:lang w:val="en-GB" w:eastAsia="en-GB"/>
        </w:rPr>
        <w:t xml:space="preserve">provided </w:t>
      </w:r>
      <w:r w:rsidRPr="002B6725" w:rsidR="00514F83">
        <w:rPr>
          <w:rFonts w:ascii="Times New Roman" w:hAnsi="Times New Roman" w:eastAsia="Times New Roman" w:cs="Times New Roman"/>
          <w:szCs w:val="24"/>
          <w:lang w:val="en-GB" w:eastAsia="en-GB"/>
        </w:rPr>
        <w:t xml:space="preserve">by the same legislative provisions. It cannot but note that, according to the evidence submitted by the Government, the applicant complied with the relevant procedure when he requested visits </w:t>
      </w:r>
      <w:r w:rsidRPr="002B6725" w:rsidR="00E068F2">
        <w:rPr>
          <w:rFonts w:ascii="Times New Roman" w:hAnsi="Times New Roman" w:eastAsia="Times New Roman" w:cs="Times New Roman"/>
          <w:szCs w:val="24"/>
          <w:lang w:val="en-GB" w:eastAsia="en-GB"/>
        </w:rPr>
        <w:t xml:space="preserve">from </w:t>
      </w:r>
      <w:r w:rsidRPr="002B6725" w:rsidR="00514F83">
        <w:rPr>
          <w:rFonts w:ascii="Times New Roman" w:hAnsi="Times New Roman" w:eastAsia="Times New Roman" w:cs="Times New Roman"/>
          <w:szCs w:val="24"/>
          <w:lang w:val="en-GB" w:eastAsia="en-GB"/>
        </w:rPr>
        <w:t>his relatives.</w:t>
      </w:r>
    </w:p>
    <w:p w:rsidRPr="002B6725" w:rsidR="00750D68" w:rsidP="002B6725" w:rsidRDefault="00661526">
      <w:pPr>
        <w:pStyle w:val="ECHRPara"/>
        <w:rPr>
          <w:rFonts w:eastAsia="Times New Roman"/>
          <w:lang w:val="en-GB" w:eastAsia="en-GB"/>
        </w:rPr>
      </w:pPr>
      <w:r w:rsidRPr="002B6725">
        <w:rPr>
          <w:rFonts w:eastAsia="Times New Roman"/>
          <w:lang w:val="en-GB" w:eastAsia="en-GB"/>
        </w:rPr>
        <w:fldChar w:fldCharType="begin"/>
      </w:r>
      <w:r w:rsidRPr="002B6725">
        <w:rPr>
          <w:rFonts w:eastAsia="Times New Roman"/>
          <w:lang w:val="en-GB" w:eastAsia="en-GB"/>
        </w:rPr>
        <w:instrText xml:space="preserve"> SEQ level0 \*arabic </w:instrText>
      </w:r>
      <w:r w:rsidRPr="002B6725">
        <w:rPr>
          <w:rFonts w:eastAsia="Times New Roman"/>
          <w:lang w:val="en-GB" w:eastAsia="en-GB"/>
        </w:rPr>
        <w:fldChar w:fldCharType="separate"/>
      </w:r>
      <w:r w:rsidRPr="002B6725" w:rsidR="002B6725">
        <w:rPr>
          <w:rFonts w:eastAsia="Times New Roman"/>
          <w:noProof/>
          <w:lang w:val="en-GB" w:eastAsia="en-GB"/>
        </w:rPr>
        <w:t>100</w:t>
      </w:r>
      <w:r w:rsidRPr="002B6725">
        <w:rPr>
          <w:rFonts w:eastAsia="Times New Roman"/>
          <w:lang w:val="en-GB" w:eastAsia="en-GB"/>
        </w:rPr>
        <w:fldChar w:fldCharType="end"/>
      </w:r>
      <w:r w:rsidRPr="002B6725">
        <w:rPr>
          <w:rFonts w:eastAsia="Times New Roman"/>
          <w:lang w:val="en-GB" w:eastAsia="en-GB"/>
        </w:rPr>
        <w:t>.  </w:t>
      </w:r>
      <w:r w:rsidRPr="002B6725" w:rsidR="00A033CF">
        <w:rPr>
          <w:rFonts w:eastAsia="Times New Roman"/>
          <w:lang w:val="en-GB" w:eastAsia="en-GB"/>
        </w:rPr>
        <w:t>As regards the applicant</w:t>
      </w:r>
      <w:r w:rsidRPr="002B6725" w:rsidR="002B6725">
        <w:rPr>
          <w:rFonts w:eastAsia="Times New Roman"/>
          <w:lang w:val="en-GB" w:eastAsia="en-GB"/>
        </w:rPr>
        <w:t>’</w:t>
      </w:r>
      <w:r w:rsidRPr="002B6725" w:rsidR="00A033CF">
        <w:rPr>
          <w:rFonts w:eastAsia="Times New Roman"/>
          <w:lang w:val="en-GB" w:eastAsia="en-GB"/>
        </w:rPr>
        <w:t xml:space="preserve">s reference to the </w:t>
      </w:r>
      <w:r w:rsidRPr="002B6725" w:rsidR="00C6285B">
        <w:rPr>
          <w:rFonts w:eastAsia="Times New Roman"/>
          <w:lang w:val="en-GB" w:eastAsia="en-GB"/>
        </w:rPr>
        <w:t>Citizens</w:t>
      </w:r>
      <w:r w:rsidRPr="002B6725" w:rsidR="002B6725">
        <w:rPr>
          <w:rFonts w:eastAsia="Times New Roman"/>
          <w:lang w:val="en-GB" w:eastAsia="en-GB"/>
        </w:rPr>
        <w:t>’</w:t>
      </w:r>
      <w:r w:rsidRPr="002B6725" w:rsidR="002D52E4">
        <w:rPr>
          <w:rFonts w:eastAsia="Times New Roman"/>
          <w:lang w:val="en-GB" w:eastAsia="en-GB"/>
        </w:rPr>
        <w:t xml:space="preserve"> </w:t>
      </w:r>
      <w:r w:rsidRPr="002B6725" w:rsidR="00A97FFA">
        <w:rPr>
          <w:rFonts w:eastAsia="Times New Roman"/>
          <w:lang w:val="en-GB" w:eastAsia="en-GB"/>
        </w:rPr>
        <w:t>Appeals</w:t>
      </w:r>
      <w:r w:rsidRPr="002B6725" w:rsidR="00C6285B">
        <w:rPr>
          <w:rFonts w:eastAsia="Times New Roman"/>
          <w:lang w:val="en-GB" w:eastAsia="en-GB"/>
        </w:rPr>
        <w:t xml:space="preserve"> Act</w:t>
      </w:r>
      <w:r w:rsidRPr="002B6725" w:rsidR="00A033CF">
        <w:rPr>
          <w:rFonts w:eastAsia="Times New Roman"/>
          <w:lang w:val="en-GB" w:eastAsia="en-GB"/>
        </w:rPr>
        <w:t>, the Court notes that by virtue of Article 12 of th</w:t>
      </w:r>
      <w:r w:rsidRPr="002B6725" w:rsidR="00A97FFA">
        <w:rPr>
          <w:rFonts w:eastAsia="Times New Roman"/>
          <w:lang w:val="en-GB" w:eastAsia="en-GB"/>
        </w:rPr>
        <w:t xml:space="preserve">at </w:t>
      </w:r>
      <w:r w:rsidRPr="002B6725" w:rsidR="003D72F2">
        <w:rPr>
          <w:rFonts w:eastAsia="Times New Roman"/>
          <w:lang w:val="en-GB" w:eastAsia="en-GB"/>
        </w:rPr>
        <w:t>L</w:t>
      </w:r>
      <w:r w:rsidRPr="002B6725" w:rsidR="00A033CF">
        <w:rPr>
          <w:rFonts w:eastAsia="Times New Roman"/>
          <w:lang w:val="en-GB" w:eastAsia="en-GB"/>
        </w:rPr>
        <w:t>aw its provisions were not applicable in the applicant</w:t>
      </w:r>
      <w:r w:rsidRPr="002B6725" w:rsidR="002B6725">
        <w:rPr>
          <w:rFonts w:eastAsia="Times New Roman"/>
          <w:lang w:val="en-GB" w:eastAsia="en-GB"/>
        </w:rPr>
        <w:t>’</w:t>
      </w:r>
      <w:r w:rsidRPr="002B6725" w:rsidR="00A033CF">
        <w:rPr>
          <w:rFonts w:eastAsia="Times New Roman"/>
          <w:lang w:val="en-GB" w:eastAsia="en-GB"/>
        </w:rPr>
        <w:t xml:space="preserve">s </w:t>
      </w:r>
      <w:r w:rsidRPr="002B6725" w:rsidR="00A97FFA">
        <w:rPr>
          <w:rFonts w:eastAsia="Times New Roman"/>
          <w:lang w:val="en-GB" w:eastAsia="en-GB"/>
        </w:rPr>
        <w:t xml:space="preserve">situation </w:t>
      </w:r>
      <w:r w:rsidRPr="002B6725" w:rsidR="00A033CF">
        <w:rPr>
          <w:rFonts w:eastAsia="Times New Roman"/>
          <w:lang w:val="en-GB" w:eastAsia="en-GB"/>
        </w:rPr>
        <w:t>(see paragraph</w:t>
      </w:r>
      <w:r w:rsidRPr="002B6725" w:rsidR="00A97FFA">
        <w:rPr>
          <w:rFonts w:eastAsia="Times New Roman"/>
          <w:lang w:val="en-GB" w:eastAsia="en-GB"/>
        </w:rPr>
        <w:t xml:space="preserve"> </w:t>
      </w:r>
      <w:r w:rsidRPr="002B6725" w:rsidR="00951B6D">
        <w:rPr>
          <w:rFonts w:eastAsia="Times New Roman"/>
          <w:lang w:val="en-GB" w:eastAsia="en-GB"/>
        </w:rPr>
        <w:t xml:space="preserve">39 </w:t>
      </w:r>
      <w:r w:rsidRPr="002B6725" w:rsidR="00A033CF">
        <w:rPr>
          <w:rFonts w:eastAsia="Times New Roman"/>
          <w:lang w:val="en-GB" w:eastAsia="en-GB"/>
        </w:rPr>
        <w:t>above).</w:t>
      </w:r>
    </w:p>
    <w:p w:rsidRPr="002B6725" w:rsidR="000366A1" w:rsidP="002B6725" w:rsidRDefault="00661526">
      <w:pPr>
        <w:pStyle w:val="ECHRPara"/>
        <w:rPr>
          <w:rFonts w:ascii="Times New Roman" w:hAnsi="Times New Roman" w:eastAsia="Times New Roman" w:cs="Times New Roman"/>
          <w:szCs w:val="24"/>
          <w:lang w:val="en-GB" w:eastAsia="en-GB"/>
        </w:rPr>
      </w:pPr>
      <w:r w:rsidRPr="002B6725">
        <w:rPr>
          <w:rFonts w:eastAsia="Times New Roman"/>
          <w:lang w:val="en-GB" w:eastAsia="en-GB"/>
        </w:rPr>
        <w:fldChar w:fldCharType="begin"/>
      </w:r>
      <w:r w:rsidRPr="002B6725">
        <w:rPr>
          <w:rFonts w:eastAsia="Times New Roman"/>
          <w:lang w:val="en-GB" w:eastAsia="en-GB"/>
        </w:rPr>
        <w:instrText xml:space="preserve"> SEQ level0 \*arabic </w:instrText>
      </w:r>
      <w:r w:rsidRPr="002B6725">
        <w:rPr>
          <w:rFonts w:eastAsia="Times New Roman"/>
          <w:lang w:val="en-GB" w:eastAsia="en-GB"/>
        </w:rPr>
        <w:fldChar w:fldCharType="separate"/>
      </w:r>
      <w:r w:rsidRPr="002B6725" w:rsidR="002B6725">
        <w:rPr>
          <w:rFonts w:eastAsia="Times New Roman"/>
          <w:noProof/>
          <w:lang w:val="en-GB" w:eastAsia="en-GB"/>
        </w:rPr>
        <w:t>101</w:t>
      </w:r>
      <w:r w:rsidRPr="002B6725">
        <w:rPr>
          <w:rFonts w:eastAsia="Times New Roman"/>
          <w:lang w:val="en-GB" w:eastAsia="en-GB"/>
        </w:rPr>
        <w:fldChar w:fldCharType="end"/>
      </w:r>
      <w:r w:rsidRPr="002B6725">
        <w:rPr>
          <w:rFonts w:eastAsia="Times New Roman"/>
          <w:lang w:val="en-GB" w:eastAsia="en-GB"/>
        </w:rPr>
        <w:t>.  </w:t>
      </w:r>
      <w:r w:rsidRPr="002B6725" w:rsidR="00072936">
        <w:rPr>
          <w:rFonts w:eastAsia="Times New Roman"/>
          <w:lang w:val="en-GB" w:eastAsia="en-GB"/>
        </w:rPr>
        <w:t>Given the aforementioned, the Court concludes that the applicant</w:t>
      </w:r>
      <w:r w:rsidRPr="002B6725" w:rsidR="00597F03">
        <w:rPr>
          <w:rFonts w:eastAsia="Times New Roman"/>
          <w:lang w:val="en-GB" w:eastAsia="en-GB"/>
        </w:rPr>
        <w:t xml:space="preserve"> has failed to duly raise the relevant issue at the domestic level before bringing the matter to the Court. His </w:t>
      </w:r>
      <w:r w:rsidRPr="002B6725" w:rsidR="00072936">
        <w:rPr>
          <w:rFonts w:eastAsia="Times New Roman"/>
          <w:lang w:val="en-GB" w:eastAsia="en-GB"/>
        </w:rPr>
        <w:t xml:space="preserve">complaint </w:t>
      </w:r>
      <w:r w:rsidRPr="002B6725" w:rsidR="000B7081">
        <w:rPr>
          <w:rFonts w:eastAsia="Times New Roman"/>
          <w:lang w:val="en-GB" w:eastAsia="en-GB"/>
        </w:rPr>
        <w:t xml:space="preserve">concerning </w:t>
      </w:r>
      <w:r w:rsidRPr="002B6725" w:rsidR="00651EED">
        <w:rPr>
          <w:rFonts w:eastAsia="Times New Roman"/>
          <w:lang w:val="en-GB" w:eastAsia="en-GB"/>
        </w:rPr>
        <w:t>the authorities</w:t>
      </w:r>
      <w:r w:rsidRPr="002B6725" w:rsidR="002B6725">
        <w:rPr>
          <w:rFonts w:eastAsia="Times New Roman"/>
          <w:lang w:val="en-GB" w:eastAsia="en-GB"/>
        </w:rPr>
        <w:t>’</w:t>
      </w:r>
      <w:r w:rsidRPr="002B6725" w:rsidR="00651EED">
        <w:rPr>
          <w:rFonts w:eastAsia="Times New Roman"/>
          <w:lang w:val="en-GB" w:eastAsia="en-GB"/>
        </w:rPr>
        <w:t xml:space="preserve"> unjustified refusal to allow his request</w:t>
      </w:r>
      <w:r w:rsidRPr="002B6725" w:rsidR="00A97FFA">
        <w:rPr>
          <w:rFonts w:eastAsia="Times New Roman"/>
          <w:lang w:val="en-GB" w:eastAsia="en-GB"/>
        </w:rPr>
        <w:t xml:space="preserve">s </w:t>
      </w:r>
      <w:r w:rsidRPr="002B6725" w:rsidR="000E5110">
        <w:rPr>
          <w:rFonts w:eastAsia="Times New Roman"/>
          <w:lang w:val="en-GB" w:eastAsia="en-GB"/>
        </w:rPr>
        <w:t>to meet</w:t>
      </w:r>
      <w:r w:rsidRPr="002B6725" w:rsidR="00651EED">
        <w:rPr>
          <w:rFonts w:eastAsia="Times New Roman"/>
          <w:lang w:val="en-GB" w:eastAsia="en-GB"/>
        </w:rPr>
        <w:t xml:space="preserve"> with a priest </w:t>
      </w:r>
      <w:r w:rsidRPr="002B6725" w:rsidR="000366A1">
        <w:rPr>
          <w:rFonts w:ascii="Times New Roman" w:hAnsi="Times New Roman" w:eastAsia="Times New Roman" w:cs="Times New Roman"/>
          <w:szCs w:val="24"/>
          <w:lang w:val="en-GB" w:eastAsia="en-GB"/>
        </w:rPr>
        <w:t xml:space="preserve">must </w:t>
      </w:r>
      <w:r w:rsidRPr="002B6725" w:rsidR="00597F03">
        <w:rPr>
          <w:rFonts w:ascii="Times New Roman" w:hAnsi="Times New Roman" w:eastAsia="Times New Roman" w:cs="Times New Roman"/>
          <w:szCs w:val="24"/>
          <w:lang w:val="en-GB" w:eastAsia="en-GB"/>
        </w:rPr>
        <w:t xml:space="preserve">therefore </w:t>
      </w:r>
      <w:r w:rsidRPr="002B6725" w:rsidR="000366A1">
        <w:rPr>
          <w:rFonts w:ascii="Times New Roman" w:hAnsi="Times New Roman" w:eastAsia="Times New Roman" w:cs="Times New Roman"/>
          <w:szCs w:val="24"/>
          <w:lang w:val="en-GB" w:eastAsia="en-GB"/>
        </w:rPr>
        <w:t>be rejected in accordance with Article 35 §§ 1 and 4 of the Convention.</w:t>
      </w:r>
    </w:p>
    <w:p w:rsidRPr="002B6725" w:rsidR="00A033CF" w:rsidP="002B6725" w:rsidRDefault="00C72699">
      <w:pPr>
        <w:pStyle w:val="ECHRHeading4"/>
      </w:pPr>
      <w:r w:rsidRPr="002B6725">
        <w:rPr>
          <w:rFonts w:ascii="Times New Roman" w:hAnsi="Times New Roman" w:eastAsia="Times New Roman" w:cs="Times New Roman"/>
          <w:szCs w:val="24"/>
          <w:lang w:val="en-GB" w:eastAsia="en-GB"/>
        </w:rPr>
        <w:t>(b)  </w:t>
      </w:r>
      <w:r w:rsidRPr="002B6725" w:rsidR="00A033CF">
        <w:rPr>
          <w:rFonts w:ascii="Times New Roman" w:hAnsi="Times New Roman" w:eastAsia="Times New Roman" w:cs="Times New Roman"/>
          <w:szCs w:val="24"/>
          <w:lang w:val="en-GB" w:eastAsia="en-GB"/>
        </w:rPr>
        <w:t xml:space="preserve">Seizure of religious literature and items and </w:t>
      </w:r>
      <w:r w:rsidRPr="002B6725" w:rsidR="00A033CF">
        <w:t xml:space="preserve">refusals </w:t>
      </w:r>
      <w:r w:rsidRPr="002B6725" w:rsidR="000E5110">
        <w:t xml:space="preserve">to allow </w:t>
      </w:r>
      <w:r w:rsidRPr="002B6725" w:rsidR="00A033CF">
        <w:t>visit</w:t>
      </w:r>
      <w:r w:rsidRPr="002B6725" w:rsidR="000E5110">
        <w:t>s</w:t>
      </w:r>
      <w:r w:rsidRPr="002B6725" w:rsidR="0012459D">
        <w:t xml:space="preserve"> </w:t>
      </w:r>
      <w:r w:rsidRPr="002B6725" w:rsidR="000E5110">
        <w:t>to</w:t>
      </w:r>
      <w:r w:rsidRPr="002B6725" w:rsidR="0012459D">
        <w:t xml:space="preserve"> </w:t>
      </w:r>
      <w:r w:rsidRPr="002B6725" w:rsidR="000E5110">
        <w:t xml:space="preserve">the </w:t>
      </w:r>
      <w:r w:rsidRPr="002B6725" w:rsidR="0012459D">
        <w:t>prison chapel.</w:t>
      </w:r>
    </w:p>
    <w:p w:rsidRPr="002B6725" w:rsidR="00750D68" w:rsidP="002B6725" w:rsidRDefault="002B6725">
      <w:pPr>
        <w:pStyle w:val="ECHRPara"/>
      </w:pPr>
      <w:fldSimple w:instr=" SEQ level0 \*arabic ">
        <w:r w:rsidRPr="002B6725">
          <w:rPr>
            <w:noProof/>
          </w:rPr>
          <w:t>102</w:t>
        </w:r>
      </w:fldSimple>
      <w:r w:rsidRPr="002B6725" w:rsidR="00661526">
        <w:t>.  </w:t>
      </w:r>
      <w:r w:rsidRPr="002B6725" w:rsidR="00501939">
        <w:t xml:space="preserve">The Court notes that </w:t>
      </w:r>
      <w:r w:rsidRPr="002B6725" w:rsidR="00EF2C06">
        <w:t>the applicant</w:t>
      </w:r>
      <w:r w:rsidRPr="002B6725">
        <w:t>’</w:t>
      </w:r>
      <w:r w:rsidRPr="002B6725" w:rsidR="00EF2C06">
        <w:t xml:space="preserve">s </w:t>
      </w:r>
      <w:r w:rsidRPr="002B6725" w:rsidR="0095076A">
        <w:t xml:space="preserve">statement </w:t>
      </w:r>
      <w:r w:rsidRPr="002B6725" w:rsidR="00EF2C06">
        <w:t xml:space="preserve">that he complained about the </w:t>
      </w:r>
      <w:r w:rsidRPr="002B6725" w:rsidR="0095076A">
        <w:t>alleged interference to the relevant domestic authorities</w:t>
      </w:r>
      <w:r w:rsidRPr="002B6725" w:rsidR="00EF2C06">
        <w:t xml:space="preserve"> is supported by the documents contained in the case file</w:t>
      </w:r>
      <w:r w:rsidRPr="002B6725" w:rsidR="00092126">
        <w:t>, in particular by a copy of the applicant</w:t>
      </w:r>
      <w:r w:rsidRPr="002B6725">
        <w:t>’</w:t>
      </w:r>
      <w:r w:rsidRPr="002B6725" w:rsidR="00092126">
        <w:t xml:space="preserve">s </w:t>
      </w:r>
      <w:r w:rsidRPr="002B6725" w:rsidR="00EF6ED0">
        <w:t>complaint</w:t>
      </w:r>
      <w:r w:rsidRPr="002B6725" w:rsidR="00092126">
        <w:t xml:space="preserve"> to the Prosecutor General of </w:t>
      </w:r>
      <w:r w:rsidRPr="002B6725" w:rsidR="00AD032C">
        <w:t>1 October 2006</w:t>
      </w:r>
      <w:r w:rsidRPr="002B6725" w:rsidR="00EF2C06">
        <w:t>.</w:t>
      </w:r>
    </w:p>
    <w:p w:rsidRPr="002B6725" w:rsidR="00092126" w:rsidP="002B6725" w:rsidRDefault="002B6725">
      <w:pPr>
        <w:pStyle w:val="ECHRPara"/>
      </w:pPr>
      <w:fldSimple w:instr=" SEQ level0 \*arabic ">
        <w:r w:rsidRPr="002B6725">
          <w:rPr>
            <w:noProof/>
          </w:rPr>
          <w:t>103</w:t>
        </w:r>
      </w:fldSimple>
      <w:r w:rsidRPr="002B6725" w:rsidR="00661526">
        <w:t>.  </w:t>
      </w:r>
      <w:r w:rsidRPr="002B6725" w:rsidR="00092126">
        <w:t xml:space="preserve">For these reasons, the Court </w:t>
      </w:r>
      <w:r w:rsidRPr="002B6725" w:rsidR="00983764">
        <w:t xml:space="preserve">considers that the applicant sufficiently raised the present complaint before the domestic authorities and </w:t>
      </w:r>
      <w:r w:rsidRPr="002B6725" w:rsidR="00092126">
        <w:t>rejects the Government</w:t>
      </w:r>
      <w:r w:rsidRPr="002B6725">
        <w:t>’</w:t>
      </w:r>
      <w:r w:rsidRPr="002B6725" w:rsidR="00092126">
        <w:t>s objection. It further notes that this complaint is not manifestly ill-founded within the meaning of Article 35 § 3</w:t>
      </w:r>
      <w:r w:rsidRPr="002B6725" w:rsidR="0044707E">
        <w:t xml:space="preserve"> (a)</w:t>
      </w:r>
      <w:r w:rsidRPr="002B6725" w:rsidR="00092126">
        <w:t xml:space="preserve"> of the Convention. It is not inadmissible on any other grounds. It must therefore be declared admissible.</w:t>
      </w:r>
    </w:p>
    <w:p w:rsidRPr="002B6725" w:rsidR="00750D68" w:rsidP="002B6725" w:rsidRDefault="00C72699">
      <w:pPr>
        <w:pStyle w:val="ECHRHeading2"/>
        <w:rPr>
          <w:rFonts w:eastAsia="Times New Roman"/>
          <w:lang w:val="en-GB" w:eastAsia="en-GB"/>
        </w:rPr>
      </w:pPr>
      <w:r w:rsidRPr="002B6725">
        <w:rPr>
          <w:rFonts w:eastAsia="Times New Roman"/>
          <w:lang w:val="en-GB" w:eastAsia="en-GB"/>
        </w:rPr>
        <w:t>B.  </w:t>
      </w:r>
      <w:r w:rsidRPr="002B6725" w:rsidR="0086455C">
        <w:rPr>
          <w:rFonts w:eastAsia="Times New Roman"/>
          <w:lang w:val="en-GB" w:eastAsia="en-GB"/>
        </w:rPr>
        <w:t>Merits</w:t>
      </w:r>
    </w:p>
    <w:p w:rsidRPr="002B6725" w:rsidR="00F02358" w:rsidP="002B6725" w:rsidRDefault="002B6725">
      <w:pPr>
        <w:pStyle w:val="ECHRPara"/>
      </w:pPr>
      <w:fldSimple w:instr=" SEQ level0 \*arabic ">
        <w:r w:rsidRPr="002B6725">
          <w:rPr>
            <w:noProof/>
          </w:rPr>
          <w:t>104</w:t>
        </w:r>
      </w:fldSimple>
      <w:r w:rsidRPr="002B6725" w:rsidR="00661526">
        <w:t>.  </w:t>
      </w:r>
      <w:r w:rsidRPr="002B6725" w:rsidR="00F02358">
        <w:t>The Government provided no observations as to the merits of the present complaint.</w:t>
      </w:r>
      <w:r w:rsidRPr="002B6725" w:rsidR="00453715">
        <w:t xml:space="preserve"> The Court therefore cannot but accept the applicant</w:t>
      </w:r>
      <w:r w:rsidRPr="002B6725">
        <w:t>’</w:t>
      </w:r>
      <w:r w:rsidRPr="002B6725" w:rsidR="00453715">
        <w:t>s factual submissions concerning the seizure of religious literature and items and refusal to allow visits to the prison chapel (see paragraphs 27 and 102 above).</w:t>
      </w:r>
    </w:p>
    <w:p w:rsidRPr="002B6725" w:rsidR="009D1D0F" w:rsidP="002B6725" w:rsidRDefault="002B6725">
      <w:pPr>
        <w:pStyle w:val="ECHRPara"/>
      </w:pPr>
      <w:fldSimple w:instr=" SEQ level0 \*arabic ">
        <w:r w:rsidRPr="002B6725">
          <w:rPr>
            <w:noProof/>
          </w:rPr>
          <w:t>105</w:t>
        </w:r>
      </w:fldSimple>
      <w:r w:rsidRPr="002B6725" w:rsidR="00661526">
        <w:t>.  </w:t>
      </w:r>
      <w:r w:rsidRPr="002B6725" w:rsidR="00F35404">
        <w:t xml:space="preserve">The Court </w:t>
      </w:r>
      <w:r w:rsidRPr="002B6725" w:rsidR="009D1D0F">
        <w:t>has already found that the situations when a prisoner was not able to participate in religious services amounted to an interference with his</w:t>
      </w:r>
      <w:r w:rsidRPr="002B6725" w:rsidR="000362B4">
        <w:t xml:space="preserve"> or her</w:t>
      </w:r>
      <w:r w:rsidRPr="002B6725" w:rsidR="009D1D0F">
        <w:t xml:space="preserve"> “freedom to manifest his </w:t>
      </w:r>
      <w:r w:rsidRPr="002B6725" w:rsidR="00C6285B">
        <w:t xml:space="preserve">[or her] </w:t>
      </w:r>
      <w:r w:rsidRPr="002B6725" w:rsidR="009D1D0F">
        <w:t xml:space="preserve">religion or belief” (see, for example, </w:t>
      </w:r>
      <w:r w:rsidRPr="002B6725" w:rsidR="009D1D0F">
        <w:rPr>
          <w:i/>
        </w:rPr>
        <w:t>Kuznetsov</w:t>
      </w:r>
      <w:r w:rsidRPr="002B6725" w:rsidR="000207E6">
        <w:rPr>
          <w:i/>
        </w:rPr>
        <w:t xml:space="preserve"> v. Ukraine</w:t>
      </w:r>
      <w:r w:rsidRPr="002B6725" w:rsidR="000207E6">
        <w:t xml:space="preserve">, no. </w:t>
      </w:r>
      <w:r w:rsidRPr="002B6725" w:rsidR="000207E6">
        <w:rPr>
          <w:rStyle w:val="column01"/>
        </w:rPr>
        <w:t>39042/97,</w:t>
      </w:r>
      <w:r w:rsidRPr="002B6725" w:rsidR="000207E6">
        <w:t xml:space="preserve"> §</w:t>
      </w:r>
      <w:r w:rsidRPr="002B6725" w:rsidR="004C4136">
        <w:t xml:space="preserve"> 147, </w:t>
      </w:r>
      <w:r w:rsidRPr="002B6725" w:rsidR="000207E6">
        <w:rPr>
          <w:rStyle w:val="column04"/>
        </w:rPr>
        <w:t>29 April 2003</w:t>
      </w:r>
      <w:r w:rsidRPr="002B6725" w:rsidR="009D1D0F">
        <w:t xml:space="preserve">). </w:t>
      </w:r>
      <w:r w:rsidRPr="002B6725" w:rsidR="00D04F42">
        <w:t>It finds that th</w:t>
      </w:r>
      <w:r w:rsidRPr="002B6725" w:rsidR="009A5C98">
        <w:t>at</w:t>
      </w:r>
      <w:r w:rsidRPr="002B6725" w:rsidR="00D04F42">
        <w:t xml:space="preserve"> conclusion is equally pertinent to the circumstances of the present case. </w:t>
      </w:r>
      <w:r w:rsidRPr="002B6725" w:rsidR="009D1D0F">
        <w:t>The Court is accordingly called upon to examine whether the interference was justified, that is, whether it was “prescribed by law”, whether it pursued one or more legitimate aims enumerated in paragraph 2 of Article 9 and whether the interference was “necessary in a democratic society”.</w:t>
      </w:r>
    </w:p>
    <w:p w:rsidRPr="002B6725" w:rsidR="003D4AA2" w:rsidP="002B6725" w:rsidRDefault="002B6725">
      <w:pPr>
        <w:pStyle w:val="ECHRPara"/>
        <w:rPr>
          <w:lang w:val="en-GB"/>
        </w:rPr>
      </w:pPr>
      <w:fldSimple w:instr=" SEQ level0 \*arabic ">
        <w:r w:rsidRPr="002B6725">
          <w:rPr>
            <w:noProof/>
          </w:rPr>
          <w:t>106</w:t>
        </w:r>
      </w:fldSimple>
      <w:r w:rsidRPr="002B6725" w:rsidR="00661526">
        <w:t>.  </w:t>
      </w:r>
      <w:r w:rsidRPr="002B6725" w:rsidR="00D04F42">
        <w:t xml:space="preserve">The Court observes that, as noted by the Government, </w:t>
      </w:r>
      <w:r w:rsidRPr="002B6725" w:rsidR="008D1221">
        <w:t>according to Article 9 of the Pre-</w:t>
      </w:r>
      <w:r w:rsidRPr="002B6725" w:rsidR="0064447A">
        <w:t xml:space="preserve">Trial </w:t>
      </w:r>
      <w:r w:rsidRPr="002B6725" w:rsidR="008D1221">
        <w:t xml:space="preserve">Detention Act, </w:t>
      </w:r>
      <w:r w:rsidRPr="002B6725" w:rsidR="00756297">
        <w:t xml:space="preserve">individuals </w:t>
      </w:r>
      <w:r w:rsidRPr="002B6725" w:rsidR="008D1221">
        <w:t xml:space="preserve">detained on remand should enjoy the right </w:t>
      </w:r>
      <w:r w:rsidRPr="002B6725" w:rsidR="003D4AA2">
        <w:t>to perform religious rituals</w:t>
      </w:r>
      <w:r w:rsidRPr="002B6725" w:rsidR="0064447A">
        <w:t xml:space="preserve"> individually</w:t>
      </w:r>
      <w:r w:rsidRPr="002B6725" w:rsidR="003D4AA2">
        <w:t xml:space="preserve"> and </w:t>
      </w:r>
      <w:r w:rsidRPr="002B6725" w:rsidR="0064447A">
        <w:t xml:space="preserve">to </w:t>
      </w:r>
      <w:r w:rsidRPr="002B6725" w:rsidR="003D4AA2">
        <w:t>use religious literature and objects</w:t>
      </w:r>
      <w:r w:rsidRPr="002B6725" w:rsidR="008D1221">
        <w:t xml:space="preserve">. Thus, </w:t>
      </w:r>
      <w:r w:rsidRPr="002B6725" w:rsidR="003D4AA2">
        <w:t xml:space="preserve">the interference with the mentioned right </w:t>
      </w:r>
      <w:r w:rsidRPr="002B6725" w:rsidR="0064447A">
        <w:t xml:space="preserve">would have been </w:t>
      </w:r>
      <w:r w:rsidRPr="002B6725" w:rsidR="008D1221">
        <w:t>contrary to domestic law</w:t>
      </w:r>
      <w:r w:rsidRPr="002B6725" w:rsidR="003D4AA2">
        <w:t xml:space="preserve"> unless it </w:t>
      </w:r>
      <w:r w:rsidRPr="002B6725" w:rsidR="0064447A">
        <w:t xml:space="preserve">had been </w:t>
      </w:r>
      <w:r w:rsidRPr="002B6725" w:rsidR="003D4AA2">
        <w:t xml:space="preserve">justified by the need to </w:t>
      </w:r>
      <w:r w:rsidRPr="002B6725" w:rsidR="003E203D">
        <w:t xml:space="preserve">secure observance of </w:t>
      </w:r>
      <w:r w:rsidRPr="002B6725" w:rsidR="003D4AA2">
        <w:t xml:space="preserve">the prison rules or respect for the rights of other </w:t>
      </w:r>
      <w:r w:rsidRPr="002B6725" w:rsidR="00F95421">
        <w:t xml:space="preserve">individuals </w:t>
      </w:r>
      <w:r w:rsidRPr="002B6725" w:rsidR="003D4AA2">
        <w:t xml:space="preserve">(see paragraphs </w:t>
      </w:r>
      <w:r w:rsidRPr="002B6725" w:rsidR="00951B6D">
        <w:t xml:space="preserve">37 </w:t>
      </w:r>
      <w:r w:rsidRPr="002B6725" w:rsidR="003D4AA2">
        <w:t xml:space="preserve">and </w:t>
      </w:r>
      <w:r w:rsidRPr="002B6725" w:rsidR="00951B6D">
        <w:t xml:space="preserve">38 </w:t>
      </w:r>
      <w:r w:rsidRPr="002B6725" w:rsidR="003D4AA2">
        <w:t xml:space="preserve">above), which was not claimed to be the </w:t>
      </w:r>
      <w:r w:rsidRPr="002B6725" w:rsidR="0064447A">
        <w:t xml:space="preserve">situation </w:t>
      </w:r>
      <w:r w:rsidRPr="002B6725" w:rsidR="003D4AA2">
        <w:t>in the present case.</w:t>
      </w:r>
    </w:p>
    <w:p w:rsidRPr="002B6725" w:rsidR="008D1221" w:rsidP="002B6725" w:rsidRDefault="002B6725">
      <w:pPr>
        <w:pStyle w:val="ECHRPara"/>
      </w:pPr>
      <w:fldSimple w:instr=" SEQ level0 \*arabic ">
        <w:r w:rsidRPr="002B6725">
          <w:rPr>
            <w:noProof/>
          </w:rPr>
          <w:t>107</w:t>
        </w:r>
      </w:fldSimple>
      <w:r w:rsidRPr="002B6725" w:rsidR="00661526">
        <w:t>.  </w:t>
      </w:r>
      <w:r w:rsidRPr="002B6725" w:rsidR="008D1221">
        <w:t>It follows that the interference with the applicant</w:t>
      </w:r>
      <w:r w:rsidRPr="002B6725">
        <w:t>’</w:t>
      </w:r>
      <w:r w:rsidRPr="002B6725" w:rsidR="008D1221">
        <w:t>s freedom to manifest his religion was not “in accordance with the law”.</w:t>
      </w:r>
    </w:p>
    <w:p w:rsidRPr="002B6725" w:rsidR="008D1221" w:rsidP="002B6725" w:rsidRDefault="002B6725">
      <w:pPr>
        <w:pStyle w:val="ECHRPara"/>
      </w:pPr>
      <w:fldSimple w:instr=" SEQ level0 \*arabic ">
        <w:r w:rsidRPr="002B6725">
          <w:rPr>
            <w:noProof/>
          </w:rPr>
          <w:t>108</w:t>
        </w:r>
      </w:fldSimple>
      <w:r w:rsidRPr="002B6725" w:rsidR="00661526">
        <w:t>.  </w:t>
      </w:r>
      <w:r w:rsidRPr="002B6725" w:rsidR="008D1221">
        <w:t>Having regard to that finding, the Court does not consider it necessary to ascertain whether the other requirements of paragraph 2 of Article 9 were complied with.</w:t>
      </w:r>
    </w:p>
    <w:p w:rsidRPr="002B6725" w:rsidR="008D1221" w:rsidP="002B6725" w:rsidRDefault="002B6725">
      <w:pPr>
        <w:pStyle w:val="ECHRPara"/>
      </w:pPr>
      <w:fldSimple w:instr=" SEQ level0 \*arabic ">
        <w:r w:rsidRPr="002B6725">
          <w:rPr>
            <w:noProof/>
          </w:rPr>
          <w:t>109</w:t>
        </w:r>
      </w:fldSimple>
      <w:r w:rsidRPr="002B6725" w:rsidR="00661526">
        <w:t>.  </w:t>
      </w:r>
      <w:r w:rsidRPr="002B6725" w:rsidR="008D1221">
        <w:t>Consequently, the Court finds that there has been a violation of Article 9 of the Convention in respect of this part of the application.</w:t>
      </w:r>
    </w:p>
    <w:p w:rsidRPr="002B6725" w:rsidR="00014566" w:rsidP="002B6725" w:rsidRDefault="008D1221">
      <w:pPr>
        <w:pStyle w:val="ECHRHeading1"/>
        <w:rPr>
          <w:lang w:val="en-GB"/>
        </w:rPr>
      </w:pPr>
      <w:r w:rsidRPr="002B6725">
        <w:rPr>
          <w:lang w:val="en-GB"/>
        </w:rPr>
        <w:t>V</w:t>
      </w:r>
      <w:r w:rsidRPr="002B6725" w:rsidR="00014566">
        <w:rPr>
          <w:lang w:val="en-GB"/>
        </w:rPr>
        <w:t>.  OTHER ALLEGED VIOLATIONS OF THE CONVENTION</w:t>
      </w:r>
    </w:p>
    <w:p w:rsidRPr="002B6725" w:rsidR="00BB0D8F" w:rsidP="002B6725" w:rsidRDefault="00157B2E">
      <w:pPr>
        <w:pStyle w:val="ECHRPara"/>
        <w:rPr>
          <w:lang w:val="en-GB"/>
        </w:rPr>
      </w:pPr>
      <w:r w:rsidRPr="002B6725">
        <w:rPr>
          <w:lang w:val="en-GB"/>
        </w:rPr>
        <w:fldChar w:fldCharType="begin"/>
      </w:r>
      <w:r w:rsidRPr="002B6725">
        <w:rPr>
          <w:lang w:val="en-GB"/>
        </w:rPr>
        <w:instrText xml:space="preserve"> SEQ level0 \*arabic </w:instrText>
      </w:r>
      <w:r w:rsidRPr="002B6725">
        <w:rPr>
          <w:lang w:val="en-GB"/>
        </w:rPr>
        <w:fldChar w:fldCharType="separate"/>
      </w:r>
      <w:r w:rsidRPr="002B6725" w:rsidR="002B6725">
        <w:rPr>
          <w:noProof/>
          <w:lang w:val="en-GB"/>
        </w:rPr>
        <w:t>110</w:t>
      </w:r>
      <w:r w:rsidRPr="002B6725">
        <w:rPr>
          <w:lang w:val="en-GB"/>
        </w:rPr>
        <w:fldChar w:fldCharType="end"/>
      </w:r>
      <w:r w:rsidRPr="002B6725" w:rsidR="00014566">
        <w:rPr>
          <w:lang w:val="en-GB"/>
        </w:rPr>
        <w:t>.  </w:t>
      </w:r>
      <w:r w:rsidRPr="002B6725" w:rsidR="00BB0D8F">
        <w:rPr>
          <w:lang w:val="en-GB"/>
        </w:rPr>
        <w:t>In addition to the above complaints, in his application form and ensuing correspondence, the applicant also complained</w:t>
      </w:r>
      <w:r w:rsidRPr="002B6725" w:rsidR="0044792F">
        <w:rPr>
          <w:lang w:val="en-GB"/>
        </w:rPr>
        <w:t>,</w:t>
      </w:r>
      <w:r w:rsidRPr="002B6725" w:rsidR="00BB0D8F">
        <w:rPr>
          <w:lang w:val="en-GB"/>
        </w:rPr>
        <w:t xml:space="preserve"> under </w:t>
      </w:r>
      <w:r w:rsidRPr="002B6725" w:rsidR="00736F9F">
        <w:t>Article 3</w:t>
      </w:r>
      <w:r w:rsidRPr="002B6725" w:rsidR="0044792F">
        <w:t>,</w:t>
      </w:r>
      <w:r w:rsidRPr="002B6725" w:rsidR="00BB0D8F">
        <w:t xml:space="preserve"> that the </w:t>
      </w:r>
      <w:r w:rsidRPr="002B6725" w:rsidR="00736F9F">
        <w:t>conditions of his detention in the police station and the ITT</w:t>
      </w:r>
      <w:r w:rsidRPr="002B6725" w:rsidR="00F0731D">
        <w:t xml:space="preserve"> (temporary detention centre)</w:t>
      </w:r>
      <w:r w:rsidRPr="002B6725" w:rsidR="00BB0D8F">
        <w:t xml:space="preserve"> had been poor; </w:t>
      </w:r>
      <w:r w:rsidRPr="002B6725" w:rsidR="00736F9F">
        <w:t>under Article 5</w:t>
      </w:r>
      <w:r w:rsidRPr="002B6725" w:rsidR="0044792F">
        <w:t>,</w:t>
      </w:r>
      <w:r w:rsidRPr="002B6725" w:rsidR="00736F9F">
        <w:t xml:space="preserve"> that </w:t>
      </w:r>
      <w:r w:rsidRPr="002B6725" w:rsidR="00294627">
        <w:t>there had been no grounds for his arrest</w:t>
      </w:r>
      <w:r w:rsidRPr="002B6725" w:rsidR="00BB0D8F">
        <w:t>;</w:t>
      </w:r>
      <w:r w:rsidRPr="002B6725" w:rsidR="00750D68">
        <w:t xml:space="preserve"> </w:t>
      </w:r>
      <w:r w:rsidRPr="002B6725" w:rsidR="00BB0D8F">
        <w:t>under Article 6</w:t>
      </w:r>
      <w:r w:rsidRPr="002B6725" w:rsidR="0044792F">
        <w:t>,</w:t>
      </w:r>
      <w:r w:rsidRPr="002B6725" w:rsidR="00BB0D8F">
        <w:t xml:space="preserve"> </w:t>
      </w:r>
      <w:r w:rsidRPr="002B6725" w:rsidR="00BB0D8F">
        <w:rPr>
          <w:lang w:val="en-GB"/>
        </w:rPr>
        <w:t>that (a)</w:t>
      </w:r>
      <w:r w:rsidRPr="002B6725" w:rsidR="00BB0D8F">
        <w:t xml:space="preserve"> the prosecutor</w:t>
      </w:r>
      <w:r w:rsidRPr="002B6725" w:rsidR="00FA6F23">
        <w:t xml:space="preserve"> had</w:t>
      </w:r>
      <w:r w:rsidRPr="002B6725" w:rsidR="00BB0D8F">
        <w:t xml:space="preserve"> put pressure on some witnesses</w:t>
      </w:r>
      <w:r w:rsidRPr="002B6725" w:rsidR="00160B6E">
        <w:t xml:space="preserve">; (b) </w:t>
      </w:r>
      <w:r w:rsidRPr="002B6725" w:rsidR="00BB0D8F">
        <w:t>the judge of the first-instance court</w:t>
      </w:r>
      <w:r w:rsidRPr="002B6725" w:rsidR="00FA6F23">
        <w:t xml:space="preserve"> had</w:t>
      </w:r>
      <w:r w:rsidRPr="002B6725" w:rsidR="00BB0D8F">
        <w:t xml:space="preserve"> </w:t>
      </w:r>
      <w:r w:rsidRPr="002B6725" w:rsidR="00160B6E">
        <w:t xml:space="preserve">offended him; (c) there had been irregularities related to the </w:t>
      </w:r>
      <w:r w:rsidRPr="002B6725" w:rsidR="00BB0D8F">
        <w:t>forensic examination</w:t>
      </w:r>
      <w:r w:rsidRPr="002B6725" w:rsidR="00160B6E">
        <w:t xml:space="preserve">s; (d) </w:t>
      </w:r>
      <w:r w:rsidRPr="002B6725" w:rsidR="00BB0D8F">
        <w:t xml:space="preserve">one of the witnesses </w:t>
      </w:r>
      <w:r w:rsidRPr="002B6725" w:rsidR="00294627">
        <w:t xml:space="preserve">had given </w:t>
      </w:r>
      <w:r w:rsidRPr="002B6725" w:rsidR="00BB0D8F">
        <w:t>false testimon</w:t>
      </w:r>
      <w:r w:rsidRPr="002B6725" w:rsidR="00FA6F23">
        <w:t>y</w:t>
      </w:r>
      <w:r w:rsidRPr="002B6725" w:rsidR="00BB0D8F">
        <w:t xml:space="preserve"> but the authorities </w:t>
      </w:r>
      <w:r w:rsidRPr="002B6725" w:rsidR="00294627">
        <w:t xml:space="preserve">had </w:t>
      </w:r>
      <w:r w:rsidRPr="002B6725" w:rsidR="00BB0D8F">
        <w:t>failed to prosecute her</w:t>
      </w:r>
      <w:r w:rsidRPr="002B6725" w:rsidR="00160B6E">
        <w:t xml:space="preserve">; (e) </w:t>
      </w:r>
      <w:r w:rsidRPr="002B6725" w:rsidR="00BB0D8F">
        <w:t xml:space="preserve">records of the court hearings </w:t>
      </w:r>
      <w:r w:rsidRPr="002B6725" w:rsidR="00294627">
        <w:t xml:space="preserve">had been </w:t>
      </w:r>
      <w:r w:rsidRPr="002B6725" w:rsidR="00BB0D8F">
        <w:t>falsified and inaccurate</w:t>
      </w:r>
      <w:r w:rsidRPr="002B6725" w:rsidR="00160B6E">
        <w:t xml:space="preserve">; (f) a number of his requests before the Court of </w:t>
      </w:r>
      <w:r w:rsidRPr="002B6725" w:rsidR="00294627">
        <w:t>A</w:t>
      </w:r>
      <w:r w:rsidRPr="002B6725" w:rsidR="00160B6E">
        <w:t>ppeal and the Supreme Court had been rejected; (g)</w:t>
      </w:r>
      <w:r w:rsidRPr="002B6725" w:rsidR="00FA6F23">
        <w:t xml:space="preserve"> the</w:t>
      </w:r>
      <w:r w:rsidRPr="002B6725" w:rsidR="00160B6E">
        <w:t xml:space="preserve"> length of proceedings had been excessive; (h) </w:t>
      </w:r>
      <w:r w:rsidRPr="002B6725" w:rsidR="00FA6F23">
        <w:t xml:space="preserve">the </w:t>
      </w:r>
      <w:r w:rsidRPr="002B6725" w:rsidR="00BB0D8F">
        <w:t>audio record of the court hearings</w:t>
      </w:r>
      <w:r w:rsidRPr="002B6725" w:rsidR="00160B6E">
        <w:t xml:space="preserve"> had not been provided to him; (i) he had not been allowed to make copies </w:t>
      </w:r>
      <w:r w:rsidRPr="002B6725" w:rsidR="00BB0D8F">
        <w:t xml:space="preserve">of the documents in </w:t>
      </w:r>
      <w:r w:rsidRPr="002B6725" w:rsidR="00FA6F23">
        <w:t xml:space="preserve">the </w:t>
      </w:r>
      <w:r w:rsidRPr="002B6725" w:rsidR="00160B6E">
        <w:t>case</w:t>
      </w:r>
      <w:r w:rsidRPr="002B6725" w:rsidR="00FA6F23">
        <w:t xml:space="preserve"> file</w:t>
      </w:r>
      <w:r w:rsidRPr="002B6725" w:rsidR="00160B6E">
        <w:t xml:space="preserve"> while in the SIZO; </w:t>
      </w:r>
      <w:r w:rsidRPr="002B6725" w:rsidR="00C6285B">
        <w:t xml:space="preserve">(j) </w:t>
      </w:r>
      <w:r w:rsidRPr="002B6725" w:rsidR="00160B6E">
        <w:t xml:space="preserve">he had been absent </w:t>
      </w:r>
      <w:r w:rsidRPr="002B6725" w:rsidR="00FA6F23">
        <w:t xml:space="preserve">from </w:t>
      </w:r>
      <w:r w:rsidRPr="002B6725" w:rsidR="00160B6E">
        <w:t>some of the court</w:t>
      </w:r>
      <w:r w:rsidRPr="002B6725" w:rsidR="002B6725">
        <w:t>’</w:t>
      </w:r>
      <w:r w:rsidRPr="002B6725" w:rsidR="00160B6E">
        <w:t>s hearings;</w:t>
      </w:r>
      <w:r w:rsidRPr="002B6725" w:rsidR="00BB0D8F">
        <w:rPr>
          <w:lang w:val="en-GB"/>
        </w:rPr>
        <w:t xml:space="preserve"> (</w:t>
      </w:r>
      <w:r w:rsidRPr="002B6725" w:rsidR="00C6285B">
        <w:rPr>
          <w:lang w:val="en-GB"/>
        </w:rPr>
        <w:t>k</w:t>
      </w:r>
      <w:r w:rsidRPr="002B6725" w:rsidR="00BB0D8F">
        <w:rPr>
          <w:lang w:val="en-GB"/>
        </w:rPr>
        <w:t>)</w:t>
      </w:r>
      <w:r w:rsidRPr="002B6725" w:rsidR="00BB0D8F">
        <w:t xml:space="preserve"> his complaints to the Supreme Court, the High Council of Justice, the General Prosecutor</w:t>
      </w:r>
      <w:r w:rsidRPr="002B6725" w:rsidR="002B6725">
        <w:t>’</w:t>
      </w:r>
      <w:r w:rsidRPr="002B6725" w:rsidR="00BB0D8F">
        <w:t xml:space="preserve">s Office and other institutions </w:t>
      </w:r>
      <w:r w:rsidRPr="002B6725" w:rsidR="0044792F">
        <w:t xml:space="preserve">concerning </w:t>
      </w:r>
      <w:r w:rsidRPr="002B6725" w:rsidR="00BB0D8F">
        <w:t>unlawful conviction and violation of</w:t>
      </w:r>
      <w:r w:rsidRPr="002B6725" w:rsidR="00FA6F23">
        <w:t xml:space="preserve"> the</w:t>
      </w:r>
      <w:r w:rsidRPr="002B6725" w:rsidR="00BB0D8F">
        <w:t xml:space="preserve"> law during the trial </w:t>
      </w:r>
      <w:r w:rsidRPr="002B6725" w:rsidR="00294627">
        <w:t>had brought no results</w:t>
      </w:r>
      <w:r w:rsidRPr="002B6725" w:rsidR="00BB0D8F">
        <w:t>; (</w:t>
      </w:r>
      <w:r w:rsidRPr="002B6725" w:rsidR="00C6285B">
        <w:t>l</w:t>
      </w:r>
      <w:r w:rsidRPr="002B6725" w:rsidR="00BB0D8F">
        <w:t>)</w:t>
      </w:r>
      <w:r w:rsidRPr="002B6725" w:rsidR="00294627">
        <w:t xml:space="preserve"> no</w:t>
      </w:r>
      <w:r w:rsidRPr="002B6725" w:rsidR="00BB0D8F">
        <w:t xml:space="preserve"> extraordinary review of </w:t>
      </w:r>
      <w:r w:rsidRPr="002B6725" w:rsidR="0044792F">
        <w:t>his</w:t>
      </w:r>
      <w:r w:rsidRPr="002B6725" w:rsidR="00BB0D8F">
        <w:t xml:space="preserve"> case </w:t>
      </w:r>
      <w:r w:rsidRPr="002B6725" w:rsidR="00294627">
        <w:t xml:space="preserve">had been </w:t>
      </w:r>
      <w:r w:rsidRPr="002B6725" w:rsidR="00BB0D8F">
        <w:t>g</w:t>
      </w:r>
      <w:r w:rsidRPr="002B6725" w:rsidR="00294627">
        <w:t>ranted</w:t>
      </w:r>
      <w:r w:rsidRPr="002B6725" w:rsidR="00BB0D8F">
        <w:t>;</w:t>
      </w:r>
      <w:r w:rsidRPr="002B6725" w:rsidR="00294627">
        <w:t xml:space="preserve"> and</w:t>
      </w:r>
      <w:r w:rsidRPr="002B6725" w:rsidR="0044792F">
        <w:t>,</w:t>
      </w:r>
      <w:r w:rsidRPr="002B6725" w:rsidR="00294627">
        <w:t xml:space="preserve"> </w:t>
      </w:r>
      <w:r w:rsidRPr="002B6725" w:rsidR="00BB0D8F">
        <w:rPr>
          <w:lang w:val="en-GB"/>
        </w:rPr>
        <w:t>u</w:t>
      </w:r>
      <w:r w:rsidRPr="002B6725" w:rsidR="00BB0D8F">
        <w:t>nder Article 7</w:t>
      </w:r>
      <w:r w:rsidRPr="002B6725" w:rsidR="0044792F">
        <w:t>,</w:t>
      </w:r>
      <w:r w:rsidRPr="002B6725" w:rsidR="00BB0D8F">
        <w:t xml:space="preserve"> that </w:t>
      </w:r>
      <w:r w:rsidRPr="002B6725" w:rsidR="00BB0D8F">
        <w:rPr>
          <w:lang w:val="en-GB"/>
        </w:rPr>
        <w:t>his criminal prosecution for the murder had been groundless. Lastly, the applicant invoked Articles 1 and 13 of the Convention in relation to the facts of the present case.</w:t>
      </w:r>
    </w:p>
    <w:p w:rsidRPr="002B6725" w:rsidR="00840541" w:rsidP="002B6725" w:rsidRDefault="007B3501">
      <w:pPr>
        <w:pStyle w:val="ECHRPara"/>
        <w:rPr>
          <w:lang w:val="en-GB"/>
        </w:rPr>
      </w:pPr>
      <w:r w:rsidRPr="002B6725">
        <w:rPr>
          <w:lang w:val="en-GB"/>
        </w:rPr>
        <w:fldChar w:fldCharType="begin"/>
      </w:r>
      <w:r w:rsidRPr="002B6725">
        <w:rPr>
          <w:lang w:val="en-GB"/>
        </w:rPr>
        <w:instrText xml:space="preserve"> SEQ level0 \*arabic </w:instrText>
      </w:r>
      <w:r w:rsidRPr="002B6725">
        <w:rPr>
          <w:lang w:val="en-GB"/>
        </w:rPr>
        <w:fldChar w:fldCharType="separate"/>
      </w:r>
      <w:r w:rsidRPr="002B6725" w:rsidR="002B6725">
        <w:rPr>
          <w:noProof/>
          <w:lang w:val="en-GB"/>
        </w:rPr>
        <w:t>111</w:t>
      </w:r>
      <w:r w:rsidRPr="002B6725">
        <w:rPr>
          <w:lang w:val="en-GB"/>
        </w:rPr>
        <w:fldChar w:fldCharType="end"/>
      </w:r>
      <w:r w:rsidRPr="002B6725">
        <w:rPr>
          <w:lang w:val="en-GB"/>
        </w:rPr>
        <w:t>.  </w:t>
      </w:r>
      <w:r w:rsidRPr="002B6725" w:rsidR="00840541">
        <w:rPr>
          <w:lang w:val="en-GB"/>
        </w:rPr>
        <w:t>Having regard to the facts of the case, the submissions of the parties and the above findings under Article</w:t>
      </w:r>
      <w:r w:rsidRPr="002B6725" w:rsidR="00224516">
        <w:rPr>
          <w:lang w:val="en-GB"/>
        </w:rPr>
        <w:t xml:space="preserve">s 3, 6, </w:t>
      </w:r>
      <w:r w:rsidRPr="002B6725" w:rsidR="00840541">
        <w:rPr>
          <w:lang w:val="en-GB"/>
        </w:rPr>
        <w:t>8 and 9</w:t>
      </w:r>
      <w:r w:rsidRPr="002B6725" w:rsidR="00224516">
        <w:rPr>
          <w:lang w:val="en-GB"/>
        </w:rPr>
        <w:t xml:space="preserve"> of the Convention</w:t>
      </w:r>
      <w:r w:rsidRPr="002B6725" w:rsidR="00840541">
        <w:rPr>
          <w:lang w:val="en-GB"/>
        </w:rPr>
        <w:t xml:space="preserve">, the Court considers that the main legal questions in the present application have been determined. It holds, therefore, that there is no need to </w:t>
      </w:r>
      <w:r w:rsidRPr="002B6725" w:rsidR="00840541">
        <w:t xml:space="preserve">give a separate ruling on the remaining </w:t>
      </w:r>
      <w:r w:rsidRPr="002B6725" w:rsidR="00C20134">
        <w:t xml:space="preserve">uncommunicated </w:t>
      </w:r>
      <w:r w:rsidRPr="002B6725" w:rsidR="00840541">
        <w:t xml:space="preserve">complaints (see, among other authorities, </w:t>
      </w:r>
      <w:r w:rsidRPr="002B6725" w:rsidR="00840541">
        <w:rPr>
          <w:i/>
          <w:lang w:val="en-GB"/>
        </w:rPr>
        <w:t>Varnava and Others</w:t>
      </w:r>
      <w:r w:rsidRPr="002B6725" w:rsidR="007B6474">
        <w:t xml:space="preserve"> </w:t>
      </w:r>
      <w:r w:rsidRPr="002B6725" w:rsidR="007B6474">
        <w:rPr>
          <w:i/>
        </w:rPr>
        <w:t>v. Turkey</w:t>
      </w:r>
      <w:r w:rsidRPr="002B6725" w:rsidR="007B6474">
        <w:t xml:space="preserve"> [GC], nos. 16064/90 et al., </w:t>
      </w:r>
      <w:r w:rsidRPr="002B6725" w:rsidR="00840541">
        <w:rPr>
          <w:lang w:val="en-GB"/>
        </w:rPr>
        <w:t xml:space="preserve">§§ 210-211, </w:t>
      </w:r>
      <w:r w:rsidRPr="002B6725" w:rsidR="007B6474">
        <w:t xml:space="preserve">ECHR 2009, </w:t>
      </w:r>
      <w:r w:rsidRPr="002B6725" w:rsidR="00840541">
        <w:rPr>
          <w:lang w:val="en-GB"/>
        </w:rPr>
        <w:t xml:space="preserve">and </w:t>
      </w:r>
      <w:r w:rsidRPr="002B6725" w:rsidR="00840541">
        <w:rPr>
          <w:i/>
          <w:lang w:val="en-GB"/>
        </w:rPr>
        <w:t>Centre for Legal Resources on behalf of Valentin Câmpeanu v. Romania</w:t>
      </w:r>
      <w:r w:rsidRPr="002B6725" w:rsidR="00840541">
        <w:rPr>
          <w:lang w:val="en-GB"/>
        </w:rPr>
        <w:t xml:space="preserve"> [GC], no. 47848/08, § 156, ECHR 2014, with further references).</w:t>
      </w:r>
    </w:p>
    <w:p w:rsidRPr="002B6725" w:rsidR="00014566" w:rsidP="002B6725" w:rsidRDefault="00294627">
      <w:pPr>
        <w:pStyle w:val="ECHRHeading1"/>
        <w:rPr>
          <w:lang w:val="en-GB"/>
        </w:rPr>
      </w:pPr>
      <w:r w:rsidRPr="002B6725">
        <w:rPr>
          <w:lang w:val="en-GB"/>
        </w:rPr>
        <w:t>VI</w:t>
      </w:r>
      <w:r w:rsidRPr="002B6725" w:rsidR="00014566">
        <w:rPr>
          <w:lang w:val="en-GB"/>
        </w:rPr>
        <w:t>.  APPLICATION OF ARTICLE 41 OF THE CONVENTION</w:t>
      </w:r>
    </w:p>
    <w:p w:rsidRPr="002B6725" w:rsidR="00014566" w:rsidP="002B6725" w:rsidRDefault="00157B2E">
      <w:pPr>
        <w:pStyle w:val="ECHRPara"/>
        <w:rPr>
          <w:lang w:val="en-GB"/>
        </w:rPr>
      </w:pPr>
      <w:r w:rsidRPr="002B6725">
        <w:rPr>
          <w:lang w:val="en-GB"/>
        </w:rPr>
        <w:fldChar w:fldCharType="begin"/>
      </w:r>
      <w:r w:rsidRPr="002B6725">
        <w:rPr>
          <w:lang w:val="en-GB"/>
        </w:rPr>
        <w:instrText xml:space="preserve"> SEQ level0 \*arabic </w:instrText>
      </w:r>
      <w:r w:rsidRPr="002B6725">
        <w:rPr>
          <w:lang w:val="en-GB"/>
        </w:rPr>
        <w:fldChar w:fldCharType="separate"/>
      </w:r>
      <w:r w:rsidRPr="002B6725" w:rsidR="002B6725">
        <w:rPr>
          <w:noProof/>
          <w:lang w:val="en-GB"/>
        </w:rPr>
        <w:t>112</w:t>
      </w:r>
      <w:r w:rsidRPr="002B6725">
        <w:rPr>
          <w:lang w:val="en-GB"/>
        </w:rPr>
        <w:fldChar w:fldCharType="end"/>
      </w:r>
      <w:r w:rsidRPr="002B6725" w:rsidR="00014566">
        <w:rPr>
          <w:lang w:val="en-GB"/>
        </w:rPr>
        <w:t>.  Article 41 of the Convention provides:</w:t>
      </w:r>
    </w:p>
    <w:p w:rsidRPr="002B6725" w:rsidR="00014566" w:rsidP="002B6725" w:rsidRDefault="00014566">
      <w:pPr>
        <w:pStyle w:val="ECHRParaQuote"/>
        <w:keepNext/>
        <w:keepLines/>
        <w:rPr>
          <w:lang w:val="en-GB"/>
        </w:rPr>
      </w:pPr>
      <w:r w:rsidRPr="002B6725">
        <w:rPr>
          <w:lang w:val="en-GB"/>
        </w:rP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2B6725" w:rsidR="00014566" w:rsidP="002B6725" w:rsidRDefault="00014566">
      <w:pPr>
        <w:pStyle w:val="ECHRHeading2"/>
        <w:rPr>
          <w:lang w:val="en-GB"/>
        </w:rPr>
      </w:pPr>
      <w:r w:rsidRPr="002B6725">
        <w:rPr>
          <w:lang w:val="en-GB"/>
        </w:rPr>
        <w:t>A.  Damage</w:t>
      </w:r>
    </w:p>
    <w:p w:rsidRPr="002B6725" w:rsidR="00014566" w:rsidP="002B6725" w:rsidRDefault="00157B2E">
      <w:pPr>
        <w:pStyle w:val="ECHRPara"/>
        <w:rPr>
          <w:lang w:val="en-GB"/>
        </w:rPr>
      </w:pPr>
      <w:r w:rsidRPr="002B6725">
        <w:rPr>
          <w:lang w:val="en-GB"/>
        </w:rPr>
        <w:fldChar w:fldCharType="begin"/>
      </w:r>
      <w:r w:rsidRPr="002B6725">
        <w:rPr>
          <w:lang w:val="en-GB"/>
        </w:rPr>
        <w:instrText xml:space="preserve"> SEQ level0 \*arabic </w:instrText>
      </w:r>
      <w:r w:rsidRPr="002B6725">
        <w:rPr>
          <w:lang w:val="en-GB"/>
        </w:rPr>
        <w:fldChar w:fldCharType="separate"/>
      </w:r>
      <w:r w:rsidRPr="002B6725" w:rsidR="002B6725">
        <w:rPr>
          <w:noProof/>
          <w:lang w:val="en-GB"/>
        </w:rPr>
        <w:t>113</w:t>
      </w:r>
      <w:r w:rsidRPr="002B6725">
        <w:rPr>
          <w:lang w:val="en-GB"/>
        </w:rPr>
        <w:fldChar w:fldCharType="end"/>
      </w:r>
      <w:r w:rsidRPr="002B6725" w:rsidR="00014566">
        <w:rPr>
          <w:lang w:val="en-GB"/>
        </w:rPr>
        <w:t xml:space="preserve">.  The applicant claimed </w:t>
      </w:r>
      <w:r w:rsidRPr="002B6725" w:rsidR="00160E36">
        <w:rPr>
          <w:lang w:val="en-GB"/>
        </w:rPr>
        <w:t xml:space="preserve">EUR </w:t>
      </w:r>
      <w:r w:rsidRPr="002B6725" w:rsidR="000A42B9">
        <w:rPr>
          <w:lang w:val="en-GB"/>
        </w:rPr>
        <w:t>1</w:t>
      </w:r>
      <w:r w:rsidRPr="002B6725" w:rsidR="008A2416">
        <w:rPr>
          <w:lang w:val="en-GB"/>
        </w:rPr>
        <w:t>,</w:t>
      </w:r>
      <w:r w:rsidRPr="002B6725" w:rsidR="00400706">
        <w:rPr>
          <w:lang w:val="en-GB"/>
        </w:rPr>
        <w:t>500</w:t>
      </w:r>
      <w:r w:rsidRPr="002B6725" w:rsidR="008A2416">
        <w:rPr>
          <w:lang w:val="en-GB"/>
        </w:rPr>
        <w:t>,</w:t>
      </w:r>
      <w:r w:rsidRPr="002B6725" w:rsidR="000A42B9">
        <w:rPr>
          <w:lang w:val="en-GB"/>
        </w:rPr>
        <w:t>000</w:t>
      </w:r>
      <w:r w:rsidRPr="002B6725" w:rsidR="008A2416">
        <w:rPr>
          <w:lang w:val="en-GB"/>
        </w:rPr>
        <w:t>.</w:t>
      </w:r>
      <w:r w:rsidRPr="002B6725" w:rsidR="000A42B9">
        <w:rPr>
          <w:lang w:val="en-GB"/>
        </w:rPr>
        <w:t>00</w:t>
      </w:r>
      <w:r w:rsidRPr="002B6725" w:rsidR="00014566">
        <w:rPr>
          <w:lang w:val="en-GB"/>
        </w:rPr>
        <w:t xml:space="preserve"> </w:t>
      </w:r>
      <w:r w:rsidRPr="002B6725" w:rsidR="00F3126D">
        <w:rPr>
          <w:lang w:val="en-GB"/>
        </w:rPr>
        <w:t xml:space="preserve">in total </w:t>
      </w:r>
      <w:r w:rsidRPr="002B6725" w:rsidR="00C72699">
        <w:rPr>
          <w:lang w:val="en-GB"/>
        </w:rPr>
        <w:t>in respect of non</w:t>
      </w:r>
      <w:r w:rsidRPr="002B6725" w:rsidR="00C72699">
        <w:rPr>
          <w:lang w:val="en-GB"/>
        </w:rPr>
        <w:noBreakHyphen/>
      </w:r>
      <w:r w:rsidRPr="002B6725" w:rsidR="00014566">
        <w:rPr>
          <w:lang w:val="en-GB"/>
        </w:rPr>
        <w:t>pecuniary damage</w:t>
      </w:r>
      <w:r w:rsidRPr="002B6725" w:rsidR="000A42B9">
        <w:rPr>
          <w:lang w:val="en-GB"/>
        </w:rPr>
        <w:t xml:space="preserve"> for the whole range of the violations </w:t>
      </w:r>
      <w:r w:rsidRPr="002B6725" w:rsidR="001B4025">
        <w:rPr>
          <w:lang w:val="en-GB"/>
        </w:rPr>
        <w:t>alleged</w:t>
      </w:r>
      <w:r w:rsidRPr="002B6725" w:rsidR="00014566">
        <w:rPr>
          <w:lang w:val="en-GB"/>
        </w:rPr>
        <w:t>.</w:t>
      </w:r>
    </w:p>
    <w:p w:rsidRPr="002B6725" w:rsidR="00750D68" w:rsidP="002B6725" w:rsidRDefault="00157B2E">
      <w:pPr>
        <w:pStyle w:val="ECHRPara"/>
      </w:pPr>
      <w:r w:rsidRPr="002B6725">
        <w:rPr>
          <w:lang w:val="en-GB"/>
        </w:rPr>
        <w:fldChar w:fldCharType="begin"/>
      </w:r>
      <w:r w:rsidRPr="002B6725">
        <w:rPr>
          <w:lang w:val="en-GB"/>
        </w:rPr>
        <w:instrText xml:space="preserve"> SEQ level0 \*arabic </w:instrText>
      </w:r>
      <w:r w:rsidRPr="002B6725">
        <w:rPr>
          <w:lang w:val="en-GB"/>
        </w:rPr>
        <w:fldChar w:fldCharType="separate"/>
      </w:r>
      <w:r w:rsidRPr="002B6725" w:rsidR="002B6725">
        <w:rPr>
          <w:noProof/>
          <w:lang w:val="en-GB"/>
        </w:rPr>
        <w:t>114</w:t>
      </w:r>
      <w:r w:rsidRPr="002B6725">
        <w:rPr>
          <w:lang w:val="en-GB"/>
        </w:rPr>
        <w:fldChar w:fldCharType="end"/>
      </w:r>
      <w:r w:rsidRPr="002B6725" w:rsidR="00014566">
        <w:rPr>
          <w:lang w:val="en-GB"/>
        </w:rPr>
        <w:t xml:space="preserve">.  The Government </w:t>
      </w:r>
      <w:r w:rsidRPr="002B6725" w:rsidR="000A42B9">
        <w:t xml:space="preserve">submitted that </w:t>
      </w:r>
      <w:r w:rsidRPr="002B6725" w:rsidR="00F3126D">
        <w:t xml:space="preserve">there had been no breaches of the Convention in the present case and that, in any event, </w:t>
      </w:r>
      <w:r w:rsidRPr="002B6725" w:rsidR="000A42B9">
        <w:t>the applicant</w:t>
      </w:r>
      <w:r w:rsidRPr="002B6725" w:rsidR="002B6725">
        <w:t>’</w:t>
      </w:r>
      <w:r w:rsidRPr="002B6725" w:rsidR="000A42B9">
        <w:t>s claims were exorbitant and unsubstantiated</w:t>
      </w:r>
      <w:r w:rsidRPr="002B6725" w:rsidR="00F3126D">
        <w:t>.</w:t>
      </w:r>
    </w:p>
    <w:p w:rsidRPr="002B6725" w:rsidR="000A2E83" w:rsidP="002B6725" w:rsidRDefault="002B6725">
      <w:pPr>
        <w:pStyle w:val="ECHRPara"/>
      </w:pPr>
      <w:fldSimple w:instr=" SEQ level0 \*arabic ">
        <w:r w:rsidRPr="002B6725">
          <w:rPr>
            <w:noProof/>
          </w:rPr>
          <w:t>115</w:t>
        </w:r>
      </w:fldSimple>
      <w:r w:rsidRPr="002B6725" w:rsidR="00014566">
        <w:t>.  The Court</w:t>
      </w:r>
      <w:r w:rsidRPr="002B6725" w:rsidR="000A42B9">
        <w:t xml:space="preserve"> observes that it has found violations of Articles 8 and 9 of the Convention in the present case.</w:t>
      </w:r>
      <w:r w:rsidRPr="002B6725" w:rsidR="000A2E83">
        <w:t xml:space="preserve"> Ruling on an equitable basis, it awards the applicant EUR </w:t>
      </w:r>
      <w:r w:rsidRPr="002B6725" w:rsidR="00C20134">
        <w:t>4</w:t>
      </w:r>
      <w:r w:rsidRPr="002B6725" w:rsidR="00160E36">
        <w:t>,</w:t>
      </w:r>
      <w:r w:rsidRPr="002B6725" w:rsidR="000A2E83">
        <w:t>000 in respect of non-pecuniary damage.</w:t>
      </w:r>
    </w:p>
    <w:p w:rsidRPr="002B6725" w:rsidR="00014566" w:rsidP="002B6725" w:rsidRDefault="00014566">
      <w:pPr>
        <w:pStyle w:val="ECHRHeading2"/>
        <w:rPr>
          <w:lang w:val="en-GB"/>
        </w:rPr>
      </w:pPr>
      <w:r w:rsidRPr="002B6725">
        <w:rPr>
          <w:lang w:val="en-GB"/>
        </w:rPr>
        <w:t>B.  Costs and expenses</w:t>
      </w:r>
    </w:p>
    <w:p w:rsidRPr="002B6725" w:rsidR="00513B3B" w:rsidP="002B6725" w:rsidRDefault="00157B2E">
      <w:pPr>
        <w:pStyle w:val="ECHRPara"/>
        <w:rPr>
          <w:lang w:val="en-GB"/>
        </w:rPr>
      </w:pPr>
      <w:r w:rsidRPr="002B6725">
        <w:rPr>
          <w:lang w:val="en-GB"/>
        </w:rPr>
        <w:fldChar w:fldCharType="begin"/>
      </w:r>
      <w:r w:rsidRPr="002B6725">
        <w:rPr>
          <w:lang w:val="en-GB"/>
        </w:rPr>
        <w:instrText xml:space="preserve"> SEQ level0 \*arabic </w:instrText>
      </w:r>
      <w:r w:rsidRPr="002B6725">
        <w:rPr>
          <w:lang w:val="en-GB"/>
        </w:rPr>
        <w:fldChar w:fldCharType="separate"/>
      </w:r>
      <w:r w:rsidRPr="002B6725" w:rsidR="002B6725">
        <w:rPr>
          <w:noProof/>
          <w:lang w:val="en-GB"/>
        </w:rPr>
        <w:t>116</w:t>
      </w:r>
      <w:r w:rsidRPr="002B6725">
        <w:rPr>
          <w:lang w:val="en-GB"/>
        </w:rPr>
        <w:fldChar w:fldCharType="end"/>
      </w:r>
      <w:r w:rsidRPr="002B6725" w:rsidR="00014566">
        <w:rPr>
          <w:lang w:val="en-GB"/>
        </w:rPr>
        <w:t xml:space="preserve">.  The applicant </w:t>
      </w:r>
      <w:r w:rsidRPr="002B6725" w:rsidR="00513B3B">
        <w:rPr>
          <w:lang w:val="en-GB"/>
        </w:rPr>
        <w:t xml:space="preserve">submitted no claim </w:t>
      </w:r>
      <w:r w:rsidRPr="002B6725" w:rsidR="00014566">
        <w:rPr>
          <w:lang w:val="en-GB"/>
        </w:rPr>
        <w:t>for the costs and expenses</w:t>
      </w:r>
      <w:r w:rsidRPr="002B6725" w:rsidR="00513B3B">
        <w:rPr>
          <w:lang w:val="en-GB"/>
        </w:rPr>
        <w:t>.</w:t>
      </w:r>
    </w:p>
    <w:p w:rsidRPr="002B6725" w:rsidR="00014566" w:rsidP="002B6725" w:rsidRDefault="00ED7BFB">
      <w:pPr>
        <w:pStyle w:val="ECHRPara"/>
        <w:rPr>
          <w:lang w:val="en-GB"/>
        </w:rPr>
      </w:pPr>
      <w:r w:rsidRPr="002B6725">
        <w:rPr>
          <w:lang w:val="en-GB"/>
        </w:rPr>
        <w:fldChar w:fldCharType="begin"/>
      </w:r>
      <w:r w:rsidRPr="002B6725">
        <w:rPr>
          <w:lang w:val="en-GB"/>
        </w:rPr>
        <w:instrText xml:space="preserve"> SEQ level0 \*arabic </w:instrText>
      </w:r>
      <w:r w:rsidRPr="002B6725">
        <w:rPr>
          <w:lang w:val="en-GB"/>
        </w:rPr>
        <w:fldChar w:fldCharType="separate"/>
      </w:r>
      <w:r w:rsidRPr="002B6725" w:rsidR="002B6725">
        <w:rPr>
          <w:noProof/>
          <w:lang w:val="en-GB"/>
        </w:rPr>
        <w:t>117</w:t>
      </w:r>
      <w:r w:rsidRPr="002B6725">
        <w:rPr>
          <w:lang w:val="en-GB"/>
        </w:rPr>
        <w:fldChar w:fldCharType="end"/>
      </w:r>
      <w:r w:rsidRPr="002B6725">
        <w:rPr>
          <w:lang w:val="en-GB"/>
        </w:rPr>
        <w:t>.  </w:t>
      </w:r>
      <w:r w:rsidRPr="002B6725" w:rsidR="00513B3B">
        <w:rPr>
          <w:lang w:val="en-GB"/>
        </w:rPr>
        <w:t>The Court respectively makes no award under this head</w:t>
      </w:r>
      <w:r w:rsidRPr="002B6725" w:rsidR="00014566">
        <w:rPr>
          <w:lang w:val="en-GB"/>
        </w:rPr>
        <w:t>.</w:t>
      </w:r>
    </w:p>
    <w:p w:rsidRPr="002B6725" w:rsidR="00014566" w:rsidP="002B6725" w:rsidRDefault="00014566">
      <w:pPr>
        <w:pStyle w:val="ECHRHeading2"/>
        <w:rPr>
          <w:lang w:val="en-GB"/>
        </w:rPr>
      </w:pPr>
      <w:r w:rsidRPr="002B6725">
        <w:rPr>
          <w:lang w:val="en-GB"/>
        </w:rPr>
        <w:t>C.  Default interest</w:t>
      </w:r>
    </w:p>
    <w:p w:rsidRPr="002B6725" w:rsidR="00014566" w:rsidP="002B6725" w:rsidRDefault="00157B2E">
      <w:pPr>
        <w:pStyle w:val="ECHRPara"/>
        <w:rPr>
          <w:lang w:val="en-GB"/>
        </w:rPr>
      </w:pPr>
      <w:r w:rsidRPr="002B6725">
        <w:rPr>
          <w:lang w:val="en-GB"/>
        </w:rPr>
        <w:fldChar w:fldCharType="begin"/>
      </w:r>
      <w:r w:rsidRPr="002B6725">
        <w:rPr>
          <w:lang w:val="en-GB"/>
        </w:rPr>
        <w:instrText xml:space="preserve"> SEQ level0 \*arabic </w:instrText>
      </w:r>
      <w:r w:rsidRPr="002B6725">
        <w:rPr>
          <w:lang w:val="en-GB"/>
        </w:rPr>
        <w:fldChar w:fldCharType="separate"/>
      </w:r>
      <w:r w:rsidRPr="002B6725" w:rsidR="002B6725">
        <w:rPr>
          <w:noProof/>
          <w:lang w:val="en-GB"/>
        </w:rPr>
        <w:t>118</w:t>
      </w:r>
      <w:r w:rsidRPr="002B6725">
        <w:rPr>
          <w:lang w:val="en-GB"/>
        </w:rPr>
        <w:fldChar w:fldCharType="end"/>
      </w:r>
      <w:r w:rsidRPr="002B6725" w:rsidR="00014566">
        <w:rPr>
          <w:lang w:val="en-GB"/>
        </w:rPr>
        <w:t>.  The Court considers it appropriate that the default interest rate should be based on the marginal lending rate of the European Central Bank, to which should be added three percentage points.</w:t>
      </w:r>
    </w:p>
    <w:p w:rsidRPr="002B6725" w:rsidR="00014566" w:rsidP="002B6725" w:rsidRDefault="00BB5883">
      <w:pPr>
        <w:pStyle w:val="ECHRTitle1"/>
        <w:rPr>
          <w:lang w:val="en-GB"/>
        </w:rPr>
      </w:pPr>
      <w:r w:rsidRPr="002B6725">
        <w:rPr>
          <w:lang w:val="en-GB"/>
        </w:rPr>
        <w:t>FOR THESE REASONS, THE COURT</w:t>
      </w:r>
      <w:r w:rsidRPr="002B6725" w:rsidR="00240499">
        <w:rPr>
          <w:lang w:val="en-GB"/>
        </w:rPr>
        <w:t>, UNANIMOUSLY,</w:t>
      </w:r>
    </w:p>
    <w:p w:rsidRPr="002B6725" w:rsidR="00072280" w:rsidP="002B6725" w:rsidRDefault="00B637B9">
      <w:pPr>
        <w:pStyle w:val="JuList"/>
        <w:rPr>
          <w:lang w:val="en-GB"/>
        </w:rPr>
      </w:pPr>
      <w:r w:rsidRPr="002B6725">
        <w:rPr>
          <w:lang w:val="en-GB"/>
        </w:rPr>
        <w:t>1. </w:t>
      </w:r>
      <w:r w:rsidRPr="002B6725">
        <w:rPr>
          <w:i/>
          <w:lang w:val="en-GB"/>
        </w:rPr>
        <w:t> Declares</w:t>
      </w:r>
      <w:r w:rsidRPr="002B6725" w:rsidR="00157B2E">
        <w:rPr>
          <w:i/>
          <w:lang w:val="en-GB"/>
        </w:rPr>
        <w:t xml:space="preserve"> </w:t>
      </w:r>
      <w:r w:rsidRPr="002B6725">
        <w:rPr>
          <w:lang w:val="en-GB"/>
        </w:rPr>
        <w:t xml:space="preserve">the </w:t>
      </w:r>
      <w:r w:rsidRPr="002B6725" w:rsidR="002B4D4C">
        <w:rPr>
          <w:lang w:val="en-GB"/>
        </w:rPr>
        <w:t>complaint under Article 6 §§ 1 and 3 (c) concerning the alleged violation of the applicant</w:t>
      </w:r>
      <w:r w:rsidRPr="002B6725" w:rsidR="002B6725">
        <w:rPr>
          <w:lang w:val="en-GB"/>
        </w:rPr>
        <w:t>’</w:t>
      </w:r>
      <w:r w:rsidRPr="002B6725" w:rsidR="002B4D4C">
        <w:rPr>
          <w:lang w:val="en-GB"/>
        </w:rPr>
        <w:t xml:space="preserve">s defence rights; the </w:t>
      </w:r>
      <w:r w:rsidRPr="002B6725">
        <w:rPr>
          <w:lang w:val="en-GB"/>
        </w:rPr>
        <w:t xml:space="preserve">complaints </w:t>
      </w:r>
      <w:r w:rsidRPr="002B6725" w:rsidR="00C54B95">
        <w:rPr>
          <w:lang w:val="en-GB"/>
        </w:rPr>
        <w:t xml:space="preserve">under Article 8 </w:t>
      </w:r>
      <w:r w:rsidRPr="002B6725">
        <w:rPr>
          <w:lang w:val="en-GB"/>
        </w:rPr>
        <w:t xml:space="preserve">concerning </w:t>
      </w:r>
      <w:r w:rsidRPr="002B6725" w:rsidR="007525D0">
        <w:rPr>
          <w:lang w:val="en-GB"/>
        </w:rPr>
        <w:t>restrictions imposed on family visits and sending correspondence in pre-trial detention</w:t>
      </w:r>
      <w:r w:rsidRPr="002B6725" w:rsidR="00072280">
        <w:rPr>
          <w:lang w:val="en-GB"/>
        </w:rPr>
        <w:t xml:space="preserve">; </w:t>
      </w:r>
      <w:r w:rsidRPr="002B6725" w:rsidR="00C54B95">
        <w:rPr>
          <w:lang w:val="en-GB"/>
        </w:rPr>
        <w:t xml:space="preserve">the complaints under Article 9 concerning </w:t>
      </w:r>
      <w:r w:rsidRPr="002B6725" w:rsidR="00072280">
        <w:rPr>
          <w:lang w:val="en-GB"/>
        </w:rPr>
        <w:t xml:space="preserve">seizure of religious literature and items and refusals </w:t>
      </w:r>
      <w:r w:rsidRPr="002B6725" w:rsidR="00EA79E1">
        <w:rPr>
          <w:lang w:val="en-GB"/>
        </w:rPr>
        <w:t xml:space="preserve">to </w:t>
      </w:r>
      <w:r w:rsidRPr="002B6725" w:rsidR="000779D6">
        <w:rPr>
          <w:lang w:val="en-GB"/>
        </w:rPr>
        <w:t xml:space="preserve">allow </w:t>
      </w:r>
      <w:r w:rsidRPr="002B6725" w:rsidR="00072280">
        <w:rPr>
          <w:lang w:val="en-GB"/>
        </w:rPr>
        <w:t>visit</w:t>
      </w:r>
      <w:r w:rsidRPr="002B6725" w:rsidR="000779D6">
        <w:rPr>
          <w:lang w:val="en-GB"/>
        </w:rPr>
        <w:t>s</w:t>
      </w:r>
      <w:r w:rsidRPr="002B6725" w:rsidR="00072280">
        <w:rPr>
          <w:lang w:val="en-GB"/>
        </w:rPr>
        <w:t xml:space="preserve"> </w:t>
      </w:r>
      <w:r w:rsidRPr="002B6725" w:rsidR="000779D6">
        <w:rPr>
          <w:lang w:val="en-GB"/>
        </w:rPr>
        <w:t xml:space="preserve">to </w:t>
      </w:r>
      <w:r w:rsidRPr="002B6725" w:rsidR="00EA79E1">
        <w:rPr>
          <w:lang w:val="en-GB"/>
        </w:rPr>
        <w:t>a</w:t>
      </w:r>
      <w:r w:rsidRPr="002B6725" w:rsidR="003303A9">
        <w:rPr>
          <w:lang w:val="en-GB"/>
        </w:rPr>
        <w:t xml:space="preserve"> </w:t>
      </w:r>
      <w:r w:rsidRPr="002B6725" w:rsidR="00EA79E1">
        <w:rPr>
          <w:lang w:val="en-GB"/>
        </w:rPr>
        <w:t xml:space="preserve">church in pre-trial detention </w:t>
      </w:r>
      <w:r w:rsidRPr="002B6725" w:rsidR="00072280">
        <w:rPr>
          <w:lang w:val="en-GB"/>
        </w:rPr>
        <w:t xml:space="preserve">admissible and the remainder of the </w:t>
      </w:r>
      <w:r w:rsidRPr="002B6725" w:rsidR="00C20134">
        <w:rPr>
          <w:lang w:val="en-GB"/>
        </w:rPr>
        <w:t xml:space="preserve">communicated complaints </w:t>
      </w:r>
      <w:r w:rsidRPr="002B6725" w:rsidR="00072280">
        <w:rPr>
          <w:lang w:val="en-GB"/>
        </w:rPr>
        <w:t>inadmissible;</w:t>
      </w:r>
    </w:p>
    <w:p w:rsidRPr="002B6725" w:rsidR="00072280" w:rsidP="002B6725" w:rsidRDefault="00072280">
      <w:pPr>
        <w:pStyle w:val="JuList"/>
        <w:rPr>
          <w:lang w:val="en-GB"/>
        </w:rPr>
      </w:pPr>
    </w:p>
    <w:p w:rsidRPr="002B6725" w:rsidR="002B4D4C" w:rsidP="002B6725" w:rsidRDefault="002B4D4C">
      <w:pPr>
        <w:pStyle w:val="JuList"/>
        <w:rPr>
          <w:lang w:val="en-GB"/>
        </w:rPr>
      </w:pPr>
      <w:r w:rsidRPr="002B6725">
        <w:rPr>
          <w:lang w:val="en-GB"/>
        </w:rPr>
        <w:t>2.  </w:t>
      </w:r>
      <w:r w:rsidRPr="002B6725">
        <w:rPr>
          <w:i/>
          <w:lang w:val="en-GB"/>
        </w:rPr>
        <w:t>Holds</w:t>
      </w:r>
      <w:r w:rsidRPr="002B6725">
        <w:rPr>
          <w:lang w:val="en-GB"/>
        </w:rPr>
        <w:t xml:space="preserve"> that there has been no violation of Article 6 §§ 1 and 3 (c) of the Convention;</w:t>
      </w:r>
    </w:p>
    <w:p w:rsidRPr="002B6725" w:rsidR="002B4D4C" w:rsidP="002B6725" w:rsidRDefault="002B4D4C">
      <w:pPr>
        <w:pStyle w:val="JuList"/>
        <w:rPr>
          <w:lang w:val="en-GB"/>
        </w:rPr>
      </w:pPr>
    </w:p>
    <w:p w:rsidRPr="002B6725" w:rsidR="00014566" w:rsidP="002B6725" w:rsidRDefault="002B4D4C">
      <w:pPr>
        <w:pStyle w:val="JuList"/>
        <w:rPr>
          <w:lang w:val="en-GB"/>
        </w:rPr>
      </w:pPr>
      <w:r w:rsidRPr="002B6725">
        <w:rPr>
          <w:lang w:val="en-GB"/>
        </w:rPr>
        <w:t>3</w:t>
      </w:r>
      <w:r w:rsidRPr="002B6725" w:rsidR="00014566">
        <w:rPr>
          <w:lang w:val="en-GB"/>
        </w:rPr>
        <w:t>.  </w:t>
      </w:r>
      <w:r w:rsidRPr="002B6725" w:rsidR="00014566">
        <w:rPr>
          <w:i/>
          <w:lang w:val="en-GB"/>
        </w:rPr>
        <w:t>Holds</w:t>
      </w:r>
      <w:r w:rsidRPr="002B6725" w:rsidR="00157B2E">
        <w:rPr>
          <w:lang w:val="en-GB"/>
        </w:rPr>
        <w:t xml:space="preserve"> </w:t>
      </w:r>
      <w:r w:rsidRPr="002B6725" w:rsidR="00014566">
        <w:rPr>
          <w:lang w:val="en-GB"/>
        </w:rPr>
        <w:t xml:space="preserve">that there has been a violation of Article </w:t>
      </w:r>
      <w:r w:rsidRPr="002B6725" w:rsidR="00616E2D">
        <w:rPr>
          <w:lang w:val="en-GB"/>
        </w:rPr>
        <w:t>8</w:t>
      </w:r>
      <w:r w:rsidRPr="002B6725" w:rsidR="00014566">
        <w:rPr>
          <w:lang w:val="en-GB"/>
        </w:rPr>
        <w:t xml:space="preserve"> of the Convention;</w:t>
      </w:r>
    </w:p>
    <w:p w:rsidRPr="002B6725" w:rsidR="00014566" w:rsidP="002B6725" w:rsidRDefault="00014566">
      <w:pPr>
        <w:pStyle w:val="JuList"/>
        <w:rPr>
          <w:lang w:val="en-GB"/>
        </w:rPr>
      </w:pPr>
    </w:p>
    <w:p w:rsidRPr="002B6725" w:rsidR="00157B2E" w:rsidP="002B6725" w:rsidRDefault="002B4D4C">
      <w:pPr>
        <w:pStyle w:val="JuList"/>
        <w:rPr>
          <w:lang w:val="en-GB"/>
        </w:rPr>
      </w:pPr>
      <w:r w:rsidRPr="002B6725">
        <w:rPr>
          <w:lang w:val="en-GB"/>
        </w:rPr>
        <w:t>4</w:t>
      </w:r>
      <w:r w:rsidRPr="002B6725" w:rsidR="00014566">
        <w:rPr>
          <w:lang w:val="en-GB"/>
        </w:rPr>
        <w:t>.  </w:t>
      </w:r>
      <w:r w:rsidRPr="002B6725" w:rsidR="00014566">
        <w:rPr>
          <w:i/>
          <w:lang w:val="en-GB"/>
        </w:rPr>
        <w:t>Holds</w:t>
      </w:r>
      <w:r w:rsidRPr="002B6725" w:rsidR="00157B2E">
        <w:rPr>
          <w:lang w:val="en-GB"/>
        </w:rPr>
        <w:t xml:space="preserve"> </w:t>
      </w:r>
      <w:r w:rsidRPr="002B6725" w:rsidR="00014566">
        <w:rPr>
          <w:lang w:val="en-GB"/>
        </w:rPr>
        <w:t xml:space="preserve">that </w:t>
      </w:r>
      <w:r w:rsidRPr="002B6725" w:rsidR="00616E2D">
        <w:rPr>
          <w:lang w:val="en-GB"/>
        </w:rPr>
        <w:t>there has been a violation of Article 9 of the Convention</w:t>
      </w:r>
      <w:r w:rsidRPr="002B6725" w:rsidR="00014566">
        <w:rPr>
          <w:lang w:val="en-GB"/>
        </w:rPr>
        <w:t>;</w:t>
      </w:r>
    </w:p>
    <w:p w:rsidRPr="002B6725" w:rsidR="00C20134" w:rsidP="002B6725" w:rsidRDefault="00C20134">
      <w:pPr>
        <w:pStyle w:val="JuList"/>
        <w:rPr>
          <w:lang w:val="en-GB"/>
        </w:rPr>
      </w:pPr>
    </w:p>
    <w:p w:rsidRPr="002B6725" w:rsidR="00C20134" w:rsidP="002B6725" w:rsidRDefault="002B4D4C">
      <w:pPr>
        <w:pStyle w:val="JuList"/>
        <w:rPr>
          <w:lang w:val="en-GB"/>
        </w:rPr>
      </w:pPr>
      <w:r w:rsidRPr="002B6725">
        <w:rPr>
          <w:lang w:val="en-GB"/>
        </w:rPr>
        <w:t>5</w:t>
      </w:r>
      <w:r w:rsidRPr="002B6725" w:rsidR="00C20134">
        <w:rPr>
          <w:lang w:val="en-GB"/>
        </w:rPr>
        <w:t>.  </w:t>
      </w:r>
      <w:r w:rsidRPr="002B6725" w:rsidR="00C20134">
        <w:rPr>
          <w:i/>
          <w:lang w:val="en-GB"/>
        </w:rPr>
        <w:t>Holds</w:t>
      </w:r>
      <w:r w:rsidRPr="002B6725" w:rsidR="00C20134">
        <w:rPr>
          <w:lang w:val="en-GB"/>
        </w:rPr>
        <w:t xml:space="preserve"> that it is not necessary to examine the admissibility and merits of the other complaints</w:t>
      </w:r>
      <w:r w:rsidRPr="002B6725" w:rsidR="001F4E61">
        <w:rPr>
          <w:lang w:val="en-GB"/>
        </w:rPr>
        <w:t>;</w:t>
      </w:r>
    </w:p>
    <w:p w:rsidRPr="002B6725" w:rsidR="00157B2E" w:rsidP="002B6725" w:rsidRDefault="00157B2E">
      <w:pPr>
        <w:jc w:val="left"/>
        <w:rPr>
          <w:lang w:val="en-GB"/>
        </w:rPr>
      </w:pPr>
    </w:p>
    <w:p w:rsidRPr="002B6725" w:rsidR="00750D68" w:rsidP="002B6725" w:rsidRDefault="002B4D4C">
      <w:pPr>
        <w:pStyle w:val="JuList"/>
        <w:rPr>
          <w:lang w:val="en-GB"/>
        </w:rPr>
      </w:pPr>
      <w:r w:rsidRPr="002B6725">
        <w:rPr>
          <w:lang w:val="en-GB"/>
        </w:rPr>
        <w:t>6</w:t>
      </w:r>
      <w:r w:rsidRPr="002B6725" w:rsidR="00014566">
        <w:rPr>
          <w:lang w:val="en-GB"/>
        </w:rPr>
        <w:t>.  </w:t>
      </w:r>
      <w:r w:rsidRPr="002B6725" w:rsidR="00014566">
        <w:rPr>
          <w:i/>
          <w:lang w:val="en-GB"/>
        </w:rPr>
        <w:t>Holds</w:t>
      </w:r>
    </w:p>
    <w:p w:rsidRPr="002B6725" w:rsidR="00014566" w:rsidP="002B6725" w:rsidRDefault="00014566">
      <w:pPr>
        <w:pStyle w:val="JuLista"/>
        <w:rPr>
          <w:lang w:val="en-GB"/>
        </w:rPr>
      </w:pPr>
      <w:r w:rsidRPr="002B6725">
        <w:rPr>
          <w:lang w:val="en-GB"/>
        </w:rPr>
        <w:t xml:space="preserve">(a)  that the respondent State is to pay the applicant, within three </w:t>
      </w:r>
      <w:r w:rsidRPr="002B6725" w:rsidR="00D71B1F">
        <w:rPr>
          <w:lang w:val="en-GB"/>
        </w:rPr>
        <w:t>months from</w:t>
      </w:r>
      <w:r w:rsidRPr="002B6725" w:rsidR="00157B2E">
        <w:rPr>
          <w:lang w:val="en-GB"/>
        </w:rPr>
        <w:t xml:space="preserve"> the date on which the judgment becomes final</w:t>
      </w:r>
      <w:r w:rsidRPr="002B6725" w:rsidR="00D71B1F">
        <w:rPr>
          <w:lang w:val="en-GB"/>
        </w:rPr>
        <w:t>,</w:t>
      </w:r>
      <w:r w:rsidRPr="002B6725" w:rsidR="00157B2E">
        <w:rPr>
          <w:lang w:val="en-GB"/>
        </w:rPr>
        <w:t xml:space="preserve"> in accordance with Article 44 § 2 of the Convention,</w:t>
      </w:r>
      <w:r w:rsidRPr="002B6725">
        <w:rPr>
          <w:lang w:val="en-GB"/>
        </w:rPr>
        <w:t xml:space="preserve"> </w:t>
      </w:r>
      <w:r w:rsidRPr="002B6725" w:rsidR="00616E2D">
        <w:t xml:space="preserve">EUR </w:t>
      </w:r>
      <w:r w:rsidRPr="002B6725" w:rsidR="005310AF">
        <w:t>4</w:t>
      </w:r>
      <w:r w:rsidRPr="002B6725" w:rsidR="00616E2D">
        <w:t>,000 (</w:t>
      </w:r>
      <w:r w:rsidRPr="002B6725" w:rsidR="005310AF">
        <w:t>four</w:t>
      </w:r>
      <w:r w:rsidRPr="002B6725" w:rsidR="00616E2D">
        <w:t xml:space="preserve"> thousand euros), plus any tax that may be chargeable, in respect of non-pecuniary damage</w:t>
      </w:r>
      <w:r w:rsidRPr="002B6725">
        <w:rPr>
          <w:lang w:val="en-GB"/>
        </w:rPr>
        <w:t>,</w:t>
      </w:r>
      <w:r w:rsidRPr="002B6725">
        <w:rPr>
          <w:b/>
          <w:lang w:val="en-GB"/>
        </w:rPr>
        <w:t xml:space="preserve"> </w:t>
      </w:r>
      <w:r w:rsidRPr="002B6725">
        <w:rPr>
          <w:lang w:val="en-GB"/>
        </w:rPr>
        <w:t xml:space="preserve">to be converted into </w:t>
      </w:r>
      <w:r w:rsidRPr="002B6725">
        <w:rPr>
          <w:color w:val="000000"/>
          <w:lang w:val="en-GB"/>
        </w:rPr>
        <w:t>the currency of the respondent State</w:t>
      </w:r>
      <w:r w:rsidRPr="002B6725" w:rsidR="00616E2D">
        <w:rPr>
          <w:b/>
          <w:color w:val="000000"/>
          <w:lang w:val="en-GB"/>
        </w:rPr>
        <w:t xml:space="preserve"> </w:t>
      </w:r>
      <w:r w:rsidRPr="002B6725">
        <w:rPr>
          <w:lang w:val="en-GB"/>
        </w:rPr>
        <w:t>at the rate applicable at the date of settlement;</w:t>
      </w:r>
    </w:p>
    <w:p w:rsidRPr="002B6725" w:rsidR="00014566" w:rsidP="002B6725" w:rsidRDefault="00014566">
      <w:pPr>
        <w:pStyle w:val="JuLista"/>
        <w:rPr>
          <w:lang w:val="en-GB"/>
        </w:rPr>
      </w:pPr>
      <w:r w:rsidRPr="002B6725">
        <w:rPr>
          <w:lang w:val="en-GB"/>
        </w:rPr>
        <w:t>(b)  that from the expiry of the above-mentioned three months until settlement simple interest shall be payable on the above amount at a rate equal to the marginal lending rate of the European Central Bank during the default period plus three percentage points;</w:t>
      </w:r>
    </w:p>
    <w:p w:rsidRPr="002B6725" w:rsidR="00014566" w:rsidP="002B6725" w:rsidRDefault="00014566">
      <w:pPr>
        <w:pStyle w:val="JuList"/>
        <w:rPr>
          <w:lang w:val="en-GB"/>
        </w:rPr>
      </w:pPr>
    </w:p>
    <w:p w:rsidRPr="002B6725" w:rsidR="00014566" w:rsidP="002B6725" w:rsidRDefault="002B4D4C">
      <w:pPr>
        <w:pStyle w:val="JuList"/>
        <w:keepNext/>
        <w:rPr>
          <w:lang w:val="en-GB"/>
        </w:rPr>
      </w:pPr>
      <w:r w:rsidRPr="002B6725">
        <w:rPr>
          <w:lang w:val="en-GB"/>
        </w:rPr>
        <w:t>7</w:t>
      </w:r>
      <w:r w:rsidRPr="002B6725" w:rsidR="00014566">
        <w:rPr>
          <w:lang w:val="en-GB"/>
        </w:rPr>
        <w:t>.  </w:t>
      </w:r>
      <w:r w:rsidRPr="002B6725" w:rsidR="00014566">
        <w:rPr>
          <w:i/>
          <w:lang w:val="en-GB"/>
        </w:rPr>
        <w:t>Dismisses</w:t>
      </w:r>
      <w:r w:rsidRPr="002B6725" w:rsidR="00014566">
        <w:rPr>
          <w:color w:val="000000"/>
          <w:lang w:val="en-GB"/>
        </w:rPr>
        <w:t xml:space="preserve"> </w:t>
      </w:r>
      <w:r w:rsidRPr="002B6725" w:rsidR="00014566">
        <w:rPr>
          <w:lang w:val="en-GB"/>
        </w:rPr>
        <w:t>the remainder of the applicant</w:t>
      </w:r>
      <w:r w:rsidRPr="002B6725" w:rsidR="002B6725">
        <w:rPr>
          <w:lang w:val="en-GB"/>
        </w:rPr>
        <w:t>’</w:t>
      </w:r>
      <w:r w:rsidRPr="002B6725" w:rsidR="00157B2E">
        <w:rPr>
          <w:lang w:val="en-GB"/>
        </w:rPr>
        <w:t>s</w:t>
      </w:r>
      <w:r w:rsidRPr="002B6725" w:rsidR="00014566">
        <w:rPr>
          <w:lang w:val="en-GB"/>
        </w:rPr>
        <w:t xml:space="preserve"> claim for just satisfaction.</w:t>
      </w:r>
    </w:p>
    <w:p w:rsidRPr="002B6725" w:rsidR="00014566" w:rsidP="002B6725" w:rsidRDefault="00014566">
      <w:pPr>
        <w:pStyle w:val="JuParaLast"/>
        <w:keepLines w:val="0"/>
        <w:rPr>
          <w:lang w:val="en-GB"/>
        </w:rPr>
      </w:pPr>
      <w:r w:rsidRPr="002B6725">
        <w:rPr>
          <w:lang w:val="en-GB"/>
        </w:rPr>
        <w:t xml:space="preserve">Done in English, and notified in writing on </w:t>
      </w:r>
      <w:r w:rsidRPr="002B6725" w:rsidR="00240499">
        <w:rPr>
          <w:lang w:val="en-GB"/>
        </w:rPr>
        <w:t>2 March 2017</w:t>
      </w:r>
      <w:r w:rsidRPr="002B6725">
        <w:rPr>
          <w:lang w:val="en-GB"/>
        </w:rPr>
        <w:t>, pursuant to Rule 77 §§ 2 and 3 of the Rules of Court.</w:t>
      </w:r>
    </w:p>
    <w:p w:rsidRPr="002B6725" w:rsidR="00014566" w:rsidP="002B6725" w:rsidRDefault="00014566">
      <w:pPr>
        <w:pStyle w:val="JuSigned"/>
        <w:keepNext/>
        <w:rPr>
          <w:lang w:val="de-DE"/>
        </w:rPr>
      </w:pPr>
      <w:r w:rsidRPr="002B6725">
        <w:rPr>
          <w:lang w:val="en-GB"/>
        </w:rPr>
        <w:tab/>
      </w:r>
      <w:r w:rsidRPr="002B6725" w:rsidR="00240499">
        <w:rPr>
          <w:lang w:val="de-DE"/>
        </w:rPr>
        <w:t>Milan Bla</w:t>
      </w:r>
      <w:r w:rsidRPr="002B6725" w:rsidR="00240499">
        <w:rPr>
          <w:rFonts w:cstheme="minorHAnsi"/>
          <w:lang w:val="de-DE"/>
        </w:rPr>
        <w:t>š</w:t>
      </w:r>
      <w:r w:rsidRPr="002B6725" w:rsidR="00240499">
        <w:rPr>
          <w:lang w:val="de-DE"/>
        </w:rPr>
        <w:t>ko</w:t>
      </w:r>
      <w:r w:rsidRPr="002B6725">
        <w:rPr>
          <w:lang w:val="de-DE"/>
        </w:rPr>
        <w:tab/>
      </w:r>
      <w:r w:rsidRPr="002B6725" w:rsidR="00157B2E">
        <w:rPr>
          <w:szCs w:val="24"/>
          <w:lang w:val="de-DE"/>
        </w:rPr>
        <w:t>Angelika Nußberger</w:t>
      </w:r>
      <w:r w:rsidRPr="002B6725" w:rsidR="00E1557C">
        <w:rPr>
          <w:szCs w:val="24"/>
          <w:lang w:val="de-DE"/>
        </w:rPr>
        <w:br/>
      </w:r>
      <w:r w:rsidRPr="002B6725">
        <w:rPr>
          <w:lang w:val="de-DE"/>
        </w:rPr>
        <w:tab/>
      </w:r>
      <w:r w:rsidRPr="002B6725" w:rsidR="00240499">
        <w:rPr>
          <w:lang w:val="de-DE"/>
        </w:rPr>
        <w:t xml:space="preserve">Deputy </w:t>
      </w:r>
      <w:r w:rsidRPr="002B6725" w:rsidR="00157B2E">
        <w:rPr>
          <w:iCs/>
          <w:lang w:val="de-DE"/>
        </w:rPr>
        <w:t>Registrar</w:t>
      </w:r>
      <w:r w:rsidRPr="002B6725">
        <w:rPr>
          <w:lang w:val="de-DE"/>
        </w:rPr>
        <w:tab/>
        <w:t>President</w:t>
      </w:r>
    </w:p>
    <w:sectPr w:rsidRPr="002B6725" w:rsidR="00014566" w:rsidSect="006444A1">
      <w:headerReference w:type="even" r:id="rId11"/>
      <w:headerReference w:type="default" r:id="rId12"/>
      <w:footnotePr>
        <w:numRestart w:val="eachSect"/>
      </w:footnotePr>
      <w:pgSz w:w="11906" w:h="16838" w:code="9"/>
      <w:pgMar w:top="2274" w:right="2274" w:bottom="2274" w:left="2274" w:header="1701"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44A1" w:rsidRPr="003A441D" w:rsidRDefault="006444A1" w:rsidP="00014566">
      <w:pPr>
        <w:rPr>
          <w:lang w:val="en-GB"/>
        </w:rPr>
      </w:pPr>
      <w:r w:rsidRPr="003A441D">
        <w:rPr>
          <w:lang w:val="en-GB"/>
        </w:rPr>
        <w:separator/>
      </w:r>
    </w:p>
  </w:endnote>
  <w:endnote w:type="continuationSeparator" w:id="0">
    <w:p w:rsidR="006444A1" w:rsidRPr="003A441D" w:rsidRDefault="006444A1" w:rsidP="00014566">
      <w:pPr>
        <w:rPr>
          <w:lang w:val="en-GB"/>
        </w:rPr>
      </w:pPr>
      <w:r w:rsidRPr="003A441D">
        <w:rPr>
          <w:lang w:val="en-GB"/>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4A1" w:rsidRPr="00150BFA" w:rsidRDefault="006444A1" w:rsidP="006444A1">
    <w:pPr>
      <w:jc w:val="center"/>
    </w:pPr>
    <w:r>
      <w:rPr>
        <w:noProof/>
        <w:lang w:eastAsia="ja-JP"/>
      </w:rPr>
      <w:drawing>
        <wp:inline distT="0" distB="0" distL="0" distR="0" wp14:anchorId="3CD271F1" wp14:editId="706A03B6">
          <wp:extent cx="771525" cy="619125"/>
          <wp:effectExtent l="0" t="0" r="9525" b="9525"/>
          <wp:docPr id="27" name="Picture 27"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6444A1" w:rsidRDefault="006444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44A1" w:rsidRPr="003A441D" w:rsidRDefault="006444A1" w:rsidP="00014566">
      <w:pPr>
        <w:rPr>
          <w:lang w:val="en-GB"/>
        </w:rPr>
      </w:pPr>
      <w:r w:rsidRPr="003A441D">
        <w:rPr>
          <w:lang w:val="en-GB"/>
        </w:rPr>
        <w:separator/>
      </w:r>
    </w:p>
  </w:footnote>
  <w:footnote w:type="continuationSeparator" w:id="0">
    <w:p w:rsidR="006444A1" w:rsidRPr="003A441D" w:rsidRDefault="006444A1" w:rsidP="00014566">
      <w:pPr>
        <w:rPr>
          <w:lang w:val="en-GB"/>
        </w:rPr>
      </w:pPr>
      <w:r w:rsidRPr="003A441D">
        <w:rPr>
          <w:lang w:val="en-GB"/>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4A1" w:rsidRPr="003A441D" w:rsidRDefault="006444A1" w:rsidP="006444A1">
    <w:pPr>
      <w:pStyle w:val="ECHRHeader"/>
      <w:jc w:val="center"/>
      <w:rPr>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4A1" w:rsidRPr="00A45145" w:rsidRDefault="006444A1" w:rsidP="006444A1">
    <w:pPr>
      <w:jc w:val="center"/>
    </w:pPr>
    <w:r>
      <w:rPr>
        <w:noProof/>
        <w:lang w:eastAsia="ja-JP"/>
      </w:rPr>
      <w:drawing>
        <wp:inline distT="0" distB="0" distL="0" distR="0" wp14:anchorId="20AD9E78" wp14:editId="3FA5203C">
          <wp:extent cx="2962275" cy="1219200"/>
          <wp:effectExtent l="0" t="0" r="9525" b="0"/>
          <wp:docPr id="14" name="Picture 14"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6444A1" w:rsidRDefault="006444A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4A1" w:rsidRPr="003A441D" w:rsidRDefault="006444A1" w:rsidP="00EE1DA9">
    <w:pPr>
      <w:pStyle w:val="ECHRHeader"/>
      <w:rPr>
        <w:lang w:val="en-GB"/>
      </w:rPr>
    </w:pP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2B6725">
      <w:rPr>
        <w:rStyle w:val="PageNumber"/>
        <w:noProof/>
        <w:szCs w:val="18"/>
        <w:lang w:val="en-GB"/>
      </w:rPr>
      <w:t>8</w:t>
    </w:r>
    <w:r>
      <w:rPr>
        <w:rStyle w:val="PageNumber"/>
        <w:szCs w:val="18"/>
        <w:lang w:val="en-GB"/>
      </w:rPr>
      <w:fldChar w:fldCharType="end"/>
    </w:r>
    <w:r w:rsidRPr="003A441D">
      <w:rPr>
        <w:lang w:val="en-GB"/>
      </w:rPr>
      <w:tab/>
    </w:r>
    <w:r>
      <w:rPr>
        <w:lang w:val="en-GB"/>
      </w:rPr>
      <w:t>MOROZ v. UKRAINE</w:t>
    </w:r>
    <w:r w:rsidRPr="003A441D">
      <w:rPr>
        <w:lang w:val="en-GB"/>
      </w:rPr>
      <w:t xml:space="preserve"> </w:t>
    </w:r>
    <w:r>
      <w:rPr>
        <w:lang w:val="en-GB"/>
      </w:rPr>
      <w:t>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4A1" w:rsidRPr="003A441D" w:rsidRDefault="006444A1" w:rsidP="00D60D87">
    <w:pPr>
      <w:pStyle w:val="ECHRHeader"/>
      <w:rPr>
        <w:lang w:val="en-GB"/>
      </w:rPr>
    </w:pPr>
    <w:r w:rsidRPr="003A441D">
      <w:rPr>
        <w:lang w:val="en-GB"/>
      </w:rPr>
      <w:tab/>
    </w:r>
    <w:r>
      <w:rPr>
        <w:lang w:val="en-GB"/>
      </w:rPr>
      <w:t>MOROZ v. UKRAINE</w:t>
    </w:r>
    <w:r w:rsidRPr="003A441D">
      <w:rPr>
        <w:lang w:val="en-GB"/>
      </w:rPr>
      <w:t xml:space="preserve"> </w:t>
    </w:r>
    <w:r>
      <w:rPr>
        <w:lang w:val="en-GB"/>
      </w:rPr>
      <w:t>JUDGMENT</w:t>
    </w:r>
    <w:r w:rsidRPr="003A441D">
      <w:rPr>
        <w:lang w:val="en-GB"/>
      </w:rPr>
      <w:tab/>
    </w: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2B6725">
      <w:rPr>
        <w:rStyle w:val="PageNumber"/>
        <w:noProof/>
        <w:szCs w:val="18"/>
        <w:lang w:val="en-GB"/>
      </w:rPr>
      <w:t>7</w:t>
    </w:r>
    <w:r>
      <w:rPr>
        <w:rStyle w:val="PageNumber"/>
        <w:szCs w:val="18"/>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0180FE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90ECFB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C5B8BEFC"/>
    <w:lvl w:ilvl="0">
      <w:start w:val="1"/>
      <w:numFmt w:val="decimal"/>
      <w:pStyle w:val="ListNumber3"/>
      <w:lvlText w:val="%1."/>
      <w:lvlJc w:val="left"/>
      <w:pPr>
        <w:tabs>
          <w:tab w:val="num" w:pos="926"/>
        </w:tabs>
        <w:ind w:left="926" w:hanging="360"/>
      </w:pPr>
    </w:lvl>
  </w:abstractNum>
  <w:abstractNum w:abstractNumId="3">
    <w:nsid w:val="FFFFFF7F"/>
    <w:multiLevelType w:val="singleLevel"/>
    <w:tmpl w:val="6F1CF73A"/>
    <w:lvl w:ilvl="0">
      <w:start w:val="1"/>
      <w:numFmt w:val="decimal"/>
      <w:pStyle w:val="ListNumber2"/>
      <w:lvlText w:val="%1."/>
      <w:lvlJc w:val="left"/>
      <w:pPr>
        <w:tabs>
          <w:tab w:val="num" w:pos="643"/>
        </w:tabs>
        <w:ind w:left="643" w:hanging="360"/>
      </w:pPr>
    </w:lvl>
  </w:abstractNum>
  <w:abstractNum w:abstractNumId="4">
    <w:nsid w:val="FFFFFF80"/>
    <w:multiLevelType w:val="singleLevel"/>
    <w:tmpl w:val="2380266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0C2C34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82EC3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66B2C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2760110"/>
    <w:lvl w:ilvl="0">
      <w:start w:val="1"/>
      <w:numFmt w:val="decimal"/>
      <w:pStyle w:val="ListNumber"/>
      <w:lvlText w:val="%1."/>
      <w:lvlJc w:val="left"/>
      <w:pPr>
        <w:tabs>
          <w:tab w:val="num" w:pos="360"/>
        </w:tabs>
        <w:ind w:left="360" w:hanging="360"/>
      </w:pPr>
    </w:lvl>
  </w:abstractNum>
  <w:abstractNum w:abstractNumId="9">
    <w:nsid w:val="0066004F"/>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63F153D"/>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CF4607C"/>
    <w:multiLevelType w:val="hybridMultilevel"/>
    <w:tmpl w:val="A3A44528"/>
    <w:lvl w:ilvl="0" w:tplc="AAD427EA">
      <w:numFmt w:val="bullet"/>
      <w:lvlText w:val="-"/>
      <w:lvlJc w:val="left"/>
      <w:pPr>
        <w:ind w:left="720" w:hanging="360"/>
      </w:pPr>
      <w:rPr>
        <w:rFonts w:ascii="Times New Roman" w:eastAsia="MS Mincho"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32A35589"/>
    <w:multiLevelType w:val="hybridMultilevel"/>
    <w:tmpl w:val="4B36C2E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3">
    <w:nsid w:val="5A6F260B"/>
    <w:multiLevelType w:val="hybridMultilevel"/>
    <w:tmpl w:val="468490EA"/>
    <w:lvl w:ilvl="0" w:tplc="C888A962">
      <w:start w:val="1"/>
      <w:numFmt w:val="decimal"/>
      <w:lvlText w:val="%1."/>
      <w:lvlJc w:val="left"/>
      <w:pPr>
        <w:tabs>
          <w:tab w:val="num" w:pos="360"/>
        </w:tabs>
        <w:ind w:left="360" w:hanging="360"/>
      </w:pPr>
      <w:rPr>
        <w:rFonts w:ascii="Times New Roman" w:eastAsia="MS Mincho" w:hAnsi="Times New Roman" w:cs="Times New Roman"/>
        <w:b w:val="0"/>
        <w:lang w:val="en-US"/>
      </w:rPr>
    </w:lvl>
    <w:lvl w:ilvl="1" w:tplc="04190001">
      <w:start w:val="1"/>
      <w:numFmt w:val="bullet"/>
      <w:lvlText w:val=""/>
      <w:lvlJc w:val="left"/>
      <w:pPr>
        <w:tabs>
          <w:tab w:val="num" w:pos="1440"/>
        </w:tabs>
        <w:ind w:left="1440" w:hanging="360"/>
      </w:pPr>
      <w:rPr>
        <w:rFonts w:ascii="Symbol" w:hAnsi="Symbol" w:hint="default"/>
      </w:rPr>
    </w:lvl>
    <w:lvl w:ilvl="2" w:tplc="B94C0B4A">
      <w:start w:val="20"/>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5">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7737461D"/>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0"/>
  </w:num>
  <w:num w:numId="3">
    <w:abstractNumId w:val="9"/>
  </w:num>
  <w:num w:numId="4">
    <w:abstractNumId w:val="16"/>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3"/>
  </w:num>
  <w:num w:numId="16">
    <w:abstractNumId w:val="11"/>
  </w:num>
  <w:num w:numId="17">
    <w:abstractNumId w:val="12"/>
  </w:num>
  <w:num w:numId="18">
    <w:abstractNumId w:val="15"/>
  </w:num>
  <w:num w:numId="19">
    <w:abstractNumId w:val="15"/>
  </w:num>
  <w:num w:numId="20">
    <w:abstractNumId w:val="15"/>
  </w:num>
  <w:num w:numId="21">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NatAutre" w:val="0"/>
    <w:docVar w:name="DocVarPREMATURE" w:val="0"/>
    <w:docVar w:name="EMM" w:val="0"/>
    <w:docVar w:name="ETRANSMISSION" w:val="BY E-TRANSMISSION ONLY"/>
    <w:docVar w:name="L4_1Annex" w:val="0"/>
    <w:docVar w:name="L4_1Anonymity" w:val="0"/>
    <w:docVar w:name="NBEMMDOC" w:val="0"/>
    <w:docVar w:name="SignForeName" w:val="0"/>
  </w:docVars>
  <w:rsids>
    <w:rsidRoot w:val="00157B2E"/>
    <w:rsid w:val="000010ED"/>
    <w:rsid w:val="00001A23"/>
    <w:rsid w:val="000041F8"/>
    <w:rsid w:val="000042A8"/>
    <w:rsid w:val="00004308"/>
    <w:rsid w:val="00005BF0"/>
    <w:rsid w:val="00007154"/>
    <w:rsid w:val="000103AE"/>
    <w:rsid w:val="00010896"/>
    <w:rsid w:val="00011D69"/>
    <w:rsid w:val="00012AD3"/>
    <w:rsid w:val="00012B87"/>
    <w:rsid w:val="00014566"/>
    <w:rsid w:val="00015C2D"/>
    <w:rsid w:val="00015F00"/>
    <w:rsid w:val="000207E6"/>
    <w:rsid w:val="00022C1D"/>
    <w:rsid w:val="000253AB"/>
    <w:rsid w:val="000310CD"/>
    <w:rsid w:val="00034987"/>
    <w:rsid w:val="000349EB"/>
    <w:rsid w:val="000350E3"/>
    <w:rsid w:val="00035C6A"/>
    <w:rsid w:val="000362B4"/>
    <w:rsid w:val="000366A1"/>
    <w:rsid w:val="00036FF7"/>
    <w:rsid w:val="0004307C"/>
    <w:rsid w:val="00044650"/>
    <w:rsid w:val="00044F88"/>
    <w:rsid w:val="00046126"/>
    <w:rsid w:val="00046246"/>
    <w:rsid w:val="000508B7"/>
    <w:rsid w:val="00053391"/>
    <w:rsid w:val="000564F8"/>
    <w:rsid w:val="000602DF"/>
    <w:rsid w:val="00061B05"/>
    <w:rsid w:val="00062973"/>
    <w:rsid w:val="00062D5D"/>
    <w:rsid w:val="000632D5"/>
    <w:rsid w:val="000644EE"/>
    <w:rsid w:val="00066F5E"/>
    <w:rsid w:val="00071ABC"/>
    <w:rsid w:val="00072280"/>
    <w:rsid w:val="00072936"/>
    <w:rsid w:val="00073869"/>
    <w:rsid w:val="00074518"/>
    <w:rsid w:val="000779D6"/>
    <w:rsid w:val="000856D7"/>
    <w:rsid w:val="00087EA0"/>
    <w:rsid w:val="00090EC0"/>
    <w:rsid w:val="00092126"/>
    <w:rsid w:val="000925AD"/>
    <w:rsid w:val="0009274B"/>
    <w:rsid w:val="000944BB"/>
    <w:rsid w:val="000A0363"/>
    <w:rsid w:val="000A0E80"/>
    <w:rsid w:val="000A24EB"/>
    <w:rsid w:val="000A2E83"/>
    <w:rsid w:val="000A37A2"/>
    <w:rsid w:val="000A414B"/>
    <w:rsid w:val="000A42B9"/>
    <w:rsid w:val="000A4FE5"/>
    <w:rsid w:val="000B038D"/>
    <w:rsid w:val="000B6923"/>
    <w:rsid w:val="000B7081"/>
    <w:rsid w:val="000C033C"/>
    <w:rsid w:val="000C0F50"/>
    <w:rsid w:val="000C3B86"/>
    <w:rsid w:val="000C51CD"/>
    <w:rsid w:val="000C5F3C"/>
    <w:rsid w:val="000C6C55"/>
    <w:rsid w:val="000C6DCC"/>
    <w:rsid w:val="000C7DCA"/>
    <w:rsid w:val="000D0295"/>
    <w:rsid w:val="000D2A0D"/>
    <w:rsid w:val="000D47AA"/>
    <w:rsid w:val="000D5E7F"/>
    <w:rsid w:val="000D6732"/>
    <w:rsid w:val="000D721F"/>
    <w:rsid w:val="000E069B"/>
    <w:rsid w:val="000E0E82"/>
    <w:rsid w:val="000E1DC5"/>
    <w:rsid w:val="000E223F"/>
    <w:rsid w:val="000E35AC"/>
    <w:rsid w:val="000E3E91"/>
    <w:rsid w:val="000E5110"/>
    <w:rsid w:val="000E5740"/>
    <w:rsid w:val="000E7D45"/>
    <w:rsid w:val="000F010C"/>
    <w:rsid w:val="000F1ACF"/>
    <w:rsid w:val="000F3134"/>
    <w:rsid w:val="000F72D2"/>
    <w:rsid w:val="000F7851"/>
    <w:rsid w:val="00104E23"/>
    <w:rsid w:val="00104FF4"/>
    <w:rsid w:val="00110AAD"/>
    <w:rsid w:val="00111B0C"/>
    <w:rsid w:val="00116A06"/>
    <w:rsid w:val="00117B7E"/>
    <w:rsid w:val="00120D6C"/>
    <w:rsid w:val="00120D7D"/>
    <w:rsid w:val="00122C6F"/>
    <w:rsid w:val="00124047"/>
    <w:rsid w:val="0012459D"/>
    <w:rsid w:val="0012499C"/>
    <w:rsid w:val="001257EC"/>
    <w:rsid w:val="001317A7"/>
    <w:rsid w:val="00131C53"/>
    <w:rsid w:val="00132C6A"/>
    <w:rsid w:val="0013390D"/>
    <w:rsid w:val="00133D33"/>
    <w:rsid w:val="00134D64"/>
    <w:rsid w:val="00135A30"/>
    <w:rsid w:val="0013612C"/>
    <w:rsid w:val="00137FF6"/>
    <w:rsid w:val="001407CB"/>
    <w:rsid w:val="00141650"/>
    <w:rsid w:val="001512EC"/>
    <w:rsid w:val="00154402"/>
    <w:rsid w:val="001548C0"/>
    <w:rsid w:val="00157B2E"/>
    <w:rsid w:val="00160B6E"/>
    <w:rsid w:val="00160E36"/>
    <w:rsid w:val="00161C34"/>
    <w:rsid w:val="00162A12"/>
    <w:rsid w:val="00162E8C"/>
    <w:rsid w:val="00163663"/>
    <w:rsid w:val="00166530"/>
    <w:rsid w:val="0016669A"/>
    <w:rsid w:val="00171B07"/>
    <w:rsid w:val="00180FA0"/>
    <w:rsid w:val="001812D2"/>
    <w:rsid w:val="001832BD"/>
    <w:rsid w:val="0018503B"/>
    <w:rsid w:val="00186111"/>
    <w:rsid w:val="00191980"/>
    <w:rsid w:val="001943B5"/>
    <w:rsid w:val="00195134"/>
    <w:rsid w:val="001A145B"/>
    <w:rsid w:val="001A3528"/>
    <w:rsid w:val="001A3A07"/>
    <w:rsid w:val="001A674C"/>
    <w:rsid w:val="001A6DC8"/>
    <w:rsid w:val="001B3ACE"/>
    <w:rsid w:val="001B3B24"/>
    <w:rsid w:val="001B4025"/>
    <w:rsid w:val="001C0F98"/>
    <w:rsid w:val="001C2A42"/>
    <w:rsid w:val="001C2D30"/>
    <w:rsid w:val="001D0D6A"/>
    <w:rsid w:val="001D22EF"/>
    <w:rsid w:val="001D63ED"/>
    <w:rsid w:val="001D7348"/>
    <w:rsid w:val="001D7A15"/>
    <w:rsid w:val="001E035B"/>
    <w:rsid w:val="001E0961"/>
    <w:rsid w:val="001E0C48"/>
    <w:rsid w:val="001E3EAE"/>
    <w:rsid w:val="001E4059"/>
    <w:rsid w:val="001E4D42"/>
    <w:rsid w:val="001E5348"/>
    <w:rsid w:val="001E6AEF"/>
    <w:rsid w:val="001E6F32"/>
    <w:rsid w:val="001F2145"/>
    <w:rsid w:val="001F4B1E"/>
    <w:rsid w:val="001F4E61"/>
    <w:rsid w:val="001F6262"/>
    <w:rsid w:val="001F67B0"/>
    <w:rsid w:val="001F7463"/>
    <w:rsid w:val="001F782B"/>
    <w:rsid w:val="001F7B3D"/>
    <w:rsid w:val="002027FD"/>
    <w:rsid w:val="00202A1F"/>
    <w:rsid w:val="00205F9F"/>
    <w:rsid w:val="00207B2D"/>
    <w:rsid w:val="00210338"/>
    <w:rsid w:val="002115FC"/>
    <w:rsid w:val="002128EC"/>
    <w:rsid w:val="002133F8"/>
    <w:rsid w:val="0021423C"/>
    <w:rsid w:val="002233E3"/>
    <w:rsid w:val="00224516"/>
    <w:rsid w:val="00224616"/>
    <w:rsid w:val="0022720A"/>
    <w:rsid w:val="00230D00"/>
    <w:rsid w:val="00231DF7"/>
    <w:rsid w:val="00231FD1"/>
    <w:rsid w:val="002339E0"/>
    <w:rsid w:val="00233CF8"/>
    <w:rsid w:val="0023575D"/>
    <w:rsid w:val="00237148"/>
    <w:rsid w:val="00237791"/>
    <w:rsid w:val="00237E7D"/>
    <w:rsid w:val="00240499"/>
    <w:rsid w:val="0024222D"/>
    <w:rsid w:val="00242275"/>
    <w:rsid w:val="00244B0E"/>
    <w:rsid w:val="00244F6C"/>
    <w:rsid w:val="0024616D"/>
    <w:rsid w:val="0024624A"/>
    <w:rsid w:val="002532C5"/>
    <w:rsid w:val="00253CBB"/>
    <w:rsid w:val="00253EFD"/>
    <w:rsid w:val="00255AA2"/>
    <w:rsid w:val="00256987"/>
    <w:rsid w:val="00256B9D"/>
    <w:rsid w:val="00260C03"/>
    <w:rsid w:val="00264857"/>
    <w:rsid w:val="0026540E"/>
    <w:rsid w:val="0027225C"/>
    <w:rsid w:val="00273D1F"/>
    <w:rsid w:val="00275123"/>
    <w:rsid w:val="00280863"/>
    <w:rsid w:val="002817A0"/>
    <w:rsid w:val="00282240"/>
    <w:rsid w:val="0028572A"/>
    <w:rsid w:val="00291091"/>
    <w:rsid w:val="00291A5D"/>
    <w:rsid w:val="00293D3A"/>
    <w:rsid w:val="00294627"/>
    <w:rsid w:val="0029465D"/>
    <w:rsid w:val="002948AD"/>
    <w:rsid w:val="00294C05"/>
    <w:rsid w:val="00294C92"/>
    <w:rsid w:val="002A01CC"/>
    <w:rsid w:val="002A032C"/>
    <w:rsid w:val="002A61B1"/>
    <w:rsid w:val="002A61C0"/>
    <w:rsid w:val="002A663C"/>
    <w:rsid w:val="002B1E6C"/>
    <w:rsid w:val="002B2D66"/>
    <w:rsid w:val="002B444B"/>
    <w:rsid w:val="002B4D4C"/>
    <w:rsid w:val="002B537D"/>
    <w:rsid w:val="002B5887"/>
    <w:rsid w:val="002B6725"/>
    <w:rsid w:val="002C0692"/>
    <w:rsid w:val="002C0E27"/>
    <w:rsid w:val="002C24C9"/>
    <w:rsid w:val="002C3040"/>
    <w:rsid w:val="002D022D"/>
    <w:rsid w:val="002D24BB"/>
    <w:rsid w:val="002D41F5"/>
    <w:rsid w:val="002D4648"/>
    <w:rsid w:val="002D4BA0"/>
    <w:rsid w:val="002D52E4"/>
    <w:rsid w:val="002E2E64"/>
    <w:rsid w:val="002E4619"/>
    <w:rsid w:val="002E6DE0"/>
    <w:rsid w:val="002F0153"/>
    <w:rsid w:val="002F0380"/>
    <w:rsid w:val="002F1E90"/>
    <w:rsid w:val="002F2AF7"/>
    <w:rsid w:val="002F387E"/>
    <w:rsid w:val="002F7E1C"/>
    <w:rsid w:val="00301A75"/>
    <w:rsid w:val="00302EDA"/>
    <w:rsid w:val="00302F70"/>
    <w:rsid w:val="0030336F"/>
    <w:rsid w:val="0030375E"/>
    <w:rsid w:val="00312A30"/>
    <w:rsid w:val="0031326E"/>
    <w:rsid w:val="00317BF3"/>
    <w:rsid w:val="00320F72"/>
    <w:rsid w:val="003223BD"/>
    <w:rsid w:val="0032463E"/>
    <w:rsid w:val="003247F5"/>
    <w:rsid w:val="00324D31"/>
    <w:rsid w:val="00326007"/>
    <w:rsid w:val="00326224"/>
    <w:rsid w:val="00326577"/>
    <w:rsid w:val="0032676F"/>
    <w:rsid w:val="003303A9"/>
    <w:rsid w:val="00337EE4"/>
    <w:rsid w:val="00340FFD"/>
    <w:rsid w:val="0034515C"/>
    <w:rsid w:val="00347BE2"/>
    <w:rsid w:val="003506B1"/>
    <w:rsid w:val="0035450C"/>
    <w:rsid w:val="00356AC7"/>
    <w:rsid w:val="003604EF"/>
    <w:rsid w:val="003609FA"/>
    <w:rsid w:val="0036166D"/>
    <w:rsid w:val="00367CB7"/>
    <w:rsid w:val="00370F96"/>
    <w:rsid w:val="003710C8"/>
    <w:rsid w:val="003750BE"/>
    <w:rsid w:val="00387B9D"/>
    <w:rsid w:val="0039070C"/>
    <w:rsid w:val="0039364F"/>
    <w:rsid w:val="00396686"/>
    <w:rsid w:val="0039778E"/>
    <w:rsid w:val="003A441D"/>
    <w:rsid w:val="003A576E"/>
    <w:rsid w:val="003A6A32"/>
    <w:rsid w:val="003B3B84"/>
    <w:rsid w:val="003B3F89"/>
    <w:rsid w:val="003B4941"/>
    <w:rsid w:val="003C07E6"/>
    <w:rsid w:val="003C1776"/>
    <w:rsid w:val="003C2865"/>
    <w:rsid w:val="003C3B6B"/>
    <w:rsid w:val="003C3ED8"/>
    <w:rsid w:val="003C5714"/>
    <w:rsid w:val="003C6B9F"/>
    <w:rsid w:val="003C6E2A"/>
    <w:rsid w:val="003D0299"/>
    <w:rsid w:val="003D262E"/>
    <w:rsid w:val="003D4AA2"/>
    <w:rsid w:val="003D72F2"/>
    <w:rsid w:val="003E203D"/>
    <w:rsid w:val="003E2D49"/>
    <w:rsid w:val="003E58CE"/>
    <w:rsid w:val="003E6B35"/>
    <w:rsid w:val="003E6D80"/>
    <w:rsid w:val="003F05FA"/>
    <w:rsid w:val="003F244A"/>
    <w:rsid w:val="003F30B8"/>
    <w:rsid w:val="003F4C45"/>
    <w:rsid w:val="003F5F7B"/>
    <w:rsid w:val="003F7D64"/>
    <w:rsid w:val="00400706"/>
    <w:rsid w:val="004026EB"/>
    <w:rsid w:val="004037F9"/>
    <w:rsid w:val="00414300"/>
    <w:rsid w:val="004148B8"/>
    <w:rsid w:val="00422C3D"/>
    <w:rsid w:val="004256CA"/>
    <w:rsid w:val="00425C67"/>
    <w:rsid w:val="00427E7A"/>
    <w:rsid w:val="004321DD"/>
    <w:rsid w:val="0043382E"/>
    <w:rsid w:val="00436307"/>
    <w:rsid w:val="00436C49"/>
    <w:rsid w:val="00436ECC"/>
    <w:rsid w:val="00441B7A"/>
    <w:rsid w:val="00441E5D"/>
    <w:rsid w:val="004442FC"/>
    <w:rsid w:val="004448D5"/>
    <w:rsid w:val="00445366"/>
    <w:rsid w:val="00446F58"/>
    <w:rsid w:val="0044707E"/>
    <w:rsid w:val="0044792F"/>
    <w:rsid w:val="00447F5B"/>
    <w:rsid w:val="00453715"/>
    <w:rsid w:val="00454200"/>
    <w:rsid w:val="0045541D"/>
    <w:rsid w:val="0046041A"/>
    <w:rsid w:val="00460ACA"/>
    <w:rsid w:val="00461DB0"/>
    <w:rsid w:val="00462FF7"/>
    <w:rsid w:val="00463926"/>
    <w:rsid w:val="004646E0"/>
    <w:rsid w:val="00464C9A"/>
    <w:rsid w:val="00466757"/>
    <w:rsid w:val="0047322C"/>
    <w:rsid w:val="00473289"/>
    <w:rsid w:val="00474F3D"/>
    <w:rsid w:val="00477E3A"/>
    <w:rsid w:val="00482C82"/>
    <w:rsid w:val="004838A4"/>
    <w:rsid w:val="00483E5F"/>
    <w:rsid w:val="0048494E"/>
    <w:rsid w:val="00485FF9"/>
    <w:rsid w:val="004878A9"/>
    <w:rsid w:val="00490513"/>
    <w:rsid w:val="004907F0"/>
    <w:rsid w:val="0049140B"/>
    <w:rsid w:val="00491E84"/>
    <w:rsid w:val="004923A5"/>
    <w:rsid w:val="00492F95"/>
    <w:rsid w:val="004966B9"/>
    <w:rsid w:val="00496BFB"/>
    <w:rsid w:val="004A0A84"/>
    <w:rsid w:val="004A15C7"/>
    <w:rsid w:val="004B013B"/>
    <w:rsid w:val="004B0872"/>
    <w:rsid w:val="004B0F95"/>
    <w:rsid w:val="004B112B"/>
    <w:rsid w:val="004B48EB"/>
    <w:rsid w:val="004C0171"/>
    <w:rsid w:val="004C01E4"/>
    <w:rsid w:val="004C086C"/>
    <w:rsid w:val="004C1F56"/>
    <w:rsid w:val="004C27BC"/>
    <w:rsid w:val="004C4136"/>
    <w:rsid w:val="004C500B"/>
    <w:rsid w:val="004C5C0F"/>
    <w:rsid w:val="004C75EC"/>
    <w:rsid w:val="004C7960"/>
    <w:rsid w:val="004D15F3"/>
    <w:rsid w:val="004D4D19"/>
    <w:rsid w:val="004D4DC0"/>
    <w:rsid w:val="004D5311"/>
    <w:rsid w:val="004D5DCC"/>
    <w:rsid w:val="004E042F"/>
    <w:rsid w:val="004F09F0"/>
    <w:rsid w:val="004F10AF"/>
    <w:rsid w:val="004F11A4"/>
    <w:rsid w:val="004F2389"/>
    <w:rsid w:val="004F304D"/>
    <w:rsid w:val="004F5FE0"/>
    <w:rsid w:val="004F61BE"/>
    <w:rsid w:val="004F66B1"/>
    <w:rsid w:val="0050006F"/>
    <w:rsid w:val="00501115"/>
    <w:rsid w:val="00501939"/>
    <w:rsid w:val="00502AE8"/>
    <w:rsid w:val="0050664D"/>
    <w:rsid w:val="0050681B"/>
    <w:rsid w:val="00511C07"/>
    <w:rsid w:val="00512473"/>
    <w:rsid w:val="00512E87"/>
    <w:rsid w:val="00513AAF"/>
    <w:rsid w:val="00513B3B"/>
    <w:rsid w:val="00514F83"/>
    <w:rsid w:val="00515224"/>
    <w:rsid w:val="005173A6"/>
    <w:rsid w:val="00520BAA"/>
    <w:rsid w:val="00525208"/>
    <w:rsid w:val="005257A5"/>
    <w:rsid w:val="005264C0"/>
    <w:rsid w:val="00526A8A"/>
    <w:rsid w:val="005274AC"/>
    <w:rsid w:val="005310AF"/>
    <w:rsid w:val="00531873"/>
    <w:rsid w:val="00531DF2"/>
    <w:rsid w:val="00532271"/>
    <w:rsid w:val="005340C0"/>
    <w:rsid w:val="0053710D"/>
    <w:rsid w:val="005442EE"/>
    <w:rsid w:val="00547353"/>
    <w:rsid w:val="005474E7"/>
    <w:rsid w:val="00547D2A"/>
    <w:rsid w:val="005512A3"/>
    <w:rsid w:val="005578CE"/>
    <w:rsid w:val="00557F89"/>
    <w:rsid w:val="0056066E"/>
    <w:rsid w:val="00560935"/>
    <w:rsid w:val="00562781"/>
    <w:rsid w:val="00562DAB"/>
    <w:rsid w:val="00563E83"/>
    <w:rsid w:val="00565623"/>
    <w:rsid w:val="00566292"/>
    <w:rsid w:val="005667FA"/>
    <w:rsid w:val="005708BC"/>
    <w:rsid w:val="0057271C"/>
    <w:rsid w:val="00572845"/>
    <w:rsid w:val="00574DC6"/>
    <w:rsid w:val="00580D03"/>
    <w:rsid w:val="00586013"/>
    <w:rsid w:val="00586C8D"/>
    <w:rsid w:val="00592772"/>
    <w:rsid w:val="00593323"/>
    <w:rsid w:val="0059574A"/>
    <w:rsid w:val="00597F03"/>
    <w:rsid w:val="005A0B05"/>
    <w:rsid w:val="005A1B9B"/>
    <w:rsid w:val="005A30FD"/>
    <w:rsid w:val="005A3148"/>
    <w:rsid w:val="005A5ACE"/>
    <w:rsid w:val="005A6337"/>
    <w:rsid w:val="005A6751"/>
    <w:rsid w:val="005B092E"/>
    <w:rsid w:val="005B152C"/>
    <w:rsid w:val="005B1749"/>
    <w:rsid w:val="005B1EE0"/>
    <w:rsid w:val="005B2A6A"/>
    <w:rsid w:val="005B2B24"/>
    <w:rsid w:val="005B33BE"/>
    <w:rsid w:val="005B3C6F"/>
    <w:rsid w:val="005B4425"/>
    <w:rsid w:val="005B45AD"/>
    <w:rsid w:val="005B4B94"/>
    <w:rsid w:val="005B5F6A"/>
    <w:rsid w:val="005B6C48"/>
    <w:rsid w:val="005C3EE8"/>
    <w:rsid w:val="005C697F"/>
    <w:rsid w:val="005C6F94"/>
    <w:rsid w:val="005D0379"/>
    <w:rsid w:val="005D14AB"/>
    <w:rsid w:val="005D34F9"/>
    <w:rsid w:val="005D3C33"/>
    <w:rsid w:val="005D4190"/>
    <w:rsid w:val="005D4D07"/>
    <w:rsid w:val="005D67A3"/>
    <w:rsid w:val="005E2988"/>
    <w:rsid w:val="005E2A43"/>
    <w:rsid w:val="005E3085"/>
    <w:rsid w:val="005E438A"/>
    <w:rsid w:val="005E45D4"/>
    <w:rsid w:val="005E4AEB"/>
    <w:rsid w:val="005F2674"/>
    <w:rsid w:val="005F51E1"/>
    <w:rsid w:val="005F728D"/>
    <w:rsid w:val="0060006D"/>
    <w:rsid w:val="00602767"/>
    <w:rsid w:val="00610D71"/>
    <w:rsid w:val="00611C80"/>
    <w:rsid w:val="00616E2D"/>
    <w:rsid w:val="00617692"/>
    <w:rsid w:val="00620692"/>
    <w:rsid w:val="00621CB6"/>
    <w:rsid w:val="00622BEC"/>
    <w:rsid w:val="0062311A"/>
    <w:rsid w:val="006240D5"/>
    <w:rsid w:val="006242CA"/>
    <w:rsid w:val="00627507"/>
    <w:rsid w:val="006302D0"/>
    <w:rsid w:val="00631065"/>
    <w:rsid w:val="00632FBF"/>
    <w:rsid w:val="00633717"/>
    <w:rsid w:val="006344E1"/>
    <w:rsid w:val="00635867"/>
    <w:rsid w:val="0063593F"/>
    <w:rsid w:val="006422D3"/>
    <w:rsid w:val="0064447A"/>
    <w:rsid w:val="006444A1"/>
    <w:rsid w:val="0064533A"/>
    <w:rsid w:val="00651EED"/>
    <w:rsid w:val="00651FB2"/>
    <w:rsid w:val="0065264E"/>
    <w:rsid w:val="006545C4"/>
    <w:rsid w:val="00654FE2"/>
    <w:rsid w:val="00657902"/>
    <w:rsid w:val="00661526"/>
    <w:rsid w:val="006616F3"/>
    <w:rsid w:val="00661971"/>
    <w:rsid w:val="00661CE8"/>
    <w:rsid w:val="006623D9"/>
    <w:rsid w:val="006639F7"/>
    <w:rsid w:val="0066550C"/>
    <w:rsid w:val="00665851"/>
    <w:rsid w:val="00666608"/>
    <w:rsid w:val="00667243"/>
    <w:rsid w:val="006716F2"/>
    <w:rsid w:val="00671C97"/>
    <w:rsid w:val="0068153A"/>
    <w:rsid w:val="00682AEF"/>
    <w:rsid w:val="00682BF2"/>
    <w:rsid w:val="00685238"/>
    <w:rsid w:val="006859CE"/>
    <w:rsid w:val="00691270"/>
    <w:rsid w:val="00694BA8"/>
    <w:rsid w:val="00695DA4"/>
    <w:rsid w:val="006A037C"/>
    <w:rsid w:val="006A2703"/>
    <w:rsid w:val="006A36F4"/>
    <w:rsid w:val="006A406F"/>
    <w:rsid w:val="006A41D6"/>
    <w:rsid w:val="006A4B4D"/>
    <w:rsid w:val="006A5D3A"/>
    <w:rsid w:val="006B1E9C"/>
    <w:rsid w:val="006B2E93"/>
    <w:rsid w:val="006B7B1F"/>
    <w:rsid w:val="006C23D4"/>
    <w:rsid w:val="006C4301"/>
    <w:rsid w:val="006C49C3"/>
    <w:rsid w:val="006C791A"/>
    <w:rsid w:val="006C7BB0"/>
    <w:rsid w:val="006D1C32"/>
    <w:rsid w:val="006D24F3"/>
    <w:rsid w:val="006D3237"/>
    <w:rsid w:val="006D66A7"/>
    <w:rsid w:val="006D6B9C"/>
    <w:rsid w:val="006E0122"/>
    <w:rsid w:val="006E2E37"/>
    <w:rsid w:val="006E3CF1"/>
    <w:rsid w:val="006E4CE6"/>
    <w:rsid w:val="006E5F6B"/>
    <w:rsid w:val="006E60B6"/>
    <w:rsid w:val="006E746A"/>
    <w:rsid w:val="006E7E80"/>
    <w:rsid w:val="006F1DF9"/>
    <w:rsid w:val="006F1EBA"/>
    <w:rsid w:val="006F24DB"/>
    <w:rsid w:val="006F4655"/>
    <w:rsid w:val="006F48CA"/>
    <w:rsid w:val="006F64DD"/>
    <w:rsid w:val="0070376A"/>
    <w:rsid w:val="0070443C"/>
    <w:rsid w:val="00707C46"/>
    <w:rsid w:val="00715127"/>
    <w:rsid w:val="007151BF"/>
    <w:rsid w:val="00715924"/>
    <w:rsid w:val="00715E8E"/>
    <w:rsid w:val="00717EC4"/>
    <w:rsid w:val="00721243"/>
    <w:rsid w:val="00723580"/>
    <w:rsid w:val="00723755"/>
    <w:rsid w:val="0072408B"/>
    <w:rsid w:val="00724282"/>
    <w:rsid w:val="0073136C"/>
    <w:rsid w:val="00731F0F"/>
    <w:rsid w:val="00733250"/>
    <w:rsid w:val="00736F9F"/>
    <w:rsid w:val="007410C0"/>
    <w:rsid w:val="00741404"/>
    <w:rsid w:val="0074375A"/>
    <w:rsid w:val="007449E5"/>
    <w:rsid w:val="00746C5A"/>
    <w:rsid w:val="00747FF0"/>
    <w:rsid w:val="00750D68"/>
    <w:rsid w:val="007525D0"/>
    <w:rsid w:val="00752A14"/>
    <w:rsid w:val="00752ED8"/>
    <w:rsid w:val="0075444C"/>
    <w:rsid w:val="00755A48"/>
    <w:rsid w:val="00756297"/>
    <w:rsid w:val="007616AF"/>
    <w:rsid w:val="00764D4E"/>
    <w:rsid w:val="00765A1F"/>
    <w:rsid w:val="0077175C"/>
    <w:rsid w:val="00771B53"/>
    <w:rsid w:val="00772792"/>
    <w:rsid w:val="007734E9"/>
    <w:rsid w:val="00775B6D"/>
    <w:rsid w:val="00776051"/>
    <w:rsid w:val="00776D68"/>
    <w:rsid w:val="00780FF7"/>
    <w:rsid w:val="0078155C"/>
    <w:rsid w:val="007846C2"/>
    <w:rsid w:val="0078497E"/>
    <w:rsid w:val="007850EE"/>
    <w:rsid w:val="00785B95"/>
    <w:rsid w:val="00790E96"/>
    <w:rsid w:val="00791753"/>
    <w:rsid w:val="00793366"/>
    <w:rsid w:val="00795646"/>
    <w:rsid w:val="007A201E"/>
    <w:rsid w:val="007A4B19"/>
    <w:rsid w:val="007A716F"/>
    <w:rsid w:val="007A7BB9"/>
    <w:rsid w:val="007B1590"/>
    <w:rsid w:val="007B270A"/>
    <w:rsid w:val="007B2D84"/>
    <w:rsid w:val="007B3501"/>
    <w:rsid w:val="007B6474"/>
    <w:rsid w:val="007B7ADE"/>
    <w:rsid w:val="007C0695"/>
    <w:rsid w:val="007C336A"/>
    <w:rsid w:val="007C419A"/>
    <w:rsid w:val="007C471D"/>
    <w:rsid w:val="007C4CC8"/>
    <w:rsid w:val="007C5426"/>
    <w:rsid w:val="007C5798"/>
    <w:rsid w:val="007C5FE4"/>
    <w:rsid w:val="007D4832"/>
    <w:rsid w:val="007D79C0"/>
    <w:rsid w:val="007E21B2"/>
    <w:rsid w:val="007E2C4E"/>
    <w:rsid w:val="007E4839"/>
    <w:rsid w:val="007E7D19"/>
    <w:rsid w:val="007F1905"/>
    <w:rsid w:val="007F1C78"/>
    <w:rsid w:val="007F6271"/>
    <w:rsid w:val="00801300"/>
    <w:rsid w:val="00802C64"/>
    <w:rsid w:val="008049C8"/>
    <w:rsid w:val="00805E52"/>
    <w:rsid w:val="008061D0"/>
    <w:rsid w:val="00806B98"/>
    <w:rsid w:val="00810B38"/>
    <w:rsid w:val="00817DEF"/>
    <w:rsid w:val="008204C7"/>
    <w:rsid w:val="00820992"/>
    <w:rsid w:val="008235B6"/>
    <w:rsid w:val="00823602"/>
    <w:rsid w:val="00824113"/>
    <w:rsid w:val="008255F5"/>
    <w:rsid w:val="0083014E"/>
    <w:rsid w:val="00830DC8"/>
    <w:rsid w:val="0083214A"/>
    <w:rsid w:val="00834220"/>
    <w:rsid w:val="00834BB6"/>
    <w:rsid w:val="0083581E"/>
    <w:rsid w:val="00840541"/>
    <w:rsid w:val="0084411D"/>
    <w:rsid w:val="0084484E"/>
    <w:rsid w:val="00845463"/>
    <w:rsid w:val="00845723"/>
    <w:rsid w:val="00847FB1"/>
    <w:rsid w:val="00851532"/>
    <w:rsid w:val="008515C6"/>
    <w:rsid w:val="00851EF9"/>
    <w:rsid w:val="00856A6F"/>
    <w:rsid w:val="008577FD"/>
    <w:rsid w:val="00860B03"/>
    <w:rsid w:val="0086455C"/>
    <w:rsid w:val="0086497A"/>
    <w:rsid w:val="008713A1"/>
    <w:rsid w:val="00872A77"/>
    <w:rsid w:val="008754AB"/>
    <w:rsid w:val="0087570E"/>
    <w:rsid w:val="008759F0"/>
    <w:rsid w:val="0088060C"/>
    <w:rsid w:val="00882EE5"/>
    <w:rsid w:val="00893576"/>
    <w:rsid w:val="00893E73"/>
    <w:rsid w:val="00894DF9"/>
    <w:rsid w:val="008A2416"/>
    <w:rsid w:val="008A3544"/>
    <w:rsid w:val="008A365A"/>
    <w:rsid w:val="008A43C4"/>
    <w:rsid w:val="008A675B"/>
    <w:rsid w:val="008A7776"/>
    <w:rsid w:val="008A79F9"/>
    <w:rsid w:val="008B02DC"/>
    <w:rsid w:val="008B3F08"/>
    <w:rsid w:val="008B57CE"/>
    <w:rsid w:val="008B659F"/>
    <w:rsid w:val="008B7F5E"/>
    <w:rsid w:val="008C10BA"/>
    <w:rsid w:val="008C1DC6"/>
    <w:rsid w:val="008C26DE"/>
    <w:rsid w:val="008D1221"/>
    <w:rsid w:val="008D1FD8"/>
    <w:rsid w:val="008D2225"/>
    <w:rsid w:val="008D3EBF"/>
    <w:rsid w:val="008D4752"/>
    <w:rsid w:val="008D552A"/>
    <w:rsid w:val="008D5C5F"/>
    <w:rsid w:val="008D606C"/>
    <w:rsid w:val="008D7B7F"/>
    <w:rsid w:val="008E271C"/>
    <w:rsid w:val="008E418E"/>
    <w:rsid w:val="008E4278"/>
    <w:rsid w:val="008E5BC6"/>
    <w:rsid w:val="008E69AC"/>
    <w:rsid w:val="008E6A25"/>
    <w:rsid w:val="008E6B0C"/>
    <w:rsid w:val="008F1584"/>
    <w:rsid w:val="008F4DE8"/>
    <w:rsid w:val="008F5193"/>
    <w:rsid w:val="008F53BC"/>
    <w:rsid w:val="008F761B"/>
    <w:rsid w:val="009013A7"/>
    <w:rsid w:val="009017FB"/>
    <w:rsid w:val="009017FC"/>
    <w:rsid w:val="009018E4"/>
    <w:rsid w:val="00903B43"/>
    <w:rsid w:val="00904ECD"/>
    <w:rsid w:val="0090506B"/>
    <w:rsid w:val="009050C9"/>
    <w:rsid w:val="009066FC"/>
    <w:rsid w:val="00907D17"/>
    <w:rsid w:val="00910A9F"/>
    <w:rsid w:val="009114BC"/>
    <w:rsid w:val="009140A3"/>
    <w:rsid w:val="009144A2"/>
    <w:rsid w:val="0091510C"/>
    <w:rsid w:val="00916A1F"/>
    <w:rsid w:val="009259AC"/>
    <w:rsid w:val="00925CAC"/>
    <w:rsid w:val="00926F38"/>
    <w:rsid w:val="00932193"/>
    <w:rsid w:val="009327D1"/>
    <w:rsid w:val="00934301"/>
    <w:rsid w:val="00936CD1"/>
    <w:rsid w:val="00941747"/>
    <w:rsid w:val="00941EFB"/>
    <w:rsid w:val="009434DA"/>
    <w:rsid w:val="00945323"/>
    <w:rsid w:val="00946D41"/>
    <w:rsid w:val="00947AFB"/>
    <w:rsid w:val="0095076A"/>
    <w:rsid w:val="00951B6D"/>
    <w:rsid w:val="00951D7D"/>
    <w:rsid w:val="009521A4"/>
    <w:rsid w:val="00952315"/>
    <w:rsid w:val="00952C12"/>
    <w:rsid w:val="00952EA3"/>
    <w:rsid w:val="00952F27"/>
    <w:rsid w:val="009530DB"/>
    <w:rsid w:val="009544F2"/>
    <w:rsid w:val="0096127C"/>
    <w:rsid w:val="00962DC9"/>
    <w:rsid w:val="009630C7"/>
    <w:rsid w:val="009631ED"/>
    <w:rsid w:val="00964C1F"/>
    <w:rsid w:val="0097225B"/>
    <w:rsid w:val="00972B55"/>
    <w:rsid w:val="009743B7"/>
    <w:rsid w:val="009759FB"/>
    <w:rsid w:val="009768BE"/>
    <w:rsid w:val="00981597"/>
    <w:rsid w:val="0098228B"/>
    <w:rsid w:val="009828DA"/>
    <w:rsid w:val="00983764"/>
    <w:rsid w:val="00985BAB"/>
    <w:rsid w:val="00990B87"/>
    <w:rsid w:val="00995906"/>
    <w:rsid w:val="00997F03"/>
    <w:rsid w:val="009A46DF"/>
    <w:rsid w:val="009A5C98"/>
    <w:rsid w:val="009A7060"/>
    <w:rsid w:val="009B1B5F"/>
    <w:rsid w:val="009B2EC2"/>
    <w:rsid w:val="009B6673"/>
    <w:rsid w:val="009C191B"/>
    <w:rsid w:val="009C2BD6"/>
    <w:rsid w:val="009C7219"/>
    <w:rsid w:val="009D0F24"/>
    <w:rsid w:val="009D1D0F"/>
    <w:rsid w:val="009D4D57"/>
    <w:rsid w:val="009D4F38"/>
    <w:rsid w:val="009E00AD"/>
    <w:rsid w:val="009E033B"/>
    <w:rsid w:val="009E1F32"/>
    <w:rsid w:val="009E5829"/>
    <w:rsid w:val="009E776C"/>
    <w:rsid w:val="009F3C4E"/>
    <w:rsid w:val="009F6CE1"/>
    <w:rsid w:val="00A033CF"/>
    <w:rsid w:val="00A14EC5"/>
    <w:rsid w:val="00A1726E"/>
    <w:rsid w:val="00A17C02"/>
    <w:rsid w:val="00A204CF"/>
    <w:rsid w:val="00A21988"/>
    <w:rsid w:val="00A23D49"/>
    <w:rsid w:val="00A242C6"/>
    <w:rsid w:val="00A24921"/>
    <w:rsid w:val="00A26601"/>
    <w:rsid w:val="00A27004"/>
    <w:rsid w:val="00A27992"/>
    <w:rsid w:val="00A30C29"/>
    <w:rsid w:val="00A31C7B"/>
    <w:rsid w:val="00A34DD6"/>
    <w:rsid w:val="00A36819"/>
    <w:rsid w:val="00A36989"/>
    <w:rsid w:val="00A36DDF"/>
    <w:rsid w:val="00A372F4"/>
    <w:rsid w:val="00A43628"/>
    <w:rsid w:val="00A4678F"/>
    <w:rsid w:val="00A46EE1"/>
    <w:rsid w:val="00A513E4"/>
    <w:rsid w:val="00A532C7"/>
    <w:rsid w:val="00A54192"/>
    <w:rsid w:val="00A54B6A"/>
    <w:rsid w:val="00A6035E"/>
    <w:rsid w:val="00A6144C"/>
    <w:rsid w:val="00A62049"/>
    <w:rsid w:val="00A66420"/>
    <w:rsid w:val="00A66617"/>
    <w:rsid w:val="00A671F8"/>
    <w:rsid w:val="00A673A4"/>
    <w:rsid w:val="00A724AE"/>
    <w:rsid w:val="00A73329"/>
    <w:rsid w:val="00A803CA"/>
    <w:rsid w:val="00A80D11"/>
    <w:rsid w:val="00A82359"/>
    <w:rsid w:val="00A82B7E"/>
    <w:rsid w:val="00A865D2"/>
    <w:rsid w:val="00A94C20"/>
    <w:rsid w:val="00A96ED6"/>
    <w:rsid w:val="00A97FFA"/>
    <w:rsid w:val="00AA002A"/>
    <w:rsid w:val="00AA227F"/>
    <w:rsid w:val="00AA28F9"/>
    <w:rsid w:val="00AA3BC7"/>
    <w:rsid w:val="00AA5DA1"/>
    <w:rsid w:val="00AA754A"/>
    <w:rsid w:val="00AB099E"/>
    <w:rsid w:val="00AB4328"/>
    <w:rsid w:val="00AB5FA0"/>
    <w:rsid w:val="00AC1B2C"/>
    <w:rsid w:val="00AC3371"/>
    <w:rsid w:val="00AC5478"/>
    <w:rsid w:val="00AC621C"/>
    <w:rsid w:val="00AC7D68"/>
    <w:rsid w:val="00AD032C"/>
    <w:rsid w:val="00AD5CAD"/>
    <w:rsid w:val="00AE00E6"/>
    <w:rsid w:val="00AE0A2E"/>
    <w:rsid w:val="00AE354C"/>
    <w:rsid w:val="00AE4AD7"/>
    <w:rsid w:val="00AF4512"/>
    <w:rsid w:val="00AF4B07"/>
    <w:rsid w:val="00AF6186"/>
    <w:rsid w:val="00AF6287"/>
    <w:rsid w:val="00AF7A3A"/>
    <w:rsid w:val="00B0283D"/>
    <w:rsid w:val="00B03B2F"/>
    <w:rsid w:val="00B076E7"/>
    <w:rsid w:val="00B10E8B"/>
    <w:rsid w:val="00B13FB8"/>
    <w:rsid w:val="00B143ED"/>
    <w:rsid w:val="00B15561"/>
    <w:rsid w:val="00B160DB"/>
    <w:rsid w:val="00B20836"/>
    <w:rsid w:val="00B235BB"/>
    <w:rsid w:val="00B2603E"/>
    <w:rsid w:val="00B27A44"/>
    <w:rsid w:val="00B30BBF"/>
    <w:rsid w:val="00B33C03"/>
    <w:rsid w:val="00B34A18"/>
    <w:rsid w:val="00B40833"/>
    <w:rsid w:val="00B40F79"/>
    <w:rsid w:val="00B44E56"/>
    <w:rsid w:val="00B46424"/>
    <w:rsid w:val="00B46543"/>
    <w:rsid w:val="00B47D33"/>
    <w:rsid w:val="00B52441"/>
    <w:rsid w:val="00B52BE0"/>
    <w:rsid w:val="00B54133"/>
    <w:rsid w:val="00B578B4"/>
    <w:rsid w:val="00B637B9"/>
    <w:rsid w:val="00B65BF0"/>
    <w:rsid w:val="00B701ED"/>
    <w:rsid w:val="00B7115F"/>
    <w:rsid w:val="00B73C76"/>
    <w:rsid w:val="00B8086C"/>
    <w:rsid w:val="00B861B4"/>
    <w:rsid w:val="00B86DFE"/>
    <w:rsid w:val="00B873AB"/>
    <w:rsid w:val="00B90990"/>
    <w:rsid w:val="00B922FF"/>
    <w:rsid w:val="00B9281E"/>
    <w:rsid w:val="00B93925"/>
    <w:rsid w:val="00B95187"/>
    <w:rsid w:val="00B95D14"/>
    <w:rsid w:val="00B95E99"/>
    <w:rsid w:val="00B95FE6"/>
    <w:rsid w:val="00BA0871"/>
    <w:rsid w:val="00BA2562"/>
    <w:rsid w:val="00BA2D55"/>
    <w:rsid w:val="00BA477C"/>
    <w:rsid w:val="00BA70DE"/>
    <w:rsid w:val="00BA71B1"/>
    <w:rsid w:val="00BB0637"/>
    <w:rsid w:val="00BB0D8F"/>
    <w:rsid w:val="00BB1F9B"/>
    <w:rsid w:val="00BB345F"/>
    <w:rsid w:val="00BB5473"/>
    <w:rsid w:val="00BB5883"/>
    <w:rsid w:val="00BB68EA"/>
    <w:rsid w:val="00BC09FF"/>
    <w:rsid w:val="00BC11C7"/>
    <w:rsid w:val="00BC1C27"/>
    <w:rsid w:val="00BC2394"/>
    <w:rsid w:val="00BC505B"/>
    <w:rsid w:val="00BC61EF"/>
    <w:rsid w:val="00BC6BBF"/>
    <w:rsid w:val="00BD1120"/>
    <w:rsid w:val="00BD1572"/>
    <w:rsid w:val="00BD7488"/>
    <w:rsid w:val="00BE14E3"/>
    <w:rsid w:val="00BE3774"/>
    <w:rsid w:val="00BE3B55"/>
    <w:rsid w:val="00BE41E5"/>
    <w:rsid w:val="00BF0BBB"/>
    <w:rsid w:val="00BF36C4"/>
    <w:rsid w:val="00BF4109"/>
    <w:rsid w:val="00BF4CC3"/>
    <w:rsid w:val="00C01245"/>
    <w:rsid w:val="00C04447"/>
    <w:rsid w:val="00C054C7"/>
    <w:rsid w:val="00C057B5"/>
    <w:rsid w:val="00C072CF"/>
    <w:rsid w:val="00C13D48"/>
    <w:rsid w:val="00C20134"/>
    <w:rsid w:val="00C21276"/>
    <w:rsid w:val="00C22687"/>
    <w:rsid w:val="00C2490D"/>
    <w:rsid w:val="00C32E4D"/>
    <w:rsid w:val="00C333A0"/>
    <w:rsid w:val="00C33AE4"/>
    <w:rsid w:val="00C35501"/>
    <w:rsid w:val="00C356F1"/>
    <w:rsid w:val="00C36A81"/>
    <w:rsid w:val="00C41974"/>
    <w:rsid w:val="00C42854"/>
    <w:rsid w:val="00C447AD"/>
    <w:rsid w:val="00C539A5"/>
    <w:rsid w:val="00C53F4A"/>
    <w:rsid w:val="00C54125"/>
    <w:rsid w:val="00C54B95"/>
    <w:rsid w:val="00C55B54"/>
    <w:rsid w:val="00C56468"/>
    <w:rsid w:val="00C57CF6"/>
    <w:rsid w:val="00C6098E"/>
    <w:rsid w:val="00C6152C"/>
    <w:rsid w:val="00C621C2"/>
    <w:rsid w:val="00C6285B"/>
    <w:rsid w:val="00C62E83"/>
    <w:rsid w:val="00C701C6"/>
    <w:rsid w:val="00C7105C"/>
    <w:rsid w:val="00C72699"/>
    <w:rsid w:val="00C74810"/>
    <w:rsid w:val="00C753FB"/>
    <w:rsid w:val="00C85457"/>
    <w:rsid w:val="00C90D68"/>
    <w:rsid w:val="00C939FE"/>
    <w:rsid w:val="00C95069"/>
    <w:rsid w:val="00C978D6"/>
    <w:rsid w:val="00CA3606"/>
    <w:rsid w:val="00CA461F"/>
    <w:rsid w:val="00CA4BDA"/>
    <w:rsid w:val="00CB1F66"/>
    <w:rsid w:val="00CB2951"/>
    <w:rsid w:val="00CB375B"/>
    <w:rsid w:val="00CB50A5"/>
    <w:rsid w:val="00CC1DC0"/>
    <w:rsid w:val="00CC2073"/>
    <w:rsid w:val="00CC673D"/>
    <w:rsid w:val="00CC7922"/>
    <w:rsid w:val="00CD282B"/>
    <w:rsid w:val="00CD3E8D"/>
    <w:rsid w:val="00CD4C35"/>
    <w:rsid w:val="00CD6BDD"/>
    <w:rsid w:val="00CD7369"/>
    <w:rsid w:val="00CE0B0E"/>
    <w:rsid w:val="00CE3831"/>
    <w:rsid w:val="00CE6136"/>
    <w:rsid w:val="00CF1261"/>
    <w:rsid w:val="00D0037B"/>
    <w:rsid w:val="00D00ABB"/>
    <w:rsid w:val="00D02EEC"/>
    <w:rsid w:val="00D03551"/>
    <w:rsid w:val="00D04A0A"/>
    <w:rsid w:val="00D04F42"/>
    <w:rsid w:val="00D06A63"/>
    <w:rsid w:val="00D0744C"/>
    <w:rsid w:val="00D07E0E"/>
    <w:rsid w:val="00D11478"/>
    <w:rsid w:val="00D120F1"/>
    <w:rsid w:val="00D13646"/>
    <w:rsid w:val="00D15ED0"/>
    <w:rsid w:val="00D169C1"/>
    <w:rsid w:val="00D21B3E"/>
    <w:rsid w:val="00D21FED"/>
    <w:rsid w:val="00D23726"/>
    <w:rsid w:val="00D24251"/>
    <w:rsid w:val="00D25A81"/>
    <w:rsid w:val="00D30C43"/>
    <w:rsid w:val="00D34305"/>
    <w:rsid w:val="00D343E2"/>
    <w:rsid w:val="00D361A2"/>
    <w:rsid w:val="00D36946"/>
    <w:rsid w:val="00D376B9"/>
    <w:rsid w:val="00D44C2E"/>
    <w:rsid w:val="00D45414"/>
    <w:rsid w:val="00D46285"/>
    <w:rsid w:val="00D466A1"/>
    <w:rsid w:val="00D514F3"/>
    <w:rsid w:val="00D53C0F"/>
    <w:rsid w:val="00D564B5"/>
    <w:rsid w:val="00D566BD"/>
    <w:rsid w:val="00D57A4D"/>
    <w:rsid w:val="00D57FDA"/>
    <w:rsid w:val="00D60AA7"/>
    <w:rsid w:val="00D60D87"/>
    <w:rsid w:val="00D60EF4"/>
    <w:rsid w:val="00D62498"/>
    <w:rsid w:val="00D62B07"/>
    <w:rsid w:val="00D63AD1"/>
    <w:rsid w:val="00D6435F"/>
    <w:rsid w:val="00D66D23"/>
    <w:rsid w:val="00D67A54"/>
    <w:rsid w:val="00D71A20"/>
    <w:rsid w:val="00D71B1F"/>
    <w:rsid w:val="00D75A2B"/>
    <w:rsid w:val="00D75E28"/>
    <w:rsid w:val="00D76A5A"/>
    <w:rsid w:val="00D772C2"/>
    <w:rsid w:val="00D8008E"/>
    <w:rsid w:val="00D82C45"/>
    <w:rsid w:val="00D835EA"/>
    <w:rsid w:val="00D840A8"/>
    <w:rsid w:val="00D845A3"/>
    <w:rsid w:val="00D861E7"/>
    <w:rsid w:val="00D908A8"/>
    <w:rsid w:val="00D94BC8"/>
    <w:rsid w:val="00D95954"/>
    <w:rsid w:val="00D96966"/>
    <w:rsid w:val="00D96AD1"/>
    <w:rsid w:val="00D977B6"/>
    <w:rsid w:val="00DA4A31"/>
    <w:rsid w:val="00DA4EC8"/>
    <w:rsid w:val="00DA61F2"/>
    <w:rsid w:val="00DA65CA"/>
    <w:rsid w:val="00DA7B04"/>
    <w:rsid w:val="00DB0EB0"/>
    <w:rsid w:val="00DB36C2"/>
    <w:rsid w:val="00DB66B3"/>
    <w:rsid w:val="00DB6A30"/>
    <w:rsid w:val="00DB7196"/>
    <w:rsid w:val="00DC169B"/>
    <w:rsid w:val="00DC2AB9"/>
    <w:rsid w:val="00DC2FF5"/>
    <w:rsid w:val="00DC63F0"/>
    <w:rsid w:val="00DC77AD"/>
    <w:rsid w:val="00DD0FA2"/>
    <w:rsid w:val="00DD39C3"/>
    <w:rsid w:val="00DD6EE5"/>
    <w:rsid w:val="00DE03AD"/>
    <w:rsid w:val="00DE1B8E"/>
    <w:rsid w:val="00DE386C"/>
    <w:rsid w:val="00DE4D35"/>
    <w:rsid w:val="00DE6DAA"/>
    <w:rsid w:val="00DF0549"/>
    <w:rsid w:val="00DF098B"/>
    <w:rsid w:val="00DF11C4"/>
    <w:rsid w:val="00DF16B5"/>
    <w:rsid w:val="00DF210C"/>
    <w:rsid w:val="00DF2BD7"/>
    <w:rsid w:val="00DF4541"/>
    <w:rsid w:val="00DF4B6A"/>
    <w:rsid w:val="00DF6CCC"/>
    <w:rsid w:val="00E016BE"/>
    <w:rsid w:val="00E025E5"/>
    <w:rsid w:val="00E02C09"/>
    <w:rsid w:val="00E035CB"/>
    <w:rsid w:val="00E04D59"/>
    <w:rsid w:val="00E068F2"/>
    <w:rsid w:val="00E07DA1"/>
    <w:rsid w:val="00E123CB"/>
    <w:rsid w:val="00E12D46"/>
    <w:rsid w:val="00E14C61"/>
    <w:rsid w:val="00E1557C"/>
    <w:rsid w:val="00E166CB"/>
    <w:rsid w:val="00E16CB5"/>
    <w:rsid w:val="00E20E13"/>
    <w:rsid w:val="00E21CCF"/>
    <w:rsid w:val="00E21DBC"/>
    <w:rsid w:val="00E23922"/>
    <w:rsid w:val="00E25EA9"/>
    <w:rsid w:val="00E27080"/>
    <w:rsid w:val="00E275D7"/>
    <w:rsid w:val="00E27DBE"/>
    <w:rsid w:val="00E312A4"/>
    <w:rsid w:val="00E32021"/>
    <w:rsid w:val="00E32AB1"/>
    <w:rsid w:val="00E36C71"/>
    <w:rsid w:val="00E40404"/>
    <w:rsid w:val="00E45018"/>
    <w:rsid w:val="00E459C6"/>
    <w:rsid w:val="00E47589"/>
    <w:rsid w:val="00E475DB"/>
    <w:rsid w:val="00E47F46"/>
    <w:rsid w:val="00E54C85"/>
    <w:rsid w:val="00E578FB"/>
    <w:rsid w:val="00E57E41"/>
    <w:rsid w:val="00E6386F"/>
    <w:rsid w:val="00E64915"/>
    <w:rsid w:val="00E64C18"/>
    <w:rsid w:val="00E65092"/>
    <w:rsid w:val="00E661D4"/>
    <w:rsid w:val="00E70091"/>
    <w:rsid w:val="00E720F5"/>
    <w:rsid w:val="00E76D47"/>
    <w:rsid w:val="00E771D9"/>
    <w:rsid w:val="00E82D72"/>
    <w:rsid w:val="00E83CF3"/>
    <w:rsid w:val="00E83FE7"/>
    <w:rsid w:val="00E849F7"/>
    <w:rsid w:val="00E85A89"/>
    <w:rsid w:val="00E86DEB"/>
    <w:rsid w:val="00E90302"/>
    <w:rsid w:val="00E905BE"/>
    <w:rsid w:val="00E91B32"/>
    <w:rsid w:val="00E92720"/>
    <w:rsid w:val="00E931AF"/>
    <w:rsid w:val="00E9597F"/>
    <w:rsid w:val="00E97396"/>
    <w:rsid w:val="00EA185E"/>
    <w:rsid w:val="00EA592A"/>
    <w:rsid w:val="00EA63B7"/>
    <w:rsid w:val="00EA79E1"/>
    <w:rsid w:val="00EB14E4"/>
    <w:rsid w:val="00EB175F"/>
    <w:rsid w:val="00EB17A6"/>
    <w:rsid w:val="00EB32A5"/>
    <w:rsid w:val="00EB34ED"/>
    <w:rsid w:val="00EB5AA2"/>
    <w:rsid w:val="00EB649F"/>
    <w:rsid w:val="00EB6B03"/>
    <w:rsid w:val="00EB7BE0"/>
    <w:rsid w:val="00EC07A3"/>
    <w:rsid w:val="00EC2803"/>
    <w:rsid w:val="00EC291C"/>
    <w:rsid w:val="00EC30A5"/>
    <w:rsid w:val="00EC315E"/>
    <w:rsid w:val="00ED077C"/>
    <w:rsid w:val="00ED1190"/>
    <w:rsid w:val="00ED2035"/>
    <w:rsid w:val="00ED6544"/>
    <w:rsid w:val="00ED7A37"/>
    <w:rsid w:val="00ED7BFB"/>
    <w:rsid w:val="00EE0277"/>
    <w:rsid w:val="00EE076D"/>
    <w:rsid w:val="00EE1DA9"/>
    <w:rsid w:val="00EE2010"/>
    <w:rsid w:val="00EE38EE"/>
    <w:rsid w:val="00EE3E00"/>
    <w:rsid w:val="00EE557B"/>
    <w:rsid w:val="00EE5DD2"/>
    <w:rsid w:val="00EF2C06"/>
    <w:rsid w:val="00EF41F1"/>
    <w:rsid w:val="00EF4370"/>
    <w:rsid w:val="00EF4F08"/>
    <w:rsid w:val="00EF6ED0"/>
    <w:rsid w:val="00F001D6"/>
    <w:rsid w:val="00F00A79"/>
    <w:rsid w:val="00F00E86"/>
    <w:rsid w:val="00F00F8B"/>
    <w:rsid w:val="00F0155C"/>
    <w:rsid w:val="00F02358"/>
    <w:rsid w:val="00F037E7"/>
    <w:rsid w:val="00F0731D"/>
    <w:rsid w:val="00F07C1E"/>
    <w:rsid w:val="00F105DB"/>
    <w:rsid w:val="00F10997"/>
    <w:rsid w:val="00F132BC"/>
    <w:rsid w:val="00F13C86"/>
    <w:rsid w:val="00F13D80"/>
    <w:rsid w:val="00F14E25"/>
    <w:rsid w:val="00F150CE"/>
    <w:rsid w:val="00F1511B"/>
    <w:rsid w:val="00F164C5"/>
    <w:rsid w:val="00F16627"/>
    <w:rsid w:val="00F16AAA"/>
    <w:rsid w:val="00F20208"/>
    <w:rsid w:val="00F21161"/>
    <w:rsid w:val="00F218EF"/>
    <w:rsid w:val="00F21BC7"/>
    <w:rsid w:val="00F266A2"/>
    <w:rsid w:val="00F307D8"/>
    <w:rsid w:val="00F3126D"/>
    <w:rsid w:val="00F32269"/>
    <w:rsid w:val="00F3372F"/>
    <w:rsid w:val="00F35404"/>
    <w:rsid w:val="00F37D63"/>
    <w:rsid w:val="00F41D65"/>
    <w:rsid w:val="00F4457E"/>
    <w:rsid w:val="00F45579"/>
    <w:rsid w:val="00F53048"/>
    <w:rsid w:val="00F545B3"/>
    <w:rsid w:val="00F54B3A"/>
    <w:rsid w:val="00F563F6"/>
    <w:rsid w:val="00F56A6F"/>
    <w:rsid w:val="00F5709C"/>
    <w:rsid w:val="00F60ADA"/>
    <w:rsid w:val="00F60FCF"/>
    <w:rsid w:val="00F64A4C"/>
    <w:rsid w:val="00F64EF1"/>
    <w:rsid w:val="00F65C4D"/>
    <w:rsid w:val="00F734C8"/>
    <w:rsid w:val="00F74FDD"/>
    <w:rsid w:val="00F82AE5"/>
    <w:rsid w:val="00F831B9"/>
    <w:rsid w:val="00F8635F"/>
    <w:rsid w:val="00F86CC0"/>
    <w:rsid w:val="00F8765F"/>
    <w:rsid w:val="00F90767"/>
    <w:rsid w:val="00F92462"/>
    <w:rsid w:val="00F9428D"/>
    <w:rsid w:val="00F95421"/>
    <w:rsid w:val="00F95620"/>
    <w:rsid w:val="00FA3007"/>
    <w:rsid w:val="00FA685B"/>
    <w:rsid w:val="00FA6F23"/>
    <w:rsid w:val="00FB0C01"/>
    <w:rsid w:val="00FB2FAF"/>
    <w:rsid w:val="00FC18F2"/>
    <w:rsid w:val="00FC39E5"/>
    <w:rsid w:val="00FC3A78"/>
    <w:rsid w:val="00FC5FFE"/>
    <w:rsid w:val="00FD1005"/>
    <w:rsid w:val="00FD3180"/>
    <w:rsid w:val="00FD45CD"/>
    <w:rsid w:val="00FD6C75"/>
    <w:rsid w:val="00FD7DC4"/>
    <w:rsid w:val="00FE71B3"/>
    <w:rsid w:val="00FF42C5"/>
    <w:rsid w:val="00FF5817"/>
    <w:rsid w:val="00FF73D6"/>
    <w:rsid w:val="00FF777B"/>
    <w:rsid w:val="00FF77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750D68"/>
    <w:pPr>
      <w:jc w:val="both"/>
    </w:pPr>
    <w:rPr>
      <w:rFonts w:eastAsiaTheme="minorEastAsia"/>
      <w:sz w:val="24"/>
    </w:rPr>
  </w:style>
  <w:style w:type="paragraph" w:styleId="Heading1">
    <w:name w:val="heading 1"/>
    <w:basedOn w:val="Normal"/>
    <w:next w:val="Normal"/>
    <w:link w:val="Heading1Char"/>
    <w:uiPriority w:val="99"/>
    <w:semiHidden/>
    <w:rsid w:val="00750D68"/>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750D68"/>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750D68"/>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750D68"/>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750D68"/>
    <w:pPr>
      <w:spacing w:before="200"/>
      <w:outlineLvl w:val="4"/>
    </w:pPr>
    <w:rPr>
      <w:rFonts w:asciiTheme="majorHAnsi" w:eastAsiaTheme="majorEastAsia" w:hAnsiTheme="majorHAnsi" w:cstheme="majorBidi"/>
      <w:b/>
      <w:bCs/>
      <w:color w:val="808080"/>
      <w:sz w:val="22"/>
    </w:rPr>
  </w:style>
  <w:style w:type="paragraph" w:styleId="Heading6">
    <w:name w:val="heading 6"/>
    <w:basedOn w:val="Normal"/>
    <w:next w:val="Normal"/>
    <w:link w:val="Heading6Char"/>
    <w:uiPriority w:val="99"/>
    <w:semiHidden/>
    <w:rsid w:val="00750D68"/>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750D68"/>
    <w:pPr>
      <w:outlineLvl w:val="6"/>
    </w:pPr>
    <w:rPr>
      <w:rFonts w:asciiTheme="majorHAnsi" w:eastAsiaTheme="majorEastAsia" w:hAnsiTheme="majorHAnsi" w:cstheme="majorBidi"/>
      <w:i/>
      <w:iCs/>
      <w:sz w:val="22"/>
      <w:lang w:bidi="en-US"/>
    </w:rPr>
  </w:style>
  <w:style w:type="paragraph" w:styleId="Heading8">
    <w:name w:val="heading 8"/>
    <w:basedOn w:val="Normal"/>
    <w:next w:val="Normal"/>
    <w:link w:val="Heading8Char"/>
    <w:uiPriority w:val="99"/>
    <w:semiHidden/>
    <w:qFormat/>
    <w:rsid w:val="00750D68"/>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750D68"/>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50D68"/>
    <w:rPr>
      <w:rFonts w:ascii="Tahoma" w:hAnsi="Tahoma" w:cs="Tahoma"/>
      <w:sz w:val="16"/>
      <w:szCs w:val="16"/>
    </w:rPr>
  </w:style>
  <w:style w:type="character" w:customStyle="1" w:styleId="BalloonTextChar">
    <w:name w:val="Balloon Text Char"/>
    <w:basedOn w:val="DefaultParagraphFont"/>
    <w:link w:val="BalloonText"/>
    <w:uiPriority w:val="99"/>
    <w:semiHidden/>
    <w:rsid w:val="00750D68"/>
    <w:rPr>
      <w:rFonts w:ascii="Tahoma" w:eastAsiaTheme="minorEastAsia" w:hAnsi="Tahoma" w:cs="Tahoma"/>
      <w:sz w:val="16"/>
      <w:szCs w:val="16"/>
    </w:rPr>
  </w:style>
  <w:style w:type="character" w:styleId="BookTitle">
    <w:name w:val="Book Title"/>
    <w:uiPriority w:val="99"/>
    <w:semiHidden/>
    <w:qFormat/>
    <w:rsid w:val="00750D68"/>
    <w:rPr>
      <w:i/>
      <w:iCs/>
      <w:smallCaps/>
      <w:spacing w:val="5"/>
    </w:rPr>
  </w:style>
  <w:style w:type="paragraph" w:customStyle="1" w:styleId="ECHRHeader">
    <w:name w:val="ECHR_Header"/>
    <w:aliases w:val="Ju_Header"/>
    <w:basedOn w:val="Header"/>
    <w:uiPriority w:val="4"/>
    <w:qFormat/>
    <w:rsid w:val="00750D68"/>
    <w:pPr>
      <w:tabs>
        <w:tab w:val="clear" w:pos="4536"/>
        <w:tab w:val="clear" w:pos="9072"/>
        <w:tab w:val="center" w:pos="3686"/>
        <w:tab w:val="right" w:pos="7371"/>
      </w:tabs>
      <w:jc w:val="left"/>
    </w:pPr>
    <w:rPr>
      <w:sz w:val="18"/>
    </w:rPr>
  </w:style>
  <w:style w:type="paragraph" w:customStyle="1" w:styleId="ECHRFooter">
    <w:name w:val="ECHR_Footer"/>
    <w:aliases w:val="Footer_ECHR"/>
    <w:basedOn w:val="Footer"/>
    <w:uiPriority w:val="57"/>
    <w:semiHidden/>
    <w:rsid w:val="00750D68"/>
    <w:pPr>
      <w:jc w:val="left"/>
    </w:pPr>
    <w:rPr>
      <w:sz w:val="8"/>
    </w:rPr>
  </w:style>
  <w:style w:type="character" w:styleId="Strong">
    <w:name w:val="Strong"/>
    <w:uiPriority w:val="99"/>
    <w:semiHidden/>
    <w:qFormat/>
    <w:rsid w:val="00750D68"/>
    <w:rPr>
      <w:b/>
      <w:bCs/>
    </w:rPr>
  </w:style>
  <w:style w:type="paragraph" w:styleId="NoSpacing">
    <w:name w:val="No Spacing"/>
    <w:basedOn w:val="Normal"/>
    <w:link w:val="NoSpacingChar"/>
    <w:semiHidden/>
    <w:qFormat/>
    <w:rsid w:val="00750D68"/>
    <w:rPr>
      <w:sz w:val="22"/>
    </w:rPr>
  </w:style>
  <w:style w:type="character" w:customStyle="1" w:styleId="NoSpacingChar">
    <w:name w:val="No Spacing Char"/>
    <w:basedOn w:val="DefaultParagraphFont"/>
    <w:link w:val="NoSpacing"/>
    <w:semiHidden/>
    <w:rsid w:val="00750D68"/>
    <w:rPr>
      <w:rFonts w:eastAsiaTheme="minorEastAsia"/>
    </w:rPr>
  </w:style>
  <w:style w:type="paragraph" w:customStyle="1" w:styleId="ECHRFooterLine">
    <w:name w:val="ECHR_Footer_Line"/>
    <w:aliases w:val="Footer_Line"/>
    <w:basedOn w:val="Normal"/>
    <w:next w:val="ECHRFooter"/>
    <w:uiPriority w:val="57"/>
    <w:semiHidden/>
    <w:rsid w:val="00750D68"/>
    <w:pPr>
      <w:pBdr>
        <w:top w:val="single" w:sz="6" w:space="1" w:color="5F5F5F"/>
      </w:pBdr>
      <w:tabs>
        <w:tab w:val="center" w:pos="4536"/>
        <w:tab w:val="right" w:pos="9696"/>
      </w:tabs>
      <w:ind w:left="-680" w:right="-680"/>
      <w:jc w:val="left"/>
    </w:pPr>
    <w:rPr>
      <w:color w:val="5F5F5F"/>
    </w:rPr>
  </w:style>
  <w:style w:type="paragraph" w:customStyle="1" w:styleId="DecHTitle">
    <w:name w:val="Dec_H_Title"/>
    <w:basedOn w:val="ECHRTitleCentre1"/>
    <w:uiPriority w:val="7"/>
    <w:semiHidden/>
    <w:qFormat/>
    <w:rsid w:val="00750D68"/>
  </w:style>
  <w:style w:type="paragraph" w:customStyle="1" w:styleId="DecList">
    <w:name w:val="Dec_List"/>
    <w:basedOn w:val="Normal"/>
    <w:uiPriority w:val="9"/>
    <w:semiHidden/>
    <w:qFormat/>
    <w:rsid w:val="00750D68"/>
    <w:pPr>
      <w:spacing w:before="240"/>
      <w:ind w:left="284"/>
    </w:pPr>
  </w:style>
  <w:style w:type="paragraph" w:customStyle="1" w:styleId="DummyStyle">
    <w:name w:val="Dummy_Style"/>
    <w:basedOn w:val="Normal"/>
    <w:semiHidden/>
    <w:qFormat/>
    <w:rsid w:val="00750D68"/>
    <w:rPr>
      <w:color w:val="00B050"/>
    </w:rPr>
  </w:style>
  <w:style w:type="paragraph" w:customStyle="1" w:styleId="ECHRTitleCentre3">
    <w:name w:val="ECHR_Title_Centre_3"/>
    <w:aliases w:val="Ju_H_Article"/>
    <w:basedOn w:val="Normal"/>
    <w:next w:val="ECHRParaQuote"/>
    <w:uiPriority w:val="27"/>
    <w:qFormat/>
    <w:rsid w:val="00750D68"/>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750D68"/>
    <w:pPr>
      <w:keepNext/>
      <w:keepLines/>
      <w:spacing w:after="240"/>
      <w:jc w:val="center"/>
      <w:outlineLvl w:val="0"/>
    </w:pPr>
    <w:rPr>
      <w:rFonts w:asciiTheme="majorHAnsi" w:hAnsiTheme="majorHAnsi"/>
      <w:sz w:val="28"/>
    </w:rPr>
  </w:style>
  <w:style w:type="paragraph" w:customStyle="1" w:styleId="JuAppQuestion">
    <w:name w:val="Ju_App_Question"/>
    <w:basedOn w:val="Normal"/>
    <w:uiPriority w:val="5"/>
    <w:semiHidden/>
    <w:qFormat/>
    <w:rsid w:val="00750D68"/>
    <w:pPr>
      <w:numPr>
        <w:numId w:val="21"/>
      </w:numPr>
      <w:jc w:val="left"/>
    </w:pPr>
    <w:rPr>
      <w:b/>
    </w:rPr>
  </w:style>
  <w:style w:type="paragraph" w:customStyle="1" w:styleId="JuCourt">
    <w:name w:val="Ju_Court"/>
    <w:basedOn w:val="Normal"/>
    <w:next w:val="Normal"/>
    <w:uiPriority w:val="16"/>
    <w:qFormat/>
    <w:rsid w:val="00750D68"/>
    <w:pPr>
      <w:tabs>
        <w:tab w:val="left" w:pos="907"/>
        <w:tab w:val="left" w:pos="1701"/>
        <w:tab w:val="right" w:pos="7371"/>
      </w:tabs>
      <w:spacing w:before="240"/>
      <w:ind w:left="397" w:hanging="397"/>
      <w:jc w:val="left"/>
    </w:pPr>
    <w:rPr>
      <w:lang w:bidi="en-US"/>
    </w:rPr>
  </w:style>
  <w:style w:type="paragraph" w:customStyle="1" w:styleId="JuHeaderLandscape">
    <w:name w:val="Ju_Header_Landscape"/>
    <w:basedOn w:val="ECHRHeader"/>
    <w:uiPriority w:val="4"/>
    <w:qFormat/>
    <w:rsid w:val="00750D68"/>
    <w:pPr>
      <w:tabs>
        <w:tab w:val="clear" w:pos="3686"/>
        <w:tab w:val="clear" w:pos="7371"/>
        <w:tab w:val="center" w:pos="6146"/>
        <w:tab w:val="right" w:pos="12293"/>
      </w:tabs>
    </w:pPr>
  </w:style>
  <w:style w:type="paragraph" w:customStyle="1" w:styleId="ECHRTitleCentre2">
    <w:name w:val="ECHR_Title_Centre_2"/>
    <w:aliases w:val="Dec_H_Case"/>
    <w:basedOn w:val="Normal"/>
    <w:next w:val="ECHRPara"/>
    <w:uiPriority w:val="8"/>
    <w:qFormat/>
    <w:rsid w:val="00750D68"/>
    <w:pPr>
      <w:spacing w:after="240"/>
      <w:jc w:val="center"/>
      <w:outlineLvl w:val="0"/>
    </w:pPr>
    <w:rPr>
      <w:rFonts w:asciiTheme="majorHAnsi" w:hAnsiTheme="majorHAnsi"/>
    </w:rPr>
  </w:style>
  <w:style w:type="paragraph" w:customStyle="1" w:styleId="JuInitialled">
    <w:name w:val="Ju_Initialled"/>
    <w:basedOn w:val="Normal"/>
    <w:uiPriority w:val="31"/>
    <w:qFormat/>
    <w:rsid w:val="00750D68"/>
    <w:pPr>
      <w:tabs>
        <w:tab w:val="center" w:pos="6407"/>
      </w:tabs>
      <w:spacing w:before="720"/>
      <w:jc w:val="right"/>
    </w:pPr>
  </w:style>
  <w:style w:type="paragraph" w:styleId="Title">
    <w:name w:val="Title"/>
    <w:basedOn w:val="Normal"/>
    <w:next w:val="Normal"/>
    <w:link w:val="TitleChar"/>
    <w:uiPriority w:val="99"/>
    <w:semiHidden/>
    <w:qFormat/>
    <w:rsid w:val="00750D68"/>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750D68"/>
    <w:rPr>
      <w:rFonts w:asciiTheme="majorHAnsi" w:eastAsiaTheme="majorEastAsia" w:hAnsiTheme="majorHAnsi" w:cstheme="majorBidi"/>
      <w:spacing w:val="5"/>
      <w:sz w:val="52"/>
      <w:szCs w:val="52"/>
      <w:lang w:bidi="en-US"/>
    </w:rPr>
  </w:style>
  <w:style w:type="paragraph" w:customStyle="1" w:styleId="ECHRHeading3">
    <w:name w:val="ECHR_Heading_3"/>
    <w:aliases w:val="Ju_H_1."/>
    <w:basedOn w:val="Heading3"/>
    <w:next w:val="ECHRPara"/>
    <w:uiPriority w:val="21"/>
    <w:qFormat/>
    <w:rsid w:val="00750D68"/>
    <w:pPr>
      <w:keepNext/>
      <w:keepLines/>
      <w:tabs>
        <w:tab w:val="left" w:pos="731"/>
      </w:tabs>
      <w:spacing w:before="240" w:after="120" w:line="240" w:lineRule="auto"/>
      <w:ind w:left="732" w:hanging="301"/>
    </w:pPr>
    <w:rPr>
      <w:b w:val="0"/>
      <w:i/>
      <w:color w:val="auto"/>
    </w:rPr>
  </w:style>
  <w:style w:type="paragraph" w:customStyle="1" w:styleId="ECHRHeading4">
    <w:name w:val="ECHR_Heading_4"/>
    <w:aliases w:val="Ju_H_a"/>
    <w:basedOn w:val="Heading4"/>
    <w:next w:val="ECHRPara"/>
    <w:uiPriority w:val="22"/>
    <w:qFormat/>
    <w:rsid w:val="00750D68"/>
    <w:pPr>
      <w:keepNext/>
      <w:keepLines/>
      <w:tabs>
        <w:tab w:val="left" w:pos="975"/>
      </w:tabs>
      <w:spacing w:before="240" w:after="120"/>
      <w:ind w:left="975" w:hanging="340"/>
    </w:pPr>
    <w:rPr>
      <w:i w:val="0"/>
      <w:color w:val="auto"/>
      <w:sz w:val="20"/>
    </w:rPr>
  </w:style>
  <w:style w:type="paragraph" w:customStyle="1" w:styleId="ECHRHeading5">
    <w:name w:val="ECHR_Heading_5"/>
    <w:aliases w:val="Ju_H_i"/>
    <w:basedOn w:val="Heading5"/>
    <w:next w:val="ECHRPara"/>
    <w:uiPriority w:val="23"/>
    <w:qFormat/>
    <w:rsid w:val="00750D68"/>
    <w:pPr>
      <w:keepNext/>
      <w:keepLines/>
      <w:tabs>
        <w:tab w:val="left" w:pos="1191"/>
      </w:tabs>
      <w:spacing w:before="240" w:after="120"/>
      <w:ind w:left="1190" w:hanging="357"/>
    </w:pPr>
    <w:rPr>
      <w:b w:val="0"/>
      <w:i/>
      <w:color w:val="auto"/>
      <w:sz w:val="20"/>
    </w:rPr>
  </w:style>
  <w:style w:type="paragraph" w:customStyle="1" w:styleId="ECHRHeading6">
    <w:name w:val="ECHR_Heading_6"/>
    <w:aliases w:val="Ju_H_alpha"/>
    <w:basedOn w:val="Heading6"/>
    <w:next w:val="ECHRPara"/>
    <w:uiPriority w:val="24"/>
    <w:qFormat/>
    <w:rsid w:val="00750D68"/>
    <w:pPr>
      <w:keepNext/>
      <w:keepLines/>
      <w:tabs>
        <w:tab w:val="left" w:pos="1372"/>
      </w:tabs>
      <w:spacing w:before="240" w:after="120" w:line="240" w:lineRule="auto"/>
      <w:ind w:left="1373" w:hanging="335"/>
    </w:pPr>
    <w:rPr>
      <w:b w:val="0"/>
      <w:color w:val="auto"/>
      <w:sz w:val="20"/>
    </w:rPr>
  </w:style>
  <w:style w:type="paragraph" w:customStyle="1" w:styleId="ECHRHeading7">
    <w:name w:val="ECHR_Heading_7"/>
    <w:aliases w:val="Ju_H_–"/>
    <w:basedOn w:val="Heading7"/>
    <w:next w:val="ECHRPara"/>
    <w:uiPriority w:val="25"/>
    <w:qFormat/>
    <w:rsid w:val="00750D68"/>
    <w:pPr>
      <w:keepNext/>
      <w:keepLines/>
      <w:spacing w:before="240" w:after="120"/>
      <w:ind w:left="1236"/>
    </w:pPr>
    <w:rPr>
      <w:sz w:val="20"/>
    </w:rPr>
  </w:style>
  <w:style w:type="character" w:customStyle="1" w:styleId="JuITMark">
    <w:name w:val="Ju_ITMark"/>
    <w:basedOn w:val="DefaultParagraphFont"/>
    <w:uiPriority w:val="38"/>
    <w:qFormat/>
    <w:rsid w:val="00750D68"/>
    <w:rPr>
      <w:vanish w:val="0"/>
      <w:color w:val="auto"/>
      <w:sz w:val="14"/>
      <w:bdr w:val="none" w:sz="0" w:space="0" w:color="auto"/>
      <w:shd w:val="clear" w:color="auto" w:fill="BEE5FF" w:themeFill="background1" w:themeFillTint="33"/>
    </w:rPr>
  </w:style>
  <w:style w:type="paragraph" w:customStyle="1" w:styleId="JuListi">
    <w:name w:val="Ju_List_i"/>
    <w:basedOn w:val="Normal"/>
    <w:next w:val="JuLista"/>
    <w:uiPriority w:val="28"/>
    <w:qFormat/>
    <w:rsid w:val="00750D68"/>
    <w:pPr>
      <w:ind w:left="794"/>
    </w:pPr>
  </w:style>
  <w:style w:type="character" w:customStyle="1" w:styleId="JUNAMES">
    <w:name w:val="JU_NAMES"/>
    <w:uiPriority w:val="17"/>
    <w:qFormat/>
    <w:rsid w:val="00750D68"/>
    <w:rPr>
      <w:caps w:val="0"/>
      <w:smallCaps/>
    </w:rPr>
  </w:style>
  <w:style w:type="paragraph" w:styleId="Header">
    <w:name w:val="header"/>
    <w:basedOn w:val="Normal"/>
    <w:link w:val="HeaderChar"/>
    <w:uiPriority w:val="57"/>
    <w:semiHidden/>
    <w:rsid w:val="00750D68"/>
    <w:pPr>
      <w:tabs>
        <w:tab w:val="center" w:pos="4536"/>
        <w:tab w:val="right" w:pos="9072"/>
      </w:tabs>
    </w:pPr>
    <w:rPr>
      <w:rFonts w:eastAsiaTheme="minorHAnsi"/>
    </w:rPr>
  </w:style>
  <w:style w:type="character" w:customStyle="1" w:styleId="HeaderChar">
    <w:name w:val="Header Char"/>
    <w:basedOn w:val="DefaultParagraphFont"/>
    <w:link w:val="Header"/>
    <w:uiPriority w:val="57"/>
    <w:semiHidden/>
    <w:rsid w:val="00750D68"/>
    <w:rPr>
      <w:sz w:val="24"/>
    </w:rPr>
  </w:style>
  <w:style w:type="character" w:customStyle="1" w:styleId="Heading1Char">
    <w:name w:val="Heading 1 Char"/>
    <w:basedOn w:val="DefaultParagraphFont"/>
    <w:link w:val="Heading1"/>
    <w:uiPriority w:val="99"/>
    <w:semiHidden/>
    <w:rsid w:val="00750D68"/>
    <w:rPr>
      <w:rFonts w:asciiTheme="majorHAnsi" w:eastAsiaTheme="majorEastAsia" w:hAnsiTheme="majorHAnsi" w:cstheme="majorBidi"/>
      <w:b/>
      <w:bCs/>
      <w:color w:val="333333"/>
      <w:sz w:val="28"/>
      <w:szCs w:val="28"/>
    </w:rPr>
  </w:style>
  <w:style w:type="paragraph" w:customStyle="1" w:styleId="ECHRHeading1">
    <w:name w:val="ECHR_Heading_1"/>
    <w:aliases w:val="Ju_H_I_Roman"/>
    <w:basedOn w:val="Heading1"/>
    <w:next w:val="ECHRPara"/>
    <w:uiPriority w:val="19"/>
    <w:qFormat/>
    <w:rsid w:val="00750D68"/>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
    <w:basedOn w:val="Heading2"/>
    <w:next w:val="ECHRPara"/>
    <w:uiPriority w:val="20"/>
    <w:qFormat/>
    <w:rsid w:val="00750D68"/>
    <w:pPr>
      <w:keepNext/>
      <w:keepLines/>
      <w:tabs>
        <w:tab w:val="left" w:pos="584"/>
      </w:tabs>
      <w:spacing w:before="360" w:after="240"/>
      <w:ind w:left="584" w:hanging="352"/>
    </w:pPr>
    <w:rPr>
      <w:color w:val="auto"/>
      <w:sz w:val="24"/>
    </w:rPr>
  </w:style>
  <w:style w:type="character" w:customStyle="1" w:styleId="Heading2Char">
    <w:name w:val="Heading 2 Char"/>
    <w:basedOn w:val="DefaultParagraphFont"/>
    <w:link w:val="Heading2"/>
    <w:uiPriority w:val="99"/>
    <w:semiHidden/>
    <w:rsid w:val="00750D68"/>
    <w:rPr>
      <w:rFonts w:asciiTheme="majorHAnsi" w:eastAsiaTheme="majorEastAsia" w:hAnsiTheme="majorHAnsi" w:cstheme="majorBidi"/>
      <w:b/>
      <w:bCs/>
      <w:color w:val="4D4D4D"/>
      <w:sz w:val="26"/>
      <w:szCs w:val="26"/>
    </w:rPr>
  </w:style>
  <w:style w:type="paragraph" w:customStyle="1" w:styleId="JuParaSub">
    <w:name w:val="Ju_Para_Sub"/>
    <w:basedOn w:val="ECHRPara"/>
    <w:uiPriority w:val="13"/>
    <w:qFormat/>
    <w:rsid w:val="00750D68"/>
    <w:pPr>
      <w:ind w:left="284"/>
    </w:pPr>
  </w:style>
  <w:style w:type="paragraph" w:customStyle="1" w:styleId="JuCase">
    <w:name w:val="Ju_Case"/>
    <w:basedOn w:val="Normal"/>
    <w:next w:val="ECHRPara"/>
    <w:uiPriority w:val="10"/>
    <w:rsid w:val="00750D68"/>
    <w:pPr>
      <w:ind w:firstLine="284"/>
    </w:pPr>
    <w:rPr>
      <w:b/>
    </w:rPr>
  </w:style>
  <w:style w:type="character" w:customStyle="1" w:styleId="Heading3Char">
    <w:name w:val="Heading 3 Char"/>
    <w:basedOn w:val="DefaultParagraphFont"/>
    <w:link w:val="Heading3"/>
    <w:uiPriority w:val="99"/>
    <w:semiHidden/>
    <w:rsid w:val="00750D68"/>
    <w:rPr>
      <w:rFonts w:asciiTheme="majorHAnsi" w:eastAsiaTheme="majorEastAsia" w:hAnsiTheme="majorHAnsi" w:cstheme="majorBidi"/>
      <w:b/>
      <w:bCs/>
      <w:color w:val="5F5F5F"/>
      <w:sz w:val="24"/>
    </w:rPr>
  </w:style>
  <w:style w:type="character" w:customStyle="1" w:styleId="Heading4Char">
    <w:name w:val="Heading 4 Char"/>
    <w:basedOn w:val="DefaultParagraphFont"/>
    <w:link w:val="Heading4"/>
    <w:uiPriority w:val="99"/>
    <w:semiHidden/>
    <w:rsid w:val="00750D68"/>
    <w:rPr>
      <w:rFonts w:asciiTheme="majorHAnsi" w:eastAsiaTheme="majorEastAsia" w:hAnsiTheme="majorHAnsi" w:cstheme="majorBidi"/>
      <w:b/>
      <w:bCs/>
      <w:i/>
      <w:iCs/>
      <w:color w:val="777777"/>
      <w:sz w:val="24"/>
    </w:rPr>
  </w:style>
  <w:style w:type="character" w:customStyle="1" w:styleId="Heading5Char">
    <w:name w:val="Heading 5 Char"/>
    <w:basedOn w:val="DefaultParagraphFont"/>
    <w:link w:val="Heading5"/>
    <w:uiPriority w:val="99"/>
    <w:semiHidden/>
    <w:rsid w:val="00750D68"/>
    <w:rPr>
      <w:rFonts w:asciiTheme="majorHAnsi" w:eastAsiaTheme="majorEastAsia" w:hAnsiTheme="majorHAnsi" w:cstheme="majorBidi"/>
      <w:b/>
      <w:bCs/>
      <w:color w:val="808080"/>
    </w:rPr>
  </w:style>
  <w:style w:type="character" w:styleId="SubtleEmphasis">
    <w:name w:val="Subtle Emphasis"/>
    <w:uiPriority w:val="99"/>
    <w:semiHidden/>
    <w:qFormat/>
    <w:rsid w:val="00750D68"/>
    <w:rPr>
      <w:i/>
      <w:iCs/>
    </w:r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ECHRTitle1">
    <w:name w:val="ECHR_Title_1"/>
    <w:aliases w:val="Ju_H_Head"/>
    <w:basedOn w:val="Normal"/>
    <w:next w:val="ECHRPara"/>
    <w:uiPriority w:val="18"/>
    <w:qFormat/>
    <w:rsid w:val="00750D68"/>
    <w:pPr>
      <w:keepNext/>
      <w:keepLines/>
      <w:spacing w:before="720" w:after="240"/>
      <w:outlineLvl w:val="0"/>
    </w:pPr>
    <w:rPr>
      <w:rFonts w:asciiTheme="majorHAnsi" w:hAnsiTheme="majorHAnsi"/>
      <w:sz w:val="28"/>
    </w:rPr>
  </w:style>
  <w:style w:type="character" w:styleId="Emphasis">
    <w:name w:val="Emphasis"/>
    <w:uiPriority w:val="99"/>
    <w:semiHidden/>
    <w:qFormat/>
    <w:rsid w:val="00750D68"/>
    <w:rPr>
      <w:b/>
      <w:bCs/>
      <w:i/>
      <w:iCs/>
      <w:spacing w:val="10"/>
      <w:bdr w:val="none" w:sz="0" w:space="0" w:color="auto"/>
      <w:shd w:val="clear" w:color="auto" w:fill="auto"/>
    </w:rPr>
  </w:style>
  <w:style w:type="paragraph" w:styleId="Footer">
    <w:name w:val="footer"/>
    <w:basedOn w:val="Normal"/>
    <w:link w:val="FooterChar"/>
    <w:uiPriority w:val="57"/>
    <w:semiHidden/>
    <w:rsid w:val="00750D68"/>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750D68"/>
    <w:rPr>
      <w:sz w:val="24"/>
    </w:rPr>
  </w:style>
  <w:style w:type="character" w:styleId="FootnoteReference">
    <w:name w:val="footnote reference"/>
    <w:basedOn w:val="DefaultParagraphFont"/>
    <w:uiPriority w:val="99"/>
    <w:semiHidden/>
    <w:rsid w:val="00750D68"/>
    <w:rPr>
      <w:vertAlign w:val="superscript"/>
    </w:rPr>
  </w:style>
  <w:style w:type="paragraph" w:styleId="FootnoteText">
    <w:name w:val="footnote text"/>
    <w:basedOn w:val="Normal"/>
    <w:link w:val="FootnoteTextChar"/>
    <w:uiPriority w:val="99"/>
    <w:semiHidden/>
    <w:rsid w:val="00750D68"/>
    <w:rPr>
      <w:sz w:val="20"/>
      <w:szCs w:val="20"/>
    </w:rPr>
  </w:style>
  <w:style w:type="character" w:customStyle="1" w:styleId="FootnoteTextChar">
    <w:name w:val="Footnote Text Char"/>
    <w:basedOn w:val="DefaultParagraphFont"/>
    <w:link w:val="FootnoteText"/>
    <w:uiPriority w:val="99"/>
    <w:semiHidden/>
    <w:rsid w:val="00750D68"/>
    <w:rPr>
      <w:rFonts w:eastAsiaTheme="minorEastAsia"/>
      <w:sz w:val="20"/>
      <w:szCs w:val="20"/>
    </w:rPr>
  </w:style>
  <w:style w:type="character" w:customStyle="1" w:styleId="Heading6Char">
    <w:name w:val="Heading 6 Char"/>
    <w:basedOn w:val="DefaultParagraphFont"/>
    <w:link w:val="Heading6"/>
    <w:uiPriority w:val="99"/>
    <w:semiHidden/>
    <w:rsid w:val="00750D68"/>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750D68"/>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750D68"/>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750D68"/>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750D68"/>
    <w:rPr>
      <w:color w:val="0072BC" w:themeColor="hyperlink"/>
      <w:u w:val="single"/>
    </w:rPr>
  </w:style>
  <w:style w:type="character" w:styleId="IntenseEmphasis">
    <w:name w:val="Intense Emphasis"/>
    <w:uiPriority w:val="99"/>
    <w:semiHidden/>
    <w:qFormat/>
    <w:rsid w:val="00750D68"/>
    <w:rPr>
      <w:b/>
      <w:bCs/>
    </w:rPr>
  </w:style>
  <w:style w:type="paragraph" w:styleId="IntenseQuote">
    <w:name w:val="Intense Quote"/>
    <w:basedOn w:val="Normal"/>
    <w:next w:val="Normal"/>
    <w:link w:val="IntenseQuoteChar"/>
    <w:uiPriority w:val="99"/>
    <w:semiHidden/>
    <w:qFormat/>
    <w:rsid w:val="00750D68"/>
    <w:pPr>
      <w:pBdr>
        <w:bottom w:val="single" w:sz="4" w:space="1" w:color="auto"/>
      </w:pBdr>
      <w:spacing w:before="200" w:after="280"/>
      <w:ind w:left="1008" w:right="1152"/>
    </w:pPr>
    <w:rPr>
      <w:b/>
      <w:bCs/>
      <w:i/>
      <w:iCs/>
      <w:sz w:val="22"/>
      <w:lang w:bidi="en-US"/>
    </w:rPr>
  </w:style>
  <w:style w:type="character" w:customStyle="1" w:styleId="IntenseQuoteChar">
    <w:name w:val="Intense Quote Char"/>
    <w:basedOn w:val="DefaultParagraphFont"/>
    <w:link w:val="IntenseQuote"/>
    <w:uiPriority w:val="99"/>
    <w:semiHidden/>
    <w:rsid w:val="00750D68"/>
    <w:rPr>
      <w:rFonts w:eastAsiaTheme="minorEastAsia"/>
      <w:b/>
      <w:bCs/>
      <w:i/>
      <w:iCs/>
      <w:lang w:bidi="en-US"/>
    </w:rPr>
  </w:style>
  <w:style w:type="character" w:styleId="IntenseReference">
    <w:name w:val="Intense Reference"/>
    <w:uiPriority w:val="99"/>
    <w:semiHidden/>
    <w:qFormat/>
    <w:rsid w:val="00750D68"/>
    <w:rPr>
      <w:smallCaps/>
      <w:spacing w:val="5"/>
      <w:u w:val="single"/>
    </w:rPr>
  </w:style>
  <w:style w:type="paragraph" w:styleId="ListParagraph">
    <w:name w:val="List Paragraph"/>
    <w:basedOn w:val="Normal"/>
    <w:uiPriority w:val="99"/>
    <w:semiHidden/>
    <w:qFormat/>
    <w:rsid w:val="00750D68"/>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750D68"/>
    <w:pPr>
      <w:spacing w:before="200"/>
      <w:ind w:left="360" w:right="360"/>
    </w:pPr>
    <w:rPr>
      <w:i/>
      <w:iCs/>
      <w:sz w:val="22"/>
      <w:lang w:bidi="en-US"/>
    </w:rPr>
  </w:style>
  <w:style w:type="character" w:customStyle="1" w:styleId="QuoteChar">
    <w:name w:val="Quote Char"/>
    <w:basedOn w:val="DefaultParagraphFont"/>
    <w:link w:val="Quote"/>
    <w:uiPriority w:val="99"/>
    <w:semiHidden/>
    <w:rsid w:val="00750D68"/>
    <w:rPr>
      <w:rFonts w:eastAsiaTheme="minorEastAsia"/>
      <w:i/>
      <w:iCs/>
      <w:lang w:bidi="en-US"/>
    </w:rPr>
  </w:style>
  <w:style w:type="character" w:styleId="SubtleReference">
    <w:name w:val="Subtle Reference"/>
    <w:uiPriority w:val="99"/>
    <w:semiHidden/>
    <w:qFormat/>
    <w:rsid w:val="00750D68"/>
    <w:rPr>
      <w:smallCaps/>
    </w:rPr>
  </w:style>
  <w:style w:type="table" w:styleId="TableGrid">
    <w:name w:val="Table Grid"/>
    <w:basedOn w:val="TableNormal"/>
    <w:uiPriority w:val="59"/>
    <w:semiHidden/>
    <w:rsid w:val="00750D68"/>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750D68"/>
    <w:pPr>
      <w:keepNext/>
      <w:tabs>
        <w:tab w:val="right" w:leader="dot" w:pos="7371"/>
      </w:tabs>
      <w:spacing w:before="160" w:after="60" w:line="240" w:lineRule="exact"/>
      <w:ind w:left="340" w:right="567" w:hanging="340"/>
    </w:pPr>
    <w:rPr>
      <w:b/>
      <w:sz w:val="22"/>
    </w:rPr>
  </w:style>
  <w:style w:type="paragraph" w:styleId="TOC2">
    <w:name w:val="toc 2"/>
    <w:basedOn w:val="Normal"/>
    <w:next w:val="Normal"/>
    <w:autoRedefine/>
    <w:uiPriority w:val="99"/>
    <w:semiHidden/>
    <w:rsid w:val="00750D68"/>
    <w:pPr>
      <w:keepNext/>
      <w:tabs>
        <w:tab w:val="right" w:leader="dot" w:pos="7371"/>
      </w:tabs>
      <w:spacing w:after="60" w:line="240" w:lineRule="exact"/>
      <w:ind w:left="680" w:right="567" w:hanging="340"/>
    </w:pPr>
    <w:rPr>
      <w:sz w:val="22"/>
    </w:rPr>
  </w:style>
  <w:style w:type="paragraph" w:styleId="TOC3">
    <w:name w:val="toc 3"/>
    <w:basedOn w:val="Normal"/>
    <w:next w:val="Normal"/>
    <w:autoRedefine/>
    <w:uiPriority w:val="99"/>
    <w:semiHidden/>
    <w:rsid w:val="00750D68"/>
    <w:pPr>
      <w:keepNext/>
      <w:tabs>
        <w:tab w:val="right" w:leader="dot" w:pos="7371"/>
      </w:tabs>
      <w:spacing w:after="60" w:line="240" w:lineRule="exact"/>
      <w:ind w:left="1020" w:right="567" w:hanging="340"/>
    </w:pPr>
    <w:rPr>
      <w:sz w:val="20"/>
    </w:rPr>
  </w:style>
  <w:style w:type="paragraph" w:styleId="TOC4">
    <w:name w:val="toc 4"/>
    <w:basedOn w:val="Normal"/>
    <w:next w:val="Normal"/>
    <w:autoRedefine/>
    <w:uiPriority w:val="99"/>
    <w:semiHidden/>
    <w:rsid w:val="00750D68"/>
    <w:pPr>
      <w:tabs>
        <w:tab w:val="right" w:leader="dot" w:pos="7371"/>
      </w:tabs>
      <w:spacing w:after="60" w:line="240" w:lineRule="exact"/>
      <w:ind w:left="1361" w:right="567" w:hanging="340"/>
    </w:pPr>
    <w:rPr>
      <w:sz w:val="20"/>
    </w:rPr>
  </w:style>
  <w:style w:type="paragraph" w:styleId="TOC5">
    <w:name w:val="toc 5"/>
    <w:basedOn w:val="Normal"/>
    <w:next w:val="Normal"/>
    <w:autoRedefine/>
    <w:uiPriority w:val="99"/>
    <w:semiHidden/>
    <w:rsid w:val="00750D68"/>
    <w:pPr>
      <w:tabs>
        <w:tab w:val="right" w:leader="dot" w:pos="7371"/>
      </w:tabs>
      <w:spacing w:after="60" w:line="240" w:lineRule="exact"/>
      <w:ind w:left="1701" w:right="567" w:hanging="340"/>
    </w:pPr>
    <w:rPr>
      <w:sz w:val="20"/>
    </w:rPr>
  </w:style>
  <w:style w:type="paragraph" w:styleId="TOCHeading">
    <w:name w:val="TOC Heading"/>
    <w:basedOn w:val="Normal"/>
    <w:next w:val="Normal"/>
    <w:uiPriority w:val="99"/>
    <w:semiHidden/>
    <w:qFormat/>
    <w:rsid w:val="00750D68"/>
    <w:pPr>
      <w:keepNext/>
      <w:keepLines/>
      <w:spacing w:before="240"/>
      <w:contextualSpacing/>
      <w:jc w:val="center"/>
    </w:pPr>
    <w:rPr>
      <w:rFonts w:asciiTheme="majorHAnsi" w:eastAsiaTheme="minorHAnsi" w:hAnsiTheme="majorHAnsi"/>
      <w:b/>
      <w:color w:val="474747" w:themeColor="accent3" w:themeShade="BF"/>
      <w:sz w:val="28"/>
    </w:rPr>
  </w:style>
  <w:style w:type="table" w:customStyle="1" w:styleId="UGTable">
    <w:name w:val="UG_Table"/>
    <w:basedOn w:val="TableNormal"/>
    <w:uiPriority w:val="99"/>
    <w:rsid w:val="00801300"/>
    <w:rPr>
      <w:rFonts w:eastAsiaTheme="minorEastAsia"/>
      <w:sz w:val="20"/>
      <w:lang w:val="en-GB" w:eastAsia="en-GB"/>
    </w:rPr>
    <w:tblPr>
      <w:tblInd w:w="-1191" w:type="dxa"/>
      <w:tblCellMar>
        <w:top w:w="57" w:type="dxa"/>
        <w:left w:w="0" w:type="dxa"/>
        <w:right w:w="0"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801300"/>
    <w:rPr>
      <w:rFonts w:eastAsiaTheme="minorEastAsia"/>
      <w:lang w:val="en-GB" w:eastAsia="en-GB"/>
    </w:rPr>
    <w:tblPr>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750D68"/>
    <w:pPr>
      <w:keepNext/>
      <w:keepLines/>
      <w:spacing w:before="240"/>
      <w:contextualSpacing/>
      <w:jc w:val="center"/>
    </w:pPr>
    <w:rPr>
      <w:rFonts w:asciiTheme="majorHAnsi" w:eastAsiaTheme="majorEastAsia" w:hAnsiTheme="majorHAnsi" w:cstheme="majorBidi"/>
      <w:b/>
      <w:bCs/>
      <w:color w:val="474747" w:themeColor="accent3" w:themeShade="BF"/>
      <w:sz w:val="28"/>
      <w:szCs w:val="24"/>
    </w:rPr>
  </w:style>
  <w:style w:type="paragraph" w:customStyle="1" w:styleId="ECHRParaQuote">
    <w:name w:val="ECHR_Para_Quote"/>
    <w:aliases w:val="Ju_Quot"/>
    <w:basedOn w:val="Normal"/>
    <w:link w:val="JuQuotChar"/>
    <w:uiPriority w:val="14"/>
    <w:qFormat/>
    <w:rsid w:val="00750D68"/>
    <w:pPr>
      <w:spacing w:before="120" w:after="120"/>
      <w:ind w:left="425" w:firstLine="142"/>
    </w:pPr>
    <w:rPr>
      <w:sz w:val="20"/>
    </w:rPr>
  </w:style>
  <w:style w:type="paragraph" w:customStyle="1" w:styleId="ECHRPara">
    <w:name w:val="ECHR_Para"/>
    <w:aliases w:val="Ju_Para"/>
    <w:basedOn w:val="Normal"/>
    <w:link w:val="ECHRParaChar"/>
    <w:uiPriority w:val="12"/>
    <w:qFormat/>
    <w:rsid w:val="00750D68"/>
    <w:pPr>
      <w:ind w:firstLine="284"/>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750D68"/>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customStyle="1" w:styleId="ECHRDecisionBody">
    <w:name w:val="ECHR_Decision_Body"/>
    <w:aliases w:val="Ju_Judges"/>
    <w:basedOn w:val="Normal"/>
    <w:uiPriority w:val="11"/>
    <w:qFormat/>
    <w:rsid w:val="00750D68"/>
    <w:pPr>
      <w:tabs>
        <w:tab w:val="left" w:pos="567"/>
        <w:tab w:val="left" w:pos="1134"/>
      </w:tabs>
      <w:jc w:val="left"/>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List">
    <w:name w:val="Ju_List"/>
    <w:basedOn w:val="Normal"/>
    <w:link w:val="JuListChar"/>
    <w:uiPriority w:val="28"/>
    <w:qFormat/>
    <w:rsid w:val="00750D68"/>
    <w:pPr>
      <w:ind w:left="340" w:hanging="340"/>
    </w:pPr>
  </w:style>
  <w:style w:type="paragraph" w:customStyle="1" w:styleId="JuSigned">
    <w:name w:val="Ju_Signed"/>
    <w:basedOn w:val="Normal"/>
    <w:next w:val="JuParaLast"/>
    <w:uiPriority w:val="32"/>
    <w:qFormat/>
    <w:rsid w:val="00750D68"/>
    <w:pPr>
      <w:tabs>
        <w:tab w:val="center" w:pos="851"/>
        <w:tab w:val="center" w:pos="6407"/>
      </w:tabs>
      <w:spacing w:before="720"/>
      <w:jc w:val="left"/>
    </w:pPr>
  </w:style>
  <w:style w:type="paragraph" w:customStyle="1" w:styleId="JuParaLast">
    <w:name w:val="Ju_Para_Last"/>
    <w:basedOn w:val="Normal"/>
    <w:next w:val="ECHRPara"/>
    <w:uiPriority w:val="30"/>
    <w:qFormat/>
    <w:rsid w:val="00750D68"/>
    <w:pPr>
      <w:keepNext/>
      <w:keepLines/>
      <w:spacing w:before="240"/>
      <w:ind w:firstLine="284"/>
    </w:pPr>
  </w:style>
  <w:style w:type="paragraph" w:customStyle="1" w:styleId="JuQuotSub">
    <w:name w:val="Ju_Quot_Sub"/>
    <w:basedOn w:val="ECHRParaQuote"/>
    <w:uiPriority w:val="15"/>
    <w:qFormat/>
    <w:rsid w:val="00750D68"/>
    <w:pPr>
      <w:ind w:left="567"/>
    </w:pPr>
  </w:style>
  <w:style w:type="character" w:styleId="PageNumber">
    <w:name w:val="page number"/>
    <w:uiPriority w:val="99"/>
    <w:semiHidden/>
    <w:rsid w:val="00014566"/>
    <w:rPr>
      <w:sz w:val="18"/>
    </w:rPr>
  </w:style>
  <w:style w:type="paragraph" w:customStyle="1" w:styleId="JuLista">
    <w:name w:val="Ju_List_a"/>
    <w:basedOn w:val="JuList"/>
    <w:uiPriority w:val="28"/>
    <w:qFormat/>
    <w:rsid w:val="00750D68"/>
    <w:pPr>
      <w:ind w:left="346" w:firstLine="0"/>
    </w:pPr>
  </w:style>
  <w:style w:type="paragraph" w:customStyle="1" w:styleId="JuTitle">
    <w:name w:val="Ju_Title"/>
    <w:basedOn w:val="Normal"/>
    <w:next w:val="ECHRPara"/>
    <w:uiPriority w:val="3"/>
    <w:semiHidden/>
    <w:qFormat/>
    <w:rsid w:val="00750D68"/>
    <w:pPr>
      <w:spacing w:before="720" w:after="240"/>
      <w:jc w:val="center"/>
      <w:outlineLvl w:val="0"/>
    </w:pPr>
    <w:rPr>
      <w:rFonts w:asciiTheme="majorHAnsi" w:hAnsiTheme="majorHAnsi"/>
      <w:b/>
      <w:caps/>
    </w:rPr>
  </w:style>
  <w:style w:type="character" w:styleId="CommentReference">
    <w:name w:val="annotation reference"/>
    <w:uiPriority w:val="99"/>
    <w:semiHidden/>
    <w:rsid w:val="00014566"/>
    <w:rPr>
      <w:sz w:val="16"/>
    </w:rPr>
  </w:style>
  <w:style w:type="paragraph" w:styleId="CommentText">
    <w:name w:val="annotation text"/>
    <w:basedOn w:val="Normal"/>
    <w:link w:val="CommentTextChar"/>
    <w:semiHidden/>
    <w:rsid w:val="00014566"/>
    <w:rPr>
      <w:sz w:val="20"/>
    </w:rPr>
  </w:style>
  <w:style w:type="character" w:customStyle="1" w:styleId="CommentTextChar">
    <w:name w:val="Comment Text Char"/>
    <w:basedOn w:val="DefaultParagraphFont"/>
    <w:link w:val="CommentText"/>
    <w:semiHidden/>
    <w:rsid w:val="00014566"/>
    <w:rPr>
      <w:rFonts w:eastAsiaTheme="minorEastAsia"/>
      <w:sz w:val="20"/>
    </w:rPr>
  </w:style>
  <w:style w:type="paragraph" w:styleId="CommentSubject">
    <w:name w:val="annotation subject"/>
    <w:basedOn w:val="CommentText"/>
    <w:next w:val="CommentText"/>
    <w:link w:val="CommentSubjectChar"/>
    <w:uiPriority w:val="99"/>
    <w:semiHidden/>
    <w:rsid w:val="00014566"/>
    <w:rPr>
      <w:b/>
      <w:bCs/>
    </w:rPr>
  </w:style>
  <w:style w:type="character" w:customStyle="1" w:styleId="CommentSubjectChar">
    <w:name w:val="Comment Subject Char"/>
    <w:basedOn w:val="CommentTextChar"/>
    <w:link w:val="CommentSubject"/>
    <w:uiPriority w:val="99"/>
    <w:semiHidden/>
    <w:rsid w:val="00014566"/>
    <w:rPr>
      <w:rFonts w:eastAsiaTheme="minorEastAsia"/>
      <w:b/>
      <w:bCs/>
      <w:sz w:val="20"/>
    </w:rPr>
  </w:style>
  <w:style w:type="character" w:styleId="EndnoteReference">
    <w:name w:val="endnote reference"/>
    <w:uiPriority w:val="99"/>
    <w:semiHidden/>
    <w:rsid w:val="00014566"/>
    <w:rPr>
      <w:vertAlign w:val="superscript"/>
    </w:rPr>
  </w:style>
  <w:style w:type="paragraph" w:styleId="EndnoteText">
    <w:name w:val="endnote text"/>
    <w:basedOn w:val="Normal"/>
    <w:link w:val="EndnoteTextChar"/>
    <w:uiPriority w:val="99"/>
    <w:semiHidden/>
    <w:rsid w:val="00014566"/>
    <w:rPr>
      <w:sz w:val="20"/>
    </w:rPr>
  </w:style>
  <w:style w:type="character" w:customStyle="1" w:styleId="EndnoteTextChar">
    <w:name w:val="Endnote Text Char"/>
    <w:basedOn w:val="DefaultParagraphFont"/>
    <w:link w:val="EndnoteText"/>
    <w:uiPriority w:val="99"/>
    <w:semiHidden/>
    <w:rsid w:val="00014566"/>
    <w:rPr>
      <w:rFonts w:eastAsiaTheme="minorEastAsia"/>
      <w:sz w:val="20"/>
    </w:rPr>
  </w:style>
  <w:style w:type="character" w:styleId="FollowedHyperlink">
    <w:name w:val="FollowedHyperlink"/>
    <w:uiPriority w:val="99"/>
    <w:semiHidden/>
    <w:rsid w:val="00014566"/>
    <w:rPr>
      <w:color w:val="800080"/>
      <w:u w:val="single"/>
    </w:rPr>
  </w:style>
  <w:style w:type="paragraph" w:styleId="DocumentMap">
    <w:name w:val="Document Map"/>
    <w:basedOn w:val="Normal"/>
    <w:link w:val="DocumentMapChar"/>
    <w:uiPriority w:val="99"/>
    <w:semiHidden/>
    <w:rsid w:val="00014566"/>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rsid w:val="00014566"/>
    <w:rPr>
      <w:rFonts w:ascii="Tahoma" w:eastAsiaTheme="minorEastAsia" w:hAnsi="Tahoma" w:cs="Tahoma"/>
      <w:sz w:val="20"/>
      <w:shd w:val="clear" w:color="auto" w:fill="000080"/>
    </w:rPr>
  </w:style>
  <w:style w:type="paragraph" w:customStyle="1" w:styleId="OpiH1">
    <w:name w:val="Opi_H_1"/>
    <w:basedOn w:val="ECHRHeading2"/>
    <w:uiPriority w:val="42"/>
    <w:qFormat/>
    <w:rsid w:val="00750D68"/>
    <w:pPr>
      <w:ind w:left="635" w:hanging="357"/>
      <w:outlineLvl w:val="2"/>
    </w:pPr>
  </w:style>
  <w:style w:type="paragraph" w:styleId="ListBullet">
    <w:name w:val="List Bullet"/>
    <w:basedOn w:val="Normal"/>
    <w:uiPriority w:val="99"/>
    <w:semiHidden/>
    <w:rsid w:val="00014566"/>
    <w:pPr>
      <w:numPr>
        <w:numId w:val="1"/>
      </w:numPr>
    </w:pPr>
  </w:style>
  <w:style w:type="paragraph" w:customStyle="1" w:styleId="OpiHa">
    <w:name w:val="Opi_H_a"/>
    <w:basedOn w:val="ECHRHeading3"/>
    <w:uiPriority w:val="43"/>
    <w:qFormat/>
    <w:rsid w:val="00750D68"/>
    <w:pPr>
      <w:ind w:left="833" w:hanging="357"/>
      <w:outlineLvl w:val="3"/>
    </w:pPr>
    <w:rPr>
      <w:b/>
      <w:i w:val="0"/>
      <w:sz w:val="20"/>
    </w:rPr>
  </w:style>
  <w:style w:type="paragraph" w:styleId="Subtitle">
    <w:name w:val="Subtitle"/>
    <w:basedOn w:val="Normal"/>
    <w:next w:val="Normal"/>
    <w:link w:val="SubtitleChar"/>
    <w:uiPriority w:val="99"/>
    <w:semiHidden/>
    <w:qFormat/>
    <w:rsid w:val="00750D68"/>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750D68"/>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rsid w:val="00014566"/>
    <w:pPr>
      <w:numPr>
        <w:numId w:val="2"/>
      </w:numPr>
    </w:pPr>
  </w:style>
  <w:style w:type="numbering" w:styleId="1ai">
    <w:name w:val="Outline List 1"/>
    <w:basedOn w:val="NoList"/>
    <w:uiPriority w:val="99"/>
    <w:semiHidden/>
    <w:rsid w:val="00014566"/>
    <w:pPr>
      <w:numPr>
        <w:numId w:val="3"/>
      </w:numPr>
    </w:pPr>
  </w:style>
  <w:style w:type="numbering" w:styleId="ArticleSection">
    <w:name w:val="Outline List 3"/>
    <w:basedOn w:val="NoList"/>
    <w:uiPriority w:val="99"/>
    <w:semiHidden/>
    <w:rsid w:val="00014566"/>
    <w:pPr>
      <w:numPr>
        <w:numId w:val="4"/>
      </w:numPr>
    </w:pPr>
  </w:style>
  <w:style w:type="paragraph" w:styleId="Bibliography">
    <w:name w:val="Bibliography"/>
    <w:basedOn w:val="Normal"/>
    <w:next w:val="Normal"/>
    <w:uiPriority w:val="99"/>
    <w:semiHidden/>
    <w:unhideWhenUsed/>
    <w:rsid w:val="00014566"/>
  </w:style>
  <w:style w:type="paragraph" w:styleId="BlockText">
    <w:name w:val="Block Text"/>
    <w:basedOn w:val="Normal"/>
    <w:uiPriority w:val="99"/>
    <w:semiHidden/>
    <w:rsid w:val="00014566"/>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paragraph" w:styleId="BodyText">
    <w:name w:val="Body Text"/>
    <w:basedOn w:val="Normal"/>
    <w:link w:val="BodyTextChar"/>
    <w:uiPriority w:val="99"/>
    <w:semiHidden/>
    <w:rsid w:val="00014566"/>
    <w:pPr>
      <w:spacing w:after="120"/>
    </w:pPr>
  </w:style>
  <w:style w:type="character" w:customStyle="1" w:styleId="BodyTextChar">
    <w:name w:val="Body Text Char"/>
    <w:basedOn w:val="DefaultParagraphFont"/>
    <w:link w:val="BodyText"/>
    <w:uiPriority w:val="99"/>
    <w:semiHidden/>
    <w:rsid w:val="00014566"/>
    <w:rPr>
      <w:rFonts w:eastAsiaTheme="minorEastAsia"/>
      <w:sz w:val="24"/>
    </w:rPr>
  </w:style>
  <w:style w:type="paragraph" w:styleId="BodyText2">
    <w:name w:val="Body Text 2"/>
    <w:basedOn w:val="Normal"/>
    <w:link w:val="BodyText2Char"/>
    <w:uiPriority w:val="99"/>
    <w:semiHidden/>
    <w:rsid w:val="00014566"/>
    <w:pPr>
      <w:spacing w:after="120" w:line="480" w:lineRule="auto"/>
    </w:pPr>
  </w:style>
  <w:style w:type="character" w:customStyle="1" w:styleId="BodyText2Char">
    <w:name w:val="Body Text 2 Char"/>
    <w:basedOn w:val="DefaultParagraphFont"/>
    <w:link w:val="BodyText2"/>
    <w:uiPriority w:val="99"/>
    <w:semiHidden/>
    <w:rsid w:val="00014566"/>
    <w:rPr>
      <w:rFonts w:eastAsiaTheme="minorEastAsia"/>
      <w:sz w:val="24"/>
    </w:rPr>
  </w:style>
  <w:style w:type="paragraph" w:styleId="BodyText3">
    <w:name w:val="Body Text 3"/>
    <w:basedOn w:val="Normal"/>
    <w:link w:val="BodyText3Char"/>
    <w:uiPriority w:val="99"/>
    <w:semiHidden/>
    <w:rsid w:val="00014566"/>
    <w:pPr>
      <w:spacing w:after="120"/>
    </w:pPr>
    <w:rPr>
      <w:sz w:val="16"/>
      <w:szCs w:val="16"/>
    </w:rPr>
  </w:style>
  <w:style w:type="character" w:customStyle="1" w:styleId="BodyText3Char">
    <w:name w:val="Body Text 3 Char"/>
    <w:basedOn w:val="DefaultParagraphFont"/>
    <w:link w:val="BodyText3"/>
    <w:uiPriority w:val="99"/>
    <w:semiHidden/>
    <w:rsid w:val="00014566"/>
    <w:rPr>
      <w:rFonts w:eastAsiaTheme="minorEastAsia"/>
      <w:sz w:val="16"/>
      <w:szCs w:val="16"/>
    </w:rPr>
  </w:style>
  <w:style w:type="paragraph" w:styleId="BodyTextFirstIndent">
    <w:name w:val="Body Text First Indent"/>
    <w:basedOn w:val="BodyText"/>
    <w:link w:val="BodyTextFirstIndentChar"/>
    <w:uiPriority w:val="99"/>
    <w:semiHidden/>
    <w:rsid w:val="00014566"/>
    <w:pPr>
      <w:spacing w:after="0"/>
      <w:ind w:firstLine="360"/>
    </w:pPr>
  </w:style>
  <w:style w:type="character" w:customStyle="1" w:styleId="BodyTextFirstIndentChar">
    <w:name w:val="Body Text First Indent Char"/>
    <w:basedOn w:val="BodyTextChar"/>
    <w:link w:val="BodyTextFirstIndent"/>
    <w:uiPriority w:val="99"/>
    <w:semiHidden/>
    <w:rsid w:val="00014566"/>
    <w:rPr>
      <w:rFonts w:eastAsiaTheme="minorEastAsia"/>
      <w:sz w:val="24"/>
    </w:rPr>
  </w:style>
  <w:style w:type="paragraph" w:styleId="BodyTextIndent">
    <w:name w:val="Body Text Indent"/>
    <w:basedOn w:val="Normal"/>
    <w:link w:val="BodyTextIndentChar"/>
    <w:uiPriority w:val="99"/>
    <w:semiHidden/>
    <w:rsid w:val="00014566"/>
    <w:pPr>
      <w:spacing w:after="120"/>
      <w:ind w:left="283"/>
    </w:pPr>
  </w:style>
  <w:style w:type="character" w:customStyle="1" w:styleId="BodyTextIndentChar">
    <w:name w:val="Body Text Indent Char"/>
    <w:basedOn w:val="DefaultParagraphFont"/>
    <w:link w:val="BodyTextIndent"/>
    <w:uiPriority w:val="99"/>
    <w:semiHidden/>
    <w:rsid w:val="00014566"/>
    <w:rPr>
      <w:rFonts w:eastAsiaTheme="minorEastAsia"/>
      <w:sz w:val="24"/>
    </w:rPr>
  </w:style>
  <w:style w:type="paragraph" w:styleId="BodyTextFirstIndent2">
    <w:name w:val="Body Text First Indent 2"/>
    <w:basedOn w:val="BodyTextIndent"/>
    <w:link w:val="BodyTextFirstIndent2Char"/>
    <w:uiPriority w:val="99"/>
    <w:semiHidden/>
    <w:rsid w:val="00014566"/>
    <w:pPr>
      <w:spacing w:after="0"/>
      <w:ind w:left="360" w:firstLine="360"/>
    </w:pPr>
  </w:style>
  <w:style w:type="character" w:customStyle="1" w:styleId="BodyTextFirstIndent2Char">
    <w:name w:val="Body Text First Indent 2 Char"/>
    <w:basedOn w:val="BodyTextIndentChar"/>
    <w:link w:val="BodyTextFirstIndent2"/>
    <w:uiPriority w:val="99"/>
    <w:semiHidden/>
    <w:rsid w:val="00014566"/>
    <w:rPr>
      <w:rFonts w:eastAsiaTheme="minorEastAsia"/>
      <w:sz w:val="24"/>
    </w:rPr>
  </w:style>
  <w:style w:type="paragraph" w:styleId="BodyTextIndent2">
    <w:name w:val="Body Text Indent 2"/>
    <w:basedOn w:val="Normal"/>
    <w:link w:val="BodyTextIndent2Char"/>
    <w:uiPriority w:val="99"/>
    <w:semiHidden/>
    <w:rsid w:val="00014566"/>
    <w:pPr>
      <w:spacing w:after="120" w:line="480" w:lineRule="auto"/>
      <w:ind w:left="283"/>
    </w:pPr>
  </w:style>
  <w:style w:type="character" w:customStyle="1" w:styleId="BodyTextIndent2Char">
    <w:name w:val="Body Text Indent 2 Char"/>
    <w:basedOn w:val="DefaultParagraphFont"/>
    <w:link w:val="BodyTextIndent2"/>
    <w:uiPriority w:val="99"/>
    <w:semiHidden/>
    <w:rsid w:val="00014566"/>
    <w:rPr>
      <w:rFonts w:eastAsiaTheme="minorEastAsia"/>
      <w:sz w:val="24"/>
    </w:rPr>
  </w:style>
  <w:style w:type="paragraph" w:styleId="BodyTextIndent3">
    <w:name w:val="Body Text Indent 3"/>
    <w:basedOn w:val="Normal"/>
    <w:link w:val="BodyTextIndent3Char"/>
    <w:uiPriority w:val="99"/>
    <w:semiHidden/>
    <w:rsid w:val="0001456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14566"/>
    <w:rPr>
      <w:rFonts w:eastAsiaTheme="minorEastAsia"/>
      <w:sz w:val="16"/>
      <w:szCs w:val="16"/>
    </w:rPr>
  </w:style>
  <w:style w:type="paragraph" w:styleId="Caption">
    <w:name w:val="caption"/>
    <w:basedOn w:val="Normal"/>
    <w:next w:val="Normal"/>
    <w:uiPriority w:val="99"/>
    <w:semiHidden/>
    <w:qFormat/>
    <w:rsid w:val="00014566"/>
    <w:pPr>
      <w:spacing w:after="200"/>
    </w:pPr>
    <w:rPr>
      <w:b/>
      <w:bCs/>
      <w:color w:val="0072BC" w:themeColor="accent1"/>
      <w:sz w:val="18"/>
      <w:szCs w:val="18"/>
    </w:rPr>
  </w:style>
  <w:style w:type="paragraph" w:styleId="Closing">
    <w:name w:val="Closing"/>
    <w:basedOn w:val="Normal"/>
    <w:link w:val="ClosingChar"/>
    <w:uiPriority w:val="99"/>
    <w:semiHidden/>
    <w:rsid w:val="00014566"/>
    <w:pPr>
      <w:ind w:left="4252"/>
    </w:pPr>
  </w:style>
  <w:style w:type="character" w:customStyle="1" w:styleId="ClosingChar">
    <w:name w:val="Closing Char"/>
    <w:basedOn w:val="DefaultParagraphFont"/>
    <w:link w:val="Closing"/>
    <w:uiPriority w:val="99"/>
    <w:semiHidden/>
    <w:rsid w:val="00014566"/>
    <w:rPr>
      <w:rFonts w:eastAsiaTheme="minorEastAsia"/>
      <w:sz w:val="24"/>
    </w:rPr>
  </w:style>
  <w:style w:type="table" w:styleId="ColorfulGrid">
    <w:name w:val="Colorful Grid"/>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014566"/>
    <w:rPr>
      <w:color w:val="000000" w:themeColor="text1"/>
      <w:lang w:val="fr-FR" w:eastAsia="fr-FR"/>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014566"/>
    <w:rPr>
      <w:color w:val="000000" w:themeColor="text1"/>
      <w:lang w:val="fr-FR" w:eastAsia="fr-FR"/>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014566"/>
    <w:rPr>
      <w:color w:val="000000" w:themeColor="text1"/>
      <w:lang w:val="fr-FR" w:eastAsia="fr-FR"/>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014566"/>
    <w:rPr>
      <w:color w:val="000000" w:themeColor="text1"/>
      <w:lang w:val="fr-FR" w:eastAsia="fr-FR"/>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014566"/>
    <w:rPr>
      <w:color w:val="000000" w:themeColor="text1"/>
      <w:lang w:val="fr-FR" w:eastAsia="fr-FR"/>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014566"/>
    <w:rPr>
      <w:color w:val="000000" w:themeColor="text1"/>
      <w:lang w:val="fr-FR" w:eastAsia="fr-FR"/>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014566"/>
    <w:rPr>
      <w:color w:val="000000" w:themeColor="text1"/>
      <w:lang w:val="fr-FR" w:eastAsia="fr-FR"/>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014566"/>
    <w:rPr>
      <w:color w:val="000000" w:themeColor="text1"/>
      <w:lang w:val="fr-FR" w:eastAsia="fr-FR"/>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014566"/>
    <w:rPr>
      <w:color w:val="000000" w:themeColor="text1"/>
      <w:lang w:val="fr-FR" w:eastAsia="fr-FR"/>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99"/>
    <w:semiHidden/>
    <w:rsid w:val="00014566"/>
    <w:rPr>
      <w:color w:val="0072BC" w:themeColor="background1"/>
      <w:lang w:val="fr-FR" w:eastAsia="fr-FR"/>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014566"/>
    <w:rPr>
      <w:color w:val="0072BC" w:themeColor="background1"/>
      <w:lang w:val="fr-FR" w:eastAsia="fr-FR"/>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014566"/>
    <w:rPr>
      <w:color w:val="0072BC" w:themeColor="background1"/>
      <w:lang w:val="fr-FR" w:eastAsia="fr-FR"/>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014566"/>
    <w:rPr>
      <w:color w:val="0072BC" w:themeColor="background1"/>
      <w:lang w:val="fr-FR" w:eastAsia="fr-FR"/>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014566"/>
    <w:rPr>
      <w:color w:val="0072BC" w:themeColor="background1"/>
      <w:lang w:val="fr-FR" w:eastAsia="fr-FR"/>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014566"/>
  </w:style>
  <w:style w:type="character" w:customStyle="1" w:styleId="DateChar">
    <w:name w:val="Date Char"/>
    <w:basedOn w:val="DefaultParagraphFont"/>
    <w:link w:val="Date"/>
    <w:uiPriority w:val="99"/>
    <w:semiHidden/>
    <w:rsid w:val="00014566"/>
    <w:rPr>
      <w:rFonts w:eastAsiaTheme="minorEastAsia"/>
      <w:sz w:val="24"/>
    </w:rPr>
  </w:style>
  <w:style w:type="paragraph" w:styleId="E-mailSignature">
    <w:name w:val="E-mail Signature"/>
    <w:basedOn w:val="Normal"/>
    <w:link w:val="E-mailSignatureChar"/>
    <w:uiPriority w:val="99"/>
    <w:semiHidden/>
    <w:rsid w:val="00014566"/>
  </w:style>
  <w:style w:type="character" w:customStyle="1" w:styleId="E-mailSignatureChar">
    <w:name w:val="E-mail Signature Char"/>
    <w:basedOn w:val="DefaultParagraphFont"/>
    <w:link w:val="E-mailSignature"/>
    <w:uiPriority w:val="99"/>
    <w:semiHidden/>
    <w:rsid w:val="00014566"/>
    <w:rPr>
      <w:rFonts w:eastAsiaTheme="minorEastAsia"/>
      <w:sz w:val="24"/>
    </w:rPr>
  </w:style>
  <w:style w:type="paragraph" w:styleId="EnvelopeAddress">
    <w:name w:val="envelope address"/>
    <w:basedOn w:val="Normal"/>
    <w:uiPriority w:val="99"/>
    <w:semiHidden/>
    <w:rsid w:val="00014566"/>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014566"/>
    <w:rPr>
      <w:rFonts w:asciiTheme="majorHAnsi" w:eastAsiaTheme="majorEastAsia" w:hAnsiTheme="majorHAnsi" w:cstheme="majorBidi"/>
      <w:sz w:val="20"/>
      <w:szCs w:val="20"/>
    </w:rPr>
  </w:style>
  <w:style w:type="character" w:styleId="HTMLAcronym">
    <w:name w:val="HTML Acronym"/>
    <w:basedOn w:val="DefaultParagraphFont"/>
    <w:uiPriority w:val="99"/>
    <w:semiHidden/>
    <w:rsid w:val="00014566"/>
  </w:style>
  <w:style w:type="paragraph" w:styleId="HTMLAddress">
    <w:name w:val="HTML Address"/>
    <w:basedOn w:val="Normal"/>
    <w:link w:val="HTMLAddressChar"/>
    <w:uiPriority w:val="99"/>
    <w:semiHidden/>
    <w:rsid w:val="00014566"/>
    <w:rPr>
      <w:i/>
      <w:iCs/>
    </w:rPr>
  </w:style>
  <w:style w:type="character" w:customStyle="1" w:styleId="HTMLAddressChar">
    <w:name w:val="HTML Address Char"/>
    <w:basedOn w:val="DefaultParagraphFont"/>
    <w:link w:val="HTMLAddress"/>
    <w:uiPriority w:val="99"/>
    <w:semiHidden/>
    <w:rsid w:val="00014566"/>
    <w:rPr>
      <w:rFonts w:eastAsiaTheme="minorEastAsia"/>
      <w:i/>
      <w:iCs/>
      <w:sz w:val="24"/>
    </w:rPr>
  </w:style>
  <w:style w:type="character" w:styleId="HTMLCite">
    <w:name w:val="HTML Cite"/>
    <w:basedOn w:val="DefaultParagraphFont"/>
    <w:uiPriority w:val="99"/>
    <w:semiHidden/>
    <w:rsid w:val="00014566"/>
    <w:rPr>
      <w:i/>
      <w:iCs/>
    </w:rPr>
  </w:style>
  <w:style w:type="character" w:styleId="HTMLCode">
    <w:name w:val="HTML Code"/>
    <w:basedOn w:val="DefaultParagraphFont"/>
    <w:uiPriority w:val="99"/>
    <w:semiHidden/>
    <w:rsid w:val="00014566"/>
    <w:rPr>
      <w:rFonts w:ascii="Consolas" w:hAnsi="Consolas" w:cs="Consolas"/>
      <w:sz w:val="20"/>
      <w:szCs w:val="20"/>
    </w:rPr>
  </w:style>
  <w:style w:type="character" w:styleId="HTMLDefinition">
    <w:name w:val="HTML Definition"/>
    <w:basedOn w:val="DefaultParagraphFont"/>
    <w:uiPriority w:val="99"/>
    <w:semiHidden/>
    <w:rsid w:val="00014566"/>
    <w:rPr>
      <w:i/>
      <w:iCs/>
    </w:rPr>
  </w:style>
  <w:style w:type="character" w:styleId="HTMLKeyboard">
    <w:name w:val="HTML Keyboard"/>
    <w:basedOn w:val="DefaultParagraphFont"/>
    <w:uiPriority w:val="99"/>
    <w:semiHidden/>
    <w:rsid w:val="00014566"/>
    <w:rPr>
      <w:rFonts w:ascii="Consolas" w:hAnsi="Consolas" w:cs="Consolas"/>
      <w:sz w:val="20"/>
      <w:szCs w:val="20"/>
    </w:rPr>
  </w:style>
  <w:style w:type="paragraph" w:styleId="HTMLPreformatted">
    <w:name w:val="HTML Preformatted"/>
    <w:basedOn w:val="Normal"/>
    <w:link w:val="HTMLPreformattedChar"/>
    <w:uiPriority w:val="99"/>
    <w:semiHidden/>
    <w:rsid w:val="00014566"/>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14566"/>
    <w:rPr>
      <w:rFonts w:ascii="Consolas" w:eastAsiaTheme="minorEastAsia" w:hAnsi="Consolas" w:cs="Consolas"/>
      <w:sz w:val="20"/>
      <w:szCs w:val="20"/>
    </w:rPr>
  </w:style>
  <w:style w:type="character" w:styleId="HTMLSample">
    <w:name w:val="HTML Sample"/>
    <w:basedOn w:val="DefaultParagraphFont"/>
    <w:uiPriority w:val="99"/>
    <w:semiHidden/>
    <w:rsid w:val="00014566"/>
    <w:rPr>
      <w:rFonts w:ascii="Consolas" w:hAnsi="Consolas" w:cs="Consolas"/>
      <w:sz w:val="24"/>
      <w:szCs w:val="24"/>
    </w:rPr>
  </w:style>
  <w:style w:type="character" w:styleId="HTMLTypewriter">
    <w:name w:val="HTML Typewriter"/>
    <w:basedOn w:val="DefaultParagraphFont"/>
    <w:uiPriority w:val="99"/>
    <w:semiHidden/>
    <w:rsid w:val="00014566"/>
    <w:rPr>
      <w:rFonts w:ascii="Consolas" w:hAnsi="Consolas" w:cs="Consolas"/>
      <w:sz w:val="20"/>
      <w:szCs w:val="20"/>
    </w:rPr>
  </w:style>
  <w:style w:type="character" w:styleId="HTMLVariable">
    <w:name w:val="HTML Variable"/>
    <w:basedOn w:val="DefaultParagraphFont"/>
    <w:uiPriority w:val="99"/>
    <w:semiHidden/>
    <w:rsid w:val="00014566"/>
    <w:rPr>
      <w:i/>
      <w:iCs/>
    </w:rPr>
  </w:style>
  <w:style w:type="paragraph" w:styleId="Index1">
    <w:name w:val="index 1"/>
    <w:basedOn w:val="Normal"/>
    <w:next w:val="Normal"/>
    <w:autoRedefine/>
    <w:uiPriority w:val="99"/>
    <w:semiHidden/>
    <w:rsid w:val="00014566"/>
    <w:pPr>
      <w:ind w:left="240" w:hanging="240"/>
    </w:pPr>
  </w:style>
  <w:style w:type="paragraph" w:styleId="Index2">
    <w:name w:val="index 2"/>
    <w:basedOn w:val="Normal"/>
    <w:next w:val="Normal"/>
    <w:autoRedefine/>
    <w:uiPriority w:val="99"/>
    <w:semiHidden/>
    <w:rsid w:val="00014566"/>
    <w:pPr>
      <w:ind w:left="480" w:hanging="240"/>
    </w:pPr>
  </w:style>
  <w:style w:type="paragraph" w:styleId="Index3">
    <w:name w:val="index 3"/>
    <w:basedOn w:val="Normal"/>
    <w:next w:val="Normal"/>
    <w:autoRedefine/>
    <w:uiPriority w:val="99"/>
    <w:semiHidden/>
    <w:rsid w:val="00014566"/>
    <w:pPr>
      <w:ind w:left="720" w:hanging="240"/>
    </w:pPr>
  </w:style>
  <w:style w:type="paragraph" w:styleId="Index4">
    <w:name w:val="index 4"/>
    <w:basedOn w:val="Normal"/>
    <w:next w:val="Normal"/>
    <w:autoRedefine/>
    <w:uiPriority w:val="99"/>
    <w:semiHidden/>
    <w:rsid w:val="00014566"/>
    <w:pPr>
      <w:ind w:left="960" w:hanging="240"/>
    </w:pPr>
  </w:style>
  <w:style w:type="paragraph" w:styleId="Index5">
    <w:name w:val="index 5"/>
    <w:basedOn w:val="Normal"/>
    <w:next w:val="Normal"/>
    <w:autoRedefine/>
    <w:uiPriority w:val="99"/>
    <w:semiHidden/>
    <w:rsid w:val="00014566"/>
    <w:pPr>
      <w:ind w:left="1200" w:hanging="240"/>
    </w:pPr>
  </w:style>
  <w:style w:type="paragraph" w:styleId="Index6">
    <w:name w:val="index 6"/>
    <w:basedOn w:val="Normal"/>
    <w:next w:val="Normal"/>
    <w:autoRedefine/>
    <w:uiPriority w:val="99"/>
    <w:semiHidden/>
    <w:rsid w:val="00014566"/>
    <w:pPr>
      <w:ind w:left="1440" w:hanging="240"/>
    </w:pPr>
  </w:style>
  <w:style w:type="paragraph" w:styleId="Index7">
    <w:name w:val="index 7"/>
    <w:basedOn w:val="Normal"/>
    <w:next w:val="Normal"/>
    <w:autoRedefine/>
    <w:uiPriority w:val="99"/>
    <w:semiHidden/>
    <w:rsid w:val="00014566"/>
    <w:pPr>
      <w:ind w:left="1680" w:hanging="240"/>
    </w:pPr>
  </w:style>
  <w:style w:type="paragraph" w:styleId="Index8">
    <w:name w:val="index 8"/>
    <w:basedOn w:val="Normal"/>
    <w:next w:val="Normal"/>
    <w:autoRedefine/>
    <w:uiPriority w:val="99"/>
    <w:semiHidden/>
    <w:rsid w:val="00014566"/>
    <w:pPr>
      <w:ind w:left="1920" w:hanging="240"/>
    </w:pPr>
  </w:style>
  <w:style w:type="paragraph" w:styleId="Index9">
    <w:name w:val="index 9"/>
    <w:basedOn w:val="Normal"/>
    <w:next w:val="Normal"/>
    <w:autoRedefine/>
    <w:uiPriority w:val="99"/>
    <w:semiHidden/>
    <w:rsid w:val="00014566"/>
    <w:pPr>
      <w:ind w:left="2160" w:hanging="240"/>
    </w:pPr>
  </w:style>
  <w:style w:type="paragraph" w:styleId="IndexHeading">
    <w:name w:val="index heading"/>
    <w:basedOn w:val="Normal"/>
    <w:next w:val="Index1"/>
    <w:uiPriority w:val="99"/>
    <w:semiHidden/>
    <w:rsid w:val="00014566"/>
    <w:rPr>
      <w:rFonts w:asciiTheme="majorHAnsi" w:eastAsiaTheme="majorEastAsia" w:hAnsiTheme="majorHAnsi" w:cstheme="majorBidi"/>
      <w:b/>
      <w:bCs/>
    </w:rPr>
  </w:style>
  <w:style w:type="table" w:styleId="LightGrid">
    <w:name w:val="Light Grid"/>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014566"/>
    <w:rPr>
      <w:color w:val="000000" w:themeColor="text1" w:themeShade="BF"/>
      <w:lang w:val="fr-FR" w:eastAsia="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014566"/>
    <w:rPr>
      <w:color w:val="00548C" w:themeColor="accent1" w:themeShade="BF"/>
      <w:lang w:val="fr-FR" w:eastAsia="fr-FR"/>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014566"/>
    <w:rPr>
      <w:color w:val="8F0000" w:themeColor="accent2" w:themeShade="BF"/>
      <w:lang w:val="fr-FR" w:eastAsia="fr-FR"/>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014566"/>
    <w:rPr>
      <w:color w:val="474747" w:themeColor="accent3" w:themeShade="BF"/>
      <w:lang w:val="fr-FR" w:eastAsia="fr-FR"/>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014566"/>
    <w:rPr>
      <w:color w:val="707070" w:themeColor="accent4" w:themeShade="BF"/>
      <w:lang w:val="fr-FR" w:eastAsia="fr-FR"/>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014566"/>
    <w:rPr>
      <w:color w:val="474747" w:themeColor="accent5" w:themeShade="BF"/>
      <w:lang w:val="fr-FR" w:eastAsia="fr-FR"/>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014566"/>
    <w:rPr>
      <w:color w:val="393939" w:themeColor="accent6" w:themeShade="BF"/>
      <w:lang w:val="fr-FR" w:eastAsia="fr-FR"/>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014566"/>
  </w:style>
  <w:style w:type="paragraph" w:styleId="List">
    <w:name w:val="List"/>
    <w:basedOn w:val="Normal"/>
    <w:uiPriority w:val="99"/>
    <w:semiHidden/>
    <w:rsid w:val="00014566"/>
    <w:pPr>
      <w:ind w:left="283" w:hanging="283"/>
      <w:contextualSpacing/>
    </w:pPr>
  </w:style>
  <w:style w:type="paragraph" w:styleId="List2">
    <w:name w:val="List 2"/>
    <w:basedOn w:val="Normal"/>
    <w:uiPriority w:val="99"/>
    <w:semiHidden/>
    <w:rsid w:val="00014566"/>
    <w:pPr>
      <w:ind w:left="566" w:hanging="283"/>
      <w:contextualSpacing/>
    </w:pPr>
  </w:style>
  <w:style w:type="paragraph" w:styleId="List3">
    <w:name w:val="List 3"/>
    <w:basedOn w:val="Normal"/>
    <w:uiPriority w:val="99"/>
    <w:semiHidden/>
    <w:rsid w:val="00014566"/>
    <w:pPr>
      <w:ind w:left="849" w:hanging="283"/>
      <w:contextualSpacing/>
    </w:pPr>
  </w:style>
  <w:style w:type="paragraph" w:styleId="List4">
    <w:name w:val="List 4"/>
    <w:basedOn w:val="Normal"/>
    <w:uiPriority w:val="99"/>
    <w:semiHidden/>
    <w:rsid w:val="00014566"/>
    <w:pPr>
      <w:ind w:left="1132" w:hanging="283"/>
      <w:contextualSpacing/>
    </w:pPr>
  </w:style>
  <w:style w:type="paragraph" w:styleId="List5">
    <w:name w:val="List 5"/>
    <w:basedOn w:val="Normal"/>
    <w:uiPriority w:val="99"/>
    <w:semiHidden/>
    <w:rsid w:val="00014566"/>
    <w:pPr>
      <w:ind w:left="1415" w:hanging="283"/>
      <w:contextualSpacing/>
    </w:pPr>
  </w:style>
  <w:style w:type="paragraph" w:styleId="ListBullet2">
    <w:name w:val="List Bullet 2"/>
    <w:basedOn w:val="Normal"/>
    <w:uiPriority w:val="99"/>
    <w:semiHidden/>
    <w:rsid w:val="00014566"/>
    <w:pPr>
      <w:numPr>
        <w:numId w:val="5"/>
      </w:numPr>
      <w:contextualSpacing/>
    </w:pPr>
  </w:style>
  <w:style w:type="paragraph" w:styleId="ListBullet3">
    <w:name w:val="List Bullet 3"/>
    <w:basedOn w:val="Normal"/>
    <w:uiPriority w:val="99"/>
    <w:semiHidden/>
    <w:rsid w:val="00014566"/>
    <w:pPr>
      <w:numPr>
        <w:numId w:val="6"/>
      </w:numPr>
      <w:contextualSpacing/>
    </w:pPr>
  </w:style>
  <w:style w:type="paragraph" w:styleId="ListBullet4">
    <w:name w:val="List Bullet 4"/>
    <w:basedOn w:val="Normal"/>
    <w:uiPriority w:val="99"/>
    <w:semiHidden/>
    <w:rsid w:val="00014566"/>
    <w:pPr>
      <w:numPr>
        <w:numId w:val="7"/>
      </w:numPr>
      <w:contextualSpacing/>
    </w:pPr>
  </w:style>
  <w:style w:type="paragraph" w:styleId="ListBullet5">
    <w:name w:val="List Bullet 5"/>
    <w:basedOn w:val="Normal"/>
    <w:uiPriority w:val="99"/>
    <w:semiHidden/>
    <w:rsid w:val="00014566"/>
    <w:pPr>
      <w:numPr>
        <w:numId w:val="8"/>
      </w:numPr>
      <w:contextualSpacing/>
    </w:pPr>
  </w:style>
  <w:style w:type="paragraph" w:styleId="ListContinue">
    <w:name w:val="List Continue"/>
    <w:basedOn w:val="Normal"/>
    <w:uiPriority w:val="99"/>
    <w:semiHidden/>
    <w:rsid w:val="00014566"/>
    <w:pPr>
      <w:spacing w:after="120"/>
      <w:ind w:left="283"/>
      <w:contextualSpacing/>
    </w:pPr>
  </w:style>
  <w:style w:type="paragraph" w:styleId="ListContinue2">
    <w:name w:val="List Continue 2"/>
    <w:basedOn w:val="Normal"/>
    <w:uiPriority w:val="99"/>
    <w:semiHidden/>
    <w:rsid w:val="00014566"/>
    <w:pPr>
      <w:spacing w:after="120"/>
      <w:ind w:left="566"/>
      <w:contextualSpacing/>
    </w:pPr>
  </w:style>
  <w:style w:type="paragraph" w:styleId="ListContinue3">
    <w:name w:val="List Continue 3"/>
    <w:basedOn w:val="Normal"/>
    <w:uiPriority w:val="99"/>
    <w:semiHidden/>
    <w:rsid w:val="00014566"/>
    <w:pPr>
      <w:spacing w:after="120"/>
      <w:ind w:left="849"/>
      <w:contextualSpacing/>
    </w:pPr>
  </w:style>
  <w:style w:type="paragraph" w:styleId="ListContinue4">
    <w:name w:val="List Continue 4"/>
    <w:basedOn w:val="Normal"/>
    <w:uiPriority w:val="99"/>
    <w:semiHidden/>
    <w:rsid w:val="00014566"/>
    <w:pPr>
      <w:spacing w:after="120"/>
      <w:ind w:left="1132"/>
      <w:contextualSpacing/>
    </w:pPr>
  </w:style>
  <w:style w:type="paragraph" w:styleId="ListContinue5">
    <w:name w:val="List Continue 5"/>
    <w:basedOn w:val="Normal"/>
    <w:uiPriority w:val="99"/>
    <w:semiHidden/>
    <w:rsid w:val="00014566"/>
    <w:pPr>
      <w:spacing w:after="120"/>
      <w:ind w:left="1415"/>
      <w:contextualSpacing/>
    </w:pPr>
  </w:style>
  <w:style w:type="paragraph" w:styleId="ListNumber">
    <w:name w:val="List Number"/>
    <w:basedOn w:val="Normal"/>
    <w:uiPriority w:val="99"/>
    <w:semiHidden/>
    <w:rsid w:val="00014566"/>
    <w:pPr>
      <w:numPr>
        <w:numId w:val="9"/>
      </w:numPr>
      <w:contextualSpacing/>
    </w:pPr>
  </w:style>
  <w:style w:type="paragraph" w:styleId="ListNumber2">
    <w:name w:val="List Number 2"/>
    <w:basedOn w:val="Normal"/>
    <w:uiPriority w:val="99"/>
    <w:semiHidden/>
    <w:rsid w:val="00014566"/>
    <w:pPr>
      <w:numPr>
        <w:numId w:val="10"/>
      </w:numPr>
      <w:contextualSpacing/>
    </w:pPr>
  </w:style>
  <w:style w:type="paragraph" w:styleId="ListNumber3">
    <w:name w:val="List Number 3"/>
    <w:basedOn w:val="Normal"/>
    <w:uiPriority w:val="99"/>
    <w:semiHidden/>
    <w:rsid w:val="00014566"/>
    <w:pPr>
      <w:numPr>
        <w:numId w:val="11"/>
      </w:numPr>
      <w:contextualSpacing/>
    </w:pPr>
  </w:style>
  <w:style w:type="paragraph" w:styleId="ListNumber4">
    <w:name w:val="List Number 4"/>
    <w:basedOn w:val="Normal"/>
    <w:uiPriority w:val="99"/>
    <w:semiHidden/>
    <w:rsid w:val="00014566"/>
    <w:pPr>
      <w:numPr>
        <w:numId w:val="12"/>
      </w:numPr>
      <w:contextualSpacing/>
    </w:pPr>
  </w:style>
  <w:style w:type="paragraph" w:styleId="ListNumber5">
    <w:name w:val="List Number 5"/>
    <w:basedOn w:val="Normal"/>
    <w:uiPriority w:val="99"/>
    <w:semiHidden/>
    <w:rsid w:val="00014566"/>
    <w:pPr>
      <w:numPr>
        <w:numId w:val="13"/>
      </w:numPr>
      <w:contextualSpacing/>
    </w:pPr>
  </w:style>
  <w:style w:type="paragraph" w:styleId="MacroText">
    <w:name w:val="macro"/>
    <w:link w:val="MacroTextChar"/>
    <w:uiPriority w:val="99"/>
    <w:semiHidden/>
    <w:rsid w:val="00014566"/>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cs="Consolas"/>
      <w:sz w:val="20"/>
      <w:szCs w:val="20"/>
      <w:lang w:val="en-GB" w:eastAsia="fr-FR"/>
    </w:rPr>
  </w:style>
  <w:style w:type="character" w:customStyle="1" w:styleId="MacroTextChar">
    <w:name w:val="Macro Text Char"/>
    <w:basedOn w:val="DefaultParagraphFont"/>
    <w:link w:val="MacroText"/>
    <w:uiPriority w:val="99"/>
    <w:semiHidden/>
    <w:rsid w:val="00014566"/>
    <w:rPr>
      <w:rFonts w:ascii="Consolas" w:hAnsi="Consolas" w:cs="Consolas"/>
      <w:sz w:val="20"/>
      <w:szCs w:val="20"/>
      <w:lang w:val="en-GB" w:eastAsia="fr-FR"/>
    </w:rPr>
  </w:style>
  <w:style w:type="table" w:styleId="MediumGrid1">
    <w:name w:val="Medium Grid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014566"/>
    <w:rPr>
      <w:color w:val="000000" w:themeColor="text1"/>
      <w:lang w:val="fr-FR" w:eastAsia="fr-FR"/>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014566"/>
    <w:rPr>
      <w:color w:val="000000" w:themeColor="text1"/>
      <w:lang w:val="fr-FR" w:eastAsia="fr-FR"/>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014566"/>
    <w:rPr>
      <w:color w:val="000000" w:themeColor="text1"/>
      <w:lang w:val="fr-FR" w:eastAsia="fr-FR"/>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014566"/>
    <w:rPr>
      <w:color w:val="000000" w:themeColor="text1"/>
      <w:lang w:val="fr-FR" w:eastAsia="fr-FR"/>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014566"/>
    <w:rPr>
      <w:color w:val="000000" w:themeColor="text1"/>
      <w:lang w:val="fr-FR" w:eastAsia="fr-FR"/>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01456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01456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014566"/>
    <w:rPr>
      <w:rFonts w:ascii="Times New Roman" w:hAnsi="Times New Roman" w:cs="Times New Roman"/>
      <w:szCs w:val="24"/>
    </w:rPr>
  </w:style>
  <w:style w:type="paragraph" w:styleId="NormalIndent">
    <w:name w:val="Normal Indent"/>
    <w:basedOn w:val="Normal"/>
    <w:uiPriority w:val="99"/>
    <w:semiHidden/>
    <w:rsid w:val="00014566"/>
    <w:pPr>
      <w:ind w:left="720"/>
    </w:pPr>
  </w:style>
  <w:style w:type="paragraph" w:styleId="NoteHeading">
    <w:name w:val="Note Heading"/>
    <w:basedOn w:val="Normal"/>
    <w:next w:val="Normal"/>
    <w:link w:val="NoteHeadingChar"/>
    <w:uiPriority w:val="99"/>
    <w:semiHidden/>
    <w:rsid w:val="00014566"/>
  </w:style>
  <w:style w:type="character" w:customStyle="1" w:styleId="NoteHeadingChar">
    <w:name w:val="Note Heading Char"/>
    <w:basedOn w:val="DefaultParagraphFont"/>
    <w:link w:val="NoteHeading"/>
    <w:uiPriority w:val="99"/>
    <w:semiHidden/>
    <w:rsid w:val="00014566"/>
    <w:rPr>
      <w:rFonts w:eastAsiaTheme="minorEastAsia"/>
      <w:sz w:val="24"/>
    </w:rPr>
  </w:style>
  <w:style w:type="character" w:styleId="PlaceholderText">
    <w:name w:val="Placeholder Text"/>
    <w:basedOn w:val="DefaultParagraphFont"/>
    <w:uiPriority w:val="99"/>
    <w:semiHidden/>
    <w:rsid w:val="00750D68"/>
    <w:rPr>
      <w:color w:val="auto"/>
      <w:bdr w:val="none" w:sz="0" w:space="0" w:color="auto"/>
      <w:shd w:val="clear" w:color="auto" w:fill="DFDFDF" w:themeFill="background2" w:themeFillShade="E6"/>
    </w:rPr>
  </w:style>
  <w:style w:type="paragraph" w:styleId="PlainText">
    <w:name w:val="Plain Text"/>
    <w:basedOn w:val="Normal"/>
    <w:link w:val="PlainTextChar"/>
    <w:uiPriority w:val="99"/>
    <w:semiHidden/>
    <w:rsid w:val="00014566"/>
    <w:rPr>
      <w:rFonts w:ascii="Consolas" w:hAnsi="Consolas" w:cs="Consolas"/>
      <w:sz w:val="21"/>
      <w:szCs w:val="21"/>
    </w:rPr>
  </w:style>
  <w:style w:type="character" w:customStyle="1" w:styleId="PlainTextChar">
    <w:name w:val="Plain Text Char"/>
    <w:basedOn w:val="DefaultParagraphFont"/>
    <w:link w:val="PlainText"/>
    <w:uiPriority w:val="99"/>
    <w:semiHidden/>
    <w:rsid w:val="00014566"/>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014566"/>
  </w:style>
  <w:style w:type="character" w:customStyle="1" w:styleId="SalutationChar">
    <w:name w:val="Salutation Char"/>
    <w:basedOn w:val="DefaultParagraphFont"/>
    <w:link w:val="Salutation"/>
    <w:uiPriority w:val="99"/>
    <w:semiHidden/>
    <w:rsid w:val="00014566"/>
    <w:rPr>
      <w:rFonts w:eastAsiaTheme="minorEastAsia"/>
      <w:sz w:val="24"/>
    </w:rPr>
  </w:style>
  <w:style w:type="paragraph" w:styleId="Signature">
    <w:name w:val="Signature"/>
    <w:basedOn w:val="Normal"/>
    <w:link w:val="SignatureChar"/>
    <w:uiPriority w:val="99"/>
    <w:semiHidden/>
    <w:rsid w:val="00014566"/>
    <w:pPr>
      <w:ind w:left="4252"/>
    </w:pPr>
  </w:style>
  <w:style w:type="character" w:customStyle="1" w:styleId="SignatureChar">
    <w:name w:val="Signature Char"/>
    <w:basedOn w:val="DefaultParagraphFont"/>
    <w:link w:val="Signature"/>
    <w:uiPriority w:val="99"/>
    <w:semiHidden/>
    <w:rsid w:val="00014566"/>
    <w:rPr>
      <w:rFonts w:eastAsiaTheme="minorEastAsia"/>
      <w:sz w:val="24"/>
    </w:rPr>
  </w:style>
  <w:style w:type="table" w:styleId="Table3Deffects1">
    <w:name w:val="Table 3D effects 1"/>
    <w:basedOn w:val="TableNormal"/>
    <w:uiPriority w:val="99"/>
    <w:semiHidden/>
    <w:rsid w:val="00014566"/>
    <w:pPr>
      <w:suppressAutoHyphens/>
    </w:pPr>
    <w:rPr>
      <w:lang w:val="fr-FR"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014566"/>
    <w:pPr>
      <w:suppressAutoHyphens/>
    </w:pPr>
    <w:rPr>
      <w:lang w:val="fr-FR" w:eastAsia="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014566"/>
    <w:pPr>
      <w:suppressAutoHyphens/>
    </w:pPr>
    <w:rPr>
      <w:lang w:val="fr-FR"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014566"/>
    <w:pPr>
      <w:suppressAutoHyphens/>
    </w:pPr>
    <w:rPr>
      <w:color w:val="000080"/>
      <w:lang w:val="fr-FR" w:eastAsia="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014566"/>
    <w:pPr>
      <w:suppressAutoHyphens/>
    </w:pPr>
    <w:rPr>
      <w:lang w:val="fr-FR" w:eastAsia="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014566"/>
    <w:pPr>
      <w:suppressAutoHyphens/>
    </w:pPr>
    <w:rPr>
      <w:color w:val="FFFFFF"/>
      <w:lang w:val="fr-FR" w:eastAsia="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014566"/>
    <w:pPr>
      <w:suppressAutoHyphens/>
    </w:pPr>
    <w:rPr>
      <w:lang w:val="fr-FR" w:eastAsia="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014566"/>
    <w:pPr>
      <w:suppressAutoHyphens/>
    </w:pPr>
    <w:rPr>
      <w:lang w:val="fr-FR" w:eastAsia="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014566"/>
    <w:pPr>
      <w:suppressAutoHyphens/>
    </w:pPr>
    <w:rPr>
      <w:b/>
      <w:bCs/>
      <w:lang w:val="fr-FR"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014566"/>
    <w:pPr>
      <w:suppressAutoHyphens/>
    </w:pPr>
    <w:rPr>
      <w:b/>
      <w:bCs/>
      <w:lang w:val="fr-FR" w:eastAsia="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014566"/>
    <w:pPr>
      <w:suppressAutoHyphens/>
    </w:pPr>
    <w:rPr>
      <w:b/>
      <w:bCs/>
      <w:lang w:val="fr-FR" w:eastAsia="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014566"/>
    <w:pPr>
      <w:suppressAutoHyphens/>
    </w:pPr>
    <w:rPr>
      <w:lang w:val="fr-FR" w:eastAsia="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014566"/>
    <w:pPr>
      <w:suppressAutoHyphens/>
    </w:pPr>
    <w:rPr>
      <w:lang w:val="fr-FR" w:eastAsia="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014566"/>
    <w:pPr>
      <w:suppressAutoHyphens/>
    </w:pPr>
    <w:rPr>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014566"/>
    <w:pPr>
      <w:suppressAutoHyphens/>
    </w:pPr>
    <w:rPr>
      <w:lang w:val="fr-FR" w:eastAsia="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014566"/>
    <w:pPr>
      <w:suppressAutoHyphens/>
    </w:pPr>
    <w:rPr>
      <w:lang w:val="fr-FR"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014566"/>
    <w:pPr>
      <w:suppressAutoHyphens/>
    </w:pPr>
    <w:rPr>
      <w:lang w:val="fr-FR"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014566"/>
    <w:pPr>
      <w:suppressAutoHyphens/>
    </w:pPr>
    <w:rPr>
      <w:lang w:val="fr-FR"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014566"/>
    <w:pPr>
      <w:suppressAutoHyphens/>
    </w:pPr>
    <w:rPr>
      <w:b/>
      <w:bCs/>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014566"/>
    <w:pPr>
      <w:suppressAutoHyphens/>
    </w:pPr>
    <w:rPr>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014566"/>
    <w:pPr>
      <w:suppressAutoHyphens/>
    </w:pPr>
    <w:rPr>
      <w:lang w:val="fr-FR"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014566"/>
    <w:pPr>
      <w:suppressAutoHyphens/>
    </w:pPr>
    <w:rPr>
      <w:lang w:val="fr-FR"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014566"/>
    <w:pPr>
      <w:suppressAutoHyphens/>
    </w:pPr>
    <w:rPr>
      <w:lang w:val="fr-FR"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014566"/>
    <w:pPr>
      <w:suppressAutoHyphens/>
    </w:pPr>
    <w:rPr>
      <w:lang w:val="fr-FR"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014566"/>
    <w:pPr>
      <w:ind w:left="240" w:hanging="240"/>
    </w:pPr>
  </w:style>
  <w:style w:type="paragraph" w:styleId="TableofFigures">
    <w:name w:val="table of figures"/>
    <w:basedOn w:val="Normal"/>
    <w:next w:val="Normal"/>
    <w:uiPriority w:val="99"/>
    <w:semiHidden/>
    <w:rsid w:val="00014566"/>
  </w:style>
  <w:style w:type="table" w:styleId="TableProfessional">
    <w:name w:val="Table Professional"/>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014566"/>
    <w:pPr>
      <w:suppressAutoHyphens/>
    </w:pPr>
    <w:rPr>
      <w:lang w:val="fr-FR" w:eastAsia="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014566"/>
    <w:pPr>
      <w:suppressAutoHyphens/>
    </w:pPr>
    <w:rPr>
      <w:lang w:val="fr-FR"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014566"/>
    <w:pPr>
      <w:suppressAutoHyphens/>
    </w:pPr>
    <w:rPr>
      <w:lang w:val="fr-FR"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014566"/>
    <w:pPr>
      <w:suppressAutoHyphens/>
    </w:pPr>
    <w:rPr>
      <w:lang w:val="fr-FR"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014566"/>
    <w:pPr>
      <w:suppressAutoHyphens/>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014566"/>
    <w:pPr>
      <w:suppressAutoHyphens/>
    </w:pPr>
    <w:rPr>
      <w:lang w:val="fr-FR" w:eastAsia="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014566"/>
    <w:pPr>
      <w:suppressAutoHyphens/>
    </w:pPr>
    <w:rPr>
      <w:lang w:val="fr-FR" w:eastAsia="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014566"/>
    <w:pPr>
      <w:suppressAutoHyphens/>
    </w:pPr>
    <w:rPr>
      <w:lang w:val="fr-FR" w:eastAsia="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750D68"/>
    <w:pPr>
      <w:tabs>
        <w:tab w:val="right" w:leader="dot" w:pos="7371"/>
      </w:tabs>
      <w:spacing w:after="60" w:line="240" w:lineRule="exact"/>
      <w:ind w:left="2041" w:right="567" w:hanging="340"/>
    </w:pPr>
    <w:rPr>
      <w:sz w:val="20"/>
    </w:rPr>
  </w:style>
  <w:style w:type="paragraph" w:styleId="TOC7">
    <w:name w:val="toc 7"/>
    <w:basedOn w:val="Normal"/>
    <w:next w:val="Normal"/>
    <w:autoRedefine/>
    <w:uiPriority w:val="99"/>
    <w:semiHidden/>
    <w:rsid w:val="00750D68"/>
    <w:pPr>
      <w:tabs>
        <w:tab w:val="right" w:leader="dot" w:pos="7371"/>
      </w:tabs>
      <w:spacing w:after="60" w:line="240" w:lineRule="exact"/>
      <w:ind w:left="2381" w:right="567" w:hanging="340"/>
    </w:pPr>
    <w:rPr>
      <w:sz w:val="20"/>
    </w:rPr>
  </w:style>
  <w:style w:type="paragraph" w:styleId="TOC8">
    <w:name w:val="toc 8"/>
    <w:basedOn w:val="Normal"/>
    <w:next w:val="Normal"/>
    <w:autoRedefine/>
    <w:uiPriority w:val="99"/>
    <w:semiHidden/>
    <w:rsid w:val="00014566"/>
    <w:pPr>
      <w:spacing w:after="100"/>
      <w:ind w:left="1680"/>
    </w:pPr>
  </w:style>
  <w:style w:type="paragraph" w:styleId="TOC9">
    <w:name w:val="toc 9"/>
    <w:basedOn w:val="Normal"/>
    <w:next w:val="Normal"/>
    <w:autoRedefine/>
    <w:uiPriority w:val="99"/>
    <w:semiHidden/>
    <w:rsid w:val="00014566"/>
    <w:pPr>
      <w:spacing w:after="100"/>
      <w:ind w:left="1920"/>
    </w:pPr>
  </w:style>
  <w:style w:type="paragraph" w:customStyle="1" w:styleId="OpiHA0">
    <w:name w:val="Opi_H_A"/>
    <w:basedOn w:val="ECHRHeading1"/>
    <w:next w:val="OpiPara"/>
    <w:uiPriority w:val="41"/>
    <w:qFormat/>
    <w:rsid w:val="00750D68"/>
    <w:pPr>
      <w:tabs>
        <w:tab w:val="clear" w:pos="357"/>
      </w:tabs>
      <w:outlineLvl w:val="1"/>
    </w:pPr>
    <w:rPr>
      <w:b/>
    </w:rPr>
  </w:style>
  <w:style w:type="paragraph" w:customStyle="1" w:styleId="OpiHi">
    <w:name w:val="Opi_H_i"/>
    <w:basedOn w:val="ECHRHeading4"/>
    <w:uiPriority w:val="44"/>
    <w:qFormat/>
    <w:rsid w:val="00750D68"/>
    <w:pPr>
      <w:ind w:left="1037" w:hanging="357"/>
      <w:outlineLvl w:val="4"/>
    </w:pPr>
    <w:rPr>
      <w:b w:val="0"/>
      <w:i/>
    </w:rPr>
  </w:style>
  <w:style w:type="paragraph" w:customStyle="1" w:styleId="OpiPara">
    <w:name w:val="Opi_Para"/>
    <w:basedOn w:val="ECHRPara"/>
    <w:uiPriority w:val="46"/>
    <w:qFormat/>
    <w:rsid w:val="00750D68"/>
  </w:style>
  <w:style w:type="paragraph" w:customStyle="1" w:styleId="OpiParaSub">
    <w:name w:val="Opi_Para_Sub"/>
    <w:basedOn w:val="JuParaSub"/>
    <w:uiPriority w:val="47"/>
    <w:qFormat/>
    <w:rsid w:val="00750D68"/>
  </w:style>
  <w:style w:type="paragraph" w:customStyle="1" w:styleId="OpiQuot">
    <w:name w:val="Opi_Quot"/>
    <w:basedOn w:val="ECHRParaQuote"/>
    <w:uiPriority w:val="48"/>
    <w:qFormat/>
    <w:rsid w:val="00750D68"/>
  </w:style>
  <w:style w:type="paragraph" w:customStyle="1" w:styleId="OpiQuotSub">
    <w:name w:val="Opi_Quot_Sub"/>
    <w:basedOn w:val="JuQuotSub"/>
    <w:uiPriority w:val="49"/>
    <w:qFormat/>
    <w:rsid w:val="00750D68"/>
  </w:style>
  <w:style w:type="paragraph" w:customStyle="1" w:styleId="OpiTranslation">
    <w:name w:val="Opi_Translation"/>
    <w:basedOn w:val="Normal"/>
    <w:next w:val="OpiPara"/>
    <w:uiPriority w:val="40"/>
    <w:qFormat/>
    <w:rsid w:val="00750D68"/>
    <w:pPr>
      <w:jc w:val="center"/>
      <w:outlineLvl w:val="0"/>
    </w:pPr>
    <w:rPr>
      <w:i/>
    </w:rPr>
  </w:style>
  <w:style w:type="character" w:customStyle="1" w:styleId="ECHRParaChar">
    <w:name w:val="ECHR_Para Char"/>
    <w:aliases w:val="Ju_Para Char"/>
    <w:basedOn w:val="DefaultParagraphFont"/>
    <w:link w:val="ECHRPara"/>
    <w:uiPriority w:val="12"/>
    <w:rsid w:val="00E82D72"/>
    <w:rPr>
      <w:rFonts w:eastAsiaTheme="minorEastAsia"/>
      <w:sz w:val="24"/>
    </w:rPr>
  </w:style>
  <w:style w:type="character" w:customStyle="1" w:styleId="column01">
    <w:name w:val="column01"/>
    <w:basedOn w:val="DefaultParagraphFont"/>
    <w:rsid w:val="00D861E7"/>
  </w:style>
  <w:style w:type="character" w:customStyle="1" w:styleId="column04">
    <w:name w:val="column04"/>
    <w:basedOn w:val="DefaultParagraphFont"/>
    <w:rsid w:val="00D861E7"/>
  </w:style>
  <w:style w:type="character" w:customStyle="1" w:styleId="JuListChar">
    <w:name w:val="Ju_List Char"/>
    <w:link w:val="JuList"/>
    <w:uiPriority w:val="28"/>
    <w:rsid w:val="00072280"/>
    <w:rPr>
      <w:rFonts w:eastAsiaTheme="minorEastAsia"/>
      <w:sz w:val="24"/>
    </w:rPr>
  </w:style>
  <w:style w:type="character" w:customStyle="1" w:styleId="JuQuotChar">
    <w:name w:val="Ju_Quot Char"/>
    <w:link w:val="ECHRParaQuote"/>
    <w:uiPriority w:val="14"/>
    <w:rsid w:val="000508B7"/>
    <w:rPr>
      <w:rFonts w:eastAsiaTheme="minorEastAsia"/>
      <w:sz w:val="20"/>
    </w:rPr>
  </w:style>
  <w:style w:type="paragraph" w:customStyle="1" w:styleId="jupara">
    <w:name w:val="jupara"/>
    <w:basedOn w:val="Normal"/>
    <w:rsid w:val="0048494E"/>
    <w:pPr>
      <w:ind w:firstLine="284"/>
    </w:pPr>
    <w:rPr>
      <w:rFonts w:ascii="Times New Roman" w:eastAsia="Times New Roman" w:hAnsi="Times New Roman" w:cs="Times New Roman"/>
      <w:szCs w:val="24"/>
      <w:lang w:val="en-GB" w:eastAsia="en-GB"/>
    </w:rPr>
  </w:style>
  <w:style w:type="paragraph" w:customStyle="1" w:styleId="jucase0">
    <w:name w:val="jucase"/>
    <w:basedOn w:val="Normal"/>
    <w:rsid w:val="0048494E"/>
    <w:pPr>
      <w:ind w:firstLine="284"/>
    </w:pPr>
    <w:rPr>
      <w:rFonts w:ascii="Times New Roman" w:eastAsia="Times New Roman" w:hAnsi="Times New Roman" w:cs="Times New Roman"/>
      <w:b/>
      <w:bCs/>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9806">
      <w:bodyDiv w:val="1"/>
      <w:marLeft w:val="0"/>
      <w:marRight w:val="0"/>
      <w:marTop w:val="0"/>
      <w:marBottom w:val="0"/>
      <w:divBdr>
        <w:top w:val="none" w:sz="0" w:space="0" w:color="auto"/>
        <w:left w:val="none" w:sz="0" w:space="0" w:color="auto"/>
        <w:bottom w:val="none" w:sz="0" w:space="0" w:color="auto"/>
        <w:right w:val="none" w:sz="0" w:space="0" w:color="auto"/>
      </w:divBdr>
      <w:divsChild>
        <w:div w:id="1908615061">
          <w:marLeft w:val="0"/>
          <w:marRight w:val="0"/>
          <w:marTop w:val="0"/>
          <w:marBottom w:val="0"/>
          <w:divBdr>
            <w:top w:val="none" w:sz="0" w:space="0" w:color="auto"/>
            <w:left w:val="none" w:sz="0" w:space="0" w:color="auto"/>
            <w:bottom w:val="none" w:sz="0" w:space="0" w:color="auto"/>
            <w:right w:val="none" w:sz="0" w:space="0" w:color="auto"/>
          </w:divBdr>
          <w:divsChild>
            <w:div w:id="1444885424">
              <w:marLeft w:val="0"/>
              <w:marRight w:val="0"/>
              <w:marTop w:val="0"/>
              <w:marBottom w:val="0"/>
              <w:divBdr>
                <w:top w:val="none" w:sz="0" w:space="0" w:color="auto"/>
                <w:left w:val="none" w:sz="0" w:space="0" w:color="auto"/>
                <w:bottom w:val="none" w:sz="0" w:space="0" w:color="auto"/>
                <w:right w:val="none" w:sz="0" w:space="0" w:color="auto"/>
              </w:divBdr>
              <w:divsChild>
                <w:div w:id="546063167">
                  <w:marLeft w:val="0"/>
                  <w:marRight w:val="0"/>
                  <w:marTop w:val="0"/>
                  <w:marBottom w:val="0"/>
                  <w:divBdr>
                    <w:top w:val="none" w:sz="0" w:space="0" w:color="auto"/>
                    <w:left w:val="none" w:sz="0" w:space="0" w:color="auto"/>
                    <w:bottom w:val="none" w:sz="0" w:space="0" w:color="auto"/>
                    <w:right w:val="none" w:sz="0" w:space="0" w:color="auto"/>
                  </w:divBdr>
                  <w:divsChild>
                    <w:div w:id="914704220">
                      <w:marLeft w:val="0"/>
                      <w:marRight w:val="0"/>
                      <w:marTop w:val="0"/>
                      <w:marBottom w:val="0"/>
                      <w:divBdr>
                        <w:top w:val="none" w:sz="0" w:space="0" w:color="auto"/>
                        <w:left w:val="none" w:sz="0" w:space="0" w:color="auto"/>
                        <w:bottom w:val="none" w:sz="0" w:space="0" w:color="auto"/>
                        <w:right w:val="none" w:sz="0" w:space="0" w:color="auto"/>
                      </w:divBdr>
                      <w:divsChild>
                        <w:div w:id="109983641">
                          <w:marLeft w:val="0"/>
                          <w:marRight w:val="0"/>
                          <w:marTop w:val="0"/>
                          <w:marBottom w:val="0"/>
                          <w:divBdr>
                            <w:top w:val="none" w:sz="0" w:space="0" w:color="auto"/>
                            <w:left w:val="none" w:sz="0" w:space="0" w:color="auto"/>
                            <w:bottom w:val="none" w:sz="0" w:space="0" w:color="auto"/>
                            <w:right w:val="none" w:sz="0" w:space="0" w:color="auto"/>
                          </w:divBdr>
                        </w:div>
                        <w:div w:id="19549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84533">
      <w:bodyDiv w:val="1"/>
      <w:marLeft w:val="0"/>
      <w:marRight w:val="0"/>
      <w:marTop w:val="0"/>
      <w:marBottom w:val="0"/>
      <w:divBdr>
        <w:top w:val="none" w:sz="0" w:space="0" w:color="auto"/>
        <w:left w:val="none" w:sz="0" w:space="0" w:color="auto"/>
        <w:bottom w:val="none" w:sz="0" w:space="0" w:color="auto"/>
        <w:right w:val="none" w:sz="0" w:space="0" w:color="auto"/>
      </w:divBdr>
      <w:divsChild>
        <w:div w:id="1720129388">
          <w:marLeft w:val="0"/>
          <w:marRight w:val="0"/>
          <w:marTop w:val="0"/>
          <w:marBottom w:val="0"/>
          <w:divBdr>
            <w:top w:val="none" w:sz="0" w:space="0" w:color="auto"/>
            <w:left w:val="none" w:sz="0" w:space="0" w:color="auto"/>
            <w:bottom w:val="none" w:sz="0" w:space="0" w:color="auto"/>
            <w:right w:val="none" w:sz="0" w:space="0" w:color="auto"/>
          </w:divBdr>
          <w:divsChild>
            <w:div w:id="1217932661">
              <w:marLeft w:val="0"/>
              <w:marRight w:val="0"/>
              <w:marTop w:val="0"/>
              <w:marBottom w:val="0"/>
              <w:divBdr>
                <w:top w:val="none" w:sz="0" w:space="0" w:color="auto"/>
                <w:left w:val="none" w:sz="0" w:space="0" w:color="auto"/>
                <w:bottom w:val="none" w:sz="0" w:space="0" w:color="auto"/>
                <w:right w:val="none" w:sz="0" w:space="0" w:color="auto"/>
              </w:divBdr>
              <w:divsChild>
                <w:div w:id="1660496617">
                  <w:marLeft w:val="0"/>
                  <w:marRight w:val="0"/>
                  <w:marTop w:val="0"/>
                  <w:marBottom w:val="0"/>
                  <w:divBdr>
                    <w:top w:val="none" w:sz="0" w:space="0" w:color="auto"/>
                    <w:left w:val="none" w:sz="0" w:space="0" w:color="auto"/>
                    <w:bottom w:val="none" w:sz="0" w:space="0" w:color="auto"/>
                    <w:right w:val="none" w:sz="0" w:space="0" w:color="auto"/>
                  </w:divBdr>
                  <w:divsChild>
                    <w:div w:id="306476700">
                      <w:marLeft w:val="0"/>
                      <w:marRight w:val="0"/>
                      <w:marTop w:val="0"/>
                      <w:marBottom w:val="0"/>
                      <w:divBdr>
                        <w:top w:val="none" w:sz="0" w:space="0" w:color="auto"/>
                        <w:left w:val="none" w:sz="0" w:space="0" w:color="auto"/>
                        <w:bottom w:val="none" w:sz="0" w:space="0" w:color="auto"/>
                        <w:right w:val="none" w:sz="0" w:space="0" w:color="auto"/>
                      </w:divBdr>
                      <w:divsChild>
                        <w:div w:id="1533492939">
                          <w:marLeft w:val="0"/>
                          <w:marRight w:val="0"/>
                          <w:marTop w:val="0"/>
                          <w:marBottom w:val="0"/>
                          <w:divBdr>
                            <w:top w:val="none" w:sz="0" w:space="0" w:color="auto"/>
                            <w:left w:val="none" w:sz="0" w:space="0" w:color="auto"/>
                            <w:bottom w:val="none" w:sz="0" w:space="0" w:color="auto"/>
                            <w:right w:val="none" w:sz="0" w:space="0" w:color="auto"/>
                          </w:divBdr>
                          <w:divsChild>
                            <w:div w:id="147903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18130">
      <w:bodyDiv w:val="1"/>
      <w:marLeft w:val="0"/>
      <w:marRight w:val="0"/>
      <w:marTop w:val="0"/>
      <w:marBottom w:val="0"/>
      <w:divBdr>
        <w:top w:val="none" w:sz="0" w:space="0" w:color="auto"/>
        <w:left w:val="none" w:sz="0" w:space="0" w:color="auto"/>
        <w:bottom w:val="none" w:sz="0" w:space="0" w:color="auto"/>
        <w:right w:val="none" w:sz="0" w:space="0" w:color="auto"/>
      </w:divBdr>
      <w:divsChild>
        <w:div w:id="836074922">
          <w:marLeft w:val="0"/>
          <w:marRight w:val="0"/>
          <w:marTop w:val="0"/>
          <w:marBottom w:val="0"/>
          <w:divBdr>
            <w:top w:val="none" w:sz="0" w:space="0" w:color="auto"/>
            <w:left w:val="none" w:sz="0" w:space="0" w:color="auto"/>
            <w:bottom w:val="none" w:sz="0" w:space="0" w:color="auto"/>
            <w:right w:val="none" w:sz="0" w:space="0" w:color="auto"/>
          </w:divBdr>
          <w:divsChild>
            <w:div w:id="527253179">
              <w:marLeft w:val="0"/>
              <w:marRight w:val="0"/>
              <w:marTop w:val="0"/>
              <w:marBottom w:val="0"/>
              <w:divBdr>
                <w:top w:val="none" w:sz="0" w:space="0" w:color="auto"/>
                <w:left w:val="none" w:sz="0" w:space="0" w:color="auto"/>
                <w:bottom w:val="none" w:sz="0" w:space="0" w:color="auto"/>
                <w:right w:val="none" w:sz="0" w:space="0" w:color="auto"/>
              </w:divBdr>
              <w:divsChild>
                <w:div w:id="828794341">
                  <w:marLeft w:val="0"/>
                  <w:marRight w:val="0"/>
                  <w:marTop w:val="0"/>
                  <w:marBottom w:val="0"/>
                  <w:divBdr>
                    <w:top w:val="none" w:sz="0" w:space="0" w:color="auto"/>
                    <w:left w:val="none" w:sz="0" w:space="0" w:color="auto"/>
                    <w:bottom w:val="none" w:sz="0" w:space="0" w:color="auto"/>
                    <w:right w:val="none" w:sz="0" w:space="0" w:color="auto"/>
                  </w:divBdr>
                  <w:divsChild>
                    <w:div w:id="1858081317">
                      <w:marLeft w:val="0"/>
                      <w:marRight w:val="0"/>
                      <w:marTop w:val="0"/>
                      <w:marBottom w:val="0"/>
                      <w:divBdr>
                        <w:top w:val="none" w:sz="0" w:space="0" w:color="auto"/>
                        <w:left w:val="none" w:sz="0" w:space="0" w:color="auto"/>
                        <w:bottom w:val="none" w:sz="0" w:space="0" w:color="auto"/>
                        <w:right w:val="none" w:sz="0" w:space="0" w:color="auto"/>
                      </w:divBdr>
                      <w:divsChild>
                        <w:div w:id="1857036372">
                          <w:marLeft w:val="0"/>
                          <w:marRight w:val="0"/>
                          <w:marTop w:val="0"/>
                          <w:marBottom w:val="0"/>
                          <w:divBdr>
                            <w:top w:val="none" w:sz="0" w:space="0" w:color="auto"/>
                            <w:left w:val="none" w:sz="0" w:space="0" w:color="auto"/>
                            <w:bottom w:val="none" w:sz="0" w:space="0" w:color="auto"/>
                            <w:right w:val="none" w:sz="0" w:space="0" w:color="auto"/>
                          </w:divBdr>
                        </w:div>
                        <w:div w:id="149684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582759">
      <w:bodyDiv w:val="1"/>
      <w:marLeft w:val="0"/>
      <w:marRight w:val="0"/>
      <w:marTop w:val="0"/>
      <w:marBottom w:val="0"/>
      <w:divBdr>
        <w:top w:val="none" w:sz="0" w:space="0" w:color="auto"/>
        <w:left w:val="none" w:sz="0" w:space="0" w:color="auto"/>
        <w:bottom w:val="none" w:sz="0" w:space="0" w:color="auto"/>
        <w:right w:val="none" w:sz="0" w:space="0" w:color="auto"/>
      </w:divBdr>
      <w:divsChild>
        <w:div w:id="2128041790">
          <w:marLeft w:val="0"/>
          <w:marRight w:val="0"/>
          <w:marTop w:val="0"/>
          <w:marBottom w:val="0"/>
          <w:divBdr>
            <w:top w:val="none" w:sz="0" w:space="0" w:color="auto"/>
            <w:left w:val="none" w:sz="0" w:space="0" w:color="auto"/>
            <w:bottom w:val="none" w:sz="0" w:space="0" w:color="auto"/>
            <w:right w:val="none" w:sz="0" w:space="0" w:color="auto"/>
          </w:divBdr>
          <w:divsChild>
            <w:div w:id="246616062">
              <w:marLeft w:val="0"/>
              <w:marRight w:val="0"/>
              <w:marTop w:val="0"/>
              <w:marBottom w:val="0"/>
              <w:divBdr>
                <w:top w:val="none" w:sz="0" w:space="0" w:color="auto"/>
                <w:left w:val="none" w:sz="0" w:space="0" w:color="auto"/>
                <w:bottom w:val="none" w:sz="0" w:space="0" w:color="auto"/>
                <w:right w:val="none" w:sz="0" w:space="0" w:color="auto"/>
              </w:divBdr>
              <w:divsChild>
                <w:div w:id="1600871711">
                  <w:marLeft w:val="0"/>
                  <w:marRight w:val="0"/>
                  <w:marTop w:val="0"/>
                  <w:marBottom w:val="0"/>
                  <w:divBdr>
                    <w:top w:val="none" w:sz="0" w:space="0" w:color="auto"/>
                    <w:left w:val="none" w:sz="0" w:space="0" w:color="auto"/>
                    <w:bottom w:val="none" w:sz="0" w:space="0" w:color="auto"/>
                    <w:right w:val="none" w:sz="0" w:space="0" w:color="auto"/>
                  </w:divBdr>
                  <w:divsChild>
                    <w:div w:id="2102287516">
                      <w:marLeft w:val="0"/>
                      <w:marRight w:val="0"/>
                      <w:marTop w:val="0"/>
                      <w:marBottom w:val="0"/>
                      <w:divBdr>
                        <w:top w:val="none" w:sz="0" w:space="0" w:color="auto"/>
                        <w:left w:val="none" w:sz="0" w:space="0" w:color="auto"/>
                        <w:bottom w:val="none" w:sz="0" w:space="0" w:color="auto"/>
                        <w:right w:val="none" w:sz="0" w:space="0" w:color="auto"/>
                      </w:divBdr>
                      <w:divsChild>
                        <w:div w:id="922688961">
                          <w:marLeft w:val="0"/>
                          <w:marRight w:val="0"/>
                          <w:marTop w:val="0"/>
                          <w:marBottom w:val="0"/>
                          <w:divBdr>
                            <w:top w:val="none" w:sz="0" w:space="0" w:color="auto"/>
                            <w:left w:val="none" w:sz="0" w:space="0" w:color="auto"/>
                            <w:bottom w:val="none" w:sz="0" w:space="0" w:color="auto"/>
                            <w:right w:val="none" w:sz="0" w:space="0" w:color="auto"/>
                          </w:divBdr>
                          <w:divsChild>
                            <w:div w:id="8258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5741802">
      <w:bodyDiv w:val="1"/>
      <w:marLeft w:val="0"/>
      <w:marRight w:val="0"/>
      <w:marTop w:val="0"/>
      <w:marBottom w:val="0"/>
      <w:divBdr>
        <w:top w:val="none" w:sz="0" w:space="0" w:color="auto"/>
        <w:left w:val="none" w:sz="0" w:space="0" w:color="auto"/>
        <w:bottom w:val="none" w:sz="0" w:space="0" w:color="auto"/>
        <w:right w:val="none" w:sz="0" w:space="0" w:color="auto"/>
      </w:divBdr>
      <w:divsChild>
        <w:div w:id="232549451">
          <w:marLeft w:val="0"/>
          <w:marRight w:val="0"/>
          <w:marTop w:val="0"/>
          <w:marBottom w:val="0"/>
          <w:divBdr>
            <w:top w:val="none" w:sz="0" w:space="0" w:color="auto"/>
            <w:left w:val="none" w:sz="0" w:space="0" w:color="auto"/>
            <w:bottom w:val="none" w:sz="0" w:space="0" w:color="auto"/>
            <w:right w:val="none" w:sz="0" w:space="0" w:color="auto"/>
          </w:divBdr>
          <w:divsChild>
            <w:div w:id="894241743">
              <w:marLeft w:val="0"/>
              <w:marRight w:val="0"/>
              <w:marTop w:val="0"/>
              <w:marBottom w:val="0"/>
              <w:divBdr>
                <w:top w:val="none" w:sz="0" w:space="0" w:color="auto"/>
                <w:left w:val="none" w:sz="0" w:space="0" w:color="auto"/>
                <w:bottom w:val="none" w:sz="0" w:space="0" w:color="auto"/>
                <w:right w:val="none" w:sz="0" w:space="0" w:color="auto"/>
              </w:divBdr>
              <w:divsChild>
                <w:div w:id="1743261405">
                  <w:marLeft w:val="0"/>
                  <w:marRight w:val="0"/>
                  <w:marTop w:val="0"/>
                  <w:marBottom w:val="0"/>
                  <w:divBdr>
                    <w:top w:val="none" w:sz="0" w:space="0" w:color="auto"/>
                    <w:left w:val="none" w:sz="0" w:space="0" w:color="auto"/>
                    <w:bottom w:val="none" w:sz="0" w:space="0" w:color="auto"/>
                    <w:right w:val="none" w:sz="0" w:space="0" w:color="auto"/>
                  </w:divBdr>
                  <w:divsChild>
                    <w:div w:id="25763675">
                      <w:marLeft w:val="0"/>
                      <w:marRight w:val="0"/>
                      <w:marTop w:val="0"/>
                      <w:marBottom w:val="0"/>
                      <w:divBdr>
                        <w:top w:val="none" w:sz="0" w:space="0" w:color="auto"/>
                        <w:left w:val="none" w:sz="0" w:space="0" w:color="auto"/>
                        <w:bottom w:val="none" w:sz="0" w:space="0" w:color="auto"/>
                        <w:right w:val="none" w:sz="0" w:space="0" w:color="auto"/>
                      </w:divBdr>
                      <w:divsChild>
                        <w:div w:id="103548288">
                          <w:marLeft w:val="0"/>
                          <w:marRight w:val="0"/>
                          <w:marTop w:val="0"/>
                          <w:marBottom w:val="0"/>
                          <w:divBdr>
                            <w:top w:val="none" w:sz="0" w:space="0" w:color="auto"/>
                            <w:left w:val="none" w:sz="0" w:space="0" w:color="auto"/>
                            <w:bottom w:val="none" w:sz="0" w:space="0" w:color="auto"/>
                            <w:right w:val="none" w:sz="0" w:space="0" w:color="auto"/>
                          </w:divBdr>
                          <w:divsChild>
                            <w:div w:id="146095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316609">
      <w:bodyDiv w:val="1"/>
      <w:marLeft w:val="0"/>
      <w:marRight w:val="0"/>
      <w:marTop w:val="0"/>
      <w:marBottom w:val="0"/>
      <w:divBdr>
        <w:top w:val="none" w:sz="0" w:space="0" w:color="auto"/>
        <w:left w:val="none" w:sz="0" w:space="0" w:color="auto"/>
        <w:bottom w:val="none" w:sz="0" w:space="0" w:color="auto"/>
        <w:right w:val="none" w:sz="0" w:space="0" w:color="auto"/>
      </w:divBdr>
      <w:divsChild>
        <w:div w:id="1344429867">
          <w:marLeft w:val="0"/>
          <w:marRight w:val="0"/>
          <w:marTop w:val="0"/>
          <w:marBottom w:val="0"/>
          <w:divBdr>
            <w:top w:val="none" w:sz="0" w:space="0" w:color="auto"/>
            <w:left w:val="none" w:sz="0" w:space="0" w:color="auto"/>
            <w:bottom w:val="none" w:sz="0" w:space="0" w:color="auto"/>
            <w:right w:val="none" w:sz="0" w:space="0" w:color="auto"/>
          </w:divBdr>
          <w:divsChild>
            <w:div w:id="1021325284">
              <w:marLeft w:val="0"/>
              <w:marRight w:val="0"/>
              <w:marTop w:val="0"/>
              <w:marBottom w:val="0"/>
              <w:divBdr>
                <w:top w:val="none" w:sz="0" w:space="0" w:color="auto"/>
                <w:left w:val="none" w:sz="0" w:space="0" w:color="auto"/>
                <w:bottom w:val="none" w:sz="0" w:space="0" w:color="auto"/>
                <w:right w:val="none" w:sz="0" w:space="0" w:color="auto"/>
              </w:divBdr>
              <w:divsChild>
                <w:div w:id="1795102610">
                  <w:marLeft w:val="0"/>
                  <w:marRight w:val="0"/>
                  <w:marTop w:val="0"/>
                  <w:marBottom w:val="0"/>
                  <w:divBdr>
                    <w:top w:val="none" w:sz="0" w:space="0" w:color="auto"/>
                    <w:left w:val="none" w:sz="0" w:space="0" w:color="auto"/>
                    <w:bottom w:val="none" w:sz="0" w:space="0" w:color="auto"/>
                    <w:right w:val="none" w:sz="0" w:space="0" w:color="auto"/>
                  </w:divBdr>
                  <w:divsChild>
                    <w:div w:id="1727795541">
                      <w:marLeft w:val="0"/>
                      <w:marRight w:val="0"/>
                      <w:marTop w:val="0"/>
                      <w:marBottom w:val="0"/>
                      <w:divBdr>
                        <w:top w:val="none" w:sz="0" w:space="0" w:color="auto"/>
                        <w:left w:val="none" w:sz="0" w:space="0" w:color="auto"/>
                        <w:bottom w:val="none" w:sz="0" w:space="0" w:color="auto"/>
                        <w:right w:val="none" w:sz="0" w:space="0" w:color="auto"/>
                      </w:divBdr>
                      <w:divsChild>
                        <w:div w:id="1029794736">
                          <w:marLeft w:val="0"/>
                          <w:marRight w:val="0"/>
                          <w:marTop w:val="0"/>
                          <w:marBottom w:val="0"/>
                          <w:divBdr>
                            <w:top w:val="none" w:sz="0" w:space="0" w:color="auto"/>
                            <w:left w:val="none" w:sz="0" w:space="0" w:color="auto"/>
                            <w:bottom w:val="none" w:sz="0" w:space="0" w:color="auto"/>
                            <w:right w:val="none" w:sz="0" w:space="0" w:color="auto"/>
                          </w:divBdr>
                          <w:divsChild>
                            <w:div w:id="196642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746024">
      <w:bodyDiv w:val="1"/>
      <w:marLeft w:val="0"/>
      <w:marRight w:val="0"/>
      <w:marTop w:val="0"/>
      <w:marBottom w:val="0"/>
      <w:divBdr>
        <w:top w:val="none" w:sz="0" w:space="0" w:color="auto"/>
        <w:left w:val="none" w:sz="0" w:space="0" w:color="auto"/>
        <w:bottom w:val="none" w:sz="0" w:space="0" w:color="auto"/>
        <w:right w:val="none" w:sz="0" w:space="0" w:color="auto"/>
      </w:divBdr>
    </w:div>
    <w:div w:id="348800918">
      <w:bodyDiv w:val="1"/>
      <w:marLeft w:val="0"/>
      <w:marRight w:val="0"/>
      <w:marTop w:val="0"/>
      <w:marBottom w:val="0"/>
      <w:divBdr>
        <w:top w:val="none" w:sz="0" w:space="0" w:color="auto"/>
        <w:left w:val="none" w:sz="0" w:space="0" w:color="auto"/>
        <w:bottom w:val="none" w:sz="0" w:space="0" w:color="auto"/>
        <w:right w:val="none" w:sz="0" w:space="0" w:color="auto"/>
      </w:divBdr>
      <w:divsChild>
        <w:div w:id="281690447">
          <w:marLeft w:val="0"/>
          <w:marRight w:val="0"/>
          <w:marTop w:val="0"/>
          <w:marBottom w:val="0"/>
          <w:divBdr>
            <w:top w:val="none" w:sz="0" w:space="0" w:color="auto"/>
            <w:left w:val="none" w:sz="0" w:space="0" w:color="auto"/>
            <w:bottom w:val="none" w:sz="0" w:space="0" w:color="auto"/>
            <w:right w:val="none" w:sz="0" w:space="0" w:color="auto"/>
          </w:divBdr>
          <w:divsChild>
            <w:div w:id="777717444">
              <w:marLeft w:val="0"/>
              <w:marRight w:val="0"/>
              <w:marTop w:val="0"/>
              <w:marBottom w:val="0"/>
              <w:divBdr>
                <w:top w:val="none" w:sz="0" w:space="0" w:color="auto"/>
                <w:left w:val="none" w:sz="0" w:space="0" w:color="auto"/>
                <w:bottom w:val="none" w:sz="0" w:space="0" w:color="auto"/>
                <w:right w:val="none" w:sz="0" w:space="0" w:color="auto"/>
              </w:divBdr>
              <w:divsChild>
                <w:div w:id="1225869635">
                  <w:marLeft w:val="0"/>
                  <w:marRight w:val="0"/>
                  <w:marTop w:val="0"/>
                  <w:marBottom w:val="0"/>
                  <w:divBdr>
                    <w:top w:val="none" w:sz="0" w:space="0" w:color="auto"/>
                    <w:left w:val="none" w:sz="0" w:space="0" w:color="auto"/>
                    <w:bottom w:val="none" w:sz="0" w:space="0" w:color="auto"/>
                    <w:right w:val="none" w:sz="0" w:space="0" w:color="auto"/>
                  </w:divBdr>
                  <w:divsChild>
                    <w:div w:id="116800211">
                      <w:marLeft w:val="0"/>
                      <w:marRight w:val="0"/>
                      <w:marTop w:val="0"/>
                      <w:marBottom w:val="0"/>
                      <w:divBdr>
                        <w:top w:val="none" w:sz="0" w:space="0" w:color="auto"/>
                        <w:left w:val="none" w:sz="0" w:space="0" w:color="auto"/>
                        <w:bottom w:val="none" w:sz="0" w:space="0" w:color="auto"/>
                        <w:right w:val="none" w:sz="0" w:space="0" w:color="auto"/>
                      </w:divBdr>
                      <w:divsChild>
                        <w:div w:id="497617090">
                          <w:marLeft w:val="0"/>
                          <w:marRight w:val="0"/>
                          <w:marTop w:val="0"/>
                          <w:marBottom w:val="0"/>
                          <w:divBdr>
                            <w:top w:val="none" w:sz="0" w:space="0" w:color="auto"/>
                            <w:left w:val="none" w:sz="0" w:space="0" w:color="auto"/>
                            <w:bottom w:val="none" w:sz="0" w:space="0" w:color="auto"/>
                            <w:right w:val="none" w:sz="0" w:space="0" w:color="auto"/>
                          </w:divBdr>
                          <w:divsChild>
                            <w:div w:id="36178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062624">
      <w:bodyDiv w:val="1"/>
      <w:marLeft w:val="0"/>
      <w:marRight w:val="0"/>
      <w:marTop w:val="0"/>
      <w:marBottom w:val="0"/>
      <w:divBdr>
        <w:top w:val="none" w:sz="0" w:space="0" w:color="auto"/>
        <w:left w:val="none" w:sz="0" w:space="0" w:color="auto"/>
        <w:bottom w:val="none" w:sz="0" w:space="0" w:color="auto"/>
        <w:right w:val="none" w:sz="0" w:space="0" w:color="auto"/>
      </w:divBdr>
      <w:divsChild>
        <w:div w:id="1278441878">
          <w:marLeft w:val="0"/>
          <w:marRight w:val="0"/>
          <w:marTop w:val="0"/>
          <w:marBottom w:val="0"/>
          <w:divBdr>
            <w:top w:val="none" w:sz="0" w:space="0" w:color="auto"/>
            <w:left w:val="none" w:sz="0" w:space="0" w:color="auto"/>
            <w:bottom w:val="none" w:sz="0" w:space="0" w:color="auto"/>
            <w:right w:val="none" w:sz="0" w:space="0" w:color="auto"/>
          </w:divBdr>
          <w:divsChild>
            <w:div w:id="1913272623">
              <w:marLeft w:val="0"/>
              <w:marRight w:val="0"/>
              <w:marTop w:val="0"/>
              <w:marBottom w:val="0"/>
              <w:divBdr>
                <w:top w:val="none" w:sz="0" w:space="0" w:color="auto"/>
                <w:left w:val="none" w:sz="0" w:space="0" w:color="auto"/>
                <w:bottom w:val="none" w:sz="0" w:space="0" w:color="auto"/>
                <w:right w:val="none" w:sz="0" w:space="0" w:color="auto"/>
              </w:divBdr>
              <w:divsChild>
                <w:div w:id="1284312051">
                  <w:marLeft w:val="0"/>
                  <w:marRight w:val="0"/>
                  <w:marTop w:val="0"/>
                  <w:marBottom w:val="0"/>
                  <w:divBdr>
                    <w:top w:val="none" w:sz="0" w:space="0" w:color="auto"/>
                    <w:left w:val="none" w:sz="0" w:space="0" w:color="auto"/>
                    <w:bottom w:val="none" w:sz="0" w:space="0" w:color="auto"/>
                    <w:right w:val="none" w:sz="0" w:space="0" w:color="auto"/>
                  </w:divBdr>
                  <w:divsChild>
                    <w:div w:id="493182955">
                      <w:marLeft w:val="0"/>
                      <w:marRight w:val="0"/>
                      <w:marTop w:val="0"/>
                      <w:marBottom w:val="0"/>
                      <w:divBdr>
                        <w:top w:val="none" w:sz="0" w:space="0" w:color="auto"/>
                        <w:left w:val="none" w:sz="0" w:space="0" w:color="auto"/>
                        <w:bottom w:val="none" w:sz="0" w:space="0" w:color="auto"/>
                        <w:right w:val="none" w:sz="0" w:space="0" w:color="auto"/>
                      </w:divBdr>
                      <w:divsChild>
                        <w:div w:id="530462324">
                          <w:marLeft w:val="0"/>
                          <w:marRight w:val="0"/>
                          <w:marTop w:val="0"/>
                          <w:marBottom w:val="0"/>
                          <w:divBdr>
                            <w:top w:val="none" w:sz="0" w:space="0" w:color="auto"/>
                            <w:left w:val="none" w:sz="0" w:space="0" w:color="auto"/>
                            <w:bottom w:val="none" w:sz="0" w:space="0" w:color="auto"/>
                            <w:right w:val="none" w:sz="0" w:space="0" w:color="auto"/>
                          </w:divBdr>
                          <w:divsChild>
                            <w:div w:id="68911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161930">
      <w:bodyDiv w:val="1"/>
      <w:marLeft w:val="0"/>
      <w:marRight w:val="0"/>
      <w:marTop w:val="0"/>
      <w:marBottom w:val="0"/>
      <w:divBdr>
        <w:top w:val="none" w:sz="0" w:space="0" w:color="auto"/>
        <w:left w:val="none" w:sz="0" w:space="0" w:color="auto"/>
        <w:bottom w:val="none" w:sz="0" w:space="0" w:color="auto"/>
        <w:right w:val="none" w:sz="0" w:space="0" w:color="auto"/>
      </w:divBdr>
      <w:divsChild>
        <w:div w:id="8533233">
          <w:marLeft w:val="0"/>
          <w:marRight w:val="0"/>
          <w:marTop w:val="0"/>
          <w:marBottom w:val="0"/>
          <w:divBdr>
            <w:top w:val="none" w:sz="0" w:space="0" w:color="auto"/>
            <w:left w:val="none" w:sz="0" w:space="0" w:color="auto"/>
            <w:bottom w:val="none" w:sz="0" w:space="0" w:color="auto"/>
            <w:right w:val="none" w:sz="0" w:space="0" w:color="auto"/>
          </w:divBdr>
          <w:divsChild>
            <w:div w:id="1564289200">
              <w:marLeft w:val="0"/>
              <w:marRight w:val="0"/>
              <w:marTop w:val="0"/>
              <w:marBottom w:val="0"/>
              <w:divBdr>
                <w:top w:val="none" w:sz="0" w:space="0" w:color="auto"/>
                <w:left w:val="none" w:sz="0" w:space="0" w:color="auto"/>
                <w:bottom w:val="none" w:sz="0" w:space="0" w:color="auto"/>
                <w:right w:val="none" w:sz="0" w:space="0" w:color="auto"/>
              </w:divBdr>
              <w:divsChild>
                <w:div w:id="719674400">
                  <w:marLeft w:val="0"/>
                  <w:marRight w:val="0"/>
                  <w:marTop w:val="0"/>
                  <w:marBottom w:val="0"/>
                  <w:divBdr>
                    <w:top w:val="none" w:sz="0" w:space="0" w:color="auto"/>
                    <w:left w:val="none" w:sz="0" w:space="0" w:color="auto"/>
                    <w:bottom w:val="none" w:sz="0" w:space="0" w:color="auto"/>
                    <w:right w:val="none" w:sz="0" w:space="0" w:color="auto"/>
                  </w:divBdr>
                  <w:divsChild>
                    <w:div w:id="563371529">
                      <w:marLeft w:val="0"/>
                      <w:marRight w:val="0"/>
                      <w:marTop w:val="0"/>
                      <w:marBottom w:val="0"/>
                      <w:divBdr>
                        <w:top w:val="none" w:sz="0" w:space="0" w:color="auto"/>
                        <w:left w:val="none" w:sz="0" w:space="0" w:color="auto"/>
                        <w:bottom w:val="none" w:sz="0" w:space="0" w:color="auto"/>
                        <w:right w:val="none" w:sz="0" w:space="0" w:color="auto"/>
                      </w:divBdr>
                      <w:divsChild>
                        <w:div w:id="2132898982">
                          <w:marLeft w:val="0"/>
                          <w:marRight w:val="0"/>
                          <w:marTop w:val="0"/>
                          <w:marBottom w:val="0"/>
                          <w:divBdr>
                            <w:top w:val="none" w:sz="0" w:space="0" w:color="auto"/>
                            <w:left w:val="none" w:sz="0" w:space="0" w:color="auto"/>
                            <w:bottom w:val="none" w:sz="0" w:space="0" w:color="auto"/>
                            <w:right w:val="none" w:sz="0" w:space="0" w:color="auto"/>
                          </w:divBdr>
                          <w:divsChild>
                            <w:div w:id="138479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953290">
      <w:bodyDiv w:val="1"/>
      <w:marLeft w:val="0"/>
      <w:marRight w:val="0"/>
      <w:marTop w:val="0"/>
      <w:marBottom w:val="0"/>
      <w:divBdr>
        <w:top w:val="none" w:sz="0" w:space="0" w:color="auto"/>
        <w:left w:val="none" w:sz="0" w:space="0" w:color="auto"/>
        <w:bottom w:val="none" w:sz="0" w:space="0" w:color="auto"/>
        <w:right w:val="none" w:sz="0" w:space="0" w:color="auto"/>
      </w:divBdr>
      <w:divsChild>
        <w:div w:id="1119373588">
          <w:marLeft w:val="0"/>
          <w:marRight w:val="0"/>
          <w:marTop w:val="0"/>
          <w:marBottom w:val="0"/>
          <w:divBdr>
            <w:top w:val="none" w:sz="0" w:space="0" w:color="auto"/>
            <w:left w:val="none" w:sz="0" w:space="0" w:color="auto"/>
            <w:bottom w:val="none" w:sz="0" w:space="0" w:color="auto"/>
            <w:right w:val="none" w:sz="0" w:space="0" w:color="auto"/>
          </w:divBdr>
          <w:divsChild>
            <w:div w:id="265231110">
              <w:marLeft w:val="0"/>
              <w:marRight w:val="0"/>
              <w:marTop w:val="0"/>
              <w:marBottom w:val="0"/>
              <w:divBdr>
                <w:top w:val="none" w:sz="0" w:space="0" w:color="auto"/>
                <w:left w:val="none" w:sz="0" w:space="0" w:color="auto"/>
                <w:bottom w:val="none" w:sz="0" w:space="0" w:color="auto"/>
                <w:right w:val="none" w:sz="0" w:space="0" w:color="auto"/>
              </w:divBdr>
              <w:divsChild>
                <w:div w:id="527373197">
                  <w:marLeft w:val="0"/>
                  <w:marRight w:val="0"/>
                  <w:marTop w:val="0"/>
                  <w:marBottom w:val="0"/>
                  <w:divBdr>
                    <w:top w:val="none" w:sz="0" w:space="0" w:color="auto"/>
                    <w:left w:val="none" w:sz="0" w:space="0" w:color="auto"/>
                    <w:bottom w:val="none" w:sz="0" w:space="0" w:color="auto"/>
                    <w:right w:val="none" w:sz="0" w:space="0" w:color="auto"/>
                  </w:divBdr>
                  <w:divsChild>
                    <w:div w:id="2008945299">
                      <w:marLeft w:val="0"/>
                      <w:marRight w:val="0"/>
                      <w:marTop w:val="0"/>
                      <w:marBottom w:val="0"/>
                      <w:divBdr>
                        <w:top w:val="none" w:sz="0" w:space="0" w:color="auto"/>
                        <w:left w:val="none" w:sz="0" w:space="0" w:color="auto"/>
                        <w:bottom w:val="none" w:sz="0" w:space="0" w:color="auto"/>
                        <w:right w:val="none" w:sz="0" w:space="0" w:color="auto"/>
                      </w:divBdr>
                      <w:divsChild>
                        <w:div w:id="1267999756">
                          <w:marLeft w:val="0"/>
                          <w:marRight w:val="0"/>
                          <w:marTop w:val="0"/>
                          <w:marBottom w:val="0"/>
                          <w:divBdr>
                            <w:top w:val="none" w:sz="0" w:space="0" w:color="auto"/>
                            <w:left w:val="none" w:sz="0" w:space="0" w:color="auto"/>
                            <w:bottom w:val="none" w:sz="0" w:space="0" w:color="auto"/>
                            <w:right w:val="none" w:sz="0" w:space="0" w:color="auto"/>
                          </w:divBdr>
                          <w:divsChild>
                            <w:div w:id="12111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2575405">
      <w:bodyDiv w:val="1"/>
      <w:marLeft w:val="0"/>
      <w:marRight w:val="0"/>
      <w:marTop w:val="0"/>
      <w:marBottom w:val="0"/>
      <w:divBdr>
        <w:top w:val="none" w:sz="0" w:space="0" w:color="auto"/>
        <w:left w:val="none" w:sz="0" w:space="0" w:color="auto"/>
        <w:bottom w:val="none" w:sz="0" w:space="0" w:color="auto"/>
        <w:right w:val="none" w:sz="0" w:space="0" w:color="auto"/>
      </w:divBdr>
      <w:divsChild>
        <w:div w:id="416364378">
          <w:marLeft w:val="0"/>
          <w:marRight w:val="0"/>
          <w:marTop w:val="0"/>
          <w:marBottom w:val="0"/>
          <w:divBdr>
            <w:top w:val="none" w:sz="0" w:space="0" w:color="auto"/>
            <w:left w:val="none" w:sz="0" w:space="0" w:color="auto"/>
            <w:bottom w:val="none" w:sz="0" w:space="0" w:color="auto"/>
            <w:right w:val="none" w:sz="0" w:space="0" w:color="auto"/>
          </w:divBdr>
          <w:divsChild>
            <w:div w:id="1362517356">
              <w:marLeft w:val="0"/>
              <w:marRight w:val="0"/>
              <w:marTop w:val="0"/>
              <w:marBottom w:val="0"/>
              <w:divBdr>
                <w:top w:val="none" w:sz="0" w:space="0" w:color="auto"/>
                <w:left w:val="none" w:sz="0" w:space="0" w:color="auto"/>
                <w:bottom w:val="none" w:sz="0" w:space="0" w:color="auto"/>
                <w:right w:val="none" w:sz="0" w:space="0" w:color="auto"/>
              </w:divBdr>
              <w:divsChild>
                <w:div w:id="1907569800">
                  <w:marLeft w:val="0"/>
                  <w:marRight w:val="0"/>
                  <w:marTop w:val="0"/>
                  <w:marBottom w:val="0"/>
                  <w:divBdr>
                    <w:top w:val="none" w:sz="0" w:space="0" w:color="auto"/>
                    <w:left w:val="none" w:sz="0" w:space="0" w:color="auto"/>
                    <w:bottom w:val="none" w:sz="0" w:space="0" w:color="auto"/>
                    <w:right w:val="none" w:sz="0" w:space="0" w:color="auto"/>
                  </w:divBdr>
                  <w:divsChild>
                    <w:div w:id="97022907">
                      <w:marLeft w:val="0"/>
                      <w:marRight w:val="0"/>
                      <w:marTop w:val="0"/>
                      <w:marBottom w:val="0"/>
                      <w:divBdr>
                        <w:top w:val="none" w:sz="0" w:space="0" w:color="auto"/>
                        <w:left w:val="none" w:sz="0" w:space="0" w:color="auto"/>
                        <w:bottom w:val="none" w:sz="0" w:space="0" w:color="auto"/>
                        <w:right w:val="none" w:sz="0" w:space="0" w:color="auto"/>
                      </w:divBdr>
                      <w:divsChild>
                        <w:div w:id="457187524">
                          <w:marLeft w:val="0"/>
                          <w:marRight w:val="0"/>
                          <w:marTop w:val="0"/>
                          <w:marBottom w:val="0"/>
                          <w:divBdr>
                            <w:top w:val="none" w:sz="0" w:space="0" w:color="auto"/>
                            <w:left w:val="none" w:sz="0" w:space="0" w:color="auto"/>
                            <w:bottom w:val="none" w:sz="0" w:space="0" w:color="auto"/>
                            <w:right w:val="none" w:sz="0" w:space="0" w:color="auto"/>
                          </w:divBdr>
                          <w:divsChild>
                            <w:div w:id="16482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978323">
      <w:bodyDiv w:val="1"/>
      <w:marLeft w:val="0"/>
      <w:marRight w:val="0"/>
      <w:marTop w:val="0"/>
      <w:marBottom w:val="0"/>
      <w:divBdr>
        <w:top w:val="none" w:sz="0" w:space="0" w:color="auto"/>
        <w:left w:val="none" w:sz="0" w:space="0" w:color="auto"/>
        <w:bottom w:val="none" w:sz="0" w:space="0" w:color="auto"/>
        <w:right w:val="none" w:sz="0" w:space="0" w:color="auto"/>
      </w:divBdr>
      <w:divsChild>
        <w:div w:id="616259845">
          <w:marLeft w:val="0"/>
          <w:marRight w:val="0"/>
          <w:marTop w:val="0"/>
          <w:marBottom w:val="0"/>
          <w:divBdr>
            <w:top w:val="none" w:sz="0" w:space="0" w:color="auto"/>
            <w:left w:val="none" w:sz="0" w:space="0" w:color="auto"/>
            <w:bottom w:val="none" w:sz="0" w:space="0" w:color="auto"/>
            <w:right w:val="none" w:sz="0" w:space="0" w:color="auto"/>
          </w:divBdr>
          <w:divsChild>
            <w:div w:id="449861556">
              <w:marLeft w:val="0"/>
              <w:marRight w:val="0"/>
              <w:marTop w:val="0"/>
              <w:marBottom w:val="0"/>
              <w:divBdr>
                <w:top w:val="none" w:sz="0" w:space="0" w:color="auto"/>
                <w:left w:val="none" w:sz="0" w:space="0" w:color="auto"/>
                <w:bottom w:val="none" w:sz="0" w:space="0" w:color="auto"/>
                <w:right w:val="none" w:sz="0" w:space="0" w:color="auto"/>
              </w:divBdr>
              <w:divsChild>
                <w:div w:id="1237979982">
                  <w:marLeft w:val="0"/>
                  <w:marRight w:val="0"/>
                  <w:marTop w:val="0"/>
                  <w:marBottom w:val="0"/>
                  <w:divBdr>
                    <w:top w:val="none" w:sz="0" w:space="0" w:color="auto"/>
                    <w:left w:val="none" w:sz="0" w:space="0" w:color="auto"/>
                    <w:bottom w:val="none" w:sz="0" w:space="0" w:color="auto"/>
                    <w:right w:val="none" w:sz="0" w:space="0" w:color="auto"/>
                  </w:divBdr>
                  <w:divsChild>
                    <w:div w:id="933437661">
                      <w:marLeft w:val="0"/>
                      <w:marRight w:val="0"/>
                      <w:marTop w:val="0"/>
                      <w:marBottom w:val="0"/>
                      <w:divBdr>
                        <w:top w:val="none" w:sz="0" w:space="0" w:color="auto"/>
                        <w:left w:val="none" w:sz="0" w:space="0" w:color="auto"/>
                        <w:bottom w:val="none" w:sz="0" w:space="0" w:color="auto"/>
                        <w:right w:val="none" w:sz="0" w:space="0" w:color="auto"/>
                      </w:divBdr>
                      <w:divsChild>
                        <w:div w:id="1379474682">
                          <w:marLeft w:val="0"/>
                          <w:marRight w:val="0"/>
                          <w:marTop w:val="0"/>
                          <w:marBottom w:val="0"/>
                          <w:divBdr>
                            <w:top w:val="none" w:sz="0" w:space="0" w:color="auto"/>
                            <w:left w:val="none" w:sz="0" w:space="0" w:color="auto"/>
                            <w:bottom w:val="none" w:sz="0" w:space="0" w:color="auto"/>
                            <w:right w:val="none" w:sz="0" w:space="0" w:color="auto"/>
                          </w:divBdr>
                          <w:divsChild>
                            <w:div w:id="117499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384130">
      <w:bodyDiv w:val="1"/>
      <w:marLeft w:val="0"/>
      <w:marRight w:val="0"/>
      <w:marTop w:val="0"/>
      <w:marBottom w:val="0"/>
      <w:divBdr>
        <w:top w:val="none" w:sz="0" w:space="0" w:color="auto"/>
        <w:left w:val="none" w:sz="0" w:space="0" w:color="auto"/>
        <w:bottom w:val="none" w:sz="0" w:space="0" w:color="auto"/>
        <w:right w:val="none" w:sz="0" w:space="0" w:color="auto"/>
      </w:divBdr>
      <w:divsChild>
        <w:div w:id="1718703411">
          <w:marLeft w:val="0"/>
          <w:marRight w:val="0"/>
          <w:marTop w:val="0"/>
          <w:marBottom w:val="0"/>
          <w:divBdr>
            <w:top w:val="none" w:sz="0" w:space="0" w:color="auto"/>
            <w:left w:val="none" w:sz="0" w:space="0" w:color="auto"/>
            <w:bottom w:val="none" w:sz="0" w:space="0" w:color="auto"/>
            <w:right w:val="none" w:sz="0" w:space="0" w:color="auto"/>
          </w:divBdr>
          <w:divsChild>
            <w:div w:id="738405859">
              <w:marLeft w:val="0"/>
              <w:marRight w:val="0"/>
              <w:marTop w:val="0"/>
              <w:marBottom w:val="0"/>
              <w:divBdr>
                <w:top w:val="none" w:sz="0" w:space="0" w:color="auto"/>
                <w:left w:val="none" w:sz="0" w:space="0" w:color="auto"/>
                <w:bottom w:val="none" w:sz="0" w:space="0" w:color="auto"/>
                <w:right w:val="none" w:sz="0" w:space="0" w:color="auto"/>
              </w:divBdr>
              <w:divsChild>
                <w:div w:id="147091285">
                  <w:marLeft w:val="0"/>
                  <w:marRight w:val="0"/>
                  <w:marTop w:val="0"/>
                  <w:marBottom w:val="0"/>
                  <w:divBdr>
                    <w:top w:val="none" w:sz="0" w:space="0" w:color="auto"/>
                    <w:left w:val="none" w:sz="0" w:space="0" w:color="auto"/>
                    <w:bottom w:val="none" w:sz="0" w:space="0" w:color="auto"/>
                    <w:right w:val="none" w:sz="0" w:space="0" w:color="auto"/>
                  </w:divBdr>
                  <w:divsChild>
                    <w:div w:id="1393389316">
                      <w:marLeft w:val="0"/>
                      <w:marRight w:val="0"/>
                      <w:marTop w:val="0"/>
                      <w:marBottom w:val="0"/>
                      <w:divBdr>
                        <w:top w:val="none" w:sz="0" w:space="0" w:color="auto"/>
                        <w:left w:val="none" w:sz="0" w:space="0" w:color="auto"/>
                        <w:bottom w:val="none" w:sz="0" w:space="0" w:color="auto"/>
                        <w:right w:val="none" w:sz="0" w:space="0" w:color="auto"/>
                      </w:divBdr>
                      <w:divsChild>
                        <w:div w:id="1102726211">
                          <w:marLeft w:val="0"/>
                          <w:marRight w:val="0"/>
                          <w:marTop w:val="0"/>
                          <w:marBottom w:val="0"/>
                          <w:divBdr>
                            <w:top w:val="none" w:sz="0" w:space="0" w:color="auto"/>
                            <w:left w:val="none" w:sz="0" w:space="0" w:color="auto"/>
                            <w:bottom w:val="none" w:sz="0" w:space="0" w:color="auto"/>
                            <w:right w:val="none" w:sz="0" w:space="0" w:color="auto"/>
                          </w:divBdr>
                          <w:divsChild>
                            <w:div w:id="3353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587267">
      <w:bodyDiv w:val="1"/>
      <w:marLeft w:val="0"/>
      <w:marRight w:val="0"/>
      <w:marTop w:val="0"/>
      <w:marBottom w:val="0"/>
      <w:divBdr>
        <w:top w:val="none" w:sz="0" w:space="0" w:color="auto"/>
        <w:left w:val="none" w:sz="0" w:space="0" w:color="auto"/>
        <w:bottom w:val="none" w:sz="0" w:space="0" w:color="auto"/>
        <w:right w:val="none" w:sz="0" w:space="0" w:color="auto"/>
      </w:divBdr>
      <w:divsChild>
        <w:div w:id="1308825039">
          <w:marLeft w:val="0"/>
          <w:marRight w:val="0"/>
          <w:marTop w:val="0"/>
          <w:marBottom w:val="0"/>
          <w:divBdr>
            <w:top w:val="none" w:sz="0" w:space="0" w:color="auto"/>
            <w:left w:val="none" w:sz="0" w:space="0" w:color="auto"/>
            <w:bottom w:val="none" w:sz="0" w:space="0" w:color="auto"/>
            <w:right w:val="none" w:sz="0" w:space="0" w:color="auto"/>
          </w:divBdr>
          <w:divsChild>
            <w:div w:id="163790324">
              <w:marLeft w:val="0"/>
              <w:marRight w:val="0"/>
              <w:marTop w:val="0"/>
              <w:marBottom w:val="0"/>
              <w:divBdr>
                <w:top w:val="none" w:sz="0" w:space="0" w:color="auto"/>
                <w:left w:val="none" w:sz="0" w:space="0" w:color="auto"/>
                <w:bottom w:val="none" w:sz="0" w:space="0" w:color="auto"/>
                <w:right w:val="none" w:sz="0" w:space="0" w:color="auto"/>
              </w:divBdr>
              <w:divsChild>
                <w:div w:id="47262196">
                  <w:marLeft w:val="0"/>
                  <w:marRight w:val="0"/>
                  <w:marTop w:val="0"/>
                  <w:marBottom w:val="0"/>
                  <w:divBdr>
                    <w:top w:val="none" w:sz="0" w:space="0" w:color="auto"/>
                    <w:left w:val="none" w:sz="0" w:space="0" w:color="auto"/>
                    <w:bottom w:val="none" w:sz="0" w:space="0" w:color="auto"/>
                    <w:right w:val="none" w:sz="0" w:space="0" w:color="auto"/>
                  </w:divBdr>
                  <w:divsChild>
                    <w:div w:id="1066150875">
                      <w:marLeft w:val="0"/>
                      <w:marRight w:val="0"/>
                      <w:marTop w:val="0"/>
                      <w:marBottom w:val="0"/>
                      <w:divBdr>
                        <w:top w:val="none" w:sz="0" w:space="0" w:color="auto"/>
                        <w:left w:val="none" w:sz="0" w:space="0" w:color="auto"/>
                        <w:bottom w:val="none" w:sz="0" w:space="0" w:color="auto"/>
                        <w:right w:val="none" w:sz="0" w:space="0" w:color="auto"/>
                      </w:divBdr>
                      <w:divsChild>
                        <w:div w:id="1162156312">
                          <w:marLeft w:val="0"/>
                          <w:marRight w:val="0"/>
                          <w:marTop w:val="0"/>
                          <w:marBottom w:val="0"/>
                          <w:divBdr>
                            <w:top w:val="none" w:sz="0" w:space="0" w:color="auto"/>
                            <w:left w:val="none" w:sz="0" w:space="0" w:color="auto"/>
                            <w:bottom w:val="none" w:sz="0" w:space="0" w:color="auto"/>
                            <w:right w:val="none" w:sz="0" w:space="0" w:color="auto"/>
                          </w:divBdr>
                          <w:divsChild>
                            <w:div w:id="16058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254384">
      <w:bodyDiv w:val="1"/>
      <w:marLeft w:val="0"/>
      <w:marRight w:val="0"/>
      <w:marTop w:val="0"/>
      <w:marBottom w:val="0"/>
      <w:divBdr>
        <w:top w:val="none" w:sz="0" w:space="0" w:color="auto"/>
        <w:left w:val="none" w:sz="0" w:space="0" w:color="auto"/>
        <w:bottom w:val="none" w:sz="0" w:space="0" w:color="auto"/>
        <w:right w:val="none" w:sz="0" w:space="0" w:color="auto"/>
      </w:divBdr>
      <w:divsChild>
        <w:div w:id="284846492">
          <w:marLeft w:val="0"/>
          <w:marRight w:val="0"/>
          <w:marTop w:val="0"/>
          <w:marBottom w:val="0"/>
          <w:divBdr>
            <w:top w:val="none" w:sz="0" w:space="0" w:color="auto"/>
            <w:left w:val="none" w:sz="0" w:space="0" w:color="auto"/>
            <w:bottom w:val="none" w:sz="0" w:space="0" w:color="auto"/>
            <w:right w:val="none" w:sz="0" w:space="0" w:color="auto"/>
          </w:divBdr>
          <w:divsChild>
            <w:div w:id="241644735">
              <w:marLeft w:val="0"/>
              <w:marRight w:val="0"/>
              <w:marTop w:val="0"/>
              <w:marBottom w:val="0"/>
              <w:divBdr>
                <w:top w:val="none" w:sz="0" w:space="0" w:color="auto"/>
                <w:left w:val="none" w:sz="0" w:space="0" w:color="auto"/>
                <w:bottom w:val="none" w:sz="0" w:space="0" w:color="auto"/>
                <w:right w:val="none" w:sz="0" w:space="0" w:color="auto"/>
              </w:divBdr>
              <w:divsChild>
                <w:div w:id="1860460331">
                  <w:marLeft w:val="0"/>
                  <w:marRight w:val="0"/>
                  <w:marTop w:val="0"/>
                  <w:marBottom w:val="0"/>
                  <w:divBdr>
                    <w:top w:val="none" w:sz="0" w:space="0" w:color="auto"/>
                    <w:left w:val="none" w:sz="0" w:space="0" w:color="auto"/>
                    <w:bottom w:val="none" w:sz="0" w:space="0" w:color="auto"/>
                    <w:right w:val="none" w:sz="0" w:space="0" w:color="auto"/>
                  </w:divBdr>
                  <w:divsChild>
                    <w:div w:id="1944419026">
                      <w:marLeft w:val="0"/>
                      <w:marRight w:val="0"/>
                      <w:marTop w:val="0"/>
                      <w:marBottom w:val="0"/>
                      <w:divBdr>
                        <w:top w:val="none" w:sz="0" w:space="0" w:color="auto"/>
                        <w:left w:val="none" w:sz="0" w:space="0" w:color="auto"/>
                        <w:bottom w:val="none" w:sz="0" w:space="0" w:color="auto"/>
                        <w:right w:val="none" w:sz="0" w:space="0" w:color="auto"/>
                      </w:divBdr>
                      <w:divsChild>
                        <w:div w:id="236670020">
                          <w:marLeft w:val="0"/>
                          <w:marRight w:val="0"/>
                          <w:marTop w:val="0"/>
                          <w:marBottom w:val="0"/>
                          <w:divBdr>
                            <w:top w:val="none" w:sz="0" w:space="0" w:color="auto"/>
                            <w:left w:val="none" w:sz="0" w:space="0" w:color="auto"/>
                            <w:bottom w:val="none" w:sz="0" w:space="0" w:color="auto"/>
                            <w:right w:val="none" w:sz="0" w:space="0" w:color="auto"/>
                          </w:divBdr>
                          <w:divsChild>
                            <w:div w:id="12263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045519">
      <w:bodyDiv w:val="1"/>
      <w:marLeft w:val="0"/>
      <w:marRight w:val="0"/>
      <w:marTop w:val="0"/>
      <w:marBottom w:val="0"/>
      <w:divBdr>
        <w:top w:val="none" w:sz="0" w:space="0" w:color="auto"/>
        <w:left w:val="none" w:sz="0" w:space="0" w:color="auto"/>
        <w:bottom w:val="none" w:sz="0" w:space="0" w:color="auto"/>
        <w:right w:val="none" w:sz="0" w:space="0" w:color="auto"/>
      </w:divBdr>
      <w:divsChild>
        <w:div w:id="2102751412">
          <w:marLeft w:val="0"/>
          <w:marRight w:val="0"/>
          <w:marTop w:val="0"/>
          <w:marBottom w:val="0"/>
          <w:divBdr>
            <w:top w:val="none" w:sz="0" w:space="0" w:color="auto"/>
            <w:left w:val="none" w:sz="0" w:space="0" w:color="auto"/>
            <w:bottom w:val="none" w:sz="0" w:space="0" w:color="auto"/>
            <w:right w:val="none" w:sz="0" w:space="0" w:color="auto"/>
          </w:divBdr>
          <w:divsChild>
            <w:div w:id="835267854">
              <w:marLeft w:val="0"/>
              <w:marRight w:val="0"/>
              <w:marTop w:val="0"/>
              <w:marBottom w:val="0"/>
              <w:divBdr>
                <w:top w:val="none" w:sz="0" w:space="0" w:color="auto"/>
                <w:left w:val="none" w:sz="0" w:space="0" w:color="auto"/>
                <w:bottom w:val="none" w:sz="0" w:space="0" w:color="auto"/>
                <w:right w:val="none" w:sz="0" w:space="0" w:color="auto"/>
              </w:divBdr>
              <w:divsChild>
                <w:div w:id="1738699769">
                  <w:marLeft w:val="0"/>
                  <w:marRight w:val="0"/>
                  <w:marTop w:val="0"/>
                  <w:marBottom w:val="0"/>
                  <w:divBdr>
                    <w:top w:val="none" w:sz="0" w:space="0" w:color="auto"/>
                    <w:left w:val="none" w:sz="0" w:space="0" w:color="auto"/>
                    <w:bottom w:val="none" w:sz="0" w:space="0" w:color="auto"/>
                    <w:right w:val="none" w:sz="0" w:space="0" w:color="auto"/>
                  </w:divBdr>
                  <w:divsChild>
                    <w:div w:id="1391536727">
                      <w:marLeft w:val="0"/>
                      <w:marRight w:val="0"/>
                      <w:marTop w:val="0"/>
                      <w:marBottom w:val="0"/>
                      <w:divBdr>
                        <w:top w:val="none" w:sz="0" w:space="0" w:color="auto"/>
                        <w:left w:val="none" w:sz="0" w:space="0" w:color="auto"/>
                        <w:bottom w:val="none" w:sz="0" w:space="0" w:color="auto"/>
                        <w:right w:val="none" w:sz="0" w:space="0" w:color="auto"/>
                      </w:divBdr>
                      <w:divsChild>
                        <w:div w:id="659038229">
                          <w:marLeft w:val="0"/>
                          <w:marRight w:val="0"/>
                          <w:marTop w:val="0"/>
                          <w:marBottom w:val="0"/>
                          <w:divBdr>
                            <w:top w:val="none" w:sz="0" w:space="0" w:color="auto"/>
                            <w:left w:val="none" w:sz="0" w:space="0" w:color="auto"/>
                            <w:bottom w:val="none" w:sz="0" w:space="0" w:color="auto"/>
                            <w:right w:val="none" w:sz="0" w:space="0" w:color="auto"/>
                          </w:divBdr>
                          <w:divsChild>
                            <w:div w:id="12061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975754">
      <w:bodyDiv w:val="1"/>
      <w:marLeft w:val="0"/>
      <w:marRight w:val="0"/>
      <w:marTop w:val="0"/>
      <w:marBottom w:val="0"/>
      <w:divBdr>
        <w:top w:val="none" w:sz="0" w:space="0" w:color="auto"/>
        <w:left w:val="none" w:sz="0" w:space="0" w:color="auto"/>
        <w:bottom w:val="none" w:sz="0" w:space="0" w:color="auto"/>
        <w:right w:val="none" w:sz="0" w:space="0" w:color="auto"/>
      </w:divBdr>
      <w:divsChild>
        <w:div w:id="1090127380">
          <w:marLeft w:val="0"/>
          <w:marRight w:val="0"/>
          <w:marTop w:val="0"/>
          <w:marBottom w:val="0"/>
          <w:divBdr>
            <w:top w:val="none" w:sz="0" w:space="0" w:color="auto"/>
            <w:left w:val="none" w:sz="0" w:space="0" w:color="auto"/>
            <w:bottom w:val="none" w:sz="0" w:space="0" w:color="auto"/>
            <w:right w:val="none" w:sz="0" w:space="0" w:color="auto"/>
          </w:divBdr>
          <w:divsChild>
            <w:div w:id="1990016386">
              <w:marLeft w:val="0"/>
              <w:marRight w:val="0"/>
              <w:marTop w:val="0"/>
              <w:marBottom w:val="0"/>
              <w:divBdr>
                <w:top w:val="none" w:sz="0" w:space="0" w:color="auto"/>
                <w:left w:val="none" w:sz="0" w:space="0" w:color="auto"/>
                <w:bottom w:val="none" w:sz="0" w:space="0" w:color="auto"/>
                <w:right w:val="none" w:sz="0" w:space="0" w:color="auto"/>
              </w:divBdr>
              <w:divsChild>
                <w:div w:id="196352115">
                  <w:marLeft w:val="0"/>
                  <w:marRight w:val="0"/>
                  <w:marTop w:val="0"/>
                  <w:marBottom w:val="0"/>
                  <w:divBdr>
                    <w:top w:val="none" w:sz="0" w:space="0" w:color="auto"/>
                    <w:left w:val="none" w:sz="0" w:space="0" w:color="auto"/>
                    <w:bottom w:val="none" w:sz="0" w:space="0" w:color="auto"/>
                    <w:right w:val="none" w:sz="0" w:space="0" w:color="auto"/>
                  </w:divBdr>
                  <w:divsChild>
                    <w:div w:id="607200566">
                      <w:marLeft w:val="0"/>
                      <w:marRight w:val="0"/>
                      <w:marTop w:val="0"/>
                      <w:marBottom w:val="0"/>
                      <w:divBdr>
                        <w:top w:val="none" w:sz="0" w:space="0" w:color="auto"/>
                        <w:left w:val="none" w:sz="0" w:space="0" w:color="auto"/>
                        <w:bottom w:val="none" w:sz="0" w:space="0" w:color="auto"/>
                        <w:right w:val="none" w:sz="0" w:space="0" w:color="auto"/>
                      </w:divBdr>
                      <w:divsChild>
                        <w:div w:id="1511917656">
                          <w:marLeft w:val="0"/>
                          <w:marRight w:val="0"/>
                          <w:marTop w:val="0"/>
                          <w:marBottom w:val="0"/>
                          <w:divBdr>
                            <w:top w:val="none" w:sz="0" w:space="0" w:color="auto"/>
                            <w:left w:val="none" w:sz="0" w:space="0" w:color="auto"/>
                            <w:bottom w:val="none" w:sz="0" w:space="0" w:color="auto"/>
                            <w:right w:val="none" w:sz="0" w:space="0" w:color="auto"/>
                          </w:divBdr>
                          <w:divsChild>
                            <w:div w:id="99549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548115">
      <w:bodyDiv w:val="1"/>
      <w:marLeft w:val="0"/>
      <w:marRight w:val="0"/>
      <w:marTop w:val="0"/>
      <w:marBottom w:val="0"/>
      <w:divBdr>
        <w:top w:val="none" w:sz="0" w:space="0" w:color="auto"/>
        <w:left w:val="none" w:sz="0" w:space="0" w:color="auto"/>
        <w:bottom w:val="none" w:sz="0" w:space="0" w:color="auto"/>
        <w:right w:val="none" w:sz="0" w:space="0" w:color="auto"/>
      </w:divBdr>
      <w:divsChild>
        <w:div w:id="871041083">
          <w:marLeft w:val="0"/>
          <w:marRight w:val="0"/>
          <w:marTop w:val="0"/>
          <w:marBottom w:val="0"/>
          <w:divBdr>
            <w:top w:val="none" w:sz="0" w:space="0" w:color="auto"/>
            <w:left w:val="none" w:sz="0" w:space="0" w:color="auto"/>
            <w:bottom w:val="none" w:sz="0" w:space="0" w:color="auto"/>
            <w:right w:val="none" w:sz="0" w:space="0" w:color="auto"/>
          </w:divBdr>
          <w:divsChild>
            <w:div w:id="2014797458">
              <w:marLeft w:val="0"/>
              <w:marRight w:val="0"/>
              <w:marTop w:val="0"/>
              <w:marBottom w:val="0"/>
              <w:divBdr>
                <w:top w:val="none" w:sz="0" w:space="0" w:color="auto"/>
                <w:left w:val="none" w:sz="0" w:space="0" w:color="auto"/>
                <w:bottom w:val="none" w:sz="0" w:space="0" w:color="auto"/>
                <w:right w:val="none" w:sz="0" w:space="0" w:color="auto"/>
              </w:divBdr>
              <w:divsChild>
                <w:div w:id="490293620">
                  <w:marLeft w:val="0"/>
                  <w:marRight w:val="0"/>
                  <w:marTop w:val="0"/>
                  <w:marBottom w:val="0"/>
                  <w:divBdr>
                    <w:top w:val="none" w:sz="0" w:space="0" w:color="auto"/>
                    <w:left w:val="none" w:sz="0" w:space="0" w:color="auto"/>
                    <w:bottom w:val="none" w:sz="0" w:space="0" w:color="auto"/>
                    <w:right w:val="none" w:sz="0" w:space="0" w:color="auto"/>
                  </w:divBdr>
                  <w:divsChild>
                    <w:div w:id="1968777563">
                      <w:marLeft w:val="0"/>
                      <w:marRight w:val="0"/>
                      <w:marTop w:val="0"/>
                      <w:marBottom w:val="0"/>
                      <w:divBdr>
                        <w:top w:val="none" w:sz="0" w:space="0" w:color="auto"/>
                        <w:left w:val="none" w:sz="0" w:space="0" w:color="auto"/>
                        <w:bottom w:val="none" w:sz="0" w:space="0" w:color="auto"/>
                        <w:right w:val="none" w:sz="0" w:space="0" w:color="auto"/>
                      </w:divBdr>
                      <w:divsChild>
                        <w:div w:id="99961477">
                          <w:marLeft w:val="0"/>
                          <w:marRight w:val="0"/>
                          <w:marTop w:val="0"/>
                          <w:marBottom w:val="0"/>
                          <w:divBdr>
                            <w:top w:val="none" w:sz="0" w:space="0" w:color="auto"/>
                            <w:left w:val="none" w:sz="0" w:space="0" w:color="auto"/>
                            <w:bottom w:val="none" w:sz="0" w:space="0" w:color="auto"/>
                            <w:right w:val="none" w:sz="0" w:space="0" w:color="auto"/>
                          </w:divBdr>
                          <w:divsChild>
                            <w:div w:id="5264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309575">
      <w:bodyDiv w:val="1"/>
      <w:marLeft w:val="0"/>
      <w:marRight w:val="0"/>
      <w:marTop w:val="0"/>
      <w:marBottom w:val="0"/>
      <w:divBdr>
        <w:top w:val="none" w:sz="0" w:space="0" w:color="auto"/>
        <w:left w:val="none" w:sz="0" w:space="0" w:color="auto"/>
        <w:bottom w:val="none" w:sz="0" w:space="0" w:color="auto"/>
        <w:right w:val="none" w:sz="0" w:space="0" w:color="auto"/>
      </w:divBdr>
    </w:div>
    <w:div w:id="1436247465">
      <w:bodyDiv w:val="1"/>
      <w:marLeft w:val="0"/>
      <w:marRight w:val="0"/>
      <w:marTop w:val="0"/>
      <w:marBottom w:val="0"/>
      <w:divBdr>
        <w:top w:val="none" w:sz="0" w:space="0" w:color="auto"/>
        <w:left w:val="none" w:sz="0" w:space="0" w:color="auto"/>
        <w:bottom w:val="none" w:sz="0" w:space="0" w:color="auto"/>
        <w:right w:val="none" w:sz="0" w:space="0" w:color="auto"/>
      </w:divBdr>
    </w:div>
    <w:div w:id="1470247914">
      <w:bodyDiv w:val="1"/>
      <w:marLeft w:val="0"/>
      <w:marRight w:val="0"/>
      <w:marTop w:val="0"/>
      <w:marBottom w:val="0"/>
      <w:divBdr>
        <w:top w:val="none" w:sz="0" w:space="0" w:color="auto"/>
        <w:left w:val="none" w:sz="0" w:space="0" w:color="auto"/>
        <w:bottom w:val="none" w:sz="0" w:space="0" w:color="auto"/>
        <w:right w:val="none" w:sz="0" w:space="0" w:color="auto"/>
      </w:divBdr>
      <w:divsChild>
        <w:div w:id="1808427615">
          <w:marLeft w:val="0"/>
          <w:marRight w:val="0"/>
          <w:marTop w:val="0"/>
          <w:marBottom w:val="0"/>
          <w:divBdr>
            <w:top w:val="none" w:sz="0" w:space="0" w:color="auto"/>
            <w:left w:val="none" w:sz="0" w:space="0" w:color="auto"/>
            <w:bottom w:val="none" w:sz="0" w:space="0" w:color="auto"/>
            <w:right w:val="none" w:sz="0" w:space="0" w:color="auto"/>
          </w:divBdr>
          <w:divsChild>
            <w:div w:id="1073694991">
              <w:marLeft w:val="0"/>
              <w:marRight w:val="0"/>
              <w:marTop w:val="0"/>
              <w:marBottom w:val="0"/>
              <w:divBdr>
                <w:top w:val="none" w:sz="0" w:space="0" w:color="auto"/>
                <w:left w:val="none" w:sz="0" w:space="0" w:color="auto"/>
                <w:bottom w:val="none" w:sz="0" w:space="0" w:color="auto"/>
                <w:right w:val="none" w:sz="0" w:space="0" w:color="auto"/>
              </w:divBdr>
              <w:divsChild>
                <w:div w:id="237325162">
                  <w:marLeft w:val="0"/>
                  <w:marRight w:val="0"/>
                  <w:marTop w:val="0"/>
                  <w:marBottom w:val="0"/>
                  <w:divBdr>
                    <w:top w:val="none" w:sz="0" w:space="0" w:color="auto"/>
                    <w:left w:val="none" w:sz="0" w:space="0" w:color="auto"/>
                    <w:bottom w:val="none" w:sz="0" w:space="0" w:color="auto"/>
                    <w:right w:val="none" w:sz="0" w:space="0" w:color="auto"/>
                  </w:divBdr>
                  <w:divsChild>
                    <w:div w:id="1978222747">
                      <w:marLeft w:val="0"/>
                      <w:marRight w:val="0"/>
                      <w:marTop w:val="0"/>
                      <w:marBottom w:val="0"/>
                      <w:divBdr>
                        <w:top w:val="none" w:sz="0" w:space="0" w:color="auto"/>
                        <w:left w:val="none" w:sz="0" w:space="0" w:color="auto"/>
                        <w:bottom w:val="none" w:sz="0" w:space="0" w:color="auto"/>
                        <w:right w:val="none" w:sz="0" w:space="0" w:color="auto"/>
                      </w:divBdr>
                      <w:divsChild>
                        <w:div w:id="1576234351">
                          <w:marLeft w:val="0"/>
                          <w:marRight w:val="0"/>
                          <w:marTop w:val="0"/>
                          <w:marBottom w:val="0"/>
                          <w:divBdr>
                            <w:top w:val="none" w:sz="0" w:space="0" w:color="auto"/>
                            <w:left w:val="none" w:sz="0" w:space="0" w:color="auto"/>
                            <w:bottom w:val="none" w:sz="0" w:space="0" w:color="auto"/>
                            <w:right w:val="none" w:sz="0" w:space="0" w:color="auto"/>
                          </w:divBdr>
                          <w:divsChild>
                            <w:div w:id="9911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695595">
      <w:bodyDiv w:val="1"/>
      <w:marLeft w:val="0"/>
      <w:marRight w:val="0"/>
      <w:marTop w:val="0"/>
      <w:marBottom w:val="0"/>
      <w:divBdr>
        <w:top w:val="none" w:sz="0" w:space="0" w:color="auto"/>
        <w:left w:val="none" w:sz="0" w:space="0" w:color="auto"/>
        <w:bottom w:val="none" w:sz="0" w:space="0" w:color="auto"/>
        <w:right w:val="none" w:sz="0" w:space="0" w:color="auto"/>
      </w:divBdr>
      <w:divsChild>
        <w:div w:id="705102123">
          <w:marLeft w:val="0"/>
          <w:marRight w:val="0"/>
          <w:marTop w:val="100"/>
          <w:marBottom w:val="100"/>
          <w:divBdr>
            <w:top w:val="none" w:sz="0" w:space="0" w:color="auto"/>
            <w:left w:val="none" w:sz="0" w:space="0" w:color="auto"/>
            <w:bottom w:val="none" w:sz="0" w:space="0" w:color="auto"/>
            <w:right w:val="none" w:sz="0" w:space="0" w:color="auto"/>
          </w:divBdr>
          <w:divsChild>
            <w:div w:id="817383563">
              <w:marLeft w:val="0"/>
              <w:marRight w:val="0"/>
              <w:marTop w:val="0"/>
              <w:marBottom w:val="0"/>
              <w:divBdr>
                <w:top w:val="single" w:sz="6" w:space="4" w:color="DCDCDC"/>
                <w:left w:val="single" w:sz="6" w:space="4" w:color="DCDCDC"/>
                <w:bottom w:val="single" w:sz="6" w:space="0" w:color="DCDCDC"/>
                <w:right w:val="single" w:sz="6" w:space="4" w:color="DCDCDC"/>
              </w:divBdr>
              <w:divsChild>
                <w:div w:id="671296012">
                  <w:marLeft w:val="0"/>
                  <w:marRight w:val="0"/>
                  <w:marTop w:val="0"/>
                  <w:marBottom w:val="0"/>
                  <w:divBdr>
                    <w:top w:val="none" w:sz="0" w:space="0" w:color="auto"/>
                    <w:left w:val="none" w:sz="0" w:space="0" w:color="auto"/>
                    <w:bottom w:val="none" w:sz="0" w:space="0" w:color="auto"/>
                    <w:right w:val="none" w:sz="0" w:space="0" w:color="auto"/>
                  </w:divBdr>
                  <w:divsChild>
                    <w:div w:id="395784003">
                      <w:marLeft w:val="0"/>
                      <w:marRight w:val="0"/>
                      <w:marTop w:val="0"/>
                      <w:marBottom w:val="0"/>
                      <w:divBdr>
                        <w:top w:val="none" w:sz="0" w:space="0" w:color="auto"/>
                        <w:left w:val="none" w:sz="0" w:space="0" w:color="auto"/>
                        <w:bottom w:val="none" w:sz="0" w:space="0" w:color="auto"/>
                        <w:right w:val="none" w:sz="0" w:space="0" w:color="auto"/>
                      </w:divBdr>
                      <w:divsChild>
                        <w:div w:id="11891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 w:id="1795977658">
      <w:bodyDiv w:val="1"/>
      <w:marLeft w:val="0"/>
      <w:marRight w:val="0"/>
      <w:marTop w:val="0"/>
      <w:marBottom w:val="0"/>
      <w:divBdr>
        <w:top w:val="none" w:sz="0" w:space="0" w:color="auto"/>
        <w:left w:val="none" w:sz="0" w:space="0" w:color="auto"/>
        <w:bottom w:val="none" w:sz="0" w:space="0" w:color="auto"/>
        <w:right w:val="none" w:sz="0" w:space="0" w:color="auto"/>
      </w:divBdr>
      <w:divsChild>
        <w:div w:id="1390878104">
          <w:marLeft w:val="0"/>
          <w:marRight w:val="0"/>
          <w:marTop w:val="0"/>
          <w:marBottom w:val="0"/>
          <w:divBdr>
            <w:top w:val="none" w:sz="0" w:space="0" w:color="auto"/>
            <w:left w:val="none" w:sz="0" w:space="0" w:color="auto"/>
            <w:bottom w:val="none" w:sz="0" w:space="0" w:color="auto"/>
            <w:right w:val="none" w:sz="0" w:space="0" w:color="auto"/>
          </w:divBdr>
          <w:divsChild>
            <w:div w:id="50661175">
              <w:marLeft w:val="0"/>
              <w:marRight w:val="0"/>
              <w:marTop w:val="0"/>
              <w:marBottom w:val="0"/>
              <w:divBdr>
                <w:top w:val="none" w:sz="0" w:space="0" w:color="auto"/>
                <w:left w:val="none" w:sz="0" w:space="0" w:color="auto"/>
                <w:bottom w:val="none" w:sz="0" w:space="0" w:color="auto"/>
                <w:right w:val="none" w:sz="0" w:space="0" w:color="auto"/>
              </w:divBdr>
              <w:divsChild>
                <w:div w:id="224145545">
                  <w:marLeft w:val="0"/>
                  <w:marRight w:val="0"/>
                  <w:marTop w:val="0"/>
                  <w:marBottom w:val="0"/>
                  <w:divBdr>
                    <w:top w:val="none" w:sz="0" w:space="0" w:color="auto"/>
                    <w:left w:val="none" w:sz="0" w:space="0" w:color="auto"/>
                    <w:bottom w:val="none" w:sz="0" w:space="0" w:color="auto"/>
                    <w:right w:val="none" w:sz="0" w:space="0" w:color="auto"/>
                  </w:divBdr>
                  <w:divsChild>
                    <w:div w:id="1079640858">
                      <w:marLeft w:val="0"/>
                      <w:marRight w:val="0"/>
                      <w:marTop w:val="0"/>
                      <w:marBottom w:val="0"/>
                      <w:divBdr>
                        <w:top w:val="none" w:sz="0" w:space="0" w:color="auto"/>
                        <w:left w:val="none" w:sz="0" w:space="0" w:color="auto"/>
                        <w:bottom w:val="none" w:sz="0" w:space="0" w:color="auto"/>
                        <w:right w:val="none" w:sz="0" w:space="0" w:color="auto"/>
                      </w:divBdr>
                      <w:divsChild>
                        <w:div w:id="1744644961">
                          <w:marLeft w:val="0"/>
                          <w:marRight w:val="0"/>
                          <w:marTop w:val="0"/>
                          <w:marBottom w:val="0"/>
                          <w:divBdr>
                            <w:top w:val="none" w:sz="0" w:space="0" w:color="auto"/>
                            <w:left w:val="none" w:sz="0" w:space="0" w:color="auto"/>
                            <w:bottom w:val="none" w:sz="0" w:space="0" w:color="auto"/>
                            <w:right w:val="none" w:sz="0" w:space="0" w:color="auto"/>
                          </w:divBdr>
                          <w:divsChild>
                            <w:div w:id="83934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186475">
      <w:bodyDiv w:val="1"/>
      <w:marLeft w:val="0"/>
      <w:marRight w:val="0"/>
      <w:marTop w:val="0"/>
      <w:marBottom w:val="0"/>
      <w:divBdr>
        <w:top w:val="none" w:sz="0" w:space="0" w:color="auto"/>
        <w:left w:val="none" w:sz="0" w:space="0" w:color="auto"/>
        <w:bottom w:val="none" w:sz="0" w:space="0" w:color="auto"/>
        <w:right w:val="none" w:sz="0" w:space="0" w:color="auto"/>
      </w:divBdr>
      <w:divsChild>
        <w:div w:id="345013463">
          <w:marLeft w:val="0"/>
          <w:marRight w:val="0"/>
          <w:marTop w:val="0"/>
          <w:marBottom w:val="0"/>
          <w:divBdr>
            <w:top w:val="none" w:sz="0" w:space="0" w:color="auto"/>
            <w:left w:val="none" w:sz="0" w:space="0" w:color="auto"/>
            <w:bottom w:val="none" w:sz="0" w:space="0" w:color="auto"/>
            <w:right w:val="none" w:sz="0" w:space="0" w:color="auto"/>
          </w:divBdr>
          <w:divsChild>
            <w:div w:id="1233002258">
              <w:marLeft w:val="0"/>
              <w:marRight w:val="0"/>
              <w:marTop w:val="0"/>
              <w:marBottom w:val="0"/>
              <w:divBdr>
                <w:top w:val="none" w:sz="0" w:space="0" w:color="auto"/>
                <w:left w:val="none" w:sz="0" w:space="0" w:color="auto"/>
                <w:bottom w:val="none" w:sz="0" w:space="0" w:color="auto"/>
                <w:right w:val="none" w:sz="0" w:space="0" w:color="auto"/>
              </w:divBdr>
              <w:divsChild>
                <w:div w:id="288096708">
                  <w:marLeft w:val="0"/>
                  <w:marRight w:val="0"/>
                  <w:marTop w:val="0"/>
                  <w:marBottom w:val="0"/>
                  <w:divBdr>
                    <w:top w:val="none" w:sz="0" w:space="0" w:color="auto"/>
                    <w:left w:val="none" w:sz="0" w:space="0" w:color="auto"/>
                    <w:bottom w:val="none" w:sz="0" w:space="0" w:color="auto"/>
                    <w:right w:val="none" w:sz="0" w:space="0" w:color="auto"/>
                  </w:divBdr>
                  <w:divsChild>
                    <w:div w:id="145129218">
                      <w:marLeft w:val="0"/>
                      <w:marRight w:val="0"/>
                      <w:marTop w:val="0"/>
                      <w:marBottom w:val="0"/>
                      <w:divBdr>
                        <w:top w:val="none" w:sz="0" w:space="0" w:color="auto"/>
                        <w:left w:val="none" w:sz="0" w:space="0" w:color="auto"/>
                        <w:bottom w:val="none" w:sz="0" w:space="0" w:color="auto"/>
                        <w:right w:val="none" w:sz="0" w:space="0" w:color="auto"/>
                      </w:divBdr>
                      <w:divsChild>
                        <w:div w:id="1654869301">
                          <w:marLeft w:val="0"/>
                          <w:marRight w:val="0"/>
                          <w:marTop w:val="0"/>
                          <w:marBottom w:val="0"/>
                          <w:divBdr>
                            <w:top w:val="none" w:sz="0" w:space="0" w:color="auto"/>
                            <w:left w:val="none" w:sz="0" w:space="0" w:color="auto"/>
                            <w:bottom w:val="none" w:sz="0" w:space="0" w:color="auto"/>
                            <w:right w:val="none" w:sz="0" w:space="0" w:color="auto"/>
                          </w:divBdr>
                          <w:divsChild>
                            <w:div w:id="80092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638974">
      <w:bodyDiv w:val="1"/>
      <w:marLeft w:val="0"/>
      <w:marRight w:val="0"/>
      <w:marTop w:val="0"/>
      <w:marBottom w:val="0"/>
      <w:divBdr>
        <w:top w:val="none" w:sz="0" w:space="0" w:color="auto"/>
        <w:left w:val="none" w:sz="0" w:space="0" w:color="auto"/>
        <w:bottom w:val="none" w:sz="0" w:space="0" w:color="auto"/>
        <w:right w:val="none" w:sz="0" w:space="0" w:color="auto"/>
      </w:divBdr>
      <w:divsChild>
        <w:div w:id="2028478662">
          <w:marLeft w:val="0"/>
          <w:marRight w:val="0"/>
          <w:marTop w:val="0"/>
          <w:marBottom w:val="0"/>
          <w:divBdr>
            <w:top w:val="none" w:sz="0" w:space="0" w:color="auto"/>
            <w:left w:val="none" w:sz="0" w:space="0" w:color="auto"/>
            <w:bottom w:val="none" w:sz="0" w:space="0" w:color="auto"/>
            <w:right w:val="none" w:sz="0" w:space="0" w:color="auto"/>
          </w:divBdr>
          <w:divsChild>
            <w:div w:id="1948267663">
              <w:marLeft w:val="0"/>
              <w:marRight w:val="0"/>
              <w:marTop w:val="0"/>
              <w:marBottom w:val="0"/>
              <w:divBdr>
                <w:top w:val="none" w:sz="0" w:space="0" w:color="auto"/>
                <w:left w:val="none" w:sz="0" w:space="0" w:color="auto"/>
                <w:bottom w:val="none" w:sz="0" w:space="0" w:color="auto"/>
                <w:right w:val="none" w:sz="0" w:space="0" w:color="auto"/>
              </w:divBdr>
              <w:divsChild>
                <w:div w:id="1534150804">
                  <w:marLeft w:val="0"/>
                  <w:marRight w:val="0"/>
                  <w:marTop w:val="0"/>
                  <w:marBottom w:val="0"/>
                  <w:divBdr>
                    <w:top w:val="none" w:sz="0" w:space="0" w:color="auto"/>
                    <w:left w:val="none" w:sz="0" w:space="0" w:color="auto"/>
                    <w:bottom w:val="none" w:sz="0" w:space="0" w:color="auto"/>
                    <w:right w:val="none" w:sz="0" w:space="0" w:color="auto"/>
                  </w:divBdr>
                  <w:divsChild>
                    <w:div w:id="24791384">
                      <w:marLeft w:val="0"/>
                      <w:marRight w:val="0"/>
                      <w:marTop w:val="0"/>
                      <w:marBottom w:val="0"/>
                      <w:divBdr>
                        <w:top w:val="none" w:sz="0" w:space="0" w:color="auto"/>
                        <w:left w:val="none" w:sz="0" w:space="0" w:color="auto"/>
                        <w:bottom w:val="none" w:sz="0" w:space="0" w:color="auto"/>
                        <w:right w:val="none" w:sz="0" w:space="0" w:color="auto"/>
                      </w:divBdr>
                      <w:divsChild>
                        <w:div w:id="2047412567">
                          <w:marLeft w:val="0"/>
                          <w:marRight w:val="0"/>
                          <w:marTop w:val="0"/>
                          <w:marBottom w:val="0"/>
                          <w:divBdr>
                            <w:top w:val="none" w:sz="0" w:space="0" w:color="auto"/>
                            <w:left w:val="none" w:sz="0" w:space="0" w:color="auto"/>
                            <w:bottom w:val="none" w:sz="0" w:space="0" w:color="auto"/>
                            <w:right w:val="none" w:sz="0" w:space="0" w:color="auto"/>
                          </w:divBdr>
                        </w:div>
                        <w:div w:id="13488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366538">
      <w:bodyDiv w:val="1"/>
      <w:marLeft w:val="0"/>
      <w:marRight w:val="0"/>
      <w:marTop w:val="0"/>
      <w:marBottom w:val="0"/>
      <w:divBdr>
        <w:top w:val="none" w:sz="0" w:space="0" w:color="auto"/>
        <w:left w:val="none" w:sz="0" w:space="0" w:color="auto"/>
        <w:bottom w:val="none" w:sz="0" w:space="0" w:color="auto"/>
        <w:right w:val="none" w:sz="0" w:space="0" w:color="auto"/>
      </w:divBdr>
      <w:divsChild>
        <w:div w:id="870075910">
          <w:marLeft w:val="0"/>
          <w:marRight w:val="0"/>
          <w:marTop w:val="0"/>
          <w:marBottom w:val="0"/>
          <w:divBdr>
            <w:top w:val="none" w:sz="0" w:space="0" w:color="auto"/>
            <w:left w:val="none" w:sz="0" w:space="0" w:color="auto"/>
            <w:bottom w:val="none" w:sz="0" w:space="0" w:color="auto"/>
            <w:right w:val="none" w:sz="0" w:space="0" w:color="auto"/>
          </w:divBdr>
          <w:divsChild>
            <w:div w:id="989792478">
              <w:marLeft w:val="0"/>
              <w:marRight w:val="0"/>
              <w:marTop w:val="0"/>
              <w:marBottom w:val="0"/>
              <w:divBdr>
                <w:top w:val="none" w:sz="0" w:space="0" w:color="auto"/>
                <w:left w:val="none" w:sz="0" w:space="0" w:color="auto"/>
                <w:bottom w:val="none" w:sz="0" w:space="0" w:color="auto"/>
                <w:right w:val="none" w:sz="0" w:space="0" w:color="auto"/>
              </w:divBdr>
              <w:divsChild>
                <w:div w:id="1875264044">
                  <w:marLeft w:val="0"/>
                  <w:marRight w:val="0"/>
                  <w:marTop w:val="0"/>
                  <w:marBottom w:val="0"/>
                  <w:divBdr>
                    <w:top w:val="none" w:sz="0" w:space="0" w:color="auto"/>
                    <w:left w:val="none" w:sz="0" w:space="0" w:color="auto"/>
                    <w:bottom w:val="none" w:sz="0" w:space="0" w:color="auto"/>
                    <w:right w:val="none" w:sz="0" w:space="0" w:color="auto"/>
                  </w:divBdr>
                  <w:divsChild>
                    <w:div w:id="1605187441">
                      <w:marLeft w:val="0"/>
                      <w:marRight w:val="0"/>
                      <w:marTop w:val="0"/>
                      <w:marBottom w:val="0"/>
                      <w:divBdr>
                        <w:top w:val="none" w:sz="0" w:space="0" w:color="auto"/>
                        <w:left w:val="none" w:sz="0" w:space="0" w:color="auto"/>
                        <w:bottom w:val="none" w:sz="0" w:space="0" w:color="auto"/>
                        <w:right w:val="none" w:sz="0" w:space="0" w:color="auto"/>
                      </w:divBdr>
                      <w:divsChild>
                        <w:div w:id="683479991">
                          <w:marLeft w:val="0"/>
                          <w:marRight w:val="0"/>
                          <w:marTop w:val="0"/>
                          <w:marBottom w:val="0"/>
                          <w:divBdr>
                            <w:top w:val="none" w:sz="0" w:space="0" w:color="auto"/>
                            <w:left w:val="none" w:sz="0" w:space="0" w:color="auto"/>
                            <w:bottom w:val="none" w:sz="0" w:space="0" w:color="auto"/>
                            <w:right w:val="none" w:sz="0" w:space="0" w:color="auto"/>
                          </w:divBdr>
                          <w:divsChild>
                            <w:div w:id="97028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933231">
      <w:bodyDiv w:val="1"/>
      <w:marLeft w:val="0"/>
      <w:marRight w:val="0"/>
      <w:marTop w:val="0"/>
      <w:marBottom w:val="0"/>
      <w:divBdr>
        <w:top w:val="none" w:sz="0" w:space="0" w:color="auto"/>
        <w:left w:val="none" w:sz="0" w:space="0" w:color="auto"/>
        <w:bottom w:val="none" w:sz="0" w:space="0" w:color="auto"/>
        <w:right w:val="none" w:sz="0" w:space="0" w:color="auto"/>
      </w:divBdr>
      <w:divsChild>
        <w:div w:id="1597055121">
          <w:marLeft w:val="0"/>
          <w:marRight w:val="0"/>
          <w:marTop w:val="0"/>
          <w:marBottom w:val="0"/>
          <w:divBdr>
            <w:top w:val="none" w:sz="0" w:space="0" w:color="auto"/>
            <w:left w:val="none" w:sz="0" w:space="0" w:color="auto"/>
            <w:bottom w:val="none" w:sz="0" w:space="0" w:color="auto"/>
            <w:right w:val="none" w:sz="0" w:space="0" w:color="auto"/>
          </w:divBdr>
          <w:divsChild>
            <w:div w:id="800614346">
              <w:marLeft w:val="0"/>
              <w:marRight w:val="0"/>
              <w:marTop w:val="0"/>
              <w:marBottom w:val="0"/>
              <w:divBdr>
                <w:top w:val="none" w:sz="0" w:space="0" w:color="auto"/>
                <w:left w:val="none" w:sz="0" w:space="0" w:color="auto"/>
                <w:bottom w:val="none" w:sz="0" w:space="0" w:color="auto"/>
                <w:right w:val="none" w:sz="0" w:space="0" w:color="auto"/>
              </w:divBdr>
              <w:divsChild>
                <w:div w:id="502280820">
                  <w:marLeft w:val="0"/>
                  <w:marRight w:val="0"/>
                  <w:marTop w:val="0"/>
                  <w:marBottom w:val="0"/>
                  <w:divBdr>
                    <w:top w:val="none" w:sz="0" w:space="0" w:color="auto"/>
                    <w:left w:val="none" w:sz="0" w:space="0" w:color="auto"/>
                    <w:bottom w:val="none" w:sz="0" w:space="0" w:color="auto"/>
                    <w:right w:val="none" w:sz="0" w:space="0" w:color="auto"/>
                  </w:divBdr>
                  <w:divsChild>
                    <w:div w:id="2137720206">
                      <w:marLeft w:val="0"/>
                      <w:marRight w:val="0"/>
                      <w:marTop w:val="0"/>
                      <w:marBottom w:val="0"/>
                      <w:divBdr>
                        <w:top w:val="none" w:sz="0" w:space="0" w:color="auto"/>
                        <w:left w:val="none" w:sz="0" w:space="0" w:color="auto"/>
                        <w:bottom w:val="none" w:sz="0" w:space="0" w:color="auto"/>
                        <w:right w:val="none" w:sz="0" w:space="0" w:color="auto"/>
                      </w:divBdr>
                      <w:divsChild>
                        <w:div w:id="1752697553">
                          <w:marLeft w:val="0"/>
                          <w:marRight w:val="0"/>
                          <w:marTop w:val="0"/>
                          <w:marBottom w:val="0"/>
                          <w:divBdr>
                            <w:top w:val="none" w:sz="0" w:space="0" w:color="auto"/>
                            <w:left w:val="none" w:sz="0" w:space="0" w:color="auto"/>
                            <w:bottom w:val="none" w:sz="0" w:space="0" w:color="auto"/>
                            <w:right w:val="none" w:sz="0" w:space="0" w:color="auto"/>
                          </w:divBdr>
                          <w:divsChild>
                            <w:div w:id="12070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265167">
      <w:bodyDiv w:val="1"/>
      <w:marLeft w:val="0"/>
      <w:marRight w:val="0"/>
      <w:marTop w:val="0"/>
      <w:marBottom w:val="0"/>
      <w:divBdr>
        <w:top w:val="none" w:sz="0" w:space="0" w:color="auto"/>
        <w:left w:val="none" w:sz="0" w:space="0" w:color="auto"/>
        <w:bottom w:val="none" w:sz="0" w:space="0" w:color="auto"/>
        <w:right w:val="none" w:sz="0" w:space="0" w:color="auto"/>
      </w:divBdr>
      <w:divsChild>
        <w:div w:id="734009015">
          <w:marLeft w:val="0"/>
          <w:marRight w:val="0"/>
          <w:marTop w:val="0"/>
          <w:marBottom w:val="0"/>
          <w:divBdr>
            <w:top w:val="none" w:sz="0" w:space="0" w:color="auto"/>
            <w:left w:val="none" w:sz="0" w:space="0" w:color="auto"/>
            <w:bottom w:val="none" w:sz="0" w:space="0" w:color="auto"/>
            <w:right w:val="none" w:sz="0" w:space="0" w:color="auto"/>
          </w:divBdr>
          <w:divsChild>
            <w:div w:id="1421945807">
              <w:marLeft w:val="0"/>
              <w:marRight w:val="0"/>
              <w:marTop w:val="0"/>
              <w:marBottom w:val="0"/>
              <w:divBdr>
                <w:top w:val="none" w:sz="0" w:space="0" w:color="auto"/>
                <w:left w:val="none" w:sz="0" w:space="0" w:color="auto"/>
                <w:bottom w:val="none" w:sz="0" w:space="0" w:color="auto"/>
                <w:right w:val="none" w:sz="0" w:space="0" w:color="auto"/>
              </w:divBdr>
              <w:divsChild>
                <w:div w:id="1178886243">
                  <w:marLeft w:val="0"/>
                  <w:marRight w:val="0"/>
                  <w:marTop w:val="0"/>
                  <w:marBottom w:val="0"/>
                  <w:divBdr>
                    <w:top w:val="none" w:sz="0" w:space="0" w:color="auto"/>
                    <w:left w:val="none" w:sz="0" w:space="0" w:color="auto"/>
                    <w:bottom w:val="none" w:sz="0" w:space="0" w:color="auto"/>
                    <w:right w:val="none" w:sz="0" w:space="0" w:color="auto"/>
                  </w:divBdr>
                  <w:divsChild>
                    <w:div w:id="679546983">
                      <w:marLeft w:val="0"/>
                      <w:marRight w:val="0"/>
                      <w:marTop w:val="0"/>
                      <w:marBottom w:val="0"/>
                      <w:divBdr>
                        <w:top w:val="none" w:sz="0" w:space="0" w:color="auto"/>
                        <w:left w:val="none" w:sz="0" w:space="0" w:color="auto"/>
                        <w:bottom w:val="none" w:sz="0" w:space="0" w:color="auto"/>
                        <w:right w:val="none" w:sz="0" w:space="0" w:color="auto"/>
                      </w:divBdr>
                      <w:divsChild>
                        <w:div w:id="788666828">
                          <w:marLeft w:val="0"/>
                          <w:marRight w:val="0"/>
                          <w:marTop w:val="45"/>
                          <w:marBottom w:val="0"/>
                          <w:divBdr>
                            <w:top w:val="none" w:sz="0" w:space="0" w:color="auto"/>
                            <w:left w:val="none" w:sz="0" w:space="0" w:color="auto"/>
                            <w:bottom w:val="none" w:sz="0" w:space="0" w:color="auto"/>
                            <w:right w:val="none" w:sz="0" w:space="0" w:color="auto"/>
                          </w:divBdr>
                          <w:divsChild>
                            <w:div w:id="742609293">
                              <w:marLeft w:val="0"/>
                              <w:marRight w:val="0"/>
                              <w:marTop w:val="0"/>
                              <w:marBottom w:val="0"/>
                              <w:divBdr>
                                <w:top w:val="none" w:sz="0" w:space="0" w:color="auto"/>
                                <w:left w:val="none" w:sz="0" w:space="0" w:color="auto"/>
                                <w:bottom w:val="none" w:sz="0" w:space="0" w:color="auto"/>
                                <w:right w:val="none" w:sz="0" w:space="0" w:color="auto"/>
                              </w:divBdr>
                              <w:divsChild>
                                <w:div w:id="1273434908">
                                  <w:marLeft w:val="2070"/>
                                  <w:marRight w:val="3810"/>
                                  <w:marTop w:val="0"/>
                                  <w:marBottom w:val="0"/>
                                  <w:divBdr>
                                    <w:top w:val="none" w:sz="0" w:space="0" w:color="auto"/>
                                    <w:left w:val="none" w:sz="0" w:space="0" w:color="auto"/>
                                    <w:bottom w:val="none" w:sz="0" w:space="0" w:color="auto"/>
                                    <w:right w:val="none" w:sz="0" w:space="0" w:color="auto"/>
                                  </w:divBdr>
                                  <w:divsChild>
                                    <w:div w:id="1268737960">
                                      <w:marLeft w:val="0"/>
                                      <w:marRight w:val="0"/>
                                      <w:marTop w:val="0"/>
                                      <w:marBottom w:val="0"/>
                                      <w:divBdr>
                                        <w:top w:val="none" w:sz="0" w:space="0" w:color="auto"/>
                                        <w:left w:val="none" w:sz="0" w:space="0" w:color="auto"/>
                                        <w:bottom w:val="none" w:sz="0" w:space="0" w:color="auto"/>
                                        <w:right w:val="none" w:sz="0" w:space="0" w:color="auto"/>
                                      </w:divBdr>
                                      <w:divsChild>
                                        <w:div w:id="564679217">
                                          <w:marLeft w:val="0"/>
                                          <w:marRight w:val="0"/>
                                          <w:marTop w:val="0"/>
                                          <w:marBottom w:val="0"/>
                                          <w:divBdr>
                                            <w:top w:val="none" w:sz="0" w:space="0" w:color="auto"/>
                                            <w:left w:val="none" w:sz="0" w:space="0" w:color="auto"/>
                                            <w:bottom w:val="none" w:sz="0" w:space="0" w:color="auto"/>
                                            <w:right w:val="none" w:sz="0" w:space="0" w:color="auto"/>
                                          </w:divBdr>
                                          <w:divsChild>
                                            <w:div w:id="1712026359">
                                              <w:marLeft w:val="0"/>
                                              <w:marRight w:val="0"/>
                                              <w:marTop w:val="0"/>
                                              <w:marBottom w:val="0"/>
                                              <w:divBdr>
                                                <w:top w:val="none" w:sz="0" w:space="0" w:color="auto"/>
                                                <w:left w:val="none" w:sz="0" w:space="0" w:color="auto"/>
                                                <w:bottom w:val="none" w:sz="0" w:space="0" w:color="auto"/>
                                                <w:right w:val="none" w:sz="0" w:space="0" w:color="auto"/>
                                              </w:divBdr>
                                              <w:divsChild>
                                                <w:div w:id="712534426">
                                                  <w:marLeft w:val="0"/>
                                                  <w:marRight w:val="0"/>
                                                  <w:marTop w:val="90"/>
                                                  <w:marBottom w:val="0"/>
                                                  <w:divBdr>
                                                    <w:top w:val="none" w:sz="0" w:space="0" w:color="auto"/>
                                                    <w:left w:val="none" w:sz="0" w:space="0" w:color="auto"/>
                                                    <w:bottom w:val="none" w:sz="0" w:space="0" w:color="auto"/>
                                                    <w:right w:val="none" w:sz="0" w:space="0" w:color="auto"/>
                                                  </w:divBdr>
                                                  <w:divsChild>
                                                    <w:div w:id="115146816">
                                                      <w:marLeft w:val="0"/>
                                                      <w:marRight w:val="0"/>
                                                      <w:marTop w:val="0"/>
                                                      <w:marBottom w:val="0"/>
                                                      <w:divBdr>
                                                        <w:top w:val="none" w:sz="0" w:space="0" w:color="auto"/>
                                                        <w:left w:val="none" w:sz="0" w:space="0" w:color="auto"/>
                                                        <w:bottom w:val="none" w:sz="0" w:space="0" w:color="auto"/>
                                                        <w:right w:val="none" w:sz="0" w:space="0" w:color="auto"/>
                                                      </w:divBdr>
                                                      <w:divsChild>
                                                        <w:div w:id="2135249439">
                                                          <w:marLeft w:val="0"/>
                                                          <w:marRight w:val="0"/>
                                                          <w:marTop w:val="0"/>
                                                          <w:marBottom w:val="0"/>
                                                          <w:divBdr>
                                                            <w:top w:val="none" w:sz="0" w:space="0" w:color="auto"/>
                                                            <w:left w:val="none" w:sz="0" w:space="0" w:color="auto"/>
                                                            <w:bottom w:val="none" w:sz="0" w:space="0" w:color="auto"/>
                                                            <w:right w:val="none" w:sz="0" w:space="0" w:color="auto"/>
                                                          </w:divBdr>
                                                          <w:divsChild>
                                                            <w:div w:id="879316931">
                                                              <w:marLeft w:val="0"/>
                                                              <w:marRight w:val="0"/>
                                                              <w:marTop w:val="0"/>
                                                              <w:marBottom w:val="390"/>
                                                              <w:divBdr>
                                                                <w:top w:val="none" w:sz="0" w:space="0" w:color="auto"/>
                                                                <w:left w:val="none" w:sz="0" w:space="0" w:color="auto"/>
                                                                <w:bottom w:val="none" w:sz="0" w:space="0" w:color="auto"/>
                                                                <w:right w:val="none" w:sz="0" w:space="0" w:color="auto"/>
                                                              </w:divBdr>
                                                              <w:divsChild>
                                                                <w:div w:id="850143977">
                                                                  <w:marLeft w:val="0"/>
                                                                  <w:marRight w:val="0"/>
                                                                  <w:marTop w:val="0"/>
                                                                  <w:marBottom w:val="0"/>
                                                                  <w:divBdr>
                                                                    <w:top w:val="none" w:sz="0" w:space="0" w:color="auto"/>
                                                                    <w:left w:val="none" w:sz="0" w:space="0" w:color="auto"/>
                                                                    <w:bottom w:val="none" w:sz="0" w:space="0" w:color="auto"/>
                                                                    <w:right w:val="none" w:sz="0" w:space="0" w:color="auto"/>
                                                                  </w:divBdr>
                                                                  <w:divsChild>
                                                                    <w:div w:id="1448430975">
                                                                      <w:marLeft w:val="0"/>
                                                                      <w:marRight w:val="0"/>
                                                                      <w:marTop w:val="0"/>
                                                                      <w:marBottom w:val="0"/>
                                                                      <w:divBdr>
                                                                        <w:top w:val="none" w:sz="0" w:space="0" w:color="auto"/>
                                                                        <w:left w:val="none" w:sz="0" w:space="0" w:color="auto"/>
                                                                        <w:bottom w:val="none" w:sz="0" w:space="0" w:color="auto"/>
                                                                        <w:right w:val="none" w:sz="0" w:space="0" w:color="auto"/>
                                                                      </w:divBdr>
                                                                      <w:divsChild>
                                                                        <w:div w:id="1420709308">
                                                                          <w:marLeft w:val="0"/>
                                                                          <w:marRight w:val="0"/>
                                                                          <w:marTop w:val="0"/>
                                                                          <w:marBottom w:val="0"/>
                                                                          <w:divBdr>
                                                                            <w:top w:val="none" w:sz="0" w:space="0" w:color="auto"/>
                                                                            <w:left w:val="none" w:sz="0" w:space="0" w:color="auto"/>
                                                                            <w:bottom w:val="none" w:sz="0" w:space="0" w:color="auto"/>
                                                                            <w:right w:val="none" w:sz="0" w:space="0" w:color="auto"/>
                                                                          </w:divBdr>
                                                                          <w:divsChild>
                                                                            <w:div w:id="688876247">
                                                                              <w:marLeft w:val="0"/>
                                                                              <w:marRight w:val="0"/>
                                                                              <w:marTop w:val="0"/>
                                                                              <w:marBottom w:val="0"/>
                                                                              <w:divBdr>
                                                                                <w:top w:val="none" w:sz="0" w:space="0" w:color="auto"/>
                                                                                <w:left w:val="none" w:sz="0" w:space="0" w:color="auto"/>
                                                                                <w:bottom w:val="none" w:sz="0" w:space="0" w:color="auto"/>
                                                                                <w:right w:val="none" w:sz="0" w:space="0" w:color="auto"/>
                                                                              </w:divBdr>
                                                                              <w:divsChild>
                                                                                <w:div w:id="623999589">
                                                                                  <w:marLeft w:val="0"/>
                                                                                  <w:marRight w:val="0"/>
                                                                                  <w:marTop w:val="0"/>
                                                                                  <w:marBottom w:val="0"/>
                                                                                  <w:divBdr>
                                                                                    <w:top w:val="none" w:sz="0" w:space="0" w:color="auto"/>
                                                                                    <w:left w:val="none" w:sz="0" w:space="0" w:color="auto"/>
                                                                                    <w:bottom w:val="none" w:sz="0" w:space="0" w:color="auto"/>
                                                                                    <w:right w:val="none" w:sz="0" w:space="0" w:color="auto"/>
                                                                                  </w:divBdr>
                                                                                  <w:divsChild>
                                                                                    <w:div w:id="1893032868">
                                                                                      <w:marLeft w:val="0"/>
                                                                                      <w:marRight w:val="0"/>
                                                                                      <w:marTop w:val="0"/>
                                                                                      <w:marBottom w:val="0"/>
                                                                                      <w:divBdr>
                                                                                        <w:top w:val="none" w:sz="0" w:space="0" w:color="auto"/>
                                                                                        <w:left w:val="none" w:sz="0" w:space="0" w:color="auto"/>
                                                                                        <w:bottom w:val="none" w:sz="0" w:space="0" w:color="auto"/>
                                                                                        <w:right w:val="none" w:sz="0" w:space="0" w:color="auto"/>
                                                                                      </w:divBdr>
                                                                                      <w:divsChild>
                                                                                        <w:div w:id="959141406">
                                                                                          <w:marLeft w:val="0"/>
                                                                                          <w:marRight w:val="0"/>
                                                                                          <w:marTop w:val="0"/>
                                                                                          <w:marBottom w:val="0"/>
                                                                                          <w:divBdr>
                                                                                            <w:top w:val="none" w:sz="0" w:space="0" w:color="auto"/>
                                                                                            <w:left w:val="none" w:sz="0" w:space="0" w:color="auto"/>
                                                                                            <w:bottom w:val="none" w:sz="0" w:space="0" w:color="auto"/>
                                                                                            <w:right w:val="none" w:sz="0" w:space="0" w:color="auto"/>
                                                                                          </w:divBdr>
                                                                                          <w:divsChild>
                                                                                            <w:div w:id="74206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42962673">
      <w:bodyDiv w:val="1"/>
      <w:marLeft w:val="0"/>
      <w:marRight w:val="0"/>
      <w:marTop w:val="0"/>
      <w:marBottom w:val="0"/>
      <w:divBdr>
        <w:top w:val="none" w:sz="0" w:space="0" w:color="auto"/>
        <w:left w:val="none" w:sz="0" w:space="0" w:color="auto"/>
        <w:bottom w:val="none" w:sz="0" w:space="0" w:color="auto"/>
        <w:right w:val="none" w:sz="0" w:space="0" w:color="auto"/>
      </w:divBdr>
      <w:divsChild>
        <w:div w:id="1097868387">
          <w:marLeft w:val="0"/>
          <w:marRight w:val="0"/>
          <w:marTop w:val="0"/>
          <w:marBottom w:val="0"/>
          <w:divBdr>
            <w:top w:val="none" w:sz="0" w:space="0" w:color="auto"/>
            <w:left w:val="none" w:sz="0" w:space="0" w:color="auto"/>
            <w:bottom w:val="none" w:sz="0" w:space="0" w:color="auto"/>
            <w:right w:val="none" w:sz="0" w:space="0" w:color="auto"/>
          </w:divBdr>
          <w:divsChild>
            <w:div w:id="1078165117">
              <w:marLeft w:val="0"/>
              <w:marRight w:val="0"/>
              <w:marTop w:val="0"/>
              <w:marBottom w:val="0"/>
              <w:divBdr>
                <w:top w:val="none" w:sz="0" w:space="0" w:color="auto"/>
                <w:left w:val="none" w:sz="0" w:space="0" w:color="auto"/>
                <w:bottom w:val="none" w:sz="0" w:space="0" w:color="auto"/>
                <w:right w:val="none" w:sz="0" w:space="0" w:color="auto"/>
              </w:divBdr>
              <w:divsChild>
                <w:div w:id="1368527318">
                  <w:marLeft w:val="0"/>
                  <w:marRight w:val="0"/>
                  <w:marTop w:val="0"/>
                  <w:marBottom w:val="0"/>
                  <w:divBdr>
                    <w:top w:val="none" w:sz="0" w:space="0" w:color="auto"/>
                    <w:left w:val="none" w:sz="0" w:space="0" w:color="auto"/>
                    <w:bottom w:val="none" w:sz="0" w:space="0" w:color="auto"/>
                    <w:right w:val="none" w:sz="0" w:space="0" w:color="auto"/>
                  </w:divBdr>
                  <w:divsChild>
                    <w:div w:id="200630274">
                      <w:marLeft w:val="0"/>
                      <w:marRight w:val="0"/>
                      <w:marTop w:val="0"/>
                      <w:marBottom w:val="0"/>
                      <w:divBdr>
                        <w:top w:val="none" w:sz="0" w:space="0" w:color="auto"/>
                        <w:left w:val="none" w:sz="0" w:space="0" w:color="auto"/>
                        <w:bottom w:val="none" w:sz="0" w:space="0" w:color="auto"/>
                        <w:right w:val="none" w:sz="0" w:space="0" w:color="auto"/>
                      </w:divBdr>
                      <w:divsChild>
                        <w:div w:id="967666799">
                          <w:marLeft w:val="0"/>
                          <w:marRight w:val="0"/>
                          <w:marTop w:val="0"/>
                          <w:marBottom w:val="0"/>
                          <w:divBdr>
                            <w:top w:val="none" w:sz="0" w:space="0" w:color="auto"/>
                            <w:left w:val="none" w:sz="0" w:space="0" w:color="auto"/>
                            <w:bottom w:val="none" w:sz="0" w:space="0" w:color="auto"/>
                            <w:right w:val="none" w:sz="0" w:space="0" w:color="auto"/>
                          </w:divBdr>
                          <w:divsChild>
                            <w:div w:id="14996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DD0B92-BB71-4CA6-AA3A-DEC96C8F64B9}"/>
</file>

<file path=customXml/itemProps2.xml><?xml version="1.0" encoding="utf-8"?>
<ds:datastoreItem xmlns:ds="http://schemas.openxmlformats.org/officeDocument/2006/customXml" ds:itemID="{7DEE60E0-B533-4E50-929F-9D3CE497E796}"/>
</file>

<file path=customXml/itemProps3.xml><?xml version="1.0" encoding="utf-8"?>
<ds:datastoreItem xmlns:ds="http://schemas.openxmlformats.org/officeDocument/2006/customXml" ds:itemID="{B80DDF7C-288B-468F-9920-03587B9DBBAC}"/>
</file>

<file path=customXml/itemProps4.xml><?xml version="1.0" encoding="utf-8"?>
<ds:datastoreItem xmlns:ds="http://schemas.openxmlformats.org/officeDocument/2006/customXml" ds:itemID="{1822CDFF-9EC2-40C8-9500-10DD7E93EFAD}"/>
</file>

<file path=docProps/app.xml><?xml version="1.0" encoding="utf-8"?>
<Properties xmlns="http://schemas.openxmlformats.org/officeDocument/2006/extended-properties" xmlns:vt="http://schemas.openxmlformats.org/officeDocument/2006/docPropsVTypes">
  <Template>Normal.dotm</Template>
  <TotalTime>10</TotalTime>
  <Pages>1</Pages>
  <Words>8939</Words>
  <Characters>50956</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DE2.1a DJ joint examination</vt:lpstr>
    </vt:vector>
  </TitlesOfParts>
  <Manager/>
  <Company/>
  <LinksUpToDate>false</LinksUpToDate>
  <CharactersWithSpaces>59776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JUD</dc:subject>
  <dc:creator/>
  <cp:lastModifiedBy/>
  <cp:revision>2</cp:revision>
  <cp:lastPrinted>2017-02-10T15:55:00Z</cp:lastPrinted>
  <dcterms:created xsi:type="dcterms:W3CDTF">2017-09-22T13:45:00Z</dcterms:created>
  <dcterms:modified xsi:type="dcterms:W3CDTF">2017-09-22T13:45:00Z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