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75FCA" w:rsidR="000E7659" w:rsidP="00275FCA" w:rsidRDefault="000E7659">
      <w:pPr>
        <w:jc w:val="center"/>
        <w:rPr>
          <w:lang w:val="en-GB"/>
        </w:rPr>
      </w:pPr>
      <w:bookmarkStart w:name="_GoBack" w:id="0"/>
      <w:bookmarkEnd w:id="0"/>
    </w:p>
    <w:p w:rsidRPr="00275FCA" w:rsidR="000E7659" w:rsidP="00275FCA" w:rsidRDefault="000E7659">
      <w:pPr>
        <w:jc w:val="center"/>
        <w:rPr>
          <w:lang w:val="en-GB"/>
        </w:rPr>
      </w:pPr>
    </w:p>
    <w:p w:rsidRPr="00275FCA" w:rsidR="000E7659" w:rsidP="00275FCA" w:rsidRDefault="000E7659">
      <w:pPr>
        <w:jc w:val="center"/>
        <w:rPr>
          <w:lang w:val="en-GB"/>
        </w:rPr>
      </w:pPr>
    </w:p>
    <w:p w:rsidRPr="00275FCA" w:rsidR="00014566" w:rsidP="00275FCA" w:rsidRDefault="0078442C">
      <w:pPr>
        <w:jc w:val="center"/>
        <w:rPr>
          <w:lang w:val="en-GB"/>
        </w:rPr>
      </w:pPr>
      <w:r w:rsidRPr="00275FCA">
        <w:rPr>
          <w:lang w:val="en-GB"/>
        </w:rPr>
        <w:t>SECOND SECTION</w:t>
      </w:r>
    </w:p>
    <w:p w:rsidRPr="00275FCA" w:rsidR="00014566" w:rsidP="00275FCA" w:rsidRDefault="00014566">
      <w:pPr>
        <w:jc w:val="center"/>
        <w:rPr>
          <w:lang w:val="en-GB"/>
        </w:rPr>
      </w:pPr>
    </w:p>
    <w:p w:rsidRPr="00275FCA" w:rsidR="00E06EF8" w:rsidP="00275FCA" w:rsidRDefault="00E06EF8">
      <w:pPr>
        <w:jc w:val="center"/>
        <w:rPr>
          <w:lang w:val="en-GB"/>
        </w:rPr>
      </w:pPr>
    </w:p>
    <w:p w:rsidRPr="00275FCA" w:rsidR="00E06EF8" w:rsidP="00275FCA" w:rsidRDefault="00E06EF8">
      <w:pPr>
        <w:jc w:val="center"/>
        <w:rPr>
          <w:lang w:val="en-GB"/>
        </w:rPr>
      </w:pPr>
    </w:p>
    <w:p w:rsidRPr="00275FCA" w:rsidR="00E06EF8" w:rsidP="00275FCA" w:rsidRDefault="00E06EF8">
      <w:pPr>
        <w:jc w:val="center"/>
        <w:rPr>
          <w:lang w:val="en-GB"/>
        </w:rPr>
      </w:pPr>
    </w:p>
    <w:p w:rsidRPr="00275FCA" w:rsidR="00E06EF8" w:rsidP="00275FCA" w:rsidRDefault="00E06EF8">
      <w:pPr>
        <w:jc w:val="center"/>
        <w:rPr>
          <w:lang w:val="en-GB"/>
        </w:rPr>
      </w:pPr>
    </w:p>
    <w:p w:rsidRPr="00275FCA" w:rsidR="00E06EF8" w:rsidP="00275FCA" w:rsidRDefault="00E06EF8">
      <w:pPr>
        <w:jc w:val="center"/>
        <w:rPr>
          <w:lang w:val="en-GB"/>
        </w:rPr>
      </w:pPr>
    </w:p>
    <w:p w:rsidRPr="00275FCA" w:rsidR="00014566" w:rsidP="00275FCA" w:rsidRDefault="00014566">
      <w:pPr>
        <w:jc w:val="center"/>
        <w:rPr>
          <w:b/>
          <w:lang w:val="en-GB"/>
        </w:rPr>
      </w:pPr>
      <w:bookmarkStart w:name="To" w:id="1"/>
      <w:r w:rsidRPr="00275FCA">
        <w:rPr>
          <w:b/>
          <w:lang w:val="en-GB"/>
        </w:rPr>
        <w:t xml:space="preserve">CASE OF </w:t>
      </w:r>
      <w:bookmarkEnd w:id="1"/>
      <w:r w:rsidRPr="00275FCA" w:rsidR="0078442C">
        <w:rPr>
          <w:b/>
          <w:lang w:val="en-GB"/>
        </w:rPr>
        <w:t>DÖNER AND OTHERS v. TURKEY</w:t>
      </w:r>
    </w:p>
    <w:p w:rsidRPr="00275FCA" w:rsidR="00014566" w:rsidP="00275FCA" w:rsidRDefault="00014566">
      <w:pPr>
        <w:jc w:val="center"/>
        <w:rPr>
          <w:lang w:val="en-GB"/>
        </w:rPr>
      </w:pPr>
    </w:p>
    <w:p w:rsidRPr="00275FCA" w:rsidR="00014566" w:rsidP="00275FCA" w:rsidRDefault="00014566">
      <w:pPr>
        <w:jc w:val="center"/>
        <w:rPr>
          <w:i/>
          <w:lang w:val="en-GB"/>
        </w:rPr>
      </w:pPr>
      <w:r w:rsidRPr="00275FCA">
        <w:rPr>
          <w:i/>
          <w:lang w:val="en-GB"/>
        </w:rPr>
        <w:t>(</w:t>
      </w:r>
      <w:r w:rsidRPr="00275FCA" w:rsidR="0078442C">
        <w:rPr>
          <w:i/>
          <w:lang w:val="en-GB"/>
        </w:rPr>
        <w:t>Application no. 29994/02</w:t>
      </w:r>
      <w:r w:rsidRPr="00275FCA">
        <w:rPr>
          <w:i/>
          <w:lang w:val="en-GB"/>
        </w:rPr>
        <w:t>)</w:t>
      </w:r>
    </w:p>
    <w:p w:rsidRPr="00275FCA" w:rsidR="00014566" w:rsidP="00275FCA" w:rsidRDefault="00014566">
      <w:pPr>
        <w:jc w:val="center"/>
        <w:rPr>
          <w:lang w:val="en-GB"/>
        </w:rPr>
      </w:pPr>
    </w:p>
    <w:p w:rsidRPr="00275FCA" w:rsidR="00014566" w:rsidP="00275FCA" w:rsidRDefault="00014566">
      <w:pPr>
        <w:jc w:val="center"/>
        <w:rPr>
          <w:lang w:val="en-GB"/>
        </w:rPr>
      </w:pPr>
    </w:p>
    <w:p w:rsidRPr="00275FCA" w:rsidR="00014566" w:rsidP="00275FCA" w:rsidRDefault="00014566">
      <w:pPr>
        <w:jc w:val="center"/>
        <w:rPr>
          <w:lang w:val="en-GB"/>
        </w:rPr>
      </w:pPr>
    </w:p>
    <w:p w:rsidRPr="00275FCA" w:rsidR="00E06EF8" w:rsidP="00275FCA" w:rsidRDefault="00E06EF8">
      <w:pPr>
        <w:pStyle w:val="ECHRPara"/>
        <w:jc w:val="center"/>
        <w:rPr>
          <w:b/>
          <w:lang w:val="en-GB"/>
        </w:rPr>
      </w:pPr>
      <w:r w:rsidRPr="00275FCA">
        <w:rPr>
          <w:lang w:val="en-GB"/>
        </w:rPr>
        <w:t>JUDGMENT</w:t>
      </w:r>
    </w:p>
    <w:p w:rsidRPr="00275FCA" w:rsidR="006B4718" w:rsidP="00275FCA" w:rsidRDefault="006B4718">
      <w:pPr>
        <w:jc w:val="center"/>
      </w:pPr>
    </w:p>
    <w:p w:rsidRPr="00275FCA" w:rsidR="006B4718" w:rsidP="00275FCA" w:rsidRDefault="006B4718">
      <w:pPr>
        <w:jc w:val="center"/>
      </w:pPr>
    </w:p>
    <w:p w:rsidRPr="00275FCA" w:rsidR="006B4718" w:rsidP="00275FCA" w:rsidRDefault="006B4718">
      <w:pPr>
        <w:jc w:val="center"/>
        <w:rPr>
          <w:szCs w:val="24"/>
        </w:rPr>
      </w:pPr>
    </w:p>
    <w:p w:rsidRPr="00275FCA" w:rsidR="00E06EF8" w:rsidP="00275FCA" w:rsidRDefault="00E06EF8">
      <w:pPr>
        <w:pStyle w:val="JuCase"/>
        <w:ind w:firstLine="0"/>
        <w:jc w:val="center"/>
        <w:rPr>
          <w:b w:val="0"/>
          <w:lang w:val="en-GB"/>
        </w:rPr>
      </w:pPr>
      <w:r w:rsidRPr="00275FCA">
        <w:rPr>
          <w:b w:val="0"/>
          <w:lang w:val="en-GB"/>
        </w:rPr>
        <w:t>STRASBOURG</w:t>
      </w:r>
    </w:p>
    <w:p w:rsidRPr="00275FCA" w:rsidR="006B4718" w:rsidP="00275FCA" w:rsidRDefault="006B4718">
      <w:pPr>
        <w:jc w:val="center"/>
      </w:pPr>
    </w:p>
    <w:p w:rsidRPr="00275FCA" w:rsidR="006B4718" w:rsidP="00275FCA" w:rsidRDefault="006B4718">
      <w:pPr>
        <w:jc w:val="center"/>
      </w:pPr>
    </w:p>
    <w:p w:rsidRPr="00275FCA" w:rsidR="006B4718" w:rsidP="00275FCA" w:rsidRDefault="006B4718">
      <w:pPr>
        <w:jc w:val="center"/>
        <w:rPr>
          <w:szCs w:val="24"/>
        </w:rPr>
      </w:pPr>
    </w:p>
    <w:p w:rsidRPr="00275FCA" w:rsidR="00E06EF8" w:rsidP="00275FCA" w:rsidRDefault="006B4718">
      <w:pPr>
        <w:pStyle w:val="JuCase"/>
        <w:ind w:firstLine="0"/>
        <w:jc w:val="center"/>
        <w:rPr>
          <w:b w:val="0"/>
          <w:lang w:val="en-GB"/>
        </w:rPr>
      </w:pPr>
      <w:r w:rsidRPr="00275FCA">
        <w:rPr>
          <w:b w:val="0"/>
          <w:lang w:val="en-GB"/>
        </w:rPr>
        <w:t>7 March 2017</w:t>
      </w:r>
    </w:p>
    <w:p w:rsidRPr="00275FCA" w:rsidR="006B4718" w:rsidP="00275FCA" w:rsidRDefault="006B4718">
      <w:pPr>
        <w:jc w:val="center"/>
      </w:pPr>
    </w:p>
    <w:p w:rsidRPr="00275FCA" w:rsidR="006B4718" w:rsidP="00275FCA" w:rsidRDefault="006B4718">
      <w:pPr>
        <w:jc w:val="center"/>
      </w:pPr>
    </w:p>
    <w:p w:rsidRPr="00275FCA" w:rsidR="006B4718" w:rsidP="00275FCA" w:rsidRDefault="006B4718">
      <w:pPr>
        <w:jc w:val="center"/>
        <w:rPr>
          <w:szCs w:val="24"/>
        </w:rPr>
      </w:pPr>
    </w:p>
    <w:p w:rsidRPr="00275FCA" w:rsidR="00275FCA" w:rsidP="00275FCA" w:rsidRDefault="00275FCA">
      <w:pPr>
        <w:pStyle w:val="jucase0"/>
        <w:ind w:firstLine="0"/>
        <w:jc w:val="center"/>
        <w:rPr>
          <w:color w:val="FF0000"/>
          <w:sz w:val="28"/>
          <w:szCs w:val="28"/>
          <w:u w:val="single"/>
        </w:rPr>
      </w:pPr>
      <w:r w:rsidRPr="00275FCA">
        <w:rPr>
          <w:color w:val="FF0000"/>
          <w:sz w:val="28"/>
          <w:szCs w:val="28"/>
          <w:u w:val="single"/>
        </w:rPr>
        <w:t>FINAL</w:t>
      </w:r>
    </w:p>
    <w:p w:rsidRPr="00275FCA" w:rsidR="00275FCA" w:rsidP="00275FCA" w:rsidRDefault="00275FCA">
      <w:pPr>
        <w:pStyle w:val="jupara"/>
        <w:tabs>
          <w:tab w:val="left" w:pos="4650"/>
        </w:tabs>
        <w:ind w:firstLine="0"/>
        <w:jc w:val="center"/>
        <w:rPr>
          <w:color w:val="FF0000"/>
          <w:sz w:val="28"/>
          <w:szCs w:val="28"/>
        </w:rPr>
      </w:pPr>
    </w:p>
    <w:p w:rsidRPr="00275FCA" w:rsidR="00275FCA" w:rsidP="00275FCA" w:rsidRDefault="00275FCA">
      <w:pPr>
        <w:pStyle w:val="jupara"/>
        <w:ind w:firstLine="0"/>
        <w:jc w:val="center"/>
        <w:rPr>
          <w:color w:val="FF0000"/>
          <w:sz w:val="28"/>
          <w:szCs w:val="28"/>
        </w:rPr>
      </w:pPr>
      <w:r w:rsidRPr="00275FCA">
        <w:rPr>
          <w:color w:val="FF0000"/>
          <w:sz w:val="28"/>
          <w:szCs w:val="28"/>
        </w:rPr>
        <w:t>07/06/2017</w:t>
      </w:r>
    </w:p>
    <w:p w:rsidRPr="00275FCA" w:rsidR="00275FCA" w:rsidP="00275FCA" w:rsidRDefault="00275FCA">
      <w:pPr>
        <w:pStyle w:val="jupara"/>
        <w:ind w:firstLine="0"/>
        <w:jc w:val="center"/>
      </w:pPr>
    </w:p>
    <w:p w:rsidRPr="00275FCA" w:rsidR="00275FCA" w:rsidP="00275FCA" w:rsidRDefault="00275FCA">
      <w:pPr>
        <w:jc w:val="center"/>
        <w:rPr>
          <w:i/>
          <w:iCs/>
          <w:sz w:val="22"/>
        </w:rPr>
      </w:pPr>
      <w:r w:rsidRPr="00275FCA">
        <w:rPr>
          <w:i/>
          <w:iCs/>
          <w:sz w:val="22"/>
        </w:rPr>
        <w:t>This judgment has become final under Article 44 § 2 of the Convention. It may be subject to editorial revision.</w:t>
      </w:r>
    </w:p>
    <w:p w:rsidRPr="00275FCA" w:rsidR="006B4718" w:rsidP="00275FCA" w:rsidRDefault="006B4718">
      <w:pPr>
        <w:pStyle w:val="ECHRPara"/>
      </w:pPr>
    </w:p>
    <w:p w:rsidRPr="00275FCA" w:rsidR="006B4718" w:rsidP="00275FCA" w:rsidRDefault="006B4718">
      <w:pPr>
        <w:pStyle w:val="ECHRPara"/>
        <w:rPr>
          <w:lang w:val="en-GB"/>
        </w:rPr>
        <w:sectPr w:rsidRPr="00275FCA" w:rsidR="006B4718" w:rsidSect="00E06EF8">
          <w:headerReference w:type="even" r:id="rId8"/>
          <w:headerReference w:type="default" r:id="rId9"/>
          <w:footerReference w:type="default" r:id="rId10"/>
          <w:footnotePr>
            <w:numRestart w:val="eachSect"/>
          </w:footnotePr>
          <w:pgSz w:w="11906" w:h="16838" w:code="9"/>
          <w:pgMar w:top="2274" w:right="2274" w:bottom="2274" w:left="2274" w:header="1701" w:footer="720" w:gutter="0"/>
          <w:pgNumType w:start="1"/>
          <w:cols w:space="720"/>
          <w:docGrid w:linePitch="326"/>
        </w:sectPr>
      </w:pPr>
    </w:p>
    <w:p w:rsidRPr="00275FCA" w:rsidR="006B4718" w:rsidP="00275FCA" w:rsidRDefault="00F479EA">
      <w:pPr>
        <w:pStyle w:val="JuCase"/>
        <w:rPr>
          <w:lang w:val="en-GB"/>
        </w:rPr>
      </w:pPr>
      <w:r w:rsidRPr="00275FCA">
        <w:t>In the case of Döner and Others v. Turkey</w:t>
      </w:r>
    </w:p>
    <w:p w:rsidRPr="00275FCA" w:rsidR="00014566" w:rsidP="00275FCA" w:rsidRDefault="00014566">
      <w:pPr>
        <w:pStyle w:val="ECHRPara"/>
        <w:rPr>
          <w:lang w:val="en-GB"/>
        </w:rPr>
      </w:pPr>
      <w:r w:rsidRPr="00275FCA">
        <w:rPr>
          <w:lang w:val="en-GB"/>
        </w:rPr>
        <w:t>The European Court of Human Rights (</w:t>
      </w:r>
      <w:r w:rsidRPr="00275FCA" w:rsidR="0078442C">
        <w:rPr>
          <w:lang w:val="en-GB"/>
        </w:rPr>
        <w:t>Second Section</w:t>
      </w:r>
      <w:r w:rsidRPr="00275FCA">
        <w:rPr>
          <w:lang w:val="en-GB"/>
        </w:rPr>
        <w:t xml:space="preserve">), sitting as a </w:t>
      </w:r>
      <w:r w:rsidRPr="00275FCA" w:rsidR="0078442C">
        <w:rPr>
          <w:lang w:val="en-GB"/>
        </w:rPr>
        <w:t>Chamber</w:t>
      </w:r>
      <w:r w:rsidRPr="00275FCA">
        <w:rPr>
          <w:lang w:val="en-GB"/>
        </w:rPr>
        <w:t xml:space="preserve"> composed of:</w:t>
      </w:r>
    </w:p>
    <w:p w:rsidRPr="00275FCA" w:rsidR="00014566" w:rsidP="00275FCA" w:rsidRDefault="00F479EA">
      <w:pPr>
        <w:pStyle w:val="ECHRDecisionBody"/>
        <w:rPr>
          <w:lang w:val="en-GB"/>
        </w:rPr>
      </w:pPr>
      <w:r w:rsidRPr="00275FCA">
        <w:tab/>
        <w:t>Julia Laffranque,</w:t>
      </w:r>
      <w:r w:rsidRPr="00275FCA">
        <w:rPr>
          <w:i/>
        </w:rPr>
        <w:t xml:space="preserve"> President,</w:t>
      </w:r>
      <w:r w:rsidRPr="00275FCA">
        <w:rPr>
          <w:i/>
        </w:rPr>
        <w:br/>
      </w:r>
      <w:r w:rsidRPr="00275FCA">
        <w:tab/>
        <w:t>Işıl Karakaş,</w:t>
      </w:r>
      <w:r w:rsidRPr="00275FCA">
        <w:rPr>
          <w:i/>
        </w:rPr>
        <w:br/>
      </w:r>
      <w:r w:rsidRPr="00275FCA">
        <w:tab/>
        <w:t>Nebojša Vučinić,</w:t>
      </w:r>
      <w:r w:rsidRPr="00275FCA">
        <w:rPr>
          <w:i/>
        </w:rPr>
        <w:br/>
      </w:r>
      <w:r w:rsidRPr="00275FCA">
        <w:tab/>
        <w:t>Paul Lemmens,</w:t>
      </w:r>
      <w:r w:rsidRPr="00275FCA">
        <w:rPr>
          <w:i/>
        </w:rPr>
        <w:br/>
      </w:r>
      <w:r w:rsidRPr="00275FCA">
        <w:tab/>
        <w:t>Ksenija Turković,</w:t>
      </w:r>
      <w:r w:rsidRPr="00275FCA">
        <w:rPr>
          <w:i/>
        </w:rPr>
        <w:br/>
      </w:r>
      <w:r w:rsidRPr="00275FCA">
        <w:tab/>
        <w:t>Jon Fridrik Kjølbro,</w:t>
      </w:r>
      <w:r w:rsidRPr="00275FCA">
        <w:rPr>
          <w:i/>
        </w:rPr>
        <w:br/>
      </w:r>
      <w:r w:rsidRPr="00275FCA">
        <w:tab/>
        <w:t>Stéphanie Mourou-Vikström,</w:t>
      </w:r>
      <w:r w:rsidRPr="00275FCA">
        <w:rPr>
          <w:i/>
        </w:rPr>
        <w:t xml:space="preserve"> judges,</w:t>
      </w:r>
      <w:r w:rsidRPr="00275FCA">
        <w:rPr>
          <w:i/>
        </w:rPr>
        <w:br/>
      </w:r>
      <w:r w:rsidRPr="00275FCA" w:rsidR="00014566">
        <w:rPr>
          <w:lang w:val="en-GB"/>
        </w:rPr>
        <w:t xml:space="preserve">and </w:t>
      </w:r>
      <w:r w:rsidRPr="00275FCA" w:rsidR="0078442C">
        <w:rPr>
          <w:lang w:val="en-GB"/>
        </w:rPr>
        <w:t>Stanley Naismith</w:t>
      </w:r>
      <w:r w:rsidRPr="00275FCA" w:rsidR="00014566">
        <w:rPr>
          <w:lang w:val="en-GB"/>
        </w:rPr>
        <w:t xml:space="preserve">, </w:t>
      </w:r>
      <w:r w:rsidRPr="00275FCA" w:rsidR="0078442C">
        <w:rPr>
          <w:i/>
          <w:lang w:val="en-GB"/>
        </w:rPr>
        <w:t xml:space="preserve">Section </w:t>
      </w:r>
      <w:r w:rsidRPr="00275FCA" w:rsidR="0078442C">
        <w:rPr>
          <w:i/>
          <w:iCs/>
          <w:lang w:val="en-GB"/>
        </w:rPr>
        <w:t>Registrar</w:t>
      </w:r>
      <w:r w:rsidRPr="00275FCA" w:rsidR="00014566">
        <w:rPr>
          <w:i/>
          <w:lang w:val="en-GB"/>
        </w:rPr>
        <w:t>,</w:t>
      </w:r>
    </w:p>
    <w:p w:rsidRPr="00275FCA" w:rsidR="00014566" w:rsidP="00275FCA" w:rsidRDefault="00014566">
      <w:pPr>
        <w:pStyle w:val="ECHRPara"/>
        <w:rPr>
          <w:lang w:val="en-GB"/>
        </w:rPr>
      </w:pPr>
      <w:r w:rsidRPr="00275FCA">
        <w:rPr>
          <w:lang w:val="en-GB"/>
        </w:rPr>
        <w:t xml:space="preserve">Having deliberated in private on </w:t>
      </w:r>
      <w:r w:rsidRPr="00275FCA" w:rsidR="00C925FE">
        <w:rPr>
          <w:lang w:val="en-GB"/>
        </w:rPr>
        <w:t>24 January 2017</w:t>
      </w:r>
      <w:r w:rsidRPr="00275FCA">
        <w:rPr>
          <w:lang w:val="en-GB"/>
        </w:rPr>
        <w:t>,</w:t>
      </w:r>
    </w:p>
    <w:p w:rsidRPr="00275FCA" w:rsidR="00014566" w:rsidP="00275FCA" w:rsidRDefault="00014566">
      <w:pPr>
        <w:pStyle w:val="ECHRPara"/>
        <w:rPr>
          <w:lang w:val="en-GB"/>
        </w:rPr>
      </w:pPr>
      <w:r w:rsidRPr="00275FCA">
        <w:rPr>
          <w:lang w:val="en-GB"/>
        </w:rPr>
        <w:t>Delivers the following judgment, which was adopted on that date:</w:t>
      </w:r>
    </w:p>
    <w:p w:rsidRPr="00275FCA" w:rsidR="00014566" w:rsidP="00275FCA" w:rsidRDefault="00014566">
      <w:pPr>
        <w:pStyle w:val="ECHRTitle1"/>
        <w:rPr>
          <w:lang w:val="en-GB"/>
        </w:rPr>
      </w:pPr>
      <w:r w:rsidRPr="00275FCA">
        <w:rPr>
          <w:lang w:val="en-GB"/>
        </w:rPr>
        <w:t>PROCEDURE</w:t>
      </w:r>
    </w:p>
    <w:p w:rsidRPr="00275FCA" w:rsidR="00C52527"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w:t>
      </w:r>
      <w:r w:rsidRPr="00275FCA">
        <w:rPr>
          <w:lang w:val="en-GB"/>
        </w:rPr>
        <w:fldChar w:fldCharType="end"/>
      </w:r>
      <w:r w:rsidRPr="00275FCA" w:rsidR="00014566">
        <w:rPr>
          <w:lang w:val="en-GB"/>
        </w:rPr>
        <w:t xml:space="preserve">.  The case originated in </w:t>
      </w:r>
      <w:r w:rsidRPr="00275FCA">
        <w:rPr>
          <w:lang w:val="en-GB"/>
        </w:rPr>
        <w:t>an application (no. 29994/02)</w:t>
      </w:r>
      <w:r w:rsidRPr="00275FCA" w:rsidR="00014566">
        <w:rPr>
          <w:lang w:val="en-GB"/>
        </w:rPr>
        <w:t xml:space="preserve"> against </w:t>
      </w:r>
      <w:r w:rsidRPr="00275FCA">
        <w:rPr>
          <w:lang w:val="en-GB"/>
        </w:rPr>
        <w:t>the Republic of Turkey</w:t>
      </w:r>
      <w:r w:rsidRPr="00275FCA" w:rsidR="00014566">
        <w:rPr>
          <w:lang w:val="en-GB"/>
        </w:rPr>
        <w:t xml:space="preserve"> lodged with the </w:t>
      </w:r>
      <w:r w:rsidRPr="00275FCA">
        <w:rPr>
          <w:lang w:val="en-GB"/>
        </w:rPr>
        <w:t>Court under Article 34</w:t>
      </w:r>
      <w:r w:rsidRPr="00275FCA" w:rsidR="00014566">
        <w:rPr>
          <w:lang w:val="en-GB"/>
        </w:rPr>
        <w:t xml:space="preserve"> of the Convention for the Protection of Human Rights and Fundamental Freedoms (“the Convention”) by </w:t>
      </w:r>
      <w:r w:rsidRPr="00275FCA" w:rsidR="00922794">
        <w:rPr>
          <w:lang w:val="en-GB"/>
        </w:rPr>
        <w:t>twenty</w:t>
      </w:r>
      <w:r w:rsidRPr="00275FCA">
        <w:rPr>
          <w:lang w:val="en-GB"/>
        </w:rPr>
        <w:t xml:space="preserve"> Turkish nationals</w:t>
      </w:r>
      <w:r w:rsidRPr="00275FCA" w:rsidR="00274B0E">
        <w:rPr>
          <w:lang w:val="en-GB"/>
        </w:rPr>
        <w:t xml:space="preserve"> on 17 July 2002. Their</w:t>
      </w:r>
      <w:r w:rsidRPr="00275FCA" w:rsidR="00FA0A5F">
        <w:t xml:space="preserve"> names and dates of birth are </w:t>
      </w:r>
      <w:r w:rsidRPr="00275FCA" w:rsidR="00274B0E">
        <w:t>set out in the Appendix</w:t>
      </w:r>
      <w:r w:rsidRPr="00275FCA" w:rsidR="00014566">
        <w:rPr>
          <w:lang w:val="en-GB"/>
        </w:rPr>
        <w:t>.</w:t>
      </w:r>
    </w:p>
    <w:p w:rsidRPr="00275FCA" w:rsidR="0078442C"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w:t>
      </w:r>
      <w:r w:rsidRPr="00275FCA">
        <w:rPr>
          <w:lang w:val="en-GB"/>
        </w:rPr>
        <w:fldChar w:fldCharType="end"/>
      </w:r>
      <w:r w:rsidRPr="00275FCA" w:rsidR="00014566">
        <w:rPr>
          <w:lang w:val="en-GB"/>
        </w:rPr>
        <w:t>.  </w:t>
      </w:r>
      <w:r w:rsidRPr="00275FCA">
        <w:rPr>
          <w:lang w:val="en-GB"/>
        </w:rPr>
        <w:t>The applicants were represented by Mr S.N.</w:t>
      </w:r>
      <w:r w:rsidRPr="00275FCA" w:rsidR="001F43BF">
        <w:rPr>
          <w:lang w:val="en-GB"/>
        </w:rPr>
        <w:t xml:space="preserve"> </w:t>
      </w:r>
      <w:r w:rsidRPr="00275FCA">
        <w:rPr>
          <w:lang w:val="en-GB"/>
        </w:rPr>
        <w:t>Öztürk and Mr</w:t>
      </w:r>
      <w:r w:rsidRPr="00275FCA" w:rsidR="00922794">
        <w:rPr>
          <w:lang w:val="en-GB"/>
        </w:rPr>
        <w:t> M. Filorinal</w:t>
      </w:r>
      <w:r w:rsidRPr="00275FCA" w:rsidR="00922794">
        <w:rPr>
          <w:rFonts w:cstheme="minorHAnsi"/>
          <w:lang w:val="en-GB"/>
        </w:rPr>
        <w:t>ı</w:t>
      </w:r>
      <w:r w:rsidRPr="00275FCA">
        <w:rPr>
          <w:lang w:val="en-GB"/>
        </w:rPr>
        <w:t xml:space="preserve">, lawyers practising in Istanbul. </w:t>
      </w:r>
      <w:r w:rsidRPr="00275FCA" w:rsidR="00014566">
        <w:rPr>
          <w:lang w:val="en-GB"/>
        </w:rPr>
        <w:t xml:space="preserve">The </w:t>
      </w:r>
      <w:r w:rsidRPr="00275FCA">
        <w:rPr>
          <w:lang w:val="en-GB"/>
        </w:rPr>
        <w:t>Turkish</w:t>
      </w:r>
      <w:r w:rsidRPr="00275FCA" w:rsidR="00014566">
        <w:rPr>
          <w:lang w:val="en-GB"/>
        </w:rPr>
        <w:t xml:space="preserve"> Government (“the Government”) were represe</w:t>
      </w:r>
      <w:r w:rsidRPr="00275FCA" w:rsidR="00922794">
        <w:rPr>
          <w:lang w:val="en-GB"/>
        </w:rPr>
        <w:t>nted by their Agent</w:t>
      </w:r>
      <w:r w:rsidRPr="00275FCA" w:rsidR="00014566">
        <w:rPr>
          <w:lang w:val="en-GB"/>
        </w:rPr>
        <w:t>.</w:t>
      </w:r>
    </w:p>
    <w:p w:rsidRPr="00275FCA" w:rsidR="00014566" w:rsidP="00275FCA" w:rsidRDefault="0092279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w:t>
      </w:r>
      <w:r w:rsidRPr="00275FCA">
        <w:rPr>
          <w:lang w:val="en-GB"/>
        </w:rPr>
        <w:fldChar w:fldCharType="end"/>
      </w:r>
      <w:r w:rsidRPr="00275FCA">
        <w:rPr>
          <w:lang w:val="en-GB"/>
        </w:rPr>
        <w:t>.  </w:t>
      </w:r>
      <w:r w:rsidRPr="00275FCA" w:rsidR="0078442C">
        <w:rPr>
          <w:lang w:val="en-GB"/>
        </w:rPr>
        <w:t xml:space="preserve">On </w:t>
      </w:r>
      <w:r w:rsidRPr="00275FCA" w:rsidR="0078442C">
        <w:rPr>
          <w:szCs w:val="24"/>
          <w:lang w:val="en-GB"/>
        </w:rPr>
        <w:t>10 September 2008</w:t>
      </w:r>
      <w:r w:rsidRPr="00275FCA" w:rsidR="00014566">
        <w:rPr>
          <w:lang w:val="en-GB"/>
        </w:rPr>
        <w:t xml:space="preserve"> the </w:t>
      </w:r>
      <w:r w:rsidRPr="00275FCA" w:rsidR="0078442C">
        <w:rPr>
          <w:lang w:val="en-GB"/>
        </w:rPr>
        <w:t>application was communicated to the Government</w:t>
      </w:r>
      <w:r w:rsidRPr="00275FCA" w:rsidR="00014566">
        <w:rPr>
          <w:lang w:val="en-GB"/>
        </w:rPr>
        <w:t>.</w:t>
      </w:r>
    </w:p>
    <w:p w:rsidRPr="00275FCA" w:rsidR="00014566" w:rsidP="00275FCA" w:rsidRDefault="00014566">
      <w:pPr>
        <w:pStyle w:val="ECHRTitle1"/>
        <w:rPr>
          <w:lang w:val="en-GB"/>
        </w:rPr>
      </w:pPr>
      <w:r w:rsidRPr="00275FCA">
        <w:rPr>
          <w:lang w:val="en-GB"/>
        </w:rPr>
        <w:t>THE FACTS</w:t>
      </w:r>
    </w:p>
    <w:p w:rsidRPr="00275FCA" w:rsidR="00014566" w:rsidP="00275FCA" w:rsidRDefault="00014566">
      <w:pPr>
        <w:pStyle w:val="ECHRHeading1"/>
        <w:rPr>
          <w:lang w:val="en-GB"/>
        </w:rPr>
      </w:pPr>
      <w:r w:rsidRPr="00275FCA">
        <w:rPr>
          <w:lang w:val="en-GB"/>
        </w:rPr>
        <w:t>I.  THE CIRCUMSTANCES OF THE CASE</w:t>
      </w:r>
    </w:p>
    <w:p w:rsidRPr="00275FCA" w:rsidR="00B6060F"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w:t>
      </w:r>
      <w:r w:rsidRPr="00275FCA">
        <w:rPr>
          <w:lang w:val="en-GB"/>
        </w:rPr>
        <w:fldChar w:fldCharType="end"/>
      </w:r>
      <w:r w:rsidRPr="00275FCA" w:rsidR="00014566">
        <w:rPr>
          <w:lang w:val="en-GB"/>
        </w:rPr>
        <w:t>.  </w:t>
      </w:r>
      <w:r w:rsidRPr="00275FCA" w:rsidR="00B6060F">
        <w:rPr>
          <w:lang w:val="en-GB"/>
        </w:rPr>
        <w:t>At the time of the events giving rise to the present application, the applicants lived in Istanbul and their children attended different public elementary schools.</w:t>
      </w:r>
    </w:p>
    <w:p w:rsidRPr="00275FCA" w:rsidR="000D6266" w:rsidP="00275FCA" w:rsidRDefault="000D6266">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w:t>
      </w:r>
      <w:r w:rsidRPr="00275FCA">
        <w:rPr>
          <w:lang w:val="en-GB"/>
        </w:rPr>
        <w:fldChar w:fldCharType="end"/>
      </w:r>
      <w:r w:rsidRPr="00275FCA">
        <w:rPr>
          <w:lang w:val="en-GB"/>
        </w:rPr>
        <w:t>.  On unspecified dates in December 2001 the</w:t>
      </w:r>
      <w:r w:rsidRPr="00275FCA" w:rsidR="002D0DF3">
        <w:rPr>
          <w:lang w:val="en-GB"/>
        </w:rPr>
        <w:t xml:space="preserve"> applicants (save for Mr </w:t>
      </w:r>
      <w:r w:rsidRPr="00275FCA" w:rsidR="005F72A3">
        <w:rPr>
          <w:lang w:val="en-GB"/>
        </w:rPr>
        <w:t>Yılmaz</w:t>
      </w:r>
      <w:r w:rsidRPr="00275FCA" w:rsidR="00B6060F">
        <w:rPr>
          <w:lang w:val="en-GB"/>
        </w:rPr>
        <w:t xml:space="preserve"> Yavuz) </w:t>
      </w:r>
      <w:r w:rsidRPr="00275FCA" w:rsidR="00274B0E">
        <w:rPr>
          <w:lang w:val="en-GB"/>
        </w:rPr>
        <w:t xml:space="preserve">each </w:t>
      </w:r>
      <w:r w:rsidRPr="00275FCA" w:rsidR="00B6060F">
        <w:rPr>
          <w:lang w:val="en-GB"/>
        </w:rPr>
        <w:t xml:space="preserve">sent petitions to </w:t>
      </w:r>
      <w:r w:rsidRPr="00275FCA">
        <w:rPr>
          <w:lang w:val="en-GB"/>
        </w:rPr>
        <w:t xml:space="preserve">the </w:t>
      </w:r>
      <w:r w:rsidRPr="00275FCA" w:rsidR="00701FA9">
        <w:rPr>
          <w:lang w:val="en-GB"/>
        </w:rPr>
        <w:t>Bağcılar</w:t>
      </w:r>
      <w:r w:rsidRPr="00275FCA" w:rsidR="008D2DA7">
        <w:rPr>
          <w:lang w:val="en-GB"/>
        </w:rPr>
        <w:t xml:space="preserve">, Esenler and </w:t>
      </w:r>
      <w:r w:rsidRPr="00275FCA" w:rsidR="00701FA9">
        <w:rPr>
          <w:lang w:val="en-GB"/>
        </w:rPr>
        <w:t>Kadıköy</w:t>
      </w:r>
      <w:r w:rsidRPr="00275FCA" w:rsidR="008D2DA7">
        <w:rPr>
          <w:lang w:val="en-GB"/>
        </w:rPr>
        <w:t xml:space="preserve"> </w:t>
      </w:r>
      <w:r w:rsidRPr="00275FCA" w:rsidR="00274B0E">
        <w:rPr>
          <w:lang w:val="en-GB"/>
        </w:rPr>
        <w:t xml:space="preserve">Education </w:t>
      </w:r>
      <w:r w:rsidRPr="00275FCA" w:rsidR="00456CCA">
        <w:rPr>
          <w:lang w:val="en-GB"/>
        </w:rPr>
        <w:t>Directorates</w:t>
      </w:r>
      <w:r w:rsidRPr="00275FCA" w:rsidDel="00274B0E" w:rsidR="00456CCA">
        <w:rPr>
          <w:lang w:val="en-GB"/>
        </w:rPr>
        <w:t xml:space="preserve"> </w:t>
      </w:r>
      <w:r w:rsidRPr="00275FCA" w:rsidR="00B6060F">
        <w:rPr>
          <w:lang w:val="en-GB"/>
        </w:rPr>
        <w:t>with a request for</w:t>
      </w:r>
      <w:r w:rsidRPr="00275FCA" w:rsidR="008D2DA7">
        <w:rPr>
          <w:lang w:val="en-GB"/>
        </w:rPr>
        <w:t xml:space="preserve"> </w:t>
      </w:r>
      <w:r w:rsidRPr="00275FCA" w:rsidR="00456CCA">
        <w:rPr>
          <w:lang w:val="en-GB"/>
        </w:rPr>
        <w:t>their children</w:t>
      </w:r>
      <w:r w:rsidRPr="00275FCA" w:rsidR="009A17DF">
        <w:rPr>
          <w:lang w:val="en-GB"/>
        </w:rPr>
        <w:t xml:space="preserve"> to</w:t>
      </w:r>
      <w:r w:rsidRPr="00275FCA" w:rsidR="00456CCA">
        <w:rPr>
          <w:lang w:val="en-GB"/>
        </w:rPr>
        <w:t xml:space="preserve"> </w:t>
      </w:r>
      <w:r w:rsidRPr="00275FCA" w:rsidR="00D11479">
        <w:rPr>
          <w:lang w:val="en-GB"/>
        </w:rPr>
        <w:t>be provided</w:t>
      </w:r>
      <w:r w:rsidRPr="00275FCA" w:rsidR="00D11A17">
        <w:rPr>
          <w:lang w:val="en-GB"/>
        </w:rPr>
        <w:t xml:space="preserve"> with</w:t>
      </w:r>
      <w:r w:rsidRPr="00275FCA" w:rsidR="00D11479">
        <w:rPr>
          <w:lang w:val="en-GB"/>
        </w:rPr>
        <w:t xml:space="preserve"> education </w:t>
      </w:r>
      <w:r w:rsidRPr="00275FCA" w:rsidR="00B4619F">
        <w:rPr>
          <w:lang w:val="en-GB"/>
        </w:rPr>
        <w:t xml:space="preserve">in Kurdish </w:t>
      </w:r>
      <w:r w:rsidRPr="00275FCA" w:rsidR="00B6060F">
        <w:rPr>
          <w:lang w:val="en-GB"/>
        </w:rPr>
        <w:t>in their respective elementary schools</w:t>
      </w:r>
      <w:r w:rsidRPr="00275FCA" w:rsidR="008D2DA7">
        <w:rPr>
          <w:lang w:val="en-GB"/>
        </w:rPr>
        <w:t xml:space="preserve">. </w:t>
      </w:r>
      <w:r w:rsidRPr="00275FCA" w:rsidR="00B6060F">
        <w:rPr>
          <w:lang w:val="en-GB"/>
        </w:rPr>
        <w:t>It appears that similar petitions were submitted by many other parents of Kurdish ethnic origin around the same time.</w:t>
      </w:r>
    </w:p>
    <w:p w:rsidRPr="00275FCA" w:rsidR="00B4619F" w:rsidP="00275FCA" w:rsidRDefault="00B4619F">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w:t>
      </w:r>
      <w:r w:rsidRPr="00275FCA">
        <w:rPr>
          <w:lang w:val="en-GB"/>
        </w:rPr>
        <w:fldChar w:fldCharType="end"/>
      </w:r>
      <w:r w:rsidRPr="00275FCA">
        <w:rPr>
          <w:lang w:val="en-GB"/>
        </w:rPr>
        <w:t xml:space="preserve">.  According to the </w:t>
      </w:r>
      <w:r w:rsidRPr="00275FCA" w:rsidR="00274B0E">
        <w:rPr>
          <w:lang w:val="en-GB"/>
        </w:rPr>
        <w:t>examples</w:t>
      </w:r>
      <w:r w:rsidRPr="00275FCA">
        <w:rPr>
          <w:lang w:val="en-GB"/>
        </w:rPr>
        <w:t xml:space="preserve"> submitted by the applicants, the petitions were worded, with </w:t>
      </w:r>
      <w:r w:rsidRPr="00275FCA" w:rsidR="00456CCA">
        <w:rPr>
          <w:lang w:val="en-GB"/>
        </w:rPr>
        <w:t xml:space="preserve">slight </w:t>
      </w:r>
      <w:r w:rsidRPr="00275FCA" w:rsidR="00125526">
        <w:rPr>
          <w:lang w:val="en-GB"/>
        </w:rPr>
        <w:t>variations, as follows:</w:t>
      </w:r>
    </w:p>
    <w:p w:rsidRPr="00275FCA" w:rsidR="00B4619F" w:rsidP="00275FCA" w:rsidRDefault="00B4619F">
      <w:pPr>
        <w:pStyle w:val="ECHRParaQuote"/>
        <w:rPr>
          <w:lang w:val="en-GB"/>
        </w:rPr>
      </w:pPr>
      <w:r w:rsidRPr="00275FCA">
        <w:rPr>
          <w:lang w:val="en-GB"/>
        </w:rPr>
        <w:t xml:space="preserve">“I want my child who is studying at </w:t>
      </w:r>
      <w:r w:rsidRPr="00275FCA" w:rsidR="00E06EF8">
        <w:rPr>
          <w:lang w:val="en-GB"/>
        </w:rPr>
        <w:t>...</w:t>
      </w:r>
      <w:r w:rsidRPr="00275FCA">
        <w:rPr>
          <w:lang w:val="en-GB"/>
        </w:rPr>
        <w:t xml:space="preserve"> school to receive education in Kurdish, which is his [her] mother tongue, in addition to education in Turkish, at school</w:t>
      </w:r>
      <w:r w:rsidRPr="00275FCA" w:rsidR="00E06EF8">
        <w:rPr>
          <w:lang w:val="en-GB"/>
        </w:rPr>
        <w:t>...</w:t>
      </w:r>
      <w:r w:rsidRPr="00275FCA">
        <w:rPr>
          <w:lang w:val="en-GB"/>
        </w:rPr>
        <w:t>”</w:t>
      </w:r>
    </w:p>
    <w:p w:rsidRPr="00275FCA" w:rsidR="007F10D0" w:rsidP="00275FCA" w:rsidRDefault="000D6266">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w:t>
      </w:r>
      <w:r w:rsidRPr="00275FCA">
        <w:rPr>
          <w:lang w:val="en-GB"/>
        </w:rPr>
        <w:fldChar w:fldCharType="end"/>
      </w:r>
      <w:r w:rsidRPr="00275FCA">
        <w:rPr>
          <w:lang w:val="en-GB"/>
        </w:rPr>
        <w:t>.  </w:t>
      </w:r>
      <w:r w:rsidRPr="00275FCA" w:rsidR="009A17DF">
        <w:rPr>
          <w:lang w:val="en-GB"/>
        </w:rPr>
        <w:t xml:space="preserve">On </w:t>
      </w:r>
      <w:r w:rsidRPr="00275FCA" w:rsidR="007F10D0">
        <w:rPr>
          <w:lang w:val="en-GB"/>
        </w:rPr>
        <w:t>receipt of the petitions the relevant education directorates informed the Istanbul Security Directorate, wh</w:t>
      </w:r>
      <w:r w:rsidRPr="00275FCA" w:rsidR="00660A6C">
        <w:rPr>
          <w:lang w:val="en-GB"/>
        </w:rPr>
        <w:t>ich</w:t>
      </w:r>
      <w:r w:rsidRPr="00275FCA" w:rsidR="007F10D0">
        <w:rPr>
          <w:lang w:val="en-GB"/>
        </w:rPr>
        <w:t xml:space="preserve"> brought </w:t>
      </w:r>
      <w:r w:rsidRPr="00275FCA" w:rsidR="00456CCA">
        <w:rPr>
          <w:lang w:val="en-GB"/>
        </w:rPr>
        <w:t xml:space="preserve">the </w:t>
      </w:r>
      <w:r w:rsidRPr="00275FCA" w:rsidR="007F10D0">
        <w:rPr>
          <w:lang w:val="en-GB"/>
        </w:rPr>
        <w:t>matter to the attention of the</w:t>
      </w:r>
      <w:r w:rsidRPr="00275FCA" w:rsidR="00D11479">
        <w:rPr>
          <w:lang w:val="en-GB"/>
        </w:rPr>
        <w:t xml:space="preserve"> </w:t>
      </w:r>
      <w:r w:rsidRPr="00275FCA" w:rsidR="007F10D0">
        <w:rPr>
          <w:lang w:val="en-GB"/>
        </w:rPr>
        <w:t>principal public prosecutor</w:t>
      </w:r>
      <w:r w:rsidRPr="00275FCA" w:rsidR="00275FCA">
        <w:rPr>
          <w:lang w:val="en-GB"/>
        </w:rPr>
        <w:t>’</w:t>
      </w:r>
      <w:r w:rsidRPr="00275FCA" w:rsidR="00456CCA">
        <w:rPr>
          <w:lang w:val="en-GB"/>
        </w:rPr>
        <w:t xml:space="preserve">s office </w:t>
      </w:r>
      <w:r w:rsidRPr="00275FCA" w:rsidR="007F10D0">
        <w:rPr>
          <w:lang w:val="en-GB"/>
        </w:rPr>
        <w:t>at the Istanbul State Security Court.</w:t>
      </w:r>
    </w:p>
    <w:p w:rsidRPr="00275FCA" w:rsidR="006860C5" w:rsidP="00275FCA" w:rsidRDefault="007F10D0">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w:t>
      </w:r>
      <w:r w:rsidRPr="00275FCA">
        <w:rPr>
          <w:lang w:val="en-GB"/>
        </w:rPr>
        <w:fldChar w:fldCharType="end"/>
      </w:r>
      <w:r w:rsidRPr="00275FCA">
        <w:rPr>
          <w:lang w:val="en-GB"/>
        </w:rPr>
        <w:t>.  </w:t>
      </w:r>
      <w:r w:rsidRPr="00275FCA" w:rsidR="000D6266">
        <w:rPr>
          <w:lang w:val="en-GB"/>
        </w:rPr>
        <w:t xml:space="preserve">On 28 December 2001 the public prosecutor </w:t>
      </w:r>
      <w:r w:rsidRPr="00275FCA" w:rsidR="006860C5">
        <w:rPr>
          <w:lang w:val="en-GB"/>
        </w:rPr>
        <w:t>asked</w:t>
      </w:r>
      <w:r w:rsidRPr="00275FCA" w:rsidR="000D6266">
        <w:rPr>
          <w:lang w:val="en-GB"/>
        </w:rPr>
        <w:t xml:space="preserve"> the Anti-terrorism branch of the Istanbul Security Directorate to </w:t>
      </w:r>
      <w:r w:rsidRPr="00275FCA" w:rsidR="006860C5">
        <w:rPr>
          <w:lang w:val="en-GB"/>
        </w:rPr>
        <w:t>identify the names and addresses</w:t>
      </w:r>
      <w:r w:rsidRPr="00275FCA" w:rsidR="000D6266">
        <w:rPr>
          <w:lang w:val="en-GB"/>
        </w:rPr>
        <w:t xml:space="preserve"> of </w:t>
      </w:r>
      <w:r w:rsidRPr="00275FCA" w:rsidR="006860C5">
        <w:rPr>
          <w:lang w:val="en-GB"/>
        </w:rPr>
        <w:t>the persons</w:t>
      </w:r>
      <w:r w:rsidRPr="00275FCA" w:rsidR="000D6266">
        <w:rPr>
          <w:lang w:val="en-GB"/>
        </w:rPr>
        <w:t xml:space="preserve"> who had </w:t>
      </w:r>
      <w:r w:rsidRPr="00275FCA" w:rsidR="006860C5">
        <w:rPr>
          <w:lang w:val="en-GB"/>
        </w:rPr>
        <w:t xml:space="preserve">petitioned the </w:t>
      </w:r>
      <w:r w:rsidRPr="00275FCA" w:rsidR="00701FA9">
        <w:rPr>
          <w:lang w:val="en-GB"/>
        </w:rPr>
        <w:t>Bağcılar</w:t>
      </w:r>
      <w:r w:rsidRPr="00275FCA" w:rsidR="004D3A70">
        <w:rPr>
          <w:lang w:val="en-GB"/>
        </w:rPr>
        <w:t xml:space="preserve"> and Esenler </w:t>
      </w:r>
      <w:r w:rsidRPr="00275FCA" w:rsidR="006860C5">
        <w:rPr>
          <w:lang w:val="en-GB"/>
        </w:rPr>
        <w:t xml:space="preserve">Education Directorates with a request for education in Kurdish. </w:t>
      </w:r>
      <w:r w:rsidRPr="00275FCA" w:rsidR="00307F91">
        <w:rPr>
          <w:lang w:val="en-GB"/>
        </w:rPr>
        <w:t xml:space="preserve">It appears that on an unspecified date the same instruction was given in relation to </w:t>
      </w:r>
      <w:r w:rsidRPr="00275FCA" w:rsidR="004D3A70">
        <w:rPr>
          <w:lang w:val="en-GB"/>
        </w:rPr>
        <w:t xml:space="preserve">the </w:t>
      </w:r>
      <w:r w:rsidRPr="00275FCA" w:rsidR="00307F91">
        <w:rPr>
          <w:lang w:val="en-GB"/>
        </w:rPr>
        <w:t xml:space="preserve">petitions lodged with the </w:t>
      </w:r>
      <w:r w:rsidRPr="00275FCA" w:rsidR="00701FA9">
        <w:rPr>
          <w:lang w:val="en-GB"/>
        </w:rPr>
        <w:t>Kadıköy</w:t>
      </w:r>
      <w:r w:rsidRPr="00275FCA" w:rsidR="004D3A70">
        <w:rPr>
          <w:lang w:val="en-GB"/>
        </w:rPr>
        <w:t xml:space="preserve"> </w:t>
      </w:r>
      <w:r w:rsidRPr="00275FCA" w:rsidR="00307F91">
        <w:rPr>
          <w:lang w:val="en-GB"/>
        </w:rPr>
        <w:t>Education Directorate.</w:t>
      </w:r>
    </w:p>
    <w:p w:rsidRPr="00275FCA" w:rsidR="000D6266" w:rsidP="00275FCA" w:rsidRDefault="00BD04A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9</w:t>
      </w:r>
      <w:r w:rsidRPr="00275FCA">
        <w:rPr>
          <w:noProof/>
          <w:lang w:val="en-GB"/>
        </w:rPr>
        <w:fldChar w:fldCharType="end"/>
      </w:r>
      <w:r w:rsidRPr="00275FCA" w:rsidR="000D6266">
        <w:rPr>
          <w:lang w:val="en-GB"/>
        </w:rPr>
        <w:t>. </w:t>
      </w:r>
      <w:r w:rsidRPr="00275FCA" w:rsidR="00125526">
        <w:rPr>
          <w:lang w:val="en-GB"/>
        </w:rPr>
        <w:t> </w:t>
      </w:r>
      <w:r w:rsidRPr="00275FCA" w:rsidR="000D6266">
        <w:rPr>
          <w:lang w:val="en-GB"/>
        </w:rPr>
        <w:t>On 8 January 2002 the public prosecutor requested a warrant authori</w:t>
      </w:r>
      <w:r w:rsidRPr="00275FCA" w:rsidR="004D3A70">
        <w:rPr>
          <w:lang w:val="en-GB"/>
        </w:rPr>
        <w:t>s</w:t>
      </w:r>
      <w:r w:rsidRPr="00275FCA" w:rsidR="000D6266">
        <w:rPr>
          <w:lang w:val="en-GB"/>
        </w:rPr>
        <w:t xml:space="preserve">ing </w:t>
      </w:r>
      <w:r w:rsidRPr="00275FCA" w:rsidR="007000B0">
        <w:rPr>
          <w:lang w:val="en-GB"/>
        </w:rPr>
        <w:t xml:space="preserve">a search of the </w:t>
      </w:r>
      <w:r w:rsidRPr="00275FCA" w:rsidR="004D3A70">
        <w:rPr>
          <w:lang w:val="en-GB"/>
        </w:rPr>
        <w:t xml:space="preserve">homes </w:t>
      </w:r>
      <w:r w:rsidRPr="00275FCA" w:rsidR="007000B0">
        <w:rPr>
          <w:lang w:val="en-GB"/>
        </w:rPr>
        <w:t xml:space="preserve">of </w:t>
      </w:r>
      <w:r w:rsidRPr="00275FCA" w:rsidR="000D6266">
        <w:rPr>
          <w:lang w:val="en-GB"/>
        </w:rPr>
        <w:t xml:space="preserve">forty </w:t>
      </w:r>
      <w:r w:rsidRPr="00275FCA" w:rsidR="004D3A70">
        <w:rPr>
          <w:lang w:val="en-GB"/>
        </w:rPr>
        <w:t>people</w:t>
      </w:r>
      <w:r w:rsidRPr="00275FCA" w:rsidR="000D6266">
        <w:rPr>
          <w:lang w:val="en-GB"/>
        </w:rPr>
        <w:t>, including the applicants</w:t>
      </w:r>
      <w:r w:rsidRPr="00275FCA" w:rsidR="00B4619F">
        <w:rPr>
          <w:lang w:val="en-GB"/>
        </w:rPr>
        <w:t>, who had submitted petitions</w:t>
      </w:r>
      <w:r w:rsidRPr="00275FCA" w:rsidR="000D6266">
        <w:rPr>
          <w:lang w:val="en-GB"/>
        </w:rPr>
        <w:t xml:space="preserve">. The </w:t>
      </w:r>
      <w:r w:rsidRPr="00275FCA" w:rsidR="007000B0">
        <w:rPr>
          <w:lang w:val="en-GB"/>
        </w:rPr>
        <w:t xml:space="preserve">public </w:t>
      </w:r>
      <w:r w:rsidRPr="00275FCA" w:rsidR="000D6266">
        <w:rPr>
          <w:lang w:val="en-GB"/>
        </w:rPr>
        <w:t xml:space="preserve">prosecutor considered </w:t>
      </w:r>
      <w:r w:rsidRPr="00275FCA" w:rsidR="007000B0">
        <w:rPr>
          <w:lang w:val="en-GB"/>
        </w:rPr>
        <w:t xml:space="preserve">that </w:t>
      </w:r>
      <w:r w:rsidRPr="00275FCA" w:rsidR="00B4619F">
        <w:rPr>
          <w:lang w:val="en-GB"/>
        </w:rPr>
        <w:t xml:space="preserve">the petitions in question had been </w:t>
      </w:r>
      <w:r w:rsidRPr="00275FCA" w:rsidR="004D3A70">
        <w:rPr>
          <w:lang w:val="en-GB"/>
        </w:rPr>
        <w:t xml:space="preserve">made </w:t>
      </w:r>
      <w:r w:rsidRPr="00275FCA" w:rsidR="00B4619F">
        <w:rPr>
          <w:lang w:val="en-GB"/>
        </w:rPr>
        <w:t>on</w:t>
      </w:r>
      <w:r w:rsidRPr="00275FCA" w:rsidR="004D3A70">
        <w:rPr>
          <w:lang w:val="en-GB"/>
        </w:rPr>
        <w:t xml:space="preserve"> the</w:t>
      </w:r>
      <w:r w:rsidRPr="00275FCA" w:rsidR="00B4619F">
        <w:rPr>
          <w:lang w:val="en-GB"/>
        </w:rPr>
        <w:t xml:space="preserve"> instructions of the PKK</w:t>
      </w:r>
      <w:r w:rsidRPr="00275FCA" w:rsidR="000D6266">
        <w:rPr>
          <w:lang w:val="en-GB"/>
        </w:rPr>
        <w:t xml:space="preserve"> (Workers</w:t>
      </w:r>
      <w:r w:rsidRPr="00275FCA" w:rsidR="00275FCA">
        <w:rPr>
          <w:lang w:val="en-GB"/>
        </w:rPr>
        <w:t>’</w:t>
      </w:r>
      <w:r w:rsidRPr="00275FCA" w:rsidR="000D6266">
        <w:rPr>
          <w:lang w:val="en-GB"/>
        </w:rPr>
        <w:t xml:space="preserve"> Party of Kurdistan), an illegal armed organisation</w:t>
      </w:r>
      <w:r w:rsidRPr="00275FCA" w:rsidR="007000B0">
        <w:rPr>
          <w:lang w:val="en-GB"/>
        </w:rPr>
        <w:t xml:space="preserve">, and </w:t>
      </w:r>
      <w:r w:rsidRPr="00275FCA" w:rsidR="004D3A70">
        <w:rPr>
          <w:lang w:val="en-GB"/>
        </w:rPr>
        <w:t>wished to</w:t>
      </w:r>
      <w:r w:rsidRPr="00275FCA" w:rsidR="007000B0">
        <w:rPr>
          <w:lang w:val="en-GB"/>
        </w:rPr>
        <w:t xml:space="preserve"> collect relevant evidence from the petitioners</w:t>
      </w:r>
      <w:r w:rsidRPr="00275FCA" w:rsidR="00275FCA">
        <w:rPr>
          <w:lang w:val="en-GB"/>
        </w:rPr>
        <w:t>’</w:t>
      </w:r>
      <w:r w:rsidRPr="00275FCA" w:rsidR="007000B0">
        <w:rPr>
          <w:lang w:val="en-GB"/>
        </w:rPr>
        <w:t xml:space="preserve"> </w:t>
      </w:r>
      <w:r w:rsidRPr="00275FCA" w:rsidR="004D3A70">
        <w:rPr>
          <w:lang w:val="en-GB"/>
        </w:rPr>
        <w:t>homes</w:t>
      </w:r>
      <w:r w:rsidRPr="00275FCA" w:rsidR="000D6266">
        <w:rPr>
          <w:lang w:val="en-GB"/>
        </w:rPr>
        <w:t xml:space="preserve">. </w:t>
      </w:r>
      <w:r w:rsidRPr="00275FCA" w:rsidR="004D3A70">
        <w:rPr>
          <w:lang w:val="en-GB"/>
        </w:rPr>
        <w:t>T</w:t>
      </w:r>
      <w:r w:rsidRPr="00275FCA" w:rsidR="000D6266">
        <w:rPr>
          <w:lang w:val="en-GB"/>
        </w:rPr>
        <w:t xml:space="preserve">he </w:t>
      </w:r>
      <w:r w:rsidRPr="00275FCA" w:rsidR="0085017F">
        <w:rPr>
          <w:lang w:val="en-GB"/>
        </w:rPr>
        <w:t>Istanbul State Security Court</w:t>
      </w:r>
      <w:r w:rsidRPr="00275FCA" w:rsidR="000D6266">
        <w:rPr>
          <w:lang w:val="en-GB"/>
        </w:rPr>
        <w:t xml:space="preserve"> </w:t>
      </w:r>
      <w:r w:rsidRPr="00275FCA" w:rsidR="007000B0">
        <w:rPr>
          <w:lang w:val="en-GB"/>
        </w:rPr>
        <w:t>granted the public prosecutor</w:t>
      </w:r>
      <w:r w:rsidRPr="00275FCA" w:rsidR="00275FCA">
        <w:rPr>
          <w:lang w:val="en-GB"/>
        </w:rPr>
        <w:t>’</w:t>
      </w:r>
      <w:r w:rsidRPr="00275FCA" w:rsidR="007000B0">
        <w:rPr>
          <w:lang w:val="en-GB"/>
        </w:rPr>
        <w:t xml:space="preserve">s request </w:t>
      </w:r>
      <w:r w:rsidRPr="00275FCA" w:rsidR="004D3A70">
        <w:rPr>
          <w:lang w:val="en-GB"/>
        </w:rPr>
        <w:t>that day</w:t>
      </w:r>
      <w:r w:rsidRPr="00275FCA" w:rsidR="000D6266">
        <w:rPr>
          <w:lang w:val="en-GB"/>
        </w:rPr>
        <w:t>.</w:t>
      </w:r>
    </w:p>
    <w:p w:rsidRPr="00275FCA" w:rsidR="00471DB1" w:rsidP="00275FCA" w:rsidRDefault="00471DB1">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10</w:t>
      </w:r>
      <w:r w:rsidRPr="00275FCA">
        <w:rPr>
          <w:lang w:val="en-GB"/>
        </w:rPr>
        <w:fldChar w:fldCharType="end"/>
      </w:r>
      <w:r w:rsidRPr="00275FCA">
        <w:rPr>
          <w:lang w:val="en-GB"/>
        </w:rPr>
        <w:t>.  On 9 January 2002 the public prosecutor instructed the Anti</w:t>
      </w:r>
      <w:r w:rsidRPr="00275FCA" w:rsidR="00D54781">
        <w:rPr>
          <w:lang w:val="en-GB"/>
        </w:rPr>
        <w:noBreakHyphen/>
      </w:r>
      <w:r w:rsidRPr="00275FCA">
        <w:rPr>
          <w:lang w:val="en-GB"/>
        </w:rPr>
        <w:t xml:space="preserve">terrorism branch of the Istanbul Security Directorate to conduct the searches with a view to finding evidence that </w:t>
      </w:r>
      <w:r w:rsidRPr="00275FCA" w:rsidR="004D3A70">
        <w:rPr>
          <w:lang w:val="en-GB"/>
        </w:rPr>
        <w:t xml:space="preserve">could link </w:t>
      </w:r>
      <w:r w:rsidRPr="00275FCA">
        <w:rPr>
          <w:lang w:val="en-GB"/>
        </w:rPr>
        <w:t xml:space="preserve">the relevant persons to the PKK as aiders and abettors. It </w:t>
      </w:r>
      <w:r w:rsidRPr="00275FCA" w:rsidR="001855F9">
        <w:rPr>
          <w:lang w:val="en-GB"/>
        </w:rPr>
        <w:t xml:space="preserve">also </w:t>
      </w:r>
      <w:r w:rsidRPr="00275FCA">
        <w:rPr>
          <w:lang w:val="en-GB"/>
        </w:rPr>
        <w:t xml:space="preserve">instructed the Anti-terrorism branch to take the petitioners into police custody and </w:t>
      </w:r>
      <w:r w:rsidRPr="00275FCA" w:rsidR="004D3A70">
        <w:rPr>
          <w:lang w:val="en-GB"/>
        </w:rPr>
        <w:t>question</w:t>
      </w:r>
      <w:r w:rsidRPr="00275FCA">
        <w:rPr>
          <w:lang w:val="en-GB"/>
        </w:rPr>
        <w:t xml:space="preserve"> them in relation to the content and purpose of their petitions. </w:t>
      </w:r>
      <w:r w:rsidRPr="00275FCA" w:rsidR="00AA0CBE">
        <w:rPr>
          <w:lang w:val="en-GB"/>
        </w:rPr>
        <w:t xml:space="preserve">The public prosecutor provided a list of questions to ask the petitioners, which mainly aimed to establish whether they had </w:t>
      </w:r>
      <w:r w:rsidRPr="00275FCA" w:rsidR="007333CE">
        <w:rPr>
          <w:lang w:val="en-GB"/>
        </w:rPr>
        <w:t xml:space="preserve">acted </w:t>
      </w:r>
      <w:r w:rsidRPr="00275FCA" w:rsidR="004D3A70">
        <w:rPr>
          <w:lang w:val="en-GB"/>
        </w:rPr>
        <w:t xml:space="preserve">on </w:t>
      </w:r>
      <w:r w:rsidRPr="00275FCA" w:rsidR="007333CE">
        <w:rPr>
          <w:lang w:val="en-GB"/>
        </w:rPr>
        <w:t>the orders of the PKK.</w:t>
      </w:r>
    </w:p>
    <w:p w:rsidRPr="00275FCA" w:rsidR="000D6266" w:rsidP="00275FCA" w:rsidRDefault="00BD04A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w:t>
      </w:r>
      <w:r w:rsidRPr="00275FCA">
        <w:rPr>
          <w:noProof/>
          <w:lang w:val="en-GB"/>
        </w:rPr>
        <w:fldChar w:fldCharType="end"/>
      </w:r>
      <w:r w:rsidRPr="00275FCA" w:rsidR="000D6266">
        <w:rPr>
          <w:lang w:val="en-GB"/>
        </w:rPr>
        <w:t>.  </w:t>
      </w:r>
      <w:r w:rsidRPr="00275FCA" w:rsidR="004D3A70">
        <w:rPr>
          <w:lang w:val="en-GB"/>
        </w:rPr>
        <w:t>E</w:t>
      </w:r>
      <w:r w:rsidRPr="00275FCA" w:rsidR="00967E92">
        <w:rPr>
          <w:lang w:val="en-GB"/>
        </w:rPr>
        <w:t xml:space="preserve">arly </w:t>
      </w:r>
      <w:r w:rsidRPr="00275FCA" w:rsidR="004D3A70">
        <w:rPr>
          <w:lang w:val="en-GB"/>
        </w:rPr>
        <w:t xml:space="preserve">on the </w:t>
      </w:r>
      <w:r w:rsidRPr="00275FCA" w:rsidR="00967E92">
        <w:rPr>
          <w:lang w:val="en-GB"/>
        </w:rPr>
        <w:t xml:space="preserve">morning </w:t>
      </w:r>
      <w:r w:rsidRPr="00275FCA" w:rsidR="004D3A70">
        <w:rPr>
          <w:lang w:val="en-GB"/>
        </w:rPr>
        <w:t>of</w:t>
      </w:r>
      <w:r w:rsidRPr="00275FCA" w:rsidR="000D6266">
        <w:rPr>
          <w:lang w:val="en-GB"/>
        </w:rPr>
        <w:t xml:space="preserve"> 13 January 2002 police officers </w:t>
      </w:r>
      <w:r w:rsidRPr="00275FCA" w:rsidR="002B3FA5">
        <w:rPr>
          <w:lang w:val="en-GB"/>
        </w:rPr>
        <w:t xml:space="preserve">from the Anti-terrorism branch of the Istanbul Security Directorate </w:t>
      </w:r>
      <w:r w:rsidRPr="00275FCA" w:rsidR="000D6266">
        <w:rPr>
          <w:lang w:val="en-GB"/>
        </w:rPr>
        <w:t xml:space="preserve">carried out a simultaneous search </w:t>
      </w:r>
      <w:r w:rsidRPr="00275FCA" w:rsidR="004D3A70">
        <w:rPr>
          <w:lang w:val="en-GB"/>
        </w:rPr>
        <w:t xml:space="preserve">of </w:t>
      </w:r>
      <w:r w:rsidRPr="00275FCA" w:rsidR="000D6266">
        <w:rPr>
          <w:lang w:val="en-GB"/>
        </w:rPr>
        <w:t xml:space="preserve">all the </w:t>
      </w:r>
      <w:r w:rsidRPr="00275FCA" w:rsidR="00D11479">
        <w:rPr>
          <w:lang w:val="en-GB"/>
        </w:rPr>
        <w:t>properties</w:t>
      </w:r>
      <w:r w:rsidRPr="00275FCA" w:rsidR="000D6266">
        <w:rPr>
          <w:lang w:val="en-GB"/>
        </w:rPr>
        <w:t>, including the applicants</w:t>
      </w:r>
      <w:r w:rsidRPr="00275FCA" w:rsidR="00275FCA">
        <w:rPr>
          <w:lang w:val="en-GB"/>
        </w:rPr>
        <w:t>’</w:t>
      </w:r>
      <w:r w:rsidRPr="00275FCA" w:rsidR="000D6266">
        <w:rPr>
          <w:lang w:val="en-GB"/>
        </w:rPr>
        <w:t xml:space="preserve"> houses. </w:t>
      </w:r>
      <w:r w:rsidRPr="00275FCA" w:rsidR="00131428">
        <w:rPr>
          <w:lang w:val="en-GB"/>
        </w:rPr>
        <w:t>The</w:t>
      </w:r>
      <w:r w:rsidRPr="00275FCA" w:rsidR="000D6266">
        <w:rPr>
          <w:lang w:val="en-GB"/>
        </w:rPr>
        <w:t xml:space="preserve"> search and seizure report</w:t>
      </w:r>
      <w:r w:rsidRPr="00275FCA" w:rsidR="00777277">
        <w:rPr>
          <w:lang w:val="en-GB"/>
        </w:rPr>
        <w:t>s</w:t>
      </w:r>
      <w:r w:rsidRPr="00275FCA" w:rsidR="000D6266">
        <w:rPr>
          <w:lang w:val="en-GB"/>
        </w:rPr>
        <w:t xml:space="preserve"> drafted by </w:t>
      </w:r>
      <w:r w:rsidRPr="00275FCA" w:rsidR="004D3A70">
        <w:rPr>
          <w:lang w:val="en-GB"/>
        </w:rPr>
        <w:t xml:space="preserve">the </w:t>
      </w:r>
      <w:r w:rsidRPr="00275FCA" w:rsidR="000D6266">
        <w:rPr>
          <w:lang w:val="en-GB"/>
        </w:rPr>
        <w:t>police and signed by the applicants and other memb</w:t>
      </w:r>
      <w:r w:rsidRPr="00275FCA" w:rsidR="00131428">
        <w:rPr>
          <w:lang w:val="en-GB"/>
        </w:rPr>
        <w:t xml:space="preserve">ers </w:t>
      </w:r>
      <w:r w:rsidRPr="00275FCA" w:rsidR="00A97618">
        <w:rPr>
          <w:lang w:val="en-GB"/>
        </w:rPr>
        <w:t xml:space="preserve">of the household </w:t>
      </w:r>
      <w:r w:rsidRPr="00275FCA" w:rsidR="00131428">
        <w:rPr>
          <w:lang w:val="en-GB"/>
        </w:rPr>
        <w:t>indicated</w:t>
      </w:r>
      <w:r w:rsidRPr="00275FCA" w:rsidR="00340A00">
        <w:rPr>
          <w:lang w:val="en-GB"/>
        </w:rPr>
        <w:t xml:space="preserve"> </w:t>
      </w:r>
      <w:r w:rsidRPr="00275FCA" w:rsidR="000D6266">
        <w:rPr>
          <w:lang w:val="en-GB"/>
        </w:rPr>
        <w:t xml:space="preserve">that a search warrant had been issued by the </w:t>
      </w:r>
      <w:r w:rsidRPr="00275FCA" w:rsidR="00131428">
        <w:rPr>
          <w:lang w:val="en-GB"/>
        </w:rPr>
        <w:t>Istanbul State Security Court</w:t>
      </w:r>
      <w:r w:rsidRPr="00275FCA" w:rsidR="000D6266">
        <w:rPr>
          <w:lang w:val="en-GB"/>
        </w:rPr>
        <w:t xml:space="preserve"> on account of their petitions requesting education</w:t>
      </w:r>
      <w:r w:rsidRPr="00275FCA" w:rsidR="00223AB9">
        <w:rPr>
          <w:lang w:val="en-GB"/>
        </w:rPr>
        <w:t xml:space="preserve"> in</w:t>
      </w:r>
      <w:r w:rsidRPr="00275FCA" w:rsidR="000D6266">
        <w:rPr>
          <w:lang w:val="en-GB"/>
        </w:rPr>
        <w:t xml:space="preserve"> </w:t>
      </w:r>
      <w:r w:rsidRPr="00275FCA" w:rsidR="00223AB9">
        <w:rPr>
          <w:lang w:val="en-GB"/>
        </w:rPr>
        <w:t xml:space="preserve">Kurdish </w:t>
      </w:r>
      <w:r w:rsidRPr="00275FCA" w:rsidR="000D6266">
        <w:rPr>
          <w:lang w:val="en-GB"/>
        </w:rPr>
        <w:t>for their children</w:t>
      </w:r>
      <w:r w:rsidRPr="00275FCA" w:rsidR="00340A00">
        <w:rPr>
          <w:lang w:val="en-GB"/>
        </w:rPr>
        <w:t>. The report</w:t>
      </w:r>
      <w:r w:rsidRPr="00275FCA" w:rsidR="000E7A71">
        <w:rPr>
          <w:lang w:val="en-GB"/>
        </w:rPr>
        <w:t>s</w:t>
      </w:r>
      <w:r w:rsidRPr="00275FCA" w:rsidR="00340A00">
        <w:rPr>
          <w:lang w:val="en-GB"/>
        </w:rPr>
        <w:t xml:space="preserve"> </w:t>
      </w:r>
      <w:r w:rsidRPr="00275FCA" w:rsidR="00A97618">
        <w:rPr>
          <w:lang w:val="en-GB"/>
        </w:rPr>
        <w:t xml:space="preserve">also </w:t>
      </w:r>
      <w:r w:rsidRPr="00275FCA" w:rsidR="00340A00">
        <w:rPr>
          <w:lang w:val="en-GB"/>
        </w:rPr>
        <w:t>stated that the public prosecutor had ordered the petitioners</w:t>
      </w:r>
      <w:r w:rsidRPr="00275FCA" w:rsidR="00275FCA">
        <w:rPr>
          <w:lang w:val="en-GB"/>
        </w:rPr>
        <w:t>’</w:t>
      </w:r>
      <w:r w:rsidRPr="00275FCA" w:rsidR="00A97618">
        <w:rPr>
          <w:lang w:val="en-GB"/>
        </w:rPr>
        <w:t xml:space="preserve"> arrest</w:t>
      </w:r>
      <w:r w:rsidRPr="00275FCA" w:rsidR="00340A00">
        <w:rPr>
          <w:lang w:val="en-GB"/>
        </w:rPr>
        <w:t xml:space="preserve"> for questioning</w:t>
      </w:r>
      <w:r w:rsidRPr="00275FCA" w:rsidR="000D6266">
        <w:rPr>
          <w:lang w:val="en-GB"/>
        </w:rPr>
        <w:t xml:space="preserve">. </w:t>
      </w:r>
      <w:r w:rsidRPr="00275FCA" w:rsidR="00065360">
        <w:rPr>
          <w:lang w:val="en-GB"/>
        </w:rPr>
        <w:t xml:space="preserve">According to these search and seizure reports, no illegal material </w:t>
      </w:r>
      <w:r w:rsidRPr="00275FCA" w:rsidR="00872E66">
        <w:rPr>
          <w:lang w:val="en-GB"/>
        </w:rPr>
        <w:t>was found in the applicants</w:t>
      </w:r>
      <w:r w:rsidRPr="00275FCA" w:rsidR="00275FCA">
        <w:rPr>
          <w:lang w:val="en-GB"/>
        </w:rPr>
        <w:t>’</w:t>
      </w:r>
      <w:r w:rsidRPr="00275FCA" w:rsidR="00872E66">
        <w:rPr>
          <w:lang w:val="en-GB"/>
        </w:rPr>
        <w:t xml:space="preserve"> homes</w:t>
      </w:r>
      <w:r w:rsidRPr="00275FCA" w:rsidR="000E7A71">
        <w:rPr>
          <w:lang w:val="en-GB"/>
        </w:rPr>
        <w:t>.</w:t>
      </w:r>
    </w:p>
    <w:p w:rsidRPr="00275FCA" w:rsidR="007A3790" w:rsidP="00275FCA" w:rsidRDefault="00BD04A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w:t>
      </w:r>
      <w:r w:rsidRPr="00275FCA">
        <w:rPr>
          <w:noProof/>
          <w:lang w:val="en-GB"/>
        </w:rPr>
        <w:fldChar w:fldCharType="end"/>
      </w:r>
      <w:r w:rsidRPr="00275FCA" w:rsidR="00E42314">
        <w:rPr>
          <w:lang w:val="en-GB"/>
        </w:rPr>
        <w:t>. </w:t>
      </w:r>
      <w:r w:rsidRPr="00275FCA" w:rsidR="003B42EB">
        <w:rPr>
          <w:lang w:val="en-GB"/>
        </w:rPr>
        <w:t xml:space="preserve">The applicants were arrested and taken into police custody following the searches on 13 January 2002. </w:t>
      </w:r>
      <w:r w:rsidRPr="00275FCA" w:rsidR="00872E66">
        <w:rPr>
          <w:lang w:val="en-GB"/>
        </w:rPr>
        <w:t>The</w:t>
      </w:r>
      <w:r w:rsidRPr="00275FCA" w:rsidR="003374D8">
        <w:rPr>
          <w:lang w:val="en-GB"/>
        </w:rPr>
        <w:t xml:space="preserve"> search and seizure </w:t>
      </w:r>
      <w:r w:rsidRPr="00275FCA" w:rsidR="00035639">
        <w:rPr>
          <w:lang w:val="en-GB"/>
        </w:rPr>
        <w:t xml:space="preserve">reports </w:t>
      </w:r>
      <w:r w:rsidRPr="00275FCA" w:rsidR="003374D8">
        <w:rPr>
          <w:lang w:val="en-GB"/>
        </w:rPr>
        <w:t xml:space="preserve">and </w:t>
      </w:r>
      <w:r w:rsidRPr="00275FCA" w:rsidR="00A97618">
        <w:rPr>
          <w:lang w:val="en-GB"/>
        </w:rPr>
        <w:t xml:space="preserve">custody </w:t>
      </w:r>
      <w:r w:rsidRPr="00275FCA" w:rsidR="003374D8">
        <w:rPr>
          <w:lang w:val="en-GB"/>
        </w:rPr>
        <w:t>records submitted by the Government</w:t>
      </w:r>
      <w:r w:rsidRPr="00275FCA" w:rsidR="00872E66">
        <w:rPr>
          <w:lang w:val="en-GB"/>
        </w:rPr>
        <w:t xml:space="preserve"> indicate that</w:t>
      </w:r>
      <w:r w:rsidRPr="00275FCA" w:rsidR="003374D8">
        <w:rPr>
          <w:lang w:val="en-GB"/>
        </w:rPr>
        <w:t xml:space="preserve"> t</w:t>
      </w:r>
      <w:r w:rsidRPr="00275FCA" w:rsidR="007A3790">
        <w:rPr>
          <w:lang w:val="en-GB"/>
        </w:rPr>
        <w:t>he applicants</w:t>
      </w:r>
      <w:r w:rsidRPr="00275FCA" w:rsidR="00A97618">
        <w:rPr>
          <w:lang w:val="en-GB"/>
        </w:rPr>
        <w:t xml:space="preserve"> were</w:t>
      </w:r>
      <w:r w:rsidRPr="00275FCA" w:rsidR="007A3790">
        <w:rPr>
          <w:lang w:val="en-GB"/>
        </w:rPr>
        <w:t xml:space="preserve"> arrest</w:t>
      </w:r>
      <w:r w:rsidRPr="00275FCA" w:rsidR="00A97618">
        <w:rPr>
          <w:lang w:val="en-GB"/>
        </w:rPr>
        <w:t>ed</w:t>
      </w:r>
      <w:r w:rsidRPr="00275FCA" w:rsidR="007A3790">
        <w:rPr>
          <w:lang w:val="en-GB"/>
        </w:rPr>
        <w:t xml:space="preserve"> and </w:t>
      </w:r>
      <w:r w:rsidRPr="00275FCA" w:rsidR="00A97618">
        <w:rPr>
          <w:lang w:val="en-GB"/>
        </w:rPr>
        <w:t xml:space="preserve">taken </w:t>
      </w:r>
      <w:r w:rsidRPr="00275FCA" w:rsidR="007A3790">
        <w:rPr>
          <w:lang w:val="en-GB"/>
        </w:rPr>
        <w:t>in</w:t>
      </w:r>
      <w:r w:rsidRPr="00275FCA" w:rsidR="00A97618">
        <w:rPr>
          <w:lang w:val="en-GB"/>
        </w:rPr>
        <w:t>to</w:t>
      </w:r>
      <w:r w:rsidRPr="00275FCA" w:rsidR="007A3790">
        <w:rPr>
          <w:lang w:val="en-GB"/>
        </w:rPr>
        <w:t xml:space="preserve"> police custody </w:t>
      </w:r>
      <w:r w:rsidRPr="00275FCA" w:rsidR="00A97618">
        <w:rPr>
          <w:lang w:val="en-GB"/>
        </w:rPr>
        <w:t>at the following times</w:t>
      </w:r>
      <w:r w:rsidRPr="00275FCA" w:rsidR="007A3790">
        <w:rPr>
          <w:lang w:val="en-GB"/>
        </w:rPr>
        <w:t>:</w:t>
      </w:r>
    </w:p>
    <w:p w:rsidRPr="00275FCA" w:rsidR="007A3790" w:rsidP="00275FCA" w:rsidRDefault="007A3790">
      <w:pPr>
        <w:pStyle w:val="ECHRPara"/>
        <w:rPr>
          <w:lang w:val="en-GB"/>
        </w:rPr>
      </w:pPr>
    </w:p>
    <w:tbl>
      <w:tblPr>
        <w:tblStyle w:val="TableGrid"/>
        <w:tblW w:w="0" w:type="auto"/>
        <w:tblLook w:val="04A0" w:firstRow="1" w:lastRow="0" w:firstColumn="1" w:lastColumn="0" w:noHBand="0" w:noVBand="1"/>
      </w:tblPr>
      <w:tblGrid>
        <w:gridCol w:w="2093"/>
        <w:gridCol w:w="1701"/>
        <w:gridCol w:w="3780"/>
      </w:tblGrid>
      <w:tr w:rsidRPr="00275FCA" w:rsidR="007A3790" w:rsidTr="007E7CE1">
        <w:tc>
          <w:tcPr>
            <w:tcW w:w="2093" w:type="dxa"/>
          </w:tcPr>
          <w:p w:rsidRPr="00275FCA" w:rsidR="007A3790" w:rsidP="00275FCA" w:rsidRDefault="007A3790">
            <w:pPr>
              <w:pStyle w:val="ECHRPara"/>
              <w:ind w:firstLine="0"/>
              <w:rPr>
                <w:b/>
                <w:sz w:val="22"/>
                <w:lang w:val="en-GB"/>
              </w:rPr>
            </w:pPr>
            <w:r w:rsidRPr="00275FCA">
              <w:rPr>
                <w:b/>
                <w:sz w:val="22"/>
                <w:lang w:val="en-GB"/>
              </w:rPr>
              <w:t>Name</w:t>
            </w:r>
          </w:p>
        </w:tc>
        <w:tc>
          <w:tcPr>
            <w:tcW w:w="1701" w:type="dxa"/>
          </w:tcPr>
          <w:p w:rsidRPr="00275FCA" w:rsidR="007A3790" w:rsidP="00275FCA" w:rsidRDefault="007A3790">
            <w:pPr>
              <w:pStyle w:val="ECHRPara"/>
              <w:ind w:firstLine="0"/>
              <w:rPr>
                <w:b/>
                <w:sz w:val="22"/>
                <w:lang w:val="en-GB"/>
              </w:rPr>
            </w:pPr>
            <w:r w:rsidRPr="00275FCA">
              <w:rPr>
                <w:b/>
                <w:sz w:val="22"/>
                <w:lang w:val="en-GB"/>
              </w:rPr>
              <w:t>Time of arrest</w:t>
            </w:r>
          </w:p>
        </w:tc>
        <w:tc>
          <w:tcPr>
            <w:tcW w:w="3780" w:type="dxa"/>
          </w:tcPr>
          <w:p w:rsidRPr="00275FCA" w:rsidR="007A3790" w:rsidP="00275FCA" w:rsidRDefault="007A3790">
            <w:pPr>
              <w:pStyle w:val="ECHRPara"/>
              <w:ind w:firstLine="0"/>
              <w:rPr>
                <w:b/>
                <w:sz w:val="22"/>
                <w:lang w:val="en-GB"/>
              </w:rPr>
            </w:pPr>
            <w:r w:rsidRPr="00275FCA">
              <w:rPr>
                <w:b/>
                <w:sz w:val="22"/>
                <w:lang w:val="en-GB"/>
              </w:rPr>
              <w:t xml:space="preserve">Time of </w:t>
            </w:r>
            <w:r w:rsidRPr="00275FCA" w:rsidR="004D4C94">
              <w:rPr>
                <w:b/>
                <w:sz w:val="22"/>
                <w:lang w:val="en-GB"/>
              </w:rPr>
              <w:t>placement in detention centre</w:t>
            </w:r>
          </w:p>
        </w:tc>
      </w:tr>
      <w:tr w:rsidRPr="00275FCA" w:rsidR="007A3790" w:rsidTr="007E7CE1">
        <w:tc>
          <w:tcPr>
            <w:tcW w:w="2093" w:type="dxa"/>
          </w:tcPr>
          <w:p w:rsidRPr="00275FCA" w:rsidR="007A3790" w:rsidP="00275FCA" w:rsidRDefault="007A3790">
            <w:pPr>
              <w:pStyle w:val="ECHRPara"/>
              <w:ind w:firstLine="0"/>
              <w:rPr>
                <w:sz w:val="22"/>
                <w:lang w:val="en-GB"/>
              </w:rPr>
            </w:pPr>
            <w:r w:rsidRPr="00275FCA">
              <w:rPr>
                <w:sz w:val="22"/>
                <w:lang w:val="en-GB"/>
              </w:rPr>
              <w:t xml:space="preserve">Esma </w:t>
            </w:r>
            <w:r w:rsidRPr="00275FCA" w:rsidR="00864710">
              <w:rPr>
                <w:sz w:val="22"/>
                <w:lang w:val="en-GB"/>
              </w:rPr>
              <w:t>Döner</w:t>
            </w:r>
          </w:p>
        </w:tc>
        <w:tc>
          <w:tcPr>
            <w:tcW w:w="1701" w:type="dxa"/>
          </w:tcPr>
          <w:p w:rsidRPr="00275FCA" w:rsidR="007A3790" w:rsidP="00275FCA" w:rsidRDefault="00553354">
            <w:pPr>
              <w:pStyle w:val="ECHRPara"/>
              <w:ind w:firstLine="0"/>
              <w:rPr>
                <w:sz w:val="22"/>
                <w:lang w:val="en-GB"/>
              </w:rPr>
            </w:pPr>
            <w:r w:rsidRPr="00275FCA">
              <w:rPr>
                <w:sz w:val="22"/>
                <w:lang w:val="en-GB"/>
              </w:rPr>
              <w:t>10.30 a.m.</w:t>
            </w:r>
          </w:p>
        </w:tc>
        <w:tc>
          <w:tcPr>
            <w:tcW w:w="3780" w:type="dxa"/>
          </w:tcPr>
          <w:p w:rsidRPr="00275FCA" w:rsidR="007A3790" w:rsidP="00275FCA" w:rsidRDefault="00553354">
            <w:pPr>
              <w:pStyle w:val="ECHRPara"/>
              <w:ind w:firstLine="0"/>
              <w:rPr>
                <w:sz w:val="22"/>
                <w:lang w:val="en-GB"/>
              </w:rPr>
            </w:pPr>
            <w:r w:rsidRPr="00275FCA">
              <w:rPr>
                <w:sz w:val="22"/>
                <w:lang w:val="en-GB"/>
              </w:rPr>
              <w:t>4 p.m.</w:t>
            </w:r>
          </w:p>
        </w:tc>
      </w:tr>
      <w:tr w:rsidRPr="00275FCA" w:rsidR="007A3790" w:rsidTr="007E7CE1">
        <w:tc>
          <w:tcPr>
            <w:tcW w:w="2093" w:type="dxa"/>
          </w:tcPr>
          <w:p w:rsidRPr="00275FCA" w:rsidR="007A3790" w:rsidP="00275FCA" w:rsidRDefault="00864710">
            <w:pPr>
              <w:pStyle w:val="ECHRPara"/>
              <w:ind w:firstLine="0"/>
              <w:rPr>
                <w:sz w:val="22"/>
                <w:lang w:val="en-GB"/>
              </w:rPr>
            </w:pPr>
            <w:r w:rsidRPr="00275FCA">
              <w:rPr>
                <w:sz w:val="22"/>
                <w:lang w:val="en-GB"/>
              </w:rPr>
              <w:t>Gülperi</w:t>
            </w:r>
            <w:r w:rsidRPr="00275FCA" w:rsidR="007A3790">
              <w:rPr>
                <w:sz w:val="22"/>
                <w:lang w:val="en-GB"/>
              </w:rPr>
              <w:t xml:space="preserve"> </w:t>
            </w:r>
            <w:r w:rsidRPr="00275FCA">
              <w:rPr>
                <w:sz w:val="22"/>
                <w:lang w:val="en-GB"/>
              </w:rPr>
              <w:t>Döner</w:t>
            </w:r>
          </w:p>
        </w:tc>
        <w:tc>
          <w:tcPr>
            <w:tcW w:w="1701" w:type="dxa"/>
          </w:tcPr>
          <w:p w:rsidRPr="00275FCA" w:rsidR="007A3790" w:rsidP="00275FCA" w:rsidRDefault="005D4979">
            <w:pPr>
              <w:pStyle w:val="ECHRPara"/>
              <w:ind w:firstLine="0"/>
              <w:rPr>
                <w:sz w:val="22"/>
                <w:lang w:val="en-GB"/>
              </w:rPr>
            </w:pPr>
            <w:r w:rsidRPr="00275FCA">
              <w:rPr>
                <w:sz w:val="22"/>
                <w:lang w:val="en-GB"/>
              </w:rPr>
              <w:t>unknown</w:t>
            </w:r>
          </w:p>
        </w:tc>
        <w:tc>
          <w:tcPr>
            <w:tcW w:w="3780" w:type="dxa"/>
          </w:tcPr>
          <w:p w:rsidRPr="00275FCA" w:rsidR="007A3790" w:rsidP="00275FCA" w:rsidRDefault="005D4979">
            <w:pPr>
              <w:pStyle w:val="ECHRPara"/>
              <w:ind w:firstLine="0"/>
              <w:rPr>
                <w:sz w:val="22"/>
                <w:lang w:val="en-GB"/>
              </w:rPr>
            </w:pPr>
            <w:r w:rsidRPr="00275FCA">
              <w:rPr>
                <w:sz w:val="22"/>
                <w:lang w:val="en-GB"/>
              </w:rPr>
              <w:t>1.30 p.m.</w:t>
            </w:r>
          </w:p>
        </w:tc>
      </w:tr>
      <w:tr w:rsidRPr="00275FCA" w:rsidR="007A3790" w:rsidTr="007E7CE1">
        <w:tc>
          <w:tcPr>
            <w:tcW w:w="2093" w:type="dxa"/>
          </w:tcPr>
          <w:p w:rsidRPr="00275FCA" w:rsidR="007A3790" w:rsidP="00275FCA" w:rsidRDefault="005F72A3">
            <w:pPr>
              <w:pStyle w:val="ECHRPara"/>
              <w:ind w:firstLine="0"/>
              <w:rPr>
                <w:sz w:val="22"/>
                <w:lang w:val="en-GB"/>
              </w:rPr>
            </w:pPr>
            <w:r w:rsidRPr="00275FCA">
              <w:rPr>
                <w:sz w:val="22"/>
                <w:lang w:val="en-GB"/>
              </w:rPr>
              <w:t>Ayşe</w:t>
            </w:r>
            <w:r w:rsidRPr="00275FCA" w:rsidR="007A3790">
              <w:rPr>
                <w:sz w:val="22"/>
                <w:lang w:val="en-GB"/>
              </w:rPr>
              <w:t xml:space="preserve"> </w:t>
            </w:r>
            <w:r w:rsidRPr="00275FCA" w:rsidR="00864710">
              <w:rPr>
                <w:sz w:val="22"/>
                <w:lang w:val="en-GB"/>
              </w:rPr>
              <w:t>Döner</w:t>
            </w:r>
          </w:p>
        </w:tc>
        <w:tc>
          <w:tcPr>
            <w:tcW w:w="1701" w:type="dxa"/>
          </w:tcPr>
          <w:p w:rsidRPr="00275FCA" w:rsidR="007A3790" w:rsidP="00275FCA" w:rsidRDefault="005D4979">
            <w:pPr>
              <w:pStyle w:val="ECHRPara"/>
              <w:ind w:firstLine="0"/>
              <w:rPr>
                <w:sz w:val="22"/>
                <w:lang w:val="en-GB"/>
              </w:rPr>
            </w:pPr>
            <w:r w:rsidRPr="00275FCA">
              <w:rPr>
                <w:sz w:val="22"/>
                <w:lang w:val="en-GB"/>
              </w:rPr>
              <w:t>unknown</w:t>
            </w:r>
          </w:p>
        </w:tc>
        <w:tc>
          <w:tcPr>
            <w:tcW w:w="3780" w:type="dxa"/>
          </w:tcPr>
          <w:p w:rsidRPr="00275FCA" w:rsidR="007A3790" w:rsidP="00275FCA" w:rsidRDefault="005D4979">
            <w:pPr>
              <w:pStyle w:val="ECHRPara"/>
              <w:ind w:firstLine="0"/>
              <w:rPr>
                <w:sz w:val="22"/>
                <w:lang w:val="en-GB"/>
              </w:rPr>
            </w:pPr>
            <w:r w:rsidRPr="00275FCA">
              <w:rPr>
                <w:sz w:val="22"/>
                <w:lang w:val="en-GB"/>
              </w:rPr>
              <w:t>1.30 p.m.</w:t>
            </w:r>
          </w:p>
        </w:tc>
      </w:tr>
      <w:tr w:rsidRPr="00275FCA" w:rsidR="007A3790" w:rsidTr="007E7CE1">
        <w:tc>
          <w:tcPr>
            <w:tcW w:w="2093" w:type="dxa"/>
          </w:tcPr>
          <w:p w:rsidRPr="00275FCA" w:rsidR="007A3790" w:rsidP="00275FCA" w:rsidRDefault="00E327A8">
            <w:pPr>
              <w:pStyle w:val="ECHRPara"/>
              <w:ind w:firstLine="0"/>
              <w:rPr>
                <w:sz w:val="22"/>
                <w:lang w:val="en-GB"/>
              </w:rPr>
            </w:pPr>
            <w:r w:rsidRPr="00275FCA">
              <w:rPr>
                <w:sz w:val="22"/>
                <w:lang w:val="en-GB"/>
              </w:rPr>
              <w:t>Han</w:t>
            </w:r>
            <w:r w:rsidRPr="00275FCA" w:rsidR="003E74D4">
              <w:rPr>
                <w:sz w:val="22"/>
                <w:lang w:val="en-GB"/>
              </w:rPr>
              <w:t>ı</w:t>
            </w:r>
            <w:r w:rsidRPr="00275FCA">
              <w:rPr>
                <w:sz w:val="22"/>
                <w:lang w:val="en-GB"/>
              </w:rPr>
              <w:t xml:space="preserve">m </w:t>
            </w:r>
            <w:r w:rsidRPr="00275FCA" w:rsidR="005F72A3">
              <w:rPr>
                <w:sz w:val="22"/>
                <w:lang w:val="en-GB"/>
              </w:rPr>
              <w:t>Gülün</w:t>
            </w:r>
          </w:p>
        </w:tc>
        <w:tc>
          <w:tcPr>
            <w:tcW w:w="1701" w:type="dxa"/>
          </w:tcPr>
          <w:p w:rsidRPr="00275FCA" w:rsidR="007A3790" w:rsidP="00275FCA" w:rsidRDefault="00553354">
            <w:pPr>
              <w:pStyle w:val="ECHRPara"/>
              <w:ind w:firstLine="0"/>
              <w:rPr>
                <w:sz w:val="22"/>
                <w:lang w:val="en-GB"/>
              </w:rPr>
            </w:pPr>
            <w:r w:rsidRPr="00275FCA">
              <w:rPr>
                <w:sz w:val="22"/>
                <w:lang w:val="en-GB"/>
              </w:rPr>
              <w:t>9.45 a.m.</w:t>
            </w:r>
          </w:p>
        </w:tc>
        <w:tc>
          <w:tcPr>
            <w:tcW w:w="3780" w:type="dxa"/>
          </w:tcPr>
          <w:p w:rsidRPr="00275FCA" w:rsidR="007A3790" w:rsidP="00275FCA" w:rsidRDefault="00553354">
            <w:pPr>
              <w:pStyle w:val="ECHRPara"/>
              <w:ind w:firstLine="0"/>
              <w:rPr>
                <w:sz w:val="22"/>
                <w:lang w:val="en-GB"/>
              </w:rPr>
            </w:pPr>
            <w:r w:rsidRPr="00275FCA">
              <w:rPr>
                <w:sz w:val="22"/>
                <w:lang w:val="en-GB"/>
              </w:rPr>
              <w:t>4 p.m.</w:t>
            </w:r>
          </w:p>
        </w:tc>
      </w:tr>
      <w:tr w:rsidRPr="00275FCA" w:rsidR="007A3790" w:rsidTr="007E7CE1">
        <w:tc>
          <w:tcPr>
            <w:tcW w:w="2093" w:type="dxa"/>
          </w:tcPr>
          <w:p w:rsidRPr="00275FCA" w:rsidR="007A3790" w:rsidP="00275FCA" w:rsidRDefault="005F72A3">
            <w:pPr>
              <w:pStyle w:val="ECHRPara"/>
              <w:ind w:firstLine="0"/>
              <w:rPr>
                <w:sz w:val="22"/>
                <w:lang w:val="en-GB"/>
              </w:rPr>
            </w:pPr>
            <w:r w:rsidRPr="00275FCA">
              <w:rPr>
                <w:sz w:val="22"/>
                <w:lang w:val="en-GB"/>
              </w:rPr>
              <w:t>Şahide</w:t>
            </w:r>
            <w:r w:rsidRPr="00275FCA" w:rsidR="00E327A8">
              <w:rPr>
                <w:sz w:val="22"/>
                <w:lang w:val="en-GB"/>
              </w:rPr>
              <w:t xml:space="preserve"> </w:t>
            </w:r>
            <w:r w:rsidRPr="00275FCA">
              <w:rPr>
                <w:sz w:val="22"/>
                <w:lang w:val="en-GB"/>
              </w:rPr>
              <w:t>Gümüş</w:t>
            </w:r>
          </w:p>
        </w:tc>
        <w:tc>
          <w:tcPr>
            <w:tcW w:w="1701" w:type="dxa"/>
          </w:tcPr>
          <w:p w:rsidRPr="00275FCA" w:rsidR="007A3790" w:rsidP="00275FCA" w:rsidRDefault="005D4979">
            <w:pPr>
              <w:pStyle w:val="ECHRPara"/>
              <w:ind w:firstLine="0"/>
              <w:rPr>
                <w:sz w:val="22"/>
                <w:lang w:val="en-GB"/>
              </w:rPr>
            </w:pPr>
            <w:r w:rsidRPr="00275FCA">
              <w:rPr>
                <w:sz w:val="22"/>
                <w:lang w:val="en-GB"/>
              </w:rPr>
              <w:t>unknown</w:t>
            </w:r>
          </w:p>
        </w:tc>
        <w:tc>
          <w:tcPr>
            <w:tcW w:w="3780" w:type="dxa"/>
          </w:tcPr>
          <w:p w:rsidRPr="00275FCA" w:rsidR="007A3790" w:rsidP="00275FCA" w:rsidRDefault="005D4979">
            <w:pPr>
              <w:pStyle w:val="ECHRPara"/>
              <w:ind w:firstLine="0"/>
              <w:rPr>
                <w:sz w:val="22"/>
                <w:lang w:val="en-GB"/>
              </w:rPr>
            </w:pPr>
            <w:r w:rsidRPr="00275FCA">
              <w:rPr>
                <w:sz w:val="22"/>
                <w:lang w:val="en-GB"/>
              </w:rPr>
              <w:t>4 p.m.</w:t>
            </w:r>
          </w:p>
        </w:tc>
      </w:tr>
      <w:tr w:rsidRPr="00275FCA" w:rsidR="007A3790" w:rsidTr="007E7CE1">
        <w:tc>
          <w:tcPr>
            <w:tcW w:w="2093" w:type="dxa"/>
          </w:tcPr>
          <w:p w:rsidRPr="00275FCA" w:rsidR="007A3790" w:rsidP="00275FCA" w:rsidRDefault="00E327A8">
            <w:pPr>
              <w:pStyle w:val="ECHRPara"/>
              <w:ind w:firstLine="0"/>
              <w:rPr>
                <w:sz w:val="22"/>
                <w:lang w:val="en-GB"/>
              </w:rPr>
            </w:pPr>
            <w:r w:rsidRPr="00275FCA">
              <w:rPr>
                <w:sz w:val="22"/>
                <w:lang w:val="en-GB"/>
              </w:rPr>
              <w:t xml:space="preserve">Hasibe </w:t>
            </w:r>
            <w:r w:rsidRPr="00275FCA" w:rsidR="005F72A3">
              <w:rPr>
                <w:sz w:val="22"/>
                <w:lang w:val="en-GB"/>
              </w:rPr>
              <w:t>Yılmaz</w:t>
            </w:r>
          </w:p>
        </w:tc>
        <w:tc>
          <w:tcPr>
            <w:tcW w:w="1701" w:type="dxa"/>
          </w:tcPr>
          <w:p w:rsidRPr="00275FCA" w:rsidR="007A3790" w:rsidP="00275FCA" w:rsidRDefault="005D4979">
            <w:pPr>
              <w:pStyle w:val="ECHRPara"/>
              <w:ind w:firstLine="0"/>
              <w:rPr>
                <w:sz w:val="22"/>
                <w:lang w:val="en-GB"/>
              </w:rPr>
            </w:pPr>
            <w:r w:rsidRPr="00275FCA">
              <w:rPr>
                <w:sz w:val="22"/>
                <w:lang w:val="en-GB"/>
              </w:rPr>
              <w:t>unknown</w:t>
            </w:r>
          </w:p>
        </w:tc>
        <w:tc>
          <w:tcPr>
            <w:tcW w:w="3780" w:type="dxa"/>
          </w:tcPr>
          <w:p w:rsidRPr="00275FCA" w:rsidR="007A3790" w:rsidP="00275FCA" w:rsidRDefault="005D4979">
            <w:pPr>
              <w:pStyle w:val="ECHRPara"/>
              <w:ind w:firstLine="0"/>
              <w:rPr>
                <w:sz w:val="22"/>
                <w:lang w:val="en-GB"/>
              </w:rPr>
            </w:pPr>
            <w:r w:rsidRPr="00275FCA">
              <w:rPr>
                <w:sz w:val="22"/>
                <w:lang w:val="en-GB"/>
              </w:rPr>
              <w:t>4 p.m.</w:t>
            </w:r>
          </w:p>
        </w:tc>
      </w:tr>
      <w:tr w:rsidRPr="00275FCA" w:rsidR="007A3790" w:rsidTr="007E7CE1">
        <w:tc>
          <w:tcPr>
            <w:tcW w:w="2093" w:type="dxa"/>
          </w:tcPr>
          <w:p w:rsidRPr="00275FCA" w:rsidR="007A3790" w:rsidP="00275FCA" w:rsidRDefault="00E327A8">
            <w:pPr>
              <w:pStyle w:val="ECHRPara"/>
              <w:ind w:firstLine="0"/>
              <w:rPr>
                <w:sz w:val="22"/>
                <w:lang w:val="en-GB"/>
              </w:rPr>
            </w:pPr>
            <w:r w:rsidRPr="00275FCA">
              <w:rPr>
                <w:sz w:val="22"/>
                <w:lang w:val="en-GB"/>
              </w:rPr>
              <w:t xml:space="preserve">Fatma </w:t>
            </w:r>
            <w:r w:rsidRPr="00275FCA" w:rsidR="005F72A3">
              <w:rPr>
                <w:sz w:val="22"/>
                <w:lang w:val="en-GB"/>
              </w:rPr>
              <w:t>Yılmaz</w:t>
            </w:r>
          </w:p>
        </w:tc>
        <w:tc>
          <w:tcPr>
            <w:tcW w:w="1701" w:type="dxa"/>
          </w:tcPr>
          <w:p w:rsidRPr="00275FCA" w:rsidR="007A3790" w:rsidP="00275FCA" w:rsidRDefault="00553354">
            <w:pPr>
              <w:pStyle w:val="ECHRPara"/>
              <w:ind w:firstLine="0"/>
              <w:rPr>
                <w:sz w:val="22"/>
                <w:lang w:val="en-GB"/>
              </w:rPr>
            </w:pPr>
            <w:r w:rsidRPr="00275FCA">
              <w:rPr>
                <w:sz w:val="22"/>
                <w:lang w:val="en-GB"/>
              </w:rPr>
              <w:t>8.30 a.m.</w:t>
            </w:r>
          </w:p>
        </w:tc>
        <w:tc>
          <w:tcPr>
            <w:tcW w:w="3780" w:type="dxa"/>
          </w:tcPr>
          <w:p w:rsidRPr="00275FCA" w:rsidR="007A3790" w:rsidP="00275FCA" w:rsidRDefault="00553354">
            <w:pPr>
              <w:pStyle w:val="ECHRPara"/>
              <w:ind w:firstLine="0"/>
              <w:rPr>
                <w:sz w:val="22"/>
                <w:lang w:val="en-GB"/>
              </w:rPr>
            </w:pPr>
            <w:r w:rsidRPr="00275FCA">
              <w:rPr>
                <w:sz w:val="22"/>
                <w:lang w:val="en-GB"/>
              </w:rPr>
              <w:t>1.30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Tenzile Akyol</w:t>
            </w:r>
          </w:p>
        </w:tc>
        <w:tc>
          <w:tcPr>
            <w:tcW w:w="1701" w:type="dxa"/>
          </w:tcPr>
          <w:p w:rsidRPr="00275FCA" w:rsidR="00E327A8" w:rsidP="00275FCA" w:rsidRDefault="00553354">
            <w:pPr>
              <w:pStyle w:val="ECHRPara"/>
              <w:ind w:firstLine="0"/>
              <w:rPr>
                <w:sz w:val="22"/>
                <w:lang w:val="en-GB"/>
              </w:rPr>
            </w:pPr>
            <w:r w:rsidRPr="00275FCA">
              <w:rPr>
                <w:sz w:val="22"/>
                <w:lang w:val="en-GB"/>
              </w:rPr>
              <w:t>8.30 a.m.</w:t>
            </w:r>
          </w:p>
        </w:tc>
        <w:tc>
          <w:tcPr>
            <w:tcW w:w="3780" w:type="dxa"/>
          </w:tcPr>
          <w:p w:rsidRPr="00275FCA" w:rsidR="00E327A8" w:rsidP="00275FCA" w:rsidRDefault="00553354">
            <w:pPr>
              <w:pStyle w:val="ECHRPara"/>
              <w:ind w:firstLine="0"/>
              <w:rPr>
                <w:sz w:val="22"/>
                <w:lang w:val="en-GB"/>
              </w:rPr>
            </w:pPr>
            <w:r w:rsidRPr="00275FCA">
              <w:rPr>
                <w:sz w:val="22"/>
                <w:lang w:val="en-GB"/>
              </w:rPr>
              <w:t>2.50 p.m.</w:t>
            </w:r>
          </w:p>
        </w:tc>
      </w:tr>
      <w:tr w:rsidRPr="00275FCA" w:rsidR="00E327A8" w:rsidTr="007E7CE1">
        <w:tc>
          <w:tcPr>
            <w:tcW w:w="2093" w:type="dxa"/>
          </w:tcPr>
          <w:p w:rsidRPr="00275FCA" w:rsidR="00E327A8" w:rsidP="00275FCA" w:rsidRDefault="005F72A3">
            <w:pPr>
              <w:pStyle w:val="ECHRPara"/>
              <w:ind w:firstLine="0"/>
              <w:rPr>
                <w:sz w:val="22"/>
                <w:lang w:val="en-GB"/>
              </w:rPr>
            </w:pPr>
            <w:r w:rsidRPr="00275FCA">
              <w:rPr>
                <w:sz w:val="22"/>
                <w:lang w:val="en-GB"/>
              </w:rPr>
              <w:t>Güli</w:t>
            </w:r>
            <w:r w:rsidRPr="00275FCA" w:rsidR="00E327A8">
              <w:rPr>
                <w:sz w:val="22"/>
                <w:lang w:val="en-GB"/>
              </w:rPr>
              <w:t xml:space="preserve"> Akyol</w:t>
            </w:r>
          </w:p>
        </w:tc>
        <w:tc>
          <w:tcPr>
            <w:tcW w:w="1701" w:type="dxa"/>
          </w:tcPr>
          <w:p w:rsidRPr="00275FCA" w:rsidR="00E327A8" w:rsidP="00275FCA" w:rsidRDefault="00553354">
            <w:pPr>
              <w:pStyle w:val="ECHRPara"/>
              <w:ind w:firstLine="0"/>
              <w:rPr>
                <w:sz w:val="22"/>
                <w:lang w:val="en-GB"/>
              </w:rPr>
            </w:pPr>
            <w:r w:rsidRPr="00275FCA">
              <w:rPr>
                <w:sz w:val="22"/>
                <w:lang w:val="en-GB"/>
              </w:rPr>
              <w:t>9.10 a.m.</w:t>
            </w:r>
          </w:p>
        </w:tc>
        <w:tc>
          <w:tcPr>
            <w:tcW w:w="3780" w:type="dxa"/>
          </w:tcPr>
          <w:p w:rsidRPr="00275FCA" w:rsidR="00E327A8" w:rsidP="00275FCA" w:rsidRDefault="00553354">
            <w:pPr>
              <w:pStyle w:val="ECHRPara"/>
              <w:ind w:firstLine="0"/>
              <w:rPr>
                <w:sz w:val="22"/>
                <w:lang w:val="en-GB"/>
              </w:rPr>
            </w:pPr>
            <w:r w:rsidRPr="00275FCA">
              <w:rPr>
                <w:sz w:val="22"/>
                <w:lang w:val="en-GB"/>
              </w:rPr>
              <w:t>2.50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 xml:space="preserve">Fatma </w:t>
            </w:r>
            <w:r w:rsidRPr="00275FCA" w:rsidR="005F72A3">
              <w:rPr>
                <w:sz w:val="22"/>
                <w:lang w:val="en-GB"/>
              </w:rPr>
              <w:t>Duruşkan</w:t>
            </w:r>
          </w:p>
        </w:tc>
        <w:tc>
          <w:tcPr>
            <w:tcW w:w="1701" w:type="dxa"/>
          </w:tcPr>
          <w:p w:rsidRPr="00275FCA" w:rsidR="00E327A8" w:rsidP="00275FCA" w:rsidRDefault="00553354">
            <w:pPr>
              <w:pStyle w:val="ECHRPara"/>
              <w:ind w:firstLine="0"/>
              <w:rPr>
                <w:sz w:val="22"/>
                <w:lang w:val="en-GB"/>
              </w:rPr>
            </w:pPr>
            <w:r w:rsidRPr="00275FCA">
              <w:rPr>
                <w:sz w:val="22"/>
                <w:lang w:val="en-GB"/>
              </w:rPr>
              <w:t>10 a.m.</w:t>
            </w:r>
          </w:p>
        </w:tc>
        <w:tc>
          <w:tcPr>
            <w:tcW w:w="3780" w:type="dxa"/>
          </w:tcPr>
          <w:p w:rsidRPr="00275FCA" w:rsidR="00E327A8" w:rsidP="00275FCA" w:rsidRDefault="00553354">
            <w:pPr>
              <w:pStyle w:val="ECHRPara"/>
              <w:ind w:firstLine="0"/>
              <w:rPr>
                <w:sz w:val="22"/>
                <w:lang w:val="en-GB"/>
              </w:rPr>
            </w:pPr>
            <w:r w:rsidRPr="00275FCA">
              <w:rPr>
                <w:sz w:val="22"/>
                <w:lang w:val="en-GB"/>
              </w:rPr>
              <w:t>2.50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Meryem Peker</w:t>
            </w:r>
          </w:p>
        </w:tc>
        <w:tc>
          <w:tcPr>
            <w:tcW w:w="1701" w:type="dxa"/>
          </w:tcPr>
          <w:p w:rsidRPr="00275FCA" w:rsidR="00E327A8" w:rsidP="00275FCA" w:rsidRDefault="00553354">
            <w:pPr>
              <w:pStyle w:val="ECHRPara"/>
              <w:ind w:firstLine="0"/>
              <w:rPr>
                <w:sz w:val="22"/>
                <w:lang w:val="en-GB"/>
              </w:rPr>
            </w:pPr>
            <w:r w:rsidRPr="00275FCA">
              <w:rPr>
                <w:sz w:val="22"/>
                <w:lang w:val="en-GB"/>
              </w:rPr>
              <w:t>10.25 a.m.</w:t>
            </w:r>
          </w:p>
        </w:tc>
        <w:tc>
          <w:tcPr>
            <w:tcW w:w="3780" w:type="dxa"/>
          </w:tcPr>
          <w:p w:rsidRPr="00275FCA" w:rsidR="00E327A8" w:rsidP="00275FCA" w:rsidRDefault="00553354">
            <w:pPr>
              <w:pStyle w:val="ECHRPara"/>
              <w:ind w:firstLine="0"/>
              <w:rPr>
                <w:sz w:val="22"/>
                <w:lang w:val="en-GB"/>
              </w:rPr>
            </w:pPr>
            <w:r w:rsidRPr="00275FCA">
              <w:rPr>
                <w:sz w:val="22"/>
                <w:lang w:val="en-GB"/>
              </w:rPr>
              <w:t>4.00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 xml:space="preserve">Mehmet </w:t>
            </w:r>
            <w:r w:rsidRPr="00275FCA" w:rsidR="005F72A3">
              <w:rPr>
                <w:sz w:val="22"/>
                <w:lang w:val="en-GB"/>
              </w:rPr>
              <w:t>Şirin</w:t>
            </w:r>
            <w:r w:rsidRPr="00275FCA">
              <w:rPr>
                <w:sz w:val="22"/>
                <w:lang w:val="en-GB"/>
              </w:rPr>
              <w:t xml:space="preserve"> </w:t>
            </w:r>
            <w:r w:rsidRPr="00275FCA" w:rsidR="00864710">
              <w:rPr>
                <w:sz w:val="22"/>
                <w:lang w:val="en-GB"/>
              </w:rPr>
              <w:t>Döner</w:t>
            </w:r>
          </w:p>
        </w:tc>
        <w:tc>
          <w:tcPr>
            <w:tcW w:w="1701" w:type="dxa"/>
          </w:tcPr>
          <w:p w:rsidRPr="00275FCA" w:rsidR="00E327A8" w:rsidP="00275FCA" w:rsidRDefault="005D4979">
            <w:pPr>
              <w:pStyle w:val="ECHRPara"/>
              <w:ind w:firstLine="0"/>
              <w:rPr>
                <w:sz w:val="22"/>
                <w:lang w:val="en-GB"/>
              </w:rPr>
            </w:pPr>
            <w:r w:rsidRPr="00275FCA">
              <w:rPr>
                <w:sz w:val="22"/>
                <w:lang w:val="en-GB"/>
              </w:rPr>
              <w:t>unknown</w:t>
            </w:r>
          </w:p>
        </w:tc>
        <w:tc>
          <w:tcPr>
            <w:tcW w:w="3780" w:type="dxa"/>
          </w:tcPr>
          <w:p w:rsidRPr="00275FCA" w:rsidR="00E327A8" w:rsidP="00275FCA" w:rsidRDefault="005D4979">
            <w:pPr>
              <w:pStyle w:val="ECHRPara"/>
              <w:ind w:firstLine="0"/>
              <w:rPr>
                <w:sz w:val="22"/>
                <w:lang w:val="en-GB"/>
              </w:rPr>
            </w:pPr>
            <w:r w:rsidRPr="00275FCA">
              <w:rPr>
                <w:sz w:val="22"/>
                <w:lang w:val="en-GB"/>
              </w:rPr>
              <w:t>4.00 p.m.</w:t>
            </w:r>
          </w:p>
        </w:tc>
      </w:tr>
      <w:tr w:rsidRPr="00275FCA" w:rsidR="00E327A8" w:rsidTr="007E7CE1">
        <w:tc>
          <w:tcPr>
            <w:tcW w:w="2093" w:type="dxa"/>
          </w:tcPr>
          <w:p w:rsidRPr="00275FCA" w:rsidR="00E327A8" w:rsidP="00275FCA" w:rsidRDefault="005F72A3">
            <w:pPr>
              <w:pStyle w:val="ECHRPara"/>
              <w:ind w:firstLine="0"/>
              <w:rPr>
                <w:sz w:val="22"/>
                <w:lang w:val="en-GB"/>
              </w:rPr>
            </w:pPr>
            <w:r w:rsidRPr="00275FCA">
              <w:rPr>
                <w:sz w:val="22"/>
                <w:lang w:val="en-GB"/>
              </w:rPr>
              <w:t>Şükrüye</w:t>
            </w:r>
            <w:r w:rsidRPr="00275FCA" w:rsidR="00E327A8">
              <w:rPr>
                <w:sz w:val="22"/>
                <w:lang w:val="en-GB"/>
              </w:rPr>
              <w:t xml:space="preserve"> </w:t>
            </w:r>
            <w:r w:rsidRPr="00275FCA">
              <w:rPr>
                <w:sz w:val="22"/>
                <w:lang w:val="en-GB"/>
              </w:rPr>
              <w:t>Temüroğlu</w:t>
            </w:r>
          </w:p>
        </w:tc>
        <w:tc>
          <w:tcPr>
            <w:tcW w:w="1701" w:type="dxa"/>
          </w:tcPr>
          <w:p w:rsidRPr="00275FCA" w:rsidR="00E327A8" w:rsidP="00275FCA" w:rsidRDefault="005D4979">
            <w:pPr>
              <w:pStyle w:val="ECHRPara"/>
              <w:ind w:firstLine="0"/>
              <w:rPr>
                <w:sz w:val="22"/>
                <w:lang w:val="en-GB"/>
              </w:rPr>
            </w:pPr>
            <w:r w:rsidRPr="00275FCA">
              <w:rPr>
                <w:sz w:val="22"/>
                <w:lang w:val="en-GB"/>
              </w:rPr>
              <w:t>unknown</w:t>
            </w:r>
          </w:p>
        </w:tc>
        <w:tc>
          <w:tcPr>
            <w:tcW w:w="3780" w:type="dxa"/>
          </w:tcPr>
          <w:p w:rsidRPr="00275FCA" w:rsidR="00E327A8" w:rsidP="00275FCA" w:rsidRDefault="005D4979">
            <w:pPr>
              <w:pStyle w:val="ECHRPara"/>
              <w:ind w:firstLine="0"/>
              <w:rPr>
                <w:sz w:val="22"/>
                <w:lang w:val="en-GB"/>
              </w:rPr>
            </w:pPr>
            <w:r w:rsidRPr="00275FCA">
              <w:rPr>
                <w:sz w:val="22"/>
                <w:lang w:val="en-GB"/>
              </w:rPr>
              <w:t>2.55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Meliha Can</w:t>
            </w:r>
          </w:p>
        </w:tc>
        <w:tc>
          <w:tcPr>
            <w:tcW w:w="1701" w:type="dxa"/>
          </w:tcPr>
          <w:p w:rsidRPr="00275FCA" w:rsidR="00E327A8" w:rsidP="00275FCA" w:rsidRDefault="00553354">
            <w:pPr>
              <w:pStyle w:val="ECHRPara"/>
              <w:ind w:firstLine="0"/>
              <w:rPr>
                <w:sz w:val="22"/>
                <w:lang w:val="en-GB"/>
              </w:rPr>
            </w:pPr>
            <w:r w:rsidRPr="00275FCA">
              <w:rPr>
                <w:sz w:val="22"/>
                <w:lang w:val="en-GB"/>
              </w:rPr>
              <w:t>10.40 a.m.</w:t>
            </w:r>
          </w:p>
        </w:tc>
        <w:tc>
          <w:tcPr>
            <w:tcW w:w="3780" w:type="dxa"/>
          </w:tcPr>
          <w:p w:rsidRPr="00275FCA" w:rsidR="00E327A8" w:rsidP="00275FCA" w:rsidRDefault="00553354">
            <w:pPr>
              <w:pStyle w:val="ECHRPara"/>
              <w:ind w:firstLine="0"/>
              <w:rPr>
                <w:sz w:val="22"/>
                <w:lang w:val="en-GB"/>
              </w:rPr>
            </w:pPr>
            <w:r w:rsidRPr="00275FCA">
              <w:rPr>
                <w:sz w:val="22"/>
                <w:lang w:val="en-GB"/>
              </w:rPr>
              <w:t>3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 xml:space="preserve">Halime </w:t>
            </w:r>
            <w:r w:rsidRPr="00275FCA" w:rsidR="005F72A3">
              <w:rPr>
                <w:sz w:val="22"/>
                <w:lang w:val="en-GB"/>
              </w:rPr>
              <w:t>Günana</w:t>
            </w:r>
          </w:p>
        </w:tc>
        <w:tc>
          <w:tcPr>
            <w:tcW w:w="1701" w:type="dxa"/>
          </w:tcPr>
          <w:p w:rsidRPr="00275FCA" w:rsidR="00E327A8" w:rsidP="00275FCA" w:rsidRDefault="00553354">
            <w:pPr>
              <w:pStyle w:val="ECHRPara"/>
              <w:ind w:firstLine="0"/>
              <w:rPr>
                <w:sz w:val="22"/>
                <w:lang w:val="en-GB"/>
              </w:rPr>
            </w:pPr>
            <w:r w:rsidRPr="00275FCA">
              <w:rPr>
                <w:sz w:val="22"/>
                <w:lang w:val="en-GB"/>
              </w:rPr>
              <w:t>9.45 a.m.</w:t>
            </w:r>
          </w:p>
        </w:tc>
        <w:tc>
          <w:tcPr>
            <w:tcW w:w="3780" w:type="dxa"/>
          </w:tcPr>
          <w:p w:rsidRPr="00275FCA" w:rsidR="00E327A8" w:rsidP="00275FCA" w:rsidRDefault="00553354">
            <w:pPr>
              <w:pStyle w:val="ECHRPara"/>
              <w:ind w:firstLine="0"/>
              <w:rPr>
                <w:sz w:val="22"/>
                <w:lang w:val="en-GB"/>
              </w:rPr>
            </w:pPr>
            <w:r w:rsidRPr="00275FCA">
              <w:rPr>
                <w:sz w:val="22"/>
                <w:lang w:val="en-GB"/>
              </w:rPr>
              <w:t>3 p.m.</w:t>
            </w:r>
          </w:p>
        </w:tc>
      </w:tr>
      <w:tr w:rsidRPr="00275FCA" w:rsidR="00E327A8" w:rsidTr="007E7CE1">
        <w:tc>
          <w:tcPr>
            <w:tcW w:w="2093" w:type="dxa"/>
          </w:tcPr>
          <w:p w:rsidRPr="00275FCA" w:rsidR="00E327A8" w:rsidP="00275FCA" w:rsidRDefault="005F72A3">
            <w:pPr>
              <w:pStyle w:val="ECHRPara"/>
              <w:ind w:firstLine="0"/>
              <w:rPr>
                <w:sz w:val="22"/>
                <w:lang w:val="en-GB"/>
              </w:rPr>
            </w:pPr>
            <w:r w:rsidRPr="00275FCA">
              <w:rPr>
                <w:sz w:val="22"/>
                <w:lang w:val="en-GB"/>
              </w:rPr>
              <w:t>Zübeyde</w:t>
            </w:r>
            <w:r w:rsidRPr="00275FCA" w:rsidR="00E327A8">
              <w:rPr>
                <w:sz w:val="22"/>
                <w:lang w:val="en-GB"/>
              </w:rPr>
              <w:t xml:space="preserve"> Yavuz</w:t>
            </w:r>
          </w:p>
        </w:tc>
        <w:tc>
          <w:tcPr>
            <w:tcW w:w="1701" w:type="dxa"/>
          </w:tcPr>
          <w:p w:rsidRPr="00275FCA" w:rsidR="00E327A8" w:rsidP="00275FCA" w:rsidRDefault="005D4979">
            <w:pPr>
              <w:pStyle w:val="ECHRPara"/>
              <w:ind w:firstLine="0"/>
              <w:rPr>
                <w:sz w:val="22"/>
                <w:lang w:val="en-GB"/>
              </w:rPr>
            </w:pPr>
            <w:r w:rsidRPr="00275FCA">
              <w:rPr>
                <w:sz w:val="22"/>
                <w:lang w:val="en-GB"/>
              </w:rPr>
              <w:t>unknown</w:t>
            </w:r>
          </w:p>
        </w:tc>
        <w:tc>
          <w:tcPr>
            <w:tcW w:w="3780" w:type="dxa"/>
          </w:tcPr>
          <w:p w:rsidRPr="00275FCA" w:rsidR="00E327A8" w:rsidP="00275FCA" w:rsidRDefault="00A56880">
            <w:pPr>
              <w:pStyle w:val="ECHRPara"/>
              <w:ind w:firstLine="0"/>
              <w:rPr>
                <w:sz w:val="22"/>
                <w:lang w:val="en-GB"/>
              </w:rPr>
            </w:pPr>
            <w:r w:rsidRPr="00275FCA">
              <w:rPr>
                <w:sz w:val="22"/>
                <w:lang w:val="en-GB"/>
              </w:rPr>
              <w:t>2.55 p.m.</w:t>
            </w:r>
          </w:p>
        </w:tc>
      </w:tr>
      <w:tr w:rsidRPr="00275FCA" w:rsidR="00E327A8" w:rsidTr="007E7CE1">
        <w:tc>
          <w:tcPr>
            <w:tcW w:w="2093" w:type="dxa"/>
          </w:tcPr>
          <w:p w:rsidRPr="00275FCA" w:rsidR="00E327A8" w:rsidP="00275FCA" w:rsidRDefault="00E327A8">
            <w:pPr>
              <w:pStyle w:val="ECHRPara"/>
              <w:ind w:firstLine="0"/>
              <w:rPr>
                <w:sz w:val="22"/>
                <w:lang w:val="en-GB"/>
              </w:rPr>
            </w:pPr>
            <w:r w:rsidRPr="00275FCA">
              <w:rPr>
                <w:sz w:val="22"/>
                <w:lang w:val="en-GB"/>
              </w:rPr>
              <w:t>Asiya</w:t>
            </w:r>
            <w:r w:rsidRPr="00275FCA" w:rsidR="00553354">
              <w:rPr>
                <w:sz w:val="22"/>
                <w:lang w:val="en-GB"/>
              </w:rPr>
              <w:t xml:space="preserve"> Karadeniz</w:t>
            </w:r>
          </w:p>
        </w:tc>
        <w:tc>
          <w:tcPr>
            <w:tcW w:w="1701" w:type="dxa"/>
          </w:tcPr>
          <w:p w:rsidRPr="00275FCA" w:rsidR="00E327A8" w:rsidP="00275FCA" w:rsidRDefault="005D4979">
            <w:pPr>
              <w:pStyle w:val="ECHRPara"/>
              <w:ind w:firstLine="0"/>
              <w:rPr>
                <w:sz w:val="22"/>
                <w:lang w:val="en-GB"/>
              </w:rPr>
            </w:pPr>
            <w:r w:rsidRPr="00275FCA">
              <w:rPr>
                <w:sz w:val="22"/>
                <w:lang w:val="en-GB"/>
              </w:rPr>
              <w:t xml:space="preserve">10.50 a.m. </w:t>
            </w:r>
          </w:p>
        </w:tc>
        <w:tc>
          <w:tcPr>
            <w:tcW w:w="3780" w:type="dxa"/>
          </w:tcPr>
          <w:p w:rsidRPr="00275FCA" w:rsidR="00E327A8" w:rsidP="00275FCA" w:rsidRDefault="005D4979">
            <w:pPr>
              <w:pStyle w:val="ECHRPara"/>
              <w:ind w:firstLine="0"/>
              <w:rPr>
                <w:sz w:val="22"/>
                <w:lang w:val="en-GB"/>
              </w:rPr>
            </w:pPr>
            <w:r w:rsidRPr="00275FCA">
              <w:rPr>
                <w:sz w:val="22"/>
                <w:lang w:val="en-GB"/>
              </w:rPr>
              <w:t>2.55 p.m.</w:t>
            </w:r>
          </w:p>
        </w:tc>
      </w:tr>
      <w:tr w:rsidRPr="00275FCA" w:rsidR="00E327A8" w:rsidTr="007E7CE1">
        <w:tc>
          <w:tcPr>
            <w:tcW w:w="2093" w:type="dxa"/>
          </w:tcPr>
          <w:p w:rsidRPr="00275FCA" w:rsidR="00E327A8" w:rsidP="00275FCA" w:rsidRDefault="005F72A3">
            <w:pPr>
              <w:pStyle w:val="ECHRPara"/>
              <w:ind w:firstLine="0"/>
              <w:rPr>
                <w:sz w:val="22"/>
                <w:lang w:val="en-GB"/>
              </w:rPr>
            </w:pPr>
            <w:r w:rsidRPr="00275FCA">
              <w:rPr>
                <w:sz w:val="22"/>
                <w:lang w:val="en-GB"/>
              </w:rPr>
              <w:t>Zübeyde</w:t>
            </w:r>
            <w:r w:rsidRPr="00275FCA" w:rsidR="00553354">
              <w:rPr>
                <w:sz w:val="22"/>
                <w:lang w:val="en-GB"/>
              </w:rPr>
              <w:t xml:space="preserve"> Sapan</w:t>
            </w:r>
          </w:p>
        </w:tc>
        <w:tc>
          <w:tcPr>
            <w:tcW w:w="1701" w:type="dxa"/>
          </w:tcPr>
          <w:p w:rsidRPr="00275FCA" w:rsidR="00E327A8" w:rsidP="00275FCA" w:rsidRDefault="005D4979">
            <w:pPr>
              <w:pStyle w:val="ECHRPara"/>
              <w:ind w:firstLine="0"/>
              <w:rPr>
                <w:sz w:val="22"/>
                <w:lang w:val="en-GB"/>
              </w:rPr>
            </w:pPr>
            <w:r w:rsidRPr="00275FCA">
              <w:rPr>
                <w:sz w:val="22"/>
                <w:lang w:val="en-GB"/>
              </w:rPr>
              <w:t>unknown</w:t>
            </w:r>
          </w:p>
        </w:tc>
        <w:tc>
          <w:tcPr>
            <w:tcW w:w="3780" w:type="dxa"/>
          </w:tcPr>
          <w:p w:rsidRPr="00275FCA" w:rsidR="00E327A8" w:rsidP="00275FCA" w:rsidRDefault="005D4979">
            <w:pPr>
              <w:pStyle w:val="ECHRPara"/>
              <w:ind w:firstLine="0"/>
              <w:rPr>
                <w:sz w:val="22"/>
                <w:lang w:val="en-GB"/>
              </w:rPr>
            </w:pPr>
            <w:r w:rsidRPr="00275FCA">
              <w:rPr>
                <w:sz w:val="22"/>
                <w:lang w:val="en-GB"/>
              </w:rPr>
              <w:t>2.55 p.m.</w:t>
            </w:r>
          </w:p>
        </w:tc>
      </w:tr>
      <w:tr w:rsidRPr="00275FCA" w:rsidR="00553354" w:rsidTr="007E7CE1">
        <w:tc>
          <w:tcPr>
            <w:tcW w:w="2093" w:type="dxa"/>
          </w:tcPr>
          <w:p w:rsidRPr="00275FCA" w:rsidR="00553354" w:rsidP="00275FCA" w:rsidRDefault="00553354">
            <w:pPr>
              <w:pStyle w:val="ECHRPara"/>
              <w:ind w:firstLine="0"/>
              <w:rPr>
                <w:sz w:val="22"/>
                <w:lang w:val="en-GB"/>
              </w:rPr>
            </w:pPr>
            <w:r w:rsidRPr="00275FCA">
              <w:rPr>
                <w:sz w:val="22"/>
                <w:lang w:val="en-GB"/>
              </w:rPr>
              <w:t xml:space="preserve">Kudret </w:t>
            </w:r>
            <w:r w:rsidRPr="00275FCA" w:rsidR="005F72A3">
              <w:rPr>
                <w:sz w:val="22"/>
                <w:lang w:val="en-GB"/>
              </w:rPr>
              <w:t>Dağ</w:t>
            </w:r>
          </w:p>
        </w:tc>
        <w:tc>
          <w:tcPr>
            <w:tcW w:w="1701" w:type="dxa"/>
          </w:tcPr>
          <w:p w:rsidRPr="00275FCA" w:rsidR="00553354" w:rsidP="00275FCA" w:rsidRDefault="00553354">
            <w:pPr>
              <w:pStyle w:val="ECHRPara"/>
              <w:ind w:firstLine="0"/>
              <w:rPr>
                <w:sz w:val="22"/>
                <w:lang w:val="en-GB"/>
              </w:rPr>
            </w:pPr>
            <w:r w:rsidRPr="00275FCA">
              <w:rPr>
                <w:sz w:val="22"/>
                <w:lang w:val="en-GB"/>
              </w:rPr>
              <w:t>10.10 a.m.</w:t>
            </w:r>
          </w:p>
        </w:tc>
        <w:tc>
          <w:tcPr>
            <w:tcW w:w="3780" w:type="dxa"/>
          </w:tcPr>
          <w:p w:rsidRPr="00275FCA" w:rsidR="00553354" w:rsidP="00275FCA" w:rsidRDefault="00553354">
            <w:pPr>
              <w:pStyle w:val="ECHRPara"/>
              <w:ind w:firstLine="0"/>
              <w:rPr>
                <w:sz w:val="22"/>
                <w:lang w:val="en-GB"/>
              </w:rPr>
            </w:pPr>
            <w:r w:rsidRPr="00275FCA">
              <w:rPr>
                <w:sz w:val="22"/>
                <w:lang w:val="en-GB"/>
              </w:rPr>
              <w:t>3 p.m.</w:t>
            </w:r>
          </w:p>
        </w:tc>
      </w:tr>
      <w:tr w:rsidRPr="00275FCA" w:rsidR="00553354" w:rsidTr="007E7CE1">
        <w:tc>
          <w:tcPr>
            <w:tcW w:w="2093" w:type="dxa"/>
          </w:tcPr>
          <w:p w:rsidRPr="00275FCA" w:rsidR="00553354" w:rsidP="00275FCA" w:rsidRDefault="005F72A3">
            <w:pPr>
              <w:pStyle w:val="ECHRPara"/>
              <w:ind w:firstLine="0"/>
              <w:rPr>
                <w:sz w:val="22"/>
                <w:lang w:val="en-GB"/>
              </w:rPr>
            </w:pPr>
            <w:r w:rsidRPr="00275FCA">
              <w:rPr>
                <w:sz w:val="22"/>
                <w:lang w:val="en-GB"/>
              </w:rPr>
              <w:t>Yılmaz</w:t>
            </w:r>
            <w:r w:rsidRPr="00275FCA" w:rsidR="00553354">
              <w:rPr>
                <w:sz w:val="22"/>
                <w:lang w:val="en-GB"/>
              </w:rPr>
              <w:t xml:space="preserve"> Yavuz</w:t>
            </w:r>
          </w:p>
        </w:tc>
        <w:tc>
          <w:tcPr>
            <w:tcW w:w="1701" w:type="dxa"/>
          </w:tcPr>
          <w:p w:rsidRPr="00275FCA" w:rsidR="00553354" w:rsidP="00275FCA" w:rsidRDefault="005D4979">
            <w:pPr>
              <w:pStyle w:val="ECHRPara"/>
              <w:ind w:firstLine="0"/>
              <w:rPr>
                <w:sz w:val="22"/>
                <w:lang w:val="en-GB"/>
              </w:rPr>
            </w:pPr>
            <w:r w:rsidRPr="00275FCA">
              <w:rPr>
                <w:sz w:val="22"/>
                <w:lang w:val="en-GB"/>
              </w:rPr>
              <w:t>unknown</w:t>
            </w:r>
          </w:p>
        </w:tc>
        <w:tc>
          <w:tcPr>
            <w:tcW w:w="3780" w:type="dxa"/>
          </w:tcPr>
          <w:p w:rsidRPr="00275FCA" w:rsidR="00553354" w:rsidP="00275FCA" w:rsidRDefault="00A56880">
            <w:pPr>
              <w:pStyle w:val="ECHRPara"/>
              <w:ind w:firstLine="0"/>
              <w:rPr>
                <w:sz w:val="22"/>
                <w:lang w:val="en-GB"/>
              </w:rPr>
            </w:pPr>
            <w:r w:rsidRPr="00275FCA">
              <w:rPr>
                <w:sz w:val="22"/>
                <w:lang w:val="en-GB"/>
              </w:rPr>
              <w:t>1.30 p.m.</w:t>
            </w:r>
          </w:p>
        </w:tc>
      </w:tr>
    </w:tbl>
    <w:p w:rsidRPr="00275FCA" w:rsidR="007A3790" w:rsidP="00275FCA" w:rsidRDefault="007A3790">
      <w:pPr>
        <w:pStyle w:val="ECHRPara"/>
        <w:rPr>
          <w:lang w:val="en-GB"/>
        </w:rPr>
      </w:pPr>
    </w:p>
    <w:p w:rsidRPr="00275FCA" w:rsidR="008B1D1C" w:rsidP="00275FCA" w:rsidRDefault="003374D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13</w:t>
      </w:r>
      <w:r w:rsidRPr="00275FCA">
        <w:rPr>
          <w:lang w:val="en-GB"/>
        </w:rPr>
        <w:fldChar w:fldCharType="end"/>
      </w:r>
      <w:r w:rsidRPr="00275FCA">
        <w:rPr>
          <w:lang w:val="en-GB"/>
        </w:rPr>
        <w:t>.  </w:t>
      </w:r>
      <w:r w:rsidRPr="00275FCA" w:rsidR="000D6266">
        <w:rPr>
          <w:lang w:val="en-GB"/>
        </w:rPr>
        <w:t xml:space="preserve">On the same day the applicants were questioned by </w:t>
      </w:r>
      <w:r w:rsidRPr="00275FCA" w:rsidR="00886500">
        <w:rPr>
          <w:lang w:val="en-GB"/>
        </w:rPr>
        <w:t>officers from the Anti-terrorism branch of the Istanbul Security Directorate</w:t>
      </w:r>
      <w:r w:rsidRPr="00275FCA" w:rsidR="008B1D1C">
        <w:rPr>
          <w:lang w:val="en-GB"/>
        </w:rPr>
        <w:t>. They</w:t>
      </w:r>
      <w:r w:rsidRPr="00275FCA" w:rsidR="000D6266">
        <w:rPr>
          <w:lang w:val="en-GB"/>
        </w:rPr>
        <w:t xml:space="preserve"> were asked, in particular, whether </w:t>
      </w:r>
      <w:r w:rsidRPr="00275FCA" w:rsidR="008B1D1C">
        <w:rPr>
          <w:lang w:val="en-GB"/>
        </w:rPr>
        <w:t>they had submitted the petitions in accordance with the PKK</w:t>
      </w:r>
      <w:r w:rsidRPr="00275FCA" w:rsidR="00275FCA">
        <w:rPr>
          <w:lang w:val="en-GB"/>
        </w:rPr>
        <w:t>’</w:t>
      </w:r>
      <w:r w:rsidRPr="00275FCA" w:rsidR="008B1D1C">
        <w:rPr>
          <w:lang w:val="en-GB"/>
        </w:rPr>
        <w:t xml:space="preserve">s new </w:t>
      </w:r>
      <w:r w:rsidRPr="00275FCA" w:rsidR="004F2050">
        <w:rPr>
          <w:lang w:val="en-GB"/>
        </w:rPr>
        <w:t>“civil disobedience”</w:t>
      </w:r>
      <w:r w:rsidRPr="00275FCA" w:rsidR="008B1D1C">
        <w:rPr>
          <w:lang w:val="en-GB"/>
        </w:rPr>
        <w:t xml:space="preserve"> </w:t>
      </w:r>
      <w:r w:rsidRPr="00275FCA" w:rsidR="00A97618">
        <w:rPr>
          <w:lang w:val="en-GB"/>
        </w:rPr>
        <w:t xml:space="preserve">strategy </w:t>
      </w:r>
      <w:r w:rsidRPr="00275FCA" w:rsidR="008B1D1C">
        <w:rPr>
          <w:lang w:val="en-GB"/>
        </w:rPr>
        <w:t xml:space="preserve">adopted at </w:t>
      </w:r>
      <w:r w:rsidRPr="00275FCA" w:rsidR="00D11A17">
        <w:rPr>
          <w:lang w:val="en-GB"/>
        </w:rPr>
        <w:t>i</w:t>
      </w:r>
      <w:r w:rsidRPr="00275FCA" w:rsidR="008B1D1C">
        <w:rPr>
          <w:lang w:val="en-GB"/>
        </w:rPr>
        <w:t>t</w:t>
      </w:r>
      <w:r w:rsidRPr="00275FCA" w:rsidR="00D11A17">
        <w:rPr>
          <w:lang w:val="en-GB"/>
        </w:rPr>
        <w:t>s</w:t>
      </w:r>
      <w:r w:rsidRPr="00275FCA" w:rsidR="008B1D1C">
        <w:rPr>
          <w:lang w:val="en-GB"/>
        </w:rPr>
        <w:t xml:space="preserve"> Sixth National Conference held </w:t>
      </w:r>
      <w:r w:rsidRPr="00275FCA" w:rsidR="00A97618">
        <w:rPr>
          <w:lang w:val="en-GB"/>
        </w:rPr>
        <w:t xml:space="preserve">between </w:t>
      </w:r>
      <w:r w:rsidRPr="00275FCA" w:rsidR="008B1D1C">
        <w:rPr>
          <w:lang w:val="en-GB"/>
        </w:rPr>
        <w:t>5</w:t>
      </w:r>
      <w:r w:rsidRPr="00275FCA" w:rsidR="00A97618">
        <w:rPr>
          <w:lang w:val="en-GB"/>
        </w:rPr>
        <w:t xml:space="preserve"> and </w:t>
      </w:r>
      <w:r w:rsidRPr="00275FCA" w:rsidR="008B1D1C">
        <w:rPr>
          <w:lang w:val="en-GB"/>
        </w:rPr>
        <w:t>22 August 2001</w:t>
      </w:r>
      <w:r w:rsidRPr="00275FCA" w:rsidR="004F2050">
        <w:rPr>
          <w:lang w:val="en-GB"/>
        </w:rPr>
        <w:t xml:space="preserve">. The applicants Meryem Peker </w:t>
      </w:r>
      <w:r w:rsidRPr="00275FCA" w:rsidR="008B3D31">
        <w:rPr>
          <w:lang w:val="en-GB"/>
        </w:rPr>
        <w:t xml:space="preserve">and </w:t>
      </w:r>
      <w:r w:rsidRPr="00275FCA" w:rsidR="005F72A3">
        <w:rPr>
          <w:lang w:val="en-GB"/>
        </w:rPr>
        <w:t>Yılmaz</w:t>
      </w:r>
      <w:r w:rsidRPr="00275FCA" w:rsidR="008B3D31">
        <w:rPr>
          <w:lang w:val="en-GB"/>
        </w:rPr>
        <w:t xml:space="preserve"> Yavuz </w:t>
      </w:r>
      <w:r w:rsidRPr="00275FCA" w:rsidR="004F2050">
        <w:rPr>
          <w:lang w:val="en-GB"/>
        </w:rPr>
        <w:t xml:space="preserve">claimed that they had not submitted any petitions requesting education in Kurdish to any State authorities. The remaining applicants mainly denied any affiliation with the PKK and stated that they had submitted the petitions in question so that their children </w:t>
      </w:r>
      <w:r w:rsidRPr="00275FCA" w:rsidR="00A97618">
        <w:rPr>
          <w:lang w:val="en-GB"/>
        </w:rPr>
        <w:t xml:space="preserve">could </w:t>
      </w:r>
      <w:r w:rsidRPr="00275FCA" w:rsidR="004F2050">
        <w:rPr>
          <w:lang w:val="en-GB"/>
        </w:rPr>
        <w:t>learn their parents</w:t>
      </w:r>
      <w:r w:rsidRPr="00275FCA" w:rsidR="00275FCA">
        <w:rPr>
          <w:lang w:val="en-GB"/>
        </w:rPr>
        <w:t>’</w:t>
      </w:r>
      <w:r w:rsidRPr="00275FCA" w:rsidR="004F2050">
        <w:rPr>
          <w:lang w:val="en-GB"/>
        </w:rPr>
        <w:t xml:space="preserve"> mother tongue. </w:t>
      </w:r>
      <w:r w:rsidRPr="00275FCA" w:rsidR="00724139">
        <w:rPr>
          <w:lang w:val="en-GB"/>
        </w:rPr>
        <w:t xml:space="preserve">Some </w:t>
      </w:r>
      <w:r w:rsidRPr="00275FCA" w:rsidR="009E18D4">
        <w:rPr>
          <w:lang w:val="en-GB"/>
        </w:rPr>
        <w:t>of the applicants also stated that</w:t>
      </w:r>
      <w:r w:rsidRPr="00275FCA" w:rsidR="00253AB3">
        <w:rPr>
          <w:lang w:val="en-GB"/>
        </w:rPr>
        <w:t xml:space="preserve"> the issue of submission of such petitions had also been discussed at the</w:t>
      </w:r>
      <w:r w:rsidRPr="00275FCA" w:rsidR="009E18D4">
        <w:rPr>
          <w:lang w:val="en-GB"/>
        </w:rPr>
        <w:t xml:space="preserve"> </w:t>
      </w:r>
      <w:r w:rsidRPr="00275FCA" w:rsidR="00701FA9">
        <w:rPr>
          <w:lang w:val="en-GB"/>
        </w:rPr>
        <w:t>Bağcılar</w:t>
      </w:r>
      <w:r w:rsidRPr="00275FCA" w:rsidR="009E18D4">
        <w:rPr>
          <w:lang w:val="en-GB"/>
        </w:rPr>
        <w:t xml:space="preserve"> branch of HADEP</w:t>
      </w:r>
      <w:r w:rsidRPr="00275FCA" w:rsidR="00D11A17">
        <w:rPr>
          <w:lang w:val="en-GB"/>
        </w:rPr>
        <w:t xml:space="preserve"> (</w:t>
      </w:r>
      <w:r w:rsidRPr="00275FCA" w:rsidR="00D11A17">
        <w:rPr>
          <w:i/>
          <w:lang w:val="en-GB"/>
        </w:rPr>
        <w:t>Halkın Demokrasi Partisi</w:t>
      </w:r>
      <w:r w:rsidRPr="00275FCA" w:rsidR="00D11A17">
        <w:rPr>
          <w:lang w:val="en-GB"/>
        </w:rPr>
        <w:t xml:space="preserve"> – the People</w:t>
      </w:r>
      <w:r w:rsidRPr="00275FCA" w:rsidR="00275FCA">
        <w:rPr>
          <w:lang w:val="en-GB"/>
        </w:rPr>
        <w:t>’</w:t>
      </w:r>
      <w:r w:rsidRPr="00275FCA" w:rsidR="00D11A17">
        <w:rPr>
          <w:lang w:val="en-GB"/>
        </w:rPr>
        <w:t>s Democracy Party),</w:t>
      </w:r>
      <w:r w:rsidRPr="00275FCA" w:rsidR="001C3A1D">
        <w:rPr>
          <w:lang w:val="en-GB"/>
        </w:rPr>
        <w:t xml:space="preserve"> a Turkish political party,</w:t>
      </w:r>
      <w:r w:rsidRPr="00275FCA" w:rsidR="009E18D4">
        <w:rPr>
          <w:lang w:val="en-GB"/>
        </w:rPr>
        <w:t xml:space="preserve"> </w:t>
      </w:r>
      <w:r w:rsidRPr="00275FCA" w:rsidR="00D36E5C">
        <w:rPr>
          <w:lang w:val="en-GB"/>
        </w:rPr>
        <w:t xml:space="preserve">which </w:t>
      </w:r>
      <w:r w:rsidRPr="00275FCA" w:rsidR="00253AB3">
        <w:rPr>
          <w:lang w:val="en-GB"/>
        </w:rPr>
        <w:t>they</w:t>
      </w:r>
      <w:r w:rsidRPr="00275FCA" w:rsidR="00D36E5C">
        <w:rPr>
          <w:lang w:val="en-GB"/>
        </w:rPr>
        <w:t xml:space="preserve"> </w:t>
      </w:r>
      <w:r w:rsidRPr="00275FCA" w:rsidR="00A97618">
        <w:rPr>
          <w:lang w:val="en-GB"/>
        </w:rPr>
        <w:t xml:space="preserve">attended </w:t>
      </w:r>
      <w:r w:rsidRPr="00275FCA" w:rsidR="0045506B">
        <w:rPr>
          <w:lang w:val="en-GB"/>
        </w:rPr>
        <w:t>from time to time.</w:t>
      </w:r>
      <w:r w:rsidRPr="00275FCA" w:rsidR="00155944">
        <w:rPr>
          <w:lang w:val="en-GB"/>
        </w:rPr>
        <w:t xml:space="preserve"> The </w:t>
      </w:r>
      <w:r w:rsidRPr="00275FCA" w:rsidR="0045506B">
        <w:rPr>
          <w:lang w:val="en-GB"/>
        </w:rPr>
        <w:t>applicants</w:t>
      </w:r>
      <w:r w:rsidRPr="00275FCA" w:rsidR="00275FCA">
        <w:rPr>
          <w:lang w:val="en-GB"/>
        </w:rPr>
        <w:t>’</w:t>
      </w:r>
      <w:r w:rsidRPr="00275FCA" w:rsidR="0045506B">
        <w:rPr>
          <w:lang w:val="en-GB"/>
        </w:rPr>
        <w:t xml:space="preserve"> signed statements</w:t>
      </w:r>
      <w:r w:rsidRPr="00275FCA" w:rsidR="00155944">
        <w:rPr>
          <w:lang w:val="en-GB"/>
        </w:rPr>
        <w:t xml:space="preserve"> </w:t>
      </w:r>
      <w:r w:rsidRPr="00275FCA" w:rsidR="00A97618">
        <w:rPr>
          <w:lang w:val="en-GB"/>
        </w:rPr>
        <w:t xml:space="preserve">suggest </w:t>
      </w:r>
      <w:r w:rsidRPr="00275FCA" w:rsidR="00155944">
        <w:rPr>
          <w:lang w:val="en-GB"/>
        </w:rPr>
        <w:t>that interpret</w:t>
      </w:r>
      <w:r w:rsidRPr="00275FCA" w:rsidR="00D11A17">
        <w:rPr>
          <w:lang w:val="en-GB"/>
        </w:rPr>
        <w:t>ation</w:t>
      </w:r>
      <w:r w:rsidRPr="00275FCA" w:rsidR="00155944">
        <w:rPr>
          <w:lang w:val="en-GB"/>
        </w:rPr>
        <w:t xml:space="preserve"> service</w:t>
      </w:r>
      <w:r w:rsidRPr="00275FCA" w:rsidR="00A97618">
        <w:rPr>
          <w:lang w:val="en-GB"/>
        </w:rPr>
        <w:t>s</w:t>
      </w:r>
      <w:r w:rsidRPr="00275FCA" w:rsidR="00155944">
        <w:rPr>
          <w:lang w:val="en-GB"/>
        </w:rPr>
        <w:t xml:space="preserve"> </w:t>
      </w:r>
      <w:r w:rsidRPr="00275FCA" w:rsidR="00A97618">
        <w:rPr>
          <w:lang w:val="en-GB"/>
        </w:rPr>
        <w:t xml:space="preserve">were </w:t>
      </w:r>
      <w:r w:rsidRPr="00275FCA" w:rsidR="00155944">
        <w:rPr>
          <w:lang w:val="en-GB"/>
        </w:rPr>
        <w:t xml:space="preserve">provided to three of </w:t>
      </w:r>
      <w:r w:rsidRPr="00275FCA" w:rsidR="0045506B">
        <w:rPr>
          <w:lang w:val="en-GB"/>
        </w:rPr>
        <w:t>them</w:t>
      </w:r>
      <w:r w:rsidRPr="00275FCA" w:rsidR="00155944">
        <w:rPr>
          <w:lang w:val="en-GB"/>
        </w:rPr>
        <w:t xml:space="preserve"> </w:t>
      </w:r>
      <w:r w:rsidRPr="00275FCA" w:rsidR="00C67446">
        <w:rPr>
          <w:lang w:val="en-GB"/>
        </w:rPr>
        <w:t>(</w:t>
      </w:r>
      <w:r w:rsidRPr="00275FCA" w:rsidR="005F72A3">
        <w:rPr>
          <w:lang w:val="en-GB"/>
        </w:rPr>
        <w:t>Ayşe</w:t>
      </w:r>
      <w:r w:rsidRPr="00275FCA" w:rsidR="00155944">
        <w:rPr>
          <w:lang w:val="en-GB"/>
        </w:rPr>
        <w:t xml:space="preserve"> </w:t>
      </w:r>
      <w:r w:rsidRPr="00275FCA" w:rsidR="00864710">
        <w:rPr>
          <w:lang w:val="en-GB"/>
        </w:rPr>
        <w:t>Döner</w:t>
      </w:r>
      <w:r w:rsidRPr="00275FCA" w:rsidR="00155944">
        <w:rPr>
          <w:lang w:val="en-GB"/>
        </w:rPr>
        <w:t xml:space="preserve">, Fatma </w:t>
      </w:r>
      <w:r w:rsidRPr="00275FCA" w:rsidR="005F72A3">
        <w:rPr>
          <w:lang w:val="en-GB"/>
        </w:rPr>
        <w:t>Yılmaz</w:t>
      </w:r>
      <w:r w:rsidRPr="00275FCA" w:rsidR="00155944">
        <w:rPr>
          <w:lang w:val="en-GB"/>
        </w:rPr>
        <w:t xml:space="preserve"> and </w:t>
      </w:r>
      <w:r w:rsidRPr="00275FCA" w:rsidR="005F72A3">
        <w:rPr>
          <w:lang w:val="en-GB"/>
        </w:rPr>
        <w:t>Güli</w:t>
      </w:r>
      <w:r w:rsidRPr="00275FCA" w:rsidR="00155944">
        <w:rPr>
          <w:lang w:val="en-GB"/>
        </w:rPr>
        <w:t xml:space="preserve"> Akyol</w:t>
      </w:r>
      <w:r w:rsidRPr="00275FCA" w:rsidR="00C67446">
        <w:rPr>
          <w:lang w:val="en-GB"/>
        </w:rPr>
        <w:t>)</w:t>
      </w:r>
      <w:r w:rsidRPr="00275FCA" w:rsidR="00D36E5C">
        <w:rPr>
          <w:lang w:val="en-GB"/>
        </w:rPr>
        <w:t xml:space="preserve"> on request</w:t>
      </w:r>
      <w:r w:rsidRPr="00275FCA" w:rsidR="00155944">
        <w:rPr>
          <w:lang w:val="en-GB"/>
        </w:rPr>
        <w:t xml:space="preserve">. </w:t>
      </w:r>
      <w:r w:rsidRPr="00275FCA" w:rsidR="00315885">
        <w:rPr>
          <w:lang w:val="en-GB"/>
        </w:rPr>
        <w:t xml:space="preserve">A note drafted by </w:t>
      </w:r>
      <w:r w:rsidRPr="00275FCA" w:rsidR="00D36816">
        <w:rPr>
          <w:lang w:val="en-GB"/>
        </w:rPr>
        <w:t xml:space="preserve">the </w:t>
      </w:r>
      <w:r w:rsidRPr="00275FCA" w:rsidR="00315885">
        <w:rPr>
          <w:lang w:val="en-GB"/>
        </w:rPr>
        <w:t>police</w:t>
      </w:r>
      <w:r w:rsidRPr="00275FCA" w:rsidR="00D36816">
        <w:rPr>
          <w:lang w:val="en-GB"/>
        </w:rPr>
        <w:t xml:space="preserve"> also</w:t>
      </w:r>
      <w:r w:rsidRPr="00275FCA" w:rsidR="0071023F">
        <w:rPr>
          <w:lang w:val="en-GB"/>
        </w:rPr>
        <w:t xml:space="preserve"> suggests</w:t>
      </w:r>
      <w:r w:rsidRPr="00275FCA" w:rsidR="00315885">
        <w:rPr>
          <w:lang w:val="en-GB"/>
        </w:rPr>
        <w:t xml:space="preserve"> that the applicants other than Meryem Peker, </w:t>
      </w:r>
      <w:r w:rsidRPr="00275FCA" w:rsidR="008B3D31">
        <w:rPr>
          <w:lang w:val="en-GB"/>
        </w:rPr>
        <w:t xml:space="preserve">Halime </w:t>
      </w:r>
      <w:r w:rsidRPr="00275FCA" w:rsidR="005F72A3">
        <w:rPr>
          <w:lang w:val="en-GB"/>
        </w:rPr>
        <w:t>Günana</w:t>
      </w:r>
      <w:r w:rsidRPr="00275FCA" w:rsidR="008B3D31">
        <w:rPr>
          <w:lang w:val="en-GB"/>
        </w:rPr>
        <w:t xml:space="preserve">, </w:t>
      </w:r>
      <w:r w:rsidRPr="00275FCA" w:rsidR="00315885">
        <w:rPr>
          <w:lang w:val="en-GB"/>
        </w:rPr>
        <w:t>Asiya Karadeniz</w:t>
      </w:r>
      <w:r w:rsidRPr="00275FCA" w:rsidR="008B3D31">
        <w:rPr>
          <w:lang w:val="en-GB"/>
        </w:rPr>
        <w:t xml:space="preserve"> and </w:t>
      </w:r>
      <w:r w:rsidRPr="00275FCA" w:rsidR="005F72A3">
        <w:rPr>
          <w:lang w:val="en-GB"/>
        </w:rPr>
        <w:t>Yılmaz</w:t>
      </w:r>
      <w:r w:rsidRPr="00275FCA" w:rsidR="008B3D31">
        <w:rPr>
          <w:lang w:val="en-GB"/>
        </w:rPr>
        <w:t xml:space="preserve"> Yavuz</w:t>
      </w:r>
      <w:r w:rsidRPr="00275FCA" w:rsidR="00315885">
        <w:rPr>
          <w:lang w:val="en-GB"/>
        </w:rPr>
        <w:t xml:space="preserve"> were illiterate.</w:t>
      </w:r>
    </w:p>
    <w:p w:rsidRPr="00275FCA" w:rsidR="00A15EBB" w:rsidP="00275FCA" w:rsidRDefault="00315885">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14</w:t>
      </w:r>
      <w:r w:rsidRPr="00275FCA">
        <w:rPr>
          <w:lang w:val="en-GB"/>
        </w:rPr>
        <w:fldChar w:fldCharType="end"/>
      </w:r>
      <w:r w:rsidRPr="00275FCA">
        <w:rPr>
          <w:lang w:val="en-GB"/>
        </w:rPr>
        <w:t>.  </w:t>
      </w:r>
      <w:r w:rsidRPr="00275FCA" w:rsidR="002366F3">
        <w:rPr>
          <w:lang w:val="en-GB"/>
        </w:rPr>
        <w:t>It appears that in the meantime, some of the applicants</w:t>
      </w:r>
      <w:r w:rsidRPr="00275FCA" w:rsidR="00275FCA">
        <w:rPr>
          <w:lang w:val="en-GB"/>
        </w:rPr>
        <w:t>’</w:t>
      </w:r>
      <w:r w:rsidRPr="00275FCA" w:rsidR="002366F3">
        <w:rPr>
          <w:lang w:val="en-GB"/>
        </w:rPr>
        <w:t xml:space="preserve"> families contacted the Istanbul Bar Association </w:t>
      </w:r>
      <w:r w:rsidRPr="00275FCA" w:rsidR="008B3D31">
        <w:rPr>
          <w:lang w:val="en-GB"/>
        </w:rPr>
        <w:t>seek</w:t>
      </w:r>
      <w:r w:rsidRPr="00275FCA" w:rsidR="00856E3B">
        <w:rPr>
          <w:lang w:val="en-GB"/>
        </w:rPr>
        <w:t>ing</w:t>
      </w:r>
      <w:r w:rsidRPr="00275FCA" w:rsidR="002366F3">
        <w:rPr>
          <w:lang w:val="en-GB"/>
        </w:rPr>
        <w:t xml:space="preserve"> legal aid for </w:t>
      </w:r>
      <w:r w:rsidRPr="00275FCA" w:rsidR="00D36816">
        <w:rPr>
          <w:lang w:val="en-GB"/>
        </w:rPr>
        <w:t>their relatives</w:t>
      </w:r>
      <w:r w:rsidRPr="00275FCA" w:rsidR="0035063C">
        <w:rPr>
          <w:lang w:val="en-GB"/>
        </w:rPr>
        <w:t xml:space="preserve"> </w:t>
      </w:r>
      <w:r w:rsidRPr="00275FCA" w:rsidR="00155555">
        <w:rPr>
          <w:lang w:val="en-GB"/>
        </w:rPr>
        <w:t>during their detention in police custody</w:t>
      </w:r>
      <w:r w:rsidRPr="00275FCA" w:rsidR="002366F3">
        <w:rPr>
          <w:lang w:val="en-GB"/>
        </w:rPr>
        <w:t xml:space="preserve">. </w:t>
      </w:r>
      <w:r w:rsidRPr="00275FCA" w:rsidR="0035063C">
        <w:rPr>
          <w:lang w:val="en-GB"/>
        </w:rPr>
        <w:t>A lawyer was accordingly appointed</w:t>
      </w:r>
      <w:r w:rsidRPr="00275FCA" w:rsidR="00D36816">
        <w:rPr>
          <w:lang w:val="en-GB"/>
        </w:rPr>
        <w:t>. On</w:t>
      </w:r>
      <w:r w:rsidRPr="00275FCA" w:rsidR="0035063C">
        <w:rPr>
          <w:lang w:val="en-GB"/>
        </w:rPr>
        <w:t xml:space="preserve"> 13 January 2002</w:t>
      </w:r>
      <w:r w:rsidRPr="00275FCA" w:rsidR="00D36816">
        <w:rPr>
          <w:lang w:val="en-GB"/>
        </w:rPr>
        <w:t xml:space="preserve"> </w:t>
      </w:r>
      <w:r w:rsidRPr="00275FCA" w:rsidR="00053E3B">
        <w:rPr>
          <w:lang w:val="en-GB"/>
        </w:rPr>
        <w:t>the lawyer</w:t>
      </w:r>
      <w:r w:rsidRPr="00275FCA" w:rsidR="0035063C">
        <w:rPr>
          <w:lang w:val="en-GB"/>
        </w:rPr>
        <w:t xml:space="preserve"> applied to the public prosecutor</w:t>
      </w:r>
      <w:r w:rsidRPr="00275FCA" w:rsidR="00275FCA">
        <w:rPr>
          <w:lang w:val="en-GB"/>
        </w:rPr>
        <w:t>’</w:t>
      </w:r>
      <w:r w:rsidRPr="00275FCA" w:rsidR="00D36816">
        <w:rPr>
          <w:lang w:val="en-GB"/>
        </w:rPr>
        <w:t>s office</w:t>
      </w:r>
      <w:r w:rsidRPr="00275FCA" w:rsidR="0035063C">
        <w:rPr>
          <w:lang w:val="en-GB"/>
        </w:rPr>
        <w:t xml:space="preserve"> at the Istanbul State Security </w:t>
      </w:r>
      <w:r w:rsidRPr="00275FCA" w:rsidR="00D36816">
        <w:rPr>
          <w:lang w:val="en-GB"/>
        </w:rPr>
        <w:t>Court for</w:t>
      </w:r>
      <w:r w:rsidRPr="00275FCA" w:rsidR="0035063C">
        <w:rPr>
          <w:lang w:val="en-GB"/>
        </w:rPr>
        <w:t xml:space="preserve"> information in relation to twelve of the applicants</w:t>
      </w:r>
      <w:r w:rsidRPr="00275FCA" w:rsidR="00A15EBB">
        <w:rPr>
          <w:lang w:val="en-GB"/>
        </w:rPr>
        <w:t xml:space="preserve"> (</w:t>
      </w:r>
      <w:r w:rsidRPr="00275FCA" w:rsidR="00BD7342">
        <w:rPr>
          <w:lang w:val="en-GB"/>
        </w:rPr>
        <w:t xml:space="preserve">Esma </w:t>
      </w:r>
      <w:r w:rsidRPr="00275FCA" w:rsidR="00864710">
        <w:rPr>
          <w:lang w:val="en-GB"/>
        </w:rPr>
        <w:t>Döner</w:t>
      </w:r>
      <w:r w:rsidRPr="00275FCA" w:rsidR="00BD7342">
        <w:rPr>
          <w:lang w:val="en-GB"/>
        </w:rPr>
        <w:t xml:space="preserve">, </w:t>
      </w:r>
      <w:r w:rsidRPr="00275FCA" w:rsidR="00864710">
        <w:rPr>
          <w:lang w:val="en-GB"/>
        </w:rPr>
        <w:t>Gülperi</w:t>
      </w:r>
      <w:r w:rsidRPr="00275FCA" w:rsidR="00BD7342">
        <w:rPr>
          <w:lang w:val="en-GB"/>
        </w:rPr>
        <w:t xml:space="preserve"> </w:t>
      </w:r>
      <w:r w:rsidRPr="00275FCA" w:rsidR="00864710">
        <w:rPr>
          <w:lang w:val="en-GB"/>
        </w:rPr>
        <w:t>Döner</w:t>
      </w:r>
      <w:r w:rsidRPr="00275FCA" w:rsidR="00BD7342">
        <w:rPr>
          <w:lang w:val="en-GB"/>
        </w:rPr>
        <w:t xml:space="preserve">, </w:t>
      </w:r>
      <w:r w:rsidRPr="00275FCA" w:rsidR="005F72A3">
        <w:rPr>
          <w:lang w:val="en-GB"/>
        </w:rPr>
        <w:t>Ayşe</w:t>
      </w:r>
      <w:r w:rsidRPr="00275FCA" w:rsidR="00BD7342">
        <w:rPr>
          <w:lang w:val="en-GB"/>
        </w:rPr>
        <w:t xml:space="preserve"> </w:t>
      </w:r>
      <w:r w:rsidRPr="00275FCA" w:rsidR="00864710">
        <w:rPr>
          <w:lang w:val="en-GB"/>
        </w:rPr>
        <w:t>Döner</w:t>
      </w:r>
      <w:r w:rsidRPr="00275FCA" w:rsidR="00BD7342">
        <w:rPr>
          <w:lang w:val="en-GB"/>
        </w:rPr>
        <w:t>, Han</w:t>
      </w:r>
      <w:r w:rsidRPr="00275FCA" w:rsidR="003E74D4">
        <w:rPr>
          <w:lang w:val="en-GB"/>
        </w:rPr>
        <w:t>ı</w:t>
      </w:r>
      <w:r w:rsidRPr="00275FCA" w:rsidR="00BD7342">
        <w:rPr>
          <w:lang w:val="en-GB"/>
        </w:rPr>
        <w:t xml:space="preserve">m </w:t>
      </w:r>
      <w:r w:rsidRPr="00275FCA" w:rsidR="005F72A3">
        <w:rPr>
          <w:lang w:val="en-GB"/>
        </w:rPr>
        <w:t>Gülün</w:t>
      </w:r>
      <w:r w:rsidRPr="00275FCA" w:rsidR="00BD7342">
        <w:rPr>
          <w:lang w:val="en-GB"/>
        </w:rPr>
        <w:t xml:space="preserve">, </w:t>
      </w:r>
      <w:r w:rsidRPr="00275FCA" w:rsidR="005F72A3">
        <w:rPr>
          <w:lang w:val="en-GB"/>
        </w:rPr>
        <w:t>Şahide</w:t>
      </w:r>
      <w:r w:rsidRPr="00275FCA" w:rsidR="00BD7342">
        <w:rPr>
          <w:lang w:val="en-GB"/>
        </w:rPr>
        <w:t xml:space="preserve"> </w:t>
      </w:r>
      <w:r w:rsidRPr="00275FCA" w:rsidR="005F72A3">
        <w:rPr>
          <w:lang w:val="en-GB"/>
        </w:rPr>
        <w:t>Gümüş</w:t>
      </w:r>
      <w:r w:rsidRPr="00275FCA" w:rsidR="00BD7342">
        <w:rPr>
          <w:lang w:val="en-GB"/>
        </w:rPr>
        <w:t xml:space="preserve">, Hasibe </w:t>
      </w:r>
      <w:r w:rsidRPr="00275FCA" w:rsidR="005F72A3">
        <w:rPr>
          <w:lang w:val="en-GB"/>
        </w:rPr>
        <w:t>Yılmaz</w:t>
      </w:r>
      <w:r w:rsidRPr="00275FCA" w:rsidR="00BD7342">
        <w:rPr>
          <w:lang w:val="en-GB"/>
        </w:rPr>
        <w:t xml:space="preserve">, Fatma </w:t>
      </w:r>
      <w:r w:rsidRPr="00275FCA" w:rsidR="005F72A3">
        <w:rPr>
          <w:lang w:val="en-GB"/>
        </w:rPr>
        <w:t>Yılmaz</w:t>
      </w:r>
      <w:r w:rsidRPr="00275FCA" w:rsidR="00BD7342">
        <w:rPr>
          <w:lang w:val="en-GB"/>
        </w:rPr>
        <w:t xml:space="preserve">, Tenzile Akyol, </w:t>
      </w:r>
      <w:r w:rsidRPr="00275FCA" w:rsidR="005F72A3">
        <w:rPr>
          <w:lang w:val="en-GB"/>
        </w:rPr>
        <w:t>Güli</w:t>
      </w:r>
      <w:r w:rsidRPr="00275FCA" w:rsidR="00BD7342">
        <w:rPr>
          <w:lang w:val="en-GB"/>
        </w:rPr>
        <w:t xml:space="preserve"> Akyol, Fatma </w:t>
      </w:r>
      <w:r w:rsidRPr="00275FCA" w:rsidR="005F72A3">
        <w:rPr>
          <w:lang w:val="en-GB"/>
        </w:rPr>
        <w:t>Duruşkan</w:t>
      </w:r>
      <w:r w:rsidRPr="00275FCA" w:rsidR="00BD7342">
        <w:rPr>
          <w:lang w:val="en-GB"/>
        </w:rPr>
        <w:t>, Meryem Peker</w:t>
      </w:r>
      <w:r w:rsidRPr="00275FCA" w:rsidR="00D36816">
        <w:rPr>
          <w:lang w:val="en-GB"/>
        </w:rPr>
        <w:t xml:space="preserve"> and</w:t>
      </w:r>
      <w:r w:rsidRPr="00275FCA" w:rsidR="00BD7342">
        <w:rPr>
          <w:lang w:val="en-GB"/>
        </w:rPr>
        <w:t xml:space="preserve"> Mehmet </w:t>
      </w:r>
      <w:r w:rsidRPr="00275FCA" w:rsidR="005F72A3">
        <w:rPr>
          <w:lang w:val="en-GB"/>
        </w:rPr>
        <w:t>Şirin</w:t>
      </w:r>
      <w:r w:rsidRPr="00275FCA" w:rsidR="00BD7342">
        <w:rPr>
          <w:lang w:val="en-GB"/>
        </w:rPr>
        <w:t xml:space="preserve"> </w:t>
      </w:r>
      <w:r w:rsidRPr="00275FCA" w:rsidR="00864710">
        <w:rPr>
          <w:lang w:val="en-GB"/>
        </w:rPr>
        <w:t>Döner</w:t>
      </w:r>
      <w:r w:rsidRPr="00275FCA" w:rsidR="00BD7342">
        <w:rPr>
          <w:lang w:val="en-GB"/>
        </w:rPr>
        <w:t xml:space="preserve">). </w:t>
      </w:r>
      <w:r w:rsidRPr="00275FCA" w:rsidR="00A15EBB">
        <w:rPr>
          <w:lang w:val="en-GB"/>
        </w:rPr>
        <w:t xml:space="preserve">In particular, he </w:t>
      </w:r>
      <w:r w:rsidRPr="00275FCA" w:rsidR="00D36816">
        <w:rPr>
          <w:lang w:val="en-GB"/>
        </w:rPr>
        <w:t xml:space="preserve">enquired </w:t>
      </w:r>
      <w:r w:rsidRPr="00275FCA" w:rsidR="004E2CDA">
        <w:rPr>
          <w:lang w:val="en-GB"/>
        </w:rPr>
        <w:t xml:space="preserve">about </w:t>
      </w:r>
      <w:r w:rsidRPr="00275FCA" w:rsidR="00A15EBB">
        <w:rPr>
          <w:lang w:val="en-GB"/>
        </w:rPr>
        <w:t>their legal status</w:t>
      </w:r>
      <w:r w:rsidRPr="00275FCA" w:rsidR="004E2CDA">
        <w:rPr>
          <w:lang w:val="en-GB"/>
        </w:rPr>
        <w:t xml:space="preserve"> and the charges they were facing,</w:t>
      </w:r>
      <w:r w:rsidRPr="00275FCA" w:rsidR="00A15EBB">
        <w:rPr>
          <w:lang w:val="en-GB"/>
        </w:rPr>
        <w:t xml:space="preserve"> and asked to </w:t>
      </w:r>
      <w:r w:rsidRPr="00275FCA" w:rsidR="00ED3C40">
        <w:rPr>
          <w:lang w:val="en-GB"/>
        </w:rPr>
        <w:t xml:space="preserve">meet them and to </w:t>
      </w:r>
      <w:r w:rsidRPr="00275FCA" w:rsidR="00A15EBB">
        <w:rPr>
          <w:lang w:val="en-GB"/>
        </w:rPr>
        <w:t xml:space="preserve">provide </w:t>
      </w:r>
      <w:r w:rsidRPr="00275FCA" w:rsidR="00ED3C40">
        <w:rPr>
          <w:lang w:val="en-GB"/>
        </w:rPr>
        <w:t xml:space="preserve">them with the necessary </w:t>
      </w:r>
      <w:r w:rsidRPr="00275FCA" w:rsidR="00A15EBB">
        <w:rPr>
          <w:lang w:val="en-GB"/>
        </w:rPr>
        <w:t xml:space="preserve">legal assistance. </w:t>
      </w:r>
      <w:r w:rsidRPr="00275FCA" w:rsidR="00ED3C40">
        <w:rPr>
          <w:lang w:val="en-GB"/>
        </w:rPr>
        <w:t xml:space="preserve">On the same day </w:t>
      </w:r>
      <w:r w:rsidRPr="00275FCA" w:rsidR="00D36816">
        <w:rPr>
          <w:lang w:val="en-GB"/>
        </w:rPr>
        <w:t>he</w:t>
      </w:r>
      <w:r w:rsidRPr="00275FCA" w:rsidR="0074785B">
        <w:rPr>
          <w:lang w:val="en-GB"/>
        </w:rPr>
        <w:t xml:space="preserve"> applied to the Istanbul State Security Court </w:t>
      </w:r>
      <w:r w:rsidRPr="00275FCA" w:rsidR="00D36816">
        <w:rPr>
          <w:lang w:val="en-GB"/>
        </w:rPr>
        <w:t xml:space="preserve">to have </w:t>
      </w:r>
      <w:r w:rsidRPr="00275FCA" w:rsidR="0074785B">
        <w:rPr>
          <w:lang w:val="en-GB"/>
        </w:rPr>
        <w:t>the same twelve applicants</w:t>
      </w:r>
      <w:r w:rsidRPr="00275FCA" w:rsidR="00D36816">
        <w:rPr>
          <w:lang w:val="en-GB"/>
        </w:rPr>
        <w:t xml:space="preserve"> released</w:t>
      </w:r>
      <w:r w:rsidRPr="00275FCA" w:rsidR="0074785B">
        <w:rPr>
          <w:lang w:val="en-GB"/>
        </w:rPr>
        <w:t xml:space="preserve">, arguing that </w:t>
      </w:r>
      <w:r w:rsidRPr="00275FCA" w:rsidR="00D36816">
        <w:rPr>
          <w:lang w:val="en-GB"/>
        </w:rPr>
        <w:t>they were being held in custody</w:t>
      </w:r>
      <w:r w:rsidRPr="00275FCA" w:rsidR="0074785B">
        <w:rPr>
          <w:lang w:val="en-GB"/>
        </w:rPr>
        <w:t xml:space="preserve"> unlawful</w:t>
      </w:r>
      <w:r w:rsidRPr="00275FCA" w:rsidR="00D36816">
        <w:rPr>
          <w:lang w:val="en-GB"/>
        </w:rPr>
        <w:t>ly</w:t>
      </w:r>
      <w:r w:rsidRPr="00275FCA" w:rsidR="0074785B">
        <w:rPr>
          <w:lang w:val="en-GB"/>
        </w:rPr>
        <w:t>.</w:t>
      </w:r>
    </w:p>
    <w:p w:rsidRPr="00275FCA" w:rsidR="0074785B" w:rsidP="00275FCA" w:rsidRDefault="0074785B">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15</w:t>
      </w:r>
      <w:r w:rsidRPr="00275FCA">
        <w:rPr>
          <w:lang w:val="en-GB"/>
        </w:rPr>
        <w:fldChar w:fldCharType="end"/>
      </w:r>
      <w:r w:rsidRPr="00275FCA">
        <w:rPr>
          <w:lang w:val="en-GB"/>
        </w:rPr>
        <w:t xml:space="preserve">.  On the same day a judge at the Istanbul State Security Court decided that there was no need to </w:t>
      </w:r>
      <w:r w:rsidRPr="00275FCA" w:rsidR="00D36816">
        <w:rPr>
          <w:lang w:val="en-GB"/>
        </w:rPr>
        <w:t>decide</w:t>
      </w:r>
      <w:r w:rsidRPr="00275FCA">
        <w:rPr>
          <w:lang w:val="en-GB"/>
        </w:rPr>
        <w:t xml:space="preserve"> </w:t>
      </w:r>
      <w:r w:rsidRPr="00275FCA" w:rsidR="00D11A17">
        <w:rPr>
          <w:lang w:val="en-GB"/>
        </w:rPr>
        <w:t xml:space="preserve">on </w:t>
      </w:r>
      <w:r w:rsidRPr="00275FCA">
        <w:rPr>
          <w:lang w:val="en-GB"/>
        </w:rPr>
        <w:t xml:space="preserve">the </w:t>
      </w:r>
      <w:r w:rsidRPr="00275FCA" w:rsidR="00155555">
        <w:rPr>
          <w:lang w:val="en-GB"/>
        </w:rPr>
        <w:t>lawyer</w:t>
      </w:r>
      <w:r w:rsidRPr="00275FCA" w:rsidR="00275FCA">
        <w:rPr>
          <w:lang w:val="en-GB"/>
        </w:rPr>
        <w:t>’</w:t>
      </w:r>
      <w:r w:rsidRPr="00275FCA">
        <w:rPr>
          <w:lang w:val="en-GB"/>
        </w:rPr>
        <w:t xml:space="preserve">s request as there was no record of the </w:t>
      </w:r>
      <w:r w:rsidRPr="00275FCA" w:rsidR="00D36816">
        <w:rPr>
          <w:lang w:val="en-GB"/>
        </w:rPr>
        <w:t>individuals in question</w:t>
      </w:r>
      <w:r w:rsidRPr="00275FCA">
        <w:rPr>
          <w:lang w:val="en-GB"/>
        </w:rPr>
        <w:t xml:space="preserve"> </w:t>
      </w:r>
      <w:r w:rsidRPr="00275FCA" w:rsidR="00D36816">
        <w:rPr>
          <w:lang w:val="en-GB"/>
        </w:rPr>
        <w:t xml:space="preserve">being detained </w:t>
      </w:r>
      <w:r w:rsidRPr="00275FCA">
        <w:rPr>
          <w:lang w:val="en-GB"/>
        </w:rPr>
        <w:t>in relation to an investigation conducted by the public prosecutor</w:t>
      </w:r>
      <w:r w:rsidRPr="00275FCA" w:rsidR="00275FCA">
        <w:rPr>
          <w:lang w:val="en-GB"/>
        </w:rPr>
        <w:t>’</w:t>
      </w:r>
      <w:r w:rsidRPr="00275FCA" w:rsidR="002F0C3A">
        <w:rPr>
          <w:lang w:val="en-GB"/>
        </w:rPr>
        <w:t>s office</w:t>
      </w:r>
      <w:r w:rsidRPr="00275FCA">
        <w:rPr>
          <w:lang w:val="en-GB"/>
        </w:rPr>
        <w:t xml:space="preserve">. On 16 January 2002 the Istanbul State Security Court rejected </w:t>
      </w:r>
      <w:r w:rsidRPr="00275FCA" w:rsidR="002F0C3A">
        <w:rPr>
          <w:lang w:val="en-GB"/>
        </w:rPr>
        <w:t>a</w:t>
      </w:r>
      <w:r w:rsidRPr="00275FCA">
        <w:rPr>
          <w:lang w:val="en-GB"/>
        </w:rPr>
        <w:t xml:space="preserve"> request </w:t>
      </w:r>
      <w:r w:rsidRPr="00275FCA" w:rsidR="002F0C3A">
        <w:rPr>
          <w:lang w:val="en-GB"/>
        </w:rPr>
        <w:t xml:space="preserve">by the lawyer to have </w:t>
      </w:r>
      <w:r w:rsidRPr="00275FCA">
        <w:rPr>
          <w:lang w:val="en-GB"/>
        </w:rPr>
        <w:t>the decision rendered by the judge</w:t>
      </w:r>
      <w:r w:rsidRPr="00275FCA" w:rsidR="002F0C3A">
        <w:rPr>
          <w:lang w:val="en-GB"/>
        </w:rPr>
        <w:t xml:space="preserve"> set aside</w:t>
      </w:r>
      <w:r w:rsidRPr="00275FCA">
        <w:rPr>
          <w:lang w:val="en-GB"/>
        </w:rPr>
        <w:t>.</w:t>
      </w:r>
    </w:p>
    <w:p w:rsidRPr="00275FCA" w:rsidR="004E2CDA" w:rsidP="00275FCA" w:rsidRDefault="004E2CDA">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16</w:t>
      </w:r>
      <w:r w:rsidRPr="00275FCA">
        <w:rPr>
          <w:lang w:val="en-GB"/>
        </w:rPr>
        <w:fldChar w:fldCharType="end"/>
      </w:r>
      <w:r w:rsidRPr="00275FCA">
        <w:rPr>
          <w:lang w:val="en-GB"/>
        </w:rPr>
        <w:t>.  </w:t>
      </w:r>
      <w:r w:rsidRPr="00275FCA" w:rsidR="0074785B">
        <w:rPr>
          <w:lang w:val="en-GB"/>
        </w:rPr>
        <w:t>In the meantime, o</w:t>
      </w:r>
      <w:r w:rsidRPr="00275FCA">
        <w:rPr>
          <w:lang w:val="en-GB"/>
        </w:rPr>
        <w:t xml:space="preserve">n 14 January 2002 the public prosecutor </w:t>
      </w:r>
      <w:r w:rsidRPr="00275FCA" w:rsidR="00155555">
        <w:rPr>
          <w:lang w:val="en-GB"/>
        </w:rPr>
        <w:t>informed the lawyer</w:t>
      </w:r>
      <w:r w:rsidRPr="00275FCA" w:rsidR="0074785B">
        <w:rPr>
          <w:lang w:val="en-GB"/>
        </w:rPr>
        <w:t xml:space="preserve"> </w:t>
      </w:r>
      <w:r w:rsidRPr="00275FCA">
        <w:rPr>
          <w:lang w:val="en-GB"/>
        </w:rPr>
        <w:t xml:space="preserve">that the applicants in question </w:t>
      </w:r>
      <w:r w:rsidRPr="00275FCA" w:rsidR="002F0C3A">
        <w:rPr>
          <w:lang w:val="en-GB"/>
        </w:rPr>
        <w:t>were in custody</w:t>
      </w:r>
      <w:r w:rsidRPr="00275FCA">
        <w:rPr>
          <w:lang w:val="en-GB"/>
        </w:rPr>
        <w:t xml:space="preserve"> on suspicion of </w:t>
      </w:r>
      <w:r w:rsidRPr="00275FCA" w:rsidR="002F0C3A">
        <w:rPr>
          <w:lang w:val="en-GB"/>
        </w:rPr>
        <w:t xml:space="preserve">being affiliated </w:t>
      </w:r>
      <w:r w:rsidRPr="00275FCA">
        <w:rPr>
          <w:lang w:val="en-GB"/>
        </w:rPr>
        <w:t>with an illegal organisation</w:t>
      </w:r>
      <w:r w:rsidRPr="00275FCA" w:rsidR="002F0C3A">
        <w:rPr>
          <w:lang w:val="en-GB"/>
        </w:rPr>
        <w:t>, and that</w:t>
      </w:r>
      <w:r w:rsidRPr="00275FCA" w:rsidR="003D12F1">
        <w:rPr>
          <w:lang w:val="en-GB"/>
        </w:rPr>
        <w:t xml:space="preserve"> there was no need to </w:t>
      </w:r>
      <w:r w:rsidRPr="00275FCA" w:rsidR="00BD04A4">
        <w:rPr>
          <w:lang w:val="en-GB"/>
        </w:rPr>
        <w:t>decide</w:t>
      </w:r>
      <w:r w:rsidRPr="00275FCA" w:rsidR="003D12F1">
        <w:rPr>
          <w:lang w:val="en-GB"/>
        </w:rPr>
        <w:t xml:space="preserve"> </w:t>
      </w:r>
      <w:r w:rsidRPr="00275FCA" w:rsidR="00D11A17">
        <w:rPr>
          <w:lang w:val="en-GB"/>
        </w:rPr>
        <w:t xml:space="preserve">on </w:t>
      </w:r>
      <w:r w:rsidRPr="00275FCA">
        <w:rPr>
          <w:lang w:val="en-GB"/>
        </w:rPr>
        <w:t xml:space="preserve">the </w:t>
      </w:r>
      <w:r w:rsidRPr="00275FCA" w:rsidR="00155555">
        <w:rPr>
          <w:lang w:val="en-GB"/>
        </w:rPr>
        <w:t>lawyer</w:t>
      </w:r>
      <w:r w:rsidRPr="00275FCA" w:rsidR="00275FCA">
        <w:rPr>
          <w:lang w:val="en-GB"/>
        </w:rPr>
        <w:t>’</w:t>
      </w:r>
      <w:r w:rsidRPr="00275FCA">
        <w:rPr>
          <w:lang w:val="en-GB"/>
        </w:rPr>
        <w:t xml:space="preserve">s request to have access to </w:t>
      </w:r>
      <w:r w:rsidRPr="00275FCA" w:rsidR="002F0C3A">
        <w:rPr>
          <w:lang w:val="en-GB"/>
        </w:rPr>
        <w:t xml:space="preserve">them </w:t>
      </w:r>
      <w:r w:rsidRPr="00275FCA">
        <w:rPr>
          <w:lang w:val="en-GB"/>
        </w:rPr>
        <w:t xml:space="preserve">as no </w:t>
      </w:r>
      <w:r w:rsidRPr="00275FCA" w:rsidR="002F0C3A">
        <w:rPr>
          <w:lang w:val="en-GB"/>
        </w:rPr>
        <w:t xml:space="preserve">authorisation </w:t>
      </w:r>
      <w:r w:rsidRPr="00275FCA">
        <w:rPr>
          <w:lang w:val="en-GB"/>
        </w:rPr>
        <w:t>for their detention in police custody had yet been issued by the public prosecutor</w:t>
      </w:r>
      <w:r w:rsidRPr="00275FCA" w:rsidR="00275FCA">
        <w:rPr>
          <w:lang w:val="en-GB"/>
        </w:rPr>
        <w:t>’</w:t>
      </w:r>
      <w:r w:rsidRPr="00275FCA" w:rsidR="002F0C3A">
        <w:rPr>
          <w:lang w:val="en-GB"/>
        </w:rPr>
        <w:t>s office</w:t>
      </w:r>
      <w:r w:rsidRPr="00275FCA">
        <w:rPr>
          <w:lang w:val="en-GB"/>
        </w:rPr>
        <w:t>.</w:t>
      </w:r>
    </w:p>
    <w:p w:rsidRPr="00275FCA" w:rsidR="00B37444" w:rsidP="00275FCA" w:rsidRDefault="00B3744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17</w:t>
      </w:r>
      <w:r w:rsidRPr="00275FCA">
        <w:rPr>
          <w:lang w:val="en-GB"/>
        </w:rPr>
        <w:fldChar w:fldCharType="end"/>
      </w:r>
      <w:r w:rsidRPr="00275FCA">
        <w:rPr>
          <w:lang w:val="en-GB"/>
        </w:rPr>
        <w:t xml:space="preserve">.  It appears that shortly after </w:t>
      </w:r>
      <w:r w:rsidRPr="00275FCA" w:rsidR="002F0C3A">
        <w:rPr>
          <w:lang w:val="en-GB"/>
        </w:rPr>
        <w:t xml:space="preserve">that </w:t>
      </w:r>
      <w:r w:rsidRPr="00275FCA">
        <w:rPr>
          <w:lang w:val="en-GB"/>
        </w:rPr>
        <w:t xml:space="preserve">decision, still on 14 January 2002, the public prosecutor </w:t>
      </w:r>
      <w:r w:rsidRPr="00275FCA" w:rsidR="008A5D1A">
        <w:rPr>
          <w:lang w:val="en-GB"/>
        </w:rPr>
        <w:t>authorised the applicants</w:t>
      </w:r>
      <w:r w:rsidRPr="00275FCA" w:rsidR="00275FCA">
        <w:rPr>
          <w:lang w:val="en-GB"/>
        </w:rPr>
        <w:t>’</w:t>
      </w:r>
      <w:r w:rsidRPr="00275FCA" w:rsidR="008A5D1A">
        <w:rPr>
          <w:lang w:val="en-GB"/>
        </w:rPr>
        <w:t xml:space="preserve"> detention in police custody for four days between 13 and 17 January 2002. </w:t>
      </w:r>
      <w:r w:rsidRPr="00275FCA" w:rsidR="002F0C3A">
        <w:rPr>
          <w:lang w:val="en-GB"/>
        </w:rPr>
        <w:t xml:space="preserve">The </w:t>
      </w:r>
      <w:r w:rsidRPr="00275FCA" w:rsidR="00155555">
        <w:rPr>
          <w:lang w:val="en-GB"/>
        </w:rPr>
        <w:t xml:space="preserve">authorisation was granted in response to a request made by the </w:t>
      </w:r>
      <w:r w:rsidRPr="00275FCA" w:rsidR="00380E66">
        <w:rPr>
          <w:lang w:val="en-GB"/>
        </w:rPr>
        <w:t xml:space="preserve">Anti-terrorism branch of the Istanbul Security Directorate, who </w:t>
      </w:r>
      <w:r w:rsidRPr="00275FCA" w:rsidR="00D11A17">
        <w:rPr>
          <w:lang w:val="en-GB"/>
        </w:rPr>
        <w:t xml:space="preserve">had </w:t>
      </w:r>
      <w:r w:rsidRPr="00275FCA" w:rsidR="00AE01DB">
        <w:rPr>
          <w:lang w:val="en-GB"/>
        </w:rPr>
        <w:t>claimed</w:t>
      </w:r>
      <w:r w:rsidRPr="00275FCA" w:rsidR="00380E66">
        <w:rPr>
          <w:lang w:val="en-GB"/>
        </w:rPr>
        <w:t xml:space="preserve"> that </w:t>
      </w:r>
      <w:r w:rsidRPr="00275FCA" w:rsidR="002F0C3A">
        <w:rPr>
          <w:lang w:val="en-GB"/>
        </w:rPr>
        <w:t>the applicants</w:t>
      </w:r>
      <w:r w:rsidRPr="00275FCA" w:rsidR="00275FCA">
        <w:rPr>
          <w:lang w:val="en-GB"/>
        </w:rPr>
        <w:t>’</w:t>
      </w:r>
      <w:r w:rsidRPr="00275FCA" w:rsidR="002F0C3A">
        <w:rPr>
          <w:lang w:val="en-GB"/>
        </w:rPr>
        <w:t xml:space="preserve"> </w:t>
      </w:r>
      <w:r w:rsidRPr="00275FCA" w:rsidR="00380E66">
        <w:rPr>
          <w:lang w:val="en-GB"/>
        </w:rPr>
        <w:t xml:space="preserve">detention was needed for the completion of </w:t>
      </w:r>
      <w:r w:rsidRPr="00275FCA" w:rsidR="002F0C3A">
        <w:rPr>
          <w:lang w:val="en-GB"/>
        </w:rPr>
        <w:t>their</w:t>
      </w:r>
      <w:r w:rsidRPr="00275FCA" w:rsidR="00380E66">
        <w:rPr>
          <w:lang w:val="en-GB"/>
        </w:rPr>
        <w:t xml:space="preserve"> files, in particular to verify whether the petitions had been submitted by the applicants themselves, whether they had any affiliation </w:t>
      </w:r>
      <w:r w:rsidRPr="00275FCA" w:rsidR="00015DC6">
        <w:rPr>
          <w:lang w:val="en-GB"/>
        </w:rPr>
        <w:t>with the PKK and</w:t>
      </w:r>
      <w:r w:rsidRPr="00275FCA" w:rsidR="00380E66">
        <w:rPr>
          <w:lang w:val="en-GB"/>
        </w:rPr>
        <w:t xml:space="preserve"> whether they were be</w:t>
      </w:r>
      <w:r w:rsidRPr="00275FCA" w:rsidR="00015DC6">
        <w:rPr>
          <w:lang w:val="en-GB"/>
        </w:rPr>
        <w:t xml:space="preserve">ing searched for </w:t>
      </w:r>
      <w:r w:rsidRPr="00275FCA" w:rsidR="00D11A17">
        <w:rPr>
          <w:lang w:val="en-GB"/>
        </w:rPr>
        <w:t xml:space="preserve">in connection with </w:t>
      </w:r>
      <w:r w:rsidRPr="00275FCA" w:rsidR="00015DC6">
        <w:rPr>
          <w:lang w:val="en-GB"/>
        </w:rPr>
        <w:t>other offences</w:t>
      </w:r>
      <w:r w:rsidRPr="00275FCA" w:rsidR="00AE01DB">
        <w:rPr>
          <w:lang w:val="en-GB"/>
        </w:rPr>
        <w:t xml:space="preserve"> (see paragraph </w:t>
      </w:r>
      <w:r w:rsidRPr="00275FCA" w:rsidR="003A1330">
        <w:rPr>
          <w:lang w:val="en-GB"/>
        </w:rPr>
        <w:t>32</w:t>
      </w:r>
      <w:r w:rsidRPr="00275FCA" w:rsidR="00AE01DB">
        <w:rPr>
          <w:lang w:val="en-GB"/>
        </w:rPr>
        <w:t xml:space="preserve"> below for the legal basis </w:t>
      </w:r>
      <w:r w:rsidRPr="00275FCA" w:rsidR="00D47886">
        <w:rPr>
          <w:lang w:val="en-GB"/>
        </w:rPr>
        <w:t>for that</w:t>
      </w:r>
      <w:r w:rsidRPr="00275FCA" w:rsidR="00AE01DB">
        <w:rPr>
          <w:lang w:val="en-GB"/>
        </w:rPr>
        <w:t xml:space="preserve"> authorisation)</w:t>
      </w:r>
      <w:r w:rsidRPr="00275FCA" w:rsidR="00125526">
        <w:rPr>
          <w:lang w:val="en-GB"/>
        </w:rPr>
        <w:t>.</w:t>
      </w:r>
    </w:p>
    <w:p w:rsidRPr="00275FCA" w:rsidR="002509C1" w:rsidP="00275FCA" w:rsidRDefault="0074785B">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18</w:t>
      </w:r>
      <w:r w:rsidRPr="00275FCA">
        <w:rPr>
          <w:lang w:val="en-GB"/>
        </w:rPr>
        <w:fldChar w:fldCharType="end"/>
      </w:r>
      <w:r w:rsidRPr="00275FCA">
        <w:rPr>
          <w:lang w:val="en-GB"/>
        </w:rPr>
        <w:t>.  </w:t>
      </w:r>
      <w:r w:rsidRPr="00275FCA" w:rsidR="00285798">
        <w:rPr>
          <w:lang w:val="en-GB"/>
        </w:rPr>
        <w:t xml:space="preserve">At </w:t>
      </w:r>
      <w:r w:rsidRPr="00275FCA" w:rsidR="008C58BE">
        <w:rPr>
          <w:lang w:val="en-GB"/>
        </w:rPr>
        <w:t xml:space="preserve">8.30 a.m. on 17 January 2002 the applicants were </w:t>
      </w:r>
      <w:r w:rsidRPr="00275FCA" w:rsidR="00B44881">
        <w:rPr>
          <w:lang w:val="en-GB"/>
        </w:rPr>
        <w:t>taken out of</w:t>
      </w:r>
      <w:r w:rsidRPr="00275FCA" w:rsidR="008C58BE">
        <w:rPr>
          <w:lang w:val="en-GB"/>
        </w:rPr>
        <w:t xml:space="preserve"> the detention centre and, following a routine medical check</w:t>
      </w:r>
      <w:r w:rsidRPr="00275FCA" w:rsidR="00C67446">
        <w:rPr>
          <w:lang w:val="en-GB"/>
        </w:rPr>
        <w:t>-up</w:t>
      </w:r>
      <w:r w:rsidRPr="00275FCA" w:rsidR="008C58BE">
        <w:rPr>
          <w:lang w:val="en-GB"/>
        </w:rPr>
        <w:t xml:space="preserve">, were brought before the </w:t>
      </w:r>
      <w:r w:rsidRPr="00275FCA" w:rsidR="002509C1">
        <w:rPr>
          <w:lang w:val="en-GB"/>
        </w:rPr>
        <w:t>public prosecutor at the Istanbul State Security Court. The</w:t>
      </w:r>
      <w:r w:rsidRPr="00275FCA" w:rsidR="00C67446">
        <w:rPr>
          <w:lang w:val="en-GB"/>
        </w:rPr>
        <w:t>y</w:t>
      </w:r>
      <w:r w:rsidRPr="00275FCA" w:rsidR="002509C1">
        <w:rPr>
          <w:lang w:val="en-GB"/>
        </w:rPr>
        <w:t xml:space="preserve"> admitted </w:t>
      </w:r>
      <w:r w:rsidRPr="00275FCA" w:rsidR="005E3669">
        <w:rPr>
          <w:lang w:val="en-GB"/>
        </w:rPr>
        <w:t xml:space="preserve">before the public prosecutor </w:t>
      </w:r>
      <w:r w:rsidRPr="00275FCA" w:rsidR="002509C1">
        <w:rPr>
          <w:lang w:val="en-GB"/>
        </w:rPr>
        <w:t>that they had written the petitions,</w:t>
      </w:r>
      <w:r w:rsidRPr="00275FCA" w:rsidR="000C5006">
        <w:rPr>
          <w:lang w:val="en-GB"/>
        </w:rPr>
        <w:t xml:space="preserve"> either </w:t>
      </w:r>
      <w:r w:rsidRPr="00275FCA" w:rsidR="00FA1392">
        <w:rPr>
          <w:lang w:val="en-GB"/>
        </w:rPr>
        <w:t xml:space="preserve">themselves </w:t>
      </w:r>
      <w:r w:rsidRPr="00275FCA" w:rsidR="000C5006">
        <w:rPr>
          <w:lang w:val="en-GB"/>
        </w:rPr>
        <w:t>or with the help of their children,</w:t>
      </w:r>
      <w:r w:rsidRPr="00275FCA" w:rsidR="002509C1">
        <w:rPr>
          <w:lang w:val="en-GB"/>
        </w:rPr>
        <w:t xml:space="preserve"> but stated that they </w:t>
      </w:r>
      <w:r w:rsidRPr="00275FCA" w:rsidR="00FA1392">
        <w:rPr>
          <w:lang w:val="en-GB"/>
        </w:rPr>
        <w:t xml:space="preserve">had </w:t>
      </w:r>
      <w:r w:rsidRPr="00275FCA" w:rsidR="002509C1">
        <w:rPr>
          <w:lang w:val="en-GB"/>
        </w:rPr>
        <w:t xml:space="preserve">no </w:t>
      </w:r>
      <w:r w:rsidRPr="00275FCA" w:rsidR="00FA1392">
        <w:rPr>
          <w:lang w:val="en-GB"/>
        </w:rPr>
        <w:t xml:space="preserve">other </w:t>
      </w:r>
      <w:r w:rsidRPr="00275FCA" w:rsidR="002509C1">
        <w:rPr>
          <w:lang w:val="en-GB"/>
        </w:rPr>
        <w:t xml:space="preserve">motive than </w:t>
      </w:r>
      <w:r w:rsidRPr="00275FCA" w:rsidR="00FA1392">
        <w:rPr>
          <w:lang w:val="en-GB"/>
        </w:rPr>
        <w:t>w</w:t>
      </w:r>
      <w:r w:rsidRPr="00275FCA" w:rsidR="00C67446">
        <w:rPr>
          <w:lang w:val="en-GB"/>
        </w:rPr>
        <w:t>ant</w:t>
      </w:r>
      <w:r w:rsidRPr="00275FCA" w:rsidR="00D11A17">
        <w:rPr>
          <w:lang w:val="en-GB"/>
        </w:rPr>
        <w:t>ing</w:t>
      </w:r>
      <w:r w:rsidRPr="00275FCA" w:rsidR="00C67446">
        <w:rPr>
          <w:lang w:val="en-GB"/>
        </w:rPr>
        <w:t xml:space="preserve"> </w:t>
      </w:r>
      <w:r w:rsidRPr="00275FCA" w:rsidR="002509C1">
        <w:rPr>
          <w:lang w:val="en-GB"/>
        </w:rPr>
        <w:t xml:space="preserve">their children </w:t>
      </w:r>
      <w:r w:rsidRPr="00275FCA" w:rsidR="00FA1392">
        <w:rPr>
          <w:lang w:val="en-GB"/>
        </w:rPr>
        <w:t xml:space="preserve">to </w:t>
      </w:r>
      <w:r w:rsidRPr="00275FCA" w:rsidR="002509C1">
        <w:rPr>
          <w:lang w:val="en-GB"/>
        </w:rPr>
        <w:t>learn their mother tongue</w:t>
      </w:r>
      <w:r w:rsidRPr="00275FCA" w:rsidR="00FA1392">
        <w:rPr>
          <w:lang w:val="en-GB"/>
        </w:rPr>
        <w:t>. They</w:t>
      </w:r>
      <w:r w:rsidRPr="00275FCA" w:rsidR="002509C1">
        <w:rPr>
          <w:lang w:val="en-GB"/>
        </w:rPr>
        <w:t xml:space="preserve"> denied any involvement with the PKK. </w:t>
      </w:r>
      <w:r w:rsidRPr="00275FCA" w:rsidR="000C5006">
        <w:rPr>
          <w:lang w:val="en-GB"/>
        </w:rPr>
        <w:t>S</w:t>
      </w:r>
      <w:r w:rsidRPr="00275FCA" w:rsidR="002509C1">
        <w:rPr>
          <w:lang w:val="en-GB"/>
        </w:rPr>
        <w:t>ome of the applicants claimed that they had submitted petitions after hearing about it from other parents at school or on television. According to the information provided by the Government,</w:t>
      </w:r>
      <w:r w:rsidRPr="00275FCA" w:rsidR="00A324D2">
        <w:rPr>
          <w:lang w:val="en-GB"/>
        </w:rPr>
        <w:t xml:space="preserve"> s</w:t>
      </w:r>
      <w:r w:rsidRPr="00275FCA" w:rsidR="002509C1">
        <w:rPr>
          <w:lang w:val="en-GB"/>
        </w:rPr>
        <w:t>even of the applicants (</w:t>
      </w:r>
      <w:r w:rsidRPr="00275FCA" w:rsidR="005F72A3">
        <w:rPr>
          <w:lang w:val="en-GB"/>
        </w:rPr>
        <w:t>Ayşe</w:t>
      </w:r>
      <w:r w:rsidRPr="00275FCA" w:rsidR="00BD7342">
        <w:rPr>
          <w:lang w:val="en-GB"/>
        </w:rPr>
        <w:t xml:space="preserve"> </w:t>
      </w:r>
      <w:r w:rsidRPr="00275FCA" w:rsidR="00864710">
        <w:rPr>
          <w:lang w:val="en-GB"/>
        </w:rPr>
        <w:t>Döner</w:t>
      </w:r>
      <w:r w:rsidRPr="00275FCA" w:rsidR="00BD7342">
        <w:rPr>
          <w:lang w:val="en-GB"/>
        </w:rPr>
        <w:t xml:space="preserve">, Hasibe </w:t>
      </w:r>
      <w:r w:rsidRPr="00275FCA" w:rsidR="005F72A3">
        <w:rPr>
          <w:lang w:val="en-GB"/>
        </w:rPr>
        <w:t>Yılmaz</w:t>
      </w:r>
      <w:r w:rsidRPr="00275FCA" w:rsidR="00BD7342">
        <w:rPr>
          <w:lang w:val="en-GB"/>
        </w:rPr>
        <w:t xml:space="preserve">, Fatma </w:t>
      </w:r>
      <w:r w:rsidRPr="00275FCA" w:rsidR="005F72A3">
        <w:rPr>
          <w:lang w:val="en-GB"/>
        </w:rPr>
        <w:t>Yılmaz</w:t>
      </w:r>
      <w:r w:rsidRPr="00275FCA" w:rsidR="00BD7342">
        <w:rPr>
          <w:lang w:val="en-GB"/>
        </w:rPr>
        <w:t xml:space="preserve">, Tenzile Akyol, </w:t>
      </w:r>
      <w:r w:rsidRPr="00275FCA" w:rsidR="005F72A3">
        <w:rPr>
          <w:lang w:val="en-GB"/>
        </w:rPr>
        <w:t>Güli</w:t>
      </w:r>
      <w:r w:rsidRPr="00275FCA" w:rsidR="00BD7342">
        <w:rPr>
          <w:lang w:val="en-GB"/>
        </w:rPr>
        <w:t xml:space="preserve"> Akyol, Meliha Can and Kudret </w:t>
      </w:r>
      <w:r w:rsidRPr="00275FCA" w:rsidR="005F72A3">
        <w:rPr>
          <w:lang w:val="en-GB"/>
        </w:rPr>
        <w:t>Dağ</w:t>
      </w:r>
      <w:r w:rsidRPr="00275FCA" w:rsidR="00BD7342">
        <w:rPr>
          <w:lang w:val="en-GB"/>
        </w:rPr>
        <w:t xml:space="preserve">) </w:t>
      </w:r>
      <w:r w:rsidRPr="00275FCA" w:rsidR="002509C1">
        <w:rPr>
          <w:lang w:val="en-GB"/>
        </w:rPr>
        <w:t xml:space="preserve">were assisted by an interpreter </w:t>
      </w:r>
      <w:r w:rsidRPr="00275FCA" w:rsidR="000C5006">
        <w:rPr>
          <w:lang w:val="en-GB"/>
        </w:rPr>
        <w:t>during questioning by</w:t>
      </w:r>
      <w:r w:rsidRPr="00275FCA" w:rsidR="002509C1">
        <w:rPr>
          <w:lang w:val="en-GB"/>
        </w:rPr>
        <w:t xml:space="preserve"> the public prosecutor.</w:t>
      </w:r>
    </w:p>
    <w:p w:rsidRPr="00275FCA" w:rsidR="00C05135" w:rsidP="00275FCA" w:rsidRDefault="002509C1">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19</w:t>
      </w:r>
      <w:r w:rsidRPr="00275FCA">
        <w:rPr>
          <w:lang w:val="en-GB"/>
        </w:rPr>
        <w:fldChar w:fldCharType="end"/>
      </w:r>
      <w:r w:rsidRPr="00275FCA">
        <w:rPr>
          <w:lang w:val="en-GB"/>
        </w:rPr>
        <w:t>.  </w:t>
      </w:r>
      <w:r w:rsidRPr="00275FCA" w:rsidR="00C37B14">
        <w:rPr>
          <w:lang w:val="en-GB"/>
        </w:rPr>
        <w:t xml:space="preserve">At an unspecified time on </w:t>
      </w:r>
      <w:r w:rsidRPr="00275FCA" w:rsidR="00C05135">
        <w:rPr>
          <w:lang w:val="en-GB"/>
        </w:rPr>
        <w:t>17 January 2002</w:t>
      </w:r>
      <w:r w:rsidRPr="00275FCA" w:rsidR="00C37B14">
        <w:rPr>
          <w:lang w:val="en-GB"/>
        </w:rPr>
        <w:t xml:space="preserve"> t</w:t>
      </w:r>
      <w:r w:rsidRPr="00275FCA">
        <w:rPr>
          <w:lang w:val="en-GB"/>
        </w:rPr>
        <w:t>he applicants</w:t>
      </w:r>
      <w:r w:rsidRPr="00275FCA" w:rsidR="00530F53">
        <w:rPr>
          <w:lang w:val="en-GB"/>
        </w:rPr>
        <w:t xml:space="preserve"> (</w:t>
      </w:r>
      <w:r w:rsidRPr="00275FCA" w:rsidR="00C05135">
        <w:rPr>
          <w:lang w:val="en-GB"/>
        </w:rPr>
        <w:t xml:space="preserve">except for Meryem Peker, Mehmet </w:t>
      </w:r>
      <w:r w:rsidRPr="00275FCA" w:rsidR="005F72A3">
        <w:rPr>
          <w:lang w:val="en-GB"/>
        </w:rPr>
        <w:t>Şirin</w:t>
      </w:r>
      <w:r w:rsidRPr="00275FCA" w:rsidR="00C05135">
        <w:rPr>
          <w:lang w:val="en-GB"/>
        </w:rPr>
        <w:t xml:space="preserve"> </w:t>
      </w:r>
      <w:r w:rsidRPr="00275FCA" w:rsidR="00864710">
        <w:rPr>
          <w:lang w:val="en-GB"/>
        </w:rPr>
        <w:t>Döner</w:t>
      </w:r>
      <w:r w:rsidRPr="00275FCA" w:rsidR="00C05135">
        <w:rPr>
          <w:lang w:val="en-GB"/>
        </w:rPr>
        <w:t xml:space="preserve"> and </w:t>
      </w:r>
      <w:r w:rsidRPr="00275FCA" w:rsidR="005F72A3">
        <w:rPr>
          <w:lang w:val="en-GB"/>
        </w:rPr>
        <w:t>Yılmaz</w:t>
      </w:r>
      <w:r w:rsidRPr="00275FCA" w:rsidR="00C05135">
        <w:rPr>
          <w:lang w:val="en-GB"/>
        </w:rPr>
        <w:t xml:space="preserve"> Yavuz</w:t>
      </w:r>
      <w:r w:rsidRPr="00275FCA" w:rsidR="00530F53">
        <w:rPr>
          <w:lang w:val="en-GB"/>
        </w:rPr>
        <w:t>)</w:t>
      </w:r>
      <w:r w:rsidRPr="00275FCA" w:rsidR="00C05135">
        <w:rPr>
          <w:lang w:val="en-GB"/>
        </w:rPr>
        <w:t xml:space="preserve"> </w:t>
      </w:r>
      <w:r w:rsidRPr="00275FCA">
        <w:rPr>
          <w:lang w:val="en-GB"/>
        </w:rPr>
        <w:t xml:space="preserve">were brought before a judge at the Istanbul State Security Court, </w:t>
      </w:r>
      <w:r w:rsidRPr="00275FCA" w:rsidR="00C37B14">
        <w:rPr>
          <w:lang w:val="en-GB"/>
        </w:rPr>
        <w:t>who ordered their release after taking statements</w:t>
      </w:r>
      <w:r w:rsidRPr="00275FCA" w:rsidR="00C67446">
        <w:rPr>
          <w:lang w:val="en-GB"/>
        </w:rPr>
        <w:t xml:space="preserve"> from them</w:t>
      </w:r>
      <w:r w:rsidRPr="00275FCA" w:rsidR="00C37B14">
        <w:rPr>
          <w:lang w:val="en-GB"/>
        </w:rPr>
        <w:t>.</w:t>
      </w:r>
      <w:r w:rsidRPr="00275FCA" w:rsidR="00B44881">
        <w:rPr>
          <w:lang w:val="en-GB"/>
        </w:rPr>
        <w:t xml:space="preserve"> The applicants concerned were actually released following the Istanbul State Security Court</w:t>
      </w:r>
      <w:r w:rsidRPr="00275FCA" w:rsidR="00275FCA">
        <w:rPr>
          <w:lang w:val="en-GB"/>
        </w:rPr>
        <w:t>’</w:t>
      </w:r>
      <w:r w:rsidRPr="00275FCA" w:rsidR="00B44881">
        <w:rPr>
          <w:lang w:val="en-GB"/>
        </w:rPr>
        <w:t>s order.</w:t>
      </w:r>
      <w:r w:rsidRPr="00275FCA" w:rsidR="00C37B14">
        <w:rPr>
          <w:lang w:val="en-GB"/>
        </w:rPr>
        <w:t xml:space="preserve"> </w:t>
      </w:r>
      <w:r w:rsidRPr="00275FCA" w:rsidR="00C05135">
        <w:rPr>
          <w:lang w:val="en-GB"/>
        </w:rPr>
        <w:t>Seven of the applicants (</w:t>
      </w:r>
      <w:r w:rsidRPr="00275FCA" w:rsidR="005F72A3">
        <w:rPr>
          <w:lang w:val="en-GB"/>
        </w:rPr>
        <w:t>Ayşe</w:t>
      </w:r>
      <w:r w:rsidRPr="00275FCA" w:rsidR="00DC37E6">
        <w:rPr>
          <w:lang w:val="en-GB"/>
        </w:rPr>
        <w:t xml:space="preserve"> </w:t>
      </w:r>
      <w:r w:rsidRPr="00275FCA" w:rsidR="00864710">
        <w:rPr>
          <w:lang w:val="en-GB"/>
        </w:rPr>
        <w:t>Döner</w:t>
      </w:r>
      <w:r w:rsidRPr="00275FCA" w:rsidR="00DC37E6">
        <w:rPr>
          <w:lang w:val="en-GB"/>
        </w:rPr>
        <w:t xml:space="preserve">, </w:t>
      </w:r>
      <w:r w:rsidRPr="00275FCA" w:rsidR="005F72A3">
        <w:rPr>
          <w:lang w:val="en-GB"/>
        </w:rPr>
        <w:t>Şahide</w:t>
      </w:r>
      <w:r w:rsidRPr="00275FCA" w:rsidR="00DC37E6">
        <w:rPr>
          <w:lang w:val="en-GB"/>
        </w:rPr>
        <w:t xml:space="preserve"> </w:t>
      </w:r>
      <w:r w:rsidRPr="00275FCA" w:rsidR="005F72A3">
        <w:rPr>
          <w:lang w:val="en-GB"/>
        </w:rPr>
        <w:t>Gümüş</w:t>
      </w:r>
      <w:r w:rsidRPr="00275FCA" w:rsidR="00DC37E6">
        <w:rPr>
          <w:lang w:val="en-GB"/>
        </w:rPr>
        <w:t xml:space="preserve">, Hasibe </w:t>
      </w:r>
      <w:r w:rsidRPr="00275FCA" w:rsidR="005F72A3">
        <w:rPr>
          <w:lang w:val="en-GB"/>
        </w:rPr>
        <w:t>Yılmaz</w:t>
      </w:r>
      <w:r w:rsidRPr="00275FCA" w:rsidR="00DC37E6">
        <w:rPr>
          <w:lang w:val="en-GB"/>
        </w:rPr>
        <w:t xml:space="preserve">, Fatma </w:t>
      </w:r>
      <w:r w:rsidRPr="00275FCA" w:rsidR="005F72A3">
        <w:rPr>
          <w:lang w:val="en-GB"/>
        </w:rPr>
        <w:t>Yılmaz</w:t>
      </w:r>
      <w:r w:rsidRPr="00275FCA" w:rsidR="00DC37E6">
        <w:rPr>
          <w:lang w:val="en-GB"/>
        </w:rPr>
        <w:t xml:space="preserve">, </w:t>
      </w:r>
      <w:r w:rsidRPr="00275FCA" w:rsidR="005F72A3">
        <w:rPr>
          <w:lang w:val="en-GB"/>
        </w:rPr>
        <w:t>Güli</w:t>
      </w:r>
      <w:r w:rsidRPr="00275FCA" w:rsidR="00DC37E6">
        <w:rPr>
          <w:lang w:val="en-GB"/>
        </w:rPr>
        <w:t xml:space="preserve"> Akyol, Meliha Can and Kudret </w:t>
      </w:r>
      <w:r w:rsidRPr="00275FCA" w:rsidR="005F72A3">
        <w:rPr>
          <w:lang w:val="en-GB"/>
        </w:rPr>
        <w:t>Dağ</w:t>
      </w:r>
      <w:r w:rsidRPr="00275FCA" w:rsidR="00DC37E6">
        <w:rPr>
          <w:lang w:val="en-GB"/>
        </w:rPr>
        <w:t xml:space="preserve">) </w:t>
      </w:r>
      <w:r w:rsidRPr="00275FCA" w:rsidR="00C05135">
        <w:rPr>
          <w:lang w:val="en-GB"/>
        </w:rPr>
        <w:t>were assisted by an interpreter</w:t>
      </w:r>
      <w:r w:rsidRPr="00275FCA" w:rsidR="00B44881">
        <w:rPr>
          <w:lang w:val="en-GB"/>
        </w:rPr>
        <w:t xml:space="preserve"> before that court</w:t>
      </w:r>
      <w:r w:rsidRPr="00275FCA" w:rsidR="00C05135">
        <w:rPr>
          <w:lang w:val="en-GB"/>
        </w:rPr>
        <w:t xml:space="preserve">. It appears that Meryem Peker, Mehmet </w:t>
      </w:r>
      <w:r w:rsidRPr="00275FCA" w:rsidR="005F72A3">
        <w:rPr>
          <w:lang w:val="en-GB"/>
        </w:rPr>
        <w:t>Şirin</w:t>
      </w:r>
      <w:r w:rsidRPr="00275FCA" w:rsidR="00C05135">
        <w:rPr>
          <w:lang w:val="en-GB"/>
        </w:rPr>
        <w:t xml:space="preserve"> </w:t>
      </w:r>
      <w:r w:rsidRPr="00275FCA" w:rsidR="00864710">
        <w:rPr>
          <w:lang w:val="en-GB"/>
        </w:rPr>
        <w:t>Döner</w:t>
      </w:r>
      <w:r w:rsidRPr="00275FCA" w:rsidR="00C05135">
        <w:rPr>
          <w:lang w:val="en-GB"/>
        </w:rPr>
        <w:t xml:space="preserve"> and </w:t>
      </w:r>
      <w:r w:rsidRPr="00275FCA" w:rsidR="005F72A3">
        <w:rPr>
          <w:lang w:val="en-GB"/>
        </w:rPr>
        <w:t>Yılmaz</w:t>
      </w:r>
      <w:r w:rsidRPr="00275FCA" w:rsidR="00C05135">
        <w:rPr>
          <w:lang w:val="en-GB"/>
        </w:rPr>
        <w:t xml:space="preserve"> Yavuz were also released </w:t>
      </w:r>
      <w:r w:rsidRPr="00275FCA" w:rsidR="00530F53">
        <w:rPr>
          <w:lang w:val="en-GB"/>
        </w:rPr>
        <w:t>that</w:t>
      </w:r>
      <w:r w:rsidRPr="00275FCA" w:rsidR="00C05135">
        <w:rPr>
          <w:lang w:val="en-GB"/>
        </w:rPr>
        <w:t xml:space="preserve"> </w:t>
      </w:r>
      <w:r w:rsidRPr="00275FCA" w:rsidR="00530F53">
        <w:rPr>
          <w:lang w:val="en-GB"/>
        </w:rPr>
        <w:t>day</w:t>
      </w:r>
      <w:r w:rsidRPr="00275FCA" w:rsidR="00C05135">
        <w:rPr>
          <w:lang w:val="en-GB"/>
        </w:rPr>
        <w:t>, but the decision ordering their release was not submitted to the Court.</w:t>
      </w:r>
    </w:p>
    <w:p w:rsidRPr="00275FCA" w:rsidR="0079769A" w:rsidP="00275FCA" w:rsidRDefault="00EA49EA">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20</w:t>
      </w:r>
      <w:r w:rsidRPr="00275FCA">
        <w:rPr>
          <w:lang w:val="en-GB"/>
        </w:rPr>
        <w:fldChar w:fldCharType="end"/>
      </w:r>
      <w:r w:rsidRPr="00275FCA">
        <w:rPr>
          <w:lang w:val="en-GB"/>
        </w:rPr>
        <w:t xml:space="preserve">.  On the same day the public prosecutor </w:t>
      </w:r>
      <w:r w:rsidRPr="00275FCA" w:rsidR="00C67446">
        <w:rPr>
          <w:lang w:val="en-GB"/>
        </w:rPr>
        <w:t xml:space="preserve">filed </w:t>
      </w:r>
      <w:r w:rsidRPr="00275FCA" w:rsidR="00D47886">
        <w:rPr>
          <w:lang w:val="en-GB"/>
        </w:rPr>
        <w:t xml:space="preserve">an objection concerning </w:t>
      </w:r>
      <w:r w:rsidRPr="00275FCA">
        <w:rPr>
          <w:lang w:val="en-GB"/>
        </w:rPr>
        <w:t>the decision to release the applicants</w:t>
      </w:r>
      <w:r w:rsidRPr="00275FCA" w:rsidR="00530F53">
        <w:rPr>
          <w:lang w:val="en-GB"/>
        </w:rPr>
        <w:t>, claiming that</w:t>
      </w:r>
      <w:r w:rsidRPr="00275FCA" w:rsidR="0079769A">
        <w:rPr>
          <w:lang w:val="en-GB"/>
        </w:rPr>
        <w:t xml:space="preserve"> it was evident from the statements made by </w:t>
      </w:r>
      <w:r w:rsidRPr="00275FCA" w:rsidR="00530F53">
        <w:rPr>
          <w:lang w:val="en-GB"/>
        </w:rPr>
        <w:t>them</w:t>
      </w:r>
      <w:r w:rsidRPr="00275FCA" w:rsidR="0079769A">
        <w:rPr>
          <w:lang w:val="en-GB"/>
        </w:rPr>
        <w:t xml:space="preserve"> following their arrest that they had submitted the petitions in an organised manner with </w:t>
      </w:r>
      <w:r w:rsidRPr="00275FCA" w:rsidR="00530F53">
        <w:rPr>
          <w:lang w:val="en-GB"/>
        </w:rPr>
        <w:t xml:space="preserve">the </w:t>
      </w:r>
      <w:r w:rsidRPr="00275FCA" w:rsidR="0079769A">
        <w:rPr>
          <w:lang w:val="en-GB"/>
        </w:rPr>
        <w:t xml:space="preserve">aim </w:t>
      </w:r>
      <w:r w:rsidRPr="00275FCA" w:rsidR="00530F53">
        <w:rPr>
          <w:lang w:val="en-GB"/>
        </w:rPr>
        <w:t xml:space="preserve">of </w:t>
      </w:r>
      <w:r w:rsidRPr="00275FCA" w:rsidR="0079769A">
        <w:rPr>
          <w:lang w:val="en-GB"/>
        </w:rPr>
        <w:t>assist</w:t>
      </w:r>
      <w:r w:rsidRPr="00275FCA" w:rsidR="00530F53">
        <w:rPr>
          <w:lang w:val="en-GB"/>
        </w:rPr>
        <w:t>ing</w:t>
      </w:r>
      <w:r w:rsidRPr="00275FCA" w:rsidR="0079769A">
        <w:rPr>
          <w:lang w:val="en-GB"/>
        </w:rPr>
        <w:t xml:space="preserve"> the </w:t>
      </w:r>
      <w:r w:rsidRPr="00275FCA" w:rsidR="00530F53">
        <w:rPr>
          <w:lang w:val="en-GB"/>
        </w:rPr>
        <w:t>PKK</w:t>
      </w:r>
      <w:r w:rsidRPr="00275FCA" w:rsidR="00275FCA">
        <w:rPr>
          <w:lang w:val="en-GB"/>
        </w:rPr>
        <w:t>’</w:t>
      </w:r>
      <w:r w:rsidRPr="00275FCA" w:rsidR="00530F53">
        <w:rPr>
          <w:lang w:val="en-GB"/>
        </w:rPr>
        <w:t xml:space="preserve">s “politicisation” </w:t>
      </w:r>
      <w:r w:rsidRPr="00275FCA" w:rsidR="0079769A">
        <w:rPr>
          <w:lang w:val="en-GB"/>
        </w:rPr>
        <w:t>process.</w:t>
      </w:r>
      <w:r w:rsidRPr="00275FCA" w:rsidR="008A1DAC">
        <w:rPr>
          <w:lang w:val="en-GB"/>
        </w:rPr>
        <w:t xml:space="preserve"> The public prosecutor added that although the applicants appeared to have</w:t>
      </w:r>
      <w:r w:rsidRPr="00275FCA" w:rsidR="00530F53">
        <w:rPr>
          <w:lang w:val="en-GB"/>
        </w:rPr>
        <w:t xml:space="preserve"> lawfully</w:t>
      </w:r>
      <w:r w:rsidRPr="00275FCA" w:rsidR="008A1DAC">
        <w:rPr>
          <w:lang w:val="en-GB"/>
        </w:rPr>
        <w:t xml:space="preserve"> us</w:t>
      </w:r>
      <w:r w:rsidRPr="00275FCA" w:rsidR="002924E1">
        <w:rPr>
          <w:lang w:val="en-GB"/>
        </w:rPr>
        <w:t>ed</w:t>
      </w:r>
      <w:r w:rsidRPr="00275FCA" w:rsidR="008A1DAC">
        <w:rPr>
          <w:lang w:val="en-GB"/>
        </w:rPr>
        <w:t xml:space="preserve"> their right to petition, in reality they were acting </w:t>
      </w:r>
      <w:r w:rsidRPr="00275FCA" w:rsidR="00530F53">
        <w:rPr>
          <w:lang w:val="en-GB"/>
        </w:rPr>
        <w:t xml:space="preserve">on </w:t>
      </w:r>
      <w:r w:rsidRPr="00275FCA" w:rsidR="008A1DAC">
        <w:rPr>
          <w:lang w:val="en-GB"/>
        </w:rPr>
        <w:t>the instructions of the PKK and were thus aiding and abetting that organisation.</w:t>
      </w:r>
    </w:p>
    <w:p w:rsidRPr="00275FCA" w:rsidR="0014683F" w:rsidP="00275FCA" w:rsidRDefault="00EA49EA">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21</w:t>
      </w:r>
      <w:r w:rsidRPr="00275FCA">
        <w:rPr>
          <w:lang w:val="en-GB"/>
        </w:rPr>
        <w:fldChar w:fldCharType="end"/>
      </w:r>
      <w:r w:rsidRPr="00275FCA">
        <w:rPr>
          <w:lang w:val="en-GB"/>
        </w:rPr>
        <w:t>.  On 18 January 2002 the Istanbul State Security Court upheld the public prosecutor</w:t>
      </w:r>
      <w:r w:rsidRPr="00275FCA" w:rsidR="00275FCA">
        <w:rPr>
          <w:lang w:val="en-GB"/>
        </w:rPr>
        <w:t>’</w:t>
      </w:r>
      <w:r w:rsidRPr="00275FCA">
        <w:rPr>
          <w:lang w:val="en-GB"/>
        </w:rPr>
        <w:t xml:space="preserve">s objection in respect of the applicants Esma </w:t>
      </w:r>
      <w:r w:rsidRPr="00275FCA" w:rsidR="00864710">
        <w:rPr>
          <w:lang w:val="en-GB"/>
        </w:rPr>
        <w:t>Döner</w:t>
      </w:r>
      <w:r w:rsidRPr="00275FCA">
        <w:rPr>
          <w:lang w:val="en-GB"/>
        </w:rPr>
        <w:t>,</w:t>
      </w:r>
      <w:r w:rsidRPr="00275FCA" w:rsidR="00DC37E6">
        <w:rPr>
          <w:lang w:val="en-GB"/>
        </w:rPr>
        <w:t xml:space="preserve"> Han</w:t>
      </w:r>
      <w:r w:rsidRPr="00275FCA" w:rsidR="003E74D4">
        <w:rPr>
          <w:lang w:val="en-GB"/>
        </w:rPr>
        <w:t>ı</w:t>
      </w:r>
      <w:r w:rsidRPr="00275FCA" w:rsidR="00DC37E6">
        <w:rPr>
          <w:lang w:val="en-GB"/>
        </w:rPr>
        <w:t xml:space="preserve">m </w:t>
      </w:r>
      <w:r w:rsidRPr="00275FCA" w:rsidR="005F72A3">
        <w:rPr>
          <w:lang w:val="en-GB"/>
        </w:rPr>
        <w:t>Gülün</w:t>
      </w:r>
      <w:r w:rsidRPr="00275FCA" w:rsidR="00DC37E6">
        <w:rPr>
          <w:lang w:val="en-GB"/>
        </w:rPr>
        <w:t>,</w:t>
      </w:r>
      <w:r w:rsidRPr="00275FCA">
        <w:rPr>
          <w:lang w:val="en-GB"/>
        </w:rPr>
        <w:t xml:space="preserve"> Hasibe </w:t>
      </w:r>
      <w:r w:rsidRPr="00275FCA" w:rsidR="005F72A3">
        <w:rPr>
          <w:lang w:val="en-GB"/>
        </w:rPr>
        <w:t>Yılmaz</w:t>
      </w:r>
      <w:r w:rsidRPr="00275FCA">
        <w:rPr>
          <w:lang w:val="en-GB"/>
        </w:rPr>
        <w:t xml:space="preserve">, </w:t>
      </w:r>
      <w:r w:rsidRPr="00275FCA" w:rsidR="00DC37E6">
        <w:rPr>
          <w:lang w:val="en-GB"/>
        </w:rPr>
        <w:t xml:space="preserve">Meliha Can, </w:t>
      </w:r>
      <w:r w:rsidRPr="00275FCA" w:rsidR="005F72A3">
        <w:rPr>
          <w:lang w:val="en-GB"/>
        </w:rPr>
        <w:t>Şükrüye</w:t>
      </w:r>
      <w:r w:rsidRPr="00275FCA" w:rsidR="00DC37E6">
        <w:rPr>
          <w:lang w:val="en-GB"/>
        </w:rPr>
        <w:t xml:space="preserve"> </w:t>
      </w:r>
      <w:r w:rsidRPr="00275FCA" w:rsidR="005F72A3">
        <w:rPr>
          <w:lang w:val="en-GB"/>
        </w:rPr>
        <w:t>Temüroğlu</w:t>
      </w:r>
      <w:r w:rsidRPr="00275FCA" w:rsidR="00DC37E6">
        <w:rPr>
          <w:lang w:val="en-GB"/>
        </w:rPr>
        <w:t>, Halime </w:t>
      </w:r>
      <w:r w:rsidRPr="00275FCA" w:rsidR="005F72A3">
        <w:rPr>
          <w:lang w:val="en-GB"/>
        </w:rPr>
        <w:t>Günana</w:t>
      </w:r>
      <w:r w:rsidRPr="00275FCA">
        <w:rPr>
          <w:lang w:val="en-GB"/>
        </w:rPr>
        <w:t xml:space="preserve"> and </w:t>
      </w:r>
      <w:r w:rsidRPr="00275FCA" w:rsidR="005F72A3">
        <w:rPr>
          <w:lang w:val="en-GB"/>
        </w:rPr>
        <w:t>Zübeyde</w:t>
      </w:r>
      <w:r w:rsidRPr="00275FCA">
        <w:rPr>
          <w:lang w:val="en-GB"/>
        </w:rPr>
        <w:t xml:space="preserve"> Yavuz, and issued a warrant for their arrest. The </w:t>
      </w:r>
      <w:r w:rsidRPr="00275FCA" w:rsidR="00C67446">
        <w:rPr>
          <w:lang w:val="en-GB"/>
        </w:rPr>
        <w:t>court</w:t>
      </w:r>
      <w:r w:rsidRPr="00275FCA">
        <w:rPr>
          <w:lang w:val="en-GB"/>
        </w:rPr>
        <w:t xml:space="preserve"> did not provide any reasons for its decision.</w:t>
      </w:r>
    </w:p>
    <w:p w:rsidRPr="00275FCA" w:rsidR="00672BA9" w:rsidP="00275FCA" w:rsidRDefault="00672BA9">
      <w:pPr>
        <w:pStyle w:val="ECHRPara"/>
        <w:rPr>
          <w:bCs/>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22</w:t>
      </w:r>
      <w:r w:rsidRPr="00275FCA">
        <w:rPr>
          <w:lang w:val="en-GB"/>
        </w:rPr>
        <w:fldChar w:fldCharType="end"/>
      </w:r>
      <w:r w:rsidRPr="00275FCA">
        <w:rPr>
          <w:lang w:val="en-GB"/>
        </w:rPr>
        <w:t>.  On 22 January 2</w:t>
      </w:r>
      <w:r w:rsidRPr="00275FCA" w:rsidR="00293E38">
        <w:rPr>
          <w:lang w:val="en-GB"/>
        </w:rPr>
        <w:t xml:space="preserve">002 </w:t>
      </w:r>
      <w:r w:rsidRPr="00275FCA" w:rsidR="007A1C70">
        <w:rPr>
          <w:lang w:val="en-GB"/>
        </w:rPr>
        <w:t>the lawyer</w:t>
      </w:r>
      <w:r w:rsidRPr="00275FCA" w:rsidR="00293E38">
        <w:rPr>
          <w:lang w:val="en-GB"/>
        </w:rPr>
        <w:t xml:space="preserve"> </w:t>
      </w:r>
      <w:r w:rsidRPr="00275FCA">
        <w:rPr>
          <w:lang w:val="en-GB"/>
        </w:rPr>
        <w:t xml:space="preserve">asked the </w:t>
      </w:r>
      <w:r w:rsidRPr="00275FCA" w:rsidR="00530F53">
        <w:rPr>
          <w:lang w:val="en-GB"/>
        </w:rPr>
        <w:t xml:space="preserve">Istanbul </w:t>
      </w:r>
      <w:r w:rsidRPr="00275FCA">
        <w:rPr>
          <w:lang w:val="en-GB"/>
        </w:rPr>
        <w:t>State Security Court to set aside its decision of 18 January 2002 ordering the arrest of the</w:t>
      </w:r>
      <w:r w:rsidRPr="00275FCA" w:rsidR="00293E38">
        <w:rPr>
          <w:lang w:val="en-GB"/>
        </w:rPr>
        <w:t xml:space="preserve"> relevant applicants. </w:t>
      </w:r>
      <w:r w:rsidRPr="00275FCA" w:rsidR="00D47886">
        <w:rPr>
          <w:lang w:val="en-GB"/>
        </w:rPr>
        <w:t>O</w:t>
      </w:r>
      <w:r w:rsidRPr="00275FCA">
        <w:rPr>
          <w:lang w:val="en-GB"/>
        </w:rPr>
        <w:t xml:space="preserve">n 28 January 2002 </w:t>
      </w:r>
      <w:r w:rsidRPr="00275FCA" w:rsidR="00216B87">
        <w:rPr>
          <w:lang w:val="en-GB"/>
        </w:rPr>
        <w:t>the State Security Court</w:t>
      </w:r>
      <w:r w:rsidRPr="00275FCA" w:rsidR="00D47886">
        <w:rPr>
          <w:lang w:val="en-GB"/>
        </w:rPr>
        <w:t xml:space="preserve"> dismissed th</w:t>
      </w:r>
      <w:r w:rsidRPr="00275FCA" w:rsidR="00C67446">
        <w:rPr>
          <w:lang w:val="en-GB"/>
        </w:rPr>
        <w:t>at</w:t>
      </w:r>
      <w:r w:rsidRPr="00275FCA" w:rsidR="00D47886">
        <w:rPr>
          <w:lang w:val="en-GB"/>
        </w:rPr>
        <w:t xml:space="preserve"> request, </w:t>
      </w:r>
      <w:r w:rsidRPr="00275FCA" w:rsidR="00BE5DD2">
        <w:rPr>
          <w:lang w:val="en-GB"/>
        </w:rPr>
        <w:t>basing its decision on</w:t>
      </w:r>
      <w:r w:rsidRPr="00275FCA">
        <w:rPr>
          <w:lang w:val="en-GB"/>
        </w:rPr>
        <w:t xml:space="preserve"> the nature of the offence, date of arrest, state of the evidence and content</w:t>
      </w:r>
      <w:r w:rsidRPr="00275FCA" w:rsidR="00D47886">
        <w:rPr>
          <w:lang w:val="en-GB"/>
        </w:rPr>
        <w:t>s</w:t>
      </w:r>
      <w:r w:rsidRPr="00275FCA" w:rsidR="00125526">
        <w:rPr>
          <w:lang w:val="en-GB"/>
        </w:rPr>
        <w:t xml:space="preserve"> of the case file.</w:t>
      </w:r>
    </w:p>
    <w:p w:rsidRPr="00275FCA" w:rsidR="000D6266" w:rsidP="00275FCA" w:rsidRDefault="00617318">
      <w:pPr>
        <w:pStyle w:val="ECHRPara"/>
        <w:rPr>
          <w:bCs/>
          <w:lang w:val="en-GB"/>
        </w:rPr>
      </w:pPr>
      <w:r w:rsidRPr="00275FCA">
        <w:rPr>
          <w:bCs/>
          <w:lang w:val="en-GB"/>
        </w:rPr>
        <w:fldChar w:fldCharType="begin"/>
      </w:r>
      <w:r w:rsidRPr="00275FCA">
        <w:rPr>
          <w:bCs/>
          <w:lang w:val="en-GB"/>
        </w:rPr>
        <w:instrText xml:space="preserve"> SEQ level0 \*arabic </w:instrText>
      </w:r>
      <w:r w:rsidRPr="00275FCA">
        <w:rPr>
          <w:bCs/>
          <w:lang w:val="en-GB"/>
        </w:rPr>
        <w:fldChar w:fldCharType="separate"/>
      </w:r>
      <w:r w:rsidRPr="00275FCA" w:rsidR="00275FCA">
        <w:rPr>
          <w:bCs/>
          <w:noProof/>
          <w:lang w:val="en-GB"/>
        </w:rPr>
        <w:t>23</w:t>
      </w:r>
      <w:r w:rsidRPr="00275FCA">
        <w:rPr>
          <w:bCs/>
          <w:lang w:val="en-GB"/>
        </w:rPr>
        <w:fldChar w:fldCharType="end"/>
      </w:r>
      <w:r w:rsidRPr="00275FCA">
        <w:rPr>
          <w:bCs/>
          <w:lang w:val="en-GB"/>
        </w:rPr>
        <w:t>.  </w:t>
      </w:r>
      <w:r w:rsidRPr="00275FCA" w:rsidR="00672BA9">
        <w:rPr>
          <w:bCs/>
          <w:lang w:val="en-GB"/>
        </w:rPr>
        <w:t>In the meantime, o</w:t>
      </w:r>
      <w:r w:rsidRPr="00275FCA" w:rsidR="000D6266">
        <w:rPr>
          <w:bCs/>
          <w:lang w:val="en-GB"/>
        </w:rPr>
        <w:t xml:space="preserve">n 19 January 2002 </w:t>
      </w:r>
      <w:r w:rsidRPr="00275FCA" w:rsidR="000D6266">
        <w:rPr>
          <w:lang w:val="en-GB"/>
        </w:rPr>
        <w:t xml:space="preserve">Esma Döner, Hasibe </w:t>
      </w:r>
      <w:r w:rsidRPr="00275FCA" w:rsidR="005F72A3">
        <w:rPr>
          <w:lang w:val="en-GB"/>
        </w:rPr>
        <w:t>Yılmaz</w:t>
      </w:r>
      <w:r w:rsidRPr="00275FCA" w:rsidR="000D6266">
        <w:rPr>
          <w:lang w:val="en-GB"/>
        </w:rPr>
        <w:t xml:space="preserve"> and Zübeyde Yavuz</w:t>
      </w:r>
      <w:r w:rsidRPr="00275FCA" w:rsidR="000D6266">
        <w:rPr>
          <w:bCs/>
          <w:lang w:val="en-GB"/>
        </w:rPr>
        <w:t xml:space="preserve"> were arrested </w:t>
      </w:r>
      <w:r w:rsidRPr="00275FCA" w:rsidR="00856E3B">
        <w:rPr>
          <w:bCs/>
          <w:lang w:val="en-GB"/>
        </w:rPr>
        <w:t xml:space="preserve">on </w:t>
      </w:r>
      <w:r w:rsidRPr="00275FCA" w:rsidR="00D11A17">
        <w:rPr>
          <w:bCs/>
          <w:lang w:val="en-GB"/>
        </w:rPr>
        <w:t xml:space="preserve">the basis of </w:t>
      </w:r>
      <w:r w:rsidRPr="00275FCA" w:rsidR="00856E3B">
        <w:rPr>
          <w:bCs/>
          <w:lang w:val="en-GB"/>
        </w:rPr>
        <w:t>that</w:t>
      </w:r>
      <w:r w:rsidRPr="00275FCA" w:rsidR="000D6266">
        <w:rPr>
          <w:bCs/>
          <w:lang w:val="en-GB"/>
        </w:rPr>
        <w:t xml:space="preserve"> warrant. The next day they were remanded in custody.</w:t>
      </w:r>
      <w:r w:rsidRPr="00275FCA" w:rsidR="008968C6">
        <w:rPr>
          <w:bCs/>
          <w:lang w:val="en-GB"/>
        </w:rPr>
        <w:t xml:space="preserve"> It appears that the remaining four applicants </w:t>
      </w:r>
      <w:r w:rsidRPr="00275FCA" w:rsidR="00856E3B">
        <w:rPr>
          <w:bCs/>
          <w:lang w:val="en-GB"/>
        </w:rPr>
        <w:t>named in</w:t>
      </w:r>
      <w:r w:rsidRPr="00275FCA" w:rsidR="008968C6">
        <w:rPr>
          <w:bCs/>
          <w:lang w:val="en-GB"/>
        </w:rPr>
        <w:t xml:space="preserve"> th</w:t>
      </w:r>
      <w:r w:rsidRPr="00275FCA" w:rsidR="00125526">
        <w:rPr>
          <w:bCs/>
          <w:lang w:val="en-GB"/>
        </w:rPr>
        <w:t>e warrant could not be located.</w:t>
      </w:r>
    </w:p>
    <w:p w:rsidRPr="00275FCA" w:rsidR="00903507" w:rsidP="00275FCA" w:rsidRDefault="000D6266">
      <w:pPr>
        <w:pStyle w:val="ECHRPara"/>
        <w:rPr>
          <w:bCs/>
          <w:lang w:val="en-GB"/>
        </w:rPr>
      </w:pPr>
      <w:r w:rsidRPr="00275FCA">
        <w:rPr>
          <w:bCs/>
          <w:lang w:val="en-GB"/>
        </w:rPr>
        <w:fldChar w:fldCharType="begin"/>
      </w:r>
      <w:r w:rsidRPr="00275FCA">
        <w:rPr>
          <w:bCs/>
          <w:lang w:val="en-GB"/>
        </w:rPr>
        <w:instrText xml:space="preserve"> SEQ level0 \*arabic </w:instrText>
      </w:r>
      <w:r w:rsidRPr="00275FCA">
        <w:rPr>
          <w:bCs/>
          <w:lang w:val="en-GB"/>
        </w:rPr>
        <w:fldChar w:fldCharType="separate"/>
      </w:r>
      <w:r w:rsidRPr="00275FCA" w:rsidR="00275FCA">
        <w:rPr>
          <w:bCs/>
          <w:noProof/>
          <w:lang w:val="en-GB"/>
        </w:rPr>
        <w:t>24</w:t>
      </w:r>
      <w:r w:rsidRPr="00275FCA">
        <w:rPr>
          <w:lang w:val="en-GB"/>
        </w:rPr>
        <w:fldChar w:fldCharType="end"/>
      </w:r>
      <w:r w:rsidRPr="00275FCA">
        <w:rPr>
          <w:bCs/>
          <w:lang w:val="en-GB"/>
        </w:rPr>
        <w:t>.  </w:t>
      </w:r>
      <w:r w:rsidRPr="00275FCA" w:rsidR="00903507">
        <w:rPr>
          <w:bCs/>
          <w:lang w:val="en-GB"/>
        </w:rPr>
        <w:t xml:space="preserve">On 21 January 2002 the applicants Esma </w:t>
      </w:r>
      <w:r w:rsidRPr="00275FCA" w:rsidR="00864710">
        <w:rPr>
          <w:bCs/>
          <w:lang w:val="en-GB"/>
        </w:rPr>
        <w:t>Döner</w:t>
      </w:r>
      <w:r w:rsidRPr="00275FCA" w:rsidR="00903507">
        <w:rPr>
          <w:bCs/>
          <w:lang w:val="en-GB"/>
        </w:rPr>
        <w:t xml:space="preserve"> and </w:t>
      </w:r>
      <w:r w:rsidRPr="00275FCA" w:rsidR="005F72A3">
        <w:rPr>
          <w:bCs/>
          <w:lang w:val="en-GB"/>
        </w:rPr>
        <w:t>Zübeyde</w:t>
      </w:r>
      <w:r w:rsidRPr="00275FCA" w:rsidR="00903507">
        <w:rPr>
          <w:bCs/>
          <w:lang w:val="en-GB"/>
        </w:rPr>
        <w:t xml:space="preserve"> Yavuz </w:t>
      </w:r>
      <w:r w:rsidRPr="00275FCA" w:rsidR="00C67446">
        <w:rPr>
          <w:bCs/>
          <w:lang w:val="en-GB"/>
        </w:rPr>
        <w:t xml:space="preserve">filed </w:t>
      </w:r>
      <w:r w:rsidRPr="00275FCA" w:rsidR="00D47886">
        <w:rPr>
          <w:bCs/>
          <w:lang w:val="en-GB"/>
        </w:rPr>
        <w:t>objections concerning</w:t>
      </w:r>
      <w:r w:rsidRPr="00275FCA" w:rsidR="00903507">
        <w:rPr>
          <w:bCs/>
          <w:lang w:val="en-GB"/>
        </w:rPr>
        <w:t xml:space="preserve"> their detention on remand.</w:t>
      </w:r>
    </w:p>
    <w:p w:rsidRPr="00275FCA" w:rsidR="00903507" w:rsidP="00275FCA" w:rsidRDefault="00903507">
      <w:pPr>
        <w:pStyle w:val="ECHRPara"/>
        <w:rPr>
          <w:lang w:val="en-GB"/>
        </w:rPr>
      </w:pPr>
      <w:r w:rsidRPr="00275FCA">
        <w:rPr>
          <w:bCs/>
          <w:lang w:val="en-GB"/>
        </w:rPr>
        <w:fldChar w:fldCharType="begin"/>
      </w:r>
      <w:r w:rsidRPr="00275FCA">
        <w:rPr>
          <w:bCs/>
          <w:lang w:val="en-GB"/>
        </w:rPr>
        <w:instrText xml:space="preserve"> SEQ level0 \*arabic </w:instrText>
      </w:r>
      <w:r w:rsidRPr="00275FCA">
        <w:rPr>
          <w:bCs/>
          <w:lang w:val="en-GB"/>
        </w:rPr>
        <w:fldChar w:fldCharType="separate"/>
      </w:r>
      <w:r w:rsidRPr="00275FCA" w:rsidR="00275FCA">
        <w:rPr>
          <w:bCs/>
          <w:noProof/>
          <w:lang w:val="en-GB"/>
        </w:rPr>
        <w:t>25</w:t>
      </w:r>
      <w:r w:rsidRPr="00275FCA">
        <w:rPr>
          <w:bCs/>
          <w:lang w:val="en-GB"/>
        </w:rPr>
        <w:fldChar w:fldCharType="end"/>
      </w:r>
      <w:r w:rsidRPr="00275FCA">
        <w:rPr>
          <w:bCs/>
          <w:lang w:val="en-GB"/>
        </w:rPr>
        <w:t>.  </w:t>
      </w:r>
      <w:r w:rsidRPr="00275FCA" w:rsidR="000D6266">
        <w:rPr>
          <w:bCs/>
          <w:lang w:val="en-GB"/>
        </w:rPr>
        <w:t xml:space="preserve">On 22 January 2002 the Istanbul State Security Court dismissed </w:t>
      </w:r>
      <w:r w:rsidRPr="00275FCA" w:rsidR="000D6266">
        <w:rPr>
          <w:lang w:val="en-GB"/>
        </w:rPr>
        <w:t>Esma Döner and Zübeyde Yavuz</w:t>
      </w:r>
      <w:r w:rsidRPr="00275FCA" w:rsidR="00275FCA">
        <w:rPr>
          <w:lang w:val="en-GB"/>
        </w:rPr>
        <w:t>’</w:t>
      </w:r>
      <w:r w:rsidRPr="00275FCA" w:rsidR="00D47886">
        <w:rPr>
          <w:lang w:val="en-GB"/>
        </w:rPr>
        <w:t>s objections,</w:t>
      </w:r>
      <w:r w:rsidRPr="00275FCA">
        <w:rPr>
          <w:lang w:val="en-GB"/>
        </w:rPr>
        <w:t xml:space="preserve"> </w:t>
      </w:r>
      <w:r w:rsidRPr="00275FCA" w:rsidR="00BE5DD2">
        <w:rPr>
          <w:lang w:val="en-GB"/>
        </w:rPr>
        <w:t>basing its decision on</w:t>
      </w:r>
      <w:r w:rsidRPr="00275FCA">
        <w:rPr>
          <w:lang w:val="en-GB"/>
        </w:rPr>
        <w:t xml:space="preserve"> the nature of the offence and </w:t>
      </w:r>
      <w:r w:rsidRPr="00275FCA" w:rsidR="00D11A17">
        <w:rPr>
          <w:lang w:val="en-GB"/>
        </w:rPr>
        <w:t xml:space="preserve">the </w:t>
      </w:r>
      <w:r w:rsidRPr="00275FCA">
        <w:rPr>
          <w:lang w:val="en-GB"/>
        </w:rPr>
        <w:t>state of the evidence</w:t>
      </w:r>
      <w:r w:rsidRPr="00275FCA" w:rsidR="000D6266">
        <w:rPr>
          <w:lang w:val="en-GB"/>
        </w:rPr>
        <w:t>.</w:t>
      </w:r>
    </w:p>
    <w:p w:rsidRPr="00275FCA" w:rsidR="00293E38" w:rsidP="00275FCA" w:rsidRDefault="00672BA9">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26</w:t>
      </w:r>
      <w:r w:rsidRPr="00275FCA">
        <w:rPr>
          <w:lang w:val="en-GB"/>
        </w:rPr>
        <w:fldChar w:fldCharType="end"/>
      </w:r>
      <w:r w:rsidRPr="00275FCA">
        <w:rPr>
          <w:lang w:val="en-GB"/>
        </w:rPr>
        <w:t>.  </w:t>
      </w:r>
      <w:r w:rsidRPr="00275FCA" w:rsidR="000D6266">
        <w:rPr>
          <w:lang w:val="en-GB"/>
        </w:rPr>
        <w:t xml:space="preserve">On 6 February 2002 the public prosecutor at the Istanbul State Security Court </w:t>
      </w:r>
      <w:r w:rsidRPr="00275FCA" w:rsidR="00BE5DD2">
        <w:rPr>
          <w:lang w:val="en-GB"/>
        </w:rPr>
        <w:t>decided</w:t>
      </w:r>
      <w:r w:rsidRPr="00275FCA" w:rsidR="00974788">
        <w:rPr>
          <w:lang w:val="en-GB"/>
        </w:rPr>
        <w:t xml:space="preserve"> not to prosecute </w:t>
      </w:r>
      <w:r w:rsidRPr="00275FCA" w:rsidR="00046561">
        <w:rPr>
          <w:lang w:val="en-GB"/>
        </w:rPr>
        <w:t xml:space="preserve">the applicant </w:t>
      </w:r>
      <w:r w:rsidRPr="00275FCA" w:rsidR="005F72A3">
        <w:rPr>
          <w:lang w:val="en-GB"/>
        </w:rPr>
        <w:t>Yılmaz</w:t>
      </w:r>
      <w:r w:rsidRPr="00275FCA" w:rsidR="00046561">
        <w:rPr>
          <w:lang w:val="en-GB"/>
        </w:rPr>
        <w:t xml:space="preserve"> Yavuz </w:t>
      </w:r>
      <w:r w:rsidRPr="00275FCA" w:rsidR="00BE5DD2">
        <w:rPr>
          <w:lang w:val="en-GB"/>
        </w:rPr>
        <w:t>because of</w:t>
      </w:r>
      <w:r w:rsidRPr="00275FCA" w:rsidR="00046561">
        <w:rPr>
          <w:lang w:val="en-GB"/>
        </w:rPr>
        <w:t xml:space="preserve"> </w:t>
      </w:r>
      <w:r w:rsidRPr="00275FCA" w:rsidR="00BE5DD2">
        <w:rPr>
          <w:lang w:val="en-GB"/>
        </w:rPr>
        <w:t xml:space="preserve">a </w:t>
      </w:r>
      <w:r w:rsidRPr="00275FCA" w:rsidR="00046561">
        <w:rPr>
          <w:lang w:val="en-GB"/>
        </w:rPr>
        <w:t>lack of evidence</w:t>
      </w:r>
      <w:r w:rsidRPr="00275FCA" w:rsidR="00293E38">
        <w:rPr>
          <w:lang w:val="en-GB"/>
        </w:rPr>
        <w:t xml:space="preserve"> against him</w:t>
      </w:r>
      <w:r w:rsidRPr="00275FCA" w:rsidR="00125526">
        <w:rPr>
          <w:lang w:val="en-GB"/>
        </w:rPr>
        <w:t>.</w:t>
      </w:r>
    </w:p>
    <w:p w:rsidRPr="00275FCA" w:rsidR="00A7150B" w:rsidP="00275FCA" w:rsidRDefault="00293E3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27</w:t>
      </w:r>
      <w:r w:rsidRPr="00275FCA">
        <w:rPr>
          <w:lang w:val="en-GB"/>
        </w:rPr>
        <w:fldChar w:fldCharType="end"/>
      </w:r>
      <w:r w:rsidRPr="00275FCA">
        <w:rPr>
          <w:lang w:val="en-GB"/>
        </w:rPr>
        <w:t>.  </w:t>
      </w:r>
      <w:r w:rsidRPr="00275FCA" w:rsidR="00046561">
        <w:rPr>
          <w:lang w:val="en-GB"/>
        </w:rPr>
        <w:t xml:space="preserve">On the same day </w:t>
      </w:r>
      <w:r w:rsidRPr="00275FCA">
        <w:rPr>
          <w:lang w:val="en-GB"/>
        </w:rPr>
        <w:t>the public prosecutor</w:t>
      </w:r>
      <w:r w:rsidRPr="00275FCA" w:rsidR="00046561">
        <w:rPr>
          <w:lang w:val="en-GB"/>
        </w:rPr>
        <w:t xml:space="preserve"> </w:t>
      </w:r>
      <w:r w:rsidRPr="00275FCA" w:rsidR="00BE5DD2">
        <w:rPr>
          <w:lang w:val="en-GB"/>
        </w:rPr>
        <w:t>issued an</w:t>
      </w:r>
      <w:r w:rsidRPr="00275FCA" w:rsidR="000D6266">
        <w:rPr>
          <w:lang w:val="en-GB"/>
        </w:rPr>
        <w:t xml:space="preserve"> indictment against thirty-eight suspects, including the </w:t>
      </w:r>
      <w:r w:rsidRPr="00275FCA" w:rsidR="009172C9">
        <w:rPr>
          <w:lang w:val="en-GB"/>
        </w:rPr>
        <w:t xml:space="preserve">remaining </w:t>
      </w:r>
      <w:r w:rsidRPr="00275FCA" w:rsidR="000D6266">
        <w:rPr>
          <w:lang w:val="en-GB"/>
        </w:rPr>
        <w:t>appl</w:t>
      </w:r>
      <w:r w:rsidRPr="00275FCA" w:rsidR="00046561">
        <w:rPr>
          <w:lang w:val="en-GB"/>
        </w:rPr>
        <w:t xml:space="preserve">icants, accusing them of </w:t>
      </w:r>
      <w:r w:rsidRPr="00275FCA" w:rsidR="000D6266">
        <w:rPr>
          <w:lang w:val="en-GB"/>
        </w:rPr>
        <w:t xml:space="preserve">aiding and abetting an armed organisation under Article 169 of the Criminal Code and </w:t>
      </w:r>
      <w:r w:rsidRPr="00275FCA" w:rsidR="005922FF">
        <w:rPr>
          <w:lang w:val="en-GB"/>
        </w:rPr>
        <w:t>section</w:t>
      </w:r>
      <w:r w:rsidRPr="00275FCA" w:rsidR="000D6266">
        <w:rPr>
          <w:lang w:val="en-GB"/>
        </w:rPr>
        <w:t xml:space="preserve"> 5 of</w:t>
      </w:r>
      <w:r w:rsidRPr="00275FCA" w:rsidR="005922FF">
        <w:rPr>
          <w:lang w:val="en-GB"/>
        </w:rPr>
        <w:t xml:space="preserve"> the</w:t>
      </w:r>
      <w:r w:rsidRPr="00275FCA" w:rsidR="000D6266">
        <w:rPr>
          <w:lang w:val="en-GB"/>
        </w:rPr>
        <w:t xml:space="preserve"> </w:t>
      </w:r>
      <w:r w:rsidRPr="00275FCA" w:rsidR="005922FF">
        <w:rPr>
          <w:lang w:val="en-GB"/>
        </w:rPr>
        <w:t>Prevention of Terrorism Act (</w:t>
      </w:r>
      <w:r w:rsidRPr="00275FCA" w:rsidR="003A1330">
        <w:rPr>
          <w:lang w:val="en-GB"/>
        </w:rPr>
        <w:t>Law no. </w:t>
      </w:r>
      <w:r w:rsidRPr="00275FCA" w:rsidR="000D6266">
        <w:rPr>
          <w:lang w:val="en-GB"/>
        </w:rPr>
        <w:t>3713</w:t>
      </w:r>
      <w:r w:rsidRPr="00275FCA" w:rsidR="005922FF">
        <w:rPr>
          <w:lang w:val="en-GB"/>
        </w:rPr>
        <w:t>)</w:t>
      </w:r>
      <w:r w:rsidRPr="00275FCA" w:rsidR="000D6266">
        <w:rPr>
          <w:lang w:val="en-GB"/>
        </w:rPr>
        <w:t xml:space="preserve"> in force at the </w:t>
      </w:r>
      <w:r w:rsidRPr="00275FCA" w:rsidR="00046561">
        <w:rPr>
          <w:lang w:val="en-GB"/>
        </w:rPr>
        <w:t xml:space="preserve">material </w:t>
      </w:r>
      <w:r w:rsidRPr="00275FCA" w:rsidR="000D6266">
        <w:rPr>
          <w:lang w:val="en-GB"/>
        </w:rPr>
        <w:t>time.</w:t>
      </w:r>
      <w:r w:rsidRPr="00275FCA" w:rsidR="00A7150B">
        <w:rPr>
          <w:lang w:val="en-GB"/>
        </w:rPr>
        <w:t xml:space="preserve"> In the indictment the public prosecutor stated that following the arrest and conviction of their leader Abdullah </w:t>
      </w:r>
      <w:r w:rsidRPr="00275FCA" w:rsidR="000A4562">
        <w:rPr>
          <w:rFonts w:cstheme="minorHAnsi"/>
          <w:lang w:val="en-GB"/>
        </w:rPr>
        <w:t>Ö</w:t>
      </w:r>
      <w:r w:rsidRPr="00275FCA" w:rsidR="00A7150B">
        <w:rPr>
          <w:lang w:val="en-GB"/>
        </w:rPr>
        <w:t xml:space="preserve">calan, the PKK had set out to pursue new policies. Accordingly, at the Sixth National Conference </w:t>
      </w:r>
      <w:r w:rsidRPr="00275FCA" w:rsidR="005426C5">
        <w:rPr>
          <w:lang w:val="en-GB"/>
        </w:rPr>
        <w:t xml:space="preserve">held between 5 and </w:t>
      </w:r>
      <w:r w:rsidRPr="00275FCA" w:rsidR="00A7150B">
        <w:rPr>
          <w:lang w:val="en-GB"/>
        </w:rPr>
        <w:t xml:space="preserve">22 August 2001, </w:t>
      </w:r>
      <w:r w:rsidRPr="00275FCA" w:rsidR="00D11A17">
        <w:rPr>
          <w:lang w:val="en-GB"/>
        </w:rPr>
        <w:t>i</w:t>
      </w:r>
      <w:r w:rsidRPr="00275FCA" w:rsidR="00A7150B">
        <w:rPr>
          <w:lang w:val="en-GB"/>
        </w:rPr>
        <w:t xml:space="preserve">t </w:t>
      </w:r>
      <w:r w:rsidRPr="00275FCA" w:rsidR="00FB36A6">
        <w:rPr>
          <w:lang w:val="en-GB"/>
        </w:rPr>
        <w:t xml:space="preserve">had </w:t>
      </w:r>
      <w:r w:rsidRPr="00275FCA" w:rsidR="00A7150B">
        <w:rPr>
          <w:lang w:val="en-GB"/>
        </w:rPr>
        <w:t xml:space="preserve">adopted </w:t>
      </w:r>
      <w:r w:rsidRPr="00275FCA" w:rsidR="00BE5DD2">
        <w:rPr>
          <w:lang w:val="en-GB"/>
        </w:rPr>
        <w:t>the</w:t>
      </w:r>
      <w:r w:rsidRPr="00275FCA" w:rsidR="00A7150B">
        <w:rPr>
          <w:lang w:val="en-GB"/>
        </w:rPr>
        <w:t xml:space="preserve"> “</w:t>
      </w:r>
      <w:r w:rsidRPr="00275FCA" w:rsidR="005426C5">
        <w:rPr>
          <w:lang w:val="en-GB"/>
        </w:rPr>
        <w:t>D</w:t>
      </w:r>
      <w:r w:rsidRPr="00275FCA" w:rsidR="00A7150B">
        <w:rPr>
          <w:lang w:val="en-GB"/>
        </w:rPr>
        <w:t xml:space="preserve">emocratisation and </w:t>
      </w:r>
      <w:r w:rsidRPr="00275FCA" w:rsidR="005426C5">
        <w:rPr>
          <w:lang w:val="en-GB"/>
        </w:rPr>
        <w:t>P</w:t>
      </w:r>
      <w:r w:rsidRPr="00275FCA" w:rsidR="00A7150B">
        <w:rPr>
          <w:lang w:val="en-GB"/>
        </w:rPr>
        <w:t xml:space="preserve">eace </w:t>
      </w:r>
      <w:r w:rsidRPr="00275FCA" w:rsidR="005426C5">
        <w:rPr>
          <w:lang w:val="en-GB"/>
        </w:rPr>
        <w:t>P</w:t>
      </w:r>
      <w:r w:rsidRPr="00275FCA" w:rsidR="00A7150B">
        <w:rPr>
          <w:lang w:val="en-GB"/>
        </w:rPr>
        <w:t xml:space="preserve">roject”, </w:t>
      </w:r>
      <w:r w:rsidRPr="00275FCA" w:rsidR="00BE5DD2">
        <w:rPr>
          <w:lang w:val="en-GB"/>
        </w:rPr>
        <w:t xml:space="preserve">a new strategy </w:t>
      </w:r>
      <w:r w:rsidRPr="00275FCA" w:rsidR="00A7150B">
        <w:rPr>
          <w:lang w:val="en-GB"/>
        </w:rPr>
        <w:t xml:space="preserve">which </w:t>
      </w:r>
      <w:r w:rsidRPr="00275FCA" w:rsidR="00235746">
        <w:rPr>
          <w:lang w:val="en-GB"/>
        </w:rPr>
        <w:t xml:space="preserve">had </w:t>
      </w:r>
      <w:r w:rsidRPr="00275FCA" w:rsidR="00A7150B">
        <w:rPr>
          <w:lang w:val="en-GB"/>
        </w:rPr>
        <w:t xml:space="preserve">involved undertaking </w:t>
      </w:r>
      <w:r w:rsidRPr="00275FCA" w:rsidR="005426C5">
        <w:rPr>
          <w:lang w:val="en-GB"/>
        </w:rPr>
        <w:t>non-violent</w:t>
      </w:r>
      <w:r w:rsidRPr="00275FCA" w:rsidR="00A7150B">
        <w:rPr>
          <w:lang w:val="en-GB"/>
        </w:rPr>
        <w:t xml:space="preserve"> activities of “civil disobedience”</w:t>
      </w:r>
      <w:r w:rsidRPr="00275FCA" w:rsidR="009172C9">
        <w:rPr>
          <w:lang w:val="en-GB"/>
        </w:rPr>
        <w:t xml:space="preserve"> and</w:t>
      </w:r>
      <w:r w:rsidRPr="00275FCA" w:rsidR="00A7150B">
        <w:rPr>
          <w:lang w:val="en-GB"/>
        </w:rPr>
        <w:t xml:space="preserve"> aimed </w:t>
      </w:r>
      <w:r w:rsidRPr="00275FCA" w:rsidR="00BE5DD2">
        <w:rPr>
          <w:lang w:val="en-GB"/>
        </w:rPr>
        <w:t xml:space="preserve">at leaving </w:t>
      </w:r>
      <w:r w:rsidRPr="00275FCA" w:rsidR="00730759">
        <w:rPr>
          <w:lang w:val="en-GB"/>
        </w:rPr>
        <w:t>the State and its authorities in a difficult position</w:t>
      </w:r>
      <w:r w:rsidRPr="00275FCA" w:rsidR="009172C9">
        <w:rPr>
          <w:lang w:val="en-GB"/>
        </w:rPr>
        <w:t xml:space="preserve"> </w:t>
      </w:r>
      <w:r w:rsidRPr="00275FCA" w:rsidR="00730759">
        <w:rPr>
          <w:lang w:val="en-GB"/>
        </w:rPr>
        <w:t>in the international arena. The public prosecutor submitted that such organised acts of civil disobedience</w:t>
      </w:r>
      <w:r w:rsidRPr="00275FCA" w:rsidR="005426C5">
        <w:rPr>
          <w:lang w:val="en-GB"/>
        </w:rPr>
        <w:t xml:space="preserve"> agreed on by the PKK</w:t>
      </w:r>
      <w:r w:rsidRPr="00275FCA" w:rsidR="00730759">
        <w:rPr>
          <w:lang w:val="en-GB"/>
        </w:rPr>
        <w:t xml:space="preserve"> </w:t>
      </w:r>
      <w:r w:rsidRPr="00275FCA" w:rsidR="00235746">
        <w:rPr>
          <w:lang w:val="en-GB"/>
        </w:rPr>
        <w:t xml:space="preserve">had </w:t>
      </w:r>
      <w:r w:rsidRPr="00275FCA" w:rsidR="00730759">
        <w:rPr>
          <w:lang w:val="en-GB"/>
        </w:rPr>
        <w:t xml:space="preserve">included petitioning the State authorities for education in Kurdish, </w:t>
      </w:r>
      <w:r w:rsidRPr="00275FCA" w:rsidR="000614B4">
        <w:rPr>
          <w:lang w:val="en-GB"/>
        </w:rPr>
        <w:t xml:space="preserve">dressing </w:t>
      </w:r>
      <w:r w:rsidRPr="00275FCA" w:rsidR="005426C5">
        <w:rPr>
          <w:lang w:val="en-GB"/>
        </w:rPr>
        <w:t xml:space="preserve">up </w:t>
      </w:r>
      <w:r w:rsidRPr="00275FCA" w:rsidR="000614B4">
        <w:rPr>
          <w:lang w:val="en-GB"/>
        </w:rPr>
        <w:t xml:space="preserve">in </w:t>
      </w:r>
      <w:r w:rsidRPr="00275FCA" w:rsidR="005426C5">
        <w:rPr>
          <w:lang w:val="en-GB"/>
        </w:rPr>
        <w:t xml:space="preserve">traditional </w:t>
      </w:r>
      <w:r w:rsidRPr="00275FCA" w:rsidR="00314DCE">
        <w:rPr>
          <w:lang w:val="en-GB"/>
        </w:rPr>
        <w:t xml:space="preserve">Kurdish </w:t>
      </w:r>
      <w:r w:rsidRPr="00275FCA" w:rsidR="005426C5">
        <w:rPr>
          <w:lang w:val="en-GB"/>
        </w:rPr>
        <w:t xml:space="preserve">female </w:t>
      </w:r>
      <w:r w:rsidRPr="00275FCA" w:rsidR="00314DCE">
        <w:rPr>
          <w:lang w:val="en-GB"/>
        </w:rPr>
        <w:t>costume</w:t>
      </w:r>
      <w:r w:rsidRPr="00275FCA" w:rsidR="000614B4">
        <w:rPr>
          <w:lang w:val="en-GB"/>
        </w:rPr>
        <w:t xml:space="preserve">, and applying to courts or </w:t>
      </w:r>
      <w:r w:rsidRPr="00275FCA" w:rsidR="00314DCE">
        <w:rPr>
          <w:lang w:val="en-GB"/>
        </w:rPr>
        <w:t>population registration offices</w:t>
      </w:r>
      <w:r w:rsidRPr="00275FCA" w:rsidR="000614B4">
        <w:rPr>
          <w:lang w:val="en-GB"/>
        </w:rPr>
        <w:t xml:space="preserve"> with request</w:t>
      </w:r>
      <w:r w:rsidRPr="00275FCA" w:rsidR="00602145">
        <w:rPr>
          <w:lang w:val="en-GB"/>
        </w:rPr>
        <w:t>s</w:t>
      </w:r>
      <w:r w:rsidRPr="00275FCA" w:rsidR="000614B4">
        <w:rPr>
          <w:lang w:val="en-GB"/>
        </w:rPr>
        <w:t xml:space="preserve"> for their Kurdish </w:t>
      </w:r>
      <w:r w:rsidRPr="00275FCA" w:rsidR="009172C9">
        <w:rPr>
          <w:lang w:val="en-GB"/>
        </w:rPr>
        <w:t>identities</w:t>
      </w:r>
      <w:r w:rsidRPr="00275FCA" w:rsidR="00602145">
        <w:rPr>
          <w:lang w:val="en-GB"/>
        </w:rPr>
        <w:t xml:space="preserve"> to appear </w:t>
      </w:r>
      <w:r w:rsidRPr="00275FCA" w:rsidR="009172C9">
        <w:rPr>
          <w:lang w:val="en-GB"/>
        </w:rPr>
        <w:t>on their national identity cards</w:t>
      </w:r>
      <w:r w:rsidRPr="00275FCA" w:rsidR="00AF0AC2">
        <w:rPr>
          <w:lang w:val="en-GB"/>
        </w:rPr>
        <w:t xml:space="preserve">. </w:t>
      </w:r>
      <w:r w:rsidRPr="00275FCA" w:rsidR="00564565">
        <w:rPr>
          <w:lang w:val="en-GB"/>
        </w:rPr>
        <w:t>When viewed against this background, the petitions in question</w:t>
      </w:r>
      <w:r w:rsidRPr="00275FCA" w:rsidR="00602145">
        <w:rPr>
          <w:lang w:val="en-GB"/>
        </w:rPr>
        <w:t xml:space="preserve"> </w:t>
      </w:r>
      <w:r w:rsidRPr="00275FCA" w:rsidR="0065688C">
        <w:rPr>
          <w:lang w:val="en-GB"/>
        </w:rPr>
        <w:br/>
      </w:r>
      <w:r w:rsidRPr="00275FCA" w:rsidR="00602145">
        <w:rPr>
          <w:lang w:val="en-GB"/>
        </w:rPr>
        <w:t xml:space="preserve">– </w:t>
      </w:r>
      <w:r w:rsidRPr="00275FCA" w:rsidR="00564565">
        <w:rPr>
          <w:lang w:val="en-GB"/>
        </w:rPr>
        <w:t xml:space="preserve">which </w:t>
      </w:r>
      <w:r w:rsidRPr="00275FCA" w:rsidR="00602145">
        <w:rPr>
          <w:lang w:val="en-GB"/>
        </w:rPr>
        <w:t xml:space="preserve">had been </w:t>
      </w:r>
      <w:r w:rsidRPr="00275FCA" w:rsidR="00564565">
        <w:rPr>
          <w:lang w:val="en-GB"/>
        </w:rPr>
        <w:t>submitted to certain authorities on predetermined dates and times</w:t>
      </w:r>
      <w:r w:rsidRPr="00275FCA" w:rsidR="00602145">
        <w:rPr>
          <w:lang w:val="en-GB"/>
        </w:rPr>
        <w:t xml:space="preserve"> – </w:t>
      </w:r>
      <w:r w:rsidRPr="00275FCA" w:rsidR="00564565">
        <w:rPr>
          <w:lang w:val="en-GB"/>
        </w:rPr>
        <w:t xml:space="preserve">could not be considered </w:t>
      </w:r>
      <w:r w:rsidRPr="00275FCA" w:rsidR="00235746">
        <w:rPr>
          <w:lang w:val="en-GB"/>
        </w:rPr>
        <w:t>to be</w:t>
      </w:r>
      <w:r w:rsidRPr="00275FCA" w:rsidR="00564565">
        <w:rPr>
          <w:lang w:val="en-GB"/>
        </w:rPr>
        <w:t xml:space="preserve"> individual acts</w:t>
      </w:r>
      <w:r w:rsidRPr="00275FCA" w:rsidR="003E5424">
        <w:rPr>
          <w:lang w:val="en-GB"/>
        </w:rPr>
        <w:t xml:space="preserve">. They </w:t>
      </w:r>
      <w:r w:rsidRPr="00275FCA" w:rsidR="00235746">
        <w:rPr>
          <w:lang w:val="en-GB"/>
        </w:rPr>
        <w:t>had actually been</w:t>
      </w:r>
      <w:r w:rsidRPr="00275FCA" w:rsidR="003E5424">
        <w:rPr>
          <w:lang w:val="en-GB"/>
        </w:rPr>
        <w:t xml:space="preserve"> </w:t>
      </w:r>
      <w:r w:rsidRPr="00275FCA" w:rsidR="00564565">
        <w:rPr>
          <w:lang w:val="en-GB"/>
        </w:rPr>
        <w:t xml:space="preserve">part of an organised movement </w:t>
      </w:r>
      <w:r w:rsidRPr="00275FCA" w:rsidR="003E5424">
        <w:rPr>
          <w:lang w:val="en-GB"/>
        </w:rPr>
        <w:t>which</w:t>
      </w:r>
      <w:r w:rsidRPr="00275FCA" w:rsidR="00235746">
        <w:rPr>
          <w:lang w:val="en-GB"/>
        </w:rPr>
        <w:t xml:space="preserve"> had</w:t>
      </w:r>
      <w:r w:rsidRPr="00275FCA" w:rsidR="003E5424">
        <w:rPr>
          <w:lang w:val="en-GB"/>
        </w:rPr>
        <w:t xml:space="preserve"> aimed to </w:t>
      </w:r>
      <w:r w:rsidRPr="00275FCA" w:rsidR="00602145">
        <w:rPr>
          <w:lang w:val="en-GB"/>
        </w:rPr>
        <w:t>implement</w:t>
      </w:r>
      <w:r w:rsidRPr="00275FCA" w:rsidR="003E5424">
        <w:rPr>
          <w:lang w:val="en-GB"/>
        </w:rPr>
        <w:t xml:space="preserve"> the decisions adopted by the PKK and thereby underm</w:t>
      </w:r>
      <w:r w:rsidRPr="00275FCA" w:rsidR="00125526">
        <w:rPr>
          <w:lang w:val="en-GB"/>
        </w:rPr>
        <w:t>ine the authority of the State.</w:t>
      </w:r>
    </w:p>
    <w:p w:rsidRPr="00275FCA" w:rsidR="000D6266" w:rsidP="00275FCA" w:rsidRDefault="00FB36A6">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28</w:t>
      </w:r>
      <w:r w:rsidRPr="00275FCA">
        <w:rPr>
          <w:lang w:val="en-GB"/>
        </w:rPr>
        <w:fldChar w:fldCharType="end"/>
      </w:r>
      <w:r w:rsidRPr="00275FCA">
        <w:rPr>
          <w:lang w:val="en-GB"/>
        </w:rPr>
        <w:t>.  </w:t>
      </w:r>
      <w:r w:rsidRPr="00275FCA" w:rsidR="000D6266">
        <w:rPr>
          <w:lang w:val="en-GB"/>
        </w:rPr>
        <w:t xml:space="preserve">On 12 February 2002 the first-instance court ordered the release of </w:t>
      </w:r>
      <w:r w:rsidRPr="00275FCA" w:rsidR="002C6007">
        <w:rPr>
          <w:lang w:val="en-GB"/>
        </w:rPr>
        <w:t>the applicants</w:t>
      </w:r>
      <w:r w:rsidRPr="00275FCA" w:rsidR="000D6266">
        <w:rPr>
          <w:lang w:val="en-GB"/>
        </w:rPr>
        <w:t xml:space="preserve"> Esma Döner, Hasibe </w:t>
      </w:r>
      <w:r w:rsidRPr="00275FCA" w:rsidR="005F72A3">
        <w:rPr>
          <w:lang w:val="en-GB"/>
        </w:rPr>
        <w:t>Yılmaz</w:t>
      </w:r>
      <w:r w:rsidRPr="00275FCA" w:rsidR="000D6266">
        <w:rPr>
          <w:lang w:val="en-GB"/>
        </w:rPr>
        <w:t xml:space="preserve"> and Zübeyde Yavuz pending </w:t>
      </w:r>
      <w:r w:rsidRPr="00275FCA" w:rsidR="00590ECB">
        <w:rPr>
          <w:lang w:val="en-GB"/>
        </w:rPr>
        <w:t>the criminal proceedings</w:t>
      </w:r>
      <w:r w:rsidRPr="00275FCA" w:rsidR="000D6266">
        <w:rPr>
          <w:lang w:val="en-GB"/>
        </w:rPr>
        <w:t>.</w:t>
      </w:r>
    </w:p>
    <w:p w:rsidRPr="00275FCA" w:rsidR="00014566" w:rsidP="00275FCA" w:rsidRDefault="000D6266">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29</w:t>
      </w:r>
      <w:r w:rsidRPr="00275FCA">
        <w:rPr>
          <w:lang w:val="en-GB"/>
        </w:rPr>
        <w:fldChar w:fldCharType="end"/>
      </w:r>
      <w:r w:rsidRPr="00275FCA">
        <w:rPr>
          <w:lang w:val="en-GB"/>
        </w:rPr>
        <w:t xml:space="preserve">.  On 28 May 2003 the Istanbul State Security Court acquitted all the accused, including the applicants, </w:t>
      </w:r>
      <w:r w:rsidRPr="00275FCA" w:rsidR="00235746">
        <w:rPr>
          <w:lang w:val="en-GB"/>
        </w:rPr>
        <w:t>because</w:t>
      </w:r>
      <w:r w:rsidRPr="00275FCA">
        <w:rPr>
          <w:lang w:val="en-GB"/>
        </w:rPr>
        <w:t xml:space="preserve"> </w:t>
      </w:r>
      <w:r w:rsidRPr="00275FCA" w:rsidR="00602145">
        <w:rPr>
          <w:lang w:val="en-GB"/>
        </w:rPr>
        <w:t xml:space="preserve">on the facts none of </w:t>
      </w:r>
      <w:r w:rsidRPr="00275FCA">
        <w:rPr>
          <w:lang w:val="en-GB"/>
        </w:rPr>
        <w:t>the element</w:t>
      </w:r>
      <w:r w:rsidRPr="00275FCA" w:rsidR="00602145">
        <w:rPr>
          <w:lang w:val="en-GB"/>
        </w:rPr>
        <w:t>s</w:t>
      </w:r>
      <w:r w:rsidRPr="00275FCA">
        <w:rPr>
          <w:lang w:val="en-GB"/>
        </w:rPr>
        <w:t xml:space="preserve"> of the crime </w:t>
      </w:r>
      <w:r w:rsidRPr="00275FCA" w:rsidR="00AE01DB">
        <w:rPr>
          <w:lang w:val="en-GB"/>
        </w:rPr>
        <w:t xml:space="preserve">of aiding and abetting an armed organisation </w:t>
      </w:r>
      <w:r w:rsidRPr="00275FCA">
        <w:rPr>
          <w:lang w:val="en-GB"/>
        </w:rPr>
        <w:t xml:space="preserve">had been </w:t>
      </w:r>
      <w:r w:rsidRPr="00275FCA" w:rsidR="00602145">
        <w:rPr>
          <w:lang w:val="en-GB"/>
        </w:rPr>
        <w:t>present in their actions</w:t>
      </w:r>
      <w:r w:rsidRPr="00275FCA">
        <w:rPr>
          <w:lang w:val="en-GB"/>
        </w:rPr>
        <w:t xml:space="preserve"> and there was no other evidence to support the allegations brought against t</w:t>
      </w:r>
      <w:r w:rsidRPr="00275FCA" w:rsidR="00AE01DB">
        <w:rPr>
          <w:lang w:val="en-GB"/>
        </w:rPr>
        <w:t>he</w:t>
      </w:r>
      <w:r w:rsidRPr="00275FCA" w:rsidR="00602145">
        <w:rPr>
          <w:lang w:val="en-GB"/>
        </w:rPr>
        <w:t>m</w:t>
      </w:r>
      <w:r w:rsidRPr="00275FCA">
        <w:rPr>
          <w:lang w:val="en-GB"/>
        </w:rPr>
        <w:t xml:space="preserve">. </w:t>
      </w:r>
      <w:r w:rsidRPr="00275FCA" w:rsidR="00602145">
        <w:rPr>
          <w:lang w:val="en-GB"/>
        </w:rPr>
        <w:t xml:space="preserve">The </w:t>
      </w:r>
      <w:r w:rsidRPr="00275FCA">
        <w:rPr>
          <w:lang w:val="en-GB"/>
        </w:rPr>
        <w:t>judgment became final on 5 June 2003.</w:t>
      </w:r>
    </w:p>
    <w:p w:rsidRPr="00275FCA" w:rsidR="00014566" w:rsidP="00275FCA" w:rsidRDefault="00014566">
      <w:pPr>
        <w:pStyle w:val="ECHRHeading1"/>
        <w:rPr>
          <w:lang w:val="en-GB"/>
        </w:rPr>
      </w:pPr>
      <w:r w:rsidRPr="00275FCA">
        <w:rPr>
          <w:lang w:val="en-GB"/>
        </w:rPr>
        <w:t>II.  RELEVANT DOMESTIC LAW AND PRACTICE</w:t>
      </w:r>
    </w:p>
    <w:p w:rsidRPr="00275FCA" w:rsidR="006341B2" w:rsidP="00275FCA" w:rsidRDefault="006341B2">
      <w:pPr>
        <w:pStyle w:val="ECHRHeading2"/>
        <w:rPr>
          <w:lang w:val="en-GB"/>
        </w:rPr>
      </w:pPr>
      <w:r w:rsidRPr="00275FCA">
        <w:rPr>
          <w:lang w:val="en-GB"/>
        </w:rPr>
        <w:t>A.</w:t>
      </w:r>
      <w:r w:rsidRPr="00275FCA" w:rsidR="00125526">
        <w:rPr>
          <w:lang w:val="en-GB"/>
        </w:rPr>
        <w:t>  </w:t>
      </w:r>
      <w:r w:rsidRPr="00275FCA">
        <w:rPr>
          <w:lang w:val="en-GB"/>
        </w:rPr>
        <w:t xml:space="preserve">Criminal Code </w:t>
      </w:r>
      <w:r w:rsidRPr="00275FCA" w:rsidR="00331C0F">
        <w:rPr>
          <w:lang w:val="en-GB"/>
        </w:rPr>
        <w:t>(Law no. 765</w:t>
      </w:r>
      <w:r w:rsidRPr="00275FCA" w:rsidR="00190799">
        <w:rPr>
          <w:lang w:val="en-GB"/>
        </w:rPr>
        <w:t xml:space="preserve">, </w:t>
      </w:r>
      <w:r w:rsidRPr="00275FCA" w:rsidR="00190799">
        <w:rPr>
          <w:color w:val="000000"/>
        </w:rPr>
        <w:t>repealed on 1 June 2005</w:t>
      </w:r>
      <w:r w:rsidRPr="00275FCA" w:rsidR="00331C0F">
        <w:rPr>
          <w:lang w:val="en-GB"/>
        </w:rPr>
        <w:t>)</w:t>
      </w:r>
    </w:p>
    <w:p w:rsidRPr="00275FCA" w:rsidR="006341B2" w:rsidP="00275FCA" w:rsidRDefault="006341B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30</w:t>
      </w:r>
      <w:r w:rsidRPr="00275FCA">
        <w:rPr>
          <w:lang w:val="en-GB"/>
        </w:rPr>
        <w:fldChar w:fldCharType="end"/>
      </w:r>
      <w:r w:rsidRPr="00275FCA" w:rsidR="00125526">
        <w:rPr>
          <w:lang w:val="en-GB"/>
        </w:rPr>
        <w:t>.  </w:t>
      </w:r>
      <w:r w:rsidRPr="00275FCA">
        <w:rPr>
          <w:lang w:val="en-GB"/>
        </w:rPr>
        <w:t>At the time of the events at issue, Article 169 of the Criminal Code</w:t>
      </w:r>
      <w:r w:rsidRPr="00275FCA" w:rsidR="00AE01DB">
        <w:rPr>
          <w:lang w:val="en-GB"/>
        </w:rPr>
        <w:t>, which is no longer in force,</w:t>
      </w:r>
      <w:r w:rsidRPr="00275FCA">
        <w:rPr>
          <w:lang w:val="en-GB"/>
        </w:rPr>
        <w:t xml:space="preserve"> provided:</w:t>
      </w:r>
    </w:p>
    <w:p w:rsidRPr="00275FCA" w:rsidR="006341B2" w:rsidP="00275FCA" w:rsidRDefault="00FA54E3">
      <w:pPr>
        <w:pStyle w:val="ECHRParaQuote"/>
        <w:rPr>
          <w:lang w:val="en-GB"/>
        </w:rPr>
      </w:pPr>
      <w:r w:rsidRPr="00275FCA">
        <w:rPr>
          <w:lang w:val="en-GB"/>
        </w:rPr>
        <w:t>“</w:t>
      </w:r>
      <w:r w:rsidRPr="00275FCA">
        <w:rPr>
          <w:color w:val="000000"/>
        </w:rPr>
        <w:t>Any person who, knowing that an armed gang or organisation is illegal, assists it, harbours its members, provides it with food, weapons and ammunition or clothes or facilitates its operations in any manner whatsoever shall be sentenced to no less than th</w:t>
      </w:r>
      <w:r w:rsidRPr="00275FCA" w:rsidR="00D11A17">
        <w:rPr>
          <w:color w:val="000000"/>
        </w:rPr>
        <w:t>ree and no more than five years</w:t>
      </w:r>
      <w:r w:rsidRPr="00275FCA" w:rsidR="00275FCA">
        <w:rPr>
          <w:color w:val="000000"/>
        </w:rPr>
        <w:t>’</w:t>
      </w:r>
      <w:r w:rsidRPr="00275FCA" w:rsidR="001C77D5">
        <w:rPr>
          <w:color w:val="000000"/>
        </w:rPr>
        <w:t xml:space="preserve"> heavy</w:t>
      </w:r>
      <w:r w:rsidRPr="00275FCA">
        <w:rPr>
          <w:color w:val="000000"/>
        </w:rPr>
        <w:t xml:space="preserve"> imprisonment ...”</w:t>
      </w:r>
    </w:p>
    <w:p w:rsidRPr="00275FCA" w:rsidR="00395A43" w:rsidP="00275FCA" w:rsidRDefault="006341B2">
      <w:pPr>
        <w:pStyle w:val="ECHRHeading2"/>
        <w:rPr>
          <w:rFonts w:eastAsiaTheme="minorEastAsia"/>
          <w:lang w:val="en-GB"/>
        </w:rPr>
      </w:pPr>
      <w:r w:rsidRPr="00275FCA">
        <w:rPr>
          <w:rFonts w:eastAsiaTheme="minorEastAsia"/>
          <w:lang w:val="en-GB"/>
        </w:rPr>
        <w:t>B</w:t>
      </w:r>
      <w:r w:rsidRPr="00275FCA" w:rsidR="00125526">
        <w:rPr>
          <w:rFonts w:eastAsiaTheme="minorEastAsia"/>
          <w:lang w:val="en-GB"/>
        </w:rPr>
        <w:t>.  </w:t>
      </w:r>
      <w:r w:rsidRPr="00275FCA" w:rsidR="00032AD0">
        <w:rPr>
          <w:rFonts w:eastAsiaTheme="minorEastAsia"/>
          <w:lang w:val="en-GB"/>
        </w:rPr>
        <w:t>Detention in police custody and judicial review of such detention</w:t>
      </w:r>
    </w:p>
    <w:p w:rsidRPr="00275FCA" w:rsidR="006341B2" w:rsidP="00275FCA" w:rsidRDefault="00D26069">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31</w:t>
      </w:r>
      <w:r w:rsidRPr="00275FCA">
        <w:rPr>
          <w:noProof/>
          <w:lang w:val="en-GB"/>
        </w:rPr>
        <w:fldChar w:fldCharType="end"/>
      </w:r>
      <w:r w:rsidRPr="00275FCA" w:rsidR="00395A43">
        <w:rPr>
          <w:lang w:val="en-GB"/>
        </w:rPr>
        <w:t>.  </w:t>
      </w:r>
      <w:r w:rsidRPr="00275FCA" w:rsidR="00E54ED9">
        <w:rPr>
          <w:lang w:val="en-GB"/>
        </w:rPr>
        <w:t>S</w:t>
      </w:r>
      <w:r w:rsidRPr="00275FCA" w:rsidR="006341B2">
        <w:rPr>
          <w:lang w:val="en-GB"/>
        </w:rPr>
        <w:t xml:space="preserve">ection 9(a) of </w:t>
      </w:r>
      <w:r w:rsidRPr="00275FCA" w:rsidR="000D1D79">
        <w:rPr>
          <w:lang w:val="en-GB"/>
        </w:rPr>
        <w:t xml:space="preserve">the </w:t>
      </w:r>
      <w:r w:rsidRPr="00275FCA" w:rsidR="006341B2">
        <w:rPr>
          <w:lang w:val="en-GB"/>
        </w:rPr>
        <w:t>State Security Courts</w:t>
      </w:r>
      <w:r w:rsidRPr="00275FCA" w:rsidR="000D1D79">
        <w:rPr>
          <w:lang w:val="en-GB"/>
        </w:rPr>
        <w:t xml:space="preserve"> Act (Law no. 2845)</w:t>
      </w:r>
      <w:r w:rsidRPr="00275FCA" w:rsidR="006341B2">
        <w:rPr>
          <w:lang w:val="en-GB"/>
        </w:rPr>
        <w:t xml:space="preserve">, which is </w:t>
      </w:r>
      <w:r w:rsidRPr="00275FCA" w:rsidR="003C3591">
        <w:rPr>
          <w:lang w:val="en-GB"/>
        </w:rPr>
        <w:t>no longer in force</w:t>
      </w:r>
      <w:r w:rsidRPr="00275FCA" w:rsidR="006341B2">
        <w:rPr>
          <w:lang w:val="en-GB"/>
        </w:rPr>
        <w:t xml:space="preserve">, </w:t>
      </w:r>
      <w:r w:rsidRPr="00275FCA" w:rsidR="00E54ED9">
        <w:rPr>
          <w:lang w:val="en-GB"/>
        </w:rPr>
        <w:t xml:space="preserve">provided that </w:t>
      </w:r>
      <w:r w:rsidRPr="00275FCA" w:rsidR="006341B2">
        <w:rPr>
          <w:lang w:val="en-GB"/>
        </w:rPr>
        <w:t>the offences under</w:t>
      </w:r>
      <w:r w:rsidRPr="00275FCA" w:rsidR="00BB47E0">
        <w:rPr>
          <w:lang w:val="en-GB"/>
        </w:rPr>
        <w:t xml:space="preserve">, </w:t>
      </w:r>
      <w:r w:rsidRPr="00275FCA" w:rsidR="00BB47E0">
        <w:rPr>
          <w:i/>
          <w:lang w:val="en-GB"/>
        </w:rPr>
        <w:t>inter alia</w:t>
      </w:r>
      <w:r w:rsidRPr="00275FCA" w:rsidR="00BB47E0">
        <w:rPr>
          <w:lang w:val="en-GB"/>
        </w:rPr>
        <w:t>,</w:t>
      </w:r>
      <w:r w:rsidRPr="00275FCA" w:rsidR="006341B2">
        <w:rPr>
          <w:lang w:val="en-GB"/>
        </w:rPr>
        <w:t xml:space="preserve"> </w:t>
      </w:r>
      <w:r w:rsidRPr="00275FCA" w:rsidR="00BB47E0">
        <w:rPr>
          <w:lang w:val="en-GB"/>
        </w:rPr>
        <w:t>Article</w:t>
      </w:r>
      <w:r w:rsidRPr="00275FCA" w:rsidR="0032321F">
        <w:rPr>
          <w:lang w:val="en-GB"/>
        </w:rPr>
        <w:t> </w:t>
      </w:r>
      <w:r w:rsidRPr="00275FCA" w:rsidR="006341B2">
        <w:rPr>
          <w:lang w:val="en-GB"/>
        </w:rPr>
        <w:t>169 of the Criminal Code fell within the exclusive jurisdiction of those courts</w:t>
      </w:r>
      <w:r w:rsidRPr="00275FCA" w:rsidR="00BB47E0">
        <w:rPr>
          <w:lang w:val="en-GB"/>
        </w:rPr>
        <w:t>.</w:t>
      </w:r>
    </w:p>
    <w:p w:rsidRPr="00275FCA" w:rsidR="00032AD0" w:rsidP="00275FCA" w:rsidRDefault="0085551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32</w:t>
      </w:r>
      <w:r w:rsidRPr="00275FCA">
        <w:rPr>
          <w:noProof/>
          <w:lang w:val="en-GB"/>
        </w:rPr>
        <w:fldChar w:fldCharType="end"/>
      </w:r>
      <w:r w:rsidRPr="00275FCA" w:rsidR="00BB47E0">
        <w:rPr>
          <w:lang w:val="en-GB"/>
        </w:rPr>
        <w:t>.  </w:t>
      </w:r>
      <w:r w:rsidRPr="00275FCA" w:rsidR="00235746">
        <w:rPr>
          <w:lang w:val="en-GB"/>
        </w:rPr>
        <w:t>At the material time</w:t>
      </w:r>
      <w:r w:rsidRPr="00275FCA" w:rsidR="00D11A17">
        <w:rPr>
          <w:lang w:val="en-GB"/>
        </w:rPr>
        <w:t>,</w:t>
      </w:r>
      <w:r w:rsidRPr="00275FCA" w:rsidR="00235746">
        <w:rPr>
          <w:lang w:val="en-GB"/>
        </w:rPr>
        <w:t xml:space="preserve"> s</w:t>
      </w:r>
      <w:r w:rsidRPr="00275FCA" w:rsidR="003C3591">
        <w:rPr>
          <w:lang w:val="en-GB"/>
        </w:rPr>
        <w:t xml:space="preserve">ection </w:t>
      </w:r>
      <w:r w:rsidRPr="00275FCA" w:rsidR="00032AD0">
        <w:rPr>
          <w:lang w:val="en-GB"/>
        </w:rPr>
        <w:t xml:space="preserve">16 </w:t>
      </w:r>
      <w:r w:rsidRPr="00275FCA" w:rsidR="00BB47E0">
        <w:rPr>
          <w:lang w:val="en-GB"/>
        </w:rPr>
        <w:t>provided</w:t>
      </w:r>
      <w:r w:rsidRPr="00275FCA" w:rsidR="00032AD0">
        <w:rPr>
          <w:lang w:val="en-GB"/>
        </w:rPr>
        <w:t>:</w:t>
      </w:r>
    </w:p>
    <w:p w:rsidRPr="00275FCA" w:rsidR="00032AD0" w:rsidP="00275FCA" w:rsidRDefault="00032AD0">
      <w:pPr>
        <w:pStyle w:val="ECHRParaQuote"/>
        <w:rPr>
          <w:lang w:val="en-GB"/>
        </w:rPr>
      </w:pPr>
      <w:r w:rsidRPr="00275FCA">
        <w:rPr>
          <w:lang w:val="en-GB"/>
        </w:rPr>
        <w:t>“Any person arrested in connection with an offence within the jurisdiction of State Security Courts shall be brought before a judge and questioned within forty-eight hours at the latest, not including the time needed to convey the detainee to the judge.</w:t>
      </w:r>
    </w:p>
    <w:p w:rsidRPr="00275FCA" w:rsidR="00032AD0" w:rsidP="00275FCA" w:rsidRDefault="00032AD0">
      <w:pPr>
        <w:pStyle w:val="ECHRParaQuote"/>
        <w:rPr>
          <w:lang w:val="en-GB"/>
        </w:rPr>
      </w:pPr>
      <w:r w:rsidRPr="00275FCA">
        <w:rPr>
          <w:lang w:val="en-GB"/>
        </w:rPr>
        <w:t xml:space="preserve">If </w:t>
      </w:r>
      <w:r w:rsidRPr="00275FCA" w:rsidR="00235746">
        <w:rPr>
          <w:lang w:val="en-GB"/>
        </w:rPr>
        <w:t xml:space="preserve">an </w:t>
      </w:r>
      <w:r w:rsidRPr="00275FCA">
        <w:rPr>
          <w:lang w:val="en-GB"/>
        </w:rPr>
        <w:t xml:space="preserve">offence </w:t>
      </w:r>
      <w:r w:rsidRPr="00275FCA" w:rsidR="002278A7">
        <w:rPr>
          <w:lang w:val="en-GB"/>
        </w:rPr>
        <w:t xml:space="preserve">has been committed </w:t>
      </w:r>
      <w:r w:rsidRPr="00275FCA">
        <w:rPr>
          <w:lang w:val="en-GB"/>
        </w:rPr>
        <w:t>joint</w:t>
      </w:r>
      <w:r w:rsidRPr="00275FCA" w:rsidR="002278A7">
        <w:rPr>
          <w:lang w:val="en-GB"/>
        </w:rPr>
        <w:t xml:space="preserve">ly </w:t>
      </w:r>
      <w:r w:rsidRPr="00275FCA">
        <w:rPr>
          <w:lang w:val="en-GB"/>
        </w:rPr>
        <w:t xml:space="preserve">by three or more persons, this period </w:t>
      </w:r>
      <w:r w:rsidRPr="00275FCA" w:rsidR="00C83630">
        <w:rPr>
          <w:lang w:val="en-GB"/>
        </w:rPr>
        <w:t xml:space="preserve">may </w:t>
      </w:r>
      <w:r w:rsidRPr="00275FCA">
        <w:rPr>
          <w:lang w:val="en-GB"/>
        </w:rPr>
        <w:t xml:space="preserve">be </w:t>
      </w:r>
      <w:r w:rsidRPr="00275FCA" w:rsidR="002278A7">
        <w:rPr>
          <w:lang w:val="en-GB"/>
        </w:rPr>
        <w:t xml:space="preserve">extended </w:t>
      </w:r>
      <w:r w:rsidRPr="00275FCA">
        <w:rPr>
          <w:lang w:val="en-GB"/>
        </w:rPr>
        <w:t xml:space="preserve">for up to four days by written order of the public prosecutor owing to difficulties in collecting evidence or to the number of perpetrators, or for similar </w:t>
      </w:r>
      <w:r w:rsidRPr="00275FCA" w:rsidR="00325E3C">
        <w:rPr>
          <w:lang w:val="en-GB"/>
        </w:rPr>
        <w:t>reasons</w:t>
      </w:r>
      <w:r w:rsidRPr="00275FCA">
        <w:rPr>
          <w:lang w:val="en-GB"/>
        </w:rPr>
        <w:t>. If the investigation is not concluded within th</w:t>
      </w:r>
      <w:r w:rsidRPr="00275FCA" w:rsidR="00235746">
        <w:rPr>
          <w:lang w:val="en-GB"/>
        </w:rPr>
        <w:t>at</w:t>
      </w:r>
      <w:r w:rsidRPr="00275FCA">
        <w:rPr>
          <w:lang w:val="en-GB"/>
        </w:rPr>
        <w:t xml:space="preserve"> period, it </w:t>
      </w:r>
      <w:r w:rsidRPr="00275FCA" w:rsidR="002278A7">
        <w:rPr>
          <w:lang w:val="en-GB"/>
        </w:rPr>
        <w:t>ma</w:t>
      </w:r>
      <w:r w:rsidRPr="00275FCA" w:rsidR="004471FD">
        <w:rPr>
          <w:lang w:val="en-GB"/>
        </w:rPr>
        <w:t>y</w:t>
      </w:r>
      <w:r w:rsidRPr="00275FCA" w:rsidR="002278A7">
        <w:rPr>
          <w:lang w:val="en-GB"/>
        </w:rPr>
        <w:t xml:space="preserve"> </w:t>
      </w:r>
      <w:r w:rsidRPr="00275FCA">
        <w:rPr>
          <w:lang w:val="en-GB"/>
        </w:rPr>
        <w:t xml:space="preserve">be </w:t>
      </w:r>
      <w:r w:rsidRPr="00275FCA" w:rsidR="002278A7">
        <w:rPr>
          <w:lang w:val="en-GB"/>
        </w:rPr>
        <w:t xml:space="preserve">extended </w:t>
      </w:r>
      <w:r w:rsidRPr="00275FCA">
        <w:rPr>
          <w:lang w:val="en-GB"/>
        </w:rPr>
        <w:t xml:space="preserve">for up to seven days </w:t>
      </w:r>
      <w:r w:rsidRPr="00275FCA" w:rsidR="00235746">
        <w:rPr>
          <w:lang w:val="en-GB"/>
        </w:rPr>
        <w:t>at</w:t>
      </w:r>
      <w:r w:rsidRPr="00275FCA">
        <w:rPr>
          <w:lang w:val="en-GB"/>
        </w:rPr>
        <w:t xml:space="preserve"> the request of the public prosecutor </w:t>
      </w:r>
      <w:r w:rsidRPr="00275FCA" w:rsidR="0032321F">
        <w:rPr>
          <w:lang w:val="en-GB"/>
        </w:rPr>
        <w:t>and by the</w:t>
      </w:r>
      <w:r w:rsidRPr="00275FCA" w:rsidR="00235746">
        <w:rPr>
          <w:lang w:val="en-GB"/>
        </w:rPr>
        <w:t xml:space="preserve"> </w:t>
      </w:r>
      <w:r w:rsidRPr="00275FCA">
        <w:rPr>
          <w:lang w:val="en-GB"/>
        </w:rPr>
        <w:t>decision of the judge.</w:t>
      </w:r>
    </w:p>
    <w:p w:rsidRPr="00275FCA" w:rsidR="00032AD0" w:rsidP="00275FCA" w:rsidRDefault="00032AD0">
      <w:pPr>
        <w:pStyle w:val="ECHRParaQuote"/>
        <w:rPr>
          <w:lang w:val="en-GB"/>
        </w:rPr>
      </w:pPr>
      <w:r w:rsidRPr="00275FCA">
        <w:rPr>
          <w:lang w:val="en-GB"/>
        </w:rPr>
        <w:t xml:space="preserve">The period of seven days referred to in the second paragraph </w:t>
      </w:r>
      <w:r w:rsidRPr="00275FCA" w:rsidR="00C83630">
        <w:rPr>
          <w:lang w:val="en-GB"/>
        </w:rPr>
        <w:t xml:space="preserve">may </w:t>
      </w:r>
      <w:r w:rsidRPr="00275FCA">
        <w:rPr>
          <w:lang w:val="en-GB"/>
        </w:rPr>
        <w:t xml:space="preserve">be </w:t>
      </w:r>
      <w:r w:rsidRPr="00275FCA" w:rsidR="00325E3C">
        <w:rPr>
          <w:lang w:val="en-GB"/>
        </w:rPr>
        <w:t xml:space="preserve">extended </w:t>
      </w:r>
      <w:r w:rsidRPr="00275FCA">
        <w:rPr>
          <w:lang w:val="en-GB"/>
        </w:rPr>
        <w:t xml:space="preserve">for up to ten days </w:t>
      </w:r>
      <w:r w:rsidRPr="00275FCA" w:rsidR="00235746">
        <w:rPr>
          <w:lang w:val="en-GB"/>
        </w:rPr>
        <w:t>at</w:t>
      </w:r>
      <w:r w:rsidRPr="00275FCA">
        <w:rPr>
          <w:lang w:val="en-GB"/>
        </w:rPr>
        <w:t xml:space="preserve"> the request of the public prosecutor </w:t>
      </w:r>
      <w:r w:rsidRPr="00275FCA" w:rsidR="0032321F">
        <w:rPr>
          <w:lang w:val="en-GB"/>
        </w:rPr>
        <w:t>and</w:t>
      </w:r>
      <w:r w:rsidRPr="00275FCA" w:rsidR="00235746">
        <w:rPr>
          <w:lang w:val="en-GB"/>
        </w:rPr>
        <w:t xml:space="preserve"> </w:t>
      </w:r>
      <w:r w:rsidRPr="00275FCA">
        <w:rPr>
          <w:lang w:val="en-GB"/>
        </w:rPr>
        <w:t xml:space="preserve">by </w:t>
      </w:r>
      <w:r w:rsidRPr="00275FCA" w:rsidR="0032321F">
        <w:rPr>
          <w:lang w:val="en-GB"/>
        </w:rPr>
        <w:t xml:space="preserve">the </w:t>
      </w:r>
      <w:r w:rsidRPr="00275FCA">
        <w:rPr>
          <w:lang w:val="en-GB"/>
        </w:rPr>
        <w:t xml:space="preserve">decision of the judge in respect of persons arrested in regions where a state of emergency has been declared in accordance with </w:t>
      </w:r>
      <w:bookmarkStart w:name="HIT22" w:id="2"/>
      <w:bookmarkEnd w:id="2"/>
      <w:r w:rsidRPr="00275FCA">
        <w:rPr>
          <w:lang w:val="en-GB"/>
        </w:rPr>
        <w:t>Article</w:t>
      </w:r>
      <w:bookmarkStart w:name="HIT23" w:id="3"/>
      <w:bookmarkEnd w:id="3"/>
      <w:r w:rsidRPr="00275FCA">
        <w:rPr>
          <w:lang w:val="en-GB"/>
        </w:rPr>
        <w:t xml:space="preserve"> 120 of the Constitution.</w:t>
      </w:r>
    </w:p>
    <w:p w:rsidRPr="00275FCA" w:rsidR="00032AD0" w:rsidP="00275FCA" w:rsidRDefault="00032AD0">
      <w:pPr>
        <w:pStyle w:val="ECHRParaQuote"/>
        <w:rPr>
          <w:lang w:val="en-GB"/>
        </w:rPr>
      </w:pPr>
      <w:r w:rsidRPr="00275FCA">
        <w:rPr>
          <w:lang w:val="en-GB"/>
        </w:rPr>
        <w:t>...”</w:t>
      </w:r>
    </w:p>
    <w:p w:rsidRPr="00275FCA" w:rsidR="000923DF" w:rsidP="00275FCA" w:rsidRDefault="0085551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33</w:t>
      </w:r>
      <w:r w:rsidRPr="00275FCA">
        <w:rPr>
          <w:noProof/>
          <w:lang w:val="en-GB"/>
        </w:rPr>
        <w:fldChar w:fldCharType="end"/>
      </w:r>
      <w:r w:rsidRPr="00275FCA" w:rsidR="00032AD0">
        <w:rPr>
          <w:lang w:val="en-GB"/>
        </w:rPr>
        <w:t>.</w:t>
      </w:r>
      <w:r w:rsidRPr="00275FCA" w:rsidR="00125526">
        <w:rPr>
          <w:lang w:val="en-GB"/>
        </w:rPr>
        <w:t> </w:t>
      </w:r>
      <w:r w:rsidRPr="00275FCA" w:rsidR="00032AD0">
        <w:rPr>
          <w:lang w:val="en-GB"/>
        </w:rPr>
        <w:t> </w:t>
      </w:r>
      <w:r w:rsidRPr="00275FCA" w:rsidR="00BB47E0">
        <w:rPr>
          <w:lang w:val="en-GB"/>
        </w:rPr>
        <w:t xml:space="preserve">Article 128 </w:t>
      </w:r>
      <w:r w:rsidRPr="00275FCA" w:rsidR="00C83630">
        <w:rPr>
          <w:rFonts w:cstheme="minorHAnsi"/>
          <w:lang w:val="en-GB"/>
        </w:rPr>
        <w:t>§</w:t>
      </w:r>
      <w:r w:rsidRPr="00275FCA" w:rsidR="00C83630">
        <w:rPr>
          <w:lang w:val="en-GB"/>
        </w:rPr>
        <w:t xml:space="preserve"> 4 </w:t>
      </w:r>
      <w:r w:rsidRPr="00275FCA" w:rsidR="00BB47E0">
        <w:rPr>
          <w:lang w:val="en-GB"/>
        </w:rPr>
        <w:t>of the Code of Criminal Procedure</w:t>
      </w:r>
      <w:r w:rsidRPr="00275FCA" w:rsidR="00A67E0C">
        <w:rPr>
          <w:lang w:val="en-GB"/>
        </w:rPr>
        <w:t xml:space="preserve"> (Law no.</w:t>
      </w:r>
      <w:r w:rsidRPr="00275FCA" w:rsidR="00E42314">
        <w:rPr>
          <w:lang w:val="en-GB"/>
        </w:rPr>
        <w:t> </w:t>
      </w:r>
      <w:r w:rsidRPr="00275FCA" w:rsidR="00A67E0C">
        <w:rPr>
          <w:lang w:val="en-GB"/>
        </w:rPr>
        <w:t>1412 repealed on 1 June 2005)</w:t>
      </w:r>
      <w:r w:rsidRPr="00275FCA" w:rsidR="00BB47E0">
        <w:rPr>
          <w:lang w:val="en-GB"/>
        </w:rPr>
        <w:t xml:space="preserve"> in force at the material time provided that any person who was arrested, or whose police custody period was extended on the order of a public prosecutor, was entitled to challenge that measure before the appropriate judge with a view to securing his or her immediate release</w:t>
      </w:r>
      <w:r w:rsidRPr="00275FCA" w:rsidR="00325E3C">
        <w:rPr>
          <w:lang w:val="en-GB"/>
        </w:rPr>
        <w:t>. The</w:t>
      </w:r>
      <w:r w:rsidRPr="00275FCA" w:rsidR="000923DF">
        <w:rPr>
          <w:lang w:val="en-GB"/>
        </w:rPr>
        <w:t xml:space="preserve"> judge had to rule on the matter within twenty-four hours following an examination </w:t>
      </w:r>
      <w:r w:rsidRPr="00275FCA" w:rsidR="00325E3C">
        <w:rPr>
          <w:lang w:val="en-GB"/>
        </w:rPr>
        <w:t>based on</w:t>
      </w:r>
      <w:r w:rsidRPr="00275FCA" w:rsidR="000923DF">
        <w:rPr>
          <w:lang w:val="en-GB"/>
        </w:rPr>
        <w:t xml:space="preserve"> the</w:t>
      </w:r>
      <w:r w:rsidRPr="00275FCA" w:rsidR="00CA346E">
        <w:rPr>
          <w:lang w:val="en-GB"/>
        </w:rPr>
        <w:t xml:space="preserve"> case</w:t>
      </w:r>
      <w:r w:rsidRPr="00275FCA" w:rsidR="000923DF">
        <w:rPr>
          <w:lang w:val="en-GB"/>
        </w:rPr>
        <w:t xml:space="preserve"> file</w:t>
      </w:r>
      <w:r w:rsidRPr="00275FCA" w:rsidR="00CA346E">
        <w:rPr>
          <w:lang w:val="en-GB"/>
        </w:rPr>
        <w:t>, without holding a hearing</w:t>
      </w:r>
      <w:r w:rsidRPr="00275FCA" w:rsidR="00BB47E0">
        <w:rPr>
          <w:lang w:val="en-GB"/>
        </w:rPr>
        <w:t>.</w:t>
      </w:r>
    </w:p>
    <w:p w:rsidRPr="00275FCA" w:rsidR="00395A43" w:rsidP="00275FCA" w:rsidRDefault="00346401">
      <w:pPr>
        <w:pStyle w:val="ECHRHeading2"/>
        <w:rPr>
          <w:lang w:val="en-GB"/>
        </w:rPr>
      </w:pPr>
      <w:r w:rsidRPr="00275FCA">
        <w:rPr>
          <w:lang w:val="en-GB"/>
        </w:rPr>
        <w:t>C</w:t>
      </w:r>
      <w:r w:rsidRPr="00275FCA" w:rsidR="00125526">
        <w:rPr>
          <w:lang w:val="en-GB"/>
        </w:rPr>
        <w:t>.  </w:t>
      </w:r>
      <w:r w:rsidRPr="00275FCA" w:rsidR="00395A43">
        <w:rPr>
          <w:lang w:val="en-GB"/>
        </w:rPr>
        <w:t>Compensation for unlawful detention</w:t>
      </w:r>
    </w:p>
    <w:p w:rsidRPr="00275FCA" w:rsidR="00FF7238" w:rsidP="00275FCA" w:rsidRDefault="00D26069">
      <w:pPr>
        <w:pStyle w:val="ECHRPara"/>
        <w:rPr>
          <w:i/>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34</w:t>
      </w:r>
      <w:r w:rsidRPr="00275FCA">
        <w:rPr>
          <w:noProof/>
          <w:lang w:val="en-GB"/>
        </w:rPr>
        <w:fldChar w:fldCharType="end"/>
      </w:r>
      <w:r w:rsidRPr="00275FCA" w:rsidR="00395A43">
        <w:rPr>
          <w:lang w:val="en-GB"/>
        </w:rPr>
        <w:t>. </w:t>
      </w:r>
      <w:r w:rsidRPr="00275FCA" w:rsidR="00125526">
        <w:rPr>
          <w:lang w:val="en-GB"/>
        </w:rPr>
        <w:t> </w:t>
      </w:r>
      <w:r w:rsidRPr="00275FCA" w:rsidR="00395A43">
        <w:rPr>
          <w:lang w:val="en-GB"/>
        </w:rPr>
        <w:t>The relevant domestic law and practice under Law no. 466 on the payment of compensation to persons unlawfully arrested or detained</w:t>
      </w:r>
      <w:r w:rsidRPr="00275FCA" w:rsidR="000D1D79">
        <w:rPr>
          <w:lang w:val="en-GB"/>
        </w:rPr>
        <w:t xml:space="preserve"> (</w:t>
      </w:r>
      <w:r w:rsidRPr="00275FCA" w:rsidR="000D1D79">
        <w:t>“the Unlawful Detention (Compensation) Act”)</w:t>
      </w:r>
      <w:r w:rsidRPr="00275FCA" w:rsidR="00395A43">
        <w:rPr>
          <w:lang w:val="en-GB"/>
        </w:rPr>
        <w:t xml:space="preserve">, which is </w:t>
      </w:r>
      <w:r w:rsidRPr="00275FCA" w:rsidR="00C83630">
        <w:rPr>
          <w:lang w:val="en-GB"/>
        </w:rPr>
        <w:t>no longer in force</w:t>
      </w:r>
      <w:r w:rsidRPr="00275FCA" w:rsidR="00395A43">
        <w:rPr>
          <w:lang w:val="en-GB"/>
        </w:rPr>
        <w:t xml:space="preserve">, may be found in </w:t>
      </w:r>
      <w:r w:rsidRPr="00275FCA" w:rsidR="00395A43">
        <w:rPr>
          <w:i/>
          <w:lang w:val="en-GB"/>
        </w:rPr>
        <w:t>Adırbelli and Others v. Turkey</w:t>
      </w:r>
      <w:r w:rsidRPr="00275FCA" w:rsidR="00FF7238">
        <w:rPr>
          <w:lang w:val="en-GB"/>
        </w:rPr>
        <w:t xml:space="preserve"> (no. 20775/03, §</w:t>
      </w:r>
      <w:r w:rsidRPr="00275FCA" w:rsidR="00E42314">
        <w:rPr>
          <w:lang w:val="en-GB"/>
        </w:rPr>
        <w:t> </w:t>
      </w:r>
      <w:r w:rsidRPr="00275FCA" w:rsidR="00FF7238">
        <w:rPr>
          <w:lang w:val="en-GB"/>
        </w:rPr>
        <w:t>18, 2</w:t>
      </w:r>
      <w:r w:rsidRPr="00275FCA" w:rsidR="00630A8A">
        <w:rPr>
          <w:lang w:val="en-GB"/>
        </w:rPr>
        <w:t> </w:t>
      </w:r>
      <w:r w:rsidRPr="00275FCA" w:rsidR="00FF7238">
        <w:rPr>
          <w:lang w:val="en-GB"/>
        </w:rPr>
        <w:t>December</w:t>
      </w:r>
      <w:r w:rsidRPr="00275FCA" w:rsidR="00630A8A">
        <w:rPr>
          <w:lang w:val="en-GB"/>
        </w:rPr>
        <w:t> </w:t>
      </w:r>
      <w:r w:rsidRPr="00275FCA" w:rsidR="00FF7238">
        <w:rPr>
          <w:lang w:val="en-GB"/>
        </w:rPr>
        <w:t>2008).</w:t>
      </w:r>
    </w:p>
    <w:p w:rsidRPr="00275FCA" w:rsidR="00395A43" w:rsidP="00275FCA" w:rsidRDefault="00482D1A">
      <w:pPr>
        <w:pStyle w:val="ECHRHeading2"/>
        <w:rPr>
          <w:lang w:val="en-GB"/>
        </w:rPr>
      </w:pPr>
      <w:r w:rsidRPr="00275FCA">
        <w:rPr>
          <w:lang w:val="en-GB"/>
        </w:rPr>
        <w:t>D</w:t>
      </w:r>
      <w:r w:rsidRPr="00275FCA" w:rsidR="00125526">
        <w:rPr>
          <w:lang w:val="en-GB"/>
        </w:rPr>
        <w:t>.  </w:t>
      </w:r>
      <w:r w:rsidRPr="00275FCA" w:rsidR="00395A43">
        <w:rPr>
          <w:lang w:val="en-GB"/>
        </w:rPr>
        <w:t>Constitution</w:t>
      </w:r>
    </w:p>
    <w:p w:rsidRPr="00275FCA" w:rsidR="00CC451A" w:rsidP="00275FCA" w:rsidRDefault="00395A43">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35</w:t>
      </w:r>
      <w:r w:rsidRPr="00275FCA">
        <w:rPr>
          <w:lang w:val="en-GB"/>
        </w:rPr>
        <w:fldChar w:fldCharType="end"/>
      </w:r>
      <w:r w:rsidRPr="00275FCA">
        <w:rPr>
          <w:lang w:val="en-GB"/>
        </w:rPr>
        <w:t>.  </w:t>
      </w:r>
      <w:r w:rsidRPr="00275FCA" w:rsidR="00CC451A">
        <w:rPr>
          <w:lang w:val="en-GB"/>
        </w:rPr>
        <w:t>At the material time the relevant provisions of the Constitution read</w:t>
      </w:r>
      <w:r w:rsidRPr="00275FCA" w:rsidR="001F43BF">
        <w:rPr>
          <w:lang w:val="en-GB"/>
        </w:rPr>
        <w:t xml:space="preserve"> </w:t>
      </w:r>
      <w:r w:rsidRPr="00275FCA" w:rsidR="00CC451A">
        <w:rPr>
          <w:lang w:val="en-GB"/>
        </w:rPr>
        <w:t>as follows:</w:t>
      </w:r>
    </w:p>
    <w:p w:rsidRPr="00275FCA" w:rsidR="00CC451A" w:rsidP="00275FCA" w:rsidRDefault="00CC451A">
      <w:pPr>
        <w:pStyle w:val="ECHRParaQuote"/>
        <w:jc w:val="center"/>
        <w:rPr>
          <w:b/>
          <w:lang w:val="en-GB"/>
        </w:rPr>
      </w:pPr>
      <w:r w:rsidRPr="00275FCA">
        <w:rPr>
          <w:b/>
          <w:lang w:val="en-GB"/>
        </w:rPr>
        <w:t>Article 3</w:t>
      </w:r>
    </w:p>
    <w:p w:rsidRPr="00275FCA" w:rsidR="00CC451A" w:rsidP="00275FCA" w:rsidRDefault="00CC451A">
      <w:pPr>
        <w:pStyle w:val="ECHRParaQuote"/>
        <w:rPr>
          <w:lang w:val="en-GB"/>
        </w:rPr>
      </w:pPr>
      <w:r w:rsidRPr="00275FCA">
        <w:rPr>
          <w:lang w:val="en-GB"/>
        </w:rPr>
        <w:t>“</w:t>
      </w:r>
      <w:r w:rsidRPr="00275FCA" w:rsidR="00125526">
        <w:rPr>
          <w:lang w:val="en-GB"/>
        </w:rPr>
        <w:t>1.  </w:t>
      </w:r>
      <w:r w:rsidRPr="00275FCA">
        <w:rPr>
          <w:lang w:val="en-GB"/>
        </w:rPr>
        <w:t>The State of Turkey constitutes with its territory and nation, an indivisible whole. The official language is Turkish.”</w:t>
      </w:r>
    </w:p>
    <w:p w:rsidRPr="00275FCA" w:rsidR="00CC451A" w:rsidP="00275FCA" w:rsidRDefault="00CC451A">
      <w:pPr>
        <w:pStyle w:val="ECHRParaQuote"/>
        <w:jc w:val="center"/>
        <w:rPr>
          <w:b/>
          <w:lang w:val="en-GB"/>
        </w:rPr>
      </w:pPr>
      <w:r w:rsidRPr="00275FCA">
        <w:rPr>
          <w:b/>
          <w:lang w:val="en-GB"/>
        </w:rPr>
        <w:t>Article 14</w:t>
      </w:r>
    </w:p>
    <w:p w:rsidRPr="00275FCA" w:rsidR="00CC451A" w:rsidP="00275FCA" w:rsidRDefault="00CC451A">
      <w:pPr>
        <w:pStyle w:val="ECHRParaQuote"/>
        <w:rPr>
          <w:lang w:val="en-GB"/>
        </w:rPr>
      </w:pPr>
      <w:r w:rsidRPr="00275FCA">
        <w:rPr>
          <w:lang w:val="en-GB"/>
        </w:rPr>
        <w:t>“</w:t>
      </w:r>
      <w:r w:rsidRPr="00275FCA" w:rsidR="00125526">
        <w:rPr>
          <w:lang w:val="en-GB"/>
        </w:rPr>
        <w:t>1.  </w:t>
      </w:r>
      <w:r w:rsidRPr="00275FCA">
        <w:rPr>
          <w:lang w:val="en-GB"/>
        </w:rPr>
        <w:t>The rights and freedoms set out in the Constitution may not be exercised with a view to undermining the territorial integrity of the State, the unity of the nation or the democratic and secular Republic founded on human rights.</w:t>
      </w:r>
    </w:p>
    <w:p w:rsidRPr="00275FCA" w:rsidR="00CC451A" w:rsidP="00275FCA" w:rsidRDefault="00CC451A">
      <w:pPr>
        <w:pStyle w:val="ECHRParaQuote"/>
        <w:rPr>
          <w:lang w:val="en-GB"/>
        </w:rPr>
      </w:pPr>
      <w:r w:rsidRPr="00275FCA">
        <w:rPr>
          <w:lang w:val="en-GB"/>
        </w:rPr>
        <w:t>No provision of this Constitution shall be interpreted in a manner that would grant the State or individuals the right to engage in activities intended to destroy the fundamental rights and freedoms embodied in the Constitution or to restrict them beyond what is permitted by the Constitution.</w:t>
      </w:r>
    </w:p>
    <w:p w:rsidRPr="00275FCA" w:rsidR="0079398E" w:rsidP="00275FCA" w:rsidRDefault="00E06EF8">
      <w:pPr>
        <w:pStyle w:val="ECHRParaQuote"/>
        <w:rPr>
          <w:lang w:val="en-GB"/>
        </w:rPr>
      </w:pPr>
      <w:r w:rsidRPr="00275FCA">
        <w:rPr>
          <w:lang w:val="en-GB"/>
        </w:rPr>
        <w:t>...</w:t>
      </w:r>
      <w:r w:rsidRPr="00275FCA" w:rsidR="00CC451A">
        <w:rPr>
          <w:lang w:val="en-GB"/>
        </w:rPr>
        <w:t>”</w:t>
      </w:r>
    </w:p>
    <w:p w:rsidRPr="00275FCA" w:rsidR="00CC451A" w:rsidP="00275FCA" w:rsidRDefault="00CC451A">
      <w:pPr>
        <w:pStyle w:val="ECHRParaQuote"/>
        <w:jc w:val="center"/>
        <w:rPr>
          <w:b/>
          <w:lang w:val="en-GB"/>
        </w:rPr>
      </w:pPr>
      <w:r w:rsidRPr="00275FCA">
        <w:rPr>
          <w:b/>
          <w:lang w:val="en-GB"/>
        </w:rPr>
        <w:t>Article 42</w:t>
      </w:r>
    </w:p>
    <w:p w:rsidRPr="00275FCA" w:rsidR="00CC451A" w:rsidP="00275FCA" w:rsidRDefault="00CC451A">
      <w:pPr>
        <w:pStyle w:val="ECHRParaQuote"/>
        <w:rPr>
          <w:lang w:val="en-GB"/>
        </w:rPr>
      </w:pPr>
      <w:r w:rsidRPr="00275FCA">
        <w:rPr>
          <w:lang w:val="en-GB"/>
        </w:rPr>
        <w:t>“No one may be deprived of the right to instruction and education.</w:t>
      </w:r>
    </w:p>
    <w:p w:rsidRPr="00275FCA" w:rsidR="0079398E" w:rsidP="00275FCA" w:rsidRDefault="00E06EF8">
      <w:pPr>
        <w:pStyle w:val="ECHRParaQuote"/>
        <w:rPr>
          <w:lang w:val="en-GB"/>
        </w:rPr>
      </w:pPr>
      <w:r w:rsidRPr="00275FCA">
        <w:rPr>
          <w:lang w:val="en-GB"/>
        </w:rPr>
        <w:t>...</w:t>
      </w:r>
    </w:p>
    <w:p w:rsidRPr="00275FCA" w:rsidR="00CC451A" w:rsidP="00275FCA" w:rsidRDefault="0079398E">
      <w:pPr>
        <w:pStyle w:val="ECHRParaQuote"/>
        <w:rPr>
          <w:lang w:val="en-GB"/>
        </w:rPr>
      </w:pPr>
      <w:r w:rsidRPr="00275FCA">
        <w:rPr>
          <w:lang w:val="en-GB"/>
        </w:rPr>
        <w:t>“No language other than Turkish shall be taught as a mother tongue to Turkish citizens at any institutions of training or education. Foreign languages to be taught in institutions of training and education and the rules to be followed by schools conducting training and education in a foreign language shall be determined by law. The provisions of international treaties are reserved.</w:t>
      </w:r>
      <w:r w:rsidRPr="00275FCA" w:rsidR="00CC451A">
        <w:rPr>
          <w:lang w:val="en-GB"/>
        </w:rPr>
        <w:t>”</w:t>
      </w:r>
    </w:p>
    <w:p w:rsidRPr="00275FCA" w:rsidR="00395A43" w:rsidP="00275FCA" w:rsidRDefault="00422BBE">
      <w:pPr>
        <w:pStyle w:val="ECHRParaQuote"/>
        <w:jc w:val="center"/>
        <w:rPr>
          <w:b/>
          <w:lang w:val="en-GB"/>
        </w:rPr>
      </w:pPr>
      <w:r w:rsidRPr="00275FCA">
        <w:rPr>
          <w:b/>
          <w:lang w:val="en-GB"/>
        </w:rPr>
        <w:t>Article 74</w:t>
      </w:r>
    </w:p>
    <w:p w:rsidRPr="00275FCA" w:rsidR="00395A43" w:rsidP="00275FCA" w:rsidRDefault="00395A43">
      <w:pPr>
        <w:pStyle w:val="ECHRParaQuote"/>
        <w:rPr>
          <w:lang w:val="en-GB"/>
        </w:rPr>
      </w:pPr>
      <w:r w:rsidRPr="00275FCA">
        <w:rPr>
          <w:lang w:val="en-GB"/>
        </w:rPr>
        <w:t>“Citizens and foreigners resident in Turkey, with the condition of observing the principle of reciprocity, have the right to apply in writing to the competent authorities and to the Grand National Assembly of Turkey with regard to requests and complaints concernin</w:t>
      </w:r>
      <w:r w:rsidRPr="00275FCA" w:rsidR="00482D1A">
        <w:rPr>
          <w:lang w:val="en-GB"/>
        </w:rPr>
        <w:t>g themselves or the public..</w:t>
      </w:r>
      <w:r w:rsidRPr="00275FCA">
        <w:rPr>
          <w:lang w:val="en-GB"/>
        </w:rPr>
        <w:t>.”</w:t>
      </w:r>
    </w:p>
    <w:p w:rsidRPr="00275FCA" w:rsidR="00395A43" w:rsidP="00275FCA" w:rsidRDefault="00343892">
      <w:pPr>
        <w:pStyle w:val="ECHRHeading2"/>
        <w:rPr>
          <w:lang w:val="en-GB"/>
        </w:rPr>
      </w:pPr>
      <w:r w:rsidRPr="00275FCA">
        <w:rPr>
          <w:lang w:val="en-GB"/>
        </w:rPr>
        <w:t>E</w:t>
      </w:r>
      <w:r w:rsidRPr="00275FCA" w:rsidR="00125526">
        <w:rPr>
          <w:lang w:val="en-GB"/>
        </w:rPr>
        <w:t>.  </w:t>
      </w:r>
      <w:r w:rsidRPr="00275FCA" w:rsidR="00395A43">
        <w:rPr>
          <w:lang w:val="en-GB"/>
        </w:rPr>
        <w:t xml:space="preserve">Teaching of </w:t>
      </w:r>
      <w:r w:rsidRPr="00275FCA" w:rsidR="004D3775">
        <w:rPr>
          <w:lang w:val="en-GB"/>
        </w:rPr>
        <w:t xml:space="preserve">the </w:t>
      </w:r>
      <w:r w:rsidRPr="00275FCA" w:rsidR="00395A43">
        <w:rPr>
          <w:lang w:val="en-GB"/>
        </w:rPr>
        <w:t>Kurdish language</w:t>
      </w:r>
    </w:p>
    <w:p w:rsidRPr="00275FCA" w:rsidR="00395A43" w:rsidP="00275FCA" w:rsidRDefault="00D26069">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36</w:t>
      </w:r>
      <w:r w:rsidRPr="00275FCA">
        <w:rPr>
          <w:noProof/>
          <w:lang w:val="en-GB"/>
        </w:rPr>
        <w:fldChar w:fldCharType="end"/>
      </w:r>
      <w:r w:rsidRPr="00275FCA" w:rsidR="00395A43">
        <w:rPr>
          <w:lang w:val="en-GB"/>
        </w:rPr>
        <w:t>.  At the time of the events in question</w:t>
      </w:r>
      <w:r w:rsidRPr="00275FCA" w:rsidR="00343892">
        <w:rPr>
          <w:lang w:val="en-GB"/>
        </w:rPr>
        <w:t>,</w:t>
      </w:r>
      <w:r w:rsidRPr="00275FCA" w:rsidR="00395A43">
        <w:rPr>
          <w:lang w:val="en-GB"/>
        </w:rPr>
        <w:t xml:space="preserve"> domestic law did not provide for the teaching of </w:t>
      </w:r>
      <w:r w:rsidRPr="00275FCA" w:rsidR="00472D0F">
        <w:rPr>
          <w:lang w:val="en-GB"/>
        </w:rPr>
        <w:t xml:space="preserve">or in </w:t>
      </w:r>
      <w:r w:rsidRPr="00275FCA" w:rsidR="00395A43">
        <w:rPr>
          <w:lang w:val="en-GB"/>
        </w:rPr>
        <w:t xml:space="preserve">the Kurdish language at any level of education in public or private institutions. On </w:t>
      </w:r>
      <w:r w:rsidRPr="00275FCA" w:rsidR="004A421F">
        <w:rPr>
          <w:lang w:val="en-GB"/>
        </w:rPr>
        <w:t xml:space="preserve">3 </w:t>
      </w:r>
      <w:r w:rsidRPr="00275FCA" w:rsidR="00395A43">
        <w:rPr>
          <w:lang w:val="en-GB"/>
        </w:rPr>
        <w:t>August 2002</w:t>
      </w:r>
      <w:r w:rsidRPr="00275FCA" w:rsidR="00395A43">
        <w:rPr>
          <w:lang w:val="en-GB" w:bidi="en-US"/>
        </w:rPr>
        <w:t xml:space="preserve"> the Foreign Language Education and Teaching</w:t>
      </w:r>
      <w:r w:rsidRPr="00275FCA" w:rsidR="004D3775">
        <w:rPr>
          <w:lang w:val="en-GB" w:bidi="en-US"/>
        </w:rPr>
        <w:t xml:space="preserve"> Act</w:t>
      </w:r>
      <w:r w:rsidRPr="00275FCA" w:rsidR="00395A43">
        <w:rPr>
          <w:lang w:val="en-GB" w:bidi="en-US"/>
        </w:rPr>
        <w:t xml:space="preserve"> (Law no. 2923 of 14 October 1983) was amended by Law</w:t>
      </w:r>
      <w:r w:rsidRPr="00275FCA" w:rsidR="00745D6F">
        <w:rPr>
          <w:lang w:val="en-GB" w:bidi="en-US"/>
        </w:rPr>
        <w:t> </w:t>
      </w:r>
      <w:r w:rsidRPr="00275FCA" w:rsidR="00395A43">
        <w:rPr>
          <w:lang w:val="en-GB" w:bidi="en-US"/>
        </w:rPr>
        <w:t>no. 4771 with a view to regulating the principles of education and training of citizens of Turkey in the different languages and dialects traditionally used in daily life. The title of the l</w:t>
      </w:r>
      <w:r w:rsidRPr="00275FCA" w:rsidR="00583FCB">
        <w:rPr>
          <w:lang w:val="en-GB" w:bidi="en-US"/>
        </w:rPr>
        <w:t>egislation</w:t>
      </w:r>
      <w:r w:rsidRPr="00275FCA" w:rsidR="00395A43">
        <w:rPr>
          <w:lang w:val="en-GB" w:bidi="en-US"/>
        </w:rPr>
        <w:t xml:space="preserve"> in question was changed to</w:t>
      </w:r>
      <w:r w:rsidRPr="00275FCA" w:rsidR="004D3775">
        <w:rPr>
          <w:lang w:val="en-GB" w:bidi="en-US"/>
        </w:rPr>
        <w:t xml:space="preserve"> the</w:t>
      </w:r>
      <w:r w:rsidRPr="00275FCA" w:rsidR="00395A43">
        <w:rPr>
          <w:lang w:val="en-GB" w:bidi="en-US"/>
        </w:rPr>
        <w:t xml:space="preserve"> “Foreign Language Education and Teaching and the Learning of Different Languages and Dialects</w:t>
      </w:r>
      <w:r w:rsidRPr="00275FCA" w:rsidR="005F5BC3">
        <w:rPr>
          <w:lang w:val="en-GB" w:bidi="en-US"/>
        </w:rPr>
        <w:t xml:space="preserve"> used by Turkish Citizens Act</w:t>
      </w:r>
      <w:r w:rsidRPr="00275FCA" w:rsidR="00125526">
        <w:rPr>
          <w:lang w:val="en-GB" w:bidi="en-US"/>
        </w:rPr>
        <w:t>”.</w:t>
      </w:r>
    </w:p>
    <w:p w:rsidRPr="00275FCA" w:rsidR="00395A43" w:rsidP="00275FCA" w:rsidRDefault="00395A43">
      <w:pPr>
        <w:pStyle w:val="ECHRPara"/>
        <w:rPr>
          <w:lang w:val="en-GB" w:bidi="en-US"/>
        </w:rPr>
      </w:pPr>
      <w:r w:rsidRPr="00275FCA">
        <w:rPr>
          <w:lang w:val="en-GB" w:bidi="en-US"/>
        </w:rPr>
        <w:fldChar w:fldCharType="begin"/>
      </w:r>
      <w:r w:rsidRPr="00275FCA">
        <w:rPr>
          <w:lang w:val="en-GB" w:bidi="en-US"/>
        </w:rPr>
        <w:instrText xml:space="preserve"> SEQ level0 \*arabic </w:instrText>
      </w:r>
      <w:r w:rsidRPr="00275FCA">
        <w:rPr>
          <w:lang w:val="en-GB" w:bidi="en-US"/>
        </w:rPr>
        <w:fldChar w:fldCharType="separate"/>
      </w:r>
      <w:r w:rsidRPr="00275FCA" w:rsidR="00275FCA">
        <w:rPr>
          <w:noProof/>
          <w:lang w:val="en-GB" w:bidi="en-US"/>
        </w:rPr>
        <w:t>37</w:t>
      </w:r>
      <w:r w:rsidRPr="00275FCA">
        <w:rPr>
          <w:lang w:val="en-GB"/>
        </w:rPr>
        <w:fldChar w:fldCharType="end"/>
      </w:r>
      <w:r w:rsidRPr="00275FCA">
        <w:rPr>
          <w:lang w:val="en-GB" w:bidi="en-US"/>
        </w:rPr>
        <w:t>.  On 30 July 2003 an amendment was made to the second sentence of section 2(a) of Law no. 2923 with a view to enabling the opening of private courses for the teaching of the different languages and dialects used by citizens of Turkey.</w:t>
      </w:r>
    </w:p>
    <w:p w:rsidRPr="00275FCA" w:rsidR="00395A43" w:rsidP="00275FCA" w:rsidRDefault="00395A43">
      <w:pPr>
        <w:pStyle w:val="ECHRPara"/>
        <w:rPr>
          <w:lang w:val="en-GB" w:bidi="en-US"/>
        </w:rPr>
      </w:pPr>
      <w:r w:rsidRPr="00275FCA">
        <w:rPr>
          <w:lang w:val="en-GB" w:bidi="en-US"/>
        </w:rPr>
        <w:fldChar w:fldCharType="begin"/>
      </w:r>
      <w:r w:rsidRPr="00275FCA">
        <w:rPr>
          <w:lang w:val="en-GB" w:bidi="en-US"/>
        </w:rPr>
        <w:instrText xml:space="preserve"> SEQ level0 \*arabic </w:instrText>
      </w:r>
      <w:r w:rsidRPr="00275FCA">
        <w:rPr>
          <w:lang w:val="en-GB" w:bidi="en-US"/>
        </w:rPr>
        <w:fldChar w:fldCharType="separate"/>
      </w:r>
      <w:r w:rsidRPr="00275FCA" w:rsidR="00275FCA">
        <w:rPr>
          <w:noProof/>
          <w:lang w:val="en-GB" w:bidi="en-US"/>
        </w:rPr>
        <w:t>38</w:t>
      </w:r>
      <w:r w:rsidRPr="00275FCA">
        <w:rPr>
          <w:lang w:val="en-GB"/>
        </w:rPr>
        <w:fldChar w:fldCharType="end"/>
      </w:r>
      <w:r w:rsidRPr="00275FCA">
        <w:rPr>
          <w:lang w:val="en-GB" w:bidi="en-US"/>
        </w:rPr>
        <w:t>.  </w:t>
      </w:r>
      <w:r w:rsidRPr="00275FCA" w:rsidR="000A21D8">
        <w:rPr>
          <w:lang w:val="en-GB" w:bidi="en-US"/>
        </w:rPr>
        <w:t>The Regulation on Foreign Language Education and Training was issued on 31 May 2006 by the Ministry of Education in order to regulate the principles of teaching foreign languages a</w:t>
      </w:r>
      <w:r w:rsidRPr="00275FCA" w:rsidR="00044F8E">
        <w:rPr>
          <w:lang w:val="en-GB" w:bidi="en-US"/>
        </w:rPr>
        <w:t>t</w:t>
      </w:r>
      <w:r w:rsidRPr="00275FCA" w:rsidR="000A21D8">
        <w:rPr>
          <w:lang w:val="en-GB" w:bidi="en-US"/>
        </w:rPr>
        <w:t xml:space="preserve"> the public and private schools affiliated to the Ministry. Moreover, b</w:t>
      </w:r>
      <w:r w:rsidRPr="00275FCA">
        <w:rPr>
          <w:lang w:val="en-GB" w:bidi="en-US"/>
        </w:rPr>
        <w:t>y decisions dated 25 June 2012, 7</w:t>
      </w:r>
      <w:r w:rsidRPr="00275FCA" w:rsidR="000A21D8">
        <w:rPr>
          <w:lang w:val="en-GB" w:bidi="en-US"/>
        </w:rPr>
        <w:t> </w:t>
      </w:r>
      <w:r w:rsidRPr="00275FCA">
        <w:rPr>
          <w:lang w:val="en-GB" w:bidi="en-US"/>
        </w:rPr>
        <w:t>September 2012 and 23 January</w:t>
      </w:r>
      <w:r w:rsidRPr="00275FCA" w:rsidR="00745D6F">
        <w:rPr>
          <w:lang w:val="en-GB" w:bidi="en-US"/>
        </w:rPr>
        <w:t> </w:t>
      </w:r>
      <w:r w:rsidRPr="00275FCA">
        <w:rPr>
          <w:lang w:val="en-GB" w:bidi="en-US"/>
        </w:rPr>
        <w:t xml:space="preserve">2014 the Board of Education and Training of the Ministry of Education added “living languages and dialects (Kurdish language)” to the weekly timetable of primary and secondary schools as an elective </w:t>
      </w:r>
      <w:r w:rsidRPr="00275FCA" w:rsidR="005F5BC3">
        <w:rPr>
          <w:lang w:val="en-GB" w:bidi="en-US"/>
        </w:rPr>
        <w:t>subject</w:t>
      </w:r>
      <w:r w:rsidRPr="00275FCA">
        <w:rPr>
          <w:lang w:val="en-GB" w:bidi="en-US"/>
        </w:rPr>
        <w:t>.</w:t>
      </w:r>
    </w:p>
    <w:p w:rsidRPr="00275FCA" w:rsidR="00014566" w:rsidP="00275FCA" w:rsidRDefault="00395A43">
      <w:pPr>
        <w:pStyle w:val="ECHRPara"/>
        <w:rPr>
          <w:lang w:val="en-GB"/>
        </w:rPr>
      </w:pPr>
      <w:r w:rsidRPr="00275FCA">
        <w:rPr>
          <w:lang w:val="en-GB" w:bidi="en-US"/>
        </w:rPr>
        <w:fldChar w:fldCharType="begin"/>
      </w:r>
      <w:r w:rsidRPr="00275FCA">
        <w:rPr>
          <w:lang w:val="en-GB" w:bidi="en-US"/>
        </w:rPr>
        <w:instrText xml:space="preserve"> SEQ level0 \*arabic </w:instrText>
      </w:r>
      <w:r w:rsidRPr="00275FCA">
        <w:rPr>
          <w:lang w:val="en-GB" w:bidi="en-US"/>
        </w:rPr>
        <w:fldChar w:fldCharType="separate"/>
      </w:r>
      <w:r w:rsidRPr="00275FCA" w:rsidR="00275FCA">
        <w:rPr>
          <w:noProof/>
          <w:lang w:val="en-GB" w:bidi="en-US"/>
        </w:rPr>
        <w:t>39</w:t>
      </w:r>
      <w:r w:rsidRPr="00275FCA">
        <w:rPr>
          <w:lang w:val="en-GB"/>
        </w:rPr>
        <w:fldChar w:fldCharType="end"/>
      </w:r>
      <w:r w:rsidRPr="00275FCA">
        <w:rPr>
          <w:lang w:val="en-GB" w:bidi="en-US"/>
        </w:rPr>
        <w:t>.  </w:t>
      </w:r>
      <w:r w:rsidRPr="00275FCA" w:rsidR="000A21D8">
        <w:rPr>
          <w:lang w:val="en-GB" w:bidi="en-US"/>
        </w:rPr>
        <w:t xml:space="preserve">Section 2 of Law no. 2923 was amended on 2 March 2014 by Law no. 6529 with a view to facilitating the opening of private schools to provide education and training in a language or dialect traditionally used in daily life by citizens of Turkey. In line with this amendment, </w:t>
      </w:r>
      <w:r w:rsidRPr="00275FCA" w:rsidR="000A21D8">
        <w:rPr>
          <w:lang w:val="en-GB"/>
        </w:rPr>
        <w:t>o</w:t>
      </w:r>
      <w:r w:rsidRPr="00275FCA">
        <w:rPr>
          <w:lang w:val="en-GB"/>
        </w:rPr>
        <w:t xml:space="preserve">n 5 July 2014 the Regulation on Foreign Language Education and Training was </w:t>
      </w:r>
      <w:r w:rsidRPr="00275FCA" w:rsidR="000A21D8">
        <w:rPr>
          <w:lang w:val="en-GB"/>
        </w:rPr>
        <w:t xml:space="preserve">also </w:t>
      </w:r>
      <w:r w:rsidRPr="00275FCA">
        <w:rPr>
          <w:lang w:val="en-GB"/>
        </w:rPr>
        <w:t xml:space="preserve">amended </w:t>
      </w:r>
      <w:r w:rsidRPr="00275FCA" w:rsidR="00583FCB">
        <w:rPr>
          <w:lang w:val="en-GB"/>
        </w:rPr>
        <w:t xml:space="preserve">to enable </w:t>
      </w:r>
      <w:r w:rsidRPr="00275FCA">
        <w:rPr>
          <w:lang w:val="en-GB"/>
        </w:rPr>
        <w:t>education and training in a language or dialect traditionally used by citizens of Turkey in their daily lives in private schools.</w:t>
      </w:r>
    </w:p>
    <w:p w:rsidRPr="00275FCA" w:rsidR="00014566" w:rsidP="00275FCA" w:rsidRDefault="00014566">
      <w:pPr>
        <w:pStyle w:val="ECHRTitle1"/>
        <w:rPr>
          <w:lang w:val="en-GB"/>
        </w:rPr>
      </w:pPr>
      <w:r w:rsidRPr="00275FCA">
        <w:rPr>
          <w:lang w:val="en-GB"/>
        </w:rPr>
        <w:t>THE LAW</w:t>
      </w:r>
    </w:p>
    <w:p w:rsidRPr="00275FCA" w:rsidR="00014566" w:rsidP="00275FCA" w:rsidRDefault="00014566">
      <w:pPr>
        <w:pStyle w:val="ECHRHeading1"/>
        <w:rPr>
          <w:lang w:val="en-GB"/>
        </w:rPr>
      </w:pPr>
      <w:r w:rsidRPr="00275FCA">
        <w:rPr>
          <w:lang w:val="en-GB"/>
        </w:rPr>
        <w:t>I.  ALLEGED VIOLATION</w:t>
      </w:r>
      <w:r w:rsidRPr="00275FCA" w:rsidR="00D11A17">
        <w:rPr>
          <w:lang w:val="en-GB"/>
        </w:rPr>
        <w:t>S</w:t>
      </w:r>
      <w:r w:rsidRPr="00275FCA">
        <w:rPr>
          <w:lang w:val="en-GB"/>
        </w:rPr>
        <w:t xml:space="preserve"> OF ARTICLE </w:t>
      </w:r>
      <w:r w:rsidRPr="00275FCA" w:rsidR="00AF6B82">
        <w:rPr>
          <w:lang w:val="en-GB"/>
        </w:rPr>
        <w:t>5</w:t>
      </w:r>
      <w:r w:rsidRPr="00275FCA">
        <w:rPr>
          <w:lang w:val="en-GB"/>
        </w:rPr>
        <w:t xml:space="preserve"> OF THE CONVENTION</w:t>
      </w:r>
    </w:p>
    <w:p w:rsidRPr="00275FCA" w:rsidR="000C4822"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40</w:t>
      </w:r>
      <w:r w:rsidRPr="00275FCA">
        <w:rPr>
          <w:lang w:val="en-GB"/>
        </w:rPr>
        <w:fldChar w:fldCharType="end"/>
      </w:r>
      <w:r w:rsidRPr="00275FCA" w:rsidR="00771A50">
        <w:rPr>
          <w:lang w:val="en-GB"/>
        </w:rPr>
        <w:t>.</w:t>
      </w:r>
      <w:r w:rsidRPr="00275FCA" w:rsidR="00125526">
        <w:rPr>
          <w:lang w:val="en-GB"/>
        </w:rPr>
        <w:t>  </w:t>
      </w:r>
      <w:r w:rsidRPr="00275FCA" w:rsidR="00AF6B82">
        <w:rPr>
          <w:lang w:val="en-GB"/>
        </w:rPr>
        <w:t xml:space="preserve">The applicants complained </w:t>
      </w:r>
      <w:r w:rsidRPr="00275FCA" w:rsidR="000C4822">
        <w:rPr>
          <w:lang w:val="en-GB"/>
        </w:rPr>
        <w:t xml:space="preserve">under Article 5 §§ 2, 3 and 4 </w:t>
      </w:r>
      <w:r w:rsidRPr="00275FCA" w:rsidR="005F5BC3">
        <w:rPr>
          <w:lang w:val="en-GB"/>
        </w:rPr>
        <w:t xml:space="preserve">of the Convention </w:t>
      </w:r>
      <w:r w:rsidRPr="00275FCA" w:rsidR="000C4822">
        <w:rPr>
          <w:lang w:val="en-GB"/>
        </w:rPr>
        <w:t xml:space="preserve">that the authorities had failed to inform them of the reasons for their arrest, </w:t>
      </w:r>
      <w:r w:rsidRPr="00275FCA" w:rsidR="00F64743">
        <w:rPr>
          <w:lang w:val="en-GB"/>
        </w:rPr>
        <w:t>that they had not been brought promptly before a judge</w:t>
      </w:r>
      <w:r w:rsidRPr="00275FCA" w:rsidR="005F5BC3">
        <w:rPr>
          <w:lang w:val="en-GB"/>
        </w:rPr>
        <w:t>,</w:t>
      </w:r>
      <w:r w:rsidRPr="00275FCA" w:rsidR="000C4822">
        <w:rPr>
          <w:lang w:val="en-GB"/>
        </w:rPr>
        <w:t xml:space="preserve"> a</w:t>
      </w:r>
      <w:r w:rsidRPr="00275FCA" w:rsidR="000C5E4F">
        <w:rPr>
          <w:lang w:val="en-GB"/>
        </w:rPr>
        <w:t>n</w:t>
      </w:r>
      <w:r w:rsidRPr="00275FCA" w:rsidR="000C4822">
        <w:rPr>
          <w:lang w:val="en-GB"/>
        </w:rPr>
        <w:t>d that there had not been any effective remedies to challenge the lawfulness of their arrest and detention. The</w:t>
      </w:r>
      <w:r w:rsidRPr="00275FCA" w:rsidR="00D26069">
        <w:rPr>
          <w:lang w:val="en-GB"/>
        </w:rPr>
        <w:t>y also complained under Article </w:t>
      </w:r>
      <w:r w:rsidRPr="00275FCA" w:rsidR="000C4822">
        <w:rPr>
          <w:lang w:val="en-GB"/>
        </w:rPr>
        <w:t xml:space="preserve">5 § 5 that they had had no right to compensation under domestic law in respect of </w:t>
      </w:r>
      <w:r w:rsidRPr="00275FCA" w:rsidR="005F5BC3">
        <w:rPr>
          <w:lang w:val="en-GB"/>
        </w:rPr>
        <w:t xml:space="preserve">those </w:t>
      </w:r>
      <w:r w:rsidRPr="00275FCA" w:rsidR="000C4822">
        <w:rPr>
          <w:lang w:val="en-GB"/>
        </w:rPr>
        <w:t>complaints.</w:t>
      </w:r>
    </w:p>
    <w:p w:rsidRPr="00275FCA" w:rsidR="000C4822" w:rsidP="00275FCA" w:rsidRDefault="000C4822">
      <w:pPr>
        <w:pStyle w:val="ECHRPara"/>
        <w:rPr>
          <w:lang w:val="en-GB"/>
        </w:rPr>
      </w:pPr>
      <w:r w:rsidRPr="00275FCA">
        <w:rPr>
          <w:lang w:val="en-GB"/>
        </w:rPr>
        <w:t>The relevant paragraphs of Article 5 provide as follows:</w:t>
      </w:r>
    </w:p>
    <w:p w:rsidRPr="00275FCA" w:rsidR="005F5BC3" w:rsidP="00275FCA" w:rsidRDefault="005F5BC3">
      <w:pPr>
        <w:pStyle w:val="ECHRTitleCentre3"/>
        <w:rPr>
          <w:lang w:val="en-GB"/>
        </w:rPr>
      </w:pPr>
      <w:r w:rsidRPr="00275FCA">
        <w:rPr>
          <w:lang w:val="en-GB"/>
        </w:rPr>
        <w:t>Article 5</w:t>
      </w:r>
    </w:p>
    <w:p w:rsidRPr="00275FCA" w:rsidR="00AF6B82" w:rsidP="00275FCA" w:rsidRDefault="00AF6B82">
      <w:pPr>
        <w:pStyle w:val="ECHRParaQuote"/>
        <w:rPr>
          <w:lang w:val="en-GB"/>
        </w:rPr>
      </w:pPr>
      <w:r w:rsidRPr="00275FCA">
        <w:rPr>
          <w:lang w:val="en-GB"/>
        </w:rPr>
        <w:t>“2.</w:t>
      </w:r>
      <w:r w:rsidRPr="00275FCA" w:rsidR="00125526">
        <w:rPr>
          <w:lang w:val="en-GB"/>
        </w:rPr>
        <w:t> </w:t>
      </w:r>
      <w:r w:rsidRPr="00275FCA">
        <w:rPr>
          <w:lang w:val="en-GB"/>
        </w:rPr>
        <w:t> Everyone who is arrested shall be informed promptly, in a language which he understands, of the reasons for his arrest and of any charge against him.</w:t>
      </w:r>
    </w:p>
    <w:p w:rsidRPr="00275FCA" w:rsidR="00AF6B82" w:rsidP="00275FCA" w:rsidRDefault="00AF6B82">
      <w:pPr>
        <w:pStyle w:val="ECHRParaQuote"/>
        <w:rPr>
          <w:lang w:val="en-GB"/>
        </w:rPr>
      </w:pPr>
      <w:r w:rsidRPr="00275FCA">
        <w:rPr>
          <w:lang w:val="en-GB"/>
        </w:rPr>
        <w:t>3.  Everyone arrested or detained in accordance with the provisions of paragraph 1 (c) of this Article shall be brought promptly before a judge or other officer authorised by law to exercise judicial power...</w:t>
      </w:r>
    </w:p>
    <w:p w:rsidRPr="00275FCA" w:rsidR="00AF6B82" w:rsidP="00275FCA" w:rsidRDefault="00AF6B82">
      <w:pPr>
        <w:pStyle w:val="ECHRParaQuote"/>
        <w:rPr>
          <w:lang w:val="en-GB"/>
        </w:rPr>
      </w:pPr>
      <w:r w:rsidRPr="00275FCA">
        <w:rPr>
          <w:lang w:val="en-GB"/>
        </w:rPr>
        <w:t>4.  Everyone who is deprived of his liberty by arrest or detention shall be entitled to take proceedings by which the lawfulness of his detention shall be decided speedily by a court and his release ordered if the detention is not lawful.</w:t>
      </w:r>
    </w:p>
    <w:p w:rsidRPr="00275FCA" w:rsidR="00AF6B82" w:rsidP="00275FCA" w:rsidRDefault="00AF6B82">
      <w:pPr>
        <w:pStyle w:val="ECHRParaQuote"/>
        <w:rPr>
          <w:lang w:val="en-GB"/>
        </w:rPr>
      </w:pPr>
      <w:r w:rsidRPr="00275FCA">
        <w:rPr>
          <w:lang w:val="en-GB"/>
        </w:rPr>
        <w:t>5.</w:t>
      </w:r>
      <w:r w:rsidRPr="00275FCA" w:rsidR="00125526">
        <w:rPr>
          <w:lang w:val="en-GB"/>
        </w:rPr>
        <w:t> </w:t>
      </w:r>
      <w:r w:rsidRPr="00275FCA">
        <w:rPr>
          <w:lang w:val="en-GB"/>
        </w:rPr>
        <w:t> Everyone who has been the victim of arrest or detention in contravention of the provisions of this Article shall have an enforceable right to compensation.”</w:t>
      </w:r>
    </w:p>
    <w:p w:rsidRPr="00275FCA" w:rsidR="00014566" w:rsidP="00275FCA" w:rsidRDefault="00014566">
      <w:pPr>
        <w:pStyle w:val="ECHRHeading2"/>
        <w:rPr>
          <w:lang w:val="en-GB"/>
        </w:rPr>
      </w:pPr>
      <w:r w:rsidRPr="00275FCA">
        <w:rPr>
          <w:lang w:val="en-GB"/>
        </w:rPr>
        <w:t>A.  Admissibility</w:t>
      </w:r>
    </w:p>
    <w:p w:rsidRPr="00275FCA" w:rsidR="0064197F" w:rsidP="00275FCA" w:rsidRDefault="00125526">
      <w:pPr>
        <w:pStyle w:val="ECHRHeading3"/>
        <w:rPr>
          <w:lang w:val="en-GB"/>
        </w:rPr>
      </w:pPr>
      <w:r w:rsidRPr="00275FCA">
        <w:rPr>
          <w:lang w:val="en-GB"/>
        </w:rPr>
        <w:t>1.  </w:t>
      </w:r>
      <w:r w:rsidRPr="00275FCA" w:rsidR="009247C8">
        <w:rPr>
          <w:lang w:val="en-GB"/>
        </w:rPr>
        <w:t>Failure to exhaust</w:t>
      </w:r>
      <w:r w:rsidRPr="00275FCA" w:rsidR="0064197F">
        <w:rPr>
          <w:lang w:val="en-GB"/>
        </w:rPr>
        <w:t xml:space="preserve"> domestic remedies</w:t>
      </w:r>
    </w:p>
    <w:p w:rsidRPr="00275FCA" w:rsidR="00631A7C"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41</w:t>
      </w:r>
      <w:r w:rsidRPr="00275FCA">
        <w:rPr>
          <w:lang w:val="en-GB"/>
        </w:rPr>
        <w:fldChar w:fldCharType="end"/>
      </w:r>
      <w:r w:rsidRPr="00275FCA" w:rsidR="00014566">
        <w:rPr>
          <w:lang w:val="en-GB"/>
        </w:rPr>
        <w:t>.  </w:t>
      </w:r>
      <w:r w:rsidRPr="00275FCA" w:rsidR="00631A7C">
        <w:rPr>
          <w:lang w:val="en-GB"/>
        </w:rPr>
        <w:t xml:space="preserve">The Government asked the Court to dismiss </w:t>
      </w:r>
      <w:r w:rsidRPr="00275FCA" w:rsidR="00D16321">
        <w:rPr>
          <w:lang w:val="en-GB"/>
        </w:rPr>
        <w:t>the applicants</w:t>
      </w:r>
      <w:r w:rsidRPr="00275FCA" w:rsidR="00275FCA">
        <w:rPr>
          <w:lang w:val="en-GB"/>
        </w:rPr>
        <w:t>’</w:t>
      </w:r>
      <w:r w:rsidRPr="00275FCA" w:rsidR="00D16321">
        <w:rPr>
          <w:lang w:val="en-GB"/>
        </w:rPr>
        <w:t xml:space="preserve"> complaints under Article 5 §§ 4 and 5 of the Convention</w:t>
      </w:r>
      <w:r w:rsidRPr="00275FCA" w:rsidR="00631A7C">
        <w:rPr>
          <w:lang w:val="en-GB"/>
        </w:rPr>
        <w:t xml:space="preserve"> for failure to comply with the requirement of exhaustion of </w:t>
      </w:r>
      <w:r w:rsidRPr="00275FCA" w:rsidR="0065688C">
        <w:rPr>
          <w:lang w:val="en-GB"/>
        </w:rPr>
        <w:t>domestic remedies under Article </w:t>
      </w:r>
      <w:r w:rsidRPr="00275FCA" w:rsidR="00631A7C">
        <w:rPr>
          <w:lang w:val="en-GB"/>
        </w:rPr>
        <w:t xml:space="preserve">35 § 1. </w:t>
      </w:r>
      <w:r w:rsidRPr="00275FCA" w:rsidR="002B613E">
        <w:rPr>
          <w:lang w:val="en-GB"/>
        </w:rPr>
        <w:t>T</w:t>
      </w:r>
      <w:r w:rsidRPr="00275FCA" w:rsidR="00631A7C">
        <w:rPr>
          <w:lang w:val="en-GB"/>
        </w:rPr>
        <w:t xml:space="preserve">hey maintained that the applicants could have sought compensation </w:t>
      </w:r>
      <w:r w:rsidRPr="00275FCA" w:rsidR="005F5BC3">
        <w:rPr>
          <w:lang w:val="en-GB"/>
        </w:rPr>
        <w:t>under</w:t>
      </w:r>
      <w:r w:rsidRPr="00275FCA" w:rsidR="00631A7C">
        <w:rPr>
          <w:lang w:val="en-GB"/>
        </w:rPr>
        <w:t xml:space="preserve"> </w:t>
      </w:r>
      <w:r w:rsidRPr="00275FCA" w:rsidR="005F5BC3">
        <w:t>the Unlawful Detention (Compensation) Act</w:t>
      </w:r>
      <w:r w:rsidRPr="00275FCA" w:rsidR="005F5BC3">
        <w:rPr>
          <w:lang w:val="en-GB"/>
        </w:rPr>
        <w:t xml:space="preserve"> (</w:t>
      </w:r>
      <w:r w:rsidRPr="00275FCA" w:rsidR="00631A7C">
        <w:rPr>
          <w:lang w:val="en-GB"/>
        </w:rPr>
        <w:t>Law</w:t>
      </w:r>
      <w:r w:rsidRPr="00275FCA" w:rsidR="00DD3FBC">
        <w:rPr>
          <w:lang w:val="en-GB"/>
        </w:rPr>
        <w:t> </w:t>
      </w:r>
      <w:r w:rsidRPr="00275FCA" w:rsidR="00631A7C">
        <w:rPr>
          <w:lang w:val="en-GB"/>
        </w:rPr>
        <w:t>no.</w:t>
      </w:r>
      <w:r w:rsidRPr="00275FCA" w:rsidR="00DD3FBC">
        <w:rPr>
          <w:lang w:val="en-GB"/>
        </w:rPr>
        <w:t> </w:t>
      </w:r>
      <w:r w:rsidRPr="00275FCA" w:rsidR="00631A7C">
        <w:rPr>
          <w:lang w:val="en-GB"/>
        </w:rPr>
        <w:t>466</w:t>
      </w:r>
      <w:r w:rsidRPr="00275FCA" w:rsidR="005F5BC3">
        <w:rPr>
          <w:lang w:val="en-GB"/>
        </w:rPr>
        <w:t>)</w:t>
      </w:r>
      <w:r w:rsidRPr="00275FCA" w:rsidR="00631A7C">
        <w:rPr>
          <w:lang w:val="en-GB"/>
        </w:rPr>
        <w:t>.</w:t>
      </w:r>
    </w:p>
    <w:p w:rsidRPr="00275FCA" w:rsidR="00631A7C" w:rsidP="00275FCA" w:rsidRDefault="002509C1">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42</w:t>
      </w:r>
      <w:r w:rsidRPr="00275FCA">
        <w:rPr>
          <w:noProof/>
          <w:lang w:val="en-GB"/>
        </w:rPr>
        <w:fldChar w:fldCharType="end"/>
      </w:r>
      <w:r w:rsidRPr="00275FCA" w:rsidR="00631A7C">
        <w:rPr>
          <w:lang w:val="en-GB"/>
        </w:rPr>
        <w:t>.  The applicants rejected the Government</w:t>
      </w:r>
      <w:r w:rsidRPr="00275FCA" w:rsidR="00275FCA">
        <w:rPr>
          <w:lang w:val="en-GB"/>
        </w:rPr>
        <w:t>’</w:t>
      </w:r>
      <w:r w:rsidRPr="00275FCA" w:rsidR="00631A7C">
        <w:rPr>
          <w:lang w:val="en-GB"/>
        </w:rPr>
        <w:t xml:space="preserve">s arguments. In this connection, they submitted a copy of a court decision concerning a person who </w:t>
      </w:r>
      <w:r w:rsidRPr="00275FCA" w:rsidR="00D11A17">
        <w:rPr>
          <w:lang w:val="en-GB"/>
        </w:rPr>
        <w:t>had been</w:t>
      </w:r>
      <w:r w:rsidRPr="00275FCA" w:rsidR="00631A7C">
        <w:rPr>
          <w:lang w:val="en-GB"/>
        </w:rPr>
        <w:t xml:space="preserve"> arrested and taken into custody at the same time as </w:t>
      </w:r>
      <w:r w:rsidRPr="00275FCA" w:rsidR="00D16321">
        <w:rPr>
          <w:lang w:val="en-GB"/>
        </w:rPr>
        <w:t>them</w:t>
      </w:r>
      <w:r w:rsidRPr="00275FCA" w:rsidR="00631A7C">
        <w:rPr>
          <w:lang w:val="en-GB"/>
        </w:rPr>
        <w:t xml:space="preserve"> and with respect to the same events, wh</w:t>
      </w:r>
      <w:r w:rsidRPr="00275FCA" w:rsidR="00583FCB">
        <w:rPr>
          <w:lang w:val="en-GB"/>
        </w:rPr>
        <w:t>ose claim for compensation under Law</w:t>
      </w:r>
      <w:r w:rsidRPr="00275FCA" w:rsidR="00DD3FBC">
        <w:rPr>
          <w:lang w:val="en-GB"/>
        </w:rPr>
        <w:t> </w:t>
      </w:r>
      <w:r w:rsidRPr="00275FCA" w:rsidR="00583FCB">
        <w:rPr>
          <w:lang w:val="en-GB"/>
        </w:rPr>
        <w:t>no.</w:t>
      </w:r>
      <w:r w:rsidRPr="00275FCA" w:rsidR="00DD3FBC">
        <w:rPr>
          <w:lang w:val="en-GB"/>
        </w:rPr>
        <w:t> </w:t>
      </w:r>
      <w:r w:rsidRPr="00275FCA" w:rsidR="00583FCB">
        <w:rPr>
          <w:lang w:val="en-GB"/>
        </w:rPr>
        <w:t>466 was</w:t>
      </w:r>
      <w:r w:rsidRPr="00275FCA" w:rsidR="00631A7C">
        <w:rPr>
          <w:lang w:val="en-GB"/>
        </w:rPr>
        <w:t xml:space="preserve"> </w:t>
      </w:r>
      <w:r w:rsidRPr="00275FCA" w:rsidR="00583FCB">
        <w:rPr>
          <w:lang w:val="en-GB"/>
        </w:rPr>
        <w:t xml:space="preserve">dismissed by </w:t>
      </w:r>
      <w:r w:rsidRPr="00275FCA" w:rsidR="00631A7C">
        <w:rPr>
          <w:lang w:val="en-GB"/>
        </w:rPr>
        <w:t>the domestic court</w:t>
      </w:r>
      <w:r w:rsidRPr="00275FCA" w:rsidR="00583FCB">
        <w:rPr>
          <w:lang w:val="en-GB"/>
        </w:rPr>
        <w:t>.</w:t>
      </w:r>
    </w:p>
    <w:p w:rsidRPr="00275FCA" w:rsidR="0064197F" w:rsidP="00275FCA" w:rsidRDefault="002509C1">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43</w:t>
      </w:r>
      <w:r w:rsidRPr="00275FCA">
        <w:rPr>
          <w:noProof/>
          <w:lang w:val="en-GB"/>
        </w:rPr>
        <w:fldChar w:fldCharType="end"/>
      </w:r>
      <w:r w:rsidRPr="00275FCA" w:rsidR="00631A7C">
        <w:rPr>
          <w:lang w:val="en-GB"/>
        </w:rPr>
        <w:t>.  </w:t>
      </w:r>
      <w:r w:rsidRPr="00275FCA" w:rsidR="00D16321">
        <w:rPr>
          <w:lang w:val="en-GB"/>
        </w:rPr>
        <w:t>The Court considers that the Government</w:t>
      </w:r>
      <w:r w:rsidRPr="00275FCA" w:rsidR="00275FCA">
        <w:rPr>
          <w:lang w:val="en-GB"/>
        </w:rPr>
        <w:t>’</w:t>
      </w:r>
      <w:r w:rsidRPr="00275FCA" w:rsidR="00D16321">
        <w:rPr>
          <w:lang w:val="en-GB"/>
        </w:rPr>
        <w:t>s objection is inextricably linked to the substance of the applicants</w:t>
      </w:r>
      <w:r w:rsidRPr="00275FCA" w:rsidR="00275FCA">
        <w:rPr>
          <w:lang w:val="en-GB"/>
        </w:rPr>
        <w:t>’</w:t>
      </w:r>
      <w:r w:rsidRPr="00275FCA" w:rsidR="00D16321">
        <w:rPr>
          <w:lang w:val="en-GB"/>
        </w:rPr>
        <w:t xml:space="preserve"> complaints under Article 5 §§</w:t>
      </w:r>
      <w:r w:rsidRPr="00275FCA" w:rsidR="00E42314">
        <w:rPr>
          <w:lang w:val="en-GB"/>
        </w:rPr>
        <w:t> </w:t>
      </w:r>
      <w:r w:rsidRPr="00275FCA" w:rsidR="00D16321">
        <w:rPr>
          <w:lang w:val="en-GB"/>
        </w:rPr>
        <w:t xml:space="preserve">4 and 5 of the Convention. It follows that this issue should be joined to the merits of those complaints (see, for instance, </w:t>
      </w:r>
      <w:r w:rsidRPr="00275FCA" w:rsidR="00D16321">
        <w:rPr>
          <w:i/>
          <w:lang w:val="en-GB"/>
        </w:rPr>
        <w:t>Öcalan v. Turkey</w:t>
      </w:r>
      <w:r w:rsidRPr="00275FCA" w:rsidR="00D16321">
        <w:rPr>
          <w:lang w:val="en-GB"/>
        </w:rPr>
        <w:t xml:space="preserve"> (dec.),</w:t>
      </w:r>
      <w:r w:rsidRPr="00275FCA" w:rsidR="002A58BA">
        <w:rPr>
          <w:lang w:val="en-GB"/>
        </w:rPr>
        <w:t xml:space="preserve"> no. </w:t>
      </w:r>
      <w:r w:rsidRPr="00275FCA" w:rsidR="00D16321">
        <w:rPr>
          <w:lang w:val="en-GB"/>
        </w:rPr>
        <w:t>46221/99, 14 December 2000</w:t>
      </w:r>
      <w:r w:rsidRPr="00275FCA" w:rsidR="002A58BA">
        <w:rPr>
          <w:lang w:val="en-GB"/>
        </w:rPr>
        <w:t xml:space="preserve">; </w:t>
      </w:r>
      <w:r w:rsidRPr="00275FCA" w:rsidR="00D16321">
        <w:rPr>
          <w:i/>
          <w:lang w:val="en-GB"/>
        </w:rPr>
        <w:t>Süleyman Erdem v. Turkey</w:t>
      </w:r>
      <w:r w:rsidRPr="00275FCA" w:rsidR="002A58BA">
        <w:rPr>
          <w:lang w:val="en-GB"/>
        </w:rPr>
        <w:t>, no. </w:t>
      </w:r>
      <w:r w:rsidRPr="00275FCA" w:rsidR="00122B78">
        <w:rPr>
          <w:lang w:val="en-GB"/>
        </w:rPr>
        <w:t>49574/99, § </w:t>
      </w:r>
      <w:r w:rsidRPr="00275FCA" w:rsidR="00D16321">
        <w:rPr>
          <w:lang w:val="en-GB"/>
        </w:rPr>
        <w:t>28, 19 September 2006</w:t>
      </w:r>
      <w:r w:rsidRPr="00275FCA" w:rsidR="002A58BA">
        <w:rPr>
          <w:lang w:val="en-GB"/>
        </w:rPr>
        <w:t xml:space="preserve">; and </w:t>
      </w:r>
      <w:r w:rsidRPr="00275FCA" w:rsidR="0064197F">
        <w:rPr>
          <w:i/>
          <w:lang w:val="en-GB"/>
        </w:rPr>
        <w:t>Elğay v. Turkey</w:t>
      </w:r>
      <w:r w:rsidRPr="00275FCA" w:rsidR="0064197F">
        <w:rPr>
          <w:lang w:val="en-GB"/>
        </w:rPr>
        <w:t>, no. 18992/03, §</w:t>
      </w:r>
      <w:r w:rsidRPr="00275FCA" w:rsidR="00E42314">
        <w:rPr>
          <w:lang w:val="en-GB"/>
        </w:rPr>
        <w:t> </w:t>
      </w:r>
      <w:r w:rsidRPr="00275FCA" w:rsidR="00122B78">
        <w:rPr>
          <w:lang w:val="en-GB"/>
        </w:rPr>
        <w:t>26, 20 </w:t>
      </w:r>
      <w:r w:rsidRPr="00275FCA" w:rsidR="0064197F">
        <w:rPr>
          <w:lang w:val="en-GB"/>
        </w:rPr>
        <w:t>January 2009).</w:t>
      </w:r>
    </w:p>
    <w:p w:rsidRPr="00275FCA" w:rsidR="0064197F" w:rsidP="00275FCA" w:rsidRDefault="0064197F">
      <w:pPr>
        <w:pStyle w:val="ECHRHeading3"/>
        <w:rPr>
          <w:lang w:val="en-GB"/>
        </w:rPr>
      </w:pPr>
      <w:r w:rsidRPr="00275FCA">
        <w:rPr>
          <w:lang w:val="en-GB"/>
        </w:rPr>
        <w:t>2.</w:t>
      </w:r>
      <w:r w:rsidRPr="00275FCA" w:rsidR="008E3634">
        <w:rPr>
          <w:lang w:val="en-GB"/>
        </w:rPr>
        <w:t>  </w:t>
      </w:r>
      <w:r w:rsidRPr="00275FCA">
        <w:rPr>
          <w:lang w:val="en-GB"/>
        </w:rPr>
        <w:t>Other admissibility issues</w:t>
      </w:r>
    </w:p>
    <w:p w:rsidRPr="00275FCA" w:rsidR="00ED78BF" w:rsidP="00275FCA" w:rsidRDefault="00ED78BF">
      <w:pPr>
        <w:pStyle w:val="ECHRHeading4"/>
        <w:rPr>
          <w:lang w:val="en-GB"/>
        </w:rPr>
      </w:pPr>
      <w:r w:rsidRPr="00275FCA">
        <w:rPr>
          <w:lang w:val="en-GB"/>
        </w:rPr>
        <w:t>(a)</w:t>
      </w:r>
      <w:r w:rsidRPr="00275FCA" w:rsidR="008E3634">
        <w:rPr>
          <w:lang w:val="en-GB"/>
        </w:rPr>
        <w:t>  </w:t>
      </w:r>
      <w:r w:rsidRPr="00275FCA">
        <w:rPr>
          <w:lang w:val="en-GB"/>
        </w:rPr>
        <w:t>Article 5 § 2 of the Convention</w:t>
      </w:r>
    </w:p>
    <w:p w:rsidRPr="00275FCA" w:rsidR="003A1AA8" w:rsidP="00275FCA" w:rsidRDefault="0064197F">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44</w:t>
      </w:r>
      <w:r w:rsidRPr="00275FCA">
        <w:rPr>
          <w:lang w:val="en-GB"/>
        </w:rPr>
        <w:fldChar w:fldCharType="end"/>
      </w:r>
      <w:r w:rsidRPr="00275FCA">
        <w:rPr>
          <w:lang w:val="en-GB"/>
        </w:rPr>
        <w:t>.  </w:t>
      </w:r>
      <w:r w:rsidRPr="00275FCA" w:rsidR="00FB6484">
        <w:rPr>
          <w:lang w:val="en-GB"/>
        </w:rPr>
        <w:t>The applicants complained</w:t>
      </w:r>
      <w:r w:rsidRPr="00275FCA">
        <w:rPr>
          <w:lang w:val="en-GB"/>
        </w:rPr>
        <w:t xml:space="preserve"> </w:t>
      </w:r>
      <w:r w:rsidRPr="00275FCA" w:rsidR="009247C8">
        <w:rPr>
          <w:lang w:val="en-GB"/>
        </w:rPr>
        <w:t xml:space="preserve">under Article 5 § 2 </w:t>
      </w:r>
      <w:r w:rsidRPr="00275FCA">
        <w:rPr>
          <w:lang w:val="en-GB"/>
        </w:rPr>
        <w:t xml:space="preserve">that the authorities had failed to inform them promptly </w:t>
      </w:r>
      <w:r w:rsidRPr="00275FCA" w:rsidR="00FB6484">
        <w:rPr>
          <w:lang w:val="en-GB"/>
        </w:rPr>
        <w:t>of the reasons for their arrest.</w:t>
      </w:r>
    </w:p>
    <w:p w:rsidRPr="00275FCA" w:rsidR="003A1AA8" w:rsidP="00275FCA" w:rsidRDefault="003A1AA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45</w:t>
      </w:r>
      <w:r w:rsidRPr="00275FCA">
        <w:rPr>
          <w:lang w:val="en-GB"/>
        </w:rPr>
        <w:fldChar w:fldCharType="end"/>
      </w:r>
      <w:r w:rsidRPr="00275FCA">
        <w:rPr>
          <w:lang w:val="en-GB"/>
        </w:rPr>
        <w:t>.  The Government argued that the applicants had been promptly informed o</w:t>
      </w:r>
      <w:r w:rsidRPr="00275FCA" w:rsidR="008E3634">
        <w:rPr>
          <w:lang w:val="en-GB"/>
        </w:rPr>
        <w:t>f the reasons for their arrest.</w:t>
      </w:r>
    </w:p>
    <w:p w:rsidRPr="00275FCA" w:rsidR="00192D9A" w:rsidP="00275FCA" w:rsidRDefault="003A1AA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46</w:t>
      </w:r>
      <w:r w:rsidRPr="00275FCA">
        <w:rPr>
          <w:lang w:val="en-GB"/>
        </w:rPr>
        <w:fldChar w:fldCharType="end"/>
      </w:r>
      <w:r w:rsidRPr="00275FCA">
        <w:rPr>
          <w:lang w:val="en-GB"/>
        </w:rPr>
        <w:t>.  </w:t>
      </w:r>
      <w:r w:rsidRPr="00275FCA" w:rsidR="00FB6484">
        <w:rPr>
          <w:lang w:val="en-GB"/>
        </w:rPr>
        <w:t xml:space="preserve">The Court notes that the general principles governing the elementary safeguard embodied in Article 5 § 2 of the Convention were set out in the case of </w:t>
      </w:r>
      <w:r w:rsidRPr="00275FCA" w:rsidR="00192D9A">
        <w:rPr>
          <w:i/>
          <w:lang w:val="en-GB"/>
        </w:rPr>
        <w:t>Fox</w:t>
      </w:r>
      <w:r w:rsidRPr="00275FCA" w:rsidR="00192D9A">
        <w:rPr>
          <w:i/>
          <w:iCs/>
          <w:lang w:val="en-GB"/>
        </w:rPr>
        <w:t>,</w:t>
      </w:r>
      <w:r w:rsidRPr="00275FCA" w:rsidR="00192D9A">
        <w:rPr>
          <w:i/>
          <w:lang w:val="en-GB"/>
        </w:rPr>
        <w:t xml:space="preserve"> Campbell and Hartley v. the United Kingdom</w:t>
      </w:r>
      <w:r w:rsidRPr="00275FCA" w:rsidR="00192D9A">
        <w:rPr>
          <w:lang w:val="en-GB"/>
        </w:rPr>
        <w:t xml:space="preserve"> (30 August</w:t>
      </w:r>
      <w:r w:rsidRPr="00275FCA" w:rsidR="008E3634">
        <w:rPr>
          <w:lang w:val="en-GB"/>
        </w:rPr>
        <w:t xml:space="preserve"> 1990, §</w:t>
      </w:r>
      <w:r w:rsidRPr="00275FCA" w:rsidR="00E42314">
        <w:rPr>
          <w:lang w:val="en-GB"/>
        </w:rPr>
        <w:t> </w:t>
      </w:r>
      <w:r w:rsidRPr="00275FCA" w:rsidR="008E3634">
        <w:rPr>
          <w:lang w:val="en-GB"/>
        </w:rPr>
        <w:t>40, Series A no. 182).</w:t>
      </w:r>
    </w:p>
    <w:p w:rsidRPr="00275FCA" w:rsidR="003A1AA8" w:rsidP="00275FCA" w:rsidRDefault="00FB648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47</w:t>
      </w:r>
      <w:r w:rsidRPr="00275FCA">
        <w:rPr>
          <w:lang w:val="en-GB"/>
        </w:rPr>
        <w:fldChar w:fldCharType="end"/>
      </w:r>
      <w:r w:rsidRPr="00275FCA">
        <w:rPr>
          <w:lang w:val="en-GB"/>
        </w:rPr>
        <w:t>.  T</w:t>
      </w:r>
      <w:r w:rsidRPr="00275FCA" w:rsidR="0064197F">
        <w:rPr>
          <w:lang w:val="en-GB"/>
        </w:rPr>
        <w:t>he Court observes that the search and seizure report</w:t>
      </w:r>
      <w:r w:rsidRPr="00275FCA" w:rsidR="009247C8">
        <w:rPr>
          <w:lang w:val="en-GB"/>
        </w:rPr>
        <w:t>s</w:t>
      </w:r>
      <w:r w:rsidRPr="00275FCA">
        <w:rPr>
          <w:lang w:val="en-GB"/>
        </w:rPr>
        <w:t xml:space="preserve"> dated 13</w:t>
      </w:r>
      <w:r w:rsidRPr="00275FCA" w:rsidR="00DD3FBC">
        <w:rPr>
          <w:lang w:val="en-GB"/>
        </w:rPr>
        <w:t> </w:t>
      </w:r>
      <w:r w:rsidRPr="00275FCA">
        <w:rPr>
          <w:lang w:val="en-GB"/>
        </w:rPr>
        <w:t>January 2002</w:t>
      </w:r>
      <w:r w:rsidRPr="00275FCA" w:rsidR="0064197F">
        <w:rPr>
          <w:lang w:val="en-GB"/>
        </w:rPr>
        <w:t>, which w</w:t>
      </w:r>
      <w:r w:rsidRPr="00275FCA" w:rsidR="009247C8">
        <w:rPr>
          <w:lang w:val="en-GB"/>
        </w:rPr>
        <w:t>ere</w:t>
      </w:r>
      <w:r w:rsidRPr="00275FCA" w:rsidR="0064197F">
        <w:rPr>
          <w:lang w:val="en-GB"/>
        </w:rPr>
        <w:t xml:space="preserve"> signed by the applicants, clearly indicated that a search warrant had been issued by the </w:t>
      </w:r>
      <w:r w:rsidRPr="00275FCA" w:rsidR="009247C8">
        <w:rPr>
          <w:lang w:val="en-GB"/>
        </w:rPr>
        <w:t>Istanbul State Security Court</w:t>
      </w:r>
      <w:r w:rsidRPr="00275FCA" w:rsidR="0064197F">
        <w:rPr>
          <w:lang w:val="en-GB"/>
        </w:rPr>
        <w:t xml:space="preserve"> on account of the</w:t>
      </w:r>
      <w:r w:rsidRPr="00275FCA" w:rsidR="009247C8">
        <w:rPr>
          <w:lang w:val="en-GB"/>
        </w:rPr>
        <w:t>ir</w:t>
      </w:r>
      <w:r w:rsidRPr="00275FCA" w:rsidR="0064197F">
        <w:rPr>
          <w:lang w:val="en-GB"/>
        </w:rPr>
        <w:t xml:space="preserve"> petitions requesting education</w:t>
      </w:r>
      <w:r w:rsidRPr="00275FCA" w:rsidR="00223AB9">
        <w:rPr>
          <w:lang w:val="en-GB"/>
        </w:rPr>
        <w:t xml:space="preserve"> in</w:t>
      </w:r>
      <w:r w:rsidRPr="00275FCA" w:rsidR="0064197F">
        <w:rPr>
          <w:lang w:val="en-GB"/>
        </w:rPr>
        <w:t xml:space="preserve"> </w:t>
      </w:r>
      <w:r w:rsidRPr="00275FCA" w:rsidR="00223AB9">
        <w:rPr>
          <w:lang w:val="en-GB"/>
        </w:rPr>
        <w:t xml:space="preserve">Kurdish </w:t>
      </w:r>
      <w:r w:rsidRPr="00275FCA" w:rsidR="0064197F">
        <w:rPr>
          <w:lang w:val="en-GB"/>
        </w:rPr>
        <w:t>for their children</w:t>
      </w:r>
      <w:r w:rsidRPr="00275FCA" w:rsidR="00685FBF">
        <w:rPr>
          <w:lang w:val="en-GB"/>
        </w:rPr>
        <w:t>,</w:t>
      </w:r>
      <w:r w:rsidRPr="00275FCA" w:rsidR="0064197F">
        <w:rPr>
          <w:lang w:val="en-GB"/>
        </w:rPr>
        <w:t xml:space="preserve"> </w:t>
      </w:r>
      <w:r w:rsidRPr="00275FCA" w:rsidR="009247C8">
        <w:rPr>
          <w:lang w:val="en-GB"/>
        </w:rPr>
        <w:t>and that the public prosecutor at the Istanbul State Security Court had ordered their arrest</w:t>
      </w:r>
      <w:r w:rsidRPr="00275FCA" w:rsidR="00553FC9">
        <w:rPr>
          <w:lang w:val="en-GB"/>
        </w:rPr>
        <w:t xml:space="preserve"> </w:t>
      </w:r>
      <w:r w:rsidRPr="00275FCA" w:rsidR="00192D9A">
        <w:rPr>
          <w:lang w:val="en-GB"/>
        </w:rPr>
        <w:t xml:space="preserve">in order </w:t>
      </w:r>
      <w:r w:rsidRPr="00275FCA" w:rsidR="00553FC9">
        <w:rPr>
          <w:lang w:val="en-GB"/>
        </w:rPr>
        <w:t>to question them in relation to those petitions</w:t>
      </w:r>
      <w:r w:rsidRPr="00275FCA" w:rsidR="0064197F">
        <w:rPr>
          <w:lang w:val="en-GB"/>
        </w:rPr>
        <w:t xml:space="preserve">. </w:t>
      </w:r>
      <w:r w:rsidRPr="00275FCA" w:rsidR="00E14EF1">
        <w:rPr>
          <w:lang w:val="en-GB"/>
        </w:rPr>
        <w:t xml:space="preserve">The Court stresses that none of the applicants claimed that they were </w:t>
      </w:r>
      <w:r w:rsidRPr="00275FCA" w:rsidR="00685FBF">
        <w:rPr>
          <w:lang w:val="en-GB"/>
        </w:rPr>
        <w:t>un</w:t>
      </w:r>
      <w:r w:rsidRPr="00275FCA" w:rsidR="00E14EF1">
        <w:rPr>
          <w:lang w:val="en-GB"/>
        </w:rPr>
        <w:t>able to fully understand the content o</w:t>
      </w:r>
      <w:r w:rsidRPr="00275FCA" w:rsidR="009268B9">
        <w:rPr>
          <w:lang w:val="en-GB"/>
        </w:rPr>
        <w:t>f the search and seizure reports</w:t>
      </w:r>
      <w:r w:rsidRPr="00275FCA">
        <w:rPr>
          <w:lang w:val="en-GB"/>
        </w:rPr>
        <w:t>,</w:t>
      </w:r>
      <w:r w:rsidRPr="00275FCA" w:rsidR="009268B9">
        <w:rPr>
          <w:lang w:val="en-GB"/>
        </w:rPr>
        <w:t xml:space="preserve"> which gave a fairly precise indication </w:t>
      </w:r>
      <w:r w:rsidRPr="00275FCA" w:rsidR="00192D9A">
        <w:rPr>
          <w:lang w:val="en-GB"/>
        </w:rPr>
        <w:t>as to why they were being arrested.</w:t>
      </w:r>
    </w:p>
    <w:p w:rsidRPr="00275FCA" w:rsidR="003A1AA8" w:rsidP="00275FCA" w:rsidRDefault="003A1AA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48</w:t>
      </w:r>
      <w:r w:rsidRPr="00275FCA">
        <w:rPr>
          <w:lang w:val="en-GB"/>
        </w:rPr>
        <w:fldChar w:fldCharType="end"/>
      </w:r>
      <w:r w:rsidRPr="00275FCA">
        <w:rPr>
          <w:lang w:val="en-GB"/>
        </w:rPr>
        <w:t>.  </w:t>
      </w:r>
      <w:r w:rsidRPr="00275FCA" w:rsidR="00E14EF1">
        <w:rPr>
          <w:lang w:val="en-GB"/>
        </w:rPr>
        <w:t>The Court</w:t>
      </w:r>
      <w:r w:rsidRPr="00275FCA" w:rsidR="00762D31">
        <w:rPr>
          <w:lang w:val="en-GB"/>
        </w:rPr>
        <w:t xml:space="preserve"> </w:t>
      </w:r>
      <w:r w:rsidRPr="00275FCA" w:rsidR="001855F9">
        <w:rPr>
          <w:lang w:val="en-GB"/>
        </w:rPr>
        <w:t xml:space="preserve">also </w:t>
      </w:r>
      <w:r w:rsidRPr="00275FCA" w:rsidR="00E14EF1">
        <w:rPr>
          <w:lang w:val="en-GB"/>
        </w:rPr>
        <w:t xml:space="preserve">notes that subsequent to their arrest </w:t>
      </w:r>
      <w:r w:rsidRPr="00275FCA">
        <w:rPr>
          <w:lang w:val="en-GB"/>
        </w:rPr>
        <w:t>at</w:t>
      </w:r>
      <w:r w:rsidRPr="00275FCA" w:rsidR="00E14EF1">
        <w:rPr>
          <w:lang w:val="en-GB"/>
        </w:rPr>
        <w:t xml:space="preserve"> their homes, the applicants were taken to the Istanbul Securit</w:t>
      </w:r>
      <w:r w:rsidRPr="00275FCA" w:rsidR="00ED2417">
        <w:rPr>
          <w:lang w:val="en-GB"/>
        </w:rPr>
        <w:t xml:space="preserve">y Directorate for </w:t>
      </w:r>
      <w:r w:rsidRPr="00275FCA" w:rsidR="00685FBF">
        <w:rPr>
          <w:lang w:val="en-GB"/>
        </w:rPr>
        <w:t>questioning</w:t>
      </w:r>
      <w:r w:rsidRPr="00275FCA" w:rsidR="00ED2417">
        <w:rPr>
          <w:lang w:val="en-GB"/>
        </w:rPr>
        <w:t xml:space="preserve">. According to the </w:t>
      </w:r>
      <w:r w:rsidRPr="00275FCA" w:rsidR="00685FBF">
        <w:rPr>
          <w:lang w:val="en-GB"/>
        </w:rPr>
        <w:t xml:space="preserve">interview </w:t>
      </w:r>
      <w:r w:rsidRPr="00275FCA" w:rsidR="00ED2417">
        <w:rPr>
          <w:lang w:val="en-GB"/>
        </w:rPr>
        <w:t>records, which also bore the</w:t>
      </w:r>
      <w:r w:rsidRPr="00275FCA" w:rsidR="00685FBF">
        <w:rPr>
          <w:lang w:val="en-GB"/>
        </w:rPr>
        <w:t>ir</w:t>
      </w:r>
      <w:r w:rsidRPr="00275FCA" w:rsidR="00ED2417">
        <w:rPr>
          <w:lang w:val="en-GB"/>
        </w:rPr>
        <w:t xml:space="preserve"> signatures, the applicants were asked </w:t>
      </w:r>
      <w:r w:rsidRPr="00275FCA" w:rsidR="0064197F">
        <w:rPr>
          <w:lang w:val="en-GB"/>
        </w:rPr>
        <w:t>specific questions relating to the petitions</w:t>
      </w:r>
      <w:r w:rsidRPr="00275FCA" w:rsidR="009268B9">
        <w:rPr>
          <w:lang w:val="en-GB"/>
        </w:rPr>
        <w:t xml:space="preserve"> and their suspected affiliation </w:t>
      </w:r>
      <w:r w:rsidRPr="00275FCA" w:rsidR="00685FBF">
        <w:rPr>
          <w:lang w:val="en-GB"/>
        </w:rPr>
        <w:t xml:space="preserve">with </w:t>
      </w:r>
      <w:r w:rsidRPr="00275FCA" w:rsidR="009268B9">
        <w:rPr>
          <w:lang w:val="en-GB"/>
        </w:rPr>
        <w:t>the PKK</w:t>
      </w:r>
      <w:r w:rsidRPr="00275FCA" w:rsidR="002509C1">
        <w:rPr>
          <w:lang w:val="en-GB"/>
        </w:rPr>
        <w:t xml:space="preserve">, with the assistance of an interpreter as needed (see paragraph </w:t>
      </w:r>
      <w:r w:rsidRPr="00275FCA" w:rsidR="00FC28B0">
        <w:rPr>
          <w:lang w:val="en-GB"/>
        </w:rPr>
        <w:t>13</w:t>
      </w:r>
      <w:r w:rsidRPr="00275FCA" w:rsidR="002509C1">
        <w:rPr>
          <w:lang w:val="en-GB"/>
        </w:rPr>
        <w:t xml:space="preserve"> above). </w:t>
      </w:r>
      <w:r w:rsidRPr="00275FCA" w:rsidR="00762D31">
        <w:rPr>
          <w:lang w:val="en-GB"/>
        </w:rPr>
        <w:t>The Court observes that only three</w:t>
      </w:r>
      <w:r w:rsidRPr="00275FCA" w:rsidR="000C3AF4">
        <w:rPr>
          <w:lang w:val="en-GB"/>
        </w:rPr>
        <w:t xml:space="preserve"> of the</w:t>
      </w:r>
      <w:r w:rsidRPr="00275FCA" w:rsidR="00762D31">
        <w:rPr>
          <w:lang w:val="en-GB"/>
        </w:rPr>
        <w:t xml:space="preserve"> applicants were assisted by an interpreter during police </w:t>
      </w:r>
      <w:r w:rsidRPr="00275FCA" w:rsidR="00685FBF">
        <w:rPr>
          <w:lang w:val="en-GB"/>
        </w:rPr>
        <w:t>questioning</w:t>
      </w:r>
      <w:r w:rsidRPr="00275FCA" w:rsidR="00762D31">
        <w:rPr>
          <w:lang w:val="en-GB"/>
        </w:rPr>
        <w:t xml:space="preserve">, whereas more applicants requested such assistance </w:t>
      </w:r>
      <w:r w:rsidRPr="00275FCA" w:rsidR="00ED2417">
        <w:rPr>
          <w:lang w:val="en-GB"/>
        </w:rPr>
        <w:t xml:space="preserve">during their subsequent </w:t>
      </w:r>
      <w:r w:rsidRPr="00275FCA" w:rsidR="00685FBF">
        <w:rPr>
          <w:lang w:val="en-GB"/>
        </w:rPr>
        <w:t xml:space="preserve">questioning </w:t>
      </w:r>
      <w:r w:rsidRPr="00275FCA" w:rsidR="00ED2417">
        <w:rPr>
          <w:lang w:val="en-GB"/>
        </w:rPr>
        <w:t>by</w:t>
      </w:r>
      <w:r w:rsidRPr="00275FCA" w:rsidR="00762D31">
        <w:rPr>
          <w:lang w:val="en-GB"/>
        </w:rPr>
        <w:t xml:space="preserve"> the public prosecutor and judge at the Istanbul State Security Court (see paragraphs </w:t>
      </w:r>
      <w:r w:rsidRPr="00275FCA" w:rsidR="00FC28B0">
        <w:rPr>
          <w:lang w:val="en-GB"/>
        </w:rPr>
        <w:t>18</w:t>
      </w:r>
      <w:r w:rsidRPr="00275FCA" w:rsidR="00762D31">
        <w:rPr>
          <w:lang w:val="en-GB"/>
        </w:rPr>
        <w:t xml:space="preserve"> and </w:t>
      </w:r>
      <w:r w:rsidRPr="00275FCA" w:rsidR="00FC28B0">
        <w:rPr>
          <w:lang w:val="en-GB"/>
        </w:rPr>
        <w:t>19</w:t>
      </w:r>
      <w:r w:rsidRPr="00275FCA" w:rsidR="00762D31">
        <w:rPr>
          <w:lang w:val="en-GB"/>
        </w:rPr>
        <w:t xml:space="preserve"> above). </w:t>
      </w:r>
      <w:r w:rsidRPr="00275FCA" w:rsidR="00ED2417">
        <w:rPr>
          <w:lang w:val="en-GB"/>
        </w:rPr>
        <w:t>Be that as it may</w:t>
      </w:r>
      <w:r w:rsidRPr="00275FCA" w:rsidR="00762D31">
        <w:rPr>
          <w:lang w:val="en-GB"/>
        </w:rPr>
        <w:t>, in the absence of an</w:t>
      </w:r>
      <w:r w:rsidRPr="00275FCA" w:rsidR="00685FBF">
        <w:rPr>
          <w:lang w:val="en-GB"/>
        </w:rPr>
        <w:t>y</w:t>
      </w:r>
      <w:r w:rsidRPr="00275FCA" w:rsidR="00762D31">
        <w:rPr>
          <w:lang w:val="en-GB"/>
        </w:rPr>
        <w:t xml:space="preserve"> allegation</w:t>
      </w:r>
      <w:r w:rsidRPr="00275FCA" w:rsidR="00685FBF">
        <w:rPr>
          <w:lang w:val="en-GB"/>
        </w:rPr>
        <w:t>s</w:t>
      </w:r>
      <w:r w:rsidRPr="00275FCA" w:rsidR="00762D31">
        <w:rPr>
          <w:lang w:val="en-GB"/>
        </w:rPr>
        <w:t xml:space="preserve"> from any of the applicants that they were denied the assistance of an interpreter before the police despite their requests, the Court is satisfied that </w:t>
      </w:r>
      <w:r w:rsidRPr="00275FCA" w:rsidR="00ED2417">
        <w:rPr>
          <w:lang w:val="en-GB"/>
        </w:rPr>
        <w:t>all</w:t>
      </w:r>
      <w:r w:rsidRPr="00275FCA" w:rsidR="00762D31">
        <w:rPr>
          <w:lang w:val="en-GB"/>
        </w:rPr>
        <w:t xml:space="preserve"> applicants</w:t>
      </w:r>
      <w:r w:rsidRPr="00275FCA" w:rsidR="00ED2417">
        <w:rPr>
          <w:lang w:val="en-GB"/>
        </w:rPr>
        <w:t xml:space="preserve"> sufficiently understood the subject matter of the</w:t>
      </w:r>
      <w:r w:rsidRPr="00275FCA" w:rsidR="00A463BE">
        <w:rPr>
          <w:lang w:val="en-GB"/>
        </w:rPr>
        <w:t xml:space="preserve"> police</w:t>
      </w:r>
      <w:r w:rsidRPr="00275FCA" w:rsidR="00ED2417">
        <w:rPr>
          <w:lang w:val="en-GB"/>
        </w:rPr>
        <w:t xml:space="preserve"> </w:t>
      </w:r>
      <w:r w:rsidRPr="00275FCA" w:rsidR="00685FBF">
        <w:rPr>
          <w:lang w:val="en-GB"/>
        </w:rPr>
        <w:t>questioning</w:t>
      </w:r>
      <w:r w:rsidRPr="00275FCA" w:rsidR="009268B9">
        <w:rPr>
          <w:lang w:val="en-GB"/>
        </w:rPr>
        <w:t>, which once again clearly indicated the suspicions against them</w:t>
      </w:r>
      <w:r w:rsidRPr="00275FCA" w:rsidR="008E3634">
        <w:rPr>
          <w:lang w:val="en-GB"/>
        </w:rPr>
        <w:t>.</w:t>
      </w:r>
    </w:p>
    <w:p w:rsidRPr="00275FCA" w:rsidR="0064197F" w:rsidP="00275FCA" w:rsidRDefault="003A1AA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49</w:t>
      </w:r>
      <w:r w:rsidRPr="00275FCA">
        <w:rPr>
          <w:lang w:val="en-GB"/>
        </w:rPr>
        <w:fldChar w:fldCharType="end"/>
      </w:r>
      <w:r w:rsidRPr="00275FCA">
        <w:rPr>
          <w:lang w:val="en-GB"/>
        </w:rPr>
        <w:t>.  </w:t>
      </w:r>
      <w:r w:rsidRPr="00275FCA" w:rsidR="009268B9">
        <w:rPr>
          <w:lang w:val="en-GB"/>
        </w:rPr>
        <w:t xml:space="preserve">Having regard to the foregoing, and bearing in mind that </w:t>
      </w:r>
      <w:r w:rsidRPr="00275FCA">
        <w:rPr>
          <w:lang w:val="en-GB"/>
        </w:rPr>
        <w:t>Article 5 § </w:t>
      </w:r>
      <w:r w:rsidRPr="00275FCA" w:rsidR="000C3AF4">
        <w:rPr>
          <w:lang w:val="en-GB"/>
        </w:rPr>
        <w:t>2 does not require that reasons for an arrest be given in any particular form</w:t>
      </w:r>
      <w:r w:rsidRPr="00275FCA" w:rsidR="007A7EA7">
        <w:rPr>
          <w:lang w:val="en-GB"/>
        </w:rPr>
        <w:t>,</w:t>
      </w:r>
      <w:r w:rsidRPr="00275FCA" w:rsidR="000C3AF4">
        <w:rPr>
          <w:lang w:val="en-GB"/>
        </w:rPr>
        <w:t xml:space="preserve"> </w:t>
      </w:r>
      <w:r w:rsidRPr="00275FCA" w:rsidR="007A7EA7">
        <w:rPr>
          <w:lang w:val="en-GB"/>
        </w:rPr>
        <w:t>t</w:t>
      </w:r>
      <w:r w:rsidRPr="00275FCA" w:rsidR="009268B9">
        <w:rPr>
          <w:lang w:val="en-GB"/>
        </w:rPr>
        <w:t xml:space="preserve">he Court concludes that </w:t>
      </w:r>
      <w:r w:rsidRPr="00275FCA" w:rsidR="0064197F">
        <w:rPr>
          <w:lang w:val="en-GB"/>
        </w:rPr>
        <w:t xml:space="preserve">the applicants must be deemed to have been aware of the reasons of their arrest </w:t>
      </w:r>
      <w:r w:rsidRPr="00275FCA" w:rsidR="009268B9">
        <w:rPr>
          <w:lang w:val="en-GB"/>
        </w:rPr>
        <w:t>at the time of or shortly after</w:t>
      </w:r>
      <w:r w:rsidRPr="00275FCA" w:rsidR="007A7EA7">
        <w:rPr>
          <w:lang w:val="en-GB"/>
        </w:rPr>
        <w:t xml:space="preserve"> the</w:t>
      </w:r>
      <w:r w:rsidRPr="00275FCA" w:rsidR="000C3AF4">
        <w:rPr>
          <w:lang w:val="en-GB"/>
        </w:rPr>
        <w:t>ir</w:t>
      </w:r>
      <w:r w:rsidRPr="00275FCA" w:rsidR="007A7EA7">
        <w:rPr>
          <w:lang w:val="en-GB"/>
        </w:rPr>
        <w:t xml:space="preserve"> arrest</w:t>
      </w:r>
      <w:r w:rsidRPr="00275FCA" w:rsidR="0064197F">
        <w:rPr>
          <w:lang w:val="en-GB"/>
        </w:rPr>
        <w:t xml:space="preserve"> (see, for example, </w:t>
      </w:r>
      <w:r w:rsidRPr="00275FCA" w:rsidR="00A463BE">
        <w:rPr>
          <w:i/>
          <w:lang w:val="en-GB"/>
        </w:rPr>
        <w:t>Kerr v. the United Kingdom</w:t>
      </w:r>
      <w:r w:rsidRPr="00275FCA">
        <w:rPr>
          <w:lang w:val="en-GB"/>
        </w:rPr>
        <w:t xml:space="preserve"> (dec.), no. </w:t>
      </w:r>
      <w:r w:rsidRPr="00275FCA" w:rsidR="00C41228">
        <w:rPr>
          <w:lang w:val="en-GB"/>
        </w:rPr>
        <w:t>40451/98</w:t>
      </w:r>
      <w:r w:rsidRPr="00275FCA" w:rsidR="00A463BE">
        <w:rPr>
          <w:lang w:val="en-GB"/>
        </w:rPr>
        <w:t xml:space="preserve">, </w:t>
      </w:r>
      <w:r w:rsidRPr="00275FCA" w:rsidR="00C41228">
        <w:rPr>
          <w:lang w:val="en-GB"/>
        </w:rPr>
        <w:t>7 December 1999;</w:t>
      </w:r>
      <w:r w:rsidRPr="00275FCA" w:rsidR="00A463BE">
        <w:rPr>
          <w:lang w:val="en-GB"/>
        </w:rPr>
        <w:t xml:space="preserve"> </w:t>
      </w:r>
      <w:r w:rsidRPr="00275FCA" w:rsidR="007A7EA7">
        <w:rPr>
          <w:i/>
          <w:lang w:val="en-GB"/>
        </w:rPr>
        <w:t>Dikme v. Turkey</w:t>
      </w:r>
      <w:r w:rsidRPr="00275FCA" w:rsidR="007A7EA7">
        <w:rPr>
          <w:lang w:val="en-GB"/>
        </w:rPr>
        <w:t>, no. 20869/92, §</w:t>
      </w:r>
      <w:r w:rsidRPr="00275FCA" w:rsidR="00E42314">
        <w:rPr>
          <w:lang w:val="en-GB"/>
        </w:rPr>
        <w:t> </w:t>
      </w:r>
      <w:r w:rsidRPr="00275FCA" w:rsidR="007A7EA7">
        <w:rPr>
          <w:lang w:val="en-GB"/>
        </w:rPr>
        <w:t>56, ECHR 2000</w:t>
      </w:r>
      <w:r w:rsidRPr="00275FCA" w:rsidR="007A7EA7">
        <w:rPr>
          <w:lang w:val="en-GB"/>
        </w:rPr>
        <w:noBreakHyphen/>
        <w:t>VIII</w:t>
      </w:r>
      <w:r w:rsidRPr="00275FCA" w:rsidR="00C41228">
        <w:rPr>
          <w:lang w:val="en-GB"/>
        </w:rPr>
        <w:t>;</w:t>
      </w:r>
      <w:r w:rsidRPr="00275FCA" w:rsidR="007A7EA7">
        <w:rPr>
          <w:lang w:val="en-GB"/>
        </w:rPr>
        <w:t xml:space="preserve"> and </w:t>
      </w:r>
      <w:r w:rsidRPr="00275FCA" w:rsidR="000A4562">
        <w:rPr>
          <w:i/>
          <w:lang w:val="en-GB"/>
        </w:rPr>
        <w:t>Süleyman Erdem</w:t>
      </w:r>
      <w:r w:rsidRPr="00275FCA" w:rsidR="0064197F">
        <w:rPr>
          <w:lang w:val="en-GB"/>
        </w:rPr>
        <w:t>, cited above, § 43). It follows that this part of the application should be rejected as manifestly ill-founded pursuant to Article 35 §§ 3 and 4 of the Convention.</w:t>
      </w:r>
    </w:p>
    <w:p w:rsidRPr="00275FCA" w:rsidR="00ED78BF" w:rsidP="00275FCA" w:rsidRDefault="00ED78BF">
      <w:pPr>
        <w:pStyle w:val="ECHRHeading4"/>
        <w:rPr>
          <w:lang w:val="en-GB"/>
        </w:rPr>
      </w:pPr>
      <w:r w:rsidRPr="00275FCA">
        <w:rPr>
          <w:lang w:val="en-GB"/>
        </w:rPr>
        <w:t>(</w:t>
      </w:r>
      <w:r w:rsidRPr="00275FCA" w:rsidR="002E4CFF">
        <w:rPr>
          <w:lang w:val="en-GB"/>
        </w:rPr>
        <w:t>b</w:t>
      </w:r>
      <w:r w:rsidRPr="00275FCA" w:rsidR="008E3634">
        <w:rPr>
          <w:lang w:val="en-GB"/>
        </w:rPr>
        <w:t>)  </w:t>
      </w:r>
      <w:r w:rsidRPr="00275FCA" w:rsidR="00FC25F6">
        <w:rPr>
          <w:lang w:val="en-GB"/>
        </w:rPr>
        <w:t>The remaining complaints under Article 5 of the Convention</w:t>
      </w:r>
    </w:p>
    <w:p w:rsidRPr="00275FCA" w:rsidR="0064197F" w:rsidP="00275FCA" w:rsidRDefault="00601E95">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50</w:t>
      </w:r>
      <w:r w:rsidRPr="00275FCA">
        <w:rPr>
          <w:lang w:val="en-GB"/>
        </w:rPr>
        <w:fldChar w:fldCharType="end"/>
      </w:r>
      <w:r w:rsidRPr="00275FCA">
        <w:rPr>
          <w:lang w:val="en-GB"/>
        </w:rPr>
        <w:t>.  </w:t>
      </w:r>
      <w:r w:rsidRPr="00275FCA" w:rsidR="0064197F">
        <w:rPr>
          <w:lang w:val="en-GB"/>
        </w:rPr>
        <w:t>The Court notes that the applicants</w:t>
      </w:r>
      <w:r w:rsidRPr="00275FCA" w:rsidR="00275FCA">
        <w:rPr>
          <w:lang w:val="en-GB"/>
        </w:rPr>
        <w:t>’</w:t>
      </w:r>
      <w:r w:rsidRPr="00275FCA" w:rsidR="0081257A">
        <w:rPr>
          <w:lang w:val="en-GB"/>
        </w:rPr>
        <w:t xml:space="preserve"> complaints under Article 5 §§</w:t>
      </w:r>
      <w:r w:rsidRPr="00275FCA" w:rsidR="002E4CFF">
        <w:rPr>
          <w:lang w:val="en-GB"/>
        </w:rPr>
        <w:t> 3,</w:t>
      </w:r>
      <w:r w:rsidRPr="00275FCA" w:rsidR="0081257A">
        <w:rPr>
          <w:lang w:val="en-GB"/>
        </w:rPr>
        <w:t> 4 </w:t>
      </w:r>
      <w:r w:rsidRPr="00275FCA" w:rsidR="0064197F">
        <w:rPr>
          <w:lang w:val="en-GB"/>
        </w:rPr>
        <w:t>and 5 of the Convention are not manifestly ill</w:t>
      </w:r>
      <w:r w:rsidRPr="00275FCA" w:rsidR="0064197F">
        <w:rPr>
          <w:lang w:val="en-GB"/>
        </w:rPr>
        <w:noBreakHyphen/>
        <w:t xml:space="preserve">founded within the meaning of Article 35 § 3 of the Convention. It </w:t>
      </w:r>
      <w:r w:rsidRPr="00275FCA" w:rsidR="001855F9">
        <w:rPr>
          <w:lang w:val="en-GB"/>
        </w:rPr>
        <w:t xml:space="preserve">also </w:t>
      </w:r>
      <w:r w:rsidRPr="00275FCA" w:rsidR="0064197F">
        <w:rPr>
          <w:lang w:val="en-GB"/>
        </w:rPr>
        <w:t>notes that the</w:t>
      </w:r>
      <w:r w:rsidRPr="00275FCA" w:rsidR="00607467">
        <w:rPr>
          <w:lang w:val="en-GB"/>
        </w:rPr>
        <w:t>se</w:t>
      </w:r>
      <w:r w:rsidRPr="00275FCA" w:rsidR="0064197F">
        <w:rPr>
          <w:lang w:val="en-GB"/>
        </w:rPr>
        <w:t xml:space="preserve"> complaints are not inadmissible on any other grounds. They must th</w:t>
      </w:r>
      <w:r w:rsidRPr="00275FCA" w:rsidR="00F8421F">
        <w:rPr>
          <w:lang w:val="en-GB"/>
        </w:rPr>
        <w:t>erefore be declared admissible.</w:t>
      </w:r>
    </w:p>
    <w:p w:rsidRPr="00275FCA" w:rsidR="00014566" w:rsidP="00275FCA" w:rsidRDefault="00014566">
      <w:pPr>
        <w:pStyle w:val="ECHRHeading2"/>
        <w:rPr>
          <w:lang w:val="en-GB"/>
        </w:rPr>
      </w:pPr>
      <w:r w:rsidRPr="00275FCA">
        <w:rPr>
          <w:lang w:val="en-GB"/>
        </w:rPr>
        <w:t>B.  Merits</w:t>
      </w:r>
    </w:p>
    <w:p w:rsidRPr="00275FCA" w:rsidR="00A57302" w:rsidP="00275FCA" w:rsidRDefault="008E3634">
      <w:pPr>
        <w:pStyle w:val="ECHRHeading3"/>
        <w:rPr>
          <w:lang w:val="en-GB"/>
        </w:rPr>
      </w:pPr>
      <w:r w:rsidRPr="00275FCA">
        <w:rPr>
          <w:lang w:val="en-GB"/>
        </w:rPr>
        <w:t>1.  </w:t>
      </w:r>
      <w:r w:rsidRPr="00275FCA" w:rsidR="00A57302">
        <w:rPr>
          <w:lang w:val="en-GB"/>
        </w:rPr>
        <w:t>Article 5 § 3 of the Convention</w:t>
      </w:r>
    </w:p>
    <w:p w:rsidRPr="00275FCA" w:rsidR="00F64743" w:rsidP="00275FCA" w:rsidRDefault="00A5730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51</w:t>
      </w:r>
      <w:r w:rsidRPr="00275FCA">
        <w:rPr>
          <w:lang w:val="en-GB"/>
        </w:rPr>
        <w:fldChar w:fldCharType="end"/>
      </w:r>
      <w:r w:rsidRPr="00275FCA">
        <w:rPr>
          <w:lang w:val="en-GB"/>
        </w:rPr>
        <w:t>.  The applicants complained</w:t>
      </w:r>
      <w:r w:rsidRPr="00275FCA" w:rsidR="00F64743">
        <w:rPr>
          <w:lang w:val="en-GB"/>
        </w:rPr>
        <w:t xml:space="preserve"> under Article 5 § 3 of the Convention</w:t>
      </w:r>
      <w:r w:rsidRPr="00275FCA">
        <w:rPr>
          <w:lang w:val="en-GB"/>
        </w:rPr>
        <w:t xml:space="preserve"> that </w:t>
      </w:r>
      <w:r w:rsidRPr="00275FCA" w:rsidR="00F64743">
        <w:rPr>
          <w:lang w:val="en-GB"/>
        </w:rPr>
        <w:t xml:space="preserve">they had not been brought promptly before a judge </w:t>
      </w:r>
      <w:r w:rsidRPr="00275FCA" w:rsidR="00D11A17">
        <w:rPr>
          <w:lang w:val="en-GB"/>
        </w:rPr>
        <w:t>i</w:t>
      </w:r>
      <w:r w:rsidRPr="00275FCA" w:rsidR="00F64743">
        <w:rPr>
          <w:lang w:val="en-GB"/>
        </w:rPr>
        <w:t xml:space="preserve">n </w:t>
      </w:r>
      <w:r w:rsidRPr="00275FCA" w:rsidR="00D11A17">
        <w:rPr>
          <w:lang w:val="en-GB"/>
        </w:rPr>
        <w:t>connection with</w:t>
      </w:r>
      <w:r w:rsidRPr="00275FCA" w:rsidR="00F64743">
        <w:rPr>
          <w:lang w:val="en-GB"/>
        </w:rPr>
        <w:t xml:space="preserve"> their detention in police custody between 13 and 17 January 2002.</w:t>
      </w:r>
    </w:p>
    <w:p w:rsidRPr="00275FCA" w:rsidR="00A57302" w:rsidP="00275FCA" w:rsidRDefault="00A5730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52</w:t>
      </w:r>
      <w:r w:rsidRPr="00275FCA">
        <w:rPr>
          <w:lang w:val="en-GB"/>
        </w:rPr>
        <w:fldChar w:fldCharType="end"/>
      </w:r>
      <w:r w:rsidRPr="00275FCA">
        <w:rPr>
          <w:lang w:val="en-GB"/>
        </w:rPr>
        <w:t>.  The Government submitted that the applicants</w:t>
      </w:r>
      <w:r w:rsidRPr="00275FCA" w:rsidR="00275FCA">
        <w:rPr>
          <w:lang w:val="en-GB"/>
        </w:rPr>
        <w:t>’</w:t>
      </w:r>
      <w:r w:rsidRPr="00275FCA">
        <w:rPr>
          <w:lang w:val="en-GB"/>
        </w:rPr>
        <w:t xml:space="preserve"> allegation under this head was ill-founded as they </w:t>
      </w:r>
      <w:r w:rsidRPr="00275FCA" w:rsidR="00685FBF">
        <w:rPr>
          <w:lang w:val="en-GB"/>
        </w:rPr>
        <w:t xml:space="preserve">had been </w:t>
      </w:r>
      <w:r w:rsidRPr="00275FCA">
        <w:rPr>
          <w:lang w:val="en-GB"/>
        </w:rPr>
        <w:t>brought promptly before a judge following their arrest.</w:t>
      </w:r>
    </w:p>
    <w:p w:rsidRPr="00275FCA" w:rsidR="00A57302" w:rsidP="00275FCA" w:rsidRDefault="00A5730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53</w:t>
      </w:r>
      <w:r w:rsidRPr="00275FCA">
        <w:rPr>
          <w:lang w:val="en-GB"/>
        </w:rPr>
        <w:fldChar w:fldCharType="end"/>
      </w:r>
      <w:r w:rsidRPr="00275FCA">
        <w:rPr>
          <w:lang w:val="en-GB"/>
        </w:rPr>
        <w:t>.  The Court reiterates the importance of the guarantees afforded by Article 5 § 3 to an arrested person</w:t>
      </w:r>
      <w:r w:rsidRPr="00275FCA" w:rsidR="00A8118B">
        <w:rPr>
          <w:lang w:val="en-GB"/>
        </w:rPr>
        <w:t xml:space="preserve"> (see, among other authorities, </w:t>
      </w:r>
      <w:r w:rsidRPr="00275FCA" w:rsidR="00A8118B">
        <w:rPr>
          <w:i/>
          <w:lang w:val="en-GB"/>
        </w:rPr>
        <w:t>Medvedyev and Others</w:t>
      </w:r>
      <w:r w:rsidRPr="00275FCA" w:rsidR="00A8118B">
        <w:rPr>
          <w:lang w:val="en-GB"/>
        </w:rPr>
        <w:t xml:space="preserve"> </w:t>
      </w:r>
      <w:r w:rsidRPr="00275FCA" w:rsidR="00A8118B">
        <w:rPr>
          <w:i/>
          <w:lang w:val="en-GB"/>
        </w:rPr>
        <w:t>v. France</w:t>
      </w:r>
      <w:r w:rsidRPr="00275FCA" w:rsidR="00A8118B">
        <w:rPr>
          <w:lang w:val="en-GB"/>
        </w:rPr>
        <w:t xml:space="preserve"> [GC], no. 3394/03, § 118, ECHR 2010)</w:t>
      </w:r>
      <w:r w:rsidRPr="00275FCA">
        <w:rPr>
          <w:lang w:val="en-GB"/>
        </w:rPr>
        <w:t xml:space="preserve">. The </w:t>
      </w:r>
      <w:r w:rsidRPr="00275FCA" w:rsidR="00A8118B">
        <w:rPr>
          <w:lang w:val="en-GB"/>
        </w:rPr>
        <w:t xml:space="preserve">main </w:t>
      </w:r>
      <w:r w:rsidRPr="00275FCA">
        <w:rPr>
          <w:lang w:val="en-GB"/>
        </w:rPr>
        <w:t>purpose of this provision is to ensure that arrested persons are physically brought befo</w:t>
      </w:r>
      <w:r w:rsidRPr="00275FCA" w:rsidR="00A8118B">
        <w:rPr>
          <w:lang w:val="en-GB"/>
        </w:rPr>
        <w:t xml:space="preserve">re a judicial officer promptly, which </w:t>
      </w:r>
      <w:r w:rsidRPr="00275FCA">
        <w:rPr>
          <w:lang w:val="en-GB"/>
        </w:rPr>
        <w:t>provides an important measure of protection against arbitrary behaviour, incommunicado detention and ill-treatment.</w:t>
      </w:r>
    </w:p>
    <w:p w:rsidRPr="00275FCA" w:rsidR="00A57302" w:rsidP="00275FCA" w:rsidRDefault="00A5730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54</w:t>
      </w:r>
      <w:r w:rsidRPr="00275FCA">
        <w:rPr>
          <w:lang w:val="en-GB"/>
        </w:rPr>
        <w:fldChar w:fldCharType="end"/>
      </w:r>
      <w:r w:rsidRPr="00275FCA">
        <w:rPr>
          <w:lang w:val="en-GB"/>
        </w:rPr>
        <w:t xml:space="preserve">.  While the requirement of promptness has to be assessed in each case according to its </w:t>
      </w:r>
      <w:r w:rsidRPr="00275FCA" w:rsidR="005D2317">
        <w:rPr>
          <w:lang w:val="en-GB"/>
        </w:rPr>
        <w:t xml:space="preserve">specific </w:t>
      </w:r>
      <w:r w:rsidRPr="00275FCA">
        <w:rPr>
          <w:lang w:val="en-GB"/>
        </w:rPr>
        <w:t>features (see, among other</w:t>
      </w:r>
      <w:r w:rsidRPr="00275FCA" w:rsidR="005D2317">
        <w:rPr>
          <w:lang w:val="en-GB"/>
        </w:rPr>
        <w:t xml:space="preserve"> authorities</w:t>
      </w:r>
      <w:r w:rsidRPr="00275FCA">
        <w:rPr>
          <w:lang w:val="en-GB"/>
        </w:rPr>
        <w:t xml:space="preserve">, </w:t>
      </w:r>
      <w:r w:rsidRPr="00275FCA">
        <w:rPr>
          <w:i/>
          <w:lang w:val="en-GB"/>
        </w:rPr>
        <w:t>Aquilina v.</w:t>
      </w:r>
      <w:r w:rsidRPr="00275FCA" w:rsidR="00E42314">
        <w:rPr>
          <w:i/>
          <w:lang w:val="en-GB"/>
        </w:rPr>
        <w:t> </w:t>
      </w:r>
      <w:r w:rsidRPr="00275FCA">
        <w:rPr>
          <w:i/>
          <w:lang w:val="en-GB"/>
        </w:rPr>
        <w:t>Malta</w:t>
      </w:r>
      <w:r w:rsidRPr="00275FCA">
        <w:rPr>
          <w:lang w:val="en-GB"/>
        </w:rPr>
        <w:t xml:space="preserve"> [GC], no. 25642/94, § 48, ECHR 1999</w:t>
      </w:r>
      <w:r w:rsidRPr="00275FCA">
        <w:rPr>
          <w:lang w:val="en-GB"/>
        </w:rPr>
        <w:noBreakHyphen/>
        <w:t xml:space="preserve">III), the strict time constraint imposed by this requirement of Article 5 § 3 leaves little flexibility in interpretation (see, for example, </w:t>
      </w:r>
      <w:r w:rsidRPr="00275FCA" w:rsidR="00A74ABA">
        <w:rPr>
          <w:i/>
          <w:lang w:val="en-GB"/>
        </w:rPr>
        <w:t>Brogan and Others v. the United Kingdom</w:t>
      </w:r>
      <w:r w:rsidRPr="00275FCA" w:rsidR="00A74ABA">
        <w:rPr>
          <w:lang w:val="en-GB"/>
        </w:rPr>
        <w:t>, 29 November 1988, § 62, Series A no. 145</w:t>
      </w:r>
      <w:r w:rsidRPr="00275FCA" w:rsidR="00A74ABA">
        <w:rPr>
          <w:lang w:val="en-GB"/>
        </w:rPr>
        <w:noBreakHyphen/>
        <w:t xml:space="preserve">B and </w:t>
      </w:r>
      <w:r w:rsidRPr="00275FCA">
        <w:rPr>
          <w:i/>
          <w:lang w:val="en-GB"/>
        </w:rPr>
        <w:t xml:space="preserve">McKay v. the United Kingdom </w:t>
      </w:r>
      <w:r w:rsidRPr="00275FCA">
        <w:rPr>
          <w:lang w:val="en-GB"/>
        </w:rPr>
        <w:t>[GC], no.</w:t>
      </w:r>
      <w:r w:rsidRPr="00275FCA" w:rsidR="008E3634">
        <w:rPr>
          <w:lang w:val="en-GB"/>
        </w:rPr>
        <w:t> </w:t>
      </w:r>
      <w:r w:rsidRPr="00275FCA">
        <w:rPr>
          <w:lang w:val="en-GB"/>
        </w:rPr>
        <w:t>543/03, § 33, ECHR 2006</w:t>
      </w:r>
      <w:r w:rsidRPr="00275FCA">
        <w:rPr>
          <w:lang w:val="en-GB"/>
        </w:rPr>
        <w:noBreakHyphen/>
        <w:t>X).</w:t>
      </w:r>
    </w:p>
    <w:p w:rsidRPr="00275FCA" w:rsidR="00882B17" w:rsidP="00275FCA" w:rsidRDefault="00A5730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55</w:t>
      </w:r>
      <w:r w:rsidRPr="00275FCA">
        <w:rPr>
          <w:lang w:val="en-GB"/>
        </w:rPr>
        <w:fldChar w:fldCharType="end"/>
      </w:r>
      <w:r w:rsidRPr="00275FCA">
        <w:rPr>
          <w:lang w:val="en-GB"/>
        </w:rPr>
        <w:t>.  Turning to the case at hand, the Court notes that</w:t>
      </w:r>
      <w:r w:rsidRPr="00275FCA" w:rsidR="00A638AE">
        <w:rPr>
          <w:lang w:val="en-GB"/>
        </w:rPr>
        <w:t xml:space="preserve"> the applicants were arrested on 13 January 2002, and were brought before a judge at the Istanbul State Security Court on 17 January 2002, who ordered their release. </w:t>
      </w:r>
      <w:r w:rsidRPr="00275FCA" w:rsidR="00D03BEB">
        <w:rPr>
          <w:lang w:val="en-GB"/>
        </w:rPr>
        <w:t xml:space="preserve">The Court cannot, however, establish the exact period that </w:t>
      </w:r>
      <w:r w:rsidRPr="00275FCA" w:rsidR="003D15DB">
        <w:rPr>
          <w:lang w:val="en-GB"/>
        </w:rPr>
        <w:t>e</w:t>
      </w:r>
      <w:r w:rsidRPr="00275FCA" w:rsidR="00D03BEB">
        <w:rPr>
          <w:lang w:val="en-GB"/>
        </w:rPr>
        <w:t>lapsed between their arrest and their appearance before the judge, because</w:t>
      </w:r>
      <w:r w:rsidRPr="00275FCA" w:rsidR="00EB0C77">
        <w:rPr>
          <w:lang w:val="en-GB"/>
        </w:rPr>
        <w:t xml:space="preserve"> the </w:t>
      </w:r>
      <w:r w:rsidRPr="00275FCA" w:rsidR="00A638AE">
        <w:rPr>
          <w:lang w:val="en-GB"/>
        </w:rPr>
        <w:t>custod</w:t>
      </w:r>
      <w:r w:rsidRPr="00275FCA" w:rsidR="005D2317">
        <w:rPr>
          <w:lang w:val="en-GB"/>
        </w:rPr>
        <w:t>y</w:t>
      </w:r>
      <w:r w:rsidRPr="00275FCA" w:rsidR="00A638AE">
        <w:rPr>
          <w:lang w:val="en-GB"/>
        </w:rPr>
        <w:t xml:space="preserve"> records</w:t>
      </w:r>
      <w:r w:rsidRPr="00275FCA" w:rsidR="00EB0C77">
        <w:rPr>
          <w:lang w:val="en-GB"/>
        </w:rPr>
        <w:t xml:space="preserve"> submitted by the Government indicate the time of arrest for </w:t>
      </w:r>
      <w:r w:rsidRPr="00275FCA" w:rsidR="005D2317">
        <w:rPr>
          <w:lang w:val="en-GB"/>
        </w:rPr>
        <w:t xml:space="preserve">only </w:t>
      </w:r>
      <w:r w:rsidRPr="00275FCA" w:rsidR="00EB0C77">
        <w:rPr>
          <w:lang w:val="en-GB"/>
        </w:rPr>
        <w:t xml:space="preserve">some of the applicants and </w:t>
      </w:r>
      <w:r w:rsidRPr="00275FCA" w:rsidR="00BB5E99">
        <w:rPr>
          <w:lang w:val="en-GB"/>
        </w:rPr>
        <w:t>provide no information</w:t>
      </w:r>
      <w:r w:rsidRPr="00275FCA" w:rsidR="00EB0C77">
        <w:rPr>
          <w:lang w:val="en-GB"/>
        </w:rPr>
        <w:t xml:space="preserve"> </w:t>
      </w:r>
      <w:r w:rsidRPr="00275FCA" w:rsidR="005D2317">
        <w:rPr>
          <w:lang w:val="en-GB"/>
        </w:rPr>
        <w:t xml:space="preserve">about </w:t>
      </w:r>
      <w:r w:rsidRPr="00275FCA" w:rsidR="00EB0C77">
        <w:rPr>
          <w:lang w:val="en-GB"/>
        </w:rPr>
        <w:t>the time of their appearance before the judge</w:t>
      </w:r>
      <w:r w:rsidRPr="00275FCA" w:rsidR="00E70CB0">
        <w:rPr>
          <w:lang w:val="en-GB"/>
        </w:rPr>
        <w:t xml:space="preserve"> (see paragraphs </w:t>
      </w:r>
      <w:r w:rsidRPr="00275FCA" w:rsidR="003C797D">
        <w:rPr>
          <w:lang w:val="en-GB"/>
        </w:rPr>
        <w:t>12</w:t>
      </w:r>
      <w:r w:rsidRPr="00275FCA" w:rsidR="00E70CB0">
        <w:rPr>
          <w:lang w:val="en-GB"/>
        </w:rPr>
        <w:t xml:space="preserve"> and </w:t>
      </w:r>
      <w:r w:rsidRPr="00275FCA" w:rsidR="003C797D">
        <w:rPr>
          <w:lang w:val="en-GB"/>
        </w:rPr>
        <w:t>19</w:t>
      </w:r>
      <w:r w:rsidRPr="00275FCA" w:rsidR="00E70CB0">
        <w:rPr>
          <w:lang w:val="en-GB"/>
        </w:rPr>
        <w:t xml:space="preserve"> above)</w:t>
      </w:r>
      <w:r w:rsidRPr="00275FCA">
        <w:rPr>
          <w:lang w:val="en-GB"/>
        </w:rPr>
        <w:t>.</w:t>
      </w:r>
    </w:p>
    <w:p w:rsidRPr="00275FCA" w:rsidR="002402AB" w:rsidP="00275FCA" w:rsidRDefault="00882B17">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56</w:t>
      </w:r>
      <w:r w:rsidRPr="00275FCA">
        <w:rPr>
          <w:lang w:val="en-GB"/>
        </w:rPr>
        <w:fldChar w:fldCharType="end"/>
      </w:r>
      <w:r w:rsidRPr="00275FCA">
        <w:rPr>
          <w:lang w:val="en-GB"/>
        </w:rPr>
        <w:t>.  </w:t>
      </w:r>
      <w:r w:rsidRPr="00275FCA" w:rsidR="00EB0C77">
        <w:rPr>
          <w:lang w:val="en-GB"/>
        </w:rPr>
        <w:t xml:space="preserve">The Court nevertheless notes from the </w:t>
      </w:r>
      <w:r w:rsidRPr="00275FCA" w:rsidR="00A638AE">
        <w:rPr>
          <w:lang w:val="en-GB"/>
        </w:rPr>
        <w:t xml:space="preserve">information available </w:t>
      </w:r>
      <w:r w:rsidRPr="00275FCA" w:rsidR="00EB0C77">
        <w:rPr>
          <w:lang w:val="en-GB"/>
        </w:rPr>
        <w:t xml:space="preserve">that </w:t>
      </w:r>
      <w:r w:rsidRPr="00275FCA" w:rsidR="00D83405">
        <w:rPr>
          <w:lang w:val="en-GB"/>
        </w:rPr>
        <w:t xml:space="preserve">the time the applicants spent in </w:t>
      </w:r>
      <w:r w:rsidRPr="00275FCA" w:rsidR="00EB0C77">
        <w:rPr>
          <w:lang w:val="en-GB"/>
        </w:rPr>
        <w:t>the detention</w:t>
      </w:r>
      <w:r w:rsidRPr="00275FCA" w:rsidR="00D83405">
        <w:rPr>
          <w:lang w:val="en-GB"/>
        </w:rPr>
        <w:t xml:space="preserve"> c</w:t>
      </w:r>
      <w:r w:rsidRPr="00275FCA" w:rsidR="00EB0C77">
        <w:rPr>
          <w:lang w:val="en-GB"/>
        </w:rPr>
        <w:t>entre</w:t>
      </w:r>
      <w:r w:rsidRPr="00275FCA" w:rsidR="00D83405">
        <w:rPr>
          <w:lang w:val="en-GB"/>
        </w:rPr>
        <w:t xml:space="preserve"> </w:t>
      </w:r>
      <w:r w:rsidRPr="00275FCA">
        <w:rPr>
          <w:lang w:val="en-GB"/>
        </w:rPr>
        <w:t xml:space="preserve">alone </w:t>
      </w:r>
      <w:r w:rsidRPr="00275FCA" w:rsidR="005D2317">
        <w:rPr>
          <w:lang w:val="en-GB"/>
        </w:rPr>
        <w:sym w:font="Symbol" w:char="F02D"/>
      </w:r>
      <w:r w:rsidRPr="00275FCA" w:rsidR="005D2317">
        <w:rPr>
          <w:lang w:val="en-GB"/>
        </w:rPr>
        <w:t xml:space="preserve"> </w:t>
      </w:r>
      <w:r w:rsidRPr="00275FCA" w:rsidR="00CE7D4E">
        <w:rPr>
          <w:lang w:val="en-GB"/>
        </w:rPr>
        <w:t xml:space="preserve">without taking into account the periods between their arrest and </w:t>
      </w:r>
      <w:r w:rsidRPr="00275FCA" w:rsidR="00C46573">
        <w:rPr>
          <w:lang w:val="en-GB"/>
        </w:rPr>
        <w:t xml:space="preserve">actual </w:t>
      </w:r>
      <w:r w:rsidRPr="00275FCA" w:rsidR="00CE7D4E">
        <w:rPr>
          <w:lang w:val="en-GB"/>
        </w:rPr>
        <w:t xml:space="preserve">placement in </w:t>
      </w:r>
      <w:r w:rsidRPr="00275FCA">
        <w:rPr>
          <w:lang w:val="en-GB"/>
        </w:rPr>
        <w:t>detention</w:t>
      </w:r>
      <w:r w:rsidRPr="00275FCA" w:rsidR="002402AB">
        <w:rPr>
          <w:lang w:val="en-GB"/>
        </w:rPr>
        <w:t xml:space="preserve"> (which </w:t>
      </w:r>
      <w:r w:rsidRPr="00275FCA" w:rsidR="005D2317">
        <w:rPr>
          <w:lang w:val="en-GB"/>
        </w:rPr>
        <w:t>for</w:t>
      </w:r>
      <w:r w:rsidRPr="00275FCA" w:rsidR="002402AB">
        <w:rPr>
          <w:lang w:val="en-GB"/>
        </w:rPr>
        <w:t xml:space="preserve"> some </w:t>
      </w:r>
      <w:r w:rsidRPr="00275FCA" w:rsidR="005D2317">
        <w:rPr>
          <w:lang w:val="en-GB"/>
        </w:rPr>
        <w:t xml:space="preserve">of the </w:t>
      </w:r>
      <w:r w:rsidRPr="00275FCA" w:rsidR="002402AB">
        <w:rPr>
          <w:lang w:val="en-GB"/>
        </w:rPr>
        <w:t xml:space="preserve">applicants was as </w:t>
      </w:r>
      <w:r w:rsidRPr="00275FCA" w:rsidR="005D2317">
        <w:rPr>
          <w:lang w:val="en-GB"/>
        </w:rPr>
        <w:t xml:space="preserve">long </w:t>
      </w:r>
      <w:r w:rsidRPr="00275FCA" w:rsidR="002402AB">
        <w:rPr>
          <w:lang w:val="en-GB"/>
        </w:rPr>
        <w:t xml:space="preserve">as </w:t>
      </w:r>
      <w:r w:rsidRPr="00275FCA" w:rsidR="00EE6AD9">
        <w:rPr>
          <w:lang w:val="en-GB"/>
        </w:rPr>
        <w:t>six hours and twenty minutes</w:t>
      </w:r>
      <w:r w:rsidRPr="00275FCA" w:rsidR="002402AB">
        <w:rPr>
          <w:lang w:val="en-GB"/>
        </w:rPr>
        <w:t>)</w:t>
      </w:r>
      <w:r w:rsidRPr="00275FCA" w:rsidR="00CE7D4E">
        <w:rPr>
          <w:lang w:val="en-GB"/>
        </w:rPr>
        <w:t xml:space="preserve"> and after their </w:t>
      </w:r>
      <w:r w:rsidRPr="00275FCA" w:rsidR="008570CA">
        <w:rPr>
          <w:lang w:val="en-GB"/>
        </w:rPr>
        <w:t>removal</w:t>
      </w:r>
      <w:r w:rsidRPr="00275FCA" w:rsidR="00CE7D4E">
        <w:rPr>
          <w:lang w:val="en-GB"/>
        </w:rPr>
        <w:t xml:space="preserve"> from </w:t>
      </w:r>
      <w:r w:rsidRPr="00275FCA" w:rsidR="00F64743">
        <w:rPr>
          <w:lang w:val="en-GB"/>
        </w:rPr>
        <w:t xml:space="preserve">the </w:t>
      </w:r>
      <w:r w:rsidRPr="00275FCA">
        <w:rPr>
          <w:lang w:val="en-GB"/>
        </w:rPr>
        <w:t>detention</w:t>
      </w:r>
      <w:r w:rsidRPr="00275FCA" w:rsidR="00F64743">
        <w:rPr>
          <w:lang w:val="en-GB"/>
        </w:rPr>
        <w:t xml:space="preserve"> centre</w:t>
      </w:r>
      <w:r w:rsidRPr="00275FCA" w:rsidR="00CE7D4E">
        <w:rPr>
          <w:lang w:val="en-GB"/>
        </w:rPr>
        <w:t xml:space="preserve"> until their appearance before the judge</w:t>
      </w:r>
      <w:r w:rsidRPr="00275FCA" w:rsidR="005D2317">
        <w:rPr>
          <w:lang w:val="en-GB"/>
        </w:rPr>
        <w:t xml:space="preserve"> </w:t>
      </w:r>
      <w:r w:rsidRPr="00275FCA" w:rsidR="005D2317">
        <w:rPr>
          <w:lang w:val="en-GB"/>
        </w:rPr>
        <w:sym w:font="Symbol" w:char="F02D"/>
      </w:r>
      <w:r w:rsidRPr="00275FCA" w:rsidR="00CE7D4E">
        <w:rPr>
          <w:lang w:val="en-GB"/>
        </w:rPr>
        <w:t xml:space="preserve"> was </w:t>
      </w:r>
      <w:r w:rsidRPr="00275FCA" w:rsidR="00D83405">
        <w:rPr>
          <w:lang w:val="en-GB"/>
        </w:rPr>
        <w:t>between three days and s</w:t>
      </w:r>
      <w:r w:rsidRPr="00275FCA" w:rsidR="00721F9D">
        <w:rPr>
          <w:lang w:val="en-GB"/>
        </w:rPr>
        <w:t>eventeen</w:t>
      </w:r>
      <w:r w:rsidRPr="00275FCA" w:rsidR="00D83405">
        <w:rPr>
          <w:lang w:val="en-GB"/>
        </w:rPr>
        <w:t xml:space="preserve"> hours and four days</w:t>
      </w:r>
      <w:r w:rsidRPr="00275FCA" w:rsidR="003D15DB">
        <w:rPr>
          <w:lang w:val="en-GB"/>
        </w:rPr>
        <w:t xml:space="preserve"> (see paragraph </w:t>
      </w:r>
      <w:r w:rsidRPr="00275FCA" w:rsidR="003C797D">
        <w:rPr>
          <w:lang w:val="en-GB"/>
        </w:rPr>
        <w:t>12</w:t>
      </w:r>
      <w:r w:rsidRPr="00275FCA" w:rsidR="003D15DB">
        <w:rPr>
          <w:lang w:val="en-GB"/>
        </w:rPr>
        <w:t>)</w:t>
      </w:r>
      <w:r w:rsidRPr="00275FCA" w:rsidR="00CE7D4E">
        <w:rPr>
          <w:lang w:val="en-GB"/>
        </w:rPr>
        <w:t>.</w:t>
      </w:r>
      <w:r w:rsidRPr="00275FCA" w:rsidR="002402AB">
        <w:rPr>
          <w:lang w:val="en-GB"/>
        </w:rPr>
        <w:t xml:space="preserve"> The Court considers, even on the basis of </w:t>
      </w:r>
      <w:r w:rsidRPr="00275FCA">
        <w:rPr>
          <w:lang w:val="en-GB"/>
        </w:rPr>
        <w:t>that limited information</w:t>
      </w:r>
      <w:r w:rsidRPr="00275FCA" w:rsidR="002402AB">
        <w:rPr>
          <w:lang w:val="en-GB"/>
        </w:rPr>
        <w:t>, that the applicants were not brought “promptly” before a judge</w:t>
      </w:r>
      <w:r w:rsidRPr="00275FCA" w:rsidR="00593774">
        <w:rPr>
          <w:lang w:val="en-GB"/>
        </w:rPr>
        <w:t xml:space="preserve"> for the reasons set out below</w:t>
      </w:r>
      <w:r w:rsidRPr="00275FCA" w:rsidR="002402AB">
        <w:rPr>
          <w:lang w:val="en-GB"/>
        </w:rPr>
        <w:t>.</w:t>
      </w:r>
    </w:p>
    <w:p w:rsidRPr="00275FCA" w:rsidR="00CE7D4E" w:rsidP="00275FCA" w:rsidRDefault="008C58BE">
      <w:pPr>
        <w:pStyle w:val="ECHRPara"/>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57</w:t>
      </w:r>
      <w:r w:rsidRPr="00275FCA">
        <w:rPr>
          <w:lang w:val="en-GB"/>
        </w:rPr>
        <w:fldChar w:fldCharType="end"/>
      </w:r>
      <w:r w:rsidRPr="00275FCA">
        <w:rPr>
          <w:lang w:val="en-GB"/>
        </w:rPr>
        <w:t>.  </w:t>
      </w:r>
      <w:r w:rsidRPr="00275FCA" w:rsidR="00A8118B">
        <w:rPr>
          <w:lang w:val="en-GB"/>
        </w:rPr>
        <w:t xml:space="preserve">The Court notes </w:t>
      </w:r>
      <w:r w:rsidRPr="00275FCA" w:rsidR="00882B17">
        <w:rPr>
          <w:lang w:val="en-GB"/>
        </w:rPr>
        <w:t xml:space="preserve">in this connection </w:t>
      </w:r>
      <w:r w:rsidRPr="00275FCA" w:rsidR="00A8118B">
        <w:rPr>
          <w:lang w:val="en-GB"/>
        </w:rPr>
        <w:t xml:space="preserve">that while it has required that the </w:t>
      </w:r>
      <w:r w:rsidRPr="00275FCA" w:rsidR="002402AB">
        <w:t>initial</w:t>
      </w:r>
      <w:r w:rsidRPr="00275FCA" w:rsidR="00A8118B">
        <w:t xml:space="preserve"> review by a judge take place within a “maximum” of four days after arrest (see </w:t>
      </w:r>
      <w:r w:rsidRPr="00275FCA" w:rsidR="00A8118B">
        <w:rPr>
          <w:i/>
          <w:lang w:val="en-GB"/>
        </w:rPr>
        <w:t>McKay</w:t>
      </w:r>
      <w:r w:rsidRPr="00275FCA" w:rsidR="00A8118B">
        <w:rPr>
          <w:lang w:val="en-GB"/>
        </w:rPr>
        <w:t xml:space="preserve">, cited above, § 33, and </w:t>
      </w:r>
      <w:r w:rsidRPr="00275FCA" w:rsidR="00A8118B">
        <w:rPr>
          <w:i/>
          <w:lang w:val="en-GB"/>
        </w:rPr>
        <w:t>Magee and Others v. the United Kingdom</w:t>
      </w:r>
      <w:r w:rsidRPr="00275FCA" w:rsidR="00A8118B">
        <w:rPr>
          <w:lang w:val="en-GB"/>
        </w:rPr>
        <w:t>, nos. 26289/12, 29062/12 and 29891/12, §§77-78, ECHR 2015 (extracts)), this case</w:t>
      </w:r>
      <w:r w:rsidRPr="00275FCA" w:rsidR="00945607">
        <w:rPr>
          <w:lang w:val="en-GB"/>
        </w:rPr>
        <w:t>-</w:t>
      </w:r>
      <w:r w:rsidRPr="00275FCA" w:rsidR="00A8118B">
        <w:rPr>
          <w:lang w:val="en-GB"/>
        </w:rPr>
        <w:t xml:space="preserve">law </w:t>
      </w:r>
      <w:r w:rsidRPr="00275FCA" w:rsidR="00A8118B">
        <w:t>must not be understood</w:t>
      </w:r>
      <w:r w:rsidRPr="00275FCA" w:rsidR="002402AB">
        <w:t xml:space="preserve"> as requiring no justification where the relevant period is less than four days</w:t>
      </w:r>
      <w:r w:rsidRPr="00275FCA" w:rsidR="00A8118B">
        <w:t xml:space="preserve"> (see </w:t>
      </w:r>
      <w:bookmarkStart w:name="File126" w:id="4"/>
      <w:r w:rsidRPr="00275FCA" w:rsidR="00A8118B">
        <w:rPr>
          <w:i/>
          <w:lang w:val="en-GB"/>
        </w:rPr>
        <w:t>Gal</w:t>
      </w:r>
      <w:bookmarkEnd w:id="4"/>
      <w:r w:rsidRPr="00275FCA" w:rsidR="00A8118B">
        <w:rPr>
          <w:i/>
          <w:lang w:val="en-GB"/>
        </w:rPr>
        <w:t xml:space="preserve"> v.</w:t>
      </w:r>
      <w:r w:rsidRPr="00275FCA" w:rsidR="008E3634">
        <w:rPr>
          <w:i/>
          <w:lang w:val="en-GB"/>
        </w:rPr>
        <w:t> </w:t>
      </w:r>
      <w:r w:rsidRPr="00275FCA" w:rsidR="00A8118B">
        <w:rPr>
          <w:i/>
          <w:lang w:val="en-GB"/>
        </w:rPr>
        <w:t>Ukraine</w:t>
      </w:r>
      <w:r w:rsidRPr="00275FCA" w:rsidR="00A8118B">
        <w:rPr>
          <w:lang w:val="en-GB"/>
        </w:rPr>
        <w:t>, no. 6759/11</w:t>
      </w:r>
      <w:r w:rsidRPr="00275FCA" w:rsidR="00A8118B">
        <w:rPr>
          <w:snapToGrid w:val="0"/>
          <w:lang w:val="en-GB"/>
        </w:rPr>
        <w:t>, § 28, 16 April 2015</w:t>
      </w:r>
      <w:r w:rsidRPr="00275FCA" w:rsidR="00A8118B">
        <w:t>). Accordingly, Article 5 §</w:t>
      </w:r>
      <w:r w:rsidRPr="00275FCA" w:rsidR="00E42314">
        <w:t> </w:t>
      </w:r>
      <w:r w:rsidRPr="00275FCA" w:rsidR="00A8118B">
        <w:t xml:space="preserve">3 may still be breached before the </w:t>
      </w:r>
      <w:r w:rsidRPr="00275FCA" w:rsidR="005D2317">
        <w:t xml:space="preserve">end </w:t>
      </w:r>
      <w:r w:rsidRPr="00275FCA" w:rsidR="002C6380">
        <w:t>of the four-day period</w:t>
      </w:r>
      <w:r w:rsidRPr="00275FCA" w:rsidR="003D5402">
        <w:t xml:space="preserve"> in the absence of </w:t>
      </w:r>
      <w:r w:rsidRPr="00275FCA" w:rsidR="005D2317">
        <w:t xml:space="preserve">specific </w:t>
      </w:r>
      <w:r w:rsidRPr="00275FCA" w:rsidR="003D5402">
        <w:t>circumstances justify</w:t>
      </w:r>
      <w:r w:rsidRPr="00275FCA" w:rsidR="005D2317">
        <w:t>ing</w:t>
      </w:r>
      <w:r w:rsidRPr="00275FCA" w:rsidR="003D5402">
        <w:t xml:space="preserve"> detention for such</w:t>
      </w:r>
      <w:r w:rsidRPr="00275FCA" w:rsidR="005D2317">
        <w:t xml:space="preserve"> a</w:t>
      </w:r>
      <w:r w:rsidRPr="00275FCA" w:rsidR="003D5402">
        <w:t xml:space="preserve"> period</w:t>
      </w:r>
      <w:r w:rsidRPr="00275FCA" w:rsidR="002C6380">
        <w:t xml:space="preserve"> </w:t>
      </w:r>
      <w:r w:rsidRPr="00275FCA" w:rsidR="003D5402">
        <w:t xml:space="preserve">of time </w:t>
      </w:r>
      <w:r w:rsidRPr="00275FCA" w:rsidR="00A8118B">
        <w:t xml:space="preserve">(see, for instance, </w:t>
      </w:r>
      <w:r w:rsidRPr="00275FCA" w:rsidR="00A74ABA">
        <w:rPr>
          <w:i/>
          <w:lang w:val="en-GB"/>
        </w:rPr>
        <w:t>Kandzhov v. Bulgaria</w:t>
      </w:r>
      <w:r w:rsidRPr="00275FCA" w:rsidR="00A74ABA">
        <w:rPr>
          <w:lang w:val="en-GB"/>
        </w:rPr>
        <w:t xml:space="preserve">, no. 68294/01, § 66, 6 November 2008 and </w:t>
      </w:r>
      <w:r w:rsidRPr="00275FCA" w:rsidR="00A8118B">
        <w:rPr>
          <w:i/>
          <w:lang w:val="en-GB"/>
        </w:rPr>
        <w:t>Gutsanovi v. Bulgaria</w:t>
      </w:r>
      <w:r w:rsidRPr="00275FCA" w:rsidR="00A8118B">
        <w:rPr>
          <w:lang w:val="en-GB"/>
        </w:rPr>
        <w:t>, no. 34529/10, §§ 158-159, ECHR 2013 (extracts)</w:t>
      </w:r>
      <w:r w:rsidRPr="00275FCA" w:rsidR="008E3634">
        <w:t>).</w:t>
      </w:r>
    </w:p>
    <w:p w:rsidRPr="00275FCA" w:rsidR="00637796" w:rsidP="00275FCA" w:rsidRDefault="00275FCA">
      <w:pPr>
        <w:pStyle w:val="ECHRPara"/>
        <w:rPr>
          <w:lang w:val="en-GB"/>
        </w:rPr>
      </w:pPr>
      <w:fldSimple w:instr=" SEQ level0 \*arabic ">
        <w:r w:rsidRPr="00275FCA">
          <w:rPr>
            <w:noProof/>
          </w:rPr>
          <w:t>58</w:t>
        </w:r>
      </w:fldSimple>
      <w:r w:rsidRPr="00275FCA" w:rsidR="009A75AC">
        <w:t>.  </w:t>
      </w:r>
      <w:r w:rsidRPr="00275FCA" w:rsidR="00CE7D4E">
        <w:rPr>
          <w:lang w:val="en-GB"/>
        </w:rPr>
        <w:t>The Court notes that</w:t>
      </w:r>
      <w:r w:rsidRPr="00275FCA" w:rsidR="009A75AC">
        <w:rPr>
          <w:lang w:val="en-GB"/>
        </w:rPr>
        <w:t xml:space="preserve"> in the present case</w:t>
      </w:r>
      <w:r w:rsidRPr="00275FCA" w:rsidR="002E5754">
        <w:rPr>
          <w:lang w:val="en-GB"/>
        </w:rPr>
        <w:t>,</w:t>
      </w:r>
      <w:r w:rsidRPr="00275FCA" w:rsidR="00CE7D4E">
        <w:rPr>
          <w:lang w:val="en-GB"/>
        </w:rPr>
        <w:t xml:space="preserve"> permission to </w:t>
      </w:r>
      <w:r w:rsidRPr="00275FCA" w:rsidR="00DC3BD1">
        <w:rPr>
          <w:lang w:val="en-GB"/>
        </w:rPr>
        <w:t>extend</w:t>
      </w:r>
      <w:r w:rsidRPr="00275FCA" w:rsidR="00CE7D4E">
        <w:rPr>
          <w:lang w:val="en-GB"/>
        </w:rPr>
        <w:t xml:space="preserve"> the applicants</w:t>
      </w:r>
      <w:r w:rsidRPr="00275FCA">
        <w:rPr>
          <w:lang w:val="en-GB"/>
        </w:rPr>
        <w:t>’</w:t>
      </w:r>
      <w:r w:rsidRPr="00275FCA" w:rsidR="00CE7D4E">
        <w:rPr>
          <w:lang w:val="en-GB"/>
        </w:rPr>
        <w:t xml:space="preserve"> detention until 17 January 2002 was obtained mainly to complete the applicants</w:t>
      </w:r>
      <w:r w:rsidRPr="00275FCA">
        <w:rPr>
          <w:lang w:val="en-GB"/>
        </w:rPr>
        <w:t>’</w:t>
      </w:r>
      <w:r w:rsidRPr="00275FCA" w:rsidR="00CE7D4E">
        <w:rPr>
          <w:lang w:val="en-GB"/>
        </w:rPr>
        <w:t xml:space="preserve"> files (see paragraph </w:t>
      </w:r>
      <w:r w:rsidRPr="00275FCA" w:rsidR="002E5754">
        <w:rPr>
          <w:lang w:val="en-GB"/>
        </w:rPr>
        <w:t>17</w:t>
      </w:r>
      <w:r w:rsidRPr="00275FCA" w:rsidR="00CE7D4E">
        <w:rPr>
          <w:lang w:val="en-GB"/>
        </w:rPr>
        <w:t xml:space="preserve"> above). The </w:t>
      </w:r>
      <w:r w:rsidRPr="00275FCA" w:rsidR="009A75AC">
        <w:rPr>
          <w:lang w:val="en-GB"/>
        </w:rPr>
        <w:t xml:space="preserve">Government </w:t>
      </w:r>
      <w:r w:rsidRPr="00275FCA" w:rsidR="005D2317">
        <w:rPr>
          <w:lang w:val="en-GB"/>
        </w:rPr>
        <w:t xml:space="preserve">did </w:t>
      </w:r>
      <w:r w:rsidRPr="00275FCA" w:rsidR="009A75AC">
        <w:rPr>
          <w:lang w:val="en-GB"/>
        </w:rPr>
        <w:t>not, however,</w:t>
      </w:r>
      <w:r w:rsidRPr="00275FCA" w:rsidR="00CE7D4E">
        <w:rPr>
          <w:lang w:val="en-GB"/>
        </w:rPr>
        <w:t xml:space="preserve"> </w:t>
      </w:r>
      <w:r w:rsidRPr="00275FCA" w:rsidR="009A75AC">
        <w:rPr>
          <w:lang w:val="en-GB"/>
        </w:rPr>
        <w:t xml:space="preserve">provide </w:t>
      </w:r>
      <w:r w:rsidRPr="00275FCA" w:rsidR="00945607">
        <w:rPr>
          <w:lang w:val="en-GB"/>
        </w:rPr>
        <w:t xml:space="preserve">any </w:t>
      </w:r>
      <w:r w:rsidRPr="00275FCA" w:rsidR="00CE7D4E">
        <w:rPr>
          <w:lang w:val="en-GB"/>
        </w:rPr>
        <w:t>information regarding any specific investigatory measures taken during this period</w:t>
      </w:r>
      <w:r w:rsidRPr="00275FCA" w:rsidR="003E0CC1">
        <w:rPr>
          <w:lang w:val="en-GB"/>
        </w:rPr>
        <w:t xml:space="preserve"> that required the applicants</w:t>
      </w:r>
      <w:r w:rsidRPr="00275FCA">
        <w:rPr>
          <w:lang w:val="en-GB"/>
        </w:rPr>
        <w:t>’</w:t>
      </w:r>
      <w:r w:rsidRPr="00275FCA" w:rsidR="003E0CC1">
        <w:rPr>
          <w:lang w:val="en-GB"/>
        </w:rPr>
        <w:t xml:space="preserve"> deprivation of liberty</w:t>
      </w:r>
      <w:r w:rsidRPr="00275FCA" w:rsidR="00CE7D4E">
        <w:rPr>
          <w:lang w:val="en-GB"/>
        </w:rPr>
        <w:t xml:space="preserve">, or present any </w:t>
      </w:r>
      <w:r w:rsidRPr="00275FCA" w:rsidR="00C73FF4">
        <w:rPr>
          <w:lang w:val="en-GB"/>
        </w:rPr>
        <w:t xml:space="preserve">specific </w:t>
      </w:r>
      <w:r w:rsidRPr="00275FCA" w:rsidR="00CE7D4E">
        <w:rPr>
          <w:lang w:val="en-GB"/>
        </w:rPr>
        <w:t>difficulties or exceptional circumstances which would have prevented the authorities from bringing the applicants before a judge much sooner</w:t>
      </w:r>
      <w:r w:rsidRPr="00275FCA" w:rsidR="009A75AC">
        <w:rPr>
          <w:lang w:val="en-GB"/>
        </w:rPr>
        <w:t>, considering in particular the non-complex and non-violent nature of their allegedly criminal act</w:t>
      </w:r>
      <w:r w:rsidRPr="00275FCA" w:rsidR="00CE7D4E">
        <w:rPr>
          <w:lang w:val="en-GB"/>
        </w:rPr>
        <w:t xml:space="preserve"> (see, </w:t>
      </w:r>
      <w:r w:rsidRPr="00275FCA" w:rsidR="00CE7D4E">
        <w:rPr>
          <w:i/>
          <w:lang w:val="en-GB"/>
        </w:rPr>
        <w:t>mutatis mutandis</w:t>
      </w:r>
      <w:r w:rsidRPr="00275FCA" w:rsidR="00CE7D4E">
        <w:rPr>
          <w:lang w:val="en-GB"/>
        </w:rPr>
        <w:t xml:space="preserve">, </w:t>
      </w:r>
      <w:r w:rsidRPr="00275FCA" w:rsidR="00A74ABA">
        <w:rPr>
          <w:i/>
          <w:lang w:val="en-GB"/>
        </w:rPr>
        <w:t>Kandzhov</w:t>
      </w:r>
      <w:r w:rsidRPr="00275FCA" w:rsidR="00A74ABA">
        <w:rPr>
          <w:lang w:val="en-GB"/>
        </w:rPr>
        <w:t xml:space="preserve">, cited above, § 66 and </w:t>
      </w:r>
      <w:r w:rsidRPr="00275FCA" w:rsidR="00A8118B">
        <w:rPr>
          <w:i/>
          <w:lang w:val="en-GB"/>
        </w:rPr>
        <w:t>Gutsanovi</w:t>
      </w:r>
      <w:r w:rsidRPr="00275FCA" w:rsidR="00A8118B">
        <w:rPr>
          <w:lang w:val="en-GB"/>
        </w:rPr>
        <w:t xml:space="preserve">, </w:t>
      </w:r>
      <w:r w:rsidRPr="00275FCA" w:rsidR="00C73FF4">
        <w:rPr>
          <w:lang w:val="en-GB"/>
        </w:rPr>
        <w:t>cited above</w:t>
      </w:r>
      <w:r w:rsidRPr="00275FCA" w:rsidR="00A8118B">
        <w:rPr>
          <w:snapToGrid w:val="0"/>
          <w:lang w:val="en-GB"/>
        </w:rPr>
        <w:t>, §§</w:t>
      </w:r>
      <w:r w:rsidRPr="00275FCA" w:rsidR="00C46573">
        <w:rPr>
          <w:snapToGrid w:val="0"/>
          <w:lang w:val="en-GB"/>
        </w:rPr>
        <w:t> </w:t>
      </w:r>
      <w:r w:rsidRPr="00275FCA" w:rsidR="00A8118B">
        <w:rPr>
          <w:snapToGrid w:val="0"/>
          <w:lang w:val="en-GB"/>
        </w:rPr>
        <w:t>158-159</w:t>
      </w:r>
      <w:r w:rsidRPr="00275FCA" w:rsidR="00A8118B">
        <w:rPr>
          <w:lang w:val="en-GB"/>
        </w:rPr>
        <w:t>).</w:t>
      </w:r>
    </w:p>
    <w:p w:rsidRPr="00275FCA" w:rsidR="00AA235F" w:rsidP="00275FCA" w:rsidRDefault="002C6380">
      <w:pPr>
        <w:pStyle w:val="ECHRPara"/>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59</w:t>
      </w:r>
      <w:r w:rsidRPr="00275FCA">
        <w:rPr>
          <w:lang w:val="en-GB"/>
        </w:rPr>
        <w:fldChar w:fldCharType="end"/>
      </w:r>
      <w:r w:rsidRPr="00275FCA">
        <w:rPr>
          <w:lang w:val="en-GB"/>
        </w:rPr>
        <w:t xml:space="preserve">.  Having regard to the foregoing, </w:t>
      </w:r>
      <w:r w:rsidRPr="00275FCA" w:rsidR="003E0CC1">
        <w:rPr>
          <w:lang w:val="en-GB"/>
        </w:rPr>
        <w:t xml:space="preserve">the Court considers that the applicants were not brought promptly before a judge </w:t>
      </w:r>
      <w:r w:rsidRPr="00275FCA" w:rsidR="00AA235F">
        <w:rPr>
          <w:lang w:val="en-GB"/>
        </w:rPr>
        <w:t>following their arrest</w:t>
      </w:r>
      <w:r w:rsidRPr="00275FCA" w:rsidR="00F64743">
        <w:rPr>
          <w:lang w:val="en-GB"/>
        </w:rPr>
        <w:t xml:space="preserve"> in the particular circumstances of the case</w:t>
      </w:r>
      <w:r w:rsidRPr="00275FCA" w:rsidR="00AA235F">
        <w:rPr>
          <w:lang w:val="en-GB"/>
        </w:rPr>
        <w:t xml:space="preserve">. </w:t>
      </w:r>
      <w:r w:rsidRPr="00275FCA" w:rsidR="00AA235F">
        <w:t>The incompleteness of the custody records</w:t>
      </w:r>
      <w:r w:rsidRPr="00275FCA" w:rsidR="00C46573">
        <w:t xml:space="preserve"> in relation to the exact times of arrest and appearance before a judge</w:t>
      </w:r>
      <w:r w:rsidRPr="00275FCA" w:rsidR="00607467">
        <w:t>, which suggest that most of the applicants were in fact kept in police custody for longer than four days,</w:t>
      </w:r>
      <w:r w:rsidRPr="00275FCA" w:rsidR="00C46573">
        <w:t xml:space="preserve"> must also be taken into consideration in this regard</w:t>
      </w:r>
      <w:r w:rsidRPr="00275FCA" w:rsidR="00AA235F">
        <w:t xml:space="preserve"> (see paragraph </w:t>
      </w:r>
      <w:r w:rsidRPr="00275FCA" w:rsidR="002E5754">
        <w:t>55</w:t>
      </w:r>
      <w:r w:rsidRPr="00275FCA" w:rsidR="00AA235F">
        <w:t xml:space="preserve"> above).</w:t>
      </w:r>
    </w:p>
    <w:p w:rsidRPr="00275FCA" w:rsidR="00721F9D" w:rsidP="00275FCA" w:rsidRDefault="00275FCA">
      <w:pPr>
        <w:pStyle w:val="ECHRPara"/>
        <w:rPr>
          <w:lang w:val="en-GB"/>
        </w:rPr>
      </w:pPr>
      <w:fldSimple w:instr=" SEQ level0 \*arabic ">
        <w:r w:rsidRPr="00275FCA">
          <w:rPr>
            <w:noProof/>
          </w:rPr>
          <w:t>60</w:t>
        </w:r>
      </w:fldSimple>
      <w:r w:rsidRPr="00275FCA" w:rsidR="00AA235F">
        <w:t>.  </w:t>
      </w:r>
      <w:r w:rsidRPr="00275FCA" w:rsidR="003E0CC1">
        <w:rPr>
          <w:lang w:val="en-GB"/>
        </w:rPr>
        <w:t>There has</w:t>
      </w:r>
      <w:r w:rsidRPr="00275FCA" w:rsidR="00AA235F">
        <w:rPr>
          <w:lang w:val="en-GB"/>
        </w:rPr>
        <w:t xml:space="preserve"> accordingly</w:t>
      </w:r>
      <w:r w:rsidRPr="00275FCA" w:rsidR="003E0CC1">
        <w:rPr>
          <w:lang w:val="en-GB"/>
        </w:rPr>
        <w:t xml:space="preserve"> </w:t>
      </w:r>
      <w:r w:rsidRPr="00275FCA" w:rsidR="000125E0">
        <w:rPr>
          <w:lang w:val="en-GB"/>
        </w:rPr>
        <w:t xml:space="preserve">been a </w:t>
      </w:r>
      <w:r w:rsidRPr="00275FCA" w:rsidR="003E0CC1">
        <w:rPr>
          <w:lang w:val="en-GB"/>
        </w:rPr>
        <w:t xml:space="preserve">violation of </w:t>
      </w:r>
      <w:r w:rsidRPr="00275FCA" w:rsidR="000125E0">
        <w:rPr>
          <w:lang w:val="en-GB"/>
        </w:rPr>
        <w:t>Article 5 § 3 of the Convention</w:t>
      </w:r>
      <w:r w:rsidRPr="00275FCA" w:rsidR="008E3634">
        <w:rPr>
          <w:lang w:val="en-GB"/>
        </w:rPr>
        <w:t>.</w:t>
      </w:r>
    </w:p>
    <w:p w:rsidRPr="00275FCA" w:rsidR="006C1A8B" w:rsidP="00275FCA" w:rsidRDefault="007E7FA9">
      <w:pPr>
        <w:pStyle w:val="ECHRHeading3"/>
        <w:rPr>
          <w:lang w:val="en-GB"/>
        </w:rPr>
      </w:pPr>
      <w:r w:rsidRPr="00275FCA">
        <w:rPr>
          <w:lang w:val="en-GB"/>
        </w:rPr>
        <w:t>2</w:t>
      </w:r>
      <w:r w:rsidRPr="00275FCA" w:rsidR="008E3634">
        <w:rPr>
          <w:lang w:val="en-GB"/>
        </w:rPr>
        <w:t>.  </w:t>
      </w:r>
      <w:r w:rsidRPr="00275FCA" w:rsidR="00C37B48">
        <w:rPr>
          <w:lang w:val="en-GB"/>
        </w:rPr>
        <w:t>Article 5 § 4 of the Convention</w:t>
      </w:r>
    </w:p>
    <w:p w:rsidRPr="00275FCA" w:rsidR="00C37B48" w:rsidP="00275FCA" w:rsidRDefault="00C37B48">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61</w:t>
      </w:r>
      <w:r w:rsidRPr="00275FCA">
        <w:rPr>
          <w:lang w:val="en-GB"/>
        </w:rPr>
        <w:fldChar w:fldCharType="end"/>
      </w:r>
      <w:r w:rsidRPr="00275FCA">
        <w:rPr>
          <w:lang w:val="en-GB"/>
        </w:rPr>
        <w:t xml:space="preserve">.  The applicants alleged under Article 5 § 4 of the Convention that there </w:t>
      </w:r>
      <w:r w:rsidRPr="00275FCA" w:rsidR="00C73FF4">
        <w:rPr>
          <w:lang w:val="en-GB"/>
        </w:rPr>
        <w:t xml:space="preserve">had been </w:t>
      </w:r>
      <w:r w:rsidRPr="00275FCA">
        <w:rPr>
          <w:lang w:val="en-GB"/>
        </w:rPr>
        <w:t xml:space="preserve">no effective remedies in domestic law to challenge the lawfulness of their arrest and detention in police custody. They argued in particular that </w:t>
      </w:r>
      <w:r w:rsidRPr="00275FCA" w:rsidR="00F8421F">
        <w:rPr>
          <w:lang w:val="en-GB"/>
        </w:rPr>
        <w:t>they had had no access to legal assistance</w:t>
      </w:r>
      <w:r w:rsidRPr="00275FCA" w:rsidR="00F81268">
        <w:rPr>
          <w:lang w:val="en-GB"/>
        </w:rPr>
        <w:t xml:space="preserve"> or to their families</w:t>
      </w:r>
      <w:r w:rsidRPr="00275FCA" w:rsidR="00F8421F">
        <w:rPr>
          <w:lang w:val="en-GB"/>
        </w:rPr>
        <w:t xml:space="preserve"> during their detention in police custody, </w:t>
      </w:r>
      <w:r w:rsidRPr="00275FCA" w:rsidR="00510971">
        <w:rPr>
          <w:lang w:val="en-GB"/>
        </w:rPr>
        <w:t xml:space="preserve">and </w:t>
      </w:r>
      <w:r w:rsidRPr="00275FCA" w:rsidR="00F8421F">
        <w:rPr>
          <w:lang w:val="en-GB"/>
        </w:rPr>
        <w:t xml:space="preserve">that </w:t>
      </w:r>
      <w:r w:rsidRPr="00275FCA" w:rsidR="00C73FF4">
        <w:rPr>
          <w:lang w:val="en-GB"/>
        </w:rPr>
        <w:t xml:space="preserve">the Istanbul State Security Court had used formulaic reasoning to dismiss </w:t>
      </w:r>
      <w:r w:rsidRPr="00275FCA">
        <w:rPr>
          <w:lang w:val="en-GB"/>
        </w:rPr>
        <w:t xml:space="preserve">their objections </w:t>
      </w:r>
      <w:r w:rsidRPr="00275FCA" w:rsidR="00510971">
        <w:rPr>
          <w:lang w:val="en-GB"/>
        </w:rPr>
        <w:t>and</w:t>
      </w:r>
      <w:r w:rsidRPr="00275FCA" w:rsidR="00F8421F">
        <w:rPr>
          <w:lang w:val="en-GB"/>
        </w:rPr>
        <w:t xml:space="preserve"> had delivered its decisions without hearing</w:t>
      </w:r>
      <w:r w:rsidRPr="00275FCA" w:rsidR="00D64723">
        <w:rPr>
          <w:lang w:val="en-GB"/>
        </w:rPr>
        <w:t xml:space="preserve"> them</w:t>
      </w:r>
      <w:r w:rsidRPr="00275FCA">
        <w:rPr>
          <w:lang w:val="en-GB"/>
        </w:rPr>
        <w:t xml:space="preserve"> in person.</w:t>
      </w:r>
    </w:p>
    <w:p w:rsidRPr="00275FCA" w:rsidR="00021E0F" w:rsidP="00275FCA" w:rsidRDefault="00021E0F">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62</w:t>
      </w:r>
      <w:r w:rsidRPr="00275FCA">
        <w:rPr>
          <w:lang w:val="en-GB"/>
        </w:rPr>
        <w:fldChar w:fldCharType="end"/>
      </w:r>
      <w:r w:rsidRPr="00275FCA">
        <w:rPr>
          <w:lang w:val="en-GB"/>
        </w:rPr>
        <w:t>.  The Government did not submit any observations on this complaint other than those regarding the remedy provided under Law no. 466</w:t>
      </w:r>
      <w:r w:rsidRPr="00275FCA" w:rsidR="00510971">
        <w:rPr>
          <w:lang w:val="en-GB"/>
        </w:rPr>
        <w:t xml:space="preserve"> (see paragraph 41 above)</w:t>
      </w:r>
      <w:r w:rsidRPr="00275FCA">
        <w:rPr>
          <w:lang w:val="en-GB"/>
        </w:rPr>
        <w:t>.</w:t>
      </w:r>
    </w:p>
    <w:p w:rsidRPr="00275FCA" w:rsidR="004D4504" w:rsidP="00275FCA" w:rsidRDefault="00021E0F">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63</w:t>
      </w:r>
      <w:r w:rsidRPr="00275FCA">
        <w:rPr>
          <w:lang w:val="en-GB"/>
        </w:rPr>
        <w:fldChar w:fldCharType="end"/>
      </w:r>
      <w:r w:rsidRPr="00275FCA">
        <w:rPr>
          <w:lang w:val="en-GB"/>
        </w:rPr>
        <w:t>.  </w:t>
      </w:r>
      <w:r w:rsidRPr="00275FCA" w:rsidR="004D4504">
        <w:rPr>
          <w:lang w:val="en-GB"/>
        </w:rPr>
        <w:t xml:space="preserve">The Court reiterates that the purpose of Article </w:t>
      </w:r>
      <w:bookmarkStart w:name="HIT20" w:id="5"/>
      <w:bookmarkEnd w:id="5"/>
      <w:r w:rsidRPr="00275FCA" w:rsidR="004D4504">
        <w:rPr>
          <w:lang w:val="en-GB"/>
        </w:rPr>
        <w:t xml:space="preserve">5 § </w:t>
      </w:r>
      <w:bookmarkStart w:name="HIT21" w:id="6"/>
      <w:bookmarkEnd w:id="6"/>
      <w:r w:rsidRPr="00275FCA" w:rsidR="004D4504">
        <w:rPr>
          <w:lang w:val="en-GB"/>
        </w:rPr>
        <w:t xml:space="preserve">4 is to assure to persons who are arrested and detained the right to </w:t>
      </w:r>
      <w:r w:rsidRPr="00275FCA" w:rsidR="001F7CA8">
        <w:rPr>
          <w:lang w:val="en-GB"/>
        </w:rPr>
        <w:t xml:space="preserve">actively seek </w:t>
      </w:r>
      <w:r w:rsidRPr="00275FCA" w:rsidR="004D4504">
        <w:rPr>
          <w:lang w:val="en-GB"/>
        </w:rPr>
        <w:t xml:space="preserve">judicial supervision of the lawfulness of the measure to which they are thereby subjected (see, </w:t>
      </w:r>
      <w:r w:rsidRPr="00275FCA" w:rsidR="004D4504">
        <w:rPr>
          <w:i/>
          <w:lang w:val="en-GB"/>
        </w:rPr>
        <w:t>mutatis mutandis</w:t>
      </w:r>
      <w:r w:rsidRPr="00275FCA" w:rsidR="004D4504">
        <w:rPr>
          <w:lang w:val="en-GB"/>
        </w:rPr>
        <w:t xml:space="preserve">, </w:t>
      </w:r>
      <w:r w:rsidRPr="00275FCA" w:rsidR="000A4562">
        <w:rPr>
          <w:i/>
          <w:lang w:val="en-GB"/>
        </w:rPr>
        <w:t>De Wilde</w:t>
      </w:r>
      <w:r w:rsidRPr="00275FCA" w:rsidR="000A4562">
        <w:rPr>
          <w:i/>
          <w:iCs/>
          <w:lang w:val="en-GB"/>
        </w:rPr>
        <w:t>,</w:t>
      </w:r>
      <w:r w:rsidRPr="00275FCA" w:rsidR="000A4562">
        <w:rPr>
          <w:i/>
          <w:lang w:val="en-GB"/>
        </w:rPr>
        <w:t xml:space="preserve"> Ooms and Versyp v. Belgium</w:t>
      </w:r>
      <w:r w:rsidRPr="00275FCA" w:rsidR="009F3C89">
        <w:rPr>
          <w:lang w:val="en-GB"/>
        </w:rPr>
        <w:t>, 18 </w:t>
      </w:r>
      <w:r w:rsidRPr="00275FCA" w:rsidR="000A4562">
        <w:rPr>
          <w:lang w:val="en-GB"/>
        </w:rPr>
        <w:t xml:space="preserve">June 1971, § 76, Series A no. 12). </w:t>
      </w:r>
      <w:r w:rsidRPr="00275FCA" w:rsidR="004D4504">
        <w:rPr>
          <w:lang w:val="en-GB"/>
        </w:rPr>
        <w:t>A remedy must be made available during a person</w:t>
      </w:r>
      <w:r w:rsidRPr="00275FCA" w:rsidR="00275FCA">
        <w:rPr>
          <w:lang w:val="en-GB"/>
        </w:rPr>
        <w:t>’</w:t>
      </w:r>
      <w:r w:rsidRPr="00275FCA" w:rsidR="004D4504">
        <w:rPr>
          <w:lang w:val="en-GB"/>
        </w:rPr>
        <w:t xml:space="preserve">s detention to allow that person to obtain speedy judicial review of the lawfulness of the detention, capable of leading, where appropriate, to his or her release. The existence of the remedy required by Article 5 § 4 must be sufficiently certain, not only in theory but also in practice, failing which it will lack the accessibility and effectiveness required for the purposes of that provision (see, </w:t>
      </w:r>
      <w:r w:rsidRPr="00275FCA" w:rsidR="004D4504">
        <w:rPr>
          <w:i/>
          <w:lang w:val="en-GB"/>
        </w:rPr>
        <w:t>mutatis mutandis</w:t>
      </w:r>
      <w:r w:rsidRPr="00275FCA" w:rsidR="004D4504">
        <w:rPr>
          <w:lang w:val="en-GB"/>
        </w:rPr>
        <w:t>,</w:t>
      </w:r>
      <w:r w:rsidRPr="00275FCA" w:rsidR="000A4562">
        <w:rPr>
          <w:lang w:val="en-GB"/>
        </w:rPr>
        <w:t xml:space="preserve"> </w:t>
      </w:r>
      <w:r w:rsidRPr="00275FCA" w:rsidR="000A4562">
        <w:rPr>
          <w:i/>
          <w:lang w:val="en-GB"/>
        </w:rPr>
        <w:t>Vachev v.</w:t>
      </w:r>
      <w:r w:rsidRPr="00275FCA" w:rsidR="008E3634">
        <w:rPr>
          <w:i/>
          <w:lang w:val="en-GB"/>
        </w:rPr>
        <w:t> </w:t>
      </w:r>
      <w:r w:rsidRPr="00275FCA" w:rsidR="000A4562">
        <w:rPr>
          <w:i/>
          <w:lang w:val="en-GB"/>
        </w:rPr>
        <w:t>Bulgaria</w:t>
      </w:r>
      <w:r w:rsidRPr="00275FCA" w:rsidR="000A4562">
        <w:rPr>
          <w:iCs/>
          <w:lang w:val="en-GB"/>
        </w:rPr>
        <w:t xml:space="preserve">, </w:t>
      </w:r>
      <w:r w:rsidRPr="00275FCA" w:rsidR="000A4562">
        <w:rPr>
          <w:lang w:val="en-GB"/>
        </w:rPr>
        <w:t>no. 42987/98, § 71, ECHR 2004</w:t>
      </w:r>
      <w:r w:rsidRPr="00275FCA" w:rsidR="000A4562">
        <w:rPr>
          <w:lang w:val="en-GB"/>
        </w:rPr>
        <w:noBreakHyphen/>
        <w:t xml:space="preserve">VIII (extracts), and </w:t>
      </w:r>
      <w:r w:rsidRPr="00275FCA" w:rsidR="000A4562">
        <w:rPr>
          <w:i/>
          <w:szCs w:val="24"/>
          <w:lang w:val="en-GB"/>
        </w:rPr>
        <w:t>Stoichkov v.</w:t>
      </w:r>
      <w:r w:rsidRPr="00275FCA" w:rsidR="008E3634">
        <w:rPr>
          <w:i/>
          <w:szCs w:val="24"/>
          <w:lang w:val="en-GB"/>
        </w:rPr>
        <w:t> </w:t>
      </w:r>
      <w:r w:rsidRPr="00275FCA" w:rsidR="000A4562">
        <w:rPr>
          <w:i/>
          <w:szCs w:val="24"/>
          <w:lang w:val="en-GB"/>
        </w:rPr>
        <w:t>Bulgaria</w:t>
      </w:r>
      <w:r w:rsidRPr="00275FCA" w:rsidR="000A4562">
        <w:rPr>
          <w:szCs w:val="24"/>
          <w:lang w:val="en-GB"/>
        </w:rPr>
        <w:t xml:space="preserve">, no. 9808/02, § 66, 24 March 2005). </w:t>
      </w:r>
      <w:r w:rsidRPr="00275FCA" w:rsidR="004D4504">
        <w:rPr>
          <w:lang w:val="en-GB"/>
        </w:rPr>
        <w:t xml:space="preserve">The accessibility of a remedy implies, </w:t>
      </w:r>
      <w:r w:rsidRPr="00275FCA" w:rsidR="004D4504">
        <w:rPr>
          <w:i/>
          <w:lang w:val="en-GB"/>
        </w:rPr>
        <w:t>inter alia</w:t>
      </w:r>
      <w:r w:rsidRPr="00275FCA" w:rsidR="004D4504">
        <w:rPr>
          <w:lang w:val="en-GB"/>
        </w:rPr>
        <w:t xml:space="preserve">, that the circumstances voluntarily created by the authorities must be such as to </w:t>
      </w:r>
      <w:r w:rsidRPr="00275FCA" w:rsidR="00B47630">
        <w:rPr>
          <w:lang w:val="en-GB"/>
        </w:rPr>
        <w:t xml:space="preserve">give </w:t>
      </w:r>
      <w:r w:rsidRPr="00275FCA" w:rsidR="004D4504">
        <w:rPr>
          <w:lang w:val="en-GB"/>
        </w:rPr>
        <w:t xml:space="preserve">applicants a realistic </w:t>
      </w:r>
      <w:r w:rsidRPr="00275FCA" w:rsidR="00B47630">
        <w:rPr>
          <w:lang w:val="en-GB"/>
        </w:rPr>
        <w:t>opportunity to use</w:t>
      </w:r>
      <w:r w:rsidRPr="00275FCA" w:rsidR="004D4504">
        <w:rPr>
          <w:lang w:val="en-GB"/>
        </w:rPr>
        <w:t xml:space="preserve"> the remedy (see, </w:t>
      </w:r>
      <w:r w:rsidRPr="00275FCA" w:rsidR="004D4504">
        <w:rPr>
          <w:i/>
          <w:lang w:val="en-GB"/>
        </w:rPr>
        <w:t>mutatis mutandis</w:t>
      </w:r>
      <w:r w:rsidRPr="00275FCA" w:rsidR="004D4504">
        <w:rPr>
          <w:lang w:val="en-GB"/>
        </w:rPr>
        <w:t xml:space="preserve">, </w:t>
      </w:r>
      <w:r w:rsidRPr="00275FCA" w:rsidR="000A4562">
        <w:rPr>
          <w:i/>
          <w:lang w:val="en-GB"/>
        </w:rPr>
        <w:t>Čonka v. Belgium</w:t>
      </w:r>
      <w:r w:rsidRPr="00275FCA" w:rsidR="000A4562">
        <w:rPr>
          <w:lang w:val="en-GB"/>
        </w:rPr>
        <w:t>, no. 51564/99, §§</w:t>
      </w:r>
      <w:r w:rsidRPr="00275FCA" w:rsidR="009F3C89">
        <w:rPr>
          <w:lang w:val="en-GB"/>
        </w:rPr>
        <w:t> </w:t>
      </w:r>
      <w:r w:rsidRPr="00275FCA" w:rsidR="000A4562">
        <w:rPr>
          <w:lang w:val="en-GB"/>
        </w:rPr>
        <w:t>44 and 55, ECHR 2002</w:t>
      </w:r>
      <w:r w:rsidRPr="00275FCA" w:rsidR="000A4562">
        <w:rPr>
          <w:lang w:val="en-GB"/>
        </w:rPr>
        <w:noBreakHyphen/>
        <w:t>I).</w:t>
      </w:r>
    </w:p>
    <w:p w:rsidRPr="00275FCA" w:rsidR="008E3634" w:rsidP="00275FCA" w:rsidRDefault="000F5F89">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64</w:t>
      </w:r>
      <w:r w:rsidRPr="00275FCA">
        <w:rPr>
          <w:lang w:val="en-GB"/>
        </w:rPr>
        <w:fldChar w:fldCharType="end"/>
      </w:r>
      <w:r w:rsidRPr="00275FCA">
        <w:rPr>
          <w:lang w:val="en-GB"/>
        </w:rPr>
        <w:t>.  </w:t>
      </w:r>
      <w:r w:rsidRPr="00275FCA" w:rsidR="00F1620E">
        <w:rPr>
          <w:lang w:val="en-GB"/>
        </w:rPr>
        <w:t xml:space="preserve">Turning first to the objection raised by the Government, the Court notes that </w:t>
      </w:r>
      <w:r w:rsidRPr="00275FCA" w:rsidR="00021E0F">
        <w:rPr>
          <w:lang w:val="en-GB"/>
        </w:rPr>
        <w:t xml:space="preserve">it has already examined and rejected similar arguments in previous cases </w:t>
      </w:r>
      <w:r w:rsidRPr="00275FCA" w:rsidR="00DF35ED">
        <w:rPr>
          <w:lang w:val="en-GB"/>
        </w:rPr>
        <w:t xml:space="preserve">where it held </w:t>
      </w:r>
      <w:r w:rsidRPr="00275FCA" w:rsidR="00D64723">
        <w:rPr>
          <w:lang w:val="en-GB"/>
        </w:rPr>
        <w:t xml:space="preserve">that </w:t>
      </w:r>
      <w:r w:rsidRPr="00275FCA" w:rsidR="00FD2C39">
        <w:rPr>
          <w:lang w:val="en-GB"/>
        </w:rPr>
        <w:t xml:space="preserve">a </w:t>
      </w:r>
      <w:r w:rsidRPr="00275FCA" w:rsidR="00D64723">
        <w:rPr>
          <w:lang w:val="en-GB"/>
        </w:rPr>
        <w:t>claim</w:t>
      </w:r>
      <w:r w:rsidRPr="00275FCA" w:rsidR="004D4504">
        <w:rPr>
          <w:lang w:val="en-GB"/>
        </w:rPr>
        <w:t xml:space="preserve"> under Law </w:t>
      </w:r>
      <w:r w:rsidRPr="00275FCA" w:rsidR="00FD2C39">
        <w:rPr>
          <w:lang w:val="en-GB"/>
        </w:rPr>
        <w:t xml:space="preserve">no. 466 could not constitute proceedings </w:t>
      </w:r>
      <w:r w:rsidRPr="00275FCA" w:rsidR="00DF35ED">
        <w:rPr>
          <w:lang w:val="en-GB"/>
        </w:rPr>
        <w:t>of the type required by Article </w:t>
      </w:r>
      <w:r w:rsidRPr="00275FCA" w:rsidR="00FD2C39">
        <w:rPr>
          <w:lang w:val="en-GB"/>
        </w:rPr>
        <w:t>5 § 4</w:t>
      </w:r>
      <w:r w:rsidRPr="00275FCA" w:rsidR="00DF35ED">
        <w:rPr>
          <w:lang w:val="en-GB"/>
        </w:rPr>
        <w:t xml:space="preserve"> on account of the lack of jurisdiction in such proceedings </w:t>
      </w:r>
      <w:r w:rsidRPr="00275FCA" w:rsidR="00021E0F">
        <w:rPr>
          <w:lang w:val="en-GB"/>
        </w:rPr>
        <w:t xml:space="preserve">to order release if the detention </w:t>
      </w:r>
      <w:r w:rsidRPr="00275FCA" w:rsidR="004D4504">
        <w:rPr>
          <w:lang w:val="en-GB"/>
        </w:rPr>
        <w:t>wa</w:t>
      </w:r>
      <w:r w:rsidRPr="00275FCA" w:rsidR="00021E0F">
        <w:rPr>
          <w:lang w:val="en-GB"/>
        </w:rPr>
        <w:t xml:space="preserve">s </w:t>
      </w:r>
      <w:r w:rsidRPr="00275FCA" w:rsidR="004D4504">
        <w:rPr>
          <w:lang w:val="en-GB"/>
        </w:rPr>
        <w:t xml:space="preserve">found to be </w:t>
      </w:r>
      <w:r w:rsidRPr="00275FCA" w:rsidR="00021E0F">
        <w:rPr>
          <w:lang w:val="en-GB"/>
        </w:rPr>
        <w:t>unlawful or to award reparation for a br</w:t>
      </w:r>
      <w:r w:rsidRPr="00275FCA" w:rsidR="00EA2D13">
        <w:rPr>
          <w:lang w:val="en-GB"/>
        </w:rPr>
        <w:t xml:space="preserve">each of the Convention </w:t>
      </w:r>
      <w:r w:rsidRPr="00275FCA" w:rsidR="00021E0F">
        <w:rPr>
          <w:lang w:val="en-GB"/>
        </w:rPr>
        <w:t>if the detention complie</w:t>
      </w:r>
      <w:r w:rsidRPr="00275FCA" w:rsidR="004D4504">
        <w:rPr>
          <w:lang w:val="en-GB"/>
        </w:rPr>
        <w:t>d</w:t>
      </w:r>
      <w:r w:rsidRPr="00275FCA" w:rsidR="00021E0F">
        <w:rPr>
          <w:lang w:val="en-GB"/>
        </w:rPr>
        <w:t xml:space="preserve"> with domestic law</w:t>
      </w:r>
      <w:r w:rsidRPr="00275FCA" w:rsidR="00AD09A8">
        <w:rPr>
          <w:lang w:val="en-GB"/>
        </w:rPr>
        <w:t xml:space="preserve"> as in the instant case</w:t>
      </w:r>
      <w:r w:rsidRPr="00275FCA" w:rsidR="00CB60C1">
        <w:rPr>
          <w:lang w:val="en-GB"/>
        </w:rPr>
        <w:t xml:space="preserve"> (see, for instance, </w:t>
      </w:r>
      <w:r w:rsidRPr="00275FCA" w:rsidR="00CB60C1">
        <w:rPr>
          <w:i/>
          <w:lang w:val="en-GB"/>
        </w:rPr>
        <w:t>Öcalan v. Turkey</w:t>
      </w:r>
      <w:r w:rsidRPr="00275FCA" w:rsidR="000A4562">
        <w:rPr>
          <w:lang w:val="en-GB"/>
        </w:rPr>
        <w:t xml:space="preserve"> [GC], no. 46221/99, §</w:t>
      </w:r>
      <w:r w:rsidRPr="00275FCA" w:rsidR="009F3C89">
        <w:rPr>
          <w:lang w:val="en-GB"/>
        </w:rPr>
        <w:t> </w:t>
      </w:r>
      <w:r w:rsidRPr="00275FCA" w:rsidR="000A4562">
        <w:rPr>
          <w:lang w:val="en-GB"/>
        </w:rPr>
        <w:t>71, ECHR </w:t>
      </w:r>
      <w:r w:rsidRPr="00275FCA" w:rsidR="00CB60C1">
        <w:rPr>
          <w:lang w:val="en-GB"/>
        </w:rPr>
        <w:t>2005</w:t>
      </w:r>
      <w:r w:rsidRPr="00275FCA" w:rsidR="00CB60C1">
        <w:rPr>
          <w:lang w:val="en-GB"/>
        </w:rPr>
        <w:noBreakHyphen/>
        <w:t xml:space="preserve">IV, and </w:t>
      </w:r>
      <w:r w:rsidRPr="00275FCA" w:rsidR="00CB60C1">
        <w:rPr>
          <w:i/>
          <w:lang w:val="en-GB"/>
        </w:rPr>
        <w:t>Süleyman Erdem</w:t>
      </w:r>
      <w:r w:rsidRPr="00275FCA" w:rsidR="00CB60C1">
        <w:rPr>
          <w:lang w:val="en-GB"/>
        </w:rPr>
        <w:t>, cited above, § 33)</w:t>
      </w:r>
      <w:r w:rsidRPr="00275FCA" w:rsidR="00021E0F">
        <w:rPr>
          <w:lang w:val="en-GB"/>
        </w:rPr>
        <w:t>.</w:t>
      </w:r>
      <w:r w:rsidRPr="00275FCA" w:rsidR="00F45E5F">
        <w:rPr>
          <w:lang w:val="en-GB"/>
        </w:rPr>
        <w:t xml:space="preserve"> T</w:t>
      </w:r>
      <w:r w:rsidRPr="00275FCA" w:rsidR="00021E0F">
        <w:rPr>
          <w:lang w:val="en-GB"/>
        </w:rPr>
        <w:t>he Court finds no particular circumstances in the instant case which would require it to depart from such findings.</w:t>
      </w:r>
    </w:p>
    <w:p w:rsidRPr="00275FCA" w:rsidR="008B1042" w:rsidP="00275FCA" w:rsidRDefault="00F45E5F">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65</w:t>
      </w:r>
      <w:r w:rsidRPr="00275FCA">
        <w:rPr>
          <w:lang w:val="en-GB"/>
        </w:rPr>
        <w:fldChar w:fldCharType="end"/>
      </w:r>
      <w:r w:rsidRPr="00275FCA">
        <w:rPr>
          <w:lang w:val="en-GB"/>
        </w:rPr>
        <w:t>.  </w:t>
      </w:r>
      <w:r w:rsidRPr="00275FCA" w:rsidR="008B1042">
        <w:rPr>
          <w:lang w:val="en-GB"/>
        </w:rPr>
        <w:t>The Court secondly notes that under Article 128</w:t>
      </w:r>
      <w:r w:rsidRPr="00275FCA" w:rsidR="00806A39">
        <w:rPr>
          <w:lang w:val="en-GB"/>
        </w:rPr>
        <w:t xml:space="preserve"> </w:t>
      </w:r>
      <w:r w:rsidRPr="00275FCA" w:rsidR="00806A39">
        <w:rPr>
          <w:rFonts w:cstheme="minorHAnsi"/>
          <w:lang w:val="en-GB"/>
        </w:rPr>
        <w:t>§</w:t>
      </w:r>
      <w:r w:rsidRPr="00275FCA" w:rsidR="008B1042">
        <w:rPr>
          <w:lang w:val="en-GB"/>
        </w:rPr>
        <w:t xml:space="preserve"> 4 of the Code of Criminal Procedure in force at the material time, the applicants were entitled</w:t>
      </w:r>
      <w:r w:rsidRPr="00275FCA" w:rsidR="00EA2D13">
        <w:rPr>
          <w:lang w:val="en-GB"/>
        </w:rPr>
        <w:t xml:space="preserve">, as soon as they were taken into </w:t>
      </w:r>
      <w:r w:rsidRPr="00275FCA" w:rsidR="00806A39">
        <w:rPr>
          <w:lang w:val="en-GB"/>
        </w:rPr>
        <w:t>custody</w:t>
      </w:r>
      <w:r w:rsidRPr="00275FCA" w:rsidR="00EA2D13">
        <w:rPr>
          <w:lang w:val="en-GB"/>
        </w:rPr>
        <w:t>,</w:t>
      </w:r>
      <w:r w:rsidRPr="00275FCA" w:rsidR="008B1042">
        <w:rPr>
          <w:lang w:val="en-GB"/>
        </w:rPr>
        <w:t xml:space="preserve"> to apply to a judge to challenge the lawfulness of th</w:t>
      </w:r>
      <w:r w:rsidRPr="00275FCA" w:rsidR="00EA2D13">
        <w:rPr>
          <w:lang w:val="en-GB"/>
        </w:rPr>
        <w:t>at</w:t>
      </w:r>
      <w:r w:rsidRPr="00275FCA" w:rsidR="008B1042">
        <w:rPr>
          <w:lang w:val="en-GB"/>
        </w:rPr>
        <w:t xml:space="preserve"> detention or of the decision of the</w:t>
      </w:r>
      <w:r w:rsidRPr="00275FCA" w:rsidR="00EA2D13">
        <w:rPr>
          <w:lang w:val="en-GB"/>
        </w:rPr>
        <w:t xml:space="preserve"> public prosecutor to extend it</w:t>
      </w:r>
      <w:r w:rsidRPr="00275FCA" w:rsidR="008B1042">
        <w:rPr>
          <w:lang w:val="en-GB"/>
        </w:rPr>
        <w:t xml:space="preserve">, and the judge had to </w:t>
      </w:r>
      <w:r w:rsidRPr="00275FCA" w:rsidR="00945607">
        <w:rPr>
          <w:lang w:val="en-GB"/>
        </w:rPr>
        <w:t>decide</w:t>
      </w:r>
      <w:r w:rsidRPr="00275FCA" w:rsidR="008B1042">
        <w:rPr>
          <w:lang w:val="en-GB"/>
        </w:rPr>
        <w:t xml:space="preserve"> the matter within twenty-four hours of</w:t>
      </w:r>
      <w:r w:rsidRPr="00275FCA" w:rsidR="00806A39">
        <w:rPr>
          <w:lang w:val="en-GB"/>
        </w:rPr>
        <w:t xml:space="preserve"> an examination based on</w:t>
      </w:r>
      <w:r w:rsidRPr="00275FCA" w:rsidR="008B1042">
        <w:rPr>
          <w:lang w:val="en-GB"/>
        </w:rPr>
        <w:t xml:space="preserve"> the case file (see paragraph</w:t>
      </w:r>
      <w:r w:rsidRPr="00275FCA" w:rsidR="008B7B07">
        <w:rPr>
          <w:lang w:val="en-GB"/>
        </w:rPr>
        <w:t> </w:t>
      </w:r>
      <w:r w:rsidRPr="00275FCA" w:rsidR="00706B6E">
        <w:rPr>
          <w:lang w:val="en-GB"/>
        </w:rPr>
        <w:t>33</w:t>
      </w:r>
      <w:r w:rsidRPr="00275FCA" w:rsidR="008B1042">
        <w:rPr>
          <w:lang w:val="en-GB"/>
        </w:rPr>
        <w:t xml:space="preserve"> above). The Court does not, however, consider that the relevant provision constituted an effective remedy on the facts of the case</w:t>
      </w:r>
      <w:r w:rsidRPr="00275FCA" w:rsidR="00A17115">
        <w:rPr>
          <w:lang w:val="en-GB"/>
        </w:rPr>
        <w:t xml:space="preserve"> before it</w:t>
      </w:r>
      <w:r w:rsidRPr="00275FCA" w:rsidR="008B1042">
        <w:rPr>
          <w:lang w:val="en-GB"/>
        </w:rPr>
        <w:t>.</w:t>
      </w:r>
    </w:p>
    <w:p w:rsidRPr="00275FCA" w:rsidR="00F55809" w:rsidP="00275FCA" w:rsidRDefault="008B1042">
      <w:pPr>
        <w:pStyle w:val="ECHRPara"/>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66</w:t>
      </w:r>
      <w:r w:rsidRPr="00275FCA">
        <w:rPr>
          <w:lang w:val="en-GB"/>
        </w:rPr>
        <w:fldChar w:fldCharType="end"/>
      </w:r>
      <w:r w:rsidRPr="00275FCA">
        <w:rPr>
          <w:lang w:val="en-GB"/>
        </w:rPr>
        <w:t>.  </w:t>
      </w:r>
      <w:r w:rsidRPr="00275FCA" w:rsidR="00E9206F">
        <w:rPr>
          <w:lang w:val="en-GB"/>
        </w:rPr>
        <w:t>It</w:t>
      </w:r>
      <w:r w:rsidRPr="00275FCA">
        <w:rPr>
          <w:lang w:val="en-GB"/>
        </w:rPr>
        <w:t xml:space="preserve"> observes </w:t>
      </w:r>
      <w:r w:rsidRPr="00275FCA" w:rsidR="00363350">
        <w:rPr>
          <w:lang w:val="en-GB"/>
        </w:rPr>
        <w:t>in this connection</w:t>
      </w:r>
      <w:r w:rsidRPr="00275FCA" w:rsidR="00A17115">
        <w:rPr>
          <w:lang w:val="en-GB"/>
        </w:rPr>
        <w:t>, first and foremost,</w:t>
      </w:r>
      <w:r w:rsidRPr="00275FCA">
        <w:rPr>
          <w:lang w:val="en-GB"/>
        </w:rPr>
        <w:t xml:space="preserve"> that the applicants were not </w:t>
      </w:r>
      <w:r w:rsidRPr="00275FCA" w:rsidR="004D29B1">
        <w:rPr>
          <w:lang w:val="en-GB"/>
        </w:rPr>
        <w:t>given a realistic opportunity by the authorities to</w:t>
      </w:r>
      <w:r w:rsidRPr="00275FCA">
        <w:rPr>
          <w:lang w:val="en-GB"/>
        </w:rPr>
        <w:t xml:space="preserve"> </w:t>
      </w:r>
      <w:r w:rsidRPr="00275FCA" w:rsidR="004D29B1">
        <w:rPr>
          <w:lang w:val="en-GB"/>
        </w:rPr>
        <w:t xml:space="preserve">use </w:t>
      </w:r>
      <w:r w:rsidRPr="00275FCA">
        <w:rPr>
          <w:lang w:val="en-GB"/>
        </w:rPr>
        <w:t>the remedy in question, bearing in mind that most of them were illiterate with a limited understanding of Turkish</w:t>
      </w:r>
      <w:r w:rsidRPr="00275FCA" w:rsidR="00F55809">
        <w:rPr>
          <w:lang w:val="en-GB"/>
        </w:rPr>
        <w:t xml:space="preserve"> and no legal training</w:t>
      </w:r>
      <w:r w:rsidRPr="00275FCA">
        <w:rPr>
          <w:lang w:val="en-GB"/>
        </w:rPr>
        <w:t xml:space="preserve">, </w:t>
      </w:r>
      <w:r w:rsidRPr="00275FCA" w:rsidR="004D29B1">
        <w:rPr>
          <w:lang w:val="en-GB"/>
        </w:rPr>
        <w:t xml:space="preserve">and </w:t>
      </w:r>
      <w:r w:rsidRPr="00275FCA">
        <w:rPr>
          <w:lang w:val="en-GB"/>
        </w:rPr>
        <w:t xml:space="preserve">were </w:t>
      </w:r>
      <w:r w:rsidRPr="00275FCA" w:rsidR="004D29B1">
        <w:rPr>
          <w:lang w:val="en-GB"/>
        </w:rPr>
        <w:t xml:space="preserve">also </w:t>
      </w:r>
      <w:r w:rsidRPr="00275FCA">
        <w:rPr>
          <w:lang w:val="en-GB"/>
        </w:rPr>
        <w:t>denied any access to their lawyers or families during the period of their detention</w:t>
      </w:r>
      <w:r w:rsidRPr="00275FCA" w:rsidR="00F55809">
        <w:rPr>
          <w:lang w:val="en-GB"/>
        </w:rPr>
        <w:t xml:space="preserve">. </w:t>
      </w:r>
      <w:r w:rsidRPr="00275FCA" w:rsidR="006D5A93">
        <w:rPr>
          <w:lang w:val="en-GB"/>
        </w:rPr>
        <w:t>In the Court</w:t>
      </w:r>
      <w:r w:rsidRPr="00275FCA" w:rsidR="00275FCA">
        <w:rPr>
          <w:lang w:val="en-GB"/>
        </w:rPr>
        <w:t>’</w:t>
      </w:r>
      <w:r w:rsidRPr="00275FCA" w:rsidR="006D5A93">
        <w:rPr>
          <w:lang w:val="en-GB"/>
        </w:rPr>
        <w:t xml:space="preserve">s opinion, the </w:t>
      </w:r>
      <w:r w:rsidRPr="00275FCA" w:rsidR="00542BBB">
        <w:rPr>
          <w:lang w:val="en-GB"/>
        </w:rPr>
        <w:t xml:space="preserve">specific </w:t>
      </w:r>
      <w:r w:rsidRPr="00275FCA" w:rsidR="006D5A93">
        <w:t xml:space="preserve">circumstances the applicants found themselves </w:t>
      </w:r>
      <w:r w:rsidRPr="00275FCA" w:rsidR="004D29B1">
        <w:t xml:space="preserve">in </w:t>
      </w:r>
      <w:r w:rsidRPr="00275FCA" w:rsidR="006D5A93">
        <w:t xml:space="preserve">while </w:t>
      </w:r>
      <w:r w:rsidRPr="00275FCA" w:rsidR="004D29B1">
        <w:t xml:space="preserve">in </w:t>
      </w:r>
      <w:r w:rsidRPr="00275FCA" w:rsidR="00F80BFD">
        <w:t xml:space="preserve">incommunicado detention </w:t>
      </w:r>
      <w:r w:rsidRPr="00275FCA" w:rsidR="006D5A93">
        <w:t>in police custody</w:t>
      </w:r>
      <w:r w:rsidRPr="00275FCA" w:rsidR="006D5A93">
        <w:rPr>
          <w:lang w:val="en-GB"/>
        </w:rPr>
        <w:t xml:space="preserve"> </w:t>
      </w:r>
      <w:r w:rsidRPr="00275FCA" w:rsidR="006D5A93">
        <w:t xml:space="preserve">made it very difficult for them to have effective recourse to the remedy under Article 128 of the </w:t>
      </w:r>
      <w:r w:rsidRPr="00275FCA" w:rsidR="00510E60">
        <w:t xml:space="preserve">former </w:t>
      </w:r>
      <w:r w:rsidRPr="00275FCA" w:rsidR="006D5A93">
        <w:t>Code of Criminal Procedure</w:t>
      </w:r>
      <w:r w:rsidRPr="00275FCA" w:rsidR="00E9206F">
        <w:t xml:space="preserve"> (see, </w:t>
      </w:r>
      <w:r w:rsidRPr="00275FCA" w:rsidR="00E9206F">
        <w:rPr>
          <w:i/>
        </w:rPr>
        <w:t>mutatis mutandis</w:t>
      </w:r>
      <w:r w:rsidRPr="00275FCA" w:rsidR="00E9206F">
        <w:t xml:space="preserve">, </w:t>
      </w:r>
      <w:r w:rsidRPr="00275FCA" w:rsidR="00E9206F">
        <w:rPr>
          <w:i/>
          <w:lang w:val="en-GB"/>
        </w:rPr>
        <w:t>Öcalan</w:t>
      </w:r>
      <w:r w:rsidRPr="00275FCA" w:rsidR="000A4562">
        <w:rPr>
          <w:lang w:val="en-GB"/>
        </w:rPr>
        <w:t xml:space="preserve"> [GC]</w:t>
      </w:r>
      <w:r w:rsidRPr="00275FCA" w:rsidR="00E9206F">
        <w:rPr>
          <w:lang w:val="en-GB"/>
        </w:rPr>
        <w:t>, cited above, § 70</w:t>
      </w:r>
      <w:r w:rsidRPr="00275FCA" w:rsidR="00E9206F">
        <w:t>)</w:t>
      </w:r>
      <w:r w:rsidRPr="00275FCA" w:rsidR="006D5A93">
        <w:t>.</w:t>
      </w:r>
    </w:p>
    <w:p w:rsidRPr="00275FCA" w:rsidR="00B17A95" w:rsidP="00275FCA" w:rsidRDefault="008B1042">
      <w:pPr>
        <w:pStyle w:val="ECHRPara"/>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67</w:t>
      </w:r>
      <w:r w:rsidRPr="00275FCA">
        <w:rPr>
          <w:lang w:val="en-GB"/>
        </w:rPr>
        <w:fldChar w:fldCharType="end"/>
      </w:r>
      <w:r w:rsidRPr="00275FCA">
        <w:rPr>
          <w:lang w:val="en-GB"/>
        </w:rPr>
        <w:t>.  </w:t>
      </w:r>
      <w:r w:rsidRPr="00275FCA" w:rsidR="00363350">
        <w:rPr>
          <w:lang w:val="en-GB"/>
        </w:rPr>
        <w:t xml:space="preserve">The Court </w:t>
      </w:r>
      <w:r w:rsidRPr="00275FCA" w:rsidR="001855F9">
        <w:rPr>
          <w:lang w:val="en-GB"/>
        </w:rPr>
        <w:t xml:space="preserve">also </w:t>
      </w:r>
      <w:r w:rsidRPr="00275FCA" w:rsidR="00363350">
        <w:rPr>
          <w:lang w:val="en-GB"/>
        </w:rPr>
        <w:t>notes that it has already found in similar circumstances that the remedy which existed in theory under Article 128 of the former Code of Criminal Procedure was not effective in practice</w:t>
      </w:r>
      <w:r w:rsidRPr="00275FCA" w:rsidR="002C5045">
        <w:rPr>
          <w:lang w:val="en-GB"/>
        </w:rPr>
        <w:t xml:space="preserve">, since </w:t>
      </w:r>
      <w:r w:rsidRPr="00275FCA" w:rsidR="002C5045">
        <w:t xml:space="preserve">it offered little prospect of success and did not </w:t>
      </w:r>
      <w:r w:rsidRPr="00275FCA" w:rsidR="006B3248">
        <w:t>comply with the procedural guarantees required under Article 5 § 4</w:t>
      </w:r>
      <w:r w:rsidRPr="00275FCA" w:rsidR="002C5045">
        <w:t xml:space="preserve"> </w:t>
      </w:r>
      <w:r w:rsidRPr="00275FCA" w:rsidR="00F55809">
        <w:rPr>
          <w:lang w:val="en-GB"/>
        </w:rPr>
        <w:t xml:space="preserve">(see, for example, </w:t>
      </w:r>
      <w:r w:rsidRPr="00275FCA" w:rsidR="00F55809">
        <w:rPr>
          <w:i/>
          <w:lang w:val="en-GB"/>
        </w:rPr>
        <w:t>Öcalan</w:t>
      </w:r>
      <w:r w:rsidRPr="00275FCA" w:rsidR="000A4562">
        <w:rPr>
          <w:lang w:val="en-GB"/>
        </w:rPr>
        <w:t xml:space="preserve"> [GC]</w:t>
      </w:r>
      <w:r w:rsidRPr="00275FCA" w:rsidR="00F55809">
        <w:rPr>
          <w:lang w:val="en-GB"/>
        </w:rPr>
        <w:t xml:space="preserve">, cited above, §§ 66-71; </w:t>
      </w:r>
      <w:r w:rsidRPr="00275FCA" w:rsidR="00F55809">
        <w:rPr>
          <w:i/>
          <w:lang w:val="en-GB"/>
        </w:rPr>
        <w:t>Maçin v. Turkey</w:t>
      </w:r>
      <w:r w:rsidRPr="00275FCA" w:rsidR="00363350">
        <w:rPr>
          <w:lang w:val="en-GB"/>
        </w:rPr>
        <w:t>, no. </w:t>
      </w:r>
      <w:r w:rsidRPr="00275FCA" w:rsidR="00EE6AD9">
        <w:rPr>
          <w:lang w:val="en-GB"/>
        </w:rPr>
        <w:t>52083/99, §</w:t>
      </w:r>
      <w:r w:rsidRPr="00275FCA" w:rsidR="000A4562">
        <w:rPr>
          <w:lang w:val="en-GB"/>
        </w:rPr>
        <w:t>§ 30</w:t>
      </w:r>
      <w:r w:rsidRPr="00275FCA" w:rsidR="000A4562">
        <w:rPr>
          <w:lang w:val="en-GB"/>
        </w:rPr>
        <w:noBreakHyphen/>
      </w:r>
      <w:r w:rsidRPr="00275FCA" w:rsidR="00EE6AD9">
        <w:rPr>
          <w:lang w:val="en-GB"/>
        </w:rPr>
        <w:t>33, 4 </w:t>
      </w:r>
      <w:r w:rsidRPr="00275FCA" w:rsidR="00F55809">
        <w:rPr>
          <w:lang w:val="en-GB"/>
        </w:rPr>
        <w:t xml:space="preserve">May 2006; and </w:t>
      </w:r>
      <w:r w:rsidRPr="00275FCA" w:rsidR="00F55809">
        <w:rPr>
          <w:i/>
          <w:lang w:val="en-GB"/>
        </w:rPr>
        <w:t>İpek and Others v. Turkey</w:t>
      </w:r>
      <w:r w:rsidRPr="00275FCA" w:rsidR="00C41581">
        <w:rPr>
          <w:lang w:val="en-GB"/>
        </w:rPr>
        <w:t>, nos. </w:t>
      </w:r>
      <w:r w:rsidRPr="00275FCA" w:rsidR="00F55809">
        <w:rPr>
          <w:lang w:val="en-GB"/>
        </w:rPr>
        <w:t>17019/02 and 30070/02, § 41, 3</w:t>
      </w:r>
      <w:r w:rsidRPr="00275FCA" w:rsidR="008E3634">
        <w:rPr>
          <w:lang w:val="en-GB"/>
        </w:rPr>
        <w:t> </w:t>
      </w:r>
      <w:r w:rsidRPr="00275FCA" w:rsidR="00F55809">
        <w:rPr>
          <w:lang w:val="en-GB"/>
        </w:rPr>
        <w:t>February 2009 and the cases cited therein)</w:t>
      </w:r>
      <w:r w:rsidRPr="00275FCA" w:rsidR="00F02F9D">
        <w:rPr>
          <w:lang w:val="en-GB"/>
        </w:rPr>
        <w:t xml:space="preserve">. </w:t>
      </w:r>
      <w:r w:rsidRPr="00275FCA" w:rsidR="00945607">
        <w:t>In the absence of any arguments by the Government to the contrary,</w:t>
      </w:r>
      <w:r w:rsidRPr="00275FCA" w:rsidR="00945607">
        <w:rPr>
          <w:lang w:val="en-GB"/>
        </w:rPr>
        <w:t xml:space="preserve"> t</w:t>
      </w:r>
      <w:r w:rsidRPr="00275FCA" w:rsidR="00F02F9D">
        <w:rPr>
          <w:lang w:val="en-GB"/>
        </w:rPr>
        <w:t xml:space="preserve">he Court sees no reason to </w:t>
      </w:r>
      <w:r w:rsidRPr="00275FCA" w:rsidR="00F02F9D">
        <w:t xml:space="preserve">depart from its findings in those cases. </w:t>
      </w:r>
      <w:r w:rsidRPr="00275FCA" w:rsidR="00B47630">
        <w:rPr>
          <w:lang w:val="en-GB"/>
        </w:rPr>
        <w:t>It follows that</w:t>
      </w:r>
      <w:r w:rsidRPr="00275FCA" w:rsidR="00E00815">
        <w:rPr>
          <w:lang w:val="en-GB"/>
        </w:rPr>
        <w:t xml:space="preserve">, even in the case of the applicants who had managed to </w:t>
      </w:r>
      <w:r w:rsidRPr="00275FCA" w:rsidR="00945607">
        <w:rPr>
          <w:lang w:val="en-GB"/>
        </w:rPr>
        <w:t>file</w:t>
      </w:r>
      <w:r w:rsidRPr="00275FCA" w:rsidR="00B47630">
        <w:rPr>
          <w:lang w:val="en-GB"/>
        </w:rPr>
        <w:t xml:space="preserve"> objections concerning</w:t>
      </w:r>
      <w:r w:rsidRPr="00275FCA" w:rsidR="00E00815">
        <w:rPr>
          <w:lang w:val="en-GB"/>
        </w:rPr>
        <w:t xml:space="preserve"> their detention despite the difficulties noted </w:t>
      </w:r>
      <w:r w:rsidRPr="00275FCA" w:rsidR="004845FF">
        <w:rPr>
          <w:lang w:val="en-GB"/>
        </w:rPr>
        <w:t>above</w:t>
      </w:r>
      <w:r w:rsidRPr="00275FCA" w:rsidR="00EE6AD9">
        <w:rPr>
          <w:lang w:val="en-GB"/>
        </w:rPr>
        <w:t>, the proceedings under Article </w:t>
      </w:r>
      <w:r w:rsidRPr="00275FCA" w:rsidR="00E00815">
        <w:rPr>
          <w:lang w:val="en-GB"/>
        </w:rPr>
        <w:t xml:space="preserve">128 of the former Code of Criminal Procedure did not provide an effective remedy satisfying the requirements of Article 5 § 4 of the Convention. </w:t>
      </w:r>
      <w:r w:rsidRPr="00275FCA" w:rsidR="00363350">
        <w:rPr>
          <w:lang w:val="en-GB"/>
        </w:rPr>
        <w:t xml:space="preserve">The Court finds it particularly striking that when examining the objections raised by </w:t>
      </w:r>
      <w:r w:rsidRPr="00275FCA" w:rsidR="00F80BFD">
        <w:rPr>
          <w:lang w:val="en-GB"/>
        </w:rPr>
        <w:t>the relevant</w:t>
      </w:r>
      <w:r w:rsidRPr="00275FCA" w:rsidR="00363350">
        <w:rPr>
          <w:lang w:val="en-GB"/>
        </w:rPr>
        <w:t xml:space="preserve"> applicants against their detention, the judge at the </w:t>
      </w:r>
      <w:r w:rsidRPr="00275FCA" w:rsidR="00363350">
        <w:t>Istanbul State Security Court did not even verify whe</w:t>
      </w:r>
      <w:r w:rsidRPr="00275FCA" w:rsidR="00A17115">
        <w:t xml:space="preserve">ther </w:t>
      </w:r>
      <w:r w:rsidRPr="00275FCA" w:rsidR="004845FF">
        <w:t xml:space="preserve">or not </w:t>
      </w:r>
      <w:r w:rsidRPr="00275FCA" w:rsidR="0035544F">
        <w:t>they</w:t>
      </w:r>
      <w:r w:rsidRPr="00275FCA" w:rsidR="00A17115">
        <w:t xml:space="preserve"> were </w:t>
      </w:r>
      <w:r w:rsidRPr="00275FCA" w:rsidR="0035544F">
        <w:t xml:space="preserve">in </w:t>
      </w:r>
      <w:r w:rsidRPr="00275FCA" w:rsidR="00A17115">
        <w:t xml:space="preserve">police custody, </w:t>
      </w:r>
      <w:r w:rsidRPr="00275FCA" w:rsidR="00C94686">
        <w:t xml:space="preserve">which reinforces the conclusion </w:t>
      </w:r>
      <w:r w:rsidRPr="00275FCA" w:rsidR="00E00815">
        <w:t>about the ineffectiveness of this remedy on the facts of the instant case</w:t>
      </w:r>
      <w:r w:rsidRPr="00275FCA" w:rsidR="00A17115">
        <w:t xml:space="preserve"> (see the judge</w:t>
      </w:r>
      <w:r w:rsidRPr="00275FCA" w:rsidR="00275FCA">
        <w:t>’</w:t>
      </w:r>
      <w:r w:rsidRPr="00275FCA" w:rsidR="00A17115">
        <w:t xml:space="preserve">s decision in paragraph </w:t>
      </w:r>
      <w:r w:rsidRPr="00275FCA" w:rsidR="00433395">
        <w:t>15</w:t>
      </w:r>
      <w:r w:rsidRPr="00275FCA" w:rsidR="00A17115">
        <w:t xml:space="preserve"> above)</w:t>
      </w:r>
      <w:r w:rsidRPr="00275FCA" w:rsidR="00E00815">
        <w:t>.</w:t>
      </w:r>
    </w:p>
    <w:p w:rsidRPr="00275FCA" w:rsidR="000F5F89" w:rsidP="00275FCA" w:rsidRDefault="00275FCA">
      <w:pPr>
        <w:pStyle w:val="ECHRPara"/>
        <w:rPr>
          <w:lang w:val="en-GB"/>
        </w:rPr>
      </w:pPr>
      <w:fldSimple w:instr=" SEQ level0 \*arabic ">
        <w:r w:rsidRPr="00275FCA">
          <w:rPr>
            <w:noProof/>
          </w:rPr>
          <w:t>68</w:t>
        </w:r>
      </w:fldSimple>
      <w:r w:rsidRPr="00275FCA" w:rsidR="000F5F89">
        <w:t>.  </w:t>
      </w:r>
      <w:r w:rsidRPr="00275FCA" w:rsidR="000F5F89">
        <w:rPr>
          <w:lang w:val="en-GB"/>
        </w:rPr>
        <w:t>The Court acknowledges that no issue arises</w:t>
      </w:r>
      <w:r w:rsidRPr="00275FCA" w:rsidR="0045498F">
        <w:rPr>
          <w:lang w:val="en-GB"/>
        </w:rPr>
        <w:t xml:space="preserve"> with regard to the right to a speedy judicial review</w:t>
      </w:r>
      <w:r w:rsidRPr="00275FCA" w:rsidR="000F5F89">
        <w:rPr>
          <w:lang w:val="en-GB"/>
        </w:rPr>
        <w:t xml:space="preserve"> </w:t>
      </w:r>
      <w:r w:rsidRPr="00275FCA" w:rsidR="0045498F">
        <w:t xml:space="preserve">of the lawfulness of detention </w:t>
      </w:r>
      <w:r w:rsidRPr="00275FCA" w:rsidR="000F5F89">
        <w:t>under Article 5 §</w:t>
      </w:r>
      <w:r w:rsidRPr="00275FCA" w:rsidR="009F3C89">
        <w:t> </w:t>
      </w:r>
      <w:r w:rsidRPr="00275FCA" w:rsidR="000F5F89">
        <w:t xml:space="preserve">4 of the Convention </w:t>
      </w:r>
      <w:r w:rsidRPr="00275FCA" w:rsidR="000F5F89">
        <w:rPr>
          <w:lang w:val="en-GB"/>
        </w:rPr>
        <w:t xml:space="preserve">where a detainee is released </w:t>
      </w:r>
      <w:r w:rsidRPr="00275FCA" w:rsidR="000F5F89">
        <w:t xml:space="preserve">before any </w:t>
      </w:r>
      <w:r w:rsidRPr="00275FCA" w:rsidR="0045498F">
        <w:t>speedy</w:t>
      </w:r>
      <w:r w:rsidRPr="00275FCA" w:rsidR="000F5F89">
        <w:t xml:space="preserve"> review could have taken place (see, for instance, </w:t>
      </w:r>
      <w:r w:rsidRPr="00275FCA" w:rsidR="000F5F89">
        <w:rPr>
          <w:i/>
          <w:iCs/>
        </w:rPr>
        <w:t>Fox, Campbell and Hartley v. the United Kingdom</w:t>
      </w:r>
      <w:r w:rsidRPr="00275FCA" w:rsidR="003910A7">
        <w:t>, 30 August </w:t>
      </w:r>
      <w:r w:rsidRPr="00275FCA" w:rsidR="000F5F89">
        <w:t xml:space="preserve">1990, § 45, Series A no. 182; </w:t>
      </w:r>
      <w:r w:rsidRPr="00275FCA" w:rsidR="000F5F89">
        <w:rPr>
          <w:i/>
          <w:iCs/>
        </w:rPr>
        <w:t xml:space="preserve">Slivenko v. Latvia </w:t>
      </w:r>
      <w:r w:rsidRPr="00275FCA" w:rsidR="003910A7">
        <w:t>[GC], no. </w:t>
      </w:r>
      <w:r w:rsidRPr="00275FCA" w:rsidR="000F5F89">
        <w:t>48321/99, § 159, ECHR 2003</w:t>
      </w:r>
      <w:r w:rsidRPr="00275FCA" w:rsidR="000F5F89">
        <w:noBreakHyphen/>
        <w:t xml:space="preserve">X; and </w:t>
      </w:r>
      <w:r w:rsidRPr="00275FCA" w:rsidR="000F5F89">
        <w:rPr>
          <w:i/>
          <w:iCs/>
        </w:rPr>
        <w:t>M.B. and Others v. Turkey</w:t>
      </w:r>
      <w:r w:rsidRPr="00275FCA" w:rsidR="003910A7">
        <w:t>, no. </w:t>
      </w:r>
      <w:r w:rsidRPr="00275FCA" w:rsidR="000F5F89">
        <w:t>36009/08, § 45, 15 June 2010). Moreover, it reiterates that a period of up to four days before first appearance before a judge may be compatible with the requirements of Article 5 § 3 (see paragraph 57 above). Nevertheless, t</w:t>
      </w:r>
      <w:r w:rsidRPr="00275FCA" w:rsidR="000F5F89">
        <w:rPr>
          <w:lang w:val="en-GB"/>
        </w:rPr>
        <w:t xml:space="preserve">he wording of Article 5 § 4 indicates that it becomes operative immediately after arrest or detention and is applicable to “[e]veryone who is deprived of his liberty” (see </w:t>
      </w:r>
      <w:r w:rsidRPr="00275FCA" w:rsidR="000F5F89">
        <w:rPr>
          <w:i/>
          <w:iCs/>
          <w:lang w:val="en-GB"/>
        </w:rPr>
        <w:t>Petkov and Profirov</w:t>
      </w:r>
      <w:r w:rsidRPr="00275FCA" w:rsidR="000F5F89">
        <w:rPr>
          <w:lang w:val="en-GB"/>
        </w:rPr>
        <w:t xml:space="preserve"> </w:t>
      </w:r>
      <w:r w:rsidRPr="00275FCA" w:rsidR="000F5F89">
        <w:rPr>
          <w:i/>
          <w:iCs/>
          <w:lang w:val="en-GB"/>
        </w:rPr>
        <w:t>v. Bulgaria</w:t>
      </w:r>
      <w:r w:rsidRPr="00275FCA" w:rsidR="000F5F89">
        <w:rPr>
          <w:lang w:val="en-GB"/>
        </w:rPr>
        <w:t>, nos. 50027/08 and 50781/09, § 67, 24 June 2014)</w:t>
      </w:r>
      <w:r w:rsidRPr="00275FCA" w:rsidR="0045498F">
        <w:rPr>
          <w:lang w:val="en-GB"/>
        </w:rPr>
        <w:t>.</w:t>
      </w:r>
      <w:r w:rsidRPr="00275FCA" w:rsidR="000F5F89">
        <w:rPr>
          <w:lang w:val="en-GB"/>
        </w:rPr>
        <w:t xml:space="preserve"> </w:t>
      </w:r>
      <w:r w:rsidRPr="00275FCA" w:rsidR="0045498F">
        <w:rPr>
          <w:lang w:val="en-GB"/>
        </w:rPr>
        <w:t>T</w:t>
      </w:r>
      <w:r w:rsidRPr="00275FCA" w:rsidR="000F5F89">
        <w:rPr>
          <w:lang w:val="en-GB"/>
        </w:rPr>
        <w:t xml:space="preserve">he right to “take proceedings” thus arises at that stage, with the consequence that the denial of the right to </w:t>
      </w:r>
      <w:r w:rsidRPr="00275FCA" w:rsidR="000F5F89">
        <w:rPr>
          <w:i/>
          <w:lang w:val="en-GB"/>
        </w:rPr>
        <w:t xml:space="preserve">institute </w:t>
      </w:r>
      <w:r w:rsidRPr="00275FCA" w:rsidR="000F5F89">
        <w:rPr>
          <w:lang w:val="en-GB"/>
        </w:rPr>
        <w:t xml:space="preserve">such proceedings – subject to reasonable practical considerations – will raise an issue under Article 5 § 4, all the more so when such a denial is in breach of domestic law. Thus, in the case of </w:t>
      </w:r>
      <w:r w:rsidRPr="00275FCA" w:rsidR="000F5F89">
        <w:rPr>
          <w:i/>
          <w:iCs/>
          <w:lang w:val="en-GB"/>
        </w:rPr>
        <w:t>Petkov and Profirov</w:t>
      </w:r>
      <w:r w:rsidRPr="00275FCA" w:rsidR="000F5F89">
        <w:rPr>
          <w:lang w:val="en-GB"/>
        </w:rPr>
        <w:t>, the Court held that Article 5 § 4 required the provision of a judicial remedy to the applicants, who were detained in police custody for less than twenty-four hours, to enable them to challenge their detention and obtain release (cited above, §§ 64-71).</w:t>
      </w:r>
    </w:p>
    <w:p w:rsidRPr="00275FCA" w:rsidR="000F5F89" w:rsidP="00275FCA" w:rsidRDefault="00275FCA">
      <w:pPr>
        <w:pStyle w:val="ECHRPara"/>
        <w:rPr>
          <w:lang w:val="en-GB"/>
        </w:rPr>
      </w:pPr>
      <w:fldSimple w:instr=" SEQ level0 \*arabic ">
        <w:r w:rsidRPr="00275FCA">
          <w:rPr>
            <w:noProof/>
          </w:rPr>
          <w:t>69</w:t>
        </w:r>
      </w:fldSimple>
      <w:r w:rsidRPr="00275FCA" w:rsidR="000F5F89">
        <w:t xml:space="preserve">.  In the present case, while the applicants were released by a judge at the Istanbul State Security Court </w:t>
      </w:r>
      <w:r w:rsidRPr="00275FCA" w:rsidR="00684F0B">
        <w:t>after</w:t>
      </w:r>
      <w:r w:rsidRPr="00275FCA" w:rsidR="000F5F89">
        <w:t xml:space="preserve"> approximately four days</w:t>
      </w:r>
      <w:r w:rsidRPr="00275FCA">
        <w:t>’</w:t>
      </w:r>
      <w:r w:rsidRPr="00275FCA" w:rsidR="00684F0B">
        <w:t xml:space="preserve"> detention</w:t>
      </w:r>
      <w:r w:rsidRPr="00275FCA" w:rsidR="000F5F89">
        <w:t xml:space="preserve"> following the automatic review of their detention within the meaning of Article 5 § 3, during that four day period they were practically denied access to a remedy to challenge the lawfulness of their detention for the reasons explained above which, in the Court</w:t>
      </w:r>
      <w:r w:rsidRPr="00275FCA">
        <w:t>’</w:t>
      </w:r>
      <w:r w:rsidRPr="00275FCA" w:rsidR="000F5F89">
        <w:t>s opinion, contravenes not only the relevant requirements of Turkish law</w:t>
      </w:r>
      <w:r w:rsidRPr="00275FCA" w:rsidR="000F5F89">
        <w:rPr>
          <w:lang w:val="en-GB"/>
        </w:rPr>
        <w:t xml:space="preserve"> but also goes against the object and purpose of Article 5 § 4.</w:t>
      </w:r>
    </w:p>
    <w:p w:rsidRPr="00275FCA" w:rsidR="00F90FAB" w:rsidP="00275FCA" w:rsidRDefault="00291CAA">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70</w:t>
      </w:r>
      <w:r w:rsidRPr="00275FCA">
        <w:rPr>
          <w:lang w:val="en-GB"/>
        </w:rPr>
        <w:fldChar w:fldCharType="end"/>
      </w:r>
      <w:r w:rsidRPr="00275FCA">
        <w:rPr>
          <w:lang w:val="en-GB"/>
        </w:rPr>
        <w:t>.  </w:t>
      </w:r>
      <w:r w:rsidRPr="00275FCA" w:rsidR="005C2A8B">
        <w:rPr>
          <w:lang w:val="en-GB"/>
        </w:rPr>
        <w:t>Having regard to the foregoing, the Court dismisses the Government</w:t>
      </w:r>
      <w:r w:rsidRPr="00275FCA" w:rsidR="00275FCA">
        <w:rPr>
          <w:lang w:val="en-GB"/>
        </w:rPr>
        <w:t>’</w:t>
      </w:r>
      <w:r w:rsidRPr="00275FCA" w:rsidR="005C2A8B">
        <w:rPr>
          <w:lang w:val="en-GB"/>
        </w:rPr>
        <w:t>s preliminary objection under this head and finds that there has been a violation of Article 5 § 4 of the Convention.</w:t>
      </w:r>
    </w:p>
    <w:p w:rsidRPr="00275FCA" w:rsidR="00852754" w:rsidP="00275FCA" w:rsidRDefault="007E7FA9">
      <w:pPr>
        <w:pStyle w:val="ECHRHeading3"/>
        <w:rPr>
          <w:lang w:val="en-GB"/>
        </w:rPr>
      </w:pPr>
      <w:r w:rsidRPr="00275FCA">
        <w:rPr>
          <w:lang w:val="en-GB"/>
        </w:rPr>
        <w:t>3</w:t>
      </w:r>
      <w:r w:rsidRPr="00275FCA" w:rsidR="008E3634">
        <w:rPr>
          <w:lang w:val="en-GB"/>
        </w:rPr>
        <w:t>.  </w:t>
      </w:r>
      <w:r w:rsidRPr="00275FCA" w:rsidR="00852754">
        <w:rPr>
          <w:lang w:val="en-GB"/>
        </w:rPr>
        <w:t>Article 5 § 5 of the Convention</w:t>
      </w:r>
    </w:p>
    <w:p w:rsidRPr="00275FCA" w:rsidR="00852754"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71</w:t>
      </w:r>
      <w:r w:rsidRPr="00275FCA">
        <w:rPr>
          <w:lang w:val="en-GB"/>
        </w:rPr>
        <w:fldChar w:fldCharType="end"/>
      </w:r>
      <w:r w:rsidRPr="00275FCA">
        <w:rPr>
          <w:lang w:val="en-GB"/>
        </w:rPr>
        <w:t xml:space="preserve">.  The applicants complained under Article 5 § 5 </w:t>
      </w:r>
      <w:r w:rsidRPr="00275FCA" w:rsidR="0035544F">
        <w:rPr>
          <w:lang w:val="en-GB"/>
        </w:rPr>
        <w:t xml:space="preserve">of the Convention </w:t>
      </w:r>
      <w:r w:rsidRPr="00275FCA">
        <w:rPr>
          <w:lang w:val="en-GB"/>
        </w:rPr>
        <w:t xml:space="preserve">that they had not had a right to compensation in respect of the alleged violation of </w:t>
      </w:r>
      <w:r w:rsidRPr="00275FCA" w:rsidR="0045486A">
        <w:rPr>
          <w:lang w:val="en-GB"/>
        </w:rPr>
        <w:t>their</w:t>
      </w:r>
      <w:r w:rsidRPr="00275FCA" w:rsidR="008C500E">
        <w:rPr>
          <w:lang w:val="en-GB"/>
        </w:rPr>
        <w:t xml:space="preserve"> rights under Article 5</w:t>
      </w:r>
      <w:r w:rsidRPr="00275FCA">
        <w:rPr>
          <w:lang w:val="en-GB"/>
        </w:rPr>
        <w:t>.</w:t>
      </w:r>
    </w:p>
    <w:p w:rsidRPr="00275FCA" w:rsidR="00852754"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72</w:t>
      </w:r>
      <w:r w:rsidRPr="00275FCA">
        <w:rPr>
          <w:lang w:val="en-GB"/>
        </w:rPr>
        <w:fldChar w:fldCharType="end"/>
      </w:r>
      <w:r w:rsidRPr="00275FCA">
        <w:rPr>
          <w:lang w:val="en-GB"/>
        </w:rPr>
        <w:t>.  The Government did not submit any specific observations under this head</w:t>
      </w:r>
      <w:r w:rsidRPr="00275FCA" w:rsidR="004845FF">
        <w:rPr>
          <w:lang w:val="en-GB"/>
        </w:rPr>
        <w:t xml:space="preserve">, </w:t>
      </w:r>
      <w:r w:rsidRPr="00275FCA">
        <w:rPr>
          <w:lang w:val="en-GB"/>
        </w:rPr>
        <w:t xml:space="preserve">save for those mentioned above (see paragraph </w:t>
      </w:r>
      <w:r w:rsidRPr="00275FCA" w:rsidR="00B21B6E">
        <w:rPr>
          <w:lang w:val="en-GB"/>
        </w:rPr>
        <w:t>41</w:t>
      </w:r>
      <w:r w:rsidRPr="00275FCA">
        <w:rPr>
          <w:lang w:val="en-GB"/>
        </w:rPr>
        <w:t>).</w:t>
      </w:r>
    </w:p>
    <w:p w:rsidRPr="00275FCA" w:rsidR="00852754" w:rsidP="00275FCA" w:rsidRDefault="00852754">
      <w:pPr>
        <w:pStyle w:val="ECHRPara"/>
        <w:tabs>
          <w:tab w:val="left" w:pos="6521"/>
        </w:tabs>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73</w:t>
      </w:r>
      <w:r w:rsidRPr="00275FCA">
        <w:rPr>
          <w:lang w:val="en-GB"/>
        </w:rPr>
        <w:fldChar w:fldCharType="end"/>
      </w:r>
      <w:r w:rsidRPr="00275FCA">
        <w:rPr>
          <w:lang w:val="en-GB"/>
        </w:rPr>
        <w:t xml:space="preserve">.  The Court reiterates that Article 5 § 5 is complied with where it is possible to apply for compensation in respect of a deprivation of liberty effected in conditions contrary to paragraphs 1, 2, 3 or 4 (see </w:t>
      </w:r>
      <w:r w:rsidRPr="00275FCA">
        <w:rPr>
          <w:i/>
          <w:lang w:val="en-GB"/>
        </w:rPr>
        <w:t>Elğay</w:t>
      </w:r>
      <w:r w:rsidRPr="00275FCA">
        <w:rPr>
          <w:lang w:val="en-GB"/>
        </w:rPr>
        <w:t>,</w:t>
      </w:r>
      <w:r w:rsidRPr="00275FCA" w:rsidR="00F45E5F">
        <w:rPr>
          <w:lang w:val="en-GB"/>
        </w:rPr>
        <w:t xml:space="preserve"> cited above, § 30</w:t>
      </w:r>
      <w:r w:rsidRPr="00275FCA">
        <w:rPr>
          <w:lang w:val="en-GB"/>
        </w:rPr>
        <w:t>)</w:t>
      </w:r>
      <w:r w:rsidRPr="00275FCA">
        <w:rPr>
          <w:i/>
          <w:lang w:val="en-GB"/>
        </w:rPr>
        <w:t xml:space="preserve">. </w:t>
      </w:r>
      <w:r w:rsidRPr="00275FCA">
        <w:rPr>
          <w:lang w:val="en-GB"/>
        </w:rPr>
        <w:t>The right to compensation set forth in paragraph 5 therefore presupposes that a violation of one of the preceding paragraphs of Arti</w:t>
      </w:r>
      <w:r w:rsidRPr="00275FCA" w:rsidR="009F3C89">
        <w:rPr>
          <w:lang w:val="en-GB"/>
        </w:rPr>
        <w:t>cle </w:t>
      </w:r>
      <w:r w:rsidRPr="00275FCA">
        <w:rPr>
          <w:lang w:val="en-GB"/>
        </w:rPr>
        <w:t xml:space="preserve">5 has been established, either by a domestic authority or by the Court (see </w:t>
      </w:r>
      <w:r w:rsidRPr="00275FCA">
        <w:rPr>
          <w:i/>
          <w:lang w:val="en-GB"/>
        </w:rPr>
        <w:t>Saraçoğlu and Others v. Turkey</w:t>
      </w:r>
      <w:r w:rsidRPr="00275FCA">
        <w:rPr>
          <w:lang w:val="en-GB"/>
        </w:rPr>
        <w:t>, no. 4489/02, § 50, 29 November 2007).</w:t>
      </w:r>
    </w:p>
    <w:p w:rsidRPr="00275FCA" w:rsidR="00852754"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74</w:t>
      </w:r>
      <w:r w:rsidRPr="00275FCA">
        <w:rPr>
          <w:lang w:val="en-GB"/>
        </w:rPr>
        <w:fldChar w:fldCharType="end"/>
      </w:r>
      <w:r w:rsidRPr="00275FCA">
        <w:rPr>
          <w:lang w:val="en-GB"/>
        </w:rPr>
        <w:t xml:space="preserve">.  The Court </w:t>
      </w:r>
      <w:r w:rsidRPr="00275FCA" w:rsidR="0045486A">
        <w:rPr>
          <w:lang w:val="en-GB"/>
        </w:rPr>
        <w:t>has</w:t>
      </w:r>
      <w:r w:rsidRPr="00275FCA">
        <w:rPr>
          <w:lang w:val="en-GB"/>
        </w:rPr>
        <w:t xml:space="preserve"> found </w:t>
      </w:r>
      <w:r w:rsidRPr="00275FCA" w:rsidR="0045486A">
        <w:rPr>
          <w:lang w:val="en-GB"/>
        </w:rPr>
        <w:t xml:space="preserve">in the present case </w:t>
      </w:r>
      <w:r w:rsidRPr="00275FCA">
        <w:rPr>
          <w:lang w:val="en-GB"/>
        </w:rPr>
        <w:t xml:space="preserve">that </w:t>
      </w:r>
      <w:r w:rsidRPr="00275FCA" w:rsidR="00F45E5F">
        <w:rPr>
          <w:lang w:val="en-GB"/>
        </w:rPr>
        <w:t xml:space="preserve">the </w:t>
      </w:r>
      <w:r w:rsidRPr="00275FCA" w:rsidR="007E7FA9">
        <w:rPr>
          <w:lang w:val="en-GB"/>
        </w:rPr>
        <w:t xml:space="preserve">applicants </w:t>
      </w:r>
      <w:r w:rsidRPr="00275FCA" w:rsidR="008D68F2">
        <w:rPr>
          <w:lang w:val="en-GB"/>
        </w:rPr>
        <w:t xml:space="preserve">were </w:t>
      </w:r>
      <w:r w:rsidRPr="00275FCA" w:rsidR="007E7FA9">
        <w:rPr>
          <w:lang w:val="en-GB"/>
        </w:rPr>
        <w:t xml:space="preserve">not brought promptly before a judge within the meaning of Article 5 § 3 and that their </w:t>
      </w:r>
      <w:r w:rsidRPr="00275FCA">
        <w:rPr>
          <w:lang w:val="en-GB"/>
        </w:rPr>
        <w:t xml:space="preserve">right to challenge the lawfulness of their detention in police custody </w:t>
      </w:r>
      <w:r w:rsidRPr="00275FCA" w:rsidR="008D68F2">
        <w:rPr>
          <w:lang w:val="en-GB"/>
        </w:rPr>
        <w:t>was</w:t>
      </w:r>
      <w:r w:rsidRPr="00275FCA">
        <w:rPr>
          <w:lang w:val="en-GB"/>
        </w:rPr>
        <w:t xml:space="preserve"> infringed</w:t>
      </w:r>
      <w:r w:rsidRPr="00275FCA" w:rsidR="008D68F2">
        <w:rPr>
          <w:lang w:val="en-GB"/>
        </w:rPr>
        <w:t>,</w:t>
      </w:r>
      <w:r w:rsidRPr="00275FCA">
        <w:rPr>
          <w:lang w:val="en-GB"/>
        </w:rPr>
        <w:t xml:space="preserve"> </w:t>
      </w:r>
      <w:r w:rsidRPr="00275FCA" w:rsidR="0045486A">
        <w:rPr>
          <w:lang w:val="en-GB"/>
        </w:rPr>
        <w:t xml:space="preserve">in violation of Article 5 § 4 </w:t>
      </w:r>
      <w:r w:rsidRPr="00275FCA" w:rsidR="008C500E">
        <w:rPr>
          <w:lang w:val="en-GB"/>
        </w:rPr>
        <w:t>(see paragraph</w:t>
      </w:r>
      <w:r w:rsidRPr="00275FCA" w:rsidR="007E7FA9">
        <w:rPr>
          <w:lang w:val="en-GB"/>
        </w:rPr>
        <w:t>s</w:t>
      </w:r>
      <w:r w:rsidRPr="00275FCA">
        <w:rPr>
          <w:lang w:val="en-GB"/>
        </w:rPr>
        <w:t xml:space="preserve"> </w:t>
      </w:r>
      <w:r w:rsidRPr="00275FCA" w:rsidR="00B21B6E">
        <w:rPr>
          <w:lang w:val="en-GB"/>
        </w:rPr>
        <w:t>60</w:t>
      </w:r>
      <w:r w:rsidRPr="00275FCA" w:rsidR="007E7FA9">
        <w:rPr>
          <w:lang w:val="en-GB"/>
        </w:rPr>
        <w:t xml:space="preserve"> and </w:t>
      </w:r>
      <w:r w:rsidRPr="00275FCA" w:rsidR="0078313E">
        <w:rPr>
          <w:lang w:val="en-GB"/>
        </w:rPr>
        <w:t>70</w:t>
      </w:r>
      <w:r w:rsidRPr="00275FCA" w:rsidR="0045486A">
        <w:rPr>
          <w:lang w:val="en-GB"/>
        </w:rPr>
        <w:t xml:space="preserve"> </w:t>
      </w:r>
      <w:r w:rsidRPr="00275FCA">
        <w:rPr>
          <w:lang w:val="en-GB"/>
        </w:rPr>
        <w:t xml:space="preserve">above). It follows that Article 5 § 5 of the Convention is applicable. The Court must therefore establish whether or not Turkish law at the time of the events in question afforded the applicants </w:t>
      </w:r>
      <w:r w:rsidRPr="00275FCA" w:rsidR="0035544F">
        <w:rPr>
          <w:lang w:val="en-GB"/>
        </w:rPr>
        <w:t xml:space="preserve">in this case </w:t>
      </w:r>
      <w:r w:rsidRPr="00275FCA">
        <w:rPr>
          <w:lang w:val="en-GB"/>
        </w:rPr>
        <w:t>an enforceable right to compensation for the breaches of Article 5.</w:t>
      </w:r>
    </w:p>
    <w:p w:rsidRPr="00275FCA" w:rsidR="00852754"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75</w:t>
      </w:r>
      <w:r w:rsidRPr="00275FCA">
        <w:rPr>
          <w:lang w:val="en-GB"/>
        </w:rPr>
        <w:fldChar w:fldCharType="end"/>
      </w:r>
      <w:r w:rsidRPr="00275FCA">
        <w:rPr>
          <w:lang w:val="en-GB"/>
        </w:rPr>
        <w:t xml:space="preserve">.  In this connection, the Court observes that </w:t>
      </w:r>
      <w:r w:rsidRPr="00275FCA" w:rsidR="00542BBB">
        <w:rPr>
          <w:lang w:val="en-GB"/>
        </w:rPr>
        <w:t xml:space="preserve">it was open to </w:t>
      </w:r>
      <w:r w:rsidRPr="00275FCA">
        <w:rPr>
          <w:lang w:val="en-GB"/>
        </w:rPr>
        <w:t xml:space="preserve">the applicants </w:t>
      </w:r>
      <w:r w:rsidRPr="00275FCA" w:rsidR="00542BBB">
        <w:rPr>
          <w:lang w:val="en-GB"/>
        </w:rPr>
        <w:t>to</w:t>
      </w:r>
      <w:r w:rsidRPr="00275FCA">
        <w:rPr>
          <w:lang w:val="en-GB"/>
        </w:rPr>
        <w:t xml:space="preserve"> bring a claim for compensation</w:t>
      </w:r>
      <w:r w:rsidRPr="00275FCA" w:rsidR="0035544F">
        <w:rPr>
          <w:lang w:val="en-GB"/>
        </w:rPr>
        <w:t xml:space="preserve"> under </w:t>
      </w:r>
      <w:r w:rsidRPr="00275FCA" w:rsidR="008D68F2">
        <w:rPr>
          <w:lang w:val="en-GB"/>
        </w:rPr>
        <w:t xml:space="preserve">section </w:t>
      </w:r>
      <w:r w:rsidRPr="00275FCA">
        <w:rPr>
          <w:lang w:val="en-GB"/>
        </w:rPr>
        <w:t>1(6) of Law</w:t>
      </w:r>
      <w:r w:rsidRPr="00275FCA" w:rsidR="00542BBB">
        <w:rPr>
          <w:lang w:val="en-GB"/>
        </w:rPr>
        <w:t> </w:t>
      </w:r>
      <w:r w:rsidRPr="00275FCA">
        <w:rPr>
          <w:lang w:val="en-GB"/>
        </w:rPr>
        <w:t>no.</w:t>
      </w:r>
      <w:r w:rsidRPr="00275FCA" w:rsidR="00542BBB">
        <w:rPr>
          <w:lang w:val="en-GB"/>
        </w:rPr>
        <w:t> </w:t>
      </w:r>
      <w:r w:rsidRPr="00275FCA">
        <w:rPr>
          <w:lang w:val="en-GB"/>
        </w:rPr>
        <w:t>466 as the criminal proceedings against them had ended with their acquittal. However, the Court has already found in other cases raising similar issues that</w:t>
      </w:r>
      <w:r w:rsidRPr="00275FCA" w:rsidR="0035544F">
        <w:rPr>
          <w:lang w:val="en-GB"/>
        </w:rPr>
        <w:t xml:space="preserve"> </w:t>
      </w:r>
      <w:r w:rsidRPr="00275FCA">
        <w:rPr>
          <w:lang w:val="en-GB"/>
        </w:rPr>
        <w:t>when awarding compensation under La</w:t>
      </w:r>
      <w:r w:rsidRPr="00275FCA" w:rsidR="00E96C43">
        <w:rPr>
          <w:lang w:val="en-GB"/>
        </w:rPr>
        <w:t>w </w:t>
      </w:r>
      <w:r w:rsidRPr="00275FCA" w:rsidR="00EA5E98">
        <w:rPr>
          <w:lang w:val="en-GB"/>
        </w:rPr>
        <w:t>no. 466, the national courts based their assessment solely on the fact that there had been an acquittal. The national courts</w:t>
      </w:r>
      <w:r w:rsidRPr="00275FCA" w:rsidR="00275FCA">
        <w:rPr>
          <w:lang w:val="en-GB"/>
        </w:rPr>
        <w:t>’</w:t>
      </w:r>
      <w:r w:rsidRPr="00275FCA" w:rsidR="00EA5E98">
        <w:rPr>
          <w:lang w:val="en-GB"/>
        </w:rPr>
        <w:t xml:space="preserve"> assessment was therefore an automatic consequence of the acquittal and did not amount to the establishment of a violation of </w:t>
      </w:r>
      <w:r w:rsidRPr="00275FCA" w:rsidR="00C92127">
        <w:rPr>
          <w:lang w:val="en-GB"/>
        </w:rPr>
        <w:t xml:space="preserve">any of </w:t>
      </w:r>
      <w:r w:rsidRPr="00275FCA" w:rsidR="00EA5E98">
        <w:rPr>
          <w:lang w:val="en-GB"/>
        </w:rPr>
        <w:t xml:space="preserve">paragraphs 1 to 4 of Article 5 </w:t>
      </w:r>
      <w:r w:rsidRPr="00275FCA">
        <w:rPr>
          <w:lang w:val="en-GB"/>
        </w:rPr>
        <w:t xml:space="preserve">(see, for example, </w:t>
      </w:r>
      <w:r w:rsidRPr="00275FCA">
        <w:rPr>
          <w:i/>
          <w:lang w:val="en-GB"/>
        </w:rPr>
        <w:t>Sinan Tanrıkulu and Others v. Turkey</w:t>
      </w:r>
      <w:r w:rsidRPr="00275FCA" w:rsidR="00D21723">
        <w:rPr>
          <w:lang w:val="en-GB"/>
        </w:rPr>
        <w:t>, no. 50086/99, § 50, 3 May </w:t>
      </w:r>
      <w:r w:rsidRPr="00275FCA">
        <w:rPr>
          <w:lang w:val="en-GB"/>
        </w:rPr>
        <w:t>2007;</w:t>
      </w:r>
      <w:r w:rsidRPr="00275FCA" w:rsidR="00EA5E98">
        <w:rPr>
          <w:lang w:val="en-GB"/>
        </w:rPr>
        <w:t xml:space="preserve"> </w:t>
      </w:r>
      <w:r w:rsidRPr="00275FCA" w:rsidR="00EA5E98">
        <w:rPr>
          <w:i/>
          <w:lang w:val="en-GB"/>
        </w:rPr>
        <w:t>Medeni Kavak v. Turkey</w:t>
      </w:r>
      <w:r w:rsidRPr="00275FCA" w:rsidR="00EA5E98">
        <w:rPr>
          <w:lang w:val="en-GB"/>
        </w:rPr>
        <w:t>, no. 13723/02, § 34, 3 May 2007</w:t>
      </w:r>
      <w:r w:rsidRPr="00275FCA" w:rsidR="00333B39">
        <w:rPr>
          <w:lang w:val="en-GB"/>
        </w:rPr>
        <w:t xml:space="preserve">; </w:t>
      </w:r>
      <w:r w:rsidRPr="00275FCA" w:rsidR="00A005AD">
        <w:rPr>
          <w:i/>
          <w:lang w:val="en-GB"/>
        </w:rPr>
        <w:t>Saraçoğlu and Others</w:t>
      </w:r>
      <w:r w:rsidRPr="00275FCA" w:rsidR="001F43BF">
        <w:rPr>
          <w:lang w:val="en-GB"/>
        </w:rPr>
        <w:t>, cited above</w:t>
      </w:r>
      <w:r w:rsidRPr="00275FCA" w:rsidR="00A005AD">
        <w:rPr>
          <w:lang w:val="en-GB"/>
        </w:rPr>
        <w:t>, § 52;</w:t>
      </w:r>
      <w:r w:rsidRPr="00275FCA">
        <w:rPr>
          <w:i/>
          <w:lang w:val="en-GB"/>
        </w:rPr>
        <w:t xml:space="preserve"> Elğay</w:t>
      </w:r>
      <w:r w:rsidRPr="00275FCA" w:rsidR="00EA5E98">
        <w:rPr>
          <w:lang w:val="en-GB"/>
        </w:rPr>
        <w:t>, cited above, § </w:t>
      </w:r>
      <w:r w:rsidRPr="00275FCA">
        <w:rPr>
          <w:lang w:val="en-GB"/>
        </w:rPr>
        <w:t>32;</w:t>
      </w:r>
      <w:r w:rsidRPr="00275FCA" w:rsidR="00A005AD">
        <w:rPr>
          <w:lang w:val="en-GB"/>
        </w:rPr>
        <w:t xml:space="preserve"> and</w:t>
      </w:r>
      <w:r w:rsidRPr="00275FCA">
        <w:rPr>
          <w:i/>
          <w:lang w:val="en-GB"/>
        </w:rPr>
        <w:t xml:space="preserve"> Mekiye Demirci v. Turkey</w:t>
      </w:r>
      <w:r w:rsidRPr="00275FCA" w:rsidR="00D21723">
        <w:rPr>
          <w:lang w:val="en-GB"/>
        </w:rPr>
        <w:t>, no. </w:t>
      </w:r>
      <w:r w:rsidRPr="00275FCA" w:rsidR="00A005AD">
        <w:rPr>
          <w:lang w:val="en-GB"/>
        </w:rPr>
        <w:t>17722/02, § </w:t>
      </w:r>
      <w:r w:rsidRPr="00275FCA">
        <w:rPr>
          <w:lang w:val="en-GB"/>
        </w:rPr>
        <w:t>70, 23 April 2013).</w:t>
      </w:r>
    </w:p>
    <w:p w:rsidRPr="00275FCA" w:rsidR="00852754"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76</w:t>
      </w:r>
      <w:r w:rsidRPr="00275FCA">
        <w:rPr>
          <w:lang w:val="en-GB"/>
        </w:rPr>
        <w:fldChar w:fldCharType="end"/>
      </w:r>
      <w:r w:rsidRPr="00275FCA">
        <w:rPr>
          <w:lang w:val="en-GB"/>
        </w:rPr>
        <w:t>.  It follows that, in the applicants</w:t>
      </w:r>
      <w:r w:rsidRPr="00275FCA" w:rsidR="00275FCA">
        <w:rPr>
          <w:lang w:val="en-GB"/>
        </w:rPr>
        <w:t>’</w:t>
      </w:r>
      <w:r w:rsidRPr="00275FCA">
        <w:rPr>
          <w:lang w:val="en-GB"/>
        </w:rPr>
        <w:t xml:space="preserve"> case, Law no. 466 d</w:t>
      </w:r>
      <w:r w:rsidRPr="00275FCA" w:rsidR="004C7822">
        <w:rPr>
          <w:lang w:val="en-GB"/>
        </w:rPr>
        <w:t>id</w:t>
      </w:r>
      <w:r w:rsidRPr="00275FCA">
        <w:rPr>
          <w:lang w:val="en-GB"/>
        </w:rPr>
        <w:t xml:space="preserve"> not provide an enforceable right to compensation for the breac</w:t>
      </w:r>
      <w:r w:rsidRPr="00275FCA" w:rsidR="00E0368A">
        <w:rPr>
          <w:lang w:val="en-GB"/>
        </w:rPr>
        <w:t>h of their rights under Article</w:t>
      </w:r>
      <w:r w:rsidRPr="00275FCA">
        <w:rPr>
          <w:lang w:val="en-GB"/>
        </w:rPr>
        <w:t xml:space="preserve"> 5 </w:t>
      </w:r>
      <w:r w:rsidRPr="00275FCA" w:rsidR="007E7FA9">
        <w:rPr>
          <w:lang w:val="en-GB"/>
        </w:rPr>
        <w:t>§</w:t>
      </w:r>
      <w:r w:rsidRPr="00275FCA">
        <w:rPr>
          <w:lang w:val="en-GB"/>
        </w:rPr>
        <w:t>§</w:t>
      </w:r>
      <w:r w:rsidRPr="00275FCA" w:rsidR="007E7FA9">
        <w:rPr>
          <w:lang w:val="en-GB"/>
        </w:rPr>
        <w:t xml:space="preserve"> 3 and</w:t>
      </w:r>
      <w:r w:rsidRPr="00275FCA">
        <w:rPr>
          <w:lang w:val="en-GB"/>
        </w:rPr>
        <w:t xml:space="preserve"> 4 of the Convention, as required by Article 5 § 5.</w:t>
      </w:r>
    </w:p>
    <w:p w:rsidRPr="00275FCA" w:rsidR="00AA59DC" w:rsidP="00275FCA" w:rsidRDefault="0085275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77</w:t>
      </w:r>
      <w:r w:rsidRPr="00275FCA">
        <w:rPr>
          <w:lang w:val="en-GB"/>
        </w:rPr>
        <w:fldChar w:fldCharType="end"/>
      </w:r>
      <w:r w:rsidRPr="00275FCA">
        <w:rPr>
          <w:lang w:val="en-GB"/>
        </w:rPr>
        <w:t>. The Court accordingly dismisses the Government</w:t>
      </w:r>
      <w:r w:rsidRPr="00275FCA" w:rsidR="00275FCA">
        <w:rPr>
          <w:lang w:val="en-GB"/>
        </w:rPr>
        <w:t>’</w:t>
      </w:r>
      <w:r w:rsidRPr="00275FCA">
        <w:rPr>
          <w:lang w:val="en-GB"/>
        </w:rPr>
        <w:t xml:space="preserve">s preliminary objection </w:t>
      </w:r>
      <w:r w:rsidRPr="00275FCA" w:rsidR="004C7822">
        <w:rPr>
          <w:lang w:val="en-GB"/>
        </w:rPr>
        <w:t>under this head</w:t>
      </w:r>
      <w:r w:rsidRPr="00275FCA">
        <w:rPr>
          <w:lang w:val="en-GB"/>
        </w:rPr>
        <w:t xml:space="preserve"> and concludes that there has been a violation of Article 5 § 5 of the Convention.</w:t>
      </w:r>
    </w:p>
    <w:p w:rsidRPr="00275FCA" w:rsidR="00014566" w:rsidP="00275FCA" w:rsidRDefault="00CB5D97">
      <w:pPr>
        <w:pStyle w:val="ECHRHeading1"/>
        <w:rPr>
          <w:lang w:val="en-GB"/>
        </w:rPr>
      </w:pPr>
      <w:r w:rsidRPr="00275FCA">
        <w:rPr>
          <w:lang w:val="en-GB"/>
        </w:rPr>
        <w:t>II</w:t>
      </w:r>
      <w:r w:rsidRPr="00275FCA" w:rsidR="00014566">
        <w:rPr>
          <w:lang w:val="en-GB"/>
        </w:rPr>
        <w:t xml:space="preserve">.  ALLEGED VIOLATION OF ARTICLE </w:t>
      </w:r>
      <w:r w:rsidRPr="00275FCA">
        <w:rPr>
          <w:lang w:val="en-GB"/>
        </w:rPr>
        <w:t>10</w:t>
      </w:r>
      <w:r w:rsidRPr="00275FCA" w:rsidR="00014566">
        <w:rPr>
          <w:lang w:val="en-GB"/>
        </w:rPr>
        <w:t xml:space="preserve"> OF THE CONVENTION</w:t>
      </w:r>
    </w:p>
    <w:p w:rsidRPr="00275FCA" w:rsidR="00866629"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78</w:t>
      </w:r>
      <w:r w:rsidRPr="00275FCA">
        <w:rPr>
          <w:lang w:val="en-GB"/>
        </w:rPr>
        <w:fldChar w:fldCharType="end"/>
      </w:r>
      <w:r w:rsidRPr="00275FCA" w:rsidR="00014566">
        <w:rPr>
          <w:lang w:val="en-GB"/>
        </w:rPr>
        <w:t>.  </w:t>
      </w:r>
      <w:r w:rsidRPr="00275FCA" w:rsidR="00430BED">
        <w:rPr>
          <w:lang w:val="en-GB"/>
        </w:rPr>
        <w:t>The applicants maintained</w:t>
      </w:r>
      <w:r w:rsidRPr="00275FCA" w:rsidR="00014170">
        <w:rPr>
          <w:lang w:val="en-GB"/>
        </w:rPr>
        <w:t xml:space="preserve"> under Article 7 of the Convention</w:t>
      </w:r>
      <w:r w:rsidRPr="00275FCA" w:rsidR="00430BED">
        <w:rPr>
          <w:lang w:val="en-GB"/>
        </w:rPr>
        <w:t xml:space="preserve"> that </w:t>
      </w:r>
      <w:r w:rsidRPr="00275FCA" w:rsidR="00014170">
        <w:rPr>
          <w:lang w:val="en-GB"/>
        </w:rPr>
        <w:t>they had been subjected to criminal proceedings for us</w:t>
      </w:r>
      <w:r w:rsidRPr="00275FCA" w:rsidR="00FB36C0">
        <w:rPr>
          <w:lang w:val="en-GB"/>
        </w:rPr>
        <w:t>ing</w:t>
      </w:r>
      <w:r w:rsidRPr="00275FCA" w:rsidR="00014170">
        <w:rPr>
          <w:lang w:val="en-GB"/>
        </w:rPr>
        <w:t xml:space="preserve"> their constitutional right to </w:t>
      </w:r>
      <w:r w:rsidRPr="00275FCA" w:rsidR="00C92127">
        <w:rPr>
          <w:lang w:val="en-GB"/>
        </w:rPr>
        <w:t xml:space="preserve">file a </w:t>
      </w:r>
      <w:r w:rsidRPr="00275FCA" w:rsidR="00014170">
        <w:rPr>
          <w:lang w:val="en-GB"/>
        </w:rPr>
        <w:t xml:space="preserve">petition, despite the absence of any provisions in domestic </w:t>
      </w:r>
      <w:r w:rsidRPr="00275FCA" w:rsidR="008E3634">
        <w:rPr>
          <w:lang w:val="en-GB"/>
        </w:rPr>
        <w:t>law criminalising such conduct.</w:t>
      </w:r>
    </w:p>
    <w:p w:rsidRPr="00275FCA" w:rsidR="00430BED" w:rsidP="00275FCA" w:rsidRDefault="00294F7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79</w:t>
      </w:r>
      <w:r w:rsidRPr="00275FCA">
        <w:rPr>
          <w:lang w:val="en-GB"/>
        </w:rPr>
        <w:fldChar w:fldCharType="end"/>
      </w:r>
      <w:r w:rsidRPr="00275FCA">
        <w:rPr>
          <w:lang w:val="en-GB"/>
        </w:rPr>
        <w:t>.  </w:t>
      </w:r>
      <w:r w:rsidRPr="00275FCA">
        <w:t xml:space="preserve">The Court, being the master of characterisation to be given in law to the facts of the case (see </w:t>
      </w:r>
      <w:r w:rsidRPr="00275FCA">
        <w:rPr>
          <w:i/>
          <w:lang w:val="en-GB"/>
        </w:rPr>
        <w:t>Aksu v. Turkey</w:t>
      </w:r>
      <w:r w:rsidRPr="00275FCA">
        <w:rPr>
          <w:lang w:val="en-GB"/>
        </w:rPr>
        <w:t xml:space="preserve"> [GC], nos. 4149/04 and 41029/04, § 43, ECHR 2012</w:t>
      </w:r>
      <w:r w:rsidRPr="00275FCA">
        <w:t>), considers that th</w:t>
      </w:r>
      <w:r w:rsidRPr="00275FCA" w:rsidR="000C06F8">
        <w:t>is</w:t>
      </w:r>
      <w:r w:rsidRPr="00275FCA">
        <w:t xml:space="preserve"> complaint fall</w:t>
      </w:r>
      <w:r w:rsidRPr="00275FCA" w:rsidR="000C06F8">
        <w:t>s</w:t>
      </w:r>
      <w:r w:rsidRPr="00275FCA">
        <w:t xml:space="preserve"> to be examined under Article 10 of the Convention</w:t>
      </w:r>
      <w:r w:rsidRPr="00275FCA" w:rsidR="00223AB9">
        <w:t>. The relevant parts</w:t>
      </w:r>
      <w:r w:rsidRPr="00275FCA" w:rsidR="00223AB9">
        <w:rPr>
          <w:lang w:val="en-GB"/>
        </w:rPr>
        <w:t xml:space="preserve"> </w:t>
      </w:r>
      <w:r w:rsidRPr="00275FCA">
        <w:rPr>
          <w:lang w:val="en-GB"/>
        </w:rPr>
        <w:t>provide</w:t>
      </w:r>
      <w:r w:rsidRPr="00275FCA" w:rsidR="00430BED">
        <w:rPr>
          <w:lang w:val="en-GB"/>
        </w:rPr>
        <w:t>:</w:t>
      </w:r>
    </w:p>
    <w:p w:rsidRPr="00275FCA" w:rsidR="00756148" w:rsidP="00275FCA" w:rsidRDefault="00756148">
      <w:pPr>
        <w:pStyle w:val="ECHRTitleCentre3"/>
        <w:rPr>
          <w:lang w:val="en-GB"/>
        </w:rPr>
      </w:pPr>
      <w:r w:rsidRPr="00275FCA">
        <w:rPr>
          <w:lang w:val="en-GB"/>
        </w:rPr>
        <w:t>Article 10</w:t>
      </w:r>
    </w:p>
    <w:p w:rsidRPr="00275FCA" w:rsidR="00430BED" w:rsidP="00275FCA" w:rsidRDefault="00430BED">
      <w:pPr>
        <w:pStyle w:val="ECHRParaQuote"/>
        <w:rPr>
          <w:lang w:val="en-GB"/>
        </w:rPr>
      </w:pPr>
      <w:r w:rsidRPr="00275FCA">
        <w:rPr>
          <w:lang w:val="en-GB"/>
        </w:rPr>
        <w:t>“1. </w:t>
      </w:r>
      <w:r w:rsidRPr="00275FCA" w:rsidR="008E3634">
        <w:rPr>
          <w:lang w:val="en-GB"/>
        </w:rPr>
        <w:t> </w:t>
      </w:r>
      <w:r w:rsidRPr="00275FCA">
        <w:rPr>
          <w:lang w:val="en-GB"/>
        </w:rPr>
        <w:t>Everyone has the right to freedom of expression. This right shall include freedom to hold opinions and to receive and impart information and ideas without interference by public authority and regardless of frontiers...</w:t>
      </w:r>
    </w:p>
    <w:p w:rsidRPr="00275FCA" w:rsidR="00014566" w:rsidP="00275FCA" w:rsidRDefault="00430BED">
      <w:pPr>
        <w:pStyle w:val="ECHRParaQuote"/>
        <w:rPr>
          <w:lang w:val="en-GB"/>
        </w:rPr>
      </w:pPr>
      <w:r w:rsidRPr="00275FCA">
        <w:rPr>
          <w:lang w:val="en-GB"/>
        </w:rPr>
        <w:t>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w:t>
      </w:r>
      <w:r w:rsidRPr="00275FCA" w:rsidR="00E06EF8">
        <w:rPr>
          <w:lang w:val="en-GB"/>
        </w:rPr>
        <w:t>...</w:t>
      </w:r>
      <w:r w:rsidRPr="00275FCA">
        <w:rPr>
          <w:lang w:val="en-GB"/>
        </w:rPr>
        <w:t>”</w:t>
      </w:r>
      <w:r w:rsidRPr="00275FCA" w:rsidR="00294F7E">
        <w:rPr>
          <w:lang w:val="en-GB"/>
        </w:rPr>
        <w:t>.</w:t>
      </w:r>
    </w:p>
    <w:p w:rsidRPr="00275FCA" w:rsidR="00430BED" w:rsidP="00275FCA" w:rsidRDefault="00294F7E">
      <w:pPr>
        <w:pStyle w:val="ECHRHeading2"/>
        <w:rPr>
          <w:lang w:val="en-GB"/>
        </w:rPr>
      </w:pPr>
      <w:r w:rsidRPr="00275FCA">
        <w:rPr>
          <w:lang w:val="en-GB"/>
        </w:rPr>
        <w:t>A</w:t>
      </w:r>
      <w:r w:rsidRPr="00275FCA" w:rsidR="008E3634">
        <w:rPr>
          <w:lang w:val="en-GB"/>
        </w:rPr>
        <w:t>.  </w:t>
      </w:r>
      <w:r w:rsidRPr="00275FCA" w:rsidR="002512B9">
        <w:rPr>
          <w:lang w:val="en-GB"/>
        </w:rPr>
        <w:t>Admissibility</w:t>
      </w:r>
    </w:p>
    <w:p w:rsidRPr="00275FCA" w:rsidR="00BC5485" w:rsidP="00275FCA" w:rsidRDefault="008E3634">
      <w:pPr>
        <w:pStyle w:val="ECHRHeading3"/>
        <w:rPr>
          <w:lang w:val="en-GB"/>
        </w:rPr>
      </w:pPr>
      <w:r w:rsidRPr="00275FCA">
        <w:rPr>
          <w:lang w:val="en-GB"/>
        </w:rPr>
        <w:t>1.  </w:t>
      </w:r>
      <w:r w:rsidRPr="00275FCA" w:rsidR="00BC5485">
        <w:rPr>
          <w:lang w:val="en-GB"/>
        </w:rPr>
        <w:t xml:space="preserve">As regards the applicant </w:t>
      </w:r>
      <w:r w:rsidRPr="00275FCA" w:rsidR="005F72A3">
        <w:rPr>
          <w:lang w:val="en-GB"/>
        </w:rPr>
        <w:t>Yılmaz</w:t>
      </w:r>
      <w:r w:rsidRPr="00275FCA" w:rsidR="00BC5485">
        <w:rPr>
          <w:lang w:val="en-GB"/>
        </w:rPr>
        <w:t xml:space="preserve"> Yavuz</w:t>
      </w:r>
    </w:p>
    <w:p w:rsidRPr="00275FCA" w:rsidR="00973F00" w:rsidP="00275FCA" w:rsidRDefault="002512B9">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80</w:t>
      </w:r>
      <w:r w:rsidRPr="00275FCA">
        <w:rPr>
          <w:lang w:val="en-GB"/>
        </w:rPr>
        <w:fldChar w:fldCharType="end"/>
      </w:r>
      <w:r w:rsidRPr="00275FCA">
        <w:rPr>
          <w:lang w:val="en-GB"/>
        </w:rPr>
        <w:t>.  </w:t>
      </w:r>
      <w:r w:rsidRPr="00275FCA" w:rsidR="00934055">
        <w:rPr>
          <w:lang w:val="en-GB"/>
        </w:rPr>
        <w:t>The</w:t>
      </w:r>
      <w:r w:rsidRPr="00275FCA" w:rsidR="00973F00">
        <w:rPr>
          <w:bCs/>
          <w:lang w:val="en-GB"/>
        </w:rPr>
        <w:t xml:space="preserve"> </w:t>
      </w:r>
      <w:r w:rsidRPr="00275FCA" w:rsidR="00973F00">
        <w:rPr>
          <w:lang w:val="en-GB"/>
        </w:rPr>
        <w:t xml:space="preserve">Court observes that, although </w:t>
      </w:r>
      <w:r w:rsidRPr="00275FCA" w:rsidR="00934055">
        <w:rPr>
          <w:lang w:val="en-GB"/>
        </w:rPr>
        <w:t xml:space="preserve">the applicant </w:t>
      </w:r>
      <w:r w:rsidRPr="00275FCA" w:rsidR="005F72A3">
        <w:rPr>
          <w:lang w:val="en-GB"/>
        </w:rPr>
        <w:t>Yılmaz</w:t>
      </w:r>
      <w:r w:rsidRPr="00275FCA" w:rsidR="00934055">
        <w:rPr>
          <w:lang w:val="en-GB"/>
        </w:rPr>
        <w:t xml:space="preserve"> Yavuz</w:t>
      </w:r>
      <w:r w:rsidRPr="00275FCA" w:rsidR="00973F00">
        <w:rPr>
          <w:lang w:val="en-GB"/>
        </w:rPr>
        <w:t xml:space="preserve"> was initially arrested on the same ground</w:t>
      </w:r>
      <w:r w:rsidRPr="00275FCA" w:rsidR="00223AB9">
        <w:rPr>
          <w:lang w:val="en-GB"/>
        </w:rPr>
        <w:t>s</w:t>
      </w:r>
      <w:r w:rsidRPr="00275FCA" w:rsidR="00973F00">
        <w:rPr>
          <w:lang w:val="en-GB"/>
        </w:rPr>
        <w:t xml:space="preserve"> as the other applicants, no criminal charges were subsequently brought against him since </w:t>
      </w:r>
      <w:r w:rsidRPr="00275FCA" w:rsidR="00223AB9">
        <w:rPr>
          <w:lang w:val="en-GB"/>
        </w:rPr>
        <w:t>he</w:t>
      </w:r>
      <w:r w:rsidRPr="00275FCA" w:rsidR="00973F00">
        <w:rPr>
          <w:lang w:val="en-GB"/>
        </w:rPr>
        <w:t xml:space="preserve"> had not submitted a petition </w:t>
      </w:r>
      <w:r w:rsidRPr="00275FCA" w:rsidR="00223AB9">
        <w:rPr>
          <w:lang w:val="en-GB"/>
        </w:rPr>
        <w:t xml:space="preserve">to the authorities </w:t>
      </w:r>
      <w:r w:rsidRPr="00275FCA" w:rsidR="00973F00">
        <w:rPr>
          <w:lang w:val="en-GB"/>
        </w:rPr>
        <w:t>requesting education</w:t>
      </w:r>
      <w:r w:rsidRPr="00275FCA" w:rsidR="00223AB9">
        <w:rPr>
          <w:lang w:val="en-GB"/>
        </w:rPr>
        <w:t xml:space="preserve"> in Kurdish</w:t>
      </w:r>
      <w:r w:rsidRPr="00275FCA" w:rsidR="00973F00">
        <w:rPr>
          <w:lang w:val="en-GB"/>
        </w:rPr>
        <w:t xml:space="preserve">. </w:t>
      </w:r>
      <w:r w:rsidRPr="00275FCA" w:rsidR="00223AB9">
        <w:rPr>
          <w:lang w:val="en-GB"/>
        </w:rPr>
        <w:t>Accordingly</w:t>
      </w:r>
      <w:r w:rsidRPr="00275FCA" w:rsidR="00973F00">
        <w:rPr>
          <w:lang w:val="en-GB"/>
        </w:rPr>
        <w:t>, the Court considers that the applicant</w:t>
      </w:r>
      <w:r w:rsidRPr="00275FCA" w:rsidR="00275FCA">
        <w:rPr>
          <w:lang w:val="en-GB"/>
        </w:rPr>
        <w:t>’</w:t>
      </w:r>
      <w:r w:rsidRPr="00275FCA" w:rsidR="00973F00">
        <w:rPr>
          <w:lang w:val="en-GB"/>
        </w:rPr>
        <w:t xml:space="preserve">s arrest and subsequent detention cannot be viewed in terms of an </w:t>
      </w:r>
      <w:r w:rsidRPr="00275FCA" w:rsidR="00973F00">
        <w:rPr>
          <w:bCs/>
          <w:lang w:val="en-GB"/>
        </w:rPr>
        <w:t>interference</w:t>
      </w:r>
      <w:r w:rsidRPr="00275FCA" w:rsidR="00973F00">
        <w:rPr>
          <w:lang w:val="en-GB"/>
        </w:rPr>
        <w:t xml:space="preserve"> with his rights under Article</w:t>
      </w:r>
      <w:bookmarkStart w:name="HIT9" w:id="7"/>
      <w:bookmarkEnd w:id="7"/>
      <w:r w:rsidRPr="00275FCA" w:rsidR="00973F00">
        <w:rPr>
          <w:lang w:val="en-GB"/>
        </w:rPr>
        <w:t> </w:t>
      </w:r>
      <w:r w:rsidRPr="00275FCA" w:rsidR="00973F00">
        <w:rPr>
          <w:bCs/>
          <w:lang w:val="en-GB"/>
        </w:rPr>
        <w:t>10</w:t>
      </w:r>
      <w:r w:rsidRPr="00275FCA" w:rsidR="00973F00">
        <w:rPr>
          <w:lang w:val="en-GB"/>
        </w:rPr>
        <w:t>. It follows that this part of the application must be rejected as being manifestly ill-founded with the meaning of Article 35 §§ 3 and 4 of the Convention.</w:t>
      </w:r>
    </w:p>
    <w:p w:rsidRPr="00275FCA" w:rsidR="00BC5485" w:rsidP="00275FCA" w:rsidRDefault="008E3634">
      <w:pPr>
        <w:pStyle w:val="ECHRHeading3"/>
        <w:rPr>
          <w:lang w:val="en-GB"/>
        </w:rPr>
      </w:pPr>
      <w:r w:rsidRPr="00275FCA">
        <w:rPr>
          <w:lang w:val="en-GB"/>
        </w:rPr>
        <w:t>2.  </w:t>
      </w:r>
      <w:r w:rsidRPr="00275FCA" w:rsidR="00BC5485">
        <w:rPr>
          <w:lang w:val="en-GB"/>
        </w:rPr>
        <w:t>As regards the remaining applicants</w:t>
      </w:r>
    </w:p>
    <w:p w:rsidRPr="00275FCA" w:rsidR="00CD1175" w:rsidP="00275FCA" w:rsidRDefault="00973F00">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81</w:t>
      </w:r>
      <w:r w:rsidRPr="00275FCA">
        <w:rPr>
          <w:lang w:val="en-GB"/>
        </w:rPr>
        <w:fldChar w:fldCharType="end"/>
      </w:r>
      <w:r w:rsidRPr="00275FCA">
        <w:rPr>
          <w:lang w:val="en-GB"/>
        </w:rPr>
        <w:t>.  </w:t>
      </w:r>
      <w:r w:rsidRPr="00275FCA" w:rsidR="00CE16B9">
        <w:rPr>
          <w:lang w:val="en-GB"/>
        </w:rPr>
        <w:t>The Court considers that although the respondent State did not raise an objection as to the Court</w:t>
      </w:r>
      <w:r w:rsidRPr="00275FCA" w:rsidR="00275FCA">
        <w:rPr>
          <w:lang w:val="en-GB"/>
        </w:rPr>
        <w:t>’</w:t>
      </w:r>
      <w:r w:rsidRPr="00275FCA" w:rsidR="00CE16B9">
        <w:rPr>
          <w:lang w:val="en-GB"/>
        </w:rPr>
        <w:t xml:space="preserve">s competence </w:t>
      </w:r>
      <w:r w:rsidRPr="00275FCA" w:rsidR="00CE16B9">
        <w:rPr>
          <w:i/>
          <w:lang w:val="en-GB"/>
        </w:rPr>
        <w:t>ratione personae</w:t>
      </w:r>
      <w:r w:rsidRPr="00275FCA" w:rsidR="00CE16B9">
        <w:rPr>
          <w:lang w:val="en-GB"/>
        </w:rPr>
        <w:t xml:space="preserve"> in relation to the remaining applicants</w:t>
      </w:r>
      <w:r w:rsidRPr="00275FCA" w:rsidR="00275FCA">
        <w:rPr>
          <w:lang w:val="en-GB"/>
        </w:rPr>
        <w:t>’</w:t>
      </w:r>
      <w:r w:rsidRPr="00275FCA" w:rsidR="00CE16B9">
        <w:rPr>
          <w:lang w:val="en-GB"/>
        </w:rPr>
        <w:t xml:space="preserve"> complaints under this head, the issue of victim status calls for consideration by the Court given that </w:t>
      </w:r>
      <w:r w:rsidRPr="00275FCA" w:rsidR="00D345B2">
        <w:rPr>
          <w:lang w:val="en-GB"/>
        </w:rPr>
        <w:t>it</w:t>
      </w:r>
      <w:r w:rsidRPr="00275FCA" w:rsidR="00CE16B9">
        <w:rPr>
          <w:lang w:val="en-GB"/>
        </w:rPr>
        <w:t xml:space="preserve"> is closely linked </w:t>
      </w:r>
      <w:r w:rsidRPr="00275FCA" w:rsidR="00223AB9">
        <w:rPr>
          <w:lang w:val="en-GB"/>
        </w:rPr>
        <w:t xml:space="preserve">to </w:t>
      </w:r>
      <w:r w:rsidRPr="00275FCA" w:rsidR="00CE16B9">
        <w:rPr>
          <w:lang w:val="en-GB"/>
        </w:rPr>
        <w:t>the question of whether there was an interference with the applicants</w:t>
      </w:r>
      <w:r w:rsidRPr="00275FCA" w:rsidR="00275FCA">
        <w:rPr>
          <w:lang w:val="en-GB"/>
        </w:rPr>
        <w:t>’</w:t>
      </w:r>
      <w:r w:rsidRPr="00275FCA" w:rsidR="00CE16B9">
        <w:rPr>
          <w:lang w:val="en-GB"/>
        </w:rPr>
        <w:t xml:space="preserve"> right to freedom of expression (see, </w:t>
      </w:r>
      <w:r w:rsidRPr="00275FCA" w:rsidR="00CE16B9">
        <w:rPr>
          <w:i/>
          <w:lang w:val="en-GB"/>
        </w:rPr>
        <w:t>Gülcü v. Turkey</w:t>
      </w:r>
      <w:r w:rsidRPr="00275FCA" w:rsidR="00CE16B9">
        <w:rPr>
          <w:lang w:val="en-GB"/>
        </w:rPr>
        <w:t>, no. 17526/10</w:t>
      </w:r>
      <w:r w:rsidRPr="00275FCA" w:rsidR="00CE16B9">
        <w:rPr>
          <w:snapToGrid w:val="0"/>
          <w:lang w:val="en-GB"/>
        </w:rPr>
        <w:t>, §</w:t>
      </w:r>
      <w:r w:rsidRPr="00275FCA" w:rsidR="00576520">
        <w:rPr>
          <w:snapToGrid w:val="0"/>
          <w:lang w:val="en-GB"/>
        </w:rPr>
        <w:t> </w:t>
      </w:r>
      <w:r w:rsidRPr="00275FCA" w:rsidR="00CE16B9">
        <w:rPr>
          <w:snapToGrid w:val="0"/>
          <w:lang w:val="en-GB"/>
        </w:rPr>
        <w:t>78, 19</w:t>
      </w:r>
      <w:r w:rsidRPr="00275FCA" w:rsidR="008E3634">
        <w:rPr>
          <w:snapToGrid w:val="0"/>
          <w:lang w:val="en-GB"/>
        </w:rPr>
        <w:t> </w:t>
      </w:r>
      <w:r w:rsidRPr="00275FCA" w:rsidR="00CE16B9">
        <w:rPr>
          <w:snapToGrid w:val="0"/>
          <w:lang w:val="en-GB"/>
        </w:rPr>
        <w:t xml:space="preserve">January 2016, and, </w:t>
      </w:r>
      <w:r w:rsidRPr="00275FCA" w:rsidR="00CE16B9">
        <w:rPr>
          <w:i/>
          <w:lang w:val="en-GB"/>
        </w:rPr>
        <w:t>mutatis mutandis</w:t>
      </w:r>
      <w:r w:rsidRPr="00275FCA" w:rsidR="00CE16B9">
        <w:rPr>
          <w:lang w:val="en-GB"/>
        </w:rPr>
        <w:t xml:space="preserve">, </w:t>
      </w:r>
      <w:r w:rsidRPr="00275FCA" w:rsidR="00CE16B9">
        <w:rPr>
          <w:i/>
          <w:lang w:val="en-GB"/>
        </w:rPr>
        <w:t>Babajanov v. Turkey</w:t>
      </w:r>
      <w:r w:rsidRPr="00275FCA" w:rsidR="00CE16B9">
        <w:rPr>
          <w:lang w:val="en-GB"/>
        </w:rPr>
        <w:t>, no</w:t>
      </w:r>
      <w:r w:rsidRPr="00275FCA" w:rsidR="00D345B2">
        <w:rPr>
          <w:lang w:val="en-GB"/>
        </w:rPr>
        <w:t>.</w:t>
      </w:r>
      <w:r w:rsidRPr="00275FCA" w:rsidR="008E3634">
        <w:rPr>
          <w:lang w:val="en-GB"/>
        </w:rPr>
        <w:t> </w:t>
      </w:r>
      <w:r w:rsidRPr="00275FCA" w:rsidR="00D345B2">
        <w:rPr>
          <w:lang w:val="en-GB"/>
        </w:rPr>
        <w:t>49867/08, § </w:t>
      </w:r>
      <w:r w:rsidRPr="00275FCA" w:rsidR="00CE16B9">
        <w:rPr>
          <w:lang w:val="en-GB"/>
        </w:rPr>
        <w:t xml:space="preserve">70, 10 May 2016). The Court therefore joins the issue of victim status to the merits (see paragraphs </w:t>
      </w:r>
      <w:r w:rsidRPr="00275FCA" w:rsidR="00B21B6E">
        <w:rPr>
          <w:lang w:val="en-GB"/>
        </w:rPr>
        <w:t>8</w:t>
      </w:r>
      <w:r w:rsidRPr="00275FCA" w:rsidR="0078313E">
        <w:rPr>
          <w:lang w:val="en-GB"/>
        </w:rPr>
        <w:t>5</w:t>
      </w:r>
      <w:r w:rsidRPr="00275FCA" w:rsidR="00CE16B9">
        <w:rPr>
          <w:lang w:val="en-GB"/>
        </w:rPr>
        <w:t>-</w:t>
      </w:r>
      <w:r w:rsidRPr="00275FCA" w:rsidR="00B21B6E">
        <w:rPr>
          <w:lang w:val="en-GB"/>
        </w:rPr>
        <w:t>8</w:t>
      </w:r>
      <w:r w:rsidRPr="00275FCA" w:rsidR="0078313E">
        <w:rPr>
          <w:lang w:val="en-GB"/>
        </w:rPr>
        <w:t>9</w:t>
      </w:r>
      <w:r w:rsidRPr="00275FCA" w:rsidR="00CE16B9">
        <w:rPr>
          <w:lang w:val="en-GB"/>
        </w:rPr>
        <w:t> below).</w:t>
      </w:r>
    </w:p>
    <w:p w:rsidRPr="00275FCA" w:rsidR="00CE16B9" w:rsidP="00275FCA" w:rsidRDefault="00CD1175">
      <w:pPr>
        <w:pStyle w:val="ECHRPara"/>
        <w:rPr>
          <w:i/>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82</w:t>
      </w:r>
      <w:r w:rsidRPr="00275FCA">
        <w:rPr>
          <w:lang w:val="en-GB"/>
        </w:rPr>
        <w:fldChar w:fldCharType="end"/>
      </w:r>
      <w:r w:rsidRPr="00275FCA">
        <w:rPr>
          <w:lang w:val="en-GB"/>
        </w:rPr>
        <w:t>.  </w:t>
      </w:r>
      <w:r w:rsidRPr="00275FCA" w:rsidR="00CE16B9">
        <w:rPr>
          <w:lang w:val="en-GB"/>
        </w:rPr>
        <w:t>The Court notes that this part of the application is not manifestly ill</w:t>
      </w:r>
      <w:r w:rsidRPr="00275FCA" w:rsidR="00CE16B9">
        <w:rPr>
          <w:lang w:val="en-GB"/>
        </w:rPr>
        <w:noBreakHyphen/>
        <w:t xml:space="preserve">founded within the meaning of Article 35 § 3 (a) of the Convention. It </w:t>
      </w:r>
      <w:r w:rsidRPr="00275FCA" w:rsidR="001855F9">
        <w:rPr>
          <w:lang w:val="en-GB"/>
        </w:rPr>
        <w:t xml:space="preserve">also </w:t>
      </w:r>
      <w:r w:rsidRPr="00275FCA" w:rsidR="00CE16B9">
        <w:rPr>
          <w:lang w:val="en-GB"/>
        </w:rPr>
        <w:t>notes that it is not inadmissible on any other grounds. It must therefore be declared admissible.</w:t>
      </w:r>
    </w:p>
    <w:p w:rsidRPr="00275FCA" w:rsidR="00973F00" w:rsidP="00275FCA" w:rsidRDefault="00294F7E">
      <w:pPr>
        <w:pStyle w:val="ECHRHeading2"/>
        <w:rPr>
          <w:lang w:val="en-GB"/>
        </w:rPr>
      </w:pPr>
      <w:r w:rsidRPr="00275FCA">
        <w:rPr>
          <w:lang w:val="en-GB"/>
        </w:rPr>
        <w:t>B</w:t>
      </w:r>
      <w:r w:rsidRPr="00275FCA" w:rsidR="008E3634">
        <w:rPr>
          <w:lang w:val="en-GB"/>
        </w:rPr>
        <w:t>.  </w:t>
      </w:r>
      <w:r w:rsidRPr="00275FCA" w:rsidR="00973F00">
        <w:rPr>
          <w:lang w:val="en-GB"/>
        </w:rPr>
        <w:t>Merits</w:t>
      </w:r>
    </w:p>
    <w:p w:rsidRPr="00275FCA" w:rsidR="00973F00" w:rsidP="00275FCA" w:rsidRDefault="008E3634">
      <w:pPr>
        <w:pStyle w:val="ECHRHeading3"/>
        <w:rPr>
          <w:lang w:val="en-GB"/>
        </w:rPr>
      </w:pPr>
      <w:r w:rsidRPr="00275FCA">
        <w:rPr>
          <w:lang w:val="en-GB"/>
        </w:rPr>
        <w:t>1.  </w:t>
      </w:r>
      <w:r w:rsidRPr="00275FCA" w:rsidR="00973F00">
        <w:rPr>
          <w:lang w:val="en-GB"/>
        </w:rPr>
        <w:t>The parties</w:t>
      </w:r>
      <w:r w:rsidRPr="00275FCA" w:rsidR="00275FCA">
        <w:rPr>
          <w:lang w:val="en-GB"/>
        </w:rPr>
        <w:t>’</w:t>
      </w:r>
      <w:r w:rsidRPr="00275FCA" w:rsidR="00973F00">
        <w:rPr>
          <w:lang w:val="en-GB"/>
        </w:rPr>
        <w:t xml:space="preserve"> arguments</w:t>
      </w:r>
    </w:p>
    <w:p w:rsidRPr="00275FCA" w:rsidR="00973F00" w:rsidP="00275FCA" w:rsidRDefault="00973F00">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83</w:t>
      </w:r>
      <w:r w:rsidRPr="00275FCA">
        <w:rPr>
          <w:lang w:val="en-GB"/>
        </w:rPr>
        <w:fldChar w:fldCharType="end"/>
      </w:r>
      <w:r w:rsidRPr="00275FCA">
        <w:rPr>
          <w:lang w:val="en-GB"/>
        </w:rPr>
        <w:t xml:space="preserve">.  The applicants maintained </w:t>
      </w:r>
      <w:r w:rsidRPr="00275FCA" w:rsidR="00AD63B2">
        <w:rPr>
          <w:lang w:val="en-GB"/>
        </w:rPr>
        <w:t xml:space="preserve">in their observations </w:t>
      </w:r>
      <w:r w:rsidRPr="00275FCA">
        <w:rPr>
          <w:lang w:val="en-GB"/>
        </w:rPr>
        <w:t xml:space="preserve">that </w:t>
      </w:r>
      <w:r w:rsidRPr="00275FCA" w:rsidR="009901EB">
        <w:rPr>
          <w:lang w:val="en-GB"/>
        </w:rPr>
        <w:t xml:space="preserve">they had been prevented from </w:t>
      </w:r>
      <w:r w:rsidRPr="00275FCA" w:rsidR="0045513B">
        <w:rPr>
          <w:lang w:val="en-GB"/>
        </w:rPr>
        <w:t xml:space="preserve">exercising </w:t>
      </w:r>
      <w:r w:rsidRPr="00275FCA" w:rsidR="009901EB">
        <w:rPr>
          <w:lang w:val="en-GB"/>
        </w:rPr>
        <w:t>their democratic right to submit a petition</w:t>
      </w:r>
      <w:r w:rsidRPr="00275FCA" w:rsidR="0045513B">
        <w:rPr>
          <w:lang w:val="en-GB"/>
        </w:rPr>
        <w:t>, which amounted to an infringement of their right to freedom of expression under Article 10 of the Convention</w:t>
      </w:r>
      <w:r w:rsidRPr="00275FCA" w:rsidR="009901EB">
        <w:rPr>
          <w:lang w:val="en-GB"/>
        </w:rPr>
        <w:t>.</w:t>
      </w:r>
    </w:p>
    <w:p w:rsidRPr="00275FCA" w:rsidR="0010334B" w:rsidP="00275FCA" w:rsidRDefault="0010334B">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84</w:t>
      </w:r>
      <w:r w:rsidRPr="00275FCA">
        <w:rPr>
          <w:lang w:val="en-GB"/>
        </w:rPr>
        <w:fldChar w:fldCharType="end"/>
      </w:r>
      <w:r w:rsidRPr="00275FCA">
        <w:rPr>
          <w:lang w:val="en-GB"/>
        </w:rPr>
        <w:t>.  The Government argued that there had been no interference with the applicants</w:t>
      </w:r>
      <w:r w:rsidRPr="00275FCA" w:rsidR="00275FCA">
        <w:rPr>
          <w:lang w:val="en-GB"/>
        </w:rPr>
        <w:t>’</w:t>
      </w:r>
      <w:r w:rsidRPr="00275FCA">
        <w:rPr>
          <w:lang w:val="en-GB"/>
        </w:rPr>
        <w:t xml:space="preserve"> right to freedom of expression under Article 10. They claimed in this connection that the petitions that </w:t>
      </w:r>
      <w:r w:rsidRPr="00275FCA" w:rsidR="00223AB9">
        <w:rPr>
          <w:lang w:val="en-GB"/>
        </w:rPr>
        <w:t xml:space="preserve">had been </w:t>
      </w:r>
      <w:r w:rsidRPr="00275FCA">
        <w:rPr>
          <w:lang w:val="en-GB"/>
        </w:rPr>
        <w:t xml:space="preserve">the subject matter of the criminal proceedings in the instant case had been submitted as part of a collective action organised by the PKK, a terrorist organisation, </w:t>
      </w:r>
      <w:r w:rsidRPr="00275FCA" w:rsidR="00161E5D">
        <w:rPr>
          <w:lang w:val="en-GB"/>
        </w:rPr>
        <w:t>as</w:t>
      </w:r>
      <w:r w:rsidRPr="00275FCA">
        <w:rPr>
          <w:lang w:val="en-GB"/>
        </w:rPr>
        <w:t xml:space="preserve"> </w:t>
      </w:r>
      <w:r w:rsidRPr="00275FCA" w:rsidR="00223AB9">
        <w:rPr>
          <w:lang w:val="en-GB"/>
        </w:rPr>
        <w:t>could be seen from</w:t>
      </w:r>
      <w:r w:rsidRPr="00275FCA">
        <w:rPr>
          <w:lang w:val="en-GB"/>
        </w:rPr>
        <w:t xml:space="preserve"> the</w:t>
      </w:r>
      <w:r w:rsidRPr="00275FCA" w:rsidR="002B3F68">
        <w:rPr>
          <w:lang w:val="en-GB"/>
        </w:rPr>
        <w:t>ir</w:t>
      </w:r>
      <w:r w:rsidRPr="00275FCA">
        <w:rPr>
          <w:lang w:val="en-GB"/>
        </w:rPr>
        <w:t xml:space="preserve"> virtually identical wording and </w:t>
      </w:r>
      <w:r w:rsidRPr="00275FCA" w:rsidR="00D11A17">
        <w:rPr>
          <w:lang w:val="en-GB"/>
        </w:rPr>
        <w:t xml:space="preserve">the </w:t>
      </w:r>
      <w:r w:rsidRPr="00275FCA" w:rsidR="00D345B2">
        <w:rPr>
          <w:lang w:val="en-GB"/>
        </w:rPr>
        <w:t>timing of their submission</w:t>
      </w:r>
      <w:r w:rsidRPr="00275FCA">
        <w:rPr>
          <w:lang w:val="en-GB"/>
        </w:rPr>
        <w:t xml:space="preserve">. In these circumstances, the criminal investigation </w:t>
      </w:r>
      <w:r w:rsidRPr="00275FCA" w:rsidR="00161E5D">
        <w:rPr>
          <w:lang w:val="en-GB"/>
        </w:rPr>
        <w:t>initiated in relation to th</w:t>
      </w:r>
      <w:r w:rsidRPr="00275FCA" w:rsidR="00D9748A">
        <w:rPr>
          <w:lang w:val="en-GB"/>
        </w:rPr>
        <w:t>o</w:t>
      </w:r>
      <w:r w:rsidRPr="00275FCA" w:rsidR="00161E5D">
        <w:rPr>
          <w:lang w:val="en-GB"/>
        </w:rPr>
        <w:t>se petitions</w:t>
      </w:r>
      <w:r w:rsidRPr="00275FCA">
        <w:rPr>
          <w:lang w:val="en-GB"/>
        </w:rPr>
        <w:t xml:space="preserve"> </w:t>
      </w:r>
      <w:r w:rsidRPr="00275FCA" w:rsidR="00D9748A">
        <w:rPr>
          <w:lang w:val="en-GB"/>
        </w:rPr>
        <w:t>had been</w:t>
      </w:r>
      <w:r w:rsidRPr="00275FCA">
        <w:rPr>
          <w:lang w:val="en-GB"/>
        </w:rPr>
        <w:t xml:space="preserve"> prescribed by law and necessary in a democratic society in the interests of the prevention of disorder. They</w:t>
      </w:r>
      <w:r w:rsidRPr="00275FCA" w:rsidR="00D345B2">
        <w:rPr>
          <w:lang w:val="en-GB"/>
        </w:rPr>
        <w:t xml:space="preserve"> </w:t>
      </w:r>
      <w:r w:rsidRPr="00275FCA" w:rsidR="00756148">
        <w:rPr>
          <w:lang w:val="en-GB"/>
        </w:rPr>
        <w:t xml:space="preserve">also </w:t>
      </w:r>
      <w:r w:rsidRPr="00275FCA" w:rsidR="00D345B2">
        <w:rPr>
          <w:lang w:val="en-GB"/>
        </w:rPr>
        <w:t xml:space="preserve">argued that even if an </w:t>
      </w:r>
      <w:r w:rsidRPr="00275FCA">
        <w:rPr>
          <w:lang w:val="en-GB"/>
        </w:rPr>
        <w:t xml:space="preserve">interference were </w:t>
      </w:r>
      <w:r w:rsidRPr="00275FCA" w:rsidR="005F1DF0">
        <w:rPr>
          <w:lang w:val="en-GB"/>
        </w:rPr>
        <w:t xml:space="preserve">to be </w:t>
      </w:r>
      <w:r w:rsidRPr="00275FCA">
        <w:rPr>
          <w:lang w:val="en-GB"/>
        </w:rPr>
        <w:t xml:space="preserve">found on the facts, the applicants </w:t>
      </w:r>
      <w:r w:rsidRPr="00275FCA" w:rsidR="005F1DF0">
        <w:rPr>
          <w:lang w:val="en-GB"/>
        </w:rPr>
        <w:t xml:space="preserve">had been </w:t>
      </w:r>
      <w:r w:rsidRPr="00275FCA">
        <w:rPr>
          <w:lang w:val="en-GB"/>
        </w:rPr>
        <w:t xml:space="preserve">acquitted at the end of the criminal proceedings and there </w:t>
      </w:r>
      <w:r w:rsidRPr="00275FCA" w:rsidR="002B3F68">
        <w:rPr>
          <w:lang w:val="en-GB"/>
        </w:rPr>
        <w:t>had</w:t>
      </w:r>
      <w:r w:rsidRPr="00275FCA">
        <w:rPr>
          <w:lang w:val="en-GB"/>
        </w:rPr>
        <w:t xml:space="preserve"> therefore</w:t>
      </w:r>
      <w:r w:rsidRPr="00275FCA" w:rsidR="00D345B2">
        <w:rPr>
          <w:lang w:val="en-GB"/>
        </w:rPr>
        <w:t xml:space="preserve"> been </w:t>
      </w:r>
      <w:r w:rsidRPr="00275FCA" w:rsidR="005F1DF0">
        <w:rPr>
          <w:lang w:val="en-GB"/>
        </w:rPr>
        <w:t>no</w:t>
      </w:r>
      <w:r w:rsidRPr="00275FCA" w:rsidR="002B3F68">
        <w:rPr>
          <w:lang w:val="en-GB"/>
        </w:rPr>
        <w:t xml:space="preserve"> violation of their right to freedom of expression.</w:t>
      </w:r>
    </w:p>
    <w:p w:rsidRPr="00275FCA" w:rsidR="00161E5D" w:rsidP="00275FCA" w:rsidRDefault="008E3634">
      <w:pPr>
        <w:pStyle w:val="ECHRHeading3"/>
        <w:rPr>
          <w:lang w:val="en-GB"/>
        </w:rPr>
      </w:pPr>
      <w:r w:rsidRPr="00275FCA">
        <w:rPr>
          <w:lang w:val="en-GB"/>
        </w:rPr>
        <w:t>2.  </w:t>
      </w:r>
      <w:r w:rsidRPr="00275FCA" w:rsidR="00161E5D">
        <w:rPr>
          <w:lang w:val="en-GB"/>
        </w:rPr>
        <w:t>The Court</w:t>
      </w:r>
      <w:r w:rsidRPr="00275FCA" w:rsidR="00275FCA">
        <w:rPr>
          <w:lang w:val="en-GB"/>
        </w:rPr>
        <w:t>’</w:t>
      </w:r>
      <w:r w:rsidRPr="00275FCA" w:rsidR="00161E5D">
        <w:rPr>
          <w:lang w:val="en-GB"/>
        </w:rPr>
        <w:t>s assessment</w:t>
      </w:r>
    </w:p>
    <w:p w:rsidRPr="00275FCA" w:rsidR="00161E5D" w:rsidP="00275FCA" w:rsidRDefault="00161E5D">
      <w:pPr>
        <w:pStyle w:val="ECHRHeading4"/>
        <w:rPr>
          <w:lang w:val="en-GB"/>
        </w:rPr>
      </w:pPr>
      <w:r w:rsidRPr="00275FCA">
        <w:rPr>
          <w:lang w:val="en-GB"/>
        </w:rPr>
        <w:t>(a)</w:t>
      </w:r>
      <w:r w:rsidRPr="00275FCA" w:rsidR="008E3634">
        <w:rPr>
          <w:lang w:val="en-GB"/>
        </w:rPr>
        <w:t>  </w:t>
      </w:r>
      <w:r w:rsidRPr="00275FCA" w:rsidR="00F67462">
        <w:rPr>
          <w:lang w:val="en-GB"/>
        </w:rPr>
        <w:t>Existence of an interference</w:t>
      </w:r>
    </w:p>
    <w:p w:rsidRPr="00275FCA" w:rsidR="002D606B" w:rsidP="00275FCA" w:rsidRDefault="00161E5D">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85</w:t>
      </w:r>
      <w:r w:rsidRPr="00275FCA">
        <w:rPr>
          <w:lang w:val="en-GB"/>
        </w:rPr>
        <w:fldChar w:fldCharType="end"/>
      </w:r>
      <w:r w:rsidRPr="00275FCA">
        <w:rPr>
          <w:lang w:val="en-GB"/>
        </w:rPr>
        <w:t>.  </w:t>
      </w:r>
      <w:r w:rsidRPr="00275FCA" w:rsidR="00F67462">
        <w:rPr>
          <w:lang w:val="en-GB"/>
        </w:rPr>
        <w:t>The Court observes that the applicants submitted petition</w:t>
      </w:r>
      <w:r w:rsidRPr="00275FCA" w:rsidR="00B10B78">
        <w:rPr>
          <w:lang w:val="en-GB"/>
        </w:rPr>
        <w:t>s</w:t>
      </w:r>
      <w:r w:rsidRPr="00275FCA" w:rsidR="00F67462">
        <w:rPr>
          <w:lang w:val="en-GB"/>
        </w:rPr>
        <w:t xml:space="preserve"> </w:t>
      </w:r>
      <w:r w:rsidRPr="00275FCA" w:rsidR="00545AA0">
        <w:rPr>
          <w:lang w:val="en-GB"/>
        </w:rPr>
        <w:t xml:space="preserve">to </w:t>
      </w:r>
      <w:r w:rsidRPr="00275FCA" w:rsidR="00B10B78">
        <w:rPr>
          <w:lang w:val="en-GB"/>
        </w:rPr>
        <w:t>certain</w:t>
      </w:r>
      <w:r w:rsidRPr="00275FCA" w:rsidR="00545AA0">
        <w:rPr>
          <w:lang w:val="en-GB"/>
        </w:rPr>
        <w:t xml:space="preserve"> State authorities </w:t>
      </w:r>
      <w:r w:rsidRPr="00275FCA" w:rsidR="00F67462">
        <w:rPr>
          <w:lang w:val="en-GB"/>
        </w:rPr>
        <w:t xml:space="preserve">requesting education in Kurdish for their children – an act provided for under the Constitution and </w:t>
      </w:r>
      <w:r w:rsidRPr="00275FCA" w:rsidR="00E02FB7">
        <w:rPr>
          <w:lang w:val="en-GB"/>
        </w:rPr>
        <w:t xml:space="preserve">a medium </w:t>
      </w:r>
      <w:r w:rsidRPr="00275FCA" w:rsidR="00F67462">
        <w:rPr>
          <w:lang w:val="en-GB"/>
        </w:rPr>
        <w:t>through which they were exercising their right to freedom of expression. As a result</w:t>
      </w:r>
      <w:r w:rsidRPr="00275FCA" w:rsidR="00796451">
        <w:rPr>
          <w:lang w:val="en-GB"/>
        </w:rPr>
        <w:t xml:space="preserve"> of </w:t>
      </w:r>
      <w:r w:rsidRPr="00275FCA" w:rsidR="001855F9">
        <w:rPr>
          <w:lang w:val="en-GB"/>
        </w:rPr>
        <w:t xml:space="preserve">them </w:t>
      </w:r>
      <w:r w:rsidRPr="00275FCA" w:rsidR="00796451">
        <w:rPr>
          <w:lang w:val="en-GB"/>
        </w:rPr>
        <w:t>express</w:t>
      </w:r>
      <w:r w:rsidRPr="00275FCA" w:rsidR="001855F9">
        <w:rPr>
          <w:lang w:val="en-GB"/>
        </w:rPr>
        <w:t>ing</w:t>
      </w:r>
      <w:r w:rsidRPr="00275FCA" w:rsidR="00796451">
        <w:rPr>
          <w:lang w:val="en-GB"/>
        </w:rPr>
        <w:t xml:space="preserve"> their opinion on </w:t>
      </w:r>
      <w:r w:rsidRPr="00275FCA" w:rsidR="00F90292">
        <w:rPr>
          <w:lang w:val="en-GB"/>
        </w:rPr>
        <w:t xml:space="preserve">the subject of </w:t>
      </w:r>
      <w:r w:rsidRPr="00275FCA" w:rsidR="00A43F4F">
        <w:rPr>
          <w:lang w:val="en-GB"/>
        </w:rPr>
        <w:t xml:space="preserve">education in </w:t>
      </w:r>
      <w:r w:rsidRPr="00275FCA" w:rsidR="006B51A1">
        <w:rPr>
          <w:lang w:val="en-GB"/>
        </w:rPr>
        <w:t xml:space="preserve">Kurdish </w:t>
      </w:r>
      <w:r w:rsidRPr="00275FCA" w:rsidR="00F90292">
        <w:rPr>
          <w:lang w:val="en-GB"/>
        </w:rPr>
        <w:t xml:space="preserve">in </w:t>
      </w:r>
      <w:r w:rsidRPr="00275FCA" w:rsidR="00FB36C0">
        <w:rPr>
          <w:lang w:val="en-GB"/>
        </w:rPr>
        <w:t>that</w:t>
      </w:r>
      <w:r w:rsidRPr="00275FCA" w:rsidR="00F90292">
        <w:rPr>
          <w:lang w:val="en-GB"/>
        </w:rPr>
        <w:t xml:space="preserve"> manner</w:t>
      </w:r>
      <w:r w:rsidRPr="00275FCA" w:rsidR="00F67462">
        <w:rPr>
          <w:lang w:val="en-GB"/>
        </w:rPr>
        <w:t>, their ho</w:t>
      </w:r>
      <w:r w:rsidRPr="00275FCA" w:rsidR="00FF4E38">
        <w:rPr>
          <w:lang w:val="en-GB"/>
        </w:rPr>
        <w:t>mes</w:t>
      </w:r>
      <w:r w:rsidRPr="00275FCA" w:rsidR="00F67462">
        <w:rPr>
          <w:lang w:val="en-GB"/>
        </w:rPr>
        <w:t xml:space="preserve"> were searched, they were arrested and taken into police custody </w:t>
      </w:r>
      <w:r w:rsidRPr="00275FCA" w:rsidR="00FA136D">
        <w:rPr>
          <w:lang w:val="en-GB"/>
        </w:rPr>
        <w:t xml:space="preserve">for approximately four days </w:t>
      </w:r>
      <w:r w:rsidRPr="00275FCA" w:rsidR="00F67462">
        <w:rPr>
          <w:lang w:val="en-GB"/>
        </w:rPr>
        <w:t>and some of them were</w:t>
      </w:r>
      <w:r w:rsidRPr="00275FCA" w:rsidR="00934055">
        <w:rPr>
          <w:lang w:val="en-GB"/>
        </w:rPr>
        <w:t xml:space="preserve"> </w:t>
      </w:r>
      <w:r w:rsidRPr="00275FCA" w:rsidR="00F67462">
        <w:rPr>
          <w:lang w:val="en-GB"/>
        </w:rPr>
        <w:t>remanded in custody</w:t>
      </w:r>
      <w:r w:rsidRPr="00275FCA" w:rsidR="00B10B78">
        <w:rPr>
          <w:lang w:val="en-GB"/>
        </w:rPr>
        <w:t xml:space="preserve"> </w:t>
      </w:r>
      <w:r w:rsidRPr="00275FCA" w:rsidR="00F90292">
        <w:rPr>
          <w:lang w:val="en-GB"/>
        </w:rPr>
        <w:t xml:space="preserve">for almost a month </w:t>
      </w:r>
      <w:r w:rsidRPr="00275FCA" w:rsidR="00934055">
        <w:rPr>
          <w:lang w:val="en-GB"/>
        </w:rPr>
        <w:t>afterwards</w:t>
      </w:r>
      <w:r w:rsidRPr="00275FCA" w:rsidR="00F67462">
        <w:rPr>
          <w:lang w:val="en-GB"/>
        </w:rPr>
        <w:t>. Subs</w:t>
      </w:r>
      <w:r w:rsidRPr="00275FCA" w:rsidR="00B10B78">
        <w:rPr>
          <w:lang w:val="en-GB"/>
        </w:rPr>
        <w:t xml:space="preserve">equently, criminal proceedings </w:t>
      </w:r>
      <w:r w:rsidRPr="00275FCA" w:rsidR="00F67462">
        <w:rPr>
          <w:lang w:val="en-GB"/>
        </w:rPr>
        <w:t>were brought against them for aiding and abetting an illegal armed organi</w:t>
      </w:r>
      <w:r w:rsidRPr="00275FCA" w:rsidR="002D606B">
        <w:rPr>
          <w:lang w:val="en-GB"/>
        </w:rPr>
        <w:t>s</w:t>
      </w:r>
      <w:r w:rsidRPr="00275FCA" w:rsidR="00B10B78">
        <w:rPr>
          <w:lang w:val="en-GB"/>
        </w:rPr>
        <w:t>ation</w:t>
      </w:r>
      <w:r w:rsidRPr="00275FCA" w:rsidR="00F67462">
        <w:rPr>
          <w:lang w:val="en-GB"/>
        </w:rPr>
        <w:t xml:space="preserve"> pursuant to Article 169 of the Criminal Code, </w:t>
      </w:r>
      <w:r w:rsidRPr="00275FCA" w:rsidR="00894C54">
        <w:rPr>
          <w:lang w:val="en-GB"/>
        </w:rPr>
        <w:t>an offence punishable by three to five years</w:t>
      </w:r>
      <w:r w:rsidRPr="00275FCA" w:rsidR="00275FCA">
        <w:rPr>
          <w:lang w:val="en-GB"/>
        </w:rPr>
        <w:t>’</w:t>
      </w:r>
      <w:r w:rsidRPr="00275FCA" w:rsidR="00894C54">
        <w:rPr>
          <w:lang w:val="en-GB"/>
        </w:rPr>
        <w:t xml:space="preserve"> </w:t>
      </w:r>
      <w:r w:rsidRPr="00275FCA" w:rsidR="00E46AE0">
        <w:rPr>
          <w:lang w:val="en-GB"/>
        </w:rPr>
        <w:t>“</w:t>
      </w:r>
      <w:r w:rsidRPr="00275FCA" w:rsidR="00894C54">
        <w:rPr>
          <w:lang w:val="en-GB"/>
        </w:rPr>
        <w:t>heavy imprisonment</w:t>
      </w:r>
      <w:r w:rsidRPr="00275FCA" w:rsidR="00E46AE0">
        <w:rPr>
          <w:lang w:val="en-GB"/>
        </w:rPr>
        <w:t>”</w:t>
      </w:r>
      <w:r w:rsidRPr="00275FCA" w:rsidR="00894C54">
        <w:rPr>
          <w:lang w:val="en-GB"/>
        </w:rPr>
        <w:t xml:space="preserve">, and they were </w:t>
      </w:r>
      <w:r w:rsidRPr="00275FCA" w:rsidR="00D11A17">
        <w:rPr>
          <w:lang w:val="en-GB"/>
        </w:rPr>
        <w:t xml:space="preserve">on </w:t>
      </w:r>
      <w:r w:rsidRPr="00275FCA" w:rsidR="00894C54">
        <w:rPr>
          <w:lang w:val="en-GB"/>
        </w:rPr>
        <w:t>tri</w:t>
      </w:r>
      <w:r w:rsidRPr="00275FCA" w:rsidR="00D11A17">
        <w:rPr>
          <w:lang w:val="en-GB"/>
        </w:rPr>
        <w:t>al</w:t>
      </w:r>
      <w:r w:rsidRPr="00275FCA" w:rsidR="00894C54">
        <w:rPr>
          <w:lang w:val="en-GB"/>
        </w:rPr>
        <w:t xml:space="preserve"> before a </w:t>
      </w:r>
      <w:r w:rsidRPr="00275FCA" w:rsidR="00F67462">
        <w:rPr>
          <w:lang w:val="en-GB"/>
        </w:rPr>
        <w:t>State Security Court</w:t>
      </w:r>
      <w:r w:rsidRPr="00275FCA" w:rsidR="00B10B78">
        <w:rPr>
          <w:lang w:val="en-GB"/>
        </w:rPr>
        <w:t xml:space="preserve"> for </w:t>
      </w:r>
      <w:r w:rsidRPr="00275FCA" w:rsidR="00894C54">
        <w:rPr>
          <w:lang w:val="en-GB"/>
        </w:rPr>
        <w:t>over</w:t>
      </w:r>
      <w:r w:rsidRPr="00275FCA" w:rsidR="00FF4E38">
        <w:rPr>
          <w:lang w:val="en-GB"/>
        </w:rPr>
        <w:t xml:space="preserve"> a</w:t>
      </w:r>
      <w:r w:rsidRPr="00275FCA" w:rsidR="00894C54">
        <w:rPr>
          <w:lang w:val="en-GB"/>
        </w:rPr>
        <w:t xml:space="preserve"> year and four months</w:t>
      </w:r>
      <w:r w:rsidRPr="00275FCA" w:rsidR="003720D5">
        <w:rPr>
          <w:lang w:val="en-GB"/>
        </w:rPr>
        <w:t xml:space="preserve"> </w:t>
      </w:r>
      <w:r w:rsidRPr="00275FCA" w:rsidR="00934055">
        <w:rPr>
          <w:lang w:val="en-GB"/>
        </w:rPr>
        <w:t>on</w:t>
      </w:r>
      <w:r w:rsidRPr="00275FCA" w:rsidR="00D9748A">
        <w:rPr>
          <w:lang w:val="en-GB"/>
        </w:rPr>
        <w:t xml:space="preserve"> those charges</w:t>
      </w:r>
      <w:r w:rsidRPr="00275FCA" w:rsidR="008E3634">
        <w:rPr>
          <w:lang w:val="en-GB"/>
        </w:rPr>
        <w:t>.</w:t>
      </w:r>
    </w:p>
    <w:p w:rsidRPr="00275FCA" w:rsidR="00A469D6" w:rsidP="00275FCA" w:rsidRDefault="0085551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86</w:t>
      </w:r>
      <w:r w:rsidRPr="00275FCA">
        <w:rPr>
          <w:noProof/>
          <w:lang w:val="en-GB"/>
        </w:rPr>
        <w:fldChar w:fldCharType="end"/>
      </w:r>
      <w:r w:rsidRPr="00275FCA" w:rsidR="0023529E">
        <w:rPr>
          <w:lang w:val="en-GB"/>
        </w:rPr>
        <w:t>.  </w:t>
      </w:r>
      <w:r w:rsidRPr="00275FCA" w:rsidR="002F2CAA">
        <w:rPr>
          <w:lang w:val="en-GB"/>
        </w:rPr>
        <w:t>The</w:t>
      </w:r>
      <w:r w:rsidRPr="00275FCA" w:rsidR="00F67462">
        <w:rPr>
          <w:lang w:val="en-GB"/>
        </w:rPr>
        <w:t xml:space="preserve"> Court </w:t>
      </w:r>
      <w:r w:rsidRPr="00275FCA" w:rsidR="000065E2">
        <w:rPr>
          <w:lang w:val="en-GB"/>
        </w:rPr>
        <w:t xml:space="preserve">notes that while the criminal proceedings </w:t>
      </w:r>
      <w:r w:rsidRPr="00275FCA" w:rsidR="00D9748A">
        <w:rPr>
          <w:lang w:val="en-GB"/>
        </w:rPr>
        <w:t>in question</w:t>
      </w:r>
      <w:r w:rsidRPr="00275FCA" w:rsidR="000065E2">
        <w:rPr>
          <w:lang w:val="en-GB"/>
        </w:rPr>
        <w:t xml:space="preserve"> were still pending at the time </w:t>
      </w:r>
      <w:r w:rsidRPr="00275FCA" w:rsidR="00D9748A">
        <w:rPr>
          <w:lang w:val="en-GB"/>
        </w:rPr>
        <w:t>the present application</w:t>
      </w:r>
      <w:r w:rsidRPr="00275FCA" w:rsidR="000065E2">
        <w:rPr>
          <w:lang w:val="en-GB"/>
        </w:rPr>
        <w:t xml:space="preserve"> </w:t>
      </w:r>
      <w:r w:rsidRPr="00275FCA" w:rsidR="00FF4E38">
        <w:rPr>
          <w:lang w:val="en-GB"/>
        </w:rPr>
        <w:t>was lodged</w:t>
      </w:r>
      <w:r w:rsidRPr="00275FCA" w:rsidR="000065E2">
        <w:rPr>
          <w:lang w:val="en-GB"/>
        </w:rPr>
        <w:t>, the</w:t>
      </w:r>
      <w:r w:rsidRPr="00275FCA" w:rsidR="00D9748A">
        <w:rPr>
          <w:lang w:val="en-GB"/>
        </w:rPr>
        <w:t xml:space="preserve"> applicants</w:t>
      </w:r>
      <w:r w:rsidRPr="00275FCA" w:rsidR="002F2CAA">
        <w:rPr>
          <w:lang w:val="en-GB"/>
        </w:rPr>
        <w:t xml:space="preserve"> were eventually acquitted of t</w:t>
      </w:r>
      <w:r w:rsidRPr="00275FCA" w:rsidR="00A469D6">
        <w:rPr>
          <w:lang w:val="en-GB"/>
        </w:rPr>
        <w:t xml:space="preserve">he charges brought against them, which raises the question as to whether </w:t>
      </w:r>
      <w:r w:rsidRPr="00275FCA" w:rsidR="00DE3C4D">
        <w:rPr>
          <w:lang w:val="en-GB"/>
        </w:rPr>
        <w:t xml:space="preserve">there </w:t>
      </w:r>
      <w:r w:rsidRPr="00275FCA" w:rsidR="00856C34">
        <w:rPr>
          <w:lang w:val="en-GB"/>
        </w:rPr>
        <w:t>has</w:t>
      </w:r>
      <w:r w:rsidRPr="00275FCA" w:rsidR="00DE3C4D">
        <w:rPr>
          <w:lang w:val="en-GB"/>
        </w:rPr>
        <w:t xml:space="preserve"> nonetheless </w:t>
      </w:r>
      <w:r w:rsidRPr="00275FCA" w:rsidR="00856C34">
        <w:rPr>
          <w:lang w:val="en-GB"/>
        </w:rPr>
        <w:t xml:space="preserve">been </w:t>
      </w:r>
      <w:r w:rsidRPr="00275FCA" w:rsidR="00DE3C4D">
        <w:rPr>
          <w:lang w:val="en-GB"/>
        </w:rPr>
        <w:t xml:space="preserve">an “interference” with </w:t>
      </w:r>
      <w:r w:rsidRPr="00275FCA" w:rsidR="004507B4">
        <w:rPr>
          <w:lang w:val="en-GB"/>
        </w:rPr>
        <w:t>their</w:t>
      </w:r>
      <w:r w:rsidRPr="00275FCA" w:rsidR="00DE3C4D">
        <w:rPr>
          <w:lang w:val="en-GB"/>
        </w:rPr>
        <w:t xml:space="preserve"> right to freedom of expression and whether </w:t>
      </w:r>
      <w:r w:rsidRPr="00275FCA" w:rsidR="00A469D6">
        <w:rPr>
          <w:lang w:val="en-GB"/>
        </w:rPr>
        <w:t xml:space="preserve">they can still be considered to be </w:t>
      </w:r>
      <w:r w:rsidRPr="00275FCA" w:rsidR="004507B4">
        <w:rPr>
          <w:lang w:val="en-GB"/>
        </w:rPr>
        <w:t>“</w:t>
      </w:r>
      <w:r w:rsidRPr="00275FCA" w:rsidR="00A469D6">
        <w:rPr>
          <w:lang w:val="en-GB"/>
        </w:rPr>
        <w:t>victims</w:t>
      </w:r>
      <w:r w:rsidRPr="00275FCA" w:rsidR="004507B4">
        <w:rPr>
          <w:lang w:val="en-GB"/>
        </w:rPr>
        <w:t>” of an alleged breach of that right</w:t>
      </w:r>
      <w:r w:rsidRPr="00275FCA" w:rsidR="00A469D6">
        <w:rPr>
          <w:lang w:val="en-GB"/>
        </w:rPr>
        <w:t>.</w:t>
      </w:r>
    </w:p>
    <w:p w:rsidRPr="00275FCA" w:rsidR="00856C34" w:rsidP="00275FCA" w:rsidRDefault="004507B4">
      <w:pPr>
        <w:pStyle w:val="ECHRPara"/>
        <w:rPr>
          <w:i/>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87</w:t>
      </w:r>
      <w:r w:rsidRPr="00275FCA">
        <w:rPr>
          <w:lang w:val="en-GB"/>
        </w:rPr>
        <w:fldChar w:fldCharType="end"/>
      </w:r>
      <w:r w:rsidRPr="00275FCA">
        <w:rPr>
          <w:lang w:val="en-GB"/>
        </w:rPr>
        <w:t xml:space="preserve">.  The Court notes in this connection that </w:t>
      </w:r>
      <w:r w:rsidRPr="00275FCA" w:rsidR="000A0045">
        <w:rPr>
          <w:lang w:val="en-GB"/>
        </w:rPr>
        <w:t xml:space="preserve">State action that </w:t>
      </w:r>
      <w:r w:rsidRPr="00275FCA" w:rsidR="00E1491A">
        <w:rPr>
          <w:lang w:val="en-GB"/>
        </w:rPr>
        <w:t>has been found to</w:t>
      </w:r>
      <w:r w:rsidRPr="00275FCA" w:rsidR="000A0045">
        <w:rPr>
          <w:lang w:val="en-GB"/>
        </w:rPr>
        <w:t xml:space="preserve"> amount to an interference with the right to freedom of expression </w:t>
      </w:r>
      <w:r w:rsidRPr="00275FCA" w:rsidR="0030217F">
        <w:rPr>
          <w:lang w:val="en-GB"/>
        </w:rPr>
        <w:t>encompasses</w:t>
      </w:r>
      <w:r w:rsidRPr="00275FCA" w:rsidR="000A0045">
        <w:rPr>
          <w:lang w:val="en-GB"/>
        </w:rPr>
        <w:t xml:space="preserve"> a wide variety of measures</w:t>
      </w:r>
      <w:r w:rsidRPr="00275FCA" w:rsidR="0030217F">
        <w:rPr>
          <w:lang w:val="en-GB"/>
        </w:rPr>
        <w:t xml:space="preserve"> </w:t>
      </w:r>
      <w:r w:rsidRPr="00275FCA" w:rsidR="0030217F">
        <w:t>–</w:t>
      </w:r>
      <w:r w:rsidRPr="00275FCA" w:rsidR="00856C34">
        <w:t xml:space="preserve"> mainly</w:t>
      </w:r>
      <w:r w:rsidRPr="00275FCA" w:rsidR="0030217F">
        <w:t xml:space="preserve"> in the form of a “formality, condition, restriction or penalty” (see</w:t>
      </w:r>
      <w:r w:rsidRPr="00275FCA" w:rsidR="00856C34">
        <w:t xml:space="preserve">, </w:t>
      </w:r>
      <w:r w:rsidRPr="00275FCA" w:rsidR="00856C34">
        <w:rPr>
          <w:i/>
        </w:rPr>
        <w:t>mutatis mutandis</w:t>
      </w:r>
      <w:r w:rsidRPr="00275FCA" w:rsidR="00856C34">
        <w:t>,</w:t>
      </w:r>
      <w:r w:rsidRPr="00275FCA" w:rsidR="0030217F">
        <w:t xml:space="preserve"> </w:t>
      </w:r>
      <w:r w:rsidRPr="00275FCA" w:rsidR="0030217F">
        <w:rPr>
          <w:i/>
          <w:lang w:val="en-GB"/>
        </w:rPr>
        <w:t>Wille v.</w:t>
      </w:r>
      <w:r w:rsidRPr="00275FCA" w:rsidR="009F3C89">
        <w:rPr>
          <w:i/>
          <w:lang w:val="en-GB"/>
        </w:rPr>
        <w:t> </w:t>
      </w:r>
      <w:r w:rsidRPr="00275FCA" w:rsidR="0030217F">
        <w:rPr>
          <w:i/>
          <w:lang w:val="en-GB"/>
        </w:rPr>
        <w:t>Liechtenstein</w:t>
      </w:r>
      <w:r w:rsidRPr="00275FCA" w:rsidR="0030217F">
        <w:rPr>
          <w:lang w:val="en-GB"/>
        </w:rPr>
        <w:t xml:space="preserve"> [GC], no. 28396/95, § 43, ECHR 1999</w:t>
      </w:r>
      <w:r w:rsidRPr="00275FCA" w:rsidR="0030217F">
        <w:rPr>
          <w:lang w:val="en-GB"/>
        </w:rPr>
        <w:noBreakHyphen/>
        <w:t>VII</w:t>
      </w:r>
      <w:r w:rsidRPr="00275FCA" w:rsidR="0030217F">
        <w:t>) –</w:t>
      </w:r>
      <w:r w:rsidRPr="00275FCA" w:rsidR="000A0045">
        <w:rPr>
          <w:lang w:val="en-GB"/>
        </w:rPr>
        <w:t xml:space="preserve"> </w:t>
      </w:r>
      <w:r w:rsidRPr="00275FCA" w:rsidR="00E1491A">
        <w:rPr>
          <w:lang w:val="en-GB"/>
        </w:rPr>
        <w:t xml:space="preserve">and may include, depending on the circumstances, </w:t>
      </w:r>
      <w:r w:rsidRPr="00275FCA" w:rsidR="000A0045">
        <w:rPr>
          <w:lang w:val="en-GB"/>
        </w:rPr>
        <w:t>criminal proceedings not culminating in a criminal conviction</w:t>
      </w:r>
      <w:r w:rsidRPr="00275FCA" w:rsidR="00E1491A">
        <w:rPr>
          <w:lang w:val="en-GB"/>
        </w:rPr>
        <w:t xml:space="preserve"> (see, for instance, </w:t>
      </w:r>
      <w:r w:rsidRPr="00275FCA" w:rsidR="00856C34">
        <w:rPr>
          <w:i/>
          <w:lang w:val="en-GB"/>
        </w:rPr>
        <w:t>Altuğ Taner Akçam v.</w:t>
      </w:r>
      <w:r w:rsidRPr="00275FCA" w:rsidR="009F3C89">
        <w:rPr>
          <w:i/>
          <w:lang w:val="en-GB"/>
        </w:rPr>
        <w:t> </w:t>
      </w:r>
      <w:r w:rsidRPr="00275FCA" w:rsidR="00856C34">
        <w:rPr>
          <w:i/>
          <w:lang w:val="en-GB"/>
        </w:rPr>
        <w:t>Turkey</w:t>
      </w:r>
      <w:r w:rsidRPr="00275FCA" w:rsidR="00856C34">
        <w:rPr>
          <w:lang w:val="en-GB"/>
        </w:rPr>
        <w:t>, no. 27520/07</w:t>
      </w:r>
      <w:r w:rsidRPr="00275FCA" w:rsidR="00856C34">
        <w:rPr>
          <w:snapToGrid w:val="0"/>
          <w:szCs w:val="24"/>
          <w:lang w:val="en-GB"/>
        </w:rPr>
        <w:t xml:space="preserve">, §§ 65-83, 25 October 2011, and </w:t>
      </w:r>
      <w:r w:rsidRPr="00275FCA" w:rsidR="00856C34">
        <w:rPr>
          <w:i/>
          <w:lang w:val="en-GB"/>
        </w:rPr>
        <w:t>Dilipak v. Turkey</w:t>
      </w:r>
      <w:r w:rsidRPr="00275FCA" w:rsidR="00856C34">
        <w:rPr>
          <w:lang w:val="en-GB"/>
        </w:rPr>
        <w:t>, no. 29680/05</w:t>
      </w:r>
      <w:r w:rsidRPr="00275FCA" w:rsidR="00856C34">
        <w:rPr>
          <w:snapToGrid w:val="0"/>
          <w:lang w:val="en-GB"/>
        </w:rPr>
        <w:t>, §§ 40-51, 15 September 2015 and the cases cited therein).</w:t>
      </w:r>
    </w:p>
    <w:p w:rsidRPr="00275FCA" w:rsidR="00091AC2" w:rsidP="00275FCA" w:rsidRDefault="00D241DB">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88</w:t>
      </w:r>
      <w:r w:rsidRPr="00275FCA">
        <w:rPr>
          <w:lang w:val="en-GB"/>
        </w:rPr>
        <w:fldChar w:fldCharType="end"/>
      </w:r>
      <w:r w:rsidRPr="00275FCA">
        <w:rPr>
          <w:lang w:val="en-GB"/>
        </w:rPr>
        <w:t>.  </w:t>
      </w:r>
      <w:r w:rsidRPr="00275FCA" w:rsidR="00091AC2">
        <w:rPr>
          <w:lang w:val="en-GB"/>
        </w:rPr>
        <w:t xml:space="preserve">Turning to the facts </w:t>
      </w:r>
      <w:r w:rsidRPr="00275FCA" w:rsidR="0062603B">
        <w:rPr>
          <w:lang w:val="en-GB"/>
        </w:rPr>
        <w:t>of the present case</w:t>
      </w:r>
      <w:r w:rsidRPr="00275FCA" w:rsidR="00091AC2">
        <w:rPr>
          <w:lang w:val="en-GB"/>
        </w:rPr>
        <w:t>, the Court considers that regardless of the outcome of the criminal proceedings at issue, the string of measures that the applicants faced within the framework of those proceedings for merely petition</w:t>
      </w:r>
      <w:r w:rsidRPr="00275FCA" w:rsidR="00FB36C0">
        <w:rPr>
          <w:lang w:val="en-GB"/>
        </w:rPr>
        <w:t>ing</w:t>
      </w:r>
      <w:r w:rsidRPr="00275FCA" w:rsidR="00091AC2">
        <w:rPr>
          <w:lang w:val="en-GB"/>
        </w:rPr>
        <w:t xml:space="preserve"> the State authorities on a matter of “public interest” (see more in paragraph 10</w:t>
      </w:r>
      <w:r w:rsidRPr="00275FCA" w:rsidR="0078313E">
        <w:rPr>
          <w:lang w:val="en-GB"/>
        </w:rPr>
        <w:t>3</w:t>
      </w:r>
      <w:r w:rsidRPr="00275FCA" w:rsidR="00091AC2">
        <w:rPr>
          <w:lang w:val="en-GB"/>
        </w:rPr>
        <w:t xml:space="preserve"> below)</w:t>
      </w:r>
      <w:r w:rsidRPr="00275FCA" w:rsidR="00E46AE0">
        <w:rPr>
          <w:lang w:val="en-GB"/>
        </w:rPr>
        <w:t xml:space="preserve"> – </w:t>
      </w:r>
      <w:r w:rsidRPr="00275FCA" w:rsidR="00091AC2">
        <w:rPr>
          <w:lang w:val="en-GB"/>
        </w:rPr>
        <w:t>notably their arrest and deprivation of liberty</w:t>
      </w:r>
      <w:r w:rsidRPr="00275FCA" w:rsidR="00E46AE0">
        <w:rPr>
          <w:lang w:val="en-GB"/>
        </w:rPr>
        <w:t xml:space="preserve"> </w:t>
      </w:r>
      <w:r w:rsidRPr="00275FCA" w:rsidR="00E46AE0">
        <w:rPr>
          <w:rFonts w:cstheme="minorHAnsi"/>
          <w:lang w:val="en-GB"/>
        </w:rPr>
        <w:t>–</w:t>
      </w:r>
      <w:r w:rsidRPr="00275FCA" w:rsidR="00091AC2">
        <w:rPr>
          <w:lang w:val="en-GB"/>
        </w:rPr>
        <w:t xml:space="preserve"> amounted to an interference with the exercise of their right to freedom of expression (see, </w:t>
      </w:r>
      <w:r w:rsidRPr="00275FCA" w:rsidR="00091AC2">
        <w:rPr>
          <w:i/>
          <w:lang w:val="en-GB"/>
        </w:rPr>
        <w:t>mutatis mutandis</w:t>
      </w:r>
      <w:r w:rsidRPr="00275FCA" w:rsidR="00091AC2">
        <w:rPr>
          <w:lang w:val="en-GB"/>
        </w:rPr>
        <w:t xml:space="preserve">, </w:t>
      </w:r>
      <w:r w:rsidRPr="00275FCA" w:rsidR="00091AC2">
        <w:rPr>
          <w:i/>
          <w:lang w:val="en-GB"/>
        </w:rPr>
        <w:t>Kandzhov</w:t>
      </w:r>
      <w:r w:rsidRPr="00275FCA" w:rsidR="00091AC2">
        <w:rPr>
          <w:lang w:val="en-GB"/>
        </w:rPr>
        <w:t xml:space="preserve">, </w:t>
      </w:r>
      <w:r w:rsidRPr="00275FCA" w:rsidR="001F43BF">
        <w:rPr>
          <w:lang w:val="en-GB"/>
        </w:rPr>
        <w:t>cited above</w:t>
      </w:r>
      <w:r w:rsidRPr="00275FCA" w:rsidR="00091AC2">
        <w:rPr>
          <w:lang w:val="en-GB"/>
        </w:rPr>
        <w:t>, § 70</w:t>
      </w:r>
      <w:r w:rsidRPr="00275FCA" w:rsidR="00AD63B2">
        <w:rPr>
          <w:lang w:val="en-GB"/>
        </w:rPr>
        <w:t>, and the cases cited therein</w:t>
      </w:r>
      <w:r w:rsidRPr="00275FCA" w:rsidR="008E3634">
        <w:rPr>
          <w:lang w:val="en-GB"/>
        </w:rPr>
        <w:t>).</w:t>
      </w:r>
    </w:p>
    <w:p w:rsidRPr="00275FCA" w:rsidR="004239CD" w:rsidP="00275FCA" w:rsidRDefault="00091AC2">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89</w:t>
      </w:r>
      <w:r w:rsidRPr="00275FCA">
        <w:rPr>
          <w:lang w:val="en-GB"/>
        </w:rPr>
        <w:fldChar w:fldCharType="end"/>
      </w:r>
      <w:r w:rsidRPr="00275FCA">
        <w:rPr>
          <w:lang w:val="en-GB"/>
        </w:rPr>
        <w:t>.  </w:t>
      </w:r>
      <w:r w:rsidRPr="00275FCA" w:rsidR="00756148">
        <w:rPr>
          <w:lang w:val="en-GB"/>
        </w:rPr>
        <w:t>Furthermore, t</w:t>
      </w:r>
      <w:r w:rsidRPr="00275FCA" w:rsidR="006C232C">
        <w:rPr>
          <w:lang w:val="en-GB"/>
        </w:rPr>
        <w:t>he Court considers that the applicants</w:t>
      </w:r>
      <w:r w:rsidRPr="00275FCA" w:rsidR="00275FCA">
        <w:rPr>
          <w:lang w:val="en-GB"/>
        </w:rPr>
        <w:t>’</w:t>
      </w:r>
      <w:r w:rsidRPr="00275FCA" w:rsidR="006C232C">
        <w:rPr>
          <w:lang w:val="en-GB"/>
        </w:rPr>
        <w:t xml:space="preserve"> acquittal at the end of those proceedings did not </w:t>
      </w:r>
      <w:r w:rsidRPr="00275FCA" w:rsidR="004954D6">
        <w:rPr>
          <w:lang w:val="en-GB"/>
        </w:rPr>
        <w:t>automatically</w:t>
      </w:r>
      <w:r w:rsidRPr="00275FCA" w:rsidR="006C232C">
        <w:rPr>
          <w:lang w:val="en-GB"/>
        </w:rPr>
        <w:t xml:space="preserve"> have the effect of removing the effects of the interference with their right to freedom of expression and thus depriving the</w:t>
      </w:r>
      <w:r w:rsidRPr="00275FCA" w:rsidR="00B03446">
        <w:rPr>
          <w:lang w:val="en-GB"/>
        </w:rPr>
        <w:t xml:space="preserve">m </w:t>
      </w:r>
      <w:r w:rsidRPr="00275FCA" w:rsidR="006C232C">
        <w:rPr>
          <w:lang w:val="en-GB"/>
        </w:rPr>
        <w:t>of their victim status</w:t>
      </w:r>
      <w:r w:rsidRPr="00275FCA" w:rsidR="00566D33">
        <w:rPr>
          <w:lang w:val="en-GB"/>
        </w:rPr>
        <w:t xml:space="preserve"> on the particular facts of the instant case</w:t>
      </w:r>
      <w:r w:rsidRPr="00275FCA" w:rsidR="006C232C">
        <w:rPr>
          <w:lang w:val="en-GB"/>
        </w:rPr>
        <w:t xml:space="preserve">. </w:t>
      </w:r>
      <w:r w:rsidRPr="00275FCA">
        <w:rPr>
          <w:lang w:val="en-GB"/>
        </w:rPr>
        <w:t xml:space="preserve">The Court reiterates in this connection that </w:t>
      </w:r>
      <w:r w:rsidRPr="00275FCA" w:rsidR="00D241DB">
        <w:rPr>
          <w:lang w:val="en-GB"/>
        </w:rPr>
        <w:t xml:space="preserve">a decision or measure favourable to an applicant is not in principle </w:t>
      </w:r>
      <w:r w:rsidRPr="00275FCA" w:rsidR="00B03446">
        <w:rPr>
          <w:lang w:val="en-GB"/>
        </w:rPr>
        <w:t xml:space="preserve">sufficient </w:t>
      </w:r>
      <w:r w:rsidRPr="00275FCA" w:rsidR="00D241DB">
        <w:rPr>
          <w:lang w:val="en-GB"/>
        </w:rPr>
        <w:t xml:space="preserve">to deprive him of his status as a “victim” unless the national authorities have acknowledged, either expressly or in substance, and then afforded redress for, the breach of the Convention (see </w:t>
      </w:r>
      <w:r w:rsidRPr="00275FCA" w:rsidR="00D241DB">
        <w:rPr>
          <w:i/>
          <w:lang w:val="en-GB"/>
        </w:rPr>
        <w:t>Gülcü</w:t>
      </w:r>
      <w:r w:rsidRPr="00275FCA" w:rsidR="00D241DB">
        <w:rPr>
          <w:lang w:val="en-GB"/>
        </w:rPr>
        <w:t>, cited above, §</w:t>
      </w:r>
      <w:r w:rsidRPr="00275FCA" w:rsidR="00B03446">
        <w:rPr>
          <w:lang w:val="en-GB"/>
        </w:rPr>
        <w:t> </w:t>
      </w:r>
      <w:r w:rsidRPr="00275FCA" w:rsidR="00D241DB">
        <w:rPr>
          <w:lang w:val="en-GB"/>
        </w:rPr>
        <w:t xml:space="preserve">99 and the cases cited therein). </w:t>
      </w:r>
      <w:r w:rsidRPr="00275FCA">
        <w:rPr>
          <w:lang w:val="en-GB"/>
        </w:rPr>
        <w:t>In the instant case the Istanbul State Security Court</w:t>
      </w:r>
      <w:r w:rsidRPr="00275FCA" w:rsidR="00B03446">
        <w:rPr>
          <w:lang w:val="en-GB"/>
        </w:rPr>
        <w:t>,</w:t>
      </w:r>
      <w:r w:rsidRPr="00275FCA">
        <w:rPr>
          <w:lang w:val="en-GB"/>
        </w:rPr>
        <w:t xml:space="preserve"> </w:t>
      </w:r>
      <w:r w:rsidRPr="00275FCA" w:rsidR="00B03446">
        <w:rPr>
          <w:lang w:val="en-GB"/>
        </w:rPr>
        <w:t>when ordering the applicants</w:t>
      </w:r>
      <w:r w:rsidRPr="00275FCA" w:rsidR="00275FCA">
        <w:rPr>
          <w:lang w:val="en-GB"/>
        </w:rPr>
        <w:t>’</w:t>
      </w:r>
      <w:r w:rsidRPr="00275FCA" w:rsidR="00B03446">
        <w:rPr>
          <w:lang w:val="en-GB"/>
        </w:rPr>
        <w:t xml:space="preserve"> acquittal, </w:t>
      </w:r>
      <w:r w:rsidRPr="00275FCA">
        <w:rPr>
          <w:lang w:val="en-GB"/>
        </w:rPr>
        <w:t>neither acknowledged nor afforded redress for the alleged breach of the</w:t>
      </w:r>
      <w:r w:rsidRPr="00275FCA" w:rsidR="00B03446">
        <w:rPr>
          <w:lang w:val="en-GB"/>
        </w:rPr>
        <w:t>ir</w:t>
      </w:r>
      <w:r w:rsidRPr="00275FCA">
        <w:rPr>
          <w:lang w:val="en-GB"/>
        </w:rPr>
        <w:t xml:space="preserve"> right to freedom of expression on account of the measures they had faced</w:t>
      </w:r>
      <w:r w:rsidRPr="00275FCA" w:rsidR="00C52527">
        <w:rPr>
          <w:lang w:val="en-GB"/>
        </w:rPr>
        <w:t xml:space="preserve"> as mentioned in paragraphs </w:t>
      </w:r>
      <w:r w:rsidRPr="00275FCA" w:rsidR="00B57FDD">
        <w:rPr>
          <w:lang w:val="en-GB"/>
        </w:rPr>
        <w:t>8</w:t>
      </w:r>
      <w:r w:rsidRPr="00275FCA" w:rsidR="0078313E">
        <w:rPr>
          <w:lang w:val="en-GB"/>
        </w:rPr>
        <w:t>5</w:t>
      </w:r>
      <w:r w:rsidRPr="00275FCA" w:rsidR="00C52527">
        <w:rPr>
          <w:lang w:val="en-GB"/>
        </w:rPr>
        <w:t xml:space="preserve"> and </w:t>
      </w:r>
      <w:r w:rsidRPr="00275FCA" w:rsidR="00B57FDD">
        <w:rPr>
          <w:lang w:val="en-GB"/>
        </w:rPr>
        <w:t>8</w:t>
      </w:r>
      <w:r w:rsidRPr="00275FCA" w:rsidR="0078313E">
        <w:rPr>
          <w:lang w:val="en-GB"/>
        </w:rPr>
        <w:t>8</w:t>
      </w:r>
      <w:r w:rsidRPr="00275FCA" w:rsidR="00B57FDD">
        <w:rPr>
          <w:lang w:val="en-GB"/>
        </w:rPr>
        <w:t xml:space="preserve"> above</w:t>
      </w:r>
      <w:r w:rsidRPr="00275FCA">
        <w:rPr>
          <w:lang w:val="en-GB"/>
        </w:rPr>
        <w:t>.</w:t>
      </w:r>
      <w:r w:rsidRPr="00275FCA" w:rsidR="00FB7509">
        <w:rPr>
          <w:lang w:val="en-GB"/>
        </w:rPr>
        <w:t xml:space="preserve"> </w:t>
      </w:r>
      <w:r w:rsidRPr="00275FCA" w:rsidR="004239CD">
        <w:rPr>
          <w:lang w:val="en-GB"/>
        </w:rPr>
        <w:t>For this reason, the applicants may not be considered to have lost their victim status on account of their acquittal.</w:t>
      </w:r>
    </w:p>
    <w:p w:rsidRPr="00275FCA" w:rsidR="00FA7107" w:rsidP="00275FCA" w:rsidRDefault="00FA7107">
      <w:pPr>
        <w:pStyle w:val="ECHRHeading4"/>
        <w:rPr>
          <w:snapToGrid w:val="0"/>
          <w:lang w:val="en-GB"/>
        </w:rPr>
      </w:pPr>
      <w:r w:rsidRPr="00275FCA">
        <w:rPr>
          <w:snapToGrid w:val="0"/>
          <w:lang w:val="en-GB"/>
        </w:rPr>
        <w:t>(b)</w:t>
      </w:r>
      <w:r w:rsidRPr="00275FCA" w:rsidR="008E3634">
        <w:rPr>
          <w:snapToGrid w:val="0"/>
          <w:lang w:val="en-GB"/>
        </w:rPr>
        <w:t>  </w:t>
      </w:r>
      <w:r w:rsidRPr="00275FCA" w:rsidR="00313CE5">
        <w:rPr>
          <w:snapToGrid w:val="0"/>
          <w:lang w:val="en-GB"/>
        </w:rPr>
        <w:t>W</w:t>
      </w:r>
      <w:r w:rsidRPr="00275FCA">
        <w:rPr>
          <w:snapToGrid w:val="0"/>
          <w:lang w:val="en-GB"/>
        </w:rPr>
        <w:t>hether the interference was justified</w:t>
      </w:r>
    </w:p>
    <w:p w:rsidRPr="00275FCA" w:rsidR="00FA7107" w:rsidP="00275FCA" w:rsidRDefault="006E40F5">
      <w:pPr>
        <w:pStyle w:val="ECHRPara"/>
        <w:rPr>
          <w:snapToGrid w:val="0"/>
          <w:szCs w:val="24"/>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90</w:t>
      </w:r>
      <w:r w:rsidRPr="00275FCA">
        <w:rPr>
          <w:snapToGrid w:val="0"/>
          <w:szCs w:val="24"/>
          <w:lang w:val="en-GB"/>
        </w:rPr>
        <w:fldChar w:fldCharType="end"/>
      </w:r>
      <w:r w:rsidRPr="00275FCA">
        <w:rPr>
          <w:snapToGrid w:val="0"/>
          <w:szCs w:val="24"/>
          <w:lang w:val="en-GB"/>
        </w:rPr>
        <w:t>.  </w:t>
      </w:r>
      <w:r w:rsidRPr="00275FCA" w:rsidR="00FA7107">
        <w:rPr>
          <w:snapToGrid w:val="0"/>
          <w:szCs w:val="24"/>
          <w:lang w:val="en-GB"/>
        </w:rPr>
        <w:t xml:space="preserve">Such interference will give rise to a breach of Article 10 unless it can be shown that it was “prescribed by law”, pursued one or more legitimate aims </w:t>
      </w:r>
      <w:r w:rsidRPr="00275FCA" w:rsidR="00C230E9">
        <w:rPr>
          <w:snapToGrid w:val="0"/>
          <w:szCs w:val="24"/>
          <w:lang w:val="en-GB"/>
        </w:rPr>
        <w:t>under</w:t>
      </w:r>
      <w:r w:rsidRPr="00275FCA" w:rsidR="00FA7107">
        <w:rPr>
          <w:snapToGrid w:val="0"/>
          <w:szCs w:val="24"/>
          <w:lang w:val="en-GB"/>
        </w:rPr>
        <w:t xml:space="preserve"> paragraph 2, and was “necessary in a democratic society” for achieving such aims.</w:t>
      </w:r>
    </w:p>
    <w:p w:rsidRPr="00275FCA" w:rsidR="00313CE5" w:rsidP="00275FCA" w:rsidRDefault="008E3634">
      <w:pPr>
        <w:pStyle w:val="ECHRHeading5"/>
        <w:rPr>
          <w:snapToGrid w:val="0"/>
          <w:lang w:val="en-GB"/>
        </w:rPr>
      </w:pPr>
      <w:r w:rsidRPr="00275FCA">
        <w:rPr>
          <w:snapToGrid w:val="0"/>
          <w:lang w:val="en-GB"/>
        </w:rPr>
        <w:t>(i)  </w:t>
      </w:r>
      <w:r w:rsidRPr="00275FCA" w:rsidR="00817A24">
        <w:rPr>
          <w:snapToGrid w:val="0"/>
          <w:lang w:val="en-GB"/>
        </w:rPr>
        <w:t xml:space="preserve">Lawfulness </w:t>
      </w:r>
      <w:r w:rsidRPr="00275FCA" w:rsidR="00FC607F">
        <w:rPr>
          <w:snapToGrid w:val="0"/>
          <w:lang w:val="en-GB"/>
        </w:rPr>
        <w:t>and legitimate aim</w:t>
      </w:r>
    </w:p>
    <w:p w:rsidRPr="00275FCA" w:rsidR="007A6476" w:rsidP="00275FCA" w:rsidRDefault="00313CE5">
      <w:pPr>
        <w:pStyle w:val="ECHRPara"/>
        <w:rPr>
          <w:snapToGrid w:val="0"/>
          <w:szCs w:val="24"/>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91</w:t>
      </w:r>
      <w:r w:rsidRPr="00275FCA">
        <w:rPr>
          <w:snapToGrid w:val="0"/>
          <w:szCs w:val="24"/>
          <w:lang w:val="en-GB"/>
        </w:rPr>
        <w:fldChar w:fldCharType="end"/>
      </w:r>
      <w:r w:rsidRPr="00275FCA">
        <w:rPr>
          <w:snapToGrid w:val="0"/>
          <w:szCs w:val="24"/>
          <w:lang w:val="en-GB"/>
        </w:rPr>
        <w:t>.  </w:t>
      </w:r>
      <w:r w:rsidRPr="00275FCA" w:rsidR="007A6476">
        <w:rPr>
          <w:snapToGrid w:val="0"/>
          <w:szCs w:val="24"/>
          <w:lang w:val="en-GB"/>
        </w:rPr>
        <w:t xml:space="preserve">The parties did not submit any specific observations on </w:t>
      </w:r>
      <w:r w:rsidRPr="00275FCA" w:rsidR="00595E37">
        <w:rPr>
          <w:snapToGrid w:val="0"/>
          <w:szCs w:val="24"/>
          <w:lang w:val="en-GB"/>
        </w:rPr>
        <w:t>whether the interference was prescribed by law</w:t>
      </w:r>
      <w:r w:rsidRPr="00275FCA" w:rsidR="00D20F66">
        <w:rPr>
          <w:snapToGrid w:val="0"/>
          <w:szCs w:val="24"/>
          <w:lang w:val="en-GB"/>
        </w:rPr>
        <w:t>.</w:t>
      </w:r>
      <w:r w:rsidRPr="00275FCA" w:rsidR="00595E37">
        <w:rPr>
          <w:snapToGrid w:val="0"/>
          <w:szCs w:val="24"/>
          <w:lang w:val="en-GB"/>
        </w:rPr>
        <w:t xml:space="preserve"> The Government, however, stated that the impugned measures against the applicant</w:t>
      </w:r>
      <w:r w:rsidRPr="00275FCA" w:rsidR="007A1EFC">
        <w:rPr>
          <w:snapToGrid w:val="0"/>
          <w:szCs w:val="24"/>
          <w:lang w:val="en-GB"/>
        </w:rPr>
        <w:t>s</w:t>
      </w:r>
      <w:r w:rsidRPr="00275FCA" w:rsidR="00595E37">
        <w:rPr>
          <w:snapToGrid w:val="0"/>
          <w:szCs w:val="24"/>
          <w:lang w:val="en-GB"/>
        </w:rPr>
        <w:t xml:space="preserve"> pursued the legitimate aim of “prevention of disorder”.</w:t>
      </w:r>
    </w:p>
    <w:p w:rsidRPr="00275FCA" w:rsidR="00753CBD" w:rsidP="00275FCA" w:rsidRDefault="00D20F66">
      <w:pPr>
        <w:pStyle w:val="ECHRPara"/>
        <w:rPr>
          <w:i/>
          <w:szCs w:val="24"/>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92</w:t>
      </w:r>
      <w:r w:rsidRPr="00275FCA">
        <w:rPr>
          <w:snapToGrid w:val="0"/>
          <w:szCs w:val="24"/>
          <w:lang w:val="en-GB"/>
        </w:rPr>
        <w:fldChar w:fldCharType="end"/>
      </w:r>
      <w:r w:rsidRPr="00275FCA">
        <w:rPr>
          <w:snapToGrid w:val="0"/>
          <w:szCs w:val="24"/>
          <w:lang w:val="en-GB"/>
        </w:rPr>
        <w:t xml:space="preserve">.  The Court reiterates that the expression “prescribed by law”, within the meaning of Article 10 § 2, requires firstly that the impugned measure should have some basis in domestic law. However, it also refers to the quality of the law in question, which requires that legal </w:t>
      </w:r>
      <w:r w:rsidRPr="00275FCA" w:rsidR="007A1EFC">
        <w:rPr>
          <w:snapToGrid w:val="0"/>
          <w:szCs w:val="24"/>
          <w:lang w:val="en-GB"/>
        </w:rPr>
        <w:t>rules</w:t>
      </w:r>
      <w:r w:rsidRPr="00275FCA">
        <w:rPr>
          <w:snapToGrid w:val="0"/>
          <w:szCs w:val="24"/>
          <w:lang w:val="en-GB"/>
        </w:rPr>
        <w:t xml:space="preserve"> should be accessible to the person concerned, their consequences foreseeable and their compatibility with the rule of law ensured (see, </w:t>
      </w:r>
      <w:r w:rsidRPr="00275FCA" w:rsidR="007E4C91">
        <w:rPr>
          <w:snapToGrid w:val="0"/>
          <w:szCs w:val="24"/>
          <w:lang w:val="en-GB"/>
        </w:rPr>
        <w:t xml:space="preserve">for further </w:t>
      </w:r>
      <w:r w:rsidRPr="00275FCA" w:rsidR="00C230E9">
        <w:rPr>
          <w:snapToGrid w:val="0"/>
          <w:szCs w:val="24"/>
          <w:lang w:val="en-GB"/>
        </w:rPr>
        <w:t>details</w:t>
      </w:r>
      <w:r w:rsidRPr="00275FCA">
        <w:rPr>
          <w:snapToGrid w:val="0"/>
          <w:szCs w:val="24"/>
          <w:lang w:val="en-GB"/>
        </w:rPr>
        <w:t xml:space="preserve">, </w:t>
      </w:r>
      <w:r w:rsidRPr="00275FCA" w:rsidR="007E4C91">
        <w:rPr>
          <w:i/>
          <w:snapToGrid w:val="0"/>
          <w:szCs w:val="24"/>
          <w:lang w:val="en-GB"/>
        </w:rPr>
        <w:t>Centro Europa 7 S.r.l. and Di Stefano v. Italy</w:t>
      </w:r>
      <w:r w:rsidRPr="00275FCA" w:rsidR="007E4C91">
        <w:rPr>
          <w:snapToGrid w:val="0"/>
          <w:szCs w:val="24"/>
          <w:lang w:val="en-GB"/>
        </w:rPr>
        <w:t xml:space="preserve"> [GC], no. 38433/09, § 141, ECHR 2012; </w:t>
      </w:r>
      <w:r w:rsidRPr="00275FCA" w:rsidR="007E4C91">
        <w:rPr>
          <w:i/>
          <w:lang w:val="en-GB"/>
        </w:rPr>
        <w:t>Delfi AS</w:t>
      </w:r>
      <w:r w:rsidRPr="00275FCA" w:rsidR="007E4C91">
        <w:rPr>
          <w:lang w:val="en-GB"/>
        </w:rPr>
        <w:t xml:space="preserve"> </w:t>
      </w:r>
      <w:r w:rsidRPr="00275FCA" w:rsidR="007E4C91">
        <w:rPr>
          <w:i/>
          <w:lang w:val="en-GB"/>
        </w:rPr>
        <w:t xml:space="preserve">v. Estonia </w:t>
      </w:r>
      <w:r w:rsidRPr="00275FCA" w:rsidR="007E4C91">
        <w:rPr>
          <w:lang w:val="en-GB"/>
        </w:rPr>
        <w:t xml:space="preserve">[GC], no. 64569/09, § 121, ECHR 2015; </w:t>
      </w:r>
      <w:r w:rsidRPr="00275FCA" w:rsidR="007E4C91">
        <w:rPr>
          <w:i/>
          <w:lang w:val="en-GB"/>
        </w:rPr>
        <w:t>Perinçek v.</w:t>
      </w:r>
      <w:r w:rsidRPr="00275FCA" w:rsidR="009F3C89">
        <w:rPr>
          <w:i/>
          <w:lang w:val="en-GB"/>
        </w:rPr>
        <w:t> </w:t>
      </w:r>
      <w:r w:rsidRPr="00275FCA" w:rsidR="007E4C91">
        <w:rPr>
          <w:i/>
          <w:lang w:val="en-GB"/>
        </w:rPr>
        <w:t xml:space="preserve">Switzerland </w:t>
      </w:r>
      <w:r w:rsidRPr="00275FCA" w:rsidR="007E4C91">
        <w:rPr>
          <w:lang w:val="en-GB"/>
        </w:rPr>
        <w:t xml:space="preserve">[GC], no. 27510/08, § 131, ECHR 2015 (extracts); </w:t>
      </w:r>
      <w:r w:rsidRPr="00275FCA" w:rsidR="007E4C91">
        <w:rPr>
          <w:i/>
          <w:lang w:val="en-GB"/>
        </w:rPr>
        <w:t>Association Ekin v. France</w:t>
      </w:r>
      <w:r w:rsidRPr="00275FCA" w:rsidR="007E4C91">
        <w:rPr>
          <w:lang w:val="en-GB"/>
        </w:rPr>
        <w:t xml:space="preserve">, no. 39288/98, § 44, ECHR 2001-VIII; and </w:t>
      </w:r>
      <w:r w:rsidRPr="00275FCA" w:rsidR="009F3C89">
        <w:rPr>
          <w:i/>
          <w:lang w:val="en-GB"/>
        </w:rPr>
        <w:t>Dink v. </w:t>
      </w:r>
      <w:r w:rsidRPr="00275FCA" w:rsidR="007E4C91">
        <w:rPr>
          <w:i/>
          <w:lang w:val="en-GB"/>
        </w:rPr>
        <w:t>Turkey</w:t>
      </w:r>
      <w:r w:rsidRPr="00275FCA" w:rsidR="007E4C91">
        <w:rPr>
          <w:lang w:val="en-GB"/>
        </w:rPr>
        <w:t>, nos. 2668/07, 6102/08, 30079/08, 7072/09 and 7124/09, §</w:t>
      </w:r>
      <w:r w:rsidRPr="00275FCA" w:rsidR="009F3C89">
        <w:rPr>
          <w:lang w:val="en-GB"/>
        </w:rPr>
        <w:t> 114, 14 </w:t>
      </w:r>
      <w:r w:rsidRPr="00275FCA" w:rsidR="007E4C91">
        <w:rPr>
          <w:lang w:val="en-GB"/>
        </w:rPr>
        <w:t>September 2010</w:t>
      </w:r>
      <w:r w:rsidRPr="00275FCA" w:rsidR="00753CBD">
        <w:rPr>
          <w:snapToGrid w:val="0"/>
          <w:szCs w:val="24"/>
          <w:lang w:val="en-GB"/>
        </w:rPr>
        <w:t>).</w:t>
      </w:r>
    </w:p>
    <w:p w:rsidRPr="00275FCA" w:rsidR="00FD55D9" w:rsidP="00275FCA" w:rsidRDefault="007E4C91">
      <w:pPr>
        <w:pStyle w:val="ECHRPara"/>
        <w:rPr>
          <w:snapToGrid w:val="0"/>
          <w:szCs w:val="24"/>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93</w:t>
      </w:r>
      <w:r w:rsidRPr="00275FCA">
        <w:rPr>
          <w:snapToGrid w:val="0"/>
          <w:szCs w:val="24"/>
          <w:lang w:val="en-GB"/>
        </w:rPr>
        <w:fldChar w:fldCharType="end"/>
      </w:r>
      <w:r w:rsidRPr="00275FCA">
        <w:rPr>
          <w:snapToGrid w:val="0"/>
          <w:szCs w:val="24"/>
          <w:lang w:val="en-GB"/>
        </w:rPr>
        <w:t>.  </w:t>
      </w:r>
      <w:r w:rsidRPr="00275FCA" w:rsidR="002A7A75">
        <w:rPr>
          <w:snapToGrid w:val="0"/>
          <w:szCs w:val="24"/>
          <w:lang w:val="en-GB"/>
        </w:rPr>
        <w:t>Turning to the facts</w:t>
      </w:r>
      <w:r w:rsidRPr="00275FCA" w:rsidR="0062603B">
        <w:rPr>
          <w:snapToGrid w:val="0"/>
          <w:szCs w:val="24"/>
          <w:lang w:val="en-GB"/>
        </w:rPr>
        <w:t xml:space="preserve"> of the present case</w:t>
      </w:r>
      <w:r w:rsidRPr="00275FCA" w:rsidR="00FD55D9">
        <w:rPr>
          <w:snapToGrid w:val="0"/>
          <w:szCs w:val="24"/>
          <w:lang w:val="en-GB"/>
        </w:rPr>
        <w:t>, the Court observes that the interference in question was based on Article 169 of the Criminal Code in force at the material time</w:t>
      </w:r>
      <w:r w:rsidRPr="00275FCA" w:rsidR="005D4A99">
        <w:rPr>
          <w:snapToGrid w:val="0"/>
          <w:szCs w:val="24"/>
          <w:lang w:val="en-GB"/>
        </w:rPr>
        <w:t xml:space="preserve">, concerning the offence of </w:t>
      </w:r>
      <w:r w:rsidRPr="00275FCA" w:rsidR="00967E92">
        <w:rPr>
          <w:snapToGrid w:val="0"/>
          <w:szCs w:val="24"/>
          <w:lang w:val="en-GB"/>
        </w:rPr>
        <w:t xml:space="preserve">aiding and abetting an illegal armed </w:t>
      </w:r>
      <w:r w:rsidRPr="00275FCA" w:rsidR="005D4A99">
        <w:rPr>
          <w:snapToGrid w:val="0"/>
          <w:szCs w:val="24"/>
          <w:lang w:val="en-GB"/>
        </w:rPr>
        <w:t>organisation</w:t>
      </w:r>
      <w:r w:rsidRPr="00275FCA" w:rsidR="00FD55D9">
        <w:rPr>
          <w:snapToGrid w:val="0"/>
          <w:szCs w:val="24"/>
          <w:lang w:val="en-GB"/>
        </w:rPr>
        <w:t xml:space="preserve">. </w:t>
      </w:r>
      <w:r w:rsidRPr="00275FCA" w:rsidR="002A7A75">
        <w:rPr>
          <w:snapToGrid w:val="0"/>
          <w:szCs w:val="24"/>
          <w:lang w:val="en-GB"/>
        </w:rPr>
        <w:t xml:space="preserve">This fact is not contested by the parties. </w:t>
      </w:r>
      <w:r w:rsidRPr="00275FCA" w:rsidR="00FD55D9">
        <w:rPr>
          <w:snapToGrid w:val="0"/>
          <w:szCs w:val="24"/>
          <w:lang w:val="en-GB"/>
        </w:rPr>
        <w:t xml:space="preserve">The Court </w:t>
      </w:r>
      <w:r w:rsidRPr="00275FCA" w:rsidR="0087158D">
        <w:rPr>
          <w:snapToGrid w:val="0"/>
          <w:szCs w:val="24"/>
          <w:lang w:val="en-GB"/>
        </w:rPr>
        <w:t xml:space="preserve">therefore </w:t>
      </w:r>
      <w:r w:rsidRPr="00275FCA" w:rsidR="00FD55D9">
        <w:rPr>
          <w:snapToGrid w:val="0"/>
          <w:szCs w:val="24"/>
          <w:lang w:val="en-GB"/>
        </w:rPr>
        <w:t xml:space="preserve">accepts that the restriction in question had </w:t>
      </w:r>
      <w:r w:rsidRPr="00275FCA" w:rsidR="00A74ABA">
        <w:rPr>
          <w:snapToGrid w:val="0"/>
          <w:szCs w:val="24"/>
          <w:lang w:val="en-GB"/>
        </w:rPr>
        <w:t xml:space="preserve">a </w:t>
      </w:r>
      <w:r w:rsidRPr="00275FCA" w:rsidR="00FD55D9">
        <w:rPr>
          <w:snapToGrid w:val="0"/>
          <w:szCs w:val="24"/>
          <w:lang w:val="en-GB"/>
        </w:rPr>
        <w:t>basis in domestic law</w:t>
      </w:r>
      <w:r w:rsidRPr="00275FCA" w:rsidR="003A6FFE">
        <w:rPr>
          <w:snapToGrid w:val="0"/>
          <w:szCs w:val="24"/>
          <w:lang w:val="en-GB"/>
        </w:rPr>
        <w:t xml:space="preserve"> in the formal sense</w:t>
      </w:r>
      <w:r w:rsidRPr="00275FCA" w:rsidR="00FD55D9">
        <w:rPr>
          <w:snapToGrid w:val="0"/>
          <w:szCs w:val="24"/>
          <w:lang w:val="en-GB"/>
        </w:rPr>
        <w:t>.</w:t>
      </w:r>
    </w:p>
    <w:p w:rsidRPr="00275FCA" w:rsidR="00595E37" w:rsidP="00275FCA" w:rsidRDefault="00FD55D9">
      <w:pPr>
        <w:pStyle w:val="ECHRPara"/>
        <w:rPr>
          <w:snapToGrid w:val="0"/>
          <w:szCs w:val="24"/>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94</w:t>
      </w:r>
      <w:r w:rsidRPr="00275FCA">
        <w:rPr>
          <w:snapToGrid w:val="0"/>
          <w:szCs w:val="24"/>
          <w:lang w:val="en-GB"/>
        </w:rPr>
        <w:fldChar w:fldCharType="end"/>
      </w:r>
      <w:r w:rsidRPr="00275FCA">
        <w:rPr>
          <w:snapToGrid w:val="0"/>
          <w:szCs w:val="24"/>
          <w:lang w:val="en-GB"/>
        </w:rPr>
        <w:t xml:space="preserve">.  As to the quality of the relevant law, </w:t>
      </w:r>
      <w:r w:rsidRPr="00275FCA" w:rsidR="001A293F">
        <w:rPr>
          <w:snapToGrid w:val="0"/>
          <w:szCs w:val="24"/>
          <w:lang w:val="en-GB"/>
        </w:rPr>
        <w:t xml:space="preserve">there </w:t>
      </w:r>
      <w:r w:rsidRPr="00275FCA" w:rsidR="00BC3891">
        <w:rPr>
          <w:snapToGrid w:val="0"/>
          <w:szCs w:val="24"/>
          <w:lang w:val="en-GB"/>
        </w:rPr>
        <w:t xml:space="preserve">is no question that the law </w:t>
      </w:r>
      <w:r w:rsidRPr="00275FCA" w:rsidR="00CF0F92">
        <w:rPr>
          <w:snapToGrid w:val="0"/>
          <w:szCs w:val="24"/>
          <w:lang w:val="en-GB"/>
        </w:rPr>
        <w:t>at issue</w:t>
      </w:r>
      <w:r w:rsidRPr="00275FCA" w:rsidR="00BC3891">
        <w:rPr>
          <w:snapToGrid w:val="0"/>
          <w:szCs w:val="24"/>
          <w:lang w:val="en-GB"/>
        </w:rPr>
        <w:t xml:space="preserve"> was accessible. The Court, however, has doubts about the foreseeability of the consequences of the provision in question</w:t>
      </w:r>
      <w:r w:rsidRPr="00275FCA" w:rsidR="0024389F">
        <w:rPr>
          <w:snapToGrid w:val="0"/>
          <w:szCs w:val="24"/>
          <w:lang w:val="en-GB"/>
        </w:rPr>
        <w:t xml:space="preserve"> in that it may not have been possible to foresee that the mere submission of a petition requesting education in Kurdish for elementary school students would be considered </w:t>
      </w:r>
      <w:r w:rsidRPr="00275FCA" w:rsidR="007A1EFC">
        <w:rPr>
          <w:snapToGrid w:val="0"/>
          <w:szCs w:val="24"/>
          <w:lang w:val="en-GB"/>
        </w:rPr>
        <w:t xml:space="preserve">to be </w:t>
      </w:r>
      <w:r w:rsidRPr="00275FCA" w:rsidR="0024389F">
        <w:rPr>
          <w:snapToGrid w:val="0"/>
          <w:szCs w:val="24"/>
          <w:lang w:val="en-GB"/>
        </w:rPr>
        <w:t xml:space="preserve">aiding and abetting a terrorist organisation. </w:t>
      </w:r>
      <w:r w:rsidRPr="00275FCA" w:rsidR="00FC607F">
        <w:rPr>
          <w:snapToGrid w:val="0"/>
          <w:szCs w:val="24"/>
          <w:lang w:val="en-GB"/>
        </w:rPr>
        <w:t>Nor is the legitimate aim of the measures taken against the applicants evident in the</w:t>
      </w:r>
      <w:r w:rsidRPr="00275FCA" w:rsidR="00595E37">
        <w:rPr>
          <w:snapToGrid w:val="0"/>
          <w:szCs w:val="24"/>
          <w:lang w:val="en-GB"/>
        </w:rPr>
        <w:t>se</w:t>
      </w:r>
      <w:r w:rsidRPr="00275FCA" w:rsidR="00FC607F">
        <w:rPr>
          <w:snapToGrid w:val="0"/>
          <w:szCs w:val="24"/>
          <w:lang w:val="en-GB"/>
        </w:rPr>
        <w:t xml:space="preserve"> circumstances.</w:t>
      </w:r>
    </w:p>
    <w:p w:rsidRPr="00275FCA" w:rsidR="00184DF3" w:rsidP="00275FCA" w:rsidRDefault="00595E37">
      <w:pPr>
        <w:pStyle w:val="ECHRPara"/>
        <w:rPr>
          <w:snapToGrid w:val="0"/>
          <w:lang w:val="en-GB"/>
        </w:rPr>
      </w:pPr>
      <w:r w:rsidRPr="00275FCA">
        <w:rPr>
          <w:snapToGrid w:val="0"/>
          <w:szCs w:val="24"/>
          <w:lang w:val="en-GB"/>
        </w:rPr>
        <w:fldChar w:fldCharType="begin"/>
      </w:r>
      <w:r w:rsidRPr="00275FCA">
        <w:rPr>
          <w:snapToGrid w:val="0"/>
          <w:szCs w:val="24"/>
          <w:lang w:val="en-GB"/>
        </w:rPr>
        <w:instrText xml:space="preserve"> SEQ level0 \*arabic </w:instrText>
      </w:r>
      <w:r w:rsidRPr="00275FCA">
        <w:rPr>
          <w:snapToGrid w:val="0"/>
          <w:szCs w:val="24"/>
          <w:lang w:val="en-GB"/>
        </w:rPr>
        <w:fldChar w:fldCharType="separate"/>
      </w:r>
      <w:r w:rsidRPr="00275FCA" w:rsidR="00275FCA">
        <w:rPr>
          <w:noProof/>
          <w:snapToGrid w:val="0"/>
          <w:szCs w:val="24"/>
          <w:lang w:val="en-GB"/>
        </w:rPr>
        <w:t>95</w:t>
      </w:r>
      <w:r w:rsidRPr="00275FCA">
        <w:rPr>
          <w:snapToGrid w:val="0"/>
          <w:szCs w:val="24"/>
          <w:lang w:val="en-GB"/>
        </w:rPr>
        <w:fldChar w:fldCharType="end"/>
      </w:r>
      <w:r w:rsidRPr="00275FCA">
        <w:rPr>
          <w:snapToGrid w:val="0"/>
          <w:szCs w:val="24"/>
          <w:lang w:val="en-GB"/>
        </w:rPr>
        <w:t>.  </w:t>
      </w:r>
      <w:r w:rsidRPr="00275FCA" w:rsidR="00184DF3">
        <w:rPr>
          <w:snapToGrid w:val="0"/>
          <w:szCs w:val="24"/>
          <w:lang w:val="en-GB"/>
        </w:rPr>
        <w:t xml:space="preserve">However, having regard to its examination of these matters below from the point of view of the “necessity” of the measure (see paragraphs </w:t>
      </w:r>
      <w:r w:rsidRPr="00275FCA" w:rsidR="00B21B6E">
        <w:rPr>
          <w:snapToGrid w:val="0"/>
          <w:szCs w:val="24"/>
          <w:lang w:val="en-GB"/>
        </w:rPr>
        <w:t>9</w:t>
      </w:r>
      <w:r w:rsidRPr="00275FCA" w:rsidR="0078313E">
        <w:rPr>
          <w:snapToGrid w:val="0"/>
          <w:szCs w:val="24"/>
          <w:lang w:val="en-GB"/>
        </w:rPr>
        <w:t>6</w:t>
      </w:r>
      <w:r w:rsidRPr="00275FCA" w:rsidR="009F3C89">
        <w:rPr>
          <w:snapToGrid w:val="0"/>
          <w:szCs w:val="24"/>
          <w:lang w:val="en-GB"/>
        </w:rPr>
        <w:noBreakHyphen/>
      </w:r>
      <w:r w:rsidRPr="00275FCA" w:rsidR="00B21B6E">
        <w:rPr>
          <w:snapToGrid w:val="0"/>
          <w:szCs w:val="24"/>
          <w:lang w:val="en-GB"/>
        </w:rPr>
        <w:t>1</w:t>
      </w:r>
      <w:r w:rsidRPr="00275FCA" w:rsidR="006E40F5">
        <w:rPr>
          <w:snapToGrid w:val="0"/>
          <w:szCs w:val="24"/>
          <w:lang w:val="en-GB"/>
        </w:rPr>
        <w:t>0</w:t>
      </w:r>
      <w:r w:rsidRPr="00275FCA" w:rsidR="0078313E">
        <w:rPr>
          <w:snapToGrid w:val="0"/>
          <w:szCs w:val="24"/>
          <w:lang w:val="en-GB"/>
        </w:rPr>
        <w:t>9</w:t>
      </w:r>
      <w:r w:rsidRPr="00275FCA" w:rsidR="00184DF3">
        <w:rPr>
          <w:snapToGrid w:val="0"/>
          <w:szCs w:val="24"/>
          <w:lang w:val="en-GB"/>
        </w:rPr>
        <w:t xml:space="preserve">), the Court considers that it is not required to reach a final conclusion on </w:t>
      </w:r>
      <w:r w:rsidRPr="00275FCA" w:rsidR="00FC607F">
        <w:rPr>
          <w:snapToGrid w:val="0"/>
          <w:szCs w:val="24"/>
          <w:lang w:val="en-GB"/>
        </w:rPr>
        <w:t>whether the interference was prescribed by law and pursued a legitimate aim</w:t>
      </w:r>
      <w:r w:rsidRPr="00275FCA" w:rsidR="00184DF3">
        <w:rPr>
          <w:snapToGrid w:val="0"/>
          <w:szCs w:val="24"/>
          <w:lang w:val="en-GB"/>
        </w:rPr>
        <w:t xml:space="preserve"> (see </w:t>
      </w:r>
      <w:r w:rsidRPr="00275FCA" w:rsidR="00184DF3">
        <w:rPr>
          <w:i/>
          <w:snapToGrid w:val="0"/>
          <w:szCs w:val="24"/>
          <w:lang w:val="en-GB"/>
        </w:rPr>
        <w:t>Association Ekin</w:t>
      </w:r>
      <w:r w:rsidRPr="00275FCA" w:rsidR="00184DF3">
        <w:rPr>
          <w:snapToGrid w:val="0"/>
          <w:szCs w:val="24"/>
          <w:lang w:val="en-GB"/>
        </w:rPr>
        <w:t xml:space="preserve">, cited above, § 46; </w:t>
      </w:r>
      <w:r w:rsidRPr="00275FCA" w:rsidR="00D2189F">
        <w:rPr>
          <w:i/>
          <w:lang w:val="en-GB"/>
        </w:rPr>
        <w:t>Dink</w:t>
      </w:r>
      <w:r w:rsidRPr="00275FCA" w:rsidR="00184DF3">
        <w:rPr>
          <w:lang w:val="en-GB"/>
        </w:rPr>
        <w:t xml:space="preserve">, </w:t>
      </w:r>
      <w:r w:rsidRPr="00275FCA" w:rsidR="00D2189F">
        <w:rPr>
          <w:lang w:val="en-GB"/>
        </w:rPr>
        <w:t xml:space="preserve">cited above, </w:t>
      </w:r>
      <w:r w:rsidRPr="00275FCA" w:rsidR="00184DF3">
        <w:rPr>
          <w:lang w:val="en-GB"/>
        </w:rPr>
        <w:t>§</w:t>
      </w:r>
      <w:r w:rsidRPr="00275FCA" w:rsidR="00FC607F">
        <w:rPr>
          <w:lang w:val="en-GB"/>
        </w:rPr>
        <w:t>§</w:t>
      </w:r>
      <w:r w:rsidRPr="00275FCA" w:rsidR="009F3C89">
        <w:rPr>
          <w:lang w:val="en-GB"/>
        </w:rPr>
        <w:t> </w:t>
      </w:r>
      <w:r w:rsidRPr="00275FCA" w:rsidR="00184DF3">
        <w:rPr>
          <w:lang w:val="en-GB"/>
        </w:rPr>
        <w:t>116</w:t>
      </w:r>
      <w:r w:rsidRPr="00275FCA" w:rsidR="00FC607F">
        <w:rPr>
          <w:lang w:val="en-GB"/>
        </w:rPr>
        <w:t xml:space="preserve"> and 118</w:t>
      </w:r>
      <w:r w:rsidRPr="00275FCA" w:rsidR="00184DF3">
        <w:rPr>
          <w:lang w:val="en-GB"/>
        </w:rPr>
        <w:t xml:space="preserve">; and </w:t>
      </w:r>
      <w:r w:rsidRPr="00275FCA" w:rsidR="00184DF3">
        <w:rPr>
          <w:i/>
          <w:lang w:val="en-GB"/>
        </w:rPr>
        <w:t>Nedim Şener</w:t>
      </w:r>
      <w:r w:rsidRPr="00275FCA" w:rsidR="00184DF3">
        <w:rPr>
          <w:lang w:val="en-GB"/>
        </w:rPr>
        <w:t xml:space="preserve"> </w:t>
      </w:r>
      <w:r w:rsidRPr="00275FCA" w:rsidR="00184DF3">
        <w:rPr>
          <w:i/>
          <w:snapToGrid w:val="0"/>
          <w:lang w:val="en-GB"/>
        </w:rPr>
        <w:t>v. Turkey</w:t>
      </w:r>
      <w:r w:rsidRPr="00275FCA" w:rsidR="00184DF3">
        <w:rPr>
          <w:snapToGrid w:val="0"/>
          <w:lang w:val="en-GB"/>
        </w:rPr>
        <w:t xml:space="preserve">, </w:t>
      </w:r>
      <w:r w:rsidRPr="00275FCA" w:rsidR="00184DF3">
        <w:rPr>
          <w:lang w:val="en-GB"/>
        </w:rPr>
        <w:t>no. 38270/11</w:t>
      </w:r>
      <w:r w:rsidRPr="00275FCA" w:rsidR="00184DF3">
        <w:rPr>
          <w:snapToGrid w:val="0"/>
          <w:lang w:val="en-GB"/>
        </w:rPr>
        <w:t>, §</w:t>
      </w:r>
      <w:r w:rsidRPr="00275FCA" w:rsidR="00FC607F">
        <w:rPr>
          <w:snapToGrid w:val="0"/>
          <w:lang w:val="en-GB"/>
        </w:rPr>
        <w:t>§</w:t>
      </w:r>
      <w:r w:rsidRPr="00275FCA" w:rsidR="00184DF3">
        <w:rPr>
          <w:snapToGrid w:val="0"/>
          <w:lang w:val="en-GB"/>
        </w:rPr>
        <w:t xml:space="preserve"> 102</w:t>
      </w:r>
      <w:r w:rsidRPr="00275FCA" w:rsidR="00FC607F">
        <w:rPr>
          <w:snapToGrid w:val="0"/>
          <w:lang w:val="en-GB"/>
        </w:rPr>
        <w:t xml:space="preserve"> and 105</w:t>
      </w:r>
      <w:r w:rsidRPr="00275FCA" w:rsidR="00D2189F">
        <w:rPr>
          <w:snapToGrid w:val="0"/>
          <w:lang w:val="en-GB"/>
        </w:rPr>
        <w:t>, 8 July </w:t>
      </w:r>
      <w:r w:rsidRPr="00275FCA" w:rsidR="00184DF3">
        <w:rPr>
          <w:snapToGrid w:val="0"/>
          <w:lang w:val="en-GB"/>
        </w:rPr>
        <w:t>2014).</w:t>
      </w:r>
    </w:p>
    <w:p w:rsidRPr="00275FCA" w:rsidR="00A24100" w:rsidP="00275FCA" w:rsidRDefault="008E3634">
      <w:pPr>
        <w:pStyle w:val="ECHRHeading5"/>
        <w:rPr>
          <w:snapToGrid w:val="0"/>
          <w:lang w:val="en-GB"/>
        </w:rPr>
      </w:pPr>
      <w:r w:rsidRPr="00275FCA">
        <w:rPr>
          <w:snapToGrid w:val="0"/>
          <w:lang w:val="en-GB"/>
        </w:rPr>
        <w:t>(ii)  </w:t>
      </w:r>
      <w:r w:rsidRPr="00275FCA" w:rsidR="00A24100">
        <w:rPr>
          <w:snapToGrid w:val="0"/>
          <w:lang w:val="en-GB"/>
        </w:rPr>
        <w:t>“Necessary in a democratic society”</w:t>
      </w:r>
    </w:p>
    <w:p w:rsidRPr="00275FCA" w:rsidR="00A24100" w:rsidP="00275FCA" w:rsidRDefault="00A24100">
      <w:pPr>
        <w:pStyle w:val="ECHRPara"/>
        <w:rPr>
          <w:snapToGrid w:val="0"/>
          <w:lang w:val="en-GB"/>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96</w:t>
      </w:r>
      <w:r w:rsidRPr="00275FCA">
        <w:rPr>
          <w:snapToGrid w:val="0"/>
          <w:lang w:val="en-GB"/>
        </w:rPr>
        <w:fldChar w:fldCharType="end"/>
      </w:r>
      <w:r w:rsidRPr="00275FCA">
        <w:rPr>
          <w:snapToGrid w:val="0"/>
          <w:lang w:val="en-GB"/>
        </w:rPr>
        <w:t>.  </w:t>
      </w:r>
      <w:r w:rsidRPr="00275FCA" w:rsidR="00C94DCA">
        <w:rPr>
          <w:snapToGrid w:val="0"/>
          <w:lang w:val="en-GB"/>
        </w:rPr>
        <w:t>The parties did not submit any specific observations on this matter.</w:t>
      </w:r>
    </w:p>
    <w:bookmarkStart w:name="_Toc341778717" w:id="8"/>
    <w:bookmarkStart w:name="_Toc341778891" w:id="9"/>
    <w:bookmarkStart w:name="_Toc341779239" w:id="10"/>
    <w:bookmarkStart w:name="_Toc341779414" w:id="11"/>
    <w:bookmarkStart w:name="_Toc341779591" w:id="12"/>
    <w:bookmarkStart w:name="_Toc341779765" w:id="13"/>
    <w:bookmarkEnd w:id="8"/>
    <w:bookmarkEnd w:id="9"/>
    <w:bookmarkEnd w:id="10"/>
    <w:bookmarkEnd w:id="11"/>
    <w:bookmarkEnd w:id="12"/>
    <w:bookmarkEnd w:id="13"/>
    <w:p w:rsidRPr="00275FCA" w:rsidR="00AA0082" w:rsidP="00275FCA" w:rsidRDefault="0033569B">
      <w:pPr>
        <w:pStyle w:val="ECHRPara"/>
        <w:rPr>
          <w:snapToGrid w:val="0"/>
          <w:lang w:val="en-GB"/>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97</w:t>
      </w:r>
      <w:r w:rsidRPr="00275FCA">
        <w:rPr>
          <w:snapToGrid w:val="0"/>
          <w:lang w:val="en-GB"/>
        </w:rPr>
        <w:fldChar w:fldCharType="end"/>
      </w:r>
      <w:r w:rsidRPr="00275FCA">
        <w:rPr>
          <w:snapToGrid w:val="0"/>
          <w:lang w:val="en-GB"/>
        </w:rPr>
        <w:t>.  </w:t>
      </w:r>
      <w:r w:rsidRPr="00275FCA" w:rsidR="00EA130A">
        <w:rPr>
          <w:snapToGrid w:val="0"/>
          <w:lang w:val="en-GB"/>
        </w:rPr>
        <w:t>The general principles concerning the question whether an interference with freedom of expression is “necessary in a democratic society” are well established in the Court</w:t>
      </w:r>
      <w:r w:rsidRPr="00275FCA" w:rsidR="00275FCA">
        <w:rPr>
          <w:snapToGrid w:val="0"/>
          <w:lang w:val="en-GB"/>
        </w:rPr>
        <w:t>’</w:t>
      </w:r>
      <w:r w:rsidRPr="00275FCA" w:rsidR="00EA130A">
        <w:rPr>
          <w:snapToGrid w:val="0"/>
          <w:lang w:val="en-GB"/>
        </w:rPr>
        <w:t>s case-law</w:t>
      </w:r>
      <w:r w:rsidRPr="00275FCA" w:rsidR="001C0B4A">
        <w:rPr>
          <w:snapToGrid w:val="0"/>
          <w:lang w:val="en-GB"/>
        </w:rPr>
        <w:t xml:space="preserve"> (see, amongst recent authorities, </w:t>
      </w:r>
      <w:r w:rsidRPr="00275FCA" w:rsidR="001C0B4A">
        <w:rPr>
          <w:i/>
          <w:lang w:val="en-GB"/>
        </w:rPr>
        <w:t xml:space="preserve">Karácsony and Others v. Hungary </w:t>
      </w:r>
      <w:r w:rsidRPr="00275FCA" w:rsidR="001C0B4A">
        <w:rPr>
          <w:lang w:val="en-GB"/>
        </w:rPr>
        <w:t>[GC], no. 42461/13, §</w:t>
      </w:r>
      <w:r w:rsidRPr="00275FCA" w:rsidR="00576520">
        <w:rPr>
          <w:lang w:val="en-GB"/>
        </w:rPr>
        <w:t> </w:t>
      </w:r>
      <w:r w:rsidRPr="00275FCA" w:rsidR="001C0B4A">
        <w:rPr>
          <w:lang w:val="en-GB"/>
        </w:rPr>
        <w:t>132, 1</w:t>
      </w:r>
      <w:r w:rsidRPr="00275FCA" w:rsidR="009F3C89">
        <w:rPr>
          <w:lang w:val="en-GB"/>
        </w:rPr>
        <w:t>7 </w:t>
      </w:r>
      <w:r w:rsidRPr="00275FCA" w:rsidR="001C0B4A">
        <w:rPr>
          <w:lang w:val="en-GB"/>
        </w:rPr>
        <w:t>May 2016</w:t>
      </w:r>
      <w:r w:rsidRPr="00275FCA" w:rsidR="001C0B4A">
        <w:rPr>
          <w:snapToGrid w:val="0"/>
          <w:lang w:val="en-GB"/>
        </w:rPr>
        <w:t>)</w:t>
      </w:r>
      <w:r w:rsidRPr="00275FCA" w:rsidR="00EA130A">
        <w:rPr>
          <w:snapToGrid w:val="0"/>
          <w:lang w:val="en-GB"/>
        </w:rPr>
        <w:t>.</w:t>
      </w:r>
    </w:p>
    <w:p w:rsidRPr="00275FCA" w:rsidR="0033569B" w:rsidP="00275FCA" w:rsidRDefault="00AA0082">
      <w:pPr>
        <w:pStyle w:val="ECHRPara"/>
        <w:rPr>
          <w:i/>
          <w:lang w:val="en-GB"/>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98</w:t>
      </w:r>
      <w:r w:rsidRPr="00275FCA">
        <w:rPr>
          <w:snapToGrid w:val="0"/>
          <w:lang w:val="en-GB"/>
        </w:rPr>
        <w:fldChar w:fldCharType="end"/>
      </w:r>
      <w:r w:rsidRPr="00275FCA">
        <w:rPr>
          <w:snapToGrid w:val="0"/>
          <w:lang w:val="en-GB"/>
        </w:rPr>
        <w:t>.  </w:t>
      </w:r>
      <w:r w:rsidRPr="00275FCA" w:rsidR="00932671">
        <w:rPr>
          <w:snapToGrid w:val="0"/>
          <w:lang w:val="en-GB"/>
        </w:rPr>
        <w:t xml:space="preserve">The Court </w:t>
      </w:r>
      <w:r w:rsidRPr="00275FCA" w:rsidR="0033569B">
        <w:rPr>
          <w:snapToGrid w:val="0"/>
          <w:lang w:val="en-GB"/>
        </w:rPr>
        <w:t xml:space="preserve">reiterates </w:t>
      </w:r>
      <w:r w:rsidRPr="00275FCA" w:rsidR="00EA130A">
        <w:rPr>
          <w:snapToGrid w:val="0"/>
          <w:lang w:val="en-GB"/>
        </w:rPr>
        <w:t>accordingly</w:t>
      </w:r>
      <w:r w:rsidRPr="00275FCA" w:rsidR="001C0B4A">
        <w:rPr>
          <w:snapToGrid w:val="0"/>
          <w:lang w:val="en-GB"/>
        </w:rPr>
        <w:t xml:space="preserve">, and </w:t>
      </w:r>
      <w:r w:rsidRPr="00275FCA" w:rsidR="00680B0C">
        <w:rPr>
          <w:snapToGrid w:val="0"/>
          <w:lang w:val="en-GB"/>
        </w:rPr>
        <w:t xml:space="preserve">in so far </w:t>
      </w:r>
      <w:r w:rsidRPr="00275FCA" w:rsidR="001C0B4A">
        <w:rPr>
          <w:snapToGrid w:val="0"/>
          <w:lang w:val="en-GB"/>
        </w:rPr>
        <w:t>as</w:t>
      </w:r>
      <w:r w:rsidRPr="00275FCA" w:rsidR="004E3897">
        <w:rPr>
          <w:snapToGrid w:val="0"/>
          <w:lang w:val="en-GB"/>
        </w:rPr>
        <w:t xml:space="preserve"> is</w:t>
      </w:r>
      <w:r w:rsidRPr="00275FCA" w:rsidR="001C0B4A">
        <w:rPr>
          <w:snapToGrid w:val="0"/>
          <w:lang w:val="en-GB"/>
        </w:rPr>
        <w:t xml:space="preserve"> relevant </w:t>
      </w:r>
      <w:r w:rsidRPr="00275FCA" w:rsidR="004E3897">
        <w:rPr>
          <w:snapToGrid w:val="0"/>
          <w:lang w:val="en-GB"/>
        </w:rPr>
        <w:t xml:space="preserve">to </w:t>
      </w:r>
      <w:r w:rsidRPr="00275FCA" w:rsidR="001C0B4A">
        <w:rPr>
          <w:snapToGrid w:val="0"/>
          <w:lang w:val="en-GB"/>
        </w:rPr>
        <w:t>the present c</w:t>
      </w:r>
      <w:r w:rsidRPr="00275FCA" w:rsidR="004E3897">
        <w:rPr>
          <w:snapToGrid w:val="0"/>
          <w:lang w:val="en-GB"/>
        </w:rPr>
        <w:t>ase</w:t>
      </w:r>
      <w:r w:rsidRPr="00275FCA" w:rsidR="001C0B4A">
        <w:rPr>
          <w:snapToGrid w:val="0"/>
          <w:lang w:val="en-GB"/>
        </w:rPr>
        <w:t>,</w:t>
      </w:r>
      <w:r w:rsidRPr="00275FCA" w:rsidR="00EA130A">
        <w:rPr>
          <w:snapToGrid w:val="0"/>
          <w:lang w:val="en-GB"/>
        </w:rPr>
        <w:t xml:space="preserve"> </w:t>
      </w:r>
      <w:r w:rsidRPr="00275FCA" w:rsidR="0033569B">
        <w:rPr>
          <w:snapToGrid w:val="0"/>
          <w:lang w:val="en-GB"/>
        </w:rPr>
        <w:t>that freedom of expression constitutes one of the essential foundations of a democratic society. Subject to Article 10</w:t>
      </w:r>
      <w:r w:rsidRPr="00275FCA" w:rsidR="004E3897">
        <w:rPr>
          <w:snapToGrid w:val="0"/>
          <w:lang w:val="en-GB"/>
        </w:rPr>
        <w:t xml:space="preserve"> </w:t>
      </w:r>
      <w:r w:rsidRPr="00275FCA" w:rsidR="004E3897">
        <w:rPr>
          <w:rFonts w:cstheme="minorHAnsi"/>
          <w:snapToGrid w:val="0"/>
          <w:lang w:val="en-GB"/>
        </w:rPr>
        <w:t>§</w:t>
      </w:r>
      <w:r w:rsidRPr="00275FCA" w:rsidR="004E3897">
        <w:rPr>
          <w:snapToGrid w:val="0"/>
          <w:lang w:val="en-GB"/>
        </w:rPr>
        <w:t xml:space="preserve"> 2</w:t>
      </w:r>
      <w:r w:rsidRPr="00275FCA" w:rsidR="0033569B">
        <w:rPr>
          <w:snapToGrid w:val="0"/>
          <w:lang w:val="en-GB"/>
        </w:rPr>
        <w:t>, freedom of expression is applicable not only to “information” or “ideas” that are favourably received or regarded as inoffensive or as a matter of indifference, but also to those that offend, shock or disturb the State or any sector of the popul</w:t>
      </w:r>
      <w:r w:rsidRPr="00275FCA" w:rsidR="00932671">
        <w:rPr>
          <w:snapToGrid w:val="0"/>
          <w:lang w:val="en-GB"/>
        </w:rPr>
        <w:t>ation. Such are the demands of</w:t>
      </w:r>
      <w:r w:rsidRPr="00275FCA" w:rsidR="0033569B">
        <w:rPr>
          <w:snapToGrid w:val="0"/>
          <w:lang w:val="en-GB"/>
        </w:rPr>
        <w:t xml:space="preserve"> pluralism, tolerance and broadmindedness without which there i</w:t>
      </w:r>
      <w:r w:rsidRPr="00275FCA" w:rsidR="00095945">
        <w:rPr>
          <w:snapToGrid w:val="0"/>
          <w:lang w:val="en-GB"/>
        </w:rPr>
        <w:t xml:space="preserve">s no “democratic society” (see </w:t>
      </w:r>
      <w:r w:rsidRPr="00275FCA" w:rsidR="008F5C36">
        <w:rPr>
          <w:i/>
          <w:lang w:val="en-GB"/>
        </w:rPr>
        <w:t>Handyside v. the United Kingdom</w:t>
      </w:r>
      <w:r w:rsidRPr="00275FCA" w:rsidR="00095945">
        <w:rPr>
          <w:lang w:val="en-GB"/>
        </w:rPr>
        <w:t>, 7</w:t>
      </w:r>
      <w:r w:rsidRPr="00275FCA" w:rsidR="0065688C">
        <w:rPr>
          <w:lang w:val="en-GB"/>
        </w:rPr>
        <w:t xml:space="preserve"> </w:t>
      </w:r>
      <w:r w:rsidRPr="00275FCA" w:rsidR="008F5C36">
        <w:rPr>
          <w:lang w:val="en-GB"/>
        </w:rPr>
        <w:t>December 1976, § 49, Series A no.</w:t>
      </w:r>
      <w:r w:rsidRPr="00275FCA" w:rsidR="009F3C89">
        <w:rPr>
          <w:lang w:val="en-GB"/>
        </w:rPr>
        <w:t> </w:t>
      </w:r>
      <w:r w:rsidRPr="00275FCA" w:rsidR="008F5C36">
        <w:rPr>
          <w:lang w:val="en-GB"/>
        </w:rPr>
        <w:t>24</w:t>
      </w:r>
      <w:r w:rsidRPr="00275FCA" w:rsidR="00095945">
        <w:rPr>
          <w:lang w:val="en-GB"/>
        </w:rPr>
        <w:t xml:space="preserve">, </w:t>
      </w:r>
      <w:r w:rsidRPr="00275FCA" w:rsidR="00095945">
        <w:t xml:space="preserve">and </w:t>
      </w:r>
      <w:r w:rsidRPr="00275FCA" w:rsidR="00095945">
        <w:rPr>
          <w:i/>
        </w:rPr>
        <w:t xml:space="preserve">Baka v. Hungary </w:t>
      </w:r>
      <w:r w:rsidRPr="00275FCA" w:rsidR="00095945">
        <w:t>[GC], no.</w:t>
      </w:r>
      <w:r w:rsidRPr="00275FCA" w:rsidR="0065688C">
        <w:t xml:space="preserve"> </w:t>
      </w:r>
      <w:r w:rsidRPr="00275FCA" w:rsidR="00095945">
        <w:t>20261/12</w:t>
      </w:r>
      <w:r w:rsidRPr="00275FCA" w:rsidR="00095945">
        <w:rPr>
          <w:snapToGrid w:val="0"/>
        </w:rPr>
        <w:t>, § 158, 2</w:t>
      </w:r>
      <w:r w:rsidRPr="00275FCA" w:rsidR="00095945">
        <w:t>3</w:t>
      </w:r>
      <w:r w:rsidRPr="00275FCA" w:rsidR="00095945">
        <w:rPr>
          <w:snapToGrid w:val="0"/>
        </w:rPr>
        <w:t xml:space="preserve"> June 2016 and the cases cited therein).</w:t>
      </w:r>
      <w:r w:rsidRPr="00275FCA" w:rsidR="00095945">
        <w:rPr>
          <w:i/>
          <w:lang w:val="en-GB"/>
        </w:rPr>
        <w:t xml:space="preserve"> </w:t>
      </w:r>
      <w:r w:rsidRPr="00275FCA" w:rsidR="0033569B">
        <w:rPr>
          <w:snapToGrid w:val="0"/>
          <w:lang w:val="en-GB"/>
        </w:rPr>
        <w:t xml:space="preserve">As set forth in Article 10, freedom of expression is subject to exceptions, which must, however, be construed strictly, and the need for any restrictions must be established convincingly (see </w:t>
      </w:r>
      <w:r w:rsidRPr="00275FCA" w:rsidR="00095945">
        <w:rPr>
          <w:i/>
          <w:snapToGrid w:val="0"/>
          <w:lang w:val="en-GB"/>
        </w:rPr>
        <w:t>Baka</w:t>
      </w:r>
      <w:r w:rsidRPr="00275FCA" w:rsidR="00095945">
        <w:rPr>
          <w:snapToGrid w:val="0"/>
          <w:lang w:val="en-GB"/>
        </w:rPr>
        <w:t>, cited above</w:t>
      </w:r>
      <w:r w:rsidRPr="00275FCA" w:rsidR="0033569B">
        <w:rPr>
          <w:snapToGrid w:val="0"/>
          <w:lang w:val="en-GB"/>
        </w:rPr>
        <w:t>).</w:t>
      </w:r>
    </w:p>
    <w:p w:rsidRPr="00275FCA" w:rsidR="00A86215" w:rsidP="00275FCA" w:rsidRDefault="00932671">
      <w:pPr>
        <w:pStyle w:val="ECHRPara"/>
        <w:rPr>
          <w:snapToGrid w:val="0"/>
          <w:lang w:val="en-GB"/>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99</w:t>
      </w:r>
      <w:r w:rsidRPr="00275FCA">
        <w:rPr>
          <w:snapToGrid w:val="0"/>
          <w:lang w:val="en-GB"/>
        </w:rPr>
        <w:fldChar w:fldCharType="end"/>
      </w:r>
      <w:r w:rsidRPr="00275FCA">
        <w:rPr>
          <w:snapToGrid w:val="0"/>
          <w:lang w:val="en-GB"/>
        </w:rPr>
        <w:t>.  </w:t>
      </w:r>
      <w:r w:rsidRPr="00275FCA" w:rsidR="00A86215">
        <w:rPr>
          <w:snapToGrid w:val="0"/>
          <w:lang w:val="en-GB"/>
        </w:rPr>
        <w:t>When examining whether restrictions on the rights and freedoms guaranteed by the Convention can be considered “necessary in a democratic society” within the meaning of Article 10 § 2, the Contracting States enjoy a certain but not unlimited margin of appreciation. It is, in any event, for the Court to give a final ruling on the restriction</w:t>
      </w:r>
      <w:r w:rsidRPr="00275FCA" w:rsidR="00275FCA">
        <w:rPr>
          <w:snapToGrid w:val="0"/>
          <w:lang w:val="en-GB"/>
        </w:rPr>
        <w:t>’</w:t>
      </w:r>
      <w:r w:rsidRPr="00275FCA" w:rsidR="00A86215">
        <w:rPr>
          <w:snapToGrid w:val="0"/>
          <w:lang w:val="en-GB"/>
        </w:rPr>
        <w:t xml:space="preserve">s compatibility with the Convention and this is to be done by assessing the circumstances of a particular case (see </w:t>
      </w:r>
      <w:r w:rsidRPr="00275FCA" w:rsidR="00A86215">
        <w:rPr>
          <w:i/>
          <w:snapToGrid w:val="0"/>
          <w:lang w:val="en-GB"/>
        </w:rPr>
        <w:t>Kudrevičius and Others v. Lithuania</w:t>
      </w:r>
      <w:r w:rsidRPr="00275FCA" w:rsidR="00095945">
        <w:rPr>
          <w:snapToGrid w:val="0"/>
          <w:lang w:val="en-GB"/>
        </w:rPr>
        <w:t xml:space="preserve"> [GC], no. </w:t>
      </w:r>
      <w:r w:rsidRPr="00275FCA" w:rsidR="00A86215">
        <w:rPr>
          <w:snapToGrid w:val="0"/>
          <w:lang w:val="en-GB"/>
        </w:rPr>
        <w:t>37553/05</w:t>
      </w:r>
      <w:r w:rsidRPr="00275FCA" w:rsidR="00095945">
        <w:rPr>
          <w:snapToGrid w:val="0"/>
          <w:lang w:val="en-GB"/>
        </w:rPr>
        <w:t>, § 142, 15 October 2015</w:t>
      </w:r>
      <w:r w:rsidRPr="00275FCA" w:rsidR="00A86215">
        <w:rPr>
          <w:snapToGrid w:val="0"/>
          <w:lang w:val="en-GB"/>
        </w:rPr>
        <w:t>).</w:t>
      </w:r>
    </w:p>
    <w:p w:rsidRPr="00275FCA" w:rsidR="00587732" w:rsidP="00275FCA" w:rsidRDefault="00A86215">
      <w:pPr>
        <w:pStyle w:val="ECHRPara"/>
        <w:rPr>
          <w:lang w:val="en-GB"/>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100</w:t>
      </w:r>
      <w:r w:rsidRPr="00275FCA">
        <w:rPr>
          <w:snapToGrid w:val="0"/>
          <w:lang w:val="en-GB"/>
        </w:rPr>
        <w:fldChar w:fldCharType="end"/>
      </w:r>
      <w:r w:rsidRPr="00275FCA">
        <w:rPr>
          <w:snapToGrid w:val="0"/>
          <w:lang w:val="en-GB"/>
        </w:rPr>
        <w:t>.  In exercising its supervisory jurisdiction, the Court must look at the impugned interference in the light of the case as a whole. An interference will be considered “necessary in a democratic society” for a legitimate aim if it answers a “pressing social need” and, in particular, if it is proportionate to the legitimate aim pursued and if the reasons adduced by the national authorities to justify it are “relevant and sufficient” (see</w:t>
      </w:r>
      <w:r w:rsidRPr="00275FCA" w:rsidR="007F58B2">
        <w:rPr>
          <w:snapToGrid w:val="0"/>
          <w:lang w:val="en-GB"/>
        </w:rPr>
        <w:t xml:space="preserve">, </w:t>
      </w:r>
      <w:r w:rsidRPr="00275FCA" w:rsidR="007F58B2">
        <w:rPr>
          <w:i/>
          <w:snapToGrid w:val="0"/>
          <w:lang w:val="en-GB"/>
        </w:rPr>
        <w:t>mutatis mutandis</w:t>
      </w:r>
      <w:r w:rsidRPr="00275FCA" w:rsidR="007F58B2">
        <w:rPr>
          <w:snapToGrid w:val="0"/>
          <w:lang w:val="en-GB"/>
        </w:rPr>
        <w:t xml:space="preserve">, </w:t>
      </w:r>
      <w:r w:rsidRPr="00275FCA" w:rsidR="007F58B2">
        <w:rPr>
          <w:i/>
          <w:lang w:val="en-GB"/>
        </w:rPr>
        <w:t>Fernández Martínez</w:t>
      </w:r>
      <w:r w:rsidRPr="00275FCA" w:rsidR="007F58B2">
        <w:rPr>
          <w:lang w:val="en-GB"/>
        </w:rPr>
        <w:t xml:space="preserve"> </w:t>
      </w:r>
      <w:r w:rsidRPr="00275FCA" w:rsidR="007F58B2">
        <w:rPr>
          <w:i/>
          <w:lang w:val="en-GB"/>
        </w:rPr>
        <w:t xml:space="preserve">v. Spain </w:t>
      </w:r>
      <w:r w:rsidRPr="00275FCA" w:rsidR="007F58B2">
        <w:rPr>
          <w:lang w:val="en-GB"/>
        </w:rPr>
        <w:t>[GC], no. 56030/07, § 124, ECHR 2014 (extracts)</w:t>
      </w:r>
      <w:r w:rsidRPr="00275FCA">
        <w:rPr>
          <w:snapToGrid w:val="0"/>
          <w:lang w:val="en-GB"/>
        </w:rPr>
        <w:t>). In doing so, the Court has to satisfy itself that the national authorities, basing themselves on an acceptable assessment of the relevant facts, applied standards which were in conformity with the principles embodied in Article 1</w:t>
      </w:r>
      <w:r w:rsidRPr="00275FCA" w:rsidR="00587732">
        <w:rPr>
          <w:snapToGrid w:val="0"/>
          <w:lang w:val="en-GB"/>
        </w:rPr>
        <w:t xml:space="preserve">0 of the Convention (see </w:t>
      </w:r>
      <w:r w:rsidRPr="00275FCA" w:rsidR="00F651B0">
        <w:rPr>
          <w:i/>
          <w:lang w:val="en-GB"/>
        </w:rPr>
        <w:t>Pedersen and Baadsgaard v.</w:t>
      </w:r>
      <w:r w:rsidRPr="00275FCA" w:rsidR="008E3634">
        <w:rPr>
          <w:i/>
          <w:lang w:val="en-GB"/>
        </w:rPr>
        <w:t> </w:t>
      </w:r>
      <w:r w:rsidRPr="00275FCA" w:rsidR="00F651B0">
        <w:rPr>
          <w:i/>
          <w:lang w:val="en-GB"/>
        </w:rPr>
        <w:t xml:space="preserve">Denmark </w:t>
      </w:r>
      <w:r w:rsidRPr="00275FCA" w:rsidR="00F651B0">
        <w:rPr>
          <w:lang w:val="en-GB"/>
        </w:rPr>
        <w:t>[GC], no. 49017/99, § 91, ECHR 2004</w:t>
      </w:r>
      <w:r w:rsidRPr="00275FCA" w:rsidR="00F651B0">
        <w:rPr>
          <w:lang w:val="en-GB"/>
        </w:rPr>
        <w:noBreakHyphen/>
        <w:t xml:space="preserve">XI, </w:t>
      </w:r>
      <w:r w:rsidRPr="00275FCA" w:rsidR="00587732">
        <w:rPr>
          <w:lang w:val="en-GB"/>
        </w:rPr>
        <w:t xml:space="preserve">and </w:t>
      </w:r>
      <w:r w:rsidRPr="00275FCA" w:rsidR="00587732">
        <w:rPr>
          <w:i/>
          <w:lang w:val="en-GB"/>
        </w:rPr>
        <w:t>Cumhuriyet Vakfı and Others v. Turkey</w:t>
      </w:r>
      <w:r w:rsidRPr="00275FCA" w:rsidR="00587732">
        <w:rPr>
          <w:lang w:val="en-GB"/>
        </w:rPr>
        <w:t>, no. 28255/07</w:t>
      </w:r>
      <w:r w:rsidRPr="00275FCA" w:rsidR="00587732">
        <w:rPr>
          <w:snapToGrid w:val="0"/>
          <w:lang w:val="en-GB"/>
        </w:rPr>
        <w:t>, § 59, 8 October 2013).</w:t>
      </w:r>
    </w:p>
    <w:p w:rsidRPr="00275FCA" w:rsidR="00600D92" w:rsidP="00275FCA" w:rsidRDefault="00A86215">
      <w:pPr>
        <w:pStyle w:val="ECHRPara"/>
        <w:rPr>
          <w:snapToGrid w:val="0"/>
          <w:lang w:val="en-GB" w:bidi="en-US"/>
        </w:rPr>
      </w:pPr>
      <w:r w:rsidRPr="00275FCA">
        <w:rPr>
          <w:snapToGrid w:val="0"/>
          <w:lang w:val="en-GB"/>
        </w:rPr>
        <w:fldChar w:fldCharType="begin"/>
      </w:r>
      <w:r w:rsidRPr="00275FCA">
        <w:rPr>
          <w:snapToGrid w:val="0"/>
          <w:lang w:val="en-GB"/>
        </w:rPr>
        <w:instrText xml:space="preserve"> SEQ level0 \*arabic </w:instrText>
      </w:r>
      <w:r w:rsidRPr="00275FCA">
        <w:rPr>
          <w:snapToGrid w:val="0"/>
          <w:lang w:val="en-GB"/>
        </w:rPr>
        <w:fldChar w:fldCharType="separate"/>
      </w:r>
      <w:r w:rsidRPr="00275FCA" w:rsidR="00275FCA">
        <w:rPr>
          <w:noProof/>
          <w:snapToGrid w:val="0"/>
          <w:lang w:val="en-GB"/>
        </w:rPr>
        <w:t>101</w:t>
      </w:r>
      <w:r w:rsidRPr="00275FCA">
        <w:rPr>
          <w:snapToGrid w:val="0"/>
          <w:lang w:val="en-GB"/>
        </w:rPr>
        <w:fldChar w:fldCharType="end"/>
      </w:r>
      <w:r w:rsidRPr="00275FCA">
        <w:rPr>
          <w:snapToGrid w:val="0"/>
          <w:lang w:val="en-GB"/>
        </w:rPr>
        <w:t>. </w:t>
      </w:r>
      <w:r w:rsidRPr="00275FCA" w:rsidR="008E3634">
        <w:rPr>
          <w:snapToGrid w:val="0"/>
          <w:lang w:val="en-GB"/>
        </w:rPr>
        <w:t> </w:t>
      </w:r>
      <w:r w:rsidRPr="00275FCA" w:rsidR="00600D92">
        <w:rPr>
          <w:snapToGrid w:val="0"/>
          <w:lang w:val="en-GB"/>
        </w:rPr>
        <w:t>In the present case, the Cour</w:t>
      </w:r>
      <w:r w:rsidRPr="00275FCA" w:rsidR="00A76A43">
        <w:rPr>
          <w:snapToGrid w:val="0"/>
          <w:lang w:val="en-GB"/>
        </w:rPr>
        <w:t>t observes that the applicants were subjected to</w:t>
      </w:r>
      <w:r w:rsidRPr="00275FCA" w:rsidR="00600D92">
        <w:rPr>
          <w:snapToGrid w:val="0"/>
          <w:lang w:val="en-GB"/>
        </w:rPr>
        <w:t xml:space="preserve"> a series of measures for petition</w:t>
      </w:r>
      <w:r w:rsidRPr="00275FCA" w:rsidR="00FB36C0">
        <w:rPr>
          <w:snapToGrid w:val="0"/>
          <w:lang w:val="en-GB"/>
        </w:rPr>
        <w:t>ing</w:t>
      </w:r>
      <w:r w:rsidRPr="00275FCA" w:rsidR="00600D92">
        <w:rPr>
          <w:snapToGrid w:val="0"/>
          <w:lang w:val="en-GB"/>
        </w:rPr>
        <w:t xml:space="preserve"> the State authorities for the provision of education in Kurdish in elementary schools. </w:t>
      </w:r>
      <w:r w:rsidRPr="00275FCA" w:rsidR="0085551E">
        <w:rPr>
          <w:snapToGrid w:val="0"/>
          <w:lang w:val="en-GB"/>
        </w:rPr>
        <w:t xml:space="preserve">The </w:t>
      </w:r>
      <w:r w:rsidRPr="00275FCA" w:rsidR="0085551E">
        <w:rPr>
          <w:snapToGrid w:val="0"/>
          <w:lang w:val="en-GB" w:bidi="en-US"/>
        </w:rPr>
        <w:t>arguments put for</w:t>
      </w:r>
      <w:r w:rsidRPr="00275FCA" w:rsidR="00FB36C0">
        <w:rPr>
          <w:snapToGrid w:val="0"/>
          <w:lang w:val="en-GB" w:bidi="en-US"/>
        </w:rPr>
        <w:t>ward</w:t>
      </w:r>
      <w:r w:rsidRPr="00275FCA" w:rsidR="0085551E">
        <w:rPr>
          <w:snapToGrid w:val="0"/>
          <w:lang w:val="en-GB" w:bidi="en-US"/>
        </w:rPr>
        <w:t xml:space="preserve"> by the public prosecutor in the indictment and by the Government in their observations reveal </w:t>
      </w:r>
      <w:r w:rsidRPr="00275FCA" w:rsidR="00A76A43">
        <w:rPr>
          <w:snapToGrid w:val="0"/>
          <w:lang w:val="en-GB" w:bidi="en-US"/>
        </w:rPr>
        <w:t xml:space="preserve">that the applicants faced those measures not on account of the substance of their requests as such, </w:t>
      </w:r>
      <w:r w:rsidRPr="00275FCA" w:rsidR="0085551E">
        <w:rPr>
          <w:snapToGrid w:val="0"/>
          <w:lang w:val="en-GB" w:bidi="en-US"/>
        </w:rPr>
        <w:t xml:space="preserve">but because they had </w:t>
      </w:r>
      <w:r w:rsidRPr="00275FCA" w:rsidR="00FB36C0">
        <w:rPr>
          <w:snapToGrid w:val="0"/>
          <w:lang w:val="en-GB" w:bidi="en-US"/>
        </w:rPr>
        <w:t xml:space="preserve">allegedly </w:t>
      </w:r>
      <w:r w:rsidRPr="00275FCA" w:rsidR="0085551E">
        <w:rPr>
          <w:snapToGrid w:val="0"/>
          <w:lang w:val="en-GB" w:bidi="en-US"/>
        </w:rPr>
        <w:t xml:space="preserve">submitted </w:t>
      </w:r>
      <w:r w:rsidRPr="00275FCA" w:rsidR="00FB36C0">
        <w:rPr>
          <w:snapToGrid w:val="0"/>
          <w:lang w:val="en-GB" w:bidi="en-US"/>
        </w:rPr>
        <w:t>them</w:t>
      </w:r>
      <w:r w:rsidRPr="00275FCA" w:rsidR="0085551E">
        <w:rPr>
          <w:snapToGrid w:val="0"/>
          <w:lang w:val="en-GB" w:bidi="en-US"/>
        </w:rPr>
        <w:t xml:space="preserve"> as part of a collective action instigated by</w:t>
      </w:r>
      <w:r w:rsidRPr="00275FCA" w:rsidR="00A76A43">
        <w:rPr>
          <w:snapToGrid w:val="0"/>
          <w:lang w:val="en-GB" w:bidi="en-US"/>
        </w:rPr>
        <w:t xml:space="preserve"> an illegal armed organisation, </w:t>
      </w:r>
      <w:r w:rsidRPr="00275FCA" w:rsidR="0085551E">
        <w:rPr>
          <w:snapToGrid w:val="0"/>
          <w:lang w:val="en-GB" w:bidi="en-US"/>
        </w:rPr>
        <w:t>the PKK</w:t>
      </w:r>
      <w:r w:rsidRPr="00275FCA" w:rsidR="007726AF">
        <w:rPr>
          <w:snapToGrid w:val="0"/>
          <w:lang w:val="en-GB" w:bidi="en-US"/>
        </w:rPr>
        <w:t xml:space="preserve"> (see paragraphs </w:t>
      </w:r>
      <w:r w:rsidRPr="00275FCA" w:rsidR="00B21B6E">
        <w:rPr>
          <w:snapToGrid w:val="0"/>
          <w:lang w:val="en-GB" w:bidi="en-US"/>
        </w:rPr>
        <w:t xml:space="preserve">9, 10, </w:t>
      </w:r>
      <w:r w:rsidRPr="00275FCA" w:rsidR="009D35C7">
        <w:rPr>
          <w:snapToGrid w:val="0"/>
          <w:lang w:val="en-GB" w:bidi="en-US"/>
        </w:rPr>
        <w:t xml:space="preserve">17, </w:t>
      </w:r>
      <w:r w:rsidRPr="00275FCA" w:rsidR="00B21B6E">
        <w:rPr>
          <w:snapToGrid w:val="0"/>
          <w:lang w:val="en-GB" w:bidi="en-US"/>
        </w:rPr>
        <w:t>27</w:t>
      </w:r>
      <w:r w:rsidRPr="00275FCA" w:rsidR="00A76A43">
        <w:rPr>
          <w:snapToGrid w:val="0"/>
          <w:lang w:val="en-GB" w:bidi="en-US"/>
        </w:rPr>
        <w:t xml:space="preserve"> and </w:t>
      </w:r>
      <w:r w:rsidRPr="00275FCA" w:rsidR="00B21B6E">
        <w:rPr>
          <w:snapToGrid w:val="0"/>
          <w:lang w:val="en-GB" w:bidi="en-US"/>
        </w:rPr>
        <w:t>8</w:t>
      </w:r>
      <w:r w:rsidRPr="00275FCA" w:rsidR="0078313E">
        <w:rPr>
          <w:snapToGrid w:val="0"/>
          <w:lang w:val="en-GB" w:bidi="en-US"/>
        </w:rPr>
        <w:t>4</w:t>
      </w:r>
      <w:r w:rsidRPr="00275FCA" w:rsidR="007726AF">
        <w:rPr>
          <w:snapToGrid w:val="0"/>
          <w:lang w:val="en-GB" w:bidi="en-US"/>
        </w:rPr>
        <w:t xml:space="preserve"> above)</w:t>
      </w:r>
      <w:r w:rsidRPr="00275FCA" w:rsidR="0085551E">
        <w:rPr>
          <w:snapToGrid w:val="0"/>
          <w:lang w:val="en-GB" w:bidi="en-US"/>
        </w:rPr>
        <w:t>.</w:t>
      </w:r>
    </w:p>
    <w:p w:rsidRPr="00275FCA" w:rsidR="0039725B" w:rsidP="00275FCA" w:rsidRDefault="00600D92">
      <w:pPr>
        <w:pStyle w:val="ECHRPara"/>
        <w:rPr>
          <w:snapToGrid w:val="0"/>
          <w:lang w:val="en-GB" w:bidi="en-US"/>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102</w:t>
      </w:r>
      <w:r w:rsidRPr="00275FCA">
        <w:rPr>
          <w:snapToGrid w:val="0"/>
          <w:lang w:val="en-GB" w:bidi="en-US"/>
        </w:rPr>
        <w:fldChar w:fldCharType="end"/>
      </w:r>
      <w:r w:rsidRPr="00275FCA">
        <w:rPr>
          <w:snapToGrid w:val="0"/>
          <w:lang w:val="en-GB" w:bidi="en-US"/>
        </w:rPr>
        <w:t xml:space="preserve">.  While </w:t>
      </w:r>
      <w:r w:rsidRPr="00275FCA" w:rsidR="00855B27">
        <w:rPr>
          <w:snapToGrid w:val="0"/>
          <w:lang w:val="en-GB" w:bidi="en-US"/>
        </w:rPr>
        <w:t xml:space="preserve">the </w:t>
      </w:r>
      <w:r w:rsidRPr="00275FCA">
        <w:rPr>
          <w:snapToGrid w:val="0"/>
          <w:lang w:val="en-GB" w:bidi="en-US"/>
        </w:rPr>
        <w:t>Court does not underestimate the difficulties to which the fight against terrorism gives rise, it considers that that</w:t>
      </w:r>
      <w:r w:rsidRPr="00275FCA" w:rsidR="00C60097">
        <w:rPr>
          <w:snapToGrid w:val="0"/>
          <w:lang w:val="en-GB" w:bidi="en-US"/>
        </w:rPr>
        <w:t xml:space="preserve"> fact</w:t>
      </w:r>
      <w:r w:rsidRPr="00275FCA">
        <w:rPr>
          <w:snapToGrid w:val="0"/>
          <w:lang w:val="en-GB" w:bidi="en-US"/>
        </w:rPr>
        <w:t xml:space="preserve"> alone does not abs</w:t>
      </w:r>
      <w:r w:rsidRPr="00275FCA" w:rsidR="00D11A17">
        <w:rPr>
          <w:snapToGrid w:val="0"/>
          <w:lang w:val="en-GB" w:bidi="en-US"/>
        </w:rPr>
        <w:t>olve the national authorities from</w:t>
      </w:r>
      <w:r w:rsidRPr="00275FCA">
        <w:rPr>
          <w:snapToGrid w:val="0"/>
          <w:lang w:val="en-GB" w:bidi="en-US"/>
        </w:rPr>
        <w:t xml:space="preserve"> their obligations under Article 10 of the Convention.</w:t>
      </w:r>
      <w:r w:rsidRPr="00275FCA" w:rsidR="00113829">
        <w:rPr>
          <w:snapToGrid w:val="0"/>
          <w:lang w:val="en-GB" w:bidi="en-US"/>
        </w:rPr>
        <w:t xml:space="preserve"> Accordingly, although freedom of expression may be legitimately curtailed in the interests of national security, territorial integrity and public safety,</w:t>
      </w:r>
      <w:r w:rsidRPr="00275FCA" w:rsidR="009C23AF">
        <w:rPr>
          <w:snapToGrid w:val="0"/>
          <w:lang w:val="en-GB" w:bidi="en-US"/>
        </w:rPr>
        <w:t xml:space="preserve"> those restrictions must still be justified by relevant and sufficient reasons</w:t>
      </w:r>
      <w:r w:rsidRPr="00275FCA" w:rsidR="00C60097">
        <w:rPr>
          <w:snapToGrid w:val="0"/>
          <w:lang w:val="en-GB" w:bidi="en-US"/>
        </w:rPr>
        <w:t xml:space="preserve"> and respond to a pressing social need </w:t>
      </w:r>
      <w:r w:rsidRPr="00275FCA" w:rsidR="005901F9">
        <w:rPr>
          <w:snapToGrid w:val="0"/>
          <w:lang w:val="en-GB" w:bidi="en-US"/>
        </w:rPr>
        <w:t xml:space="preserve">in a proportionate manner </w:t>
      </w:r>
      <w:r w:rsidRPr="00275FCA" w:rsidR="00FB36C0">
        <w:rPr>
          <w:snapToGrid w:val="0"/>
          <w:lang w:val="en-GB" w:bidi="en-US"/>
        </w:rPr>
        <w:t>(</w:t>
      </w:r>
      <w:r w:rsidRPr="00275FCA" w:rsidR="00C60097">
        <w:rPr>
          <w:snapToGrid w:val="0"/>
          <w:lang w:val="en-GB" w:bidi="en-US"/>
        </w:rPr>
        <w:t xml:space="preserve">as noted in paragraph </w:t>
      </w:r>
      <w:r w:rsidRPr="00275FCA" w:rsidR="0078313E">
        <w:rPr>
          <w:snapToGrid w:val="0"/>
          <w:lang w:val="en-GB" w:bidi="en-US"/>
        </w:rPr>
        <w:t>100</w:t>
      </w:r>
      <w:r w:rsidRPr="00275FCA" w:rsidR="00C60097">
        <w:rPr>
          <w:snapToGrid w:val="0"/>
          <w:lang w:val="en-GB" w:bidi="en-US"/>
        </w:rPr>
        <w:t xml:space="preserve"> above</w:t>
      </w:r>
      <w:r w:rsidRPr="00275FCA" w:rsidR="00FB36C0">
        <w:rPr>
          <w:snapToGrid w:val="0"/>
          <w:lang w:val="en-GB" w:bidi="en-US"/>
        </w:rPr>
        <w:t>)</w:t>
      </w:r>
      <w:r w:rsidRPr="00275FCA" w:rsidR="009C23AF">
        <w:rPr>
          <w:snapToGrid w:val="0"/>
          <w:lang w:val="en-GB" w:bidi="en-US"/>
        </w:rPr>
        <w:t xml:space="preserve">. </w:t>
      </w:r>
      <w:r w:rsidRPr="00275FCA" w:rsidR="0039725B">
        <w:rPr>
          <w:snapToGrid w:val="0"/>
          <w:lang w:val="en-GB" w:bidi="en-US"/>
        </w:rPr>
        <w:t>In making this assessment, the Court must look at the impugned interference in the light of the case as a whole, including the content of the remarks held against the applicant</w:t>
      </w:r>
      <w:r w:rsidRPr="00275FCA" w:rsidR="00FB36C0">
        <w:rPr>
          <w:snapToGrid w:val="0"/>
          <w:lang w:val="en-GB" w:bidi="en-US"/>
        </w:rPr>
        <w:t>s</w:t>
      </w:r>
      <w:r w:rsidRPr="00275FCA" w:rsidR="0039725B">
        <w:rPr>
          <w:snapToGrid w:val="0"/>
          <w:lang w:val="en-GB" w:bidi="en-US"/>
        </w:rPr>
        <w:t xml:space="preserve">, the context in which </w:t>
      </w:r>
      <w:r w:rsidRPr="00275FCA" w:rsidR="0085551E">
        <w:rPr>
          <w:snapToGrid w:val="0"/>
          <w:lang w:val="en-GB" w:bidi="en-US"/>
        </w:rPr>
        <w:t>they were made</w:t>
      </w:r>
      <w:r w:rsidRPr="00275FCA" w:rsidR="0039725B">
        <w:rPr>
          <w:snapToGrid w:val="0"/>
          <w:lang w:val="en-GB" w:bidi="en-US"/>
        </w:rPr>
        <w:t>, and the actual impact that th</w:t>
      </w:r>
      <w:r w:rsidRPr="00275FCA" w:rsidR="006E350B">
        <w:rPr>
          <w:snapToGrid w:val="0"/>
          <w:lang w:val="en-GB" w:bidi="en-US"/>
        </w:rPr>
        <w:t>o</w:t>
      </w:r>
      <w:r w:rsidRPr="00275FCA" w:rsidR="0039725B">
        <w:rPr>
          <w:snapToGrid w:val="0"/>
          <w:lang w:val="en-GB" w:bidi="en-US"/>
        </w:rPr>
        <w:t>se remarks were likely to produce</w:t>
      </w:r>
      <w:r w:rsidRPr="00275FCA" w:rsidR="00855B27">
        <w:rPr>
          <w:snapToGrid w:val="0"/>
          <w:lang w:val="en-GB" w:bidi="en-US"/>
        </w:rPr>
        <w:t xml:space="preserve"> (see </w:t>
      </w:r>
      <w:r w:rsidRPr="00275FCA" w:rsidR="00855B27">
        <w:rPr>
          <w:i/>
          <w:snapToGrid w:val="0"/>
          <w:lang w:val="en-GB" w:bidi="en-US"/>
        </w:rPr>
        <w:t>Nedim Şener</w:t>
      </w:r>
      <w:r w:rsidRPr="00275FCA" w:rsidR="00855B27">
        <w:rPr>
          <w:snapToGrid w:val="0"/>
          <w:lang w:val="en-GB" w:bidi="en-US"/>
        </w:rPr>
        <w:t>, cited above, § 117)</w:t>
      </w:r>
      <w:r w:rsidRPr="00275FCA" w:rsidR="008E3634">
        <w:rPr>
          <w:snapToGrid w:val="0"/>
          <w:lang w:val="en-GB" w:bidi="en-US"/>
        </w:rPr>
        <w:t>.</w:t>
      </w:r>
    </w:p>
    <w:p w:rsidRPr="00275FCA" w:rsidR="007E4303" w:rsidP="00275FCA" w:rsidRDefault="00855B27">
      <w:pPr>
        <w:pStyle w:val="ECHRPara"/>
        <w:rPr>
          <w:snapToGrid w:val="0"/>
          <w:lang w:val="en-GB" w:bidi="en-US"/>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103</w:t>
      </w:r>
      <w:r w:rsidRPr="00275FCA">
        <w:rPr>
          <w:snapToGrid w:val="0"/>
          <w:lang w:val="en-GB" w:bidi="en-US"/>
        </w:rPr>
        <w:fldChar w:fldCharType="end"/>
      </w:r>
      <w:r w:rsidRPr="00275FCA">
        <w:rPr>
          <w:snapToGrid w:val="0"/>
          <w:lang w:val="en-GB" w:bidi="en-US"/>
        </w:rPr>
        <w:t>.  </w:t>
      </w:r>
      <w:r w:rsidRPr="00275FCA" w:rsidR="00FD5BCA">
        <w:rPr>
          <w:snapToGrid w:val="0"/>
          <w:lang w:val="en-GB" w:bidi="en-US"/>
        </w:rPr>
        <w:t>The</w:t>
      </w:r>
      <w:r w:rsidRPr="00275FCA" w:rsidR="00A03F03">
        <w:rPr>
          <w:snapToGrid w:val="0"/>
          <w:lang w:val="en-GB" w:bidi="en-US"/>
        </w:rPr>
        <w:t xml:space="preserve"> Court </w:t>
      </w:r>
      <w:r w:rsidRPr="00275FCA" w:rsidR="00FD5BCA">
        <w:rPr>
          <w:snapToGrid w:val="0"/>
          <w:lang w:val="en-GB" w:bidi="en-US"/>
        </w:rPr>
        <w:t xml:space="preserve">accordingly </w:t>
      </w:r>
      <w:r w:rsidRPr="00275FCA" w:rsidR="00A03F03">
        <w:rPr>
          <w:snapToGrid w:val="0"/>
          <w:lang w:val="en-GB" w:bidi="en-US"/>
        </w:rPr>
        <w:t xml:space="preserve">observes that the petitions at issue </w:t>
      </w:r>
      <w:r w:rsidRPr="00275FCA" w:rsidR="007E4303">
        <w:rPr>
          <w:snapToGrid w:val="0"/>
          <w:lang w:val="en-GB" w:bidi="en-US"/>
        </w:rPr>
        <w:t>requesting</w:t>
      </w:r>
      <w:r w:rsidRPr="00275FCA" w:rsidR="00A03F03">
        <w:rPr>
          <w:snapToGrid w:val="0"/>
          <w:lang w:val="en-GB" w:bidi="en-US"/>
        </w:rPr>
        <w:t xml:space="preserve"> education in Kurdish in elementary schools were submitted amid</w:t>
      </w:r>
      <w:r w:rsidRPr="00275FCA" w:rsidR="00FB36C0">
        <w:rPr>
          <w:snapToGrid w:val="0"/>
          <w:lang w:val="en-GB" w:bidi="en-US"/>
        </w:rPr>
        <w:t>st</w:t>
      </w:r>
      <w:r w:rsidRPr="00275FCA" w:rsidR="00A03F03">
        <w:rPr>
          <w:snapToGrid w:val="0"/>
          <w:lang w:val="en-GB" w:bidi="en-US"/>
        </w:rPr>
        <w:t xml:space="preserve"> a public debate </w:t>
      </w:r>
      <w:r w:rsidRPr="00275FCA" w:rsidR="00F91FEE">
        <w:rPr>
          <w:snapToGrid w:val="0"/>
          <w:lang w:val="en-GB" w:bidi="en-US"/>
        </w:rPr>
        <w:t xml:space="preserve">in Turkey </w:t>
      </w:r>
      <w:r w:rsidRPr="00275FCA" w:rsidR="00A03F03">
        <w:rPr>
          <w:snapToGrid w:val="0"/>
          <w:lang w:val="en-GB" w:bidi="en-US"/>
        </w:rPr>
        <w:t>regarding the social and cultural rights of Turkish citizens of Kurdish ethnic origin</w:t>
      </w:r>
      <w:r w:rsidRPr="00275FCA" w:rsidR="0085551E">
        <w:rPr>
          <w:snapToGrid w:val="0"/>
          <w:lang w:val="en-GB" w:bidi="en-US"/>
        </w:rPr>
        <w:t>, including in particular their right to education in their mother tongue</w:t>
      </w:r>
      <w:r w:rsidRPr="00275FCA" w:rsidR="00A03F03">
        <w:rPr>
          <w:snapToGrid w:val="0"/>
          <w:lang w:val="en-GB" w:bidi="en-US"/>
        </w:rPr>
        <w:t>. Having regard to the content and context of th</w:t>
      </w:r>
      <w:r w:rsidRPr="00275FCA" w:rsidR="007E4303">
        <w:rPr>
          <w:snapToGrid w:val="0"/>
          <w:lang w:val="en-GB" w:bidi="en-US"/>
        </w:rPr>
        <w:t>o</w:t>
      </w:r>
      <w:r w:rsidRPr="00275FCA" w:rsidR="00A03F03">
        <w:rPr>
          <w:snapToGrid w:val="0"/>
          <w:lang w:val="en-GB" w:bidi="en-US"/>
        </w:rPr>
        <w:t xml:space="preserve">se petitions and to the </w:t>
      </w:r>
      <w:r w:rsidRPr="00275FCA" w:rsidR="000F42D7">
        <w:rPr>
          <w:snapToGrid w:val="0"/>
          <w:lang w:val="en-GB" w:bidi="en-US"/>
        </w:rPr>
        <w:t>legislative changes</w:t>
      </w:r>
      <w:r w:rsidRPr="00275FCA" w:rsidR="00A03F03">
        <w:rPr>
          <w:snapToGrid w:val="0"/>
          <w:lang w:val="en-GB" w:bidi="en-US"/>
        </w:rPr>
        <w:t xml:space="preserve"> that ensued in the area of education in Kurdish</w:t>
      </w:r>
      <w:r w:rsidRPr="00275FCA" w:rsidR="00221908">
        <w:rPr>
          <w:snapToGrid w:val="0"/>
          <w:lang w:val="en-GB" w:bidi="en-US"/>
        </w:rPr>
        <w:t xml:space="preserve"> language</w:t>
      </w:r>
      <w:r w:rsidRPr="00275FCA" w:rsidR="00A03F03">
        <w:rPr>
          <w:snapToGrid w:val="0"/>
          <w:lang w:val="en-GB" w:bidi="en-US"/>
        </w:rPr>
        <w:t xml:space="preserve"> shortly after </w:t>
      </w:r>
      <w:r w:rsidRPr="00275FCA" w:rsidR="00FD5BCA">
        <w:rPr>
          <w:snapToGrid w:val="0"/>
          <w:lang w:val="en-GB" w:bidi="en-US"/>
        </w:rPr>
        <w:t>their submission</w:t>
      </w:r>
      <w:r w:rsidRPr="00275FCA" w:rsidR="00A03F03">
        <w:rPr>
          <w:snapToGrid w:val="0"/>
          <w:lang w:val="en-GB" w:bidi="en-US"/>
        </w:rPr>
        <w:t xml:space="preserve">, the Court </w:t>
      </w:r>
      <w:r w:rsidRPr="00275FCA" w:rsidR="00FB36C0">
        <w:rPr>
          <w:snapToGrid w:val="0"/>
          <w:lang w:val="en-GB" w:bidi="en-US"/>
        </w:rPr>
        <w:t xml:space="preserve">thus </w:t>
      </w:r>
      <w:r w:rsidRPr="00275FCA" w:rsidR="00A03F03">
        <w:rPr>
          <w:snapToGrid w:val="0"/>
          <w:lang w:val="en-GB" w:bidi="en-US"/>
        </w:rPr>
        <w:t xml:space="preserve">considers that the </w:t>
      </w:r>
      <w:r w:rsidRPr="00275FCA" w:rsidR="009A6460">
        <w:rPr>
          <w:snapToGrid w:val="0"/>
          <w:lang w:val="en-GB" w:bidi="en-US"/>
        </w:rPr>
        <w:t>applicants</w:t>
      </w:r>
      <w:r w:rsidRPr="00275FCA" w:rsidR="00275FCA">
        <w:rPr>
          <w:snapToGrid w:val="0"/>
          <w:lang w:val="en-GB" w:bidi="en-US"/>
        </w:rPr>
        <w:t>’</w:t>
      </w:r>
      <w:r w:rsidRPr="00275FCA" w:rsidR="009A6460">
        <w:rPr>
          <w:snapToGrid w:val="0"/>
          <w:lang w:val="en-GB" w:bidi="en-US"/>
        </w:rPr>
        <w:t xml:space="preserve"> </w:t>
      </w:r>
      <w:r w:rsidRPr="00275FCA" w:rsidR="00A03F03">
        <w:rPr>
          <w:snapToGrid w:val="0"/>
          <w:lang w:val="en-GB" w:bidi="en-US"/>
        </w:rPr>
        <w:t xml:space="preserve">request concerned a matter of “public interest” (see </w:t>
      </w:r>
      <w:r w:rsidRPr="00275FCA" w:rsidR="00A03F03">
        <w:rPr>
          <w:i/>
          <w:snapToGrid w:val="0"/>
          <w:lang w:val="en-GB" w:bidi="en-US"/>
        </w:rPr>
        <w:t>Eğitim ve Bilim Emekçileri Sendikası v. Turkey</w:t>
      </w:r>
      <w:r w:rsidRPr="00275FCA" w:rsidR="00A03F03">
        <w:rPr>
          <w:snapToGrid w:val="0"/>
          <w:lang w:val="en-GB" w:bidi="en-US"/>
        </w:rPr>
        <w:t>, no.</w:t>
      </w:r>
      <w:r w:rsidRPr="00275FCA" w:rsidR="008E3634">
        <w:rPr>
          <w:snapToGrid w:val="0"/>
          <w:lang w:val="en-GB" w:bidi="en-US"/>
        </w:rPr>
        <w:t> </w:t>
      </w:r>
      <w:r w:rsidRPr="00275FCA" w:rsidR="00A03F03">
        <w:rPr>
          <w:snapToGrid w:val="0"/>
          <w:lang w:val="en-GB" w:bidi="en-US"/>
        </w:rPr>
        <w:t>20641/05, § 74, ECHR 2012 (extracts)).</w:t>
      </w:r>
    </w:p>
    <w:p w:rsidRPr="00275FCA" w:rsidR="00A03F03" w:rsidP="00275FCA" w:rsidRDefault="007E4303">
      <w:pPr>
        <w:pStyle w:val="ECHRPara"/>
        <w:rPr>
          <w:lang w:val="en-GB"/>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104</w:t>
      </w:r>
      <w:r w:rsidRPr="00275FCA">
        <w:rPr>
          <w:snapToGrid w:val="0"/>
          <w:lang w:val="en-GB" w:bidi="en-US"/>
        </w:rPr>
        <w:fldChar w:fldCharType="end"/>
      </w:r>
      <w:r w:rsidRPr="00275FCA">
        <w:rPr>
          <w:snapToGrid w:val="0"/>
          <w:lang w:val="en-GB" w:bidi="en-US"/>
        </w:rPr>
        <w:t>.  </w:t>
      </w:r>
      <w:r w:rsidRPr="00275FCA" w:rsidR="00A03F03">
        <w:rPr>
          <w:snapToGrid w:val="0"/>
          <w:lang w:val="en-GB" w:bidi="en-US"/>
        </w:rPr>
        <w:t>The Court re</w:t>
      </w:r>
      <w:r w:rsidRPr="00275FCA" w:rsidR="000F42D7">
        <w:rPr>
          <w:snapToGrid w:val="0"/>
          <w:lang w:val="en-GB" w:bidi="en-US"/>
        </w:rPr>
        <w:t xml:space="preserve">iterates </w:t>
      </w:r>
      <w:r w:rsidRPr="00275FCA" w:rsidR="00A03F03">
        <w:rPr>
          <w:snapToGrid w:val="0"/>
          <w:lang w:val="en-GB" w:bidi="en-US"/>
        </w:rPr>
        <w:t xml:space="preserve">in this connection that there is little scope under Article 10 § 2 of the Convention for restrictions on debate on questions of public interest (see the </w:t>
      </w:r>
      <w:r w:rsidRPr="00275FCA" w:rsidR="006D5994">
        <w:rPr>
          <w:i/>
          <w:lang w:val="en-GB"/>
        </w:rPr>
        <w:t>Wingrove v. the United Kingdom</w:t>
      </w:r>
      <w:r w:rsidRPr="00275FCA" w:rsidR="006D5994">
        <w:rPr>
          <w:lang w:val="en-GB"/>
        </w:rPr>
        <w:t>, 25</w:t>
      </w:r>
      <w:r w:rsidRPr="00275FCA" w:rsidR="008E3634">
        <w:rPr>
          <w:lang w:val="en-GB"/>
        </w:rPr>
        <w:t> </w:t>
      </w:r>
      <w:r w:rsidRPr="00275FCA" w:rsidR="006D5994">
        <w:rPr>
          <w:lang w:val="en-GB"/>
        </w:rPr>
        <w:t xml:space="preserve">November 1996, § 58, </w:t>
      </w:r>
      <w:r w:rsidRPr="00275FCA" w:rsidR="006D5994">
        <w:rPr>
          <w:i/>
          <w:lang w:val="en-GB"/>
        </w:rPr>
        <w:t>Reports of Judgments and Decisions</w:t>
      </w:r>
      <w:r w:rsidRPr="00275FCA" w:rsidR="006D5994">
        <w:rPr>
          <w:lang w:val="en-GB"/>
        </w:rPr>
        <w:t xml:space="preserve"> 1996</w:t>
      </w:r>
      <w:r w:rsidRPr="00275FCA" w:rsidR="006D5994">
        <w:rPr>
          <w:lang w:val="en-GB"/>
        </w:rPr>
        <w:noBreakHyphen/>
        <w:t xml:space="preserve">V; </w:t>
      </w:r>
      <w:r w:rsidRPr="00275FCA" w:rsidR="006D5994">
        <w:rPr>
          <w:i/>
          <w:lang w:val="en-GB"/>
        </w:rPr>
        <w:t>Sürek v. Turkey</w:t>
      </w:r>
      <w:r w:rsidRPr="00275FCA" w:rsidR="006D5994">
        <w:rPr>
          <w:lang w:val="en-GB"/>
        </w:rPr>
        <w:t xml:space="preserve"> </w:t>
      </w:r>
      <w:r w:rsidRPr="00275FCA" w:rsidR="006D5994">
        <w:rPr>
          <w:i/>
          <w:lang w:val="en-GB"/>
        </w:rPr>
        <w:t>(no. 1)</w:t>
      </w:r>
      <w:r w:rsidRPr="00275FCA" w:rsidR="006D5994">
        <w:rPr>
          <w:lang w:val="en-GB"/>
        </w:rPr>
        <w:t xml:space="preserve"> [GC], no. 26682/95, § 61, ECHR 1999</w:t>
      </w:r>
      <w:r w:rsidRPr="00275FCA" w:rsidR="006D5994">
        <w:rPr>
          <w:lang w:val="en-GB"/>
        </w:rPr>
        <w:noBreakHyphen/>
        <w:t xml:space="preserve">IV; and </w:t>
      </w:r>
      <w:r w:rsidRPr="00275FCA" w:rsidR="006D5994">
        <w:rPr>
          <w:i/>
          <w:lang w:val="en-GB"/>
        </w:rPr>
        <w:t>Sürek v. Turkey</w:t>
      </w:r>
      <w:r w:rsidRPr="00275FCA" w:rsidR="006D5994">
        <w:rPr>
          <w:lang w:val="en-GB"/>
        </w:rPr>
        <w:t xml:space="preserve"> </w:t>
      </w:r>
      <w:r w:rsidRPr="00275FCA" w:rsidR="008737D5">
        <w:rPr>
          <w:i/>
          <w:lang w:val="en-GB"/>
        </w:rPr>
        <w:t>(no. </w:t>
      </w:r>
      <w:r w:rsidRPr="00275FCA" w:rsidR="006D5994">
        <w:rPr>
          <w:i/>
          <w:lang w:val="en-GB"/>
        </w:rPr>
        <w:t>4)</w:t>
      </w:r>
      <w:r w:rsidRPr="00275FCA" w:rsidR="006D5994">
        <w:rPr>
          <w:lang w:val="en-GB"/>
        </w:rPr>
        <w:t xml:space="preserve"> [GC], no. 24762/94, § 57, 8 July 1999), </w:t>
      </w:r>
      <w:r w:rsidRPr="00275FCA" w:rsidR="00F91FEE">
        <w:rPr>
          <w:snapToGrid w:val="0"/>
          <w:lang w:val="en-GB" w:bidi="en-US"/>
        </w:rPr>
        <w:t>and</w:t>
      </w:r>
      <w:r w:rsidRPr="00275FCA" w:rsidR="002C6DAA">
        <w:rPr>
          <w:snapToGrid w:val="0"/>
          <w:lang w:val="en-GB" w:bidi="en-US"/>
        </w:rPr>
        <w:t xml:space="preserve"> State authorities </w:t>
      </w:r>
      <w:r w:rsidRPr="00275FCA" w:rsidR="00C9338E">
        <w:rPr>
          <w:snapToGrid w:val="0"/>
          <w:lang w:val="en-GB" w:bidi="en-US"/>
        </w:rPr>
        <w:t>must</w:t>
      </w:r>
      <w:r w:rsidRPr="00275FCA" w:rsidR="002C6DAA">
        <w:rPr>
          <w:snapToGrid w:val="0"/>
          <w:lang w:val="en-GB" w:bidi="en-US"/>
        </w:rPr>
        <w:t xml:space="preserve"> </w:t>
      </w:r>
      <w:r w:rsidRPr="00275FCA" w:rsidR="00F91FEE">
        <w:rPr>
          <w:snapToGrid w:val="0"/>
          <w:lang w:val="en-GB" w:bidi="en-US"/>
        </w:rPr>
        <w:t xml:space="preserve">therefore </w:t>
      </w:r>
      <w:r w:rsidRPr="00275FCA" w:rsidR="002C6DAA">
        <w:rPr>
          <w:snapToGrid w:val="0"/>
          <w:lang w:val="en-GB" w:bidi="en-US"/>
        </w:rPr>
        <w:t xml:space="preserve">display restraint </w:t>
      </w:r>
      <w:r w:rsidRPr="00275FCA" w:rsidR="00A03F03">
        <w:rPr>
          <w:snapToGrid w:val="0"/>
          <w:lang w:val="en-GB" w:bidi="en-US"/>
        </w:rPr>
        <w:t>in resorting to criminal proceedings where such debate is concerned.</w:t>
      </w:r>
    </w:p>
    <w:p w:rsidRPr="00275FCA" w:rsidR="006E350B" w:rsidP="00275FCA" w:rsidRDefault="00FD5BCA">
      <w:pPr>
        <w:pStyle w:val="ECHRPara"/>
        <w:rPr>
          <w:snapToGrid w:val="0"/>
          <w:lang w:val="en-GB" w:bidi="en-US"/>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105</w:t>
      </w:r>
      <w:r w:rsidRPr="00275FCA">
        <w:rPr>
          <w:snapToGrid w:val="0"/>
          <w:lang w:val="en-GB" w:bidi="en-US"/>
        </w:rPr>
        <w:fldChar w:fldCharType="end"/>
      </w:r>
      <w:r w:rsidRPr="00275FCA">
        <w:rPr>
          <w:snapToGrid w:val="0"/>
          <w:lang w:val="en-GB" w:bidi="en-US"/>
        </w:rPr>
        <w:t>.  </w:t>
      </w:r>
      <w:r w:rsidRPr="00275FCA" w:rsidR="00967E92">
        <w:rPr>
          <w:snapToGrid w:val="0"/>
          <w:lang w:val="en-GB" w:bidi="en-US"/>
        </w:rPr>
        <w:t>The Court observes, however, that c</w:t>
      </w:r>
      <w:r w:rsidRPr="00275FCA" w:rsidR="001F5D6C">
        <w:rPr>
          <w:snapToGrid w:val="0"/>
          <w:lang w:val="en-GB" w:bidi="en-US"/>
        </w:rPr>
        <w:t>ontrary to this principle, the relevant State authorities did not display the restraint called for by the circumstances and evidence before them</w:t>
      </w:r>
      <w:r w:rsidRPr="00275FCA" w:rsidR="00F91FEE">
        <w:rPr>
          <w:snapToGrid w:val="0"/>
          <w:lang w:val="en-GB" w:bidi="en-US"/>
        </w:rPr>
        <w:t xml:space="preserve"> when dealing with the applicants</w:t>
      </w:r>
      <w:r w:rsidRPr="00275FCA" w:rsidR="00275FCA">
        <w:rPr>
          <w:snapToGrid w:val="0"/>
          <w:lang w:val="en-GB" w:bidi="en-US"/>
        </w:rPr>
        <w:t>’</w:t>
      </w:r>
      <w:r w:rsidRPr="00275FCA" w:rsidR="00F91FEE">
        <w:rPr>
          <w:snapToGrid w:val="0"/>
          <w:lang w:val="en-GB" w:bidi="en-US"/>
        </w:rPr>
        <w:t xml:space="preserve"> petitions</w:t>
      </w:r>
      <w:r w:rsidRPr="00275FCA" w:rsidR="001F5D6C">
        <w:rPr>
          <w:snapToGrid w:val="0"/>
          <w:lang w:val="en-GB" w:bidi="en-US"/>
        </w:rPr>
        <w:t xml:space="preserve">. </w:t>
      </w:r>
      <w:r w:rsidRPr="00275FCA" w:rsidR="00F91FEE">
        <w:rPr>
          <w:snapToGrid w:val="0"/>
          <w:lang w:val="en-GB" w:bidi="en-US"/>
        </w:rPr>
        <w:t xml:space="preserve">It notes </w:t>
      </w:r>
      <w:r w:rsidRPr="00275FCA" w:rsidR="005A013C">
        <w:rPr>
          <w:snapToGrid w:val="0"/>
          <w:lang w:val="en-GB" w:bidi="en-US"/>
        </w:rPr>
        <w:t xml:space="preserve">accordingly </w:t>
      </w:r>
      <w:r w:rsidRPr="00275FCA" w:rsidR="009C23AF">
        <w:rPr>
          <w:snapToGrid w:val="0"/>
          <w:lang w:val="en-GB" w:bidi="en-US"/>
        </w:rPr>
        <w:t xml:space="preserve">that </w:t>
      </w:r>
      <w:r w:rsidRPr="00275FCA" w:rsidR="001559F8">
        <w:rPr>
          <w:snapToGrid w:val="0"/>
          <w:lang w:val="en-GB" w:bidi="en-US"/>
        </w:rPr>
        <w:t xml:space="preserve">on receipt by the General </w:t>
      </w:r>
      <w:r w:rsidRPr="00275FCA" w:rsidR="00681F30">
        <w:rPr>
          <w:snapToGrid w:val="0"/>
          <w:lang w:val="en-GB" w:bidi="en-US"/>
        </w:rPr>
        <w:t xml:space="preserve">Education </w:t>
      </w:r>
      <w:r w:rsidRPr="00275FCA" w:rsidR="001559F8">
        <w:rPr>
          <w:snapToGrid w:val="0"/>
          <w:lang w:val="en-GB" w:bidi="en-US"/>
        </w:rPr>
        <w:t>Directorates, the petitions were at once transmitted to the Istanbul Security Directorate, and from there to the public prosecutor</w:t>
      </w:r>
      <w:r w:rsidRPr="00275FCA" w:rsidR="00275FCA">
        <w:rPr>
          <w:snapToGrid w:val="0"/>
          <w:lang w:val="en-GB" w:bidi="en-US"/>
        </w:rPr>
        <w:t>’</w:t>
      </w:r>
      <w:r w:rsidRPr="00275FCA" w:rsidR="00D720C0">
        <w:rPr>
          <w:snapToGrid w:val="0"/>
          <w:lang w:val="en-GB" w:bidi="en-US"/>
        </w:rPr>
        <w:t>s office</w:t>
      </w:r>
      <w:r w:rsidRPr="00275FCA" w:rsidR="001559F8">
        <w:rPr>
          <w:snapToGrid w:val="0"/>
          <w:lang w:val="en-GB" w:bidi="en-US"/>
        </w:rPr>
        <w:t xml:space="preserve"> at the Istanbul State Security Court, which from the outset treated them as acts of aiding and abetting the PKK</w:t>
      </w:r>
      <w:r w:rsidRPr="00275FCA" w:rsidR="006E350B">
        <w:rPr>
          <w:snapToGrid w:val="0"/>
          <w:lang w:val="en-GB" w:bidi="en-US"/>
        </w:rPr>
        <w:t>, on the ground</w:t>
      </w:r>
      <w:r w:rsidRPr="00275FCA" w:rsidR="00D720C0">
        <w:rPr>
          <w:snapToGrid w:val="0"/>
          <w:lang w:val="en-GB" w:bidi="en-US"/>
        </w:rPr>
        <w:t>s</w:t>
      </w:r>
      <w:r w:rsidRPr="00275FCA" w:rsidR="006E350B">
        <w:rPr>
          <w:snapToGrid w:val="0"/>
          <w:lang w:val="en-GB" w:bidi="en-US"/>
        </w:rPr>
        <w:t xml:space="preserve"> that </w:t>
      </w:r>
      <w:r w:rsidRPr="00275FCA" w:rsidR="00D720C0">
        <w:rPr>
          <w:snapToGrid w:val="0"/>
          <w:lang w:val="en-GB" w:bidi="en-US"/>
        </w:rPr>
        <w:t xml:space="preserve">the </w:t>
      </w:r>
      <w:r w:rsidRPr="00275FCA" w:rsidR="006E350B">
        <w:rPr>
          <w:snapToGrid w:val="0"/>
          <w:lang w:val="en-GB" w:bidi="en-US"/>
        </w:rPr>
        <w:t xml:space="preserve">PKK had made general </w:t>
      </w:r>
      <w:r w:rsidRPr="00275FCA" w:rsidR="00681F30">
        <w:rPr>
          <w:snapToGrid w:val="0"/>
          <w:lang w:val="en-GB" w:bidi="en-US"/>
        </w:rPr>
        <w:t>appeals</w:t>
      </w:r>
      <w:r w:rsidRPr="00275FCA" w:rsidR="006E350B">
        <w:rPr>
          <w:snapToGrid w:val="0"/>
          <w:lang w:val="en-GB" w:bidi="en-US"/>
        </w:rPr>
        <w:t xml:space="preserve"> for such petitions</w:t>
      </w:r>
      <w:r w:rsidRPr="00275FCA" w:rsidR="001559F8">
        <w:rPr>
          <w:snapToGrid w:val="0"/>
          <w:lang w:val="en-GB" w:bidi="en-US"/>
        </w:rPr>
        <w:t xml:space="preserve"> </w:t>
      </w:r>
      <w:r w:rsidRPr="00275FCA" w:rsidR="00D720C0">
        <w:rPr>
          <w:snapToGrid w:val="0"/>
          <w:lang w:val="en-GB" w:bidi="en-US"/>
        </w:rPr>
        <w:t xml:space="preserve">to be submitted </w:t>
      </w:r>
      <w:r w:rsidRPr="00275FCA" w:rsidR="001559F8">
        <w:rPr>
          <w:snapToGrid w:val="0"/>
          <w:lang w:val="en-GB" w:bidi="en-US"/>
        </w:rPr>
        <w:t>(see the preliminary investigative measures taken by the public prosecutor</w:t>
      </w:r>
      <w:r w:rsidRPr="00275FCA" w:rsidR="00275FCA">
        <w:rPr>
          <w:snapToGrid w:val="0"/>
          <w:lang w:val="en-GB" w:bidi="en-US"/>
        </w:rPr>
        <w:t>’</w:t>
      </w:r>
      <w:r w:rsidRPr="00275FCA" w:rsidR="001559F8">
        <w:rPr>
          <w:snapToGrid w:val="0"/>
          <w:lang w:val="en-GB" w:bidi="en-US"/>
        </w:rPr>
        <w:t xml:space="preserve">s office in paragraphs </w:t>
      </w:r>
      <w:r w:rsidRPr="00275FCA" w:rsidR="009D35C7">
        <w:rPr>
          <w:snapToGrid w:val="0"/>
          <w:lang w:val="en-GB" w:bidi="en-US"/>
        </w:rPr>
        <w:t>9, 10, 17 and 27</w:t>
      </w:r>
      <w:r w:rsidRPr="00275FCA" w:rsidR="006E350B">
        <w:rPr>
          <w:snapToGrid w:val="0"/>
          <w:lang w:val="en-GB" w:bidi="en-US"/>
        </w:rPr>
        <w:t xml:space="preserve"> above).</w:t>
      </w:r>
    </w:p>
    <w:p w:rsidRPr="00275FCA" w:rsidR="008B0B8A" w:rsidP="00275FCA" w:rsidRDefault="0074467E">
      <w:pPr>
        <w:pStyle w:val="ECHRPara"/>
        <w:rPr>
          <w:snapToGrid w:val="0"/>
          <w:lang w:val="en-GB" w:bidi="en-US"/>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106</w:t>
      </w:r>
      <w:r w:rsidRPr="00275FCA">
        <w:rPr>
          <w:snapToGrid w:val="0"/>
          <w:lang w:val="en-GB" w:bidi="en-US"/>
        </w:rPr>
        <w:fldChar w:fldCharType="end"/>
      </w:r>
      <w:r w:rsidRPr="00275FCA">
        <w:rPr>
          <w:snapToGrid w:val="0"/>
          <w:lang w:val="en-GB" w:bidi="en-US"/>
        </w:rPr>
        <w:t>.  </w:t>
      </w:r>
      <w:r w:rsidRPr="00275FCA" w:rsidR="0063478A">
        <w:rPr>
          <w:snapToGrid w:val="0"/>
          <w:lang w:val="en-GB" w:bidi="en-US"/>
        </w:rPr>
        <w:t>Thereupon</w:t>
      </w:r>
      <w:r w:rsidRPr="00275FCA">
        <w:rPr>
          <w:snapToGrid w:val="0"/>
          <w:lang w:val="en-GB" w:bidi="en-US"/>
        </w:rPr>
        <w:t xml:space="preserve">, the </w:t>
      </w:r>
      <w:r w:rsidRPr="00275FCA" w:rsidR="0032147F">
        <w:rPr>
          <w:snapToGrid w:val="0"/>
          <w:lang w:val="en-GB" w:bidi="en-US"/>
        </w:rPr>
        <w:t>relevant State authorities</w:t>
      </w:r>
      <w:r w:rsidRPr="00275FCA">
        <w:rPr>
          <w:snapToGrid w:val="0"/>
          <w:lang w:val="en-GB" w:bidi="en-US"/>
        </w:rPr>
        <w:t xml:space="preserve"> not only initiate</w:t>
      </w:r>
      <w:r w:rsidRPr="00275FCA" w:rsidR="00D720C0">
        <w:rPr>
          <w:snapToGrid w:val="0"/>
          <w:lang w:val="en-GB" w:bidi="en-US"/>
        </w:rPr>
        <w:t>d</w:t>
      </w:r>
      <w:r w:rsidRPr="00275FCA">
        <w:rPr>
          <w:snapToGrid w:val="0"/>
          <w:lang w:val="en-GB" w:bidi="en-US"/>
        </w:rPr>
        <w:t xml:space="preserve"> an investigation against the applicants</w:t>
      </w:r>
      <w:r w:rsidRPr="00275FCA" w:rsidR="00AC7129">
        <w:rPr>
          <w:snapToGrid w:val="0"/>
          <w:lang w:val="en-GB" w:bidi="en-US"/>
        </w:rPr>
        <w:t xml:space="preserve"> for engaging in a terrorism-related offence</w:t>
      </w:r>
      <w:r w:rsidRPr="00275FCA">
        <w:rPr>
          <w:snapToGrid w:val="0"/>
          <w:lang w:val="en-GB" w:bidi="en-US"/>
        </w:rPr>
        <w:t xml:space="preserve">, but used </w:t>
      </w:r>
      <w:r w:rsidRPr="00275FCA" w:rsidR="008F1551">
        <w:rPr>
          <w:snapToGrid w:val="0"/>
          <w:lang w:val="en-GB" w:bidi="en-US"/>
        </w:rPr>
        <w:t xml:space="preserve">the legal arsenal </w:t>
      </w:r>
      <w:r w:rsidRPr="00275FCA" w:rsidR="007E4303">
        <w:rPr>
          <w:snapToGrid w:val="0"/>
          <w:lang w:val="en-GB" w:bidi="en-US"/>
        </w:rPr>
        <w:t xml:space="preserve">at their hands </w:t>
      </w:r>
      <w:r w:rsidRPr="00275FCA">
        <w:rPr>
          <w:snapToGrid w:val="0"/>
          <w:lang w:val="en-GB" w:bidi="en-US"/>
        </w:rPr>
        <w:t xml:space="preserve">in an almost repressive manner against </w:t>
      </w:r>
      <w:r w:rsidRPr="00275FCA" w:rsidR="008F1551">
        <w:rPr>
          <w:snapToGrid w:val="0"/>
          <w:lang w:val="en-GB" w:bidi="en-US"/>
        </w:rPr>
        <w:t>them</w:t>
      </w:r>
      <w:r w:rsidRPr="00275FCA">
        <w:rPr>
          <w:snapToGrid w:val="0"/>
          <w:lang w:val="en-GB" w:bidi="en-US"/>
        </w:rPr>
        <w:t xml:space="preserve">. </w:t>
      </w:r>
      <w:r w:rsidRPr="00275FCA" w:rsidR="00AC7129">
        <w:rPr>
          <w:snapToGrid w:val="0"/>
          <w:lang w:val="en-GB" w:bidi="en-US"/>
        </w:rPr>
        <w:t xml:space="preserve">The Court notes in this </w:t>
      </w:r>
      <w:r w:rsidRPr="00275FCA" w:rsidR="007E4303">
        <w:rPr>
          <w:snapToGrid w:val="0"/>
          <w:lang w:val="en-GB" w:bidi="en-US"/>
        </w:rPr>
        <w:t>regard that</w:t>
      </w:r>
      <w:r w:rsidRPr="00275FCA">
        <w:rPr>
          <w:snapToGrid w:val="0"/>
          <w:lang w:val="en-GB" w:bidi="en-US"/>
        </w:rPr>
        <w:t xml:space="preserve"> the applicants</w:t>
      </w:r>
      <w:r w:rsidRPr="00275FCA" w:rsidR="00275FCA">
        <w:rPr>
          <w:snapToGrid w:val="0"/>
          <w:lang w:val="en-GB" w:bidi="en-US"/>
        </w:rPr>
        <w:t>’</w:t>
      </w:r>
      <w:r w:rsidRPr="00275FCA">
        <w:rPr>
          <w:snapToGrid w:val="0"/>
          <w:lang w:val="en-GB" w:bidi="en-US"/>
        </w:rPr>
        <w:t xml:space="preserve"> ho</w:t>
      </w:r>
      <w:r w:rsidRPr="00275FCA" w:rsidR="00D720C0">
        <w:rPr>
          <w:snapToGrid w:val="0"/>
          <w:lang w:val="en-GB" w:bidi="en-US"/>
        </w:rPr>
        <w:t>mes</w:t>
      </w:r>
      <w:r w:rsidRPr="00275FCA">
        <w:rPr>
          <w:snapToGrid w:val="0"/>
          <w:lang w:val="en-GB" w:bidi="en-US"/>
        </w:rPr>
        <w:t xml:space="preserve"> were searched</w:t>
      </w:r>
      <w:r w:rsidRPr="00275FCA" w:rsidR="00487CEE">
        <w:rPr>
          <w:snapToGrid w:val="0"/>
          <w:lang w:val="en-GB" w:bidi="en-US"/>
        </w:rPr>
        <w:t xml:space="preserve"> in</w:t>
      </w:r>
      <w:r w:rsidRPr="00275FCA" w:rsidR="00D720C0">
        <w:rPr>
          <w:snapToGrid w:val="0"/>
          <w:lang w:val="en-GB" w:bidi="en-US"/>
        </w:rPr>
        <w:t xml:space="preserve"> the</w:t>
      </w:r>
      <w:r w:rsidRPr="00275FCA" w:rsidR="00487CEE">
        <w:rPr>
          <w:snapToGrid w:val="0"/>
          <w:lang w:val="en-GB" w:bidi="en-US"/>
        </w:rPr>
        <w:t xml:space="preserve"> early</w:t>
      </w:r>
      <w:r w:rsidRPr="00275FCA" w:rsidR="00D720C0">
        <w:rPr>
          <w:snapToGrid w:val="0"/>
          <w:lang w:val="en-GB" w:bidi="en-US"/>
        </w:rPr>
        <w:t xml:space="preserve"> hours of the</w:t>
      </w:r>
      <w:r w:rsidRPr="00275FCA" w:rsidR="00487CEE">
        <w:rPr>
          <w:snapToGrid w:val="0"/>
          <w:lang w:val="en-GB" w:bidi="en-US"/>
        </w:rPr>
        <w:t xml:space="preserve"> morning</w:t>
      </w:r>
      <w:r w:rsidRPr="00275FCA">
        <w:rPr>
          <w:snapToGrid w:val="0"/>
          <w:lang w:val="en-GB" w:bidi="en-US"/>
        </w:rPr>
        <w:t xml:space="preserve">, </w:t>
      </w:r>
      <w:r w:rsidRPr="00275FCA" w:rsidR="007E4303">
        <w:rPr>
          <w:snapToGrid w:val="0"/>
          <w:lang w:val="en-GB" w:bidi="en-US"/>
        </w:rPr>
        <w:t xml:space="preserve">that </w:t>
      </w:r>
      <w:r w:rsidRPr="00275FCA">
        <w:rPr>
          <w:snapToGrid w:val="0"/>
          <w:lang w:val="en-GB" w:bidi="en-US"/>
        </w:rPr>
        <w:t xml:space="preserve">they were </w:t>
      </w:r>
      <w:r w:rsidRPr="00275FCA" w:rsidR="007E4303">
        <w:rPr>
          <w:snapToGrid w:val="0"/>
          <w:lang w:val="en-GB" w:bidi="en-US"/>
        </w:rPr>
        <w:t xml:space="preserve">arrested and </w:t>
      </w:r>
      <w:r w:rsidRPr="00275FCA">
        <w:rPr>
          <w:snapToGrid w:val="0"/>
          <w:lang w:val="en-GB" w:bidi="en-US"/>
        </w:rPr>
        <w:t xml:space="preserve">placed </w:t>
      </w:r>
      <w:r w:rsidRPr="00275FCA" w:rsidR="00D720C0">
        <w:rPr>
          <w:snapToGrid w:val="0"/>
          <w:lang w:val="en-GB" w:bidi="en-US"/>
        </w:rPr>
        <w:t>in</w:t>
      </w:r>
      <w:r w:rsidRPr="00275FCA">
        <w:rPr>
          <w:snapToGrid w:val="0"/>
          <w:lang w:val="en-GB" w:bidi="en-US"/>
        </w:rPr>
        <w:t xml:space="preserve"> police custody for approximately four days and, in the case of some </w:t>
      </w:r>
      <w:r w:rsidRPr="00275FCA" w:rsidR="00404568">
        <w:rPr>
          <w:snapToGrid w:val="0"/>
          <w:lang w:val="en-GB" w:bidi="en-US"/>
        </w:rPr>
        <w:t>of them</w:t>
      </w:r>
      <w:r w:rsidRPr="00275FCA">
        <w:rPr>
          <w:snapToGrid w:val="0"/>
          <w:lang w:val="en-GB" w:bidi="en-US"/>
        </w:rPr>
        <w:t>,</w:t>
      </w:r>
      <w:r w:rsidRPr="00275FCA" w:rsidR="00487CEE">
        <w:rPr>
          <w:snapToGrid w:val="0"/>
          <w:lang w:val="en-GB" w:bidi="en-US"/>
        </w:rPr>
        <w:t xml:space="preserve"> </w:t>
      </w:r>
      <w:r w:rsidRPr="00275FCA">
        <w:rPr>
          <w:snapToGrid w:val="0"/>
          <w:lang w:val="en-GB" w:bidi="en-US"/>
        </w:rPr>
        <w:t xml:space="preserve">continued to be held for </w:t>
      </w:r>
      <w:r w:rsidRPr="00275FCA" w:rsidR="001D3E91">
        <w:rPr>
          <w:snapToGrid w:val="0"/>
          <w:lang w:val="en-GB" w:bidi="en-US"/>
        </w:rPr>
        <w:t xml:space="preserve">almost </w:t>
      </w:r>
      <w:r w:rsidRPr="00275FCA">
        <w:rPr>
          <w:snapToGrid w:val="0"/>
          <w:lang w:val="en-GB" w:bidi="en-US"/>
        </w:rPr>
        <w:t>a month pending the criminal proceedings.</w:t>
      </w:r>
    </w:p>
    <w:p w:rsidRPr="00275FCA" w:rsidR="008B0B8A" w:rsidP="00275FCA" w:rsidRDefault="008B0B8A">
      <w:pPr>
        <w:pStyle w:val="ECHRPara"/>
        <w:rPr>
          <w:lang w:val="en-GB"/>
        </w:rPr>
      </w:pPr>
      <w:r w:rsidRPr="00275FCA">
        <w:rPr>
          <w:snapToGrid w:val="0"/>
          <w:lang w:val="en-GB" w:bidi="en-US"/>
        </w:rPr>
        <w:fldChar w:fldCharType="begin"/>
      </w:r>
      <w:r w:rsidRPr="00275FCA">
        <w:rPr>
          <w:snapToGrid w:val="0"/>
          <w:lang w:val="en-GB" w:bidi="en-US"/>
        </w:rPr>
        <w:instrText xml:space="preserve"> SEQ level0 \*arabic </w:instrText>
      </w:r>
      <w:r w:rsidRPr="00275FCA">
        <w:rPr>
          <w:snapToGrid w:val="0"/>
          <w:lang w:val="en-GB" w:bidi="en-US"/>
        </w:rPr>
        <w:fldChar w:fldCharType="separate"/>
      </w:r>
      <w:r w:rsidRPr="00275FCA" w:rsidR="00275FCA">
        <w:rPr>
          <w:noProof/>
          <w:snapToGrid w:val="0"/>
          <w:lang w:val="en-GB" w:bidi="en-US"/>
        </w:rPr>
        <w:t>107</w:t>
      </w:r>
      <w:r w:rsidRPr="00275FCA">
        <w:rPr>
          <w:snapToGrid w:val="0"/>
          <w:lang w:val="en-GB" w:bidi="en-US"/>
        </w:rPr>
        <w:fldChar w:fldCharType="end"/>
      </w:r>
      <w:r w:rsidRPr="00275FCA">
        <w:rPr>
          <w:snapToGrid w:val="0"/>
          <w:lang w:val="en-GB" w:bidi="en-US"/>
        </w:rPr>
        <w:t>.  </w:t>
      </w:r>
      <w:r w:rsidRPr="00275FCA" w:rsidR="00F76583">
        <w:rPr>
          <w:snapToGrid w:val="0"/>
          <w:lang w:val="en-GB" w:bidi="en-US"/>
        </w:rPr>
        <w:t>The Court considers these measures, and certainly those involving a deprivation of the applicants</w:t>
      </w:r>
      <w:r w:rsidRPr="00275FCA" w:rsidR="00275FCA">
        <w:rPr>
          <w:snapToGrid w:val="0"/>
          <w:lang w:val="en-GB" w:bidi="en-US"/>
        </w:rPr>
        <w:t>’</w:t>
      </w:r>
      <w:r w:rsidRPr="00275FCA" w:rsidR="00F76583">
        <w:rPr>
          <w:snapToGrid w:val="0"/>
          <w:lang w:val="en-GB" w:bidi="en-US"/>
        </w:rPr>
        <w:t xml:space="preserve"> liberty, to be unjustified and disproportionate in the circumstances of the case</w:t>
      </w:r>
      <w:r w:rsidRPr="00275FCA" w:rsidR="005F75E1">
        <w:rPr>
          <w:snapToGrid w:val="0"/>
          <w:lang w:val="en-GB" w:bidi="en-US"/>
        </w:rPr>
        <w:t>, having regard to the purpose of the petitions in question and the context in which they were submitted</w:t>
      </w:r>
      <w:r w:rsidRPr="00275FCA" w:rsidR="00F76583">
        <w:rPr>
          <w:snapToGrid w:val="0"/>
          <w:lang w:val="en-GB" w:bidi="en-US"/>
        </w:rPr>
        <w:t xml:space="preserve">. </w:t>
      </w:r>
      <w:r w:rsidRPr="00275FCA">
        <w:rPr>
          <w:snapToGrid w:val="0"/>
          <w:lang w:val="en-GB" w:bidi="en-US"/>
        </w:rPr>
        <w:t>In the Court</w:t>
      </w:r>
      <w:r w:rsidRPr="00275FCA" w:rsidR="00275FCA">
        <w:rPr>
          <w:snapToGrid w:val="0"/>
          <w:lang w:val="en-GB" w:bidi="en-US"/>
        </w:rPr>
        <w:t>’</w:t>
      </w:r>
      <w:r w:rsidRPr="00275FCA">
        <w:rPr>
          <w:snapToGrid w:val="0"/>
          <w:lang w:val="en-GB" w:bidi="en-US"/>
        </w:rPr>
        <w:t xml:space="preserve">s opinion, the applicants in the instant case, </w:t>
      </w:r>
      <w:r w:rsidRPr="00275FCA" w:rsidR="008F7CB4">
        <w:rPr>
          <w:snapToGrid w:val="0"/>
          <w:lang w:val="en-GB" w:bidi="en-US"/>
        </w:rPr>
        <w:t>parent</w:t>
      </w:r>
      <w:r w:rsidRPr="00275FCA" w:rsidR="00D11A17">
        <w:rPr>
          <w:snapToGrid w:val="0"/>
          <w:lang w:val="en-GB" w:bidi="en-US"/>
        </w:rPr>
        <w:t>s of elementary school pupil</w:t>
      </w:r>
      <w:r w:rsidRPr="00275FCA">
        <w:rPr>
          <w:snapToGrid w:val="0"/>
          <w:lang w:val="en-GB" w:bidi="en-US"/>
        </w:rPr>
        <w:t>s, us</w:t>
      </w:r>
      <w:r w:rsidRPr="00275FCA" w:rsidR="00404568">
        <w:rPr>
          <w:snapToGrid w:val="0"/>
          <w:lang w:val="en-GB" w:bidi="en-US"/>
        </w:rPr>
        <w:t>ed</w:t>
      </w:r>
      <w:r w:rsidRPr="00275FCA">
        <w:rPr>
          <w:snapToGrid w:val="0"/>
          <w:lang w:val="en-GB" w:bidi="en-US"/>
        </w:rPr>
        <w:t xml:space="preserve"> their constitutional right to</w:t>
      </w:r>
      <w:r w:rsidRPr="00275FCA" w:rsidR="00404568">
        <w:rPr>
          <w:snapToGrid w:val="0"/>
          <w:lang w:val="en-GB" w:bidi="en-US"/>
        </w:rPr>
        <w:t xml:space="preserve"> file a</w:t>
      </w:r>
      <w:r w:rsidRPr="00275FCA">
        <w:rPr>
          <w:snapToGrid w:val="0"/>
          <w:lang w:val="en-GB" w:bidi="en-US"/>
        </w:rPr>
        <w:t xml:space="preserve"> petition to make a request</w:t>
      </w:r>
      <w:r w:rsidRPr="00275FCA" w:rsidR="00142B29">
        <w:rPr>
          <w:snapToGrid w:val="0"/>
          <w:lang w:val="en-GB" w:bidi="en-US"/>
        </w:rPr>
        <w:t xml:space="preserve"> regarding the education of their children</w:t>
      </w:r>
      <w:r w:rsidRPr="00275FCA" w:rsidR="005A662F">
        <w:rPr>
          <w:snapToGrid w:val="0"/>
          <w:lang w:val="en-GB" w:bidi="en-US"/>
        </w:rPr>
        <w:t xml:space="preserve">. For the Court, neither the views expressed </w:t>
      </w:r>
      <w:r w:rsidRPr="00275FCA" w:rsidR="00F272C5">
        <w:rPr>
          <w:snapToGrid w:val="0"/>
          <w:lang w:val="en-GB" w:bidi="en-US"/>
        </w:rPr>
        <w:t>in those petitions</w:t>
      </w:r>
      <w:r w:rsidRPr="00275FCA" w:rsidR="005A662F">
        <w:rPr>
          <w:snapToGrid w:val="0"/>
          <w:lang w:val="en-GB" w:bidi="en-US"/>
        </w:rPr>
        <w:t xml:space="preserve"> nor the form in which they were conveyed </w:t>
      </w:r>
      <w:r w:rsidRPr="00275FCA" w:rsidR="00E83C27">
        <w:rPr>
          <w:snapToGrid w:val="0"/>
          <w:lang w:val="en-GB" w:bidi="en-US"/>
        </w:rPr>
        <w:t>raise</w:t>
      </w:r>
      <w:r w:rsidRPr="00275FCA" w:rsidR="00404568">
        <w:rPr>
          <w:snapToGrid w:val="0"/>
          <w:lang w:val="en-GB" w:bidi="en-US"/>
        </w:rPr>
        <w:t xml:space="preserve"> </w:t>
      </w:r>
      <w:r w:rsidRPr="00275FCA" w:rsidR="00E83C27">
        <w:rPr>
          <w:snapToGrid w:val="0"/>
          <w:lang w:val="en-GB" w:bidi="en-US"/>
        </w:rPr>
        <w:t>doubt</w:t>
      </w:r>
      <w:r w:rsidRPr="00275FCA" w:rsidR="00404568">
        <w:rPr>
          <w:snapToGrid w:val="0"/>
          <w:lang w:val="en-GB" w:bidi="en-US"/>
        </w:rPr>
        <w:t>s</w:t>
      </w:r>
      <w:r w:rsidRPr="00275FCA" w:rsidR="00E83C27">
        <w:rPr>
          <w:snapToGrid w:val="0"/>
          <w:lang w:val="en-GB" w:bidi="en-US"/>
        </w:rPr>
        <w:t xml:space="preserve"> regarding the peaceful nature of th</w:t>
      </w:r>
      <w:r w:rsidRPr="00275FCA" w:rsidR="008F7CB4">
        <w:rPr>
          <w:snapToGrid w:val="0"/>
          <w:lang w:val="en-GB" w:bidi="en-US"/>
        </w:rPr>
        <w:t>eir</w:t>
      </w:r>
      <w:r w:rsidRPr="00275FCA" w:rsidR="00E83C27">
        <w:rPr>
          <w:snapToGrid w:val="0"/>
          <w:lang w:val="en-GB" w:bidi="en-US"/>
        </w:rPr>
        <w:t xml:space="preserve"> request.</w:t>
      </w:r>
      <w:r w:rsidRPr="00275FCA" w:rsidR="00B14FE0">
        <w:rPr>
          <w:snapToGrid w:val="0"/>
          <w:lang w:val="en-GB" w:bidi="en-US"/>
        </w:rPr>
        <w:t xml:space="preserve"> </w:t>
      </w:r>
      <w:r w:rsidRPr="00275FCA" w:rsidR="00756148">
        <w:rPr>
          <w:snapToGrid w:val="0"/>
          <w:lang w:val="en-GB" w:bidi="en-US"/>
        </w:rPr>
        <w:t>F</w:t>
      </w:r>
      <w:r w:rsidRPr="00275FCA" w:rsidR="008F7CB4">
        <w:rPr>
          <w:snapToGrid w:val="0"/>
          <w:lang w:val="en-GB" w:bidi="en-US"/>
        </w:rPr>
        <w:t>urther</w:t>
      </w:r>
      <w:r w:rsidRPr="00275FCA" w:rsidR="00756148">
        <w:rPr>
          <w:snapToGrid w:val="0"/>
          <w:lang w:val="en-GB" w:bidi="en-US"/>
        </w:rPr>
        <w:t>more,</w:t>
      </w:r>
      <w:r w:rsidRPr="00275FCA" w:rsidR="008F7CB4">
        <w:rPr>
          <w:snapToGrid w:val="0"/>
          <w:lang w:val="en-GB" w:bidi="en-US"/>
        </w:rPr>
        <w:t xml:space="preserve"> t</w:t>
      </w:r>
      <w:r w:rsidRPr="00275FCA" w:rsidR="0004632E">
        <w:rPr>
          <w:snapToGrid w:val="0"/>
          <w:lang w:val="en-GB" w:bidi="en-US"/>
        </w:rPr>
        <w:t xml:space="preserve">he fact that </w:t>
      </w:r>
      <w:r w:rsidRPr="00275FCA">
        <w:rPr>
          <w:snapToGrid w:val="0"/>
          <w:lang w:val="en-GB" w:bidi="en-US"/>
        </w:rPr>
        <w:t>th</w:t>
      </w:r>
      <w:r w:rsidRPr="00275FCA" w:rsidR="008F7CB4">
        <w:rPr>
          <w:snapToGrid w:val="0"/>
          <w:lang w:val="en-GB" w:bidi="en-US"/>
        </w:rPr>
        <w:t>e applicants</w:t>
      </w:r>
      <w:r w:rsidRPr="00275FCA" w:rsidR="00275FCA">
        <w:rPr>
          <w:snapToGrid w:val="0"/>
          <w:lang w:val="en-GB" w:bidi="en-US"/>
        </w:rPr>
        <w:t>’</w:t>
      </w:r>
      <w:r w:rsidRPr="00275FCA">
        <w:rPr>
          <w:snapToGrid w:val="0"/>
          <w:lang w:val="en-GB" w:bidi="en-US"/>
        </w:rPr>
        <w:t xml:space="preserve"> peaceful request </w:t>
      </w:r>
      <w:r w:rsidRPr="00275FCA" w:rsidR="00142B29">
        <w:rPr>
          <w:snapToGrid w:val="0"/>
          <w:lang w:val="en-GB" w:bidi="en-US"/>
        </w:rPr>
        <w:t xml:space="preserve">regarding the education of their children </w:t>
      </w:r>
      <w:r w:rsidRPr="00275FCA" w:rsidR="0004632E">
        <w:rPr>
          <w:snapToGrid w:val="0"/>
          <w:lang w:val="en-GB" w:bidi="en-US"/>
        </w:rPr>
        <w:t xml:space="preserve">may have </w:t>
      </w:r>
      <w:r w:rsidRPr="00275FCA">
        <w:rPr>
          <w:snapToGrid w:val="0"/>
          <w:lang w:val="en-GB" w:bidi="en-US"/>
        </w:rPr>
        <w:t xml:space="preserve">coincided with the aims or instructions of </w:t>
      </w:r>
      <w:r w:rsidRPr="00275FCA" w:rsidR="000F385C">
        <w:rPr>
          <w:snapToGrid w:val="0"/>
          <w:lang w:val="en-GB" w:bidi="en-US"/>
        </w:rPr>
        <w:t>an illegal armed</w:t>
      </w:r>
      <w:r w:rsidRPr="00275FCA">
        <w:rPr>
          <w:snapToGrid w:val="0"/>
          <w:lang w:val="en-GB" w:bidi="en-US"/>
        </w:rPr>
        <w:t xml:space="preserve"> organisation did not remove that request from the scope of protection of Article 10 (see</w:t>
      </w:r>
      <w:r w:rsidRPr="00275FCA" w:rsidR="000F385C">
        <w:rPr>
          <w:snapToGrid w:val="0"/>
          <w:lang w:val="en-GB" w:bidi="en-US"/>
        </w:rPr>
        <w:t xml:space="preserve">, for a similar discussion in the context of Article 220 of the new Turkish Criminal Code, </w:t>
      </w:r>
      <w:r w:rsidRPr="00275FCA" w:rsidR="000F385C">
        <w:rPr>
          <w:i/>
          <w:lang w:val="en-GB"/>
        </w:rPr>
        <w:t>Gülcü</w:t>
      </w:r>
      <w:r w:rsidRPr="00275FCA" w:rsidR="000F385C">
        <w:rPr>
          <w:lang w:val="en-GB"/>
        </w:rPr>
        <w:t xml:space="preserve">, </w:t>
      </w:r>
      <w:r w:rsidRPr="00275FCA" w:rsidR="00404568">
        <w:rPr>
          <w:lang w:val="en-GB"/>
        </w:rPr>
        <w:t>cited above</w:t>
      </w:r>
      <w:r w:rsidRPr="00275FCA" w:rsidR="000F385C">
        <w:rPr>
          <w:snapToGrid w:val="0"/>
          <w:lang w:val="en-GB"/>
        </w:rPr>
        <w:t>, §</w:t>
      </w:r>
      <w:r w:rsidRPr="00275FCA" w:rsidR="009F3C89">
        <w:rPr>
          <w:snapToGrid w:val="0"/>
          <w:lang w:val="en-GB"/>
        </w:rPr>
        <w:t> </w:t>
      </w:r>
      <w:r w:rsidRPr="00275FCA" w:rsidR="000F385C">
        <w:rPr>
          <w:snapToGrid w:val="0"/>
          <w:lang w:val="en-GB"/>
        </w:rPr>
        <w:t>112, and the comments of the Council of Europe</w:t>
      </w:r>
      <w:r w:rsidRPr="00275FCA" w:rsidR="00275FCA">
        <w:rPr>
          <w:snapToGrid w:val="0"/>
          <w:lang w:val="en-GB"/>
        </w:rPr>
        <w:t>’</w:t>
      </w:r>
      <w:r w:rsidRPr="00275FCA" w:rsidR="000F385C">
        <w:rPr>
          <w:snapToGrid w:val="0"/>
          <w:lang w:val="en-GB"/>
        </w:rPr>
        <w:t>s Commissioner of Human Rights referred to in paragraphs 68 and 6</w:t>
      </w:r>
      <w:r w:rsidRPr="00275FCA" w:rsidR="00A74ABA">
        <w:rPr>
          <w:snapToGrid w:val="0"/>
          <w:lang w:val="en-GB"/>
        </w:rPr>
        <w:t>9</w:t>
      </w:r>
      <w:r w:rsidRPr="00275FCA" w:rsidR="000F385C">
        <w:rPr>
          <w:snapToGrid w:val="0"/>
          <w:lang w:val="en-GB"/>
        </w:rPr>
        <w:t xml:space="preserve"> of that judgment).</w:t>
      </w:r>
      <w:r w:rsidRPr="00275FCA" w:rsidR="000F385C">
        <w:rPr>
          <w:snapToGrid w:val="0"/>
          <w:lang w:val="en-GB" w:bidi="en-US"/>
        </w:rPr>
        <w:t xml:space="preserve"> </w:t>
      </w:r>
      <w:r w:rsidRPr="00275FCA">
        <w:rPr>
          <w:snapToGrid w:val="0"/>
          <w:lang w:val="en-GB" w:bidi="en-US"/>
        </w:rPr>
        <w:t xml:space="preserve">The Court stresses </w:t>
      </w:r>
      <w:r w:rsidRPr="00275FCA" w:rsidR="008F7CB4">
        <w:rPr>
          <w:snapToGrid w:val="0"/>
          <w:lang w:val="en-GB" w:bidi="en-US"/>
        </w:rPr>
        <w:t xml:space="preserve">in this regard </w:t>
      </w:r>
      <w:r w:rsidRPr="00275FCA">
        <w:rPr>
          <w:snapToGrid w:val="0"/>
          <w:lang w:val="en-GB" w:bidi="en-US"/>
        </w:rPr>
        <w:t xml:space="preserve">that in a democratic society based on the rule of law, political ideas which challenge the existing order and whose realisation is advocated by peaceful means must be afforded a proper opportunity of expression (see, </w:t>
      </w:r>
      <w:r w:rsidRPr="00275FCA">
        <w:rPr>
          <w:i/>
          <w:snapToGrid w:val="0"/>
          <w:lang w:val="en-GB" w:bidi="en-US"/>
        </w:rPr>
        <w:t>mutatis mutandis</w:t>
      </w:r>
      <w:r w:rsidRPr="00275FCA">
        <w:rPr>
          <w:snapToGrid w:val="0"/>
          <w:lang w:val="en-GB" w:bidi="en-US"/>
        </w:rPr>
        <w:t xml:space="preserve">, </w:t>
      </w:r>
      <w:r w:rsidRPr="00275FCA" w:rsidR="008B4D91">
        <w:rPr>
          <w:i/>
          <w:lang w:val="en-GB"/>
        </w:rPr>
        <w:t>Stankov and the United Macedonian Organisation Ilinden v. Bulgaria</w:t>
      </w:r>
      <w:r w:rsidRPr="00275FCA" w:rsidR="008B4D91">
        <w:rPr>
          <w:lang w:val="en-GB"/>
        </w:rPr>
        <w:t>, nos. 29221/95 and 29225/95, § 97, ECHR 2001</w:t>
      </w:r>
      <w:r w:rsidRPr="00275FCA" w:rsidR="008B4D91">
        <w:rPr>
          <w:lang w:val="en-GB"/>
        </w:rPr>
        <w:noBreakHyphen/>
        <w:t xml:space="preserve">IX), </w:t>
      </w:r>
      <w:r w:rsidRPr="00275FCA" w:rsidR="00CC01E3">
        <w:rPr>
          <w:snapToGrid w:val="0"/>
          <w:lang w:val="en-GB" w:bidi="en-US"/>
        </w:rPr>
        <w:t>which, on the instant facts, the prosecution authorities ignored</w:t>
      </w:r>
      <w:r w:rsidRPr="00275FCA">
        <w:rPr>
          <w:snapToGrid w:val="0"/>
          <w:lang w:val="en-GB" w:bidi="en-US"/>
        </w:rPr>
        <w:t>.</w:t>
      </w:r>
    </w:p>
    <w:p w:rsidRPr="00275FCA" w:rsidR="00772A0A" w:rsidP="00275FCA" w:rsidRDefault="00275FCA">
      <w:pPr>
        <w:pStyle w:val="ECHRPara"/>
      </w:pPr>
      <w:fldSimple w:instr=" SEQ level0 \*arabic ">
        <w:r w:rsidRPr="00275FCA">
          <w:rPr>
            <w:noProof/>
          </w:rPr>
          <w:t>108</w:t>
        </w:r>
      </w:fldSimple>
      <w:r w:rsidRPr="00275FCA" w:rsidR="008B0B8A">
        <w:t xml:space="preserve">.  Having regard to the foregoing arguments, the Court considers that while applying the measures against the applicants, the </w:t>
      </w:r>
      <w:r w:rsidRPr="00275FCA" w:rsidR="008F1551">
        <w:t xml:space="preserve">relevant State authorities failed to </w:t>
      </w:r>
      <w:r w:rsidRPr="00275FCA" w:rsidR="00442144">
        <w:t>use as a basis</w:t>
      </w:r>
      <w:r w:rsidRPr="00275FCA" w:rsidR="008F1551">
        <w:t xml:space="preserve"> an acceptable as</w:t>
      </w:r>
      <w:r w:rsidRPr="00275FCA" w:rsidR="008B0B8A">
        <w:t xml:space="preserve">sessment of the relevant facts and apply </w:t>
      </w:r>
      <w:r w:rsidRPr="00275FCA" w:rsidR="008F1551">
        <w:t>standards which were in conformity with the principles embodied in Article 10 of the Convention</w:t>
      </w:r>
      <w:r w:rsidRPr="00275FCA" w:rsidR="008B0B8A">
        <w:t xml:space="preserve"> despite the important interests at stake</w:t>
      </w:r>
      <w:r w:rsidRPr="00275FCA" w:rsidR="001D0D6B">
        <w:t xml:space="preserve"> (see </w:t>
      </w:r>
      <w:r w:rsidRPr="00275FCA" w:rsidR="007C6326">
        <w:rPr>
          <w:i/>
          <w:lang w:val="en-GB"/>
        </w:rPr>
        <w:t>Jersild v. Denmark</w:t>
      </w:r>
      <w:r w:rsidRPr="00275FCA" w:rsidR="007C6326">
        <w:rPr>
          <w:lang w:val="en-GB"/>
        </w:rPr>
        <w:t xml:space="preserve">, 23 September 1994, § 31, Series A no. 298). </w:t>
      </w:r>
      <w:r w:rsidRPr="00275FCA" w:rsidR="00393A7A">
        <w:t>The Court</w:t>
      </w:r>
      <w:r w:rsidRPr="00275FCA" w:rsidR="00681F30">
        <w:t xml:space="preserve"> </w:t>
      </w:r>
      <w:r w:rsidRPr="00275FCA" w:rsidR="00393A7A">
        <w:t xml:space="preserve">cannot </w:t>
      </w:r>
      <w:r w:rsidRPr="00275FCA" w:rsidR="00681F30">
        <w:t xml:space="preserve">therefore </w:t>
      </w:r>
      <w:r w:rsidRPr="00275FCA" w:rsidR="00393A7A">
        <w:t xml:space="preserve">hold that the interference in question was “necessary in a democratic society”. This </w:t>
      </w:r>
      <w:r w:rsidRPr="00275FCA" w:rsidR="00772A0A">
        <w:t xml:space="preserve">is all the more so considering that </w:t>
      </w:r>
      <w:r w:rsidRPr="00275FCA" w:rsidR="005F75E1">
        <w:t>shortly after the applicants</w:t>
      </w:r>
      <w:r w:rsidRPr="00275FCA">
        <w:t>’</w:t>
      </w:r>
      <w:r w:rsidRPr="00275FCA" w:rsidR="005F75E1">
        <w:t xml:space="preserve"> arrest and </w:t>
      </w:r>
      <w:r w:rsidRPr="00275FCA" w:rsidR="00772A0A">
        <w:t xml:space="preserve">while </w:t>
      </w:r>
      <w:r w:rsidRPr="00275FCA" w:rsidR="005F75E1">
        <w:t>they</w:t>
      </w:r>
      <w:r w:rsidRPr="00275FCA" w:rsidR="00772A0A">
        <w:t xml:space="preserve"> were</w:t>
      </w:r>
      <w:r w:rsidRPr="00275FCA" w:rsidR="005F75E1">
        <w:t xml:space="preserve"> still</w:t>
      </w:r>
      <w:r w:rsidRPr="00275FCA" w:rsidR="00772A0A">
        <w:t xml:space="preserve"> </w:t>
      </w:r>
      <w:r w:rsidRPr="00275FCA" w:rsidR="00442144">
        <w:t>on</w:t>
      </w:r>
      <w:r w:rsidRPr="00275FCA" w:rsidR="00772A0A">
        <w:t xml:space="preserve"> trial for aiding and abetting the PKK </w:t>
      </w:r>
      <w:r w:rsidRPr="00275FCA" w:rsidR="00FF5ECD">
        <w:t>by way of</w:t>
      </w:r>
      <w:r w:rsidRPr="00275FCA" w:rsidR="00772A0A">
        <w:t xml:space="preserve"> their petitions requesting education in Kurdish, </w:t>
      </w:r>
      <w:r w:rsidRPr="00275FCA" w:rsidR="00442144">
        <w:t>the</w:t>
      </w:r>
      <w:r w:rsidRPr="00275FCA" w:rsidR="00772A0A">
        <w:t xml:space="preserve"> Foreign Language Education and Teaching </w:t>
      </w:r>
      <w:r w:rsidRPr="00275FCA" w:rsidR="00442144">
        <w:t>Act (Law no.</w:t>
      </w:r>
      <w:r w:rsidRPr="00275FCA" w:rsidR="009F3C89">
        <w:t> </w:t>
      </w:r>
      <w:r w:rsidRPr="00275FCA" w:rsidR="00442144">
        <w:t xml:space="preserve">2923) </w:t>
      </w:r>
      <w:r w:rsidRPr="00275FCA" w:rsidR="00772A0A">
        <w:t xml:space="preserve">was amended </w:t>
      </w:r>
      <w:r w:rsidRPr="00275FCA" w:rsidR="00555636">
        <w:t xml:space="preserve">on 2 August 2002 </w:t>
      </w:r>
      <w:r w:rsidRPr="00275FCA" w:rsidR="00772A0A">
        <w:t xml:space="preserve">to provide for such education, at least on a private basis initially (see paragraph </w:t>
      </w:r>
      <w:r w:rsidRPr="00275FCA" w:rsidR="009D35C7">
        <w:t>36</w:t>
      </w:r>
      <w:r w:rsidRPr="00275FCA" w:rsidR="00772A0A">
        <w:t xml:space="preserve"> above and </w:t>
      </w:r>
      <w:r w:rsidRPr="00275FCA" w:rsidR="00772A0A">
        <w:rPr>
          <w:i/>
        </w:rPr>
        <w:t>Eğitim ve Bilim Emekçileri Sendikası</w:t>
      </w:r>
      <w:r w:rsidRPr="00275FCA" w:rsidR="00E91B04">
        <w:t>, cited above, § </w:t>
      </w:r>
      <w:r w:rsidRPr="00275FCA" w:rsidR="0093072B">
        <w:t>11, 55 and 74).</w:t>
      </w:r>
    </w:p>
    <w:p w:rsidRPr="00275FCA" w:rsidR="00430BED" w:rsidP="00275FCA" w:rsidRDefault="00275FCA">
      <w:pPr>
        <w:pStyle w:val="ECHRPara"/>
      </w:pPr>
      <w:fldSimple w:instr=" SEQ level0 \*arabic ">
        <w:r w:rsidRPr="00275FCA">
          <w:rPr>
            <w:noProof/>
          </w:rPr>
          <w:t>109</w:t>
        </w:r>
      </w:fldSimple>
      <w:r w:rsidRPr="00275FCA" w:rsidR="005F75E1">
        <w:t>.  </w:t>
      </w:r>
      <w:r w:rsidRPr="00275FCA" w:rsidR="00E91B04">
        <w:t>There has accordingly been a violation of Article 10 of the Convention.</w:t>
      </w:r>
    </w:p>
    <w:p w:rsidRPr="00275FCA" w:rsidR="00A17734" w:rsidP="00275FCA" w:rsidRDefault="00A17734">
      <w:pPr>
        <w:pStyle w:val="ECHRHeading1"/>
        <w:rPr>
          <w:lang w:val="en-GB"/>
        </w:rPr>
      </w:pPr>
      <w:r w:rsidRPr="00275FCA">
        <w:rPr>
          <w:lang w:val="en-GB"/>
        </w:rPr>
        <w:t>III.</w:t>
      </w:r>
      <w:r w:rsidRPr="00275FCA" w:rsidR="0093072B">
        <w:rPr>
          <w:lang w:val="en-GB"/>
        </w:rPr>
        <w:t>  </w:t>
      </w:r>
      <w:r w:rsidRPr="00275FCA">
        <w:rPr>
          <w:lang w:val="en-GB"/>
        </w:rPr>
        <w:t xml:space="preserve">ALLEGED VIOLATION OF ARTICLE 14 OF THE CONVENTION </w:t>
      </w:r>
      <w:r w:rsidRPr="00275FCA" w:rsidR="00D94FAE">
        <w:rPr>
          <w:lang w:val="en-GB"/>
        </w:rPr>
        <w:t xml:space="preserve">TAKEN </w:t>
      </w:r>
      <w:r w:rsidRPr="00275FCA">
        <w:rPr>
          <w:lang w:val="en-GB"/>
        </w:rPr>
        <w:t>IN CONJUNCTION WITH ARTICLE 2</w:t>
      </w:r>
      <w:r w:rsidRPr="00275FCA" w:rsidR="00D94FAE">
        <w:rPr>
          <w:lang w:val="en-GB"/>
        </w:rPr>
        <w:t xml:space="preserve"> OF PROTOCOL NO. </w:t>
      </w:r>
      <w:r w:rsidRPr="00275FCA">
        <w:rPr>
          <w:lang w:val="en-GB"/>
        </w:rPr>
        <w:t>1 TO THE CONVENTION</w:t>
      </w:r>
    </w:p>
    <w:p w:rsidRPr="00275FCA" w:rsidR="00A17734" w:rsidP="00275FCA" w:rsidRDefault="00A17734">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110</w:t>
      </w:r>
      <w:r w:rsidRPr="00275FCA">
        <w:rPr>
          <w:lang w:val="en-GB"/>
        </w:rPr>
        <w:fldChar w:fldCharType="end"/>
      </w:r>
      <w:r w:rsidRPr="00275FCA">
        <w:rPr>
          <w:lang w:val="en-GB"/>
        </w:rPr>
        <w:t>.  </w:t>
      </w:r>
      <w:r w:rsidRPr="00275FCA" w:rsidR="00A47F13">
        <w:rPr>
          <w:lang w:val="en-GB"/>
        </w:rPr>
        <w:t>The applicants maintained</w:t>
      </w:r>
      <w:r w:rsidRPr="00275FCA">
        <w:rPr>
          <w:lang w:val="en-GB"/>
        </w:rPr>
        <w:t xml:space="preserve"> that the authorities</w:t>
      </w:r>
      <w:r w:rsidRPr="00275FCA" w:rsidR="00275FCA">
        <w:rPr>
          <w:lang w:val="en-GB"/>
        </w:rPr>
        <w:t>’</w:t>
      </w:r>
      <w:r w:rsidRPr="00275FCA">
        <w:rPr>
          <w:lang w:val="en-GB"/>
        </w:rPr>
        <w:t xml:space="preserve"> attitude towards Kurdish pe</w:t>
      </w:r>
      <w:r w:rsidRPr="00275FCA" w:rsidR="00442144">
        <w:rPr>
          <w:lang w:val="en-GB"/>
        </w:rPr>
        <w:t>ople</w:t>
      </w:r>
      <w:r w:rsidRPr="00275FCA" w:rsidR="00275FCA">
        <w:rPr>
          <w:lang w:val="en-GB"/>
        </w:rPr>
        <w:t>’</w:t>
      </w:r>
      <w:r w:rsidRPr="00275FCA" w:rsidR="00442144">
        <w:rPr>
          <w:lang w:val="en-GB"/>
        </w:rPr>
        <w:t>s</w:t>
      </w:r>
      <w:r w:rsidRPr="00275FCA">
        <w:rPr>
          <w:lang w:val="en-GB"/>
        </w:rPr>
        <w:t xml:space="preserve"> right to education in their mother tongue had amounted to a violation of Article 14 of the Convention.</w:t>
      </w:r>
    </w:p>
    <w:p w:rsidRPr="00275FCA" w:rsidR="00A47F13" w:rsidP="00275FCA" w:rsidRDefault="00A47F13">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111</w:t>
      </w:r>
      <w:r w:rsidRPr="00275FCA">
        <w:rPr>
          <w:lang w:val="en-GB"/>
        </w:rPr>
        <w:fldChar w:fldCharType="end"/>
      </w:r>
      <w:r w:rsidRPr="00275FCA">
        <w:rPr>
          <w:lang w:val="en-GB"/>
        </w:rPr>
        <w:t>.  The Court notes that this complaint was communicated to the Government in conjunction with Article 2 of Protocol No. 1 to the Convention.</w:t>
      </w:r>
    </w:p>
    <w:p w:rsidRPr="00275FCA" w:rsidR="00A47F13" w:rsidP="00275FCA" w:rsidRDefault="00A47F13">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112</w:t>
      </w:r>
      <w:r w:rsidRPr="00275FCA">
        <w:rPr>
          <w:lang w:val="en-GB"/>
        </w:rPr>
        <w:fldChar w:fldCharType="end"/>
      </w:r>
      <w:r w:rsidRPr="00275FCA">
        <w:rPr>
          <w:lang w:val="en-GB"/>
        </w:rPr>
        <w:t xml:space="preserve">.  The Court </w:t>
      </w:r>
      <w:r w:rsidRPr="00275FCA" w:rsidR="00442144">
        <w:rPr>
          <w:lang w:val="en-GB"/>
        </w:rPr>
        <w:t>reiterates</w:t>
      </w:r>
      <w:r w:rsidRPr="00275FCA">
        <w:rPr>
          <w:lang w:val="en-GB"/>
        </w:rPr>
        <w:t xml:space="preserve"> that the applicants in the instant case were charged with aiding and abetting the PKK on account of their petitions requesting education in Kurdish in elementary schools. </w:t>
      </w:r>
      <w:r w:rsidRPr="00275FCA" w:rsidR="00F734A5">
        <w:rPr>
          <w:lang w:val="en-GB"/>
        </w:rPr>
        <w:t>However, t</w:t>
      </w:r>
      <w:r w:rsidRPr="00275FCA">
        <w:rPr>
          <w:lang w:val="en-GB"/>
        </w:rPr>
        <w:t xml:space="preserve">he evidence indicates, </w:t>
      </w:r>
      <w:r w:rsidRPr="00275FCA" w:rsidR="00F734A5">
        <w:rPr>
          <w:lang w:val="en-GB"/>
        </w:rPr>
        <w:t xml:space="preserve">as already discussed </w:t>
      </w:r>
      <w:r w:rsidRPr="00275FCA" w:rsidR="0062603B">
        <w:rPr>
          <w:lang w:val="en-GB"/>
        </w:rPr>
        <w:t>(see</w:t>
      </w:r>
      <w:r w:rsidRPr="00275FCA" w:rsidR="00F734A5">
        <w:rPr>
          <w:lang w:val="en-GB"/>
        </w:rPr>
        <w:t xml:space="preserve"> paragraph </w:t>
      </w:r>
      <w:r w:rsidRPr="00275FCA" w:rsidR="009D35C7">
        <w:rPr>
          <w:lang w:val="en-GB"/>
        </w:rPr>
        <w:t>1</w:t>
      </w:r>
      <w:r w:rsidRPr="00275FCA" w:rsidR="006E40F5">
        <w:rPr>
          <w:lang w:val="en-GB"/>
        </w:rPr>
        <w:t>0</w:t>
      </w:r>
      <w:r w:rsidRPr="00275FCA" w:rsidR="0078313E">
        <w:rPr>
          <w:lang w:val="en-GB"/>
        </w:rPr>
        <w:t>1</w:t>
      </w:r>
      <w:r w:rsidRPr="00275FCA" w:rsidR="00F734A5">
        <w:rPr>
          <w:lang w:val="en-GB"/>
        </w:rPr>
        <w:t xml:space="preserve"> above</w:t>
      </w:r>
      <w:r w:rsidRPr="00275FCA" w:rsidR="0062603B">
        <w:rPr>
          <w:lang w:val="en-GB"/>
        </w:rPr>
        <w:t>)</w:t>
      </w:r>
      <w:r w:rsidRPr="00275FCA">
        <w:rPr>
          <w:lang w:val="en-GB"/>
        </w:rPr>
        <w:t>, that the</w:t>
      </w:r>
      <w:r w:rsidRPr="00275FCA" w:rsidR="0062603B">
        <w:rPr>
          <w:lang w:val="en-GB"/>
        </w:rPr>
        <w:t xml:space="preserve">y </w:t>
      </w:r>
      <w:r w:rsidRPr="00275FCA">
        <w:rPr>
          <w:lang w:val="en-GB"/>
        </w:rPr>
        <w:t xml:space="preserve">were charged not because of the content of their petitions </w:t>
      </w:r>
      <w:r w:rsidRPr="00275FCA">
        <w:rPr>
          <w:i/>
          <w:lang w:val="en-GB"/>
        </w:rPr>
        <w:t>per se</w:t>
      </w:r>
      <w:r w:rsidRPr="00275FCA">
        <w:rPr>
          <w:lang w:val="en-GB"/>
        </w:rPr>
        <w:t>, but for allegedly act</w:t>
      </w:r>
      <w:r w:rsidRPr="00275FCA" w:rsidR="00FB36C0">
        <w:rPr>
          <w:lang w:val="en-GB"/>
        </w:rPr>
        <w:t>ing on</w:t>
      </w:r>
      <w:r w:rsidRPr="00275FCA">
        <w:rPr>
          <w:lang w:val="en-GB"/>
        </w:rPr>
        <w:t xml:space="preserve"> the instructions of an illegal armed organisation in submitting those petitions. There is no information in the case file to suggest that the substance of the applicants</w:t>
      </w:r>
      <w:r w:rsidRPr="00275FCA" w:rsidR="00275FCA">
        <w:rPr>
          <w:lang w:val="en-GB"/>
        </w:rPr>
        <w:t>’</w:t>
      </w:r>
      <w:r w:rsidRPr="00275FCA">
        <w:rPr>
          <w:lang w:val="en-GB"/>
        </w:rPr>
        <w:t xml:space="preserve"> request was taken into consideration by the relevant State authorities.</w:t>
      </w:r>
    </w:p>
    <w:p w:rsidRPr="00275FCA" w:rsidR="00A47F13" w:rsidP="00275FCA" w:rsidRDefault="00A47F13">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113</w:t>
      </w:r>
      <w:r w:rsidRPr="00275FCA">
        <w:rPr>
          <w:lang w:val="en-GB"/>
        </w:rPr>
        <w:fldChar w:fldCharType="end"/>
      </w:r>
      <w:r w:rsidRPr="00275FCA">
        <w:rPr>
          <w:lang w:val="en-GB"/>
        </w:rPr>
        <w:t>.  Looking at the facts of the case as a whole and the parties</w:t>
      </w:r>
      <w:r w:rsidRPr="00275FCA" w:rsidR="00275FCA">
        <w:rPr>
          <w:lang w:val="en-GB"/>
        </w:rPr>
        <w:t>’</w:t>
      </w:r>
      <w:r w:rsidRPr="00275FCA">
        <w:rPr>
          <w:lang w:val="en-GB"/>
        </w:rPr>
        <w:t xml:space="preserve"> arguments, the Court considers that the crux of the problem is not the denial of the applicants</w:t>
      </w:r>
      <w:r w:rsidRPr="00275FCA" w:rsidR="00275FCA">
        <w:rPr>
          <w:lang w:val="en-GB"/>
        </w:rPr>
        <w:t>’</w:t>
      </w:r>
      <w:r w:rsidRPr="00275FCA">
        <w:rPr>
          <w:lang w:val="en-GB"/>
        </w:rPr>
        <w:t xml:space="preserve"> right to education and alleged discriminatory nature of such</w:t>
      </w:r>
      <w:r w:rsidRPr="00275FCA" w:rsidR="0062603B">
        <w:rPr>
          <w:lang w:val="en-GB"/>
        </w:rPr>
        <w:t xml:space="preserve"> an</w:t>
      </w:r>
      <w:r w:rsidRPr="00275FCA">
        <w:rPr>
          <w:lang w:val="en-GB"/>
        </w:rPr>
        <w:t xml:space="preserve"> attitude, </w:t>
      </w:r>
      <w:r w:rsidRPr="00275FCA" w:rsidR="0062603B">
        <w:rPr>
          <w:lang w:val="en-GB"/>
        </w:rPr>
        <w:t xml:space="preserve">concerns </w:t>
      </w:r>
      <w:r w:rsidRPr="00275FCA">
        <w:rPr>
          <w:lang w:val="en-GB"/>
        </w:rPr>
        <w:t xml:space="preserve">which were never voiced before </w:t>
      </w:r>
      <w:r w:rsidRPr="00275FCA" w:rsidR="0062603B">
        <w:rPr>
          <w:lang w:val="en-GB"/>
        </w:rPr>
        <w:t xml:space="preserve">the </w:t>
      </w:r>
      <w:r w:rsidRPr="00275FCA">
        <w:rPr>
          <w:lang w:val="en-GB"/>
        </w:rPr>
        <w:t xml:space="preserve">domestic authorities, but the measures </w:t>
      </w:r>
      <w:r w:rsidRPr="00275FCA" w:rsidR="0062603B">
        <w:rPr>
          <w:lang w:val="en-GB"/>
        </w:rPr>
        <w:t>they</w:t>
      </w:r>
      <w:r w:rsidRPr="00275FCA">
        <w:rPr>
          <w:lang w:val="en-GB"/>
        </w:rPr>
        <w:t xml:space="preserve"> faced for submitt</w:t>
      </w:r>
      <w:r w:rsidRPr="00275FCA" w:rsidR="00FB36C0">
        <w:rPr>
          <w:lang w:val="en-GB"/>
        </w:rPr>
        <w:t>ing</w:t>
      </w:r>
      <w:r w:rsidRPr="00275FCA">
        <w:rPr>
          <w:lang w:val="en-GB"/>
        </w:rPr>
        <w:t xml:space="preserve"> those petitions with the alleged intent of supporting the PKK. In the Court</w:t>
      </w:r>
      <w:r w:rsidRPr="00275FCA" w:rsidR="00275FCA">
        <w:rPr>
          <w:lang w:val="en-GB"/>
        </w:rPr>
        <w:t>’</w:t>
      </w:r>
      <w:r w:rsidRPr="00275FCA">
        <w:rPr>
          <w:lang w:val="en-GB"/>
        </w:rPr>
        <w:t xml:space="preserve">s opinion, the measures thus applied </w:t>
      </w:r>
      <w:r w:rsidRPr="00275FCA" w:rsidR="0062603B">
        <w:rPr>
          <w:lang w:val="en-GB"/>
        </w:rPr>
        <w:t>in respect of</w:t>
      </w:r>
      <w:r w:rsidRPr="00275FCA">
        <w:rPr>
          <w:lang w:val="en-GB"/>
        </w:rPr>
        <w:t xml:space="preserve"> the applicants </w:t>
      </w:r>
      <w:r w:rsidRPr="00275FCA" w:rsidR="00681F30">
        <w:rPr>
          <w:lang w:val="en-GB"/>
        </w:rPr>
        <w:t xml:space="preserve">were </w:t>
      </w:r>
      <w:r w:rsidRPr="00275FCA">
        <w:rPr>
          <w:lang w:val="en-GB"/>
        </w:rPr>
        <w:t xml:space="preserve">principally </w:t>
      </w:r>
      <w:r w:rsidRPr="00275FCA" w:rsidR="0062603B">
        <w:rPr>
          <w:lang w:val="en-GB"/>
        </w:rPr>
        <w:t>a</w:t>
      </w:r>
      <w:r w:rsidRPr="00275FCA" w:rsidR="0088016B">
        <w:rPr>
          <w:lang w:val="en-GB"/>
        </w:rPr>
        <w:t>n</w:t>
      </w:r>
      <w:r w:rsidRPr="00275FCA" w:rsidR="0062603B">
        <w:rPr>
          <w:lang w:val="en-GB"/>
        </w:rPr>
        <w:t xml:space="preserve"> </w:t>
      </w:r>
      <w:r w:rsidRPr="00275FCA" w:rsidR="0088016B">
        <w:rPr>
          <w:lang w:val="en-GB"/>
        </w:rPr>
        <w:t>impediment</w:t>
      </w:r>
      <w:r w:rsidRPr="00275FCA" w:rsidR="0062603B">
        <w:rPr>
          <w:lang w:val="en-GB"/>
        </w:rPr>
        <w:t xml:space="preserve"> </w:t>
      </w:r>
      <w:r w:rsidRPr="00275FCA" w:rsidR="0088016B">
        <w:rPr>
          <w:lang w:val="en-GB"/>
        </w:rPr>
        <w:t>t</w:t>
      </w:r>
      <w:r w:rsidRPr="00275FCA" w:rsidR="0062603B">
        <w:rPr>
          <w:lang w:val="en-GB"/>
        </w:rPr>
        <w:t>o</w:t>
      </w:r>
      <w:r w:rsidRPr="00275FCA">
        <w:rPr>
          <w:lang w:val="en-GB"/>
        </w:rPr>
        <w:t xml:space="preserve"> their right to freedom of expression, and it was the infringement of that right that l</w:t>
      </w:r>
      <w:r w:rsidRPr="00275FCA" w:rsidR="0062603B">
        <w:rPr>
          <w:lang w:val="en-GB"/>
        </w:rPr>
        <w:t>ies</w:t>
      </w:r>
      <w:r w:rsidRPr="00275FCA">
        <w:rPr>
          <w:lang w:val="en-GB"/>
        </w:rPr>
        <w:t xml:space="preserve"> at the heart of the case presented to the Court.</w:t>
      </w:r>
    </w:p>
    <w:p w:rsidRPr="00275FCA" w:rsidR="00A17734" w:rsidP="00275FCA" w:rsidRDefault="00A47F13">
      <w:pPr>
        <w:pStyle w:val="ECHRPara"/>
        <w:rPr>
          <w:i/>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114</w:t>
      </w:r>
      <w:r w:rsidRPr="00275FCA">
        <w:rPr>
          <w:lang w:val="en-GB"/>
        </w:rPr>
        <w:fldChar w:fldCharType="end"/>
      </w:r>
      <w:r w:rsidRPr="00275FCA">
        <w:rPr>
          <w:lang w:val="en-GB"/>
        </w:rPr>
        <w:t xml:space="preserve">.  Having regard to the facts of the case, the submissions of the parties and its finding of a violation under Article 10 of the Convention (see paragraph </w:t>
      </w:r>
      <w:r w:rsidRPr="00275FCA" w:rsidR="009D35C7">
        <w:rPr>
          <w:lang w:val="en-GB"/>
        </w:rPr>
        <w:t>1</w:t>
      </w:r>
      <w:r w:rsidRPr="00275FCA" w:rsidR="006E40F5">
        <w:rPr>
          <w:lang w:val="en-GB"/>
        </w:rPr>
        <w:t>0</w:t>
      </w:r>
      <w:r w:rsidRPr="00275FCA" w:rsidR="0078313E">
        <w:rPr>
          <w:lang w:val="en-GB"/>
        </w:rPr>
        <w:t>9</w:t>
      </w:r>
      <w:r w:rsidRPr="00275FCA">
        <w:rPr>
          <w:lang w:val="en-GB"/>
        </w:rPr>
        <w:t xml:space="preserve"> above),</w:t>
      </w:r>
      <w:r w:rsidRPr="00275FCA" w:rsidR="006C2F6D">
        <w:rPr>
          <w:lang w:val="en-GB"/>
        </w:rPr>
        <w:t xml:space="preserve"> and noting also the changes</w:t>
      </w:r>
      <w:r w:rsidRPr="00275FCA" w:rsidR="00C453F6">
        <w:rPr>
          <w:lang w:val="en-GB"/>
        </w:rPr>
        <w:t xml:space="preserve"> in the domestic law regarding the teaching of the Kurdish language (see paragraphs 36-39 above), </w:t>
      </w:r>
      <w:r w:rsidRPr="00275FCA">
        <w:rPr>
          <w:lang w:val="en-GB"/>
        </w:rPr>
        <w:t>the Court considers that there is no need to give a separate ruling on the admissibility or the merits of the applicants</w:t>
      </w:r>
      <w:r w:rsidRPr="00275FCA" w:rsidR="00275FCA">
        <w:rPr>
          <w:lang w:val="en-GB"/>
        </w:rPr>
        <w:t>’</w:t>
      </w:r>
      <w:r w:rsidRPr="00275FCA">
        <w:rPr>
          <w:lang w:val="en-GB"/>
        </w:rPr>
        <w:t xml:space="preserve"> complaints under this head (see, for example,</w:t>
      </w:r>
      <w:r w:rsidRPr="00275FCA">
        <w:rPr>
          <w:i/>
          <w:lang w:val="en-GB"/>
        </w:rPr>
        <w:t xml:space="preserve"> Centre for Legal Resources on behalf of Valentin Câmpeanu v. Romania</w:t>
      </w:r>
      <w:r w:rsidRPr="00275FCA">
        <w:rPr>
          <w:lang w:val="en-GB"/>
        </w:rPr>
        <w:t xml:space="preserve"> [GC], no. 47848/08, § 156, ECHR 2014 and the cases cited therein).</w:t>
      </w:r>
    </w:p>
    <w:p w:rsidRPr="00275FCA" w:rsidR="00014566" w:rsidP="00275FCA" w:rsidRDefault="00CB5D97">
      <w:pPr>
        <w:pStyle w:val="ECHRHeading1"/>
        <w:rPr>
          <w:lang w:val="en-GB"/>
        </w:rPr>
      </w:pPr>
      <w:r w:rsidRPr="00275FCA">
        <w:rPr>
          <w:lang w:val="en-GB"/>
        </w:rPr>
        <w:t>I</w:t>
      </w:r>
      <w:r w:rsidRPr="00275FCA" w:rsidR="00A17734">
        <w:rPr>
          <w:lang w:val="en-GB"/>
        </w:rPr>
        <w:t>V</w:t>
      </w:r>
      <w:r w:rsidRPr="00275FCA" w:rsidR="0093072B">
        <w:rPr>
          <w:lang w:val="en-GB"/>
        </w:rPr>
        <w:t>.  </w:t>
      </w:r>
      <w:r w:rsidRPr="00275FCA" w:rsidR="00014566">
        <w:rPr>
          <w:lang w:val="en-GB"/>
        </w:rPr>
        <w:t>OTHER ALLEGED VIOLATIONS OF THE CONVENTION</w:t>
      </w:r>
    </w:p>
    <w:p w:rsidRPr="00275FCA" w:rsidR="00D0110D"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115</w:t>
      </w:r>
      <w:r w:rsidRPr="00275FCA">
        <w:rPr>
          <w:lang w:val="en-GB"/>
        </w:rPr>
        <w:fldChar w:fldCharType="end"/>
      </w:r>
      <w:r w:rsidRPr="00275FCA" w:rsidR="00014566">
        <w:rPr>
          <w:lang w:val="en-GB"/>
        </w:rPr>
        <w:t xml:space="preserve">.  Lastly, </w:t>
      </w:r>
      <w:r w:rsidRPr="00275FCA" w:rsidR="00EE0AFE">
        <w:rPr>
          <w:lang w:val="en-GB"/>
        </w:rPr>
        <w:t>the applicants raised a number of complaints under Articles 6 §§ 1 and 3 (a), (b), (c) and 8 of the Convention. The</w:t>
      </w:r>
      <w:r w:rsidRPr="00275FCA" w:rsidR="0062603B">
        <w:rPr>
          <w:lang w:val="en-GB"/>
        </w:rPr>
        <w:t>y</w:t>
      </w:r>
      <w:r w:rsidRPr="00275FCA" w:rsidR="00EE0AFE">
        <w:rPr>
          <w:lang w:val="en-GB"/>
        </w:rPr>
        <w:t xml:space="preserve"> complained under Article 6 §§ 1 and 3 </w:t>
      </w:r>
      <w:r w:rsidRPr="00275FCA" w:rsidR="0062603B">
        <w:rPr>
          <w:lang w:val="en-GB"/>
        </w:rPr>
        <w:t xml:space="preserve">that the Istanbul State Security Court had lacked </w:t>
      </w:r>
      <w:r w:rsidRPr="00275FCA" w:rsidR="00EE0AFE">
        <w:rPr>
          <w:lang w:val="en-GB"/>
        </w:rPr>
        <w:t xml:space="preserve">independence and impartiality, </w:t>
      </w:r>
      <w:r w:rsidRPr="00275FCA" w:rsidR="0062603B">
        <w:rPr>
          <w:lang w:val="en-GB"/>
        </w:rPr>
        <w:t>that</w:t>
      </w:r>
      <w:r w:rsidRPr="00275FCA" w:rsidR="00EE0AFE">
        <w:rPr>
          <w:lang w:val="en-GB"/>
        </w:rPr>
        <w:t xml:space="preserve"> the authorities</w:t>
      </w:r>
      <w:r w:rsidRPr="00275FCA" w:rsidR="0062603B">
        <w:rPr>
          <w:lang w:val="en-GB"/>
        </w:rPr>
        <w:t xml:space="preserve"> had failed</w:t>
      </w:r>
      <w:r w:rsidRPr="00275FCA" w:rsidR="00EE0AFE">
        <w:rPr>
          <w:lang w:val="en-GB"/>
        </w:rPr>
        <w:t xml:space="preserve"> to inform them promptly of the charges against them, </w:t>
      </w:r>
      <w:r w:rsidRPr="00275FCA" w:rsidR="0062603B">
        <w:rPr>
          <w:lang w:val="en-GB"/>
        </w:rPr>
        <w:t xml:space="preserve">that they had been denied </w:t>
      </w:r>
      <w:r w:rsidRPr="00275FCA" w:rsidR="00EE0AFE">
        <w:rPr>
          <w:lang w:val="en-GB"/>
        </w:rPr>
        <w:t>access to a lawyer during their detention in police cu</w:t>
      </w:r>
      <w:r w:rsidRPr="00275FCA" w:rsidR="00DE74D3">
        <w:rPr>
          <w:lang w:val="en-GB"/>
        </w:rPr>
        <w:t xml:space="preserve">stody, </w:t>
      </w:r>
      <w:r w:rsidRPr="00275FCA" w:rsidR="0062603B">
        <w:rPr>
          <w:lang w:val="en-GB"/>
        </w:rPr>
        <w:t>including</w:t>
      </w:r>
      <w:r w:rsidRPr="00275FCA" w:rsidR="00DE74D3">
        <w:rPr>
          <w:lang w:val="en-GB"/>
        </w:rPr>
        <w:t xml:space="preserve"> at the time of their </w:t>
      </w:r>
      <w:r w:rsidRPr="00275FCA" w:rsidR="0062603B">
        <w:rPr>
          <w:lang w:val="en-GB"/>
        </w:rPr>
        <w:t xml:space="preserve">questioning </w:t>
      </w:r>
      <w:r w:rsidRPr="00275FCA" w:rsidR="00DE74D3">
        <w:rPr>
          <w:lang w:val="en-GB"/>
        </w:rPr>
        <w:t>by the police and the public prosecutor, th</w:t>
      </w:r>
      <w:r w:rsidRPr="00275FCA" w:rsidR="0062603B">
        <w:rPr>
          <w:lang w:val="en-GB"/>
        </w:rPr>
        <w:t xml:space="preserve">at </w:t>
      </w:r>
      <w:r w:rsidRPr="00275FCA" w:rsidR="00DE74D3">
        <w:rPr>
          <w:lang w:val="en-GB"/>
        </w:rPr>
        <w:t>their lawyer</w:t>
      </w:r>
      <w:r w:rsidRPr="00275FCA" w:rsidR="00275FCA">
        <w:rPr>
          <w:lang w:val="en-GB"/>
        </w:rPr>
        <w:t>’</w:t>
      </w:r>
      <w:r w:rsidRPr="00275FCA" w:rsidR="00DE74D3">
        <w:rPr>
          <w:lang w:val="en-GB"/>
        </w:rPr>
        <w:t>s requests to access the criminal case file during the investigation stage</w:t>
      </w:r>
      <w:r w:rsidRPr="00275FCA" w:rsidR="0062603B">
        <w:rPr>
          <w:lang w:val="en-GB"/>
        </w:rPr>
        <w:t xml:space="preserve"> had been refused</w:t>
      </w:r>
      <w:r w:rsidRPr="00275FCA" w:rsidR="00DE74D3">
        <w:rPr>
          <w:lang w:val="en-GB"/>
        </w:rPr>
        <w:t>, and</w:t>
      </w:r>
      <w:r w:rsidRPr="00275FCA" w:rsidR="00EE0AFE">
        <w:rPr>
          <w:lang w:val="en-GB"/>
        </w:rPr>
        <w:t xml:space="preserve"> </w:t>
      </w:r>
      <w:r w:rsidRPr="00275FCA" w:rsidR="0062603B">
        <w:rPr>
          <w:lang w:val="en-GB"/>
        </w:rPr>
        <w:t>that they had</w:t>
      </w:r>
      <w:r w:rsidRPr="00275FCA" w:rsidR="005E2ABC">
        <w:rPr>
          <w:lang w:val="en-GB"/>
        </w:rPr>
        <w:t xml:space="preserve"> not</w:t>
      </w:r>
      <w:r w:rsidRPr="00275FCA" w:rsidR="00EE0AFE">
        <w:rPr>
          <w:lang w:val="en-GB"/>
        </w:rPr>
        <w:t xml:space="preserve"> </w:t>
      </w:r>
      <w:r w:rsidRPr="00275FCA" w:rsidR="005E2ABC">
        <w:rPr>
          <w:lang w:val="en-GB"/>
        </w:rPr>
        <w:t>had a</w:t>
      </w:r>
      <w:r w:rsidRPr="00275FCA" w:rsidR="00EE0AFE">
        <w:rPr>
          <w:lang w:val="en-GB"/>
        </w:rPr>
        <w:t>dequate time and facilities for the preparation of their defence. They</w:t>
      </w:r>
      <w:r w:rsidRPr="00275FCA" w:rsidR="005E2ABC">
        <w:rPr>
          <w:lang w:val="en-GB"/>
        </w:rPr>
        <w:t xml:space="preserve"> also</w:t>
      </w:r>
      <w:r w:rsidRPr="00275FCA" w:rsidR="00EE0AFE">
        <w:rPr>
          <w:lang w:val="en-GB"/>
        </w:rPr>
        <w:t xml:space="preserve"> maintained under Article 8 that</w:t>
      </w:r>
      <w:r w:rsidRPr="00275FCA" w:rsidR="00D0110D">
        <w:rPr>
          <w:lang w:val="en-GB"/>
        </w:rPr>
        <w:t xml:space="preserve"> they</w:t>
      </w:r>
      <w:r w:rsidRPr="00275FCA" w:rsidR="00EE0AFE">
        <w:rPr>
          <w:lang w:val="en-GB"/>
        </w:rPr>
        <w:t xml:space="preserve"> </w:t>
      </w:r>
      <w:r w:rsidRPr="00275FCA" w:rsidR="00D0110D">
        <w:rPr>
          <w:lang w:val="en-GB"/>
        </w:rPr>
        <w:t xml:space="preserve">had submitted the petitions in question to enable their children to communicate with their family members in Kurdish, and that the measures they </w:t>
      </w:r>
      <w:r w:rsidRPr="00275FCA" w:rsidR="005E2ABC">
        <w:rPr>
          <w:lang w:val="en-GB"/>
        </w:rPr>
        <w:t xml:space="preserve">had </w:t>
      </w:r>
      <w:r w:rsidRPr="00275FCA" w:rsidR="00D0110D">
        <w:rPr>
          <w:lang w:val="en-GB"/>
        </w:rPr>
        <w:t>faced as a result had therefore also violated that provision.</w:t>
      </w:r>
    </w:p>
    <w:p w:rsidRPr="00275FCA" w:rsidR="00EE0AFE" w:rsidP="00275FCA" w:rsidRDefault="00EE0AF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116</w:t>
      </w:r>
      <w:r w:rsidRPr="00275FCA">
        <w:rPr>
          <w:lang w:val="en-GB"/>
        </w:rPr>
        <w:fldChar w:fldCharType="end"/>
      </w:r>
      <w:r w:rsidRPr="00275FCA">
        <w:rPr>
          <w:lang w:val="en-GB"/>
        </w:rPr>
        <w:t xml:space="preserve">.  In their observations, dated 1 April 2009, the applicants </w:t>
      </w:r>
      <w:r w:rsidRPr="00275FCA" w:rsidR="009C6399">
        <w:rPr>
          <w:lang w:val="en-GB"/>
        </w:rPr>
        <w:t xml:space="preserve">also </w:t>
      </w:r>
      <w:r w:rsidRPr="00275FCA" w:rsidR="004968A4">
        <w:rPr>
          <w:lang w:val="en-GB"/>
        </w:rPr>
        <w:t xml:space="preserve">complained of </w:t>
      </w:r>
      <w:r w:rsidRPr="00275FCA">
        <w:rPr>
          <w:lang w:val="en-GB"/>
        </w:rPr>
        <w:t>additional violations of their rights under</w:t>
      </w:r>
      <w:r w:rsidRPr="00275FCA" w:rsidR="0093072B">
        <w:rPr>
          <w:lang w:val="en-GB"/>
        </w:rPr>
        <w:t xml:space="preserve"> Article 5 § 4 and Article 13.</w:t>
      </w:r>
    </w:p>
    <w:p w:rsidRPr="00275FCA" w:rsidR="00EE0AFE" w:rsidP="00275FCA" w:rsidRDefault="00EE0AFE">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117</w:t>
      </w:r>
      <w:r w:rsidRPr="00275FCA">
        <w:rPr>
          <w:lang w:val="en-GB"/>
        </w:rPr>
        <w:fldChar w:fldCharType="end"/>
      </w:r>
      <w:r w:rsidRPr="00275FCA">
        <w:rPr>
          <w:lang w:val="en-GB"/>
        </w:rPr>
        <w:t>.  In the light of all the material in its possession, the Court finds that these allegations by the applicants do not disclose any appearance of a violation of the rights and freedoms set out in the Convention or its protocols. It follows that these complaints must be declared inadmissible as manifestly ill-founded, pursuant to Article 35 §§ 3 and 4 of the Convention.</w:t>
      </w:r>
    </w:p>
    <w:p w:rsidRPr="00275FCA" w:rsidR="00014566" w:rsidP="00275FCA" w:rsidRDefault="00CE73BF">
      <w:pPr>
        <w:pStyle w:val="ECHRHeading1"/>
        <w:rPr>
          <w:lang w:val="en-GB"/>
        </w:rPr>
      </w:pPr>
      <w:r w:rsidRPr="00275FCA">
        <w:rPr>
          <w:lang w:val="en-GB"/>
        </w:rPr>
        <w:t>V</w:t>
      </w:r>
      <w:r w:rsidRPr="00275FCA" w:rsidR="00014566">
        <w:rPr>
          <w:lang w:val="en-GB"/>
        </w:rPr>
        <w:t>.  APPLICATION OF ARTICLE 41 OF THE CONVENTION</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118</w:t>
      </w:r>
      <w:r w:rsidRPr="00275FCA">
        <w:rPr>
          <w:lang w:val="en-GB"/>
        </w:rPr>
        <w:fldChar w:fldCharType="end"/>
      </w:r>
      <w:r w:rsidRPr="00275FCA" w:rsidR="00014566">
        <w:rPr>
          <w:lang w:val="en-GB"/>
        </w:rPr>
        <w:t>.  Article 41 of the Convention provides:</w:t>
      </w:r>
    </w:p>
    <w:p w:rsidRPr="00275FCA" w:rsidR="00014566" w:rsidP="00275FCA" w:rsidRDefault="00014566">
      <w:pPr>
        <w:pStyle w:val="ECHRParaQuote"/>
        <w:keepNext/>
        <w:keepLines/>
        <w:rPr>
          <w:lang w:val="en-GB"/>
        </w:rPr>
      </w:pPr>
      <w:r w:rsidRPr="00275FCA">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275FCA" w:rsidR="00014566" w:rsidP="00275FCA" w:rsidRDefault="00014566">
      <w:pPr>
        <w:pStyle w:val="ECHRHeading2"/>
        <w:rPr>
          <w:lang w:val="en-GB"/>
        </w:rPr>
      </w:pPr>
      <w:r w:rsidRPr="00275FCA">
        <w:rPr>
          <w:lang w:val="en-GB"/>
        </w:rPr>
        <w:t>A.  Damage</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119</w:t>
      </w:r>
      <w:r w:rsidRPr="00275FCA">
        <w:rPr>
          <w:lang w:val="en-GB"/>
        </w:rPr>
        <w:fldChar w:fldCharType="end"/>
      </w:r>
      <w:r w:rsidRPr="00275FCA" w:rsidR="00014566">
        <w:rPr>
          <w:lang w:val="en-GB"/>
        </w:rPr>
        <w:t>.  The applicant</w:t>
      </w:r>
      <w:r w:rsidRPr="00275FCA">
        <w:rPr>
          <w:lang w:val="en-GB"/>
        </w:rPr>
        <w:t>s</w:t>
      </w:r>
      <w:r w:rsidRPr="00275FCA" w:rsidR="00014566">
        <w:rPr>
          <w:lang w:val="en-GB"/>
        </w:rPr>
        <w:t xml:space="preserve"> claimed </w:t>
      </w:r>
      <w:r w:rsidRPr="00275FCA" w:rsidR="00341497">
        <w:rPr>
          <w:lang w:val="en-GB"/>
        </w:rPr>
        <w:t>15,000</w:t>
      </w:r>
      <w:r w:rsidRPr="00275FCA" w:rsidR="00014566">
        <w:rPr>
          <w:lang w:val="en-GB"/>
        </w:rPr>
        <w:t xml:space="preserve"> euros (EUR) </w:t>
      </w:r>
      <w:r w:rsidRPr="00275FCA" w:rsidR="00341497">
        <w:rPr>
          <w:lang w:val="en-GB"/>
        </w:rPr>
        <w:t xml:space="preserve">each </w:t>
      </w:r>
      <w:r w:rsidRPr="00275FCA" w:rsidR="00014566">
        <w:rPr>
          <w:lang w:val="en-GB"/>
        </w:rPr>
        <w:t xml:space="preserve">in respect of </w:t>
      </w:r>
      <w:r w:rsidRPr="00275FCA" w:rsidR="00755DB6">
        <w:rPr>
          <w:lang w:val="en-GB"/>
        </w:rPr>
        <w:t>non</w:t>
      </w:r>
      <w:r w:rsidRPr="00275FCA" w:rsidR="00755DB6">
        <w:rPr>
          <w:lang w:val="en-GB"/>
        </w:rPr>
        <w:noBreakHyphen/>
      </w:r>
      <w:r w:rsidRPr="00275FCA" w:rsidR="00014566">
        <w:rPr>
          <w:lang w:val="en-GB"/>
        </w:rPr>
        <w:t>pecuniary damage.</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120</w:t>
      </w:r>
      <w:r w:rsidRPr="00275FCA">
        <w:rPr>
          <w:lang w:val="en-GB"/>
        </w:rPr>
        <w:fldChar w:fldCharType="end"/>
      </w:r>
      <w:r w:rsidRPr="00275FCA" w:rsidR="00014566">
        <w:rPr>
          <w:lang w:val="en-GB"/>
        </w:rPr>
        <w:t xml:space="preserve">.  The Government </w:t>
      </w:r>
      <w:r w:rsidRPr="00275FCA" w:rsidR="00755DB6">
        <w:rPr>
          <w:lang w:val="en-GB"/>
        </w:rPr>
        <w:t>argued</w:t>
      </w:r>
      <w:r w:rsidRPr="00275FCA" w:rsidR="00341497">
        <w:rPr>
          <w:lang w:val="en-GB"/>
        </w:rPr>
        <w:t xml:space="preserve"> that the claims </w:t>
      </w:r>
      <w:r w:rsidRPr="00275FCA" w:rsidR="00341497">
        <w:t>w</w:t>
      </w:r>
      <w:r w:rsidRPr="00275FCA" w:rsidR="00755DB6">
        <w:t>ere</w:t>
      </w:r>
      <w:r w:rsidRPr="00275FCA" w:rsidR="00341497">
        <w:t xml:space="preserve"> unsubstantiated and excessive</w:t>
      </w:r>
      <w:r w:rsidRPr="00275FCA">
        <w:rPr>
          <w:lang w:val="en-GB"/>
        </w:rPr>
        <w:t>.</w:t>
      </w:r>
    </w:p>
    <w:p w:rsidRPr="00275FCA" w:rsidR="00014566" w:rsidP="00275FCA" w:rsidRDefault="0078442C">
      <w:pPr>
        <w:pStyle w:val="ECHRPara"/>
        <w:tabs>
          <w:tab w:val="left" w:pos="6946"/>
        </w:tabs>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121</w:t>
      </w:r>
      <w:r w:rsidRPr="00275FCA">
        <w:rPr>
          <w:lang w:val="en-GB"/>
        </w:rPr>
        <w:fldChar w:fldCharType="end"/>
      </w:r>
      <w:r w:rsidRPr="00275FCA" w:rsidR="00014566">
        <w:rPr>
          <w:lang w:val="en-GB"/>
        </w:rPr>
        <w:t>.  </w:t>
      </w:r>
      <w:r w:rsidRPr="00275FCA" w:rsidR="00755DB6">
        <w:rPr>
          <w:lang w:val="en-GB"/>
        </w:rPr>
        <w:t>T</w:t>
      </w:r>
      <w:r w:rsidRPr="00275FCA" w:rsidR="00755DB6">
        <w:t>he Court considers that the applicants</w:t>
      </w:r>
      <w:r w:rsidRPr="00275FCA" w:rsidR="00516E32">
        <w:t xml:space="preserve">, except for </w:t>
      </w:r>
      <w:r w:rsidRPr="00275FCA" w:rsidR="005F72A3">
        <w:t>Yılmaz</w:t>
      </w:r>
      <w:r w:rsidRPr="00275FCA" w:rsidR="00516E32">
        <w:t xml:space="preserve"> Yavuz,</w:t>
      </w:r>
      <w:r w:rsidRPr="00275FCA" w:rsidR="00755DB6">
        <w:t xml:space="preserve"> must have suffered non</w:t>
      </w:r>
      <w:r w:rsidRPr="00275FCA" w:rsidR="00755DB6">
        <w:noBreakHyphen/>
        <w:t>pecuniary damage</w:t>
      </w:r>
      <w:r w:rsidRPr="00275FCA" w:rsidR="00516E32">
        <w:t xml:space="preserve"> on account of the violation of their right</w:t>
      </w:r>
      <w:r w:rsidRPr="00275FCA" w:rsidR="006D6F03">
        <w:t>s</w:t>
      </w:r>
      <w:r w:rsidRPr="00275FCA" w:rsidR="00516E32">
        <w:t xml:space="preserve"> under </w:t>
      </w:r>
      <w:r w:rsidRPr="00275FCA" w:rsidR="006D6F03">
        <w:t xml:space="preserve">Article 5 §§ 3, 4 and 5 and </w:t>
      </w:r>
      <w:r w:rsidRPr="00275FCA" w:rsidR="00516E32">
        <w:t>Article 10</w:t>
      </w:r>
      <w:r w:rsidRPr="00275FCA" w:rsidR="006D6F03">
        <w:t xml:space="preserve"> of the Convention</w:t>
      </w:r>
      <w:r w:rsidRPr="00275FCA" w:rsidR="00755DB6">
        <w:t>, which cannot be compensated for solely by the finding of violations. Having regard to the seriousness of the violations in question and to equitable considerations, it awards the applicants</w:t>
      </w:r>
      <w:r w:rsidRPr="00275FCA" w:rsidR="00516E32">
        <w:t xml:space="preserve">, except for </w:t>
      </w:r>
      <w:r w:rsidRPr="00275FCA" w:rsidR="005F72A3">
        <w:t>Yılmaz</w:t>
      </w:r>
      <w:r w:rsidRPr="00275FCA" w:rsidR="00516E32">
        <w:t xml:space="preserve"> Yavuz,</w:t>
      </w:r>
      <w:r w:rsidRPr="00275FCA" w:rsidR="00755DB6">
        <w:t xml:space="preserve"> EUR</w:t>
      </w:r>
      <w:r w:rsidRPr="00275FCA" w:rsidR="00C52527">
        <w:t> </w:t>
      </w:r>
      <w:r w:rsidRPr="00275FCA" w:rsidR="003114FB">
        <w:t>10,000</w:t>
      </w:r>
      <w:r w:rsidRPr="00275FCA" w:rsidR="00C52527">
        <w:t xml:space="preserve"> </w:t>
      </w:r>
      <w:r w:rsidRPr="00275FCA" w:rsidR="00755DB6">
        <w:t>each in respect of non-pecuniary damage.</w:t>
      </w:r>
      <w:r w:rsidRPr="00275FCA" w:rsidR="00516E32">
        <w:t xml:space="preserve"> As for the applicant </w:t>
      </w:r>
      <w:r w:rsidRPr="00275FCA" w:rsidR="005F72A3">
        <w:t>Yılmaz</w:t>
      </w:r>
      <w:r w:rsidRPr="00275FCA" w:rsidR="00516E32">
        <w:t xml:space="preserve"> Yavuz, the Court considers that he must also have suffered non</w:t>
      </w:r>
      <w:r w:rsidRPr="00275FCA" w:rsidR="006D6F03">
        <w:noBreakHyphen/>
      </w:r>
      <w:r w:rsidRPr="00275FCA" w:rsidR="00516E32">
        <w:t>pecuniary damage on account of the violations of hi</w:t>
      </w:r>
      <w:r w:rsidRPr="00275FCA" w:rsidR="009A01FF">
        <w:t>s right</w:t>
      </w:r>
      <w:r w:rsidRPr="00275FCA" w:rsidR="006D6F03">
        <w:t>s</w:t>
      </w:r>
      <w:r w:rsidRPr="00275FCA" w:rsidR="009A01FF">
        <w:t xml:space="preserve"> under Article 5 §§ 3, 4</w:t>
      </w:r>
      <w:r w:rsidRPr="00275FCA" w:rsidR="00516E32">
        <w:t xml:space="preserve"> and 5</w:t>
      </w:r>
      <w:r w:rsidRPr="00275FCA" w:rsidR="00724139">
        <w:t xml:space="preserve"> alone</w:t>
      </w:r>
      <w:r w:rsidRPr="00275FCA" w:rsidR="00516E32">
        <w:t xml:space="preserve">. It therefore awards that applicant EUR </w:t>
      </w:r>
      <w:r w:rsidRPr="00275FCA" w:rsidR="003114FB">
        <w:t>6,500</w:t>
      </w:r>
      <w:r w:rsidRPr="00275FCA" w:rsidR="00516E32">
        <w:t xml:space="preserve"> in respect of non-pecuniary damage.</w:t>
      </w:r>
    </w:p>
    <w:p w:rsidRPr="00275FCA" w:rsidR="00014566" w:rsidP="00275FCA" w:rsidRDefault="00014566">
      <w:pPr>
        <w:pStyle w:val="ECHRHeading2"/>
        <w:rPr>
          <w:lang w:val="en-GB"/>
        </w:rPr>
      </w:pPr>
      <w:r w:rsidRPr="00275FCA">
        <w:rPr>
          <w:lang w:val="en-GB"/>
        </w:rPr>
        <w:t>B.  Costs and expenses</w:t>
      </w:r>
    </w:p>
    <w:p w:rsidRPr="00275FCA" w:rsidR="00572FA8"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122</w:t>
      </w:r>
      <w:r w:rsidRPr="00275FCA">
        <w:rPr>
          <w:lang w:val="en-GB"/>
        </w:rPr>
        <w:fldChar w:fldCharType="end"/>
      </w:r>
      <w:r w:rsidRPr="00275FCA" w:rsidR="00014566">
        <w:rPr>
          <w:lang w:val="en-GB"/>
        </w:rPr>
        <w:t>.  </w:t>
      </w:r>
      <w:r w:rsidRPr="00275FCA" w:rsidR="00572FA8">
        <w:rPr>
          <w:lang w:val="en-GB"/>
        </w:rPr>
        <w:t>The applicants also claimed EUR 11,400 for lawyer</w:t>
      </w:r>
      <w:r w:rsidRPr="00275FCA" w:rsidR="00275FCA">
        <w:rPr>
          <w:lang w:val="en-GB"/>
        </w:rPr>
        <w:t>’</w:t>
      </w:r>
      <w:r w:rsidRPr="00275FCA" w:rsidR="00572FA8">
        <w:rPr>
          <w:lang w:val="en-GB"/>
        </w:rPr>
        <w:t xml:space="preserve">s fees and EUR 550 for other costs and expenses incurred before the Court, such as photocopying, postage and </w:t>
      </w:r>
      <w:r w:rsidRPr="00275FCA" w:rsidR="00F84C4B">
        <w:rPr>
          <w:lang w:val="en-GB"/>
        </w:rPr>
        <w:t>telephone costs and translation fees</w:t>
      </w:r>
      <w:r w:rsidRPr="00275FCA" w:rsidR="00572FA8">
        <w:rPr>
          <w:lang w:val="en-GB"/>
        </w:rPr>
        <w:t xml:space="preserve">. In that connection, they submitted a timesheet showing that their legal representatives </w:t>
      </w:r>
      <w:r w:rsidRPr="00275FCA" w:rsidR="0088016B">
        <w:rPr>
          <w:lang w:val="en-GB"/>
        </w:rPr>
        <w:t xml:space="preserve">had </w:t>
      </w:r>
      <w:r w:rsidRPr="00275FCA" w:rsidR="00572FA8">
        <w:rPr>
          <w:lang w:val="en-GB"/>
        </w:rPr>
        <w:t xml:space="preserve">carried out </w:t>
      </w:r>
      <w:r w:rsidRPr="00275FCA" w:rsidR="005E2ABC">
        <w:rPr>
          <w:lang w:val="en-GB"/>
        </w:rPr>
        <w:t xml:space="preserve">114 </w:t>
      </w:r>
      <w:r w:rsidRPr="00275FCA" w:rsidR="00572FA8">
        <w:rPr>
          <w:lang w:val="en-GB"/>
        </w:rPr>
        <w:t>hours</w:t>
      </w:r>
      <w:r w:rsidRPr="00275FCA" w:rsidR="00275FCA">
        <w:rPr>
          <w:lang w:val="en-GB"/>
        </w:rPr>
        <w:t>’</w:t>
      </w:r>
      <w:r w:rsidRPr="00275FCA" w:rsidR="00572FA8">
        <w:rPr>
          <w:lang w:val="en-GB"/>
        </w:rPr>
        <w:t xml:space="preserve"> legal work. The remaining expenses were not supported </w:t>
      </w:r>
      <w:r w:rsidRPr="00275FCA" w:rsidR="005E2ABC">
        <w:rPr>
          <w:lang w:val="en-GB"/>
        </w:rPr>
        <w:t>by</w:t>
      </w:r>
      <w:r w:rsidRPr="00275FCA" w:rsidR="00572FA8">
        <w:rPr>
          <w:lang w:val="en-GB"/>
        </w:rPr>
        <w:t xml:space="preserve"> any documents.</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123</w:t>
      </w:r>
      <w:r w:rsidRPr="00275FCA">
        <w:rPr>
          <w:lang w:val="en-GB"/>
        </w:rPr>
        <w:fldChar w:fldCharType="end"/>
      </w:r>
      <w:r w:rsidRPr="00275FCA" w:rsidR="00014566">
        <w:rPr>
          <w:lang w:val="en-GB"/>
        </w:rPr>
        <w:t>.  </w:t>
      </w:r>
      <w:r w:rsidRPr="00275FCA" w:rsidR="00E749CC">
        <w:t>The Government contested those claims, deeming them unsubstantiated</w:t>
      </w:r>
      <w:r w:rsidRPr="00275FCA">
        <w:rPr>
          <w:lang w:val="en-GB"/>
        </w:rPr>
        <w:t>.</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124</w:t>
      </w:r>
      <w:r w:rsidRPr="00275FCA">
        <w:rPr>
          <w:lang w:val="en-GB"/>
        </w:rPr>
        <w:fldChar w:fldCharType="end"/>
      </w:r>
      <w:r w:rsidRPr="00275FCA" w:rsidR="00014566">
        <w:rPr>
          <w:lang w:val="en-GB"/>
        </w:rPr>
        <w:t>.  </w:t>
      </w:r>
      <w:r w:rsidRPr="00275FCA">
        <w:rPr>
          <w:lang w:val="en-GB"/>
        </w:rPr>
        <w:t>According to the Court</w:t>
      </w:r>
      <w:r w:rsidRPr="00275FCA" w:rsidR="00275FCA">
        <w:rPr>
          <w:lang w:val="en-GB"/>
        </w:rPr>
        <w:t>’</w:t>
      </w:r>
      <w:r w:rsidRPr="00275FCA">
        <w:rPr>
          <w:lang w:val="en-GB"/>
        </w:rPr>
        <w:t>s case-law, an applicant is entitled to the reimbursement of costs and expenses only in so far as it has been shown that these have been actually and necessarily incurred and are reasonable as to quantum. In the present case, regard</w:t>
      </w:r>
      <w:r w:rsidRPr="00275FCA" w:rsidR="00014566">
        <w:rPr>
          <w:lang w:val="en-GB"/>
        </w:rPr>
        <w:t xml:space="preserve"> being had to the documents in its possession and </w:t>
      </w:r>
      <w:r w:rsidRPr="00275FCA">
        <w:rPr>
          <w:lang w:val="en-GB"/>
        </w:rPr>
        <w:t>the above criteria</w:t>
      </w:r>
      <w:r w:rsidRPr="00275FCA" w:rsidR="00014566">
        <w:rPr>
          <w:lang w:val="en-GB"/>
        </w:rPr>
        <w:t>, the Court considers it reasonable to award</w:t>
      </w:r>
      <w:r w:rsidRPr="00275FCA" w:rsidR="00AA27FE">
        <w:rPr>
          <w:lang w:val="en-GB"/>
        </w:rPr>
        <w:t xml:space="preserve"> the applicants</w:t>
      </w:r>
      <w:r w:rsidRPr="00275FCA" w:rsidR="00014566">
        <w:rPr>
          <w:lang w:val="en-GB"/>
        </w:rPr>
        <w:t xml:space="preserve"> the sum of EUR </w:t>
      </w:r>
      <w:r w:rsidRPr="00275FCA" w:rsidR="0005086A">
        <w:rPr>
          <w:lang w:val="en-GB"/>
        </w:rPr>
        <w:t>3</w:t>
      </w:r>
      <w:r w:rsidRPr="00275FCA" w:rsidR="00AA27FE">
        <w:rPr>
          <w:lang w:val="en-GB"/>
        </w:rPr>
        <w:t xml:space="preserve">,000 jointly, </w:t>
      </w:r>
      <w:r w:rsidRPr="00275FCA" w:rsidR="00014566">
        <w:rPr>
          <w:lang w:val="en-GB"/>
        </w:rPr>
        <w:t>covering costs under all heads.</w:t>
      </w:r>
    </w:p>
    <w:p w:rsidRPr="00275FCA" w:rsidR="00014566" w:rsidP="00275FCA" w:rsidRDefault="00014566">
      <w:pPr>
        <w:pStyle w:val="ECHRHeading2"/>
        <w:rPr>
          <w:lang w:val="en-GB"/>
        </w:rPr>
      </w:pPr>
      <w:r w:rsidRPr="00275FCA">
        <w:rPr>
          <w:lang w:val="en-GB"/>
        </w:rPr>
        <w:t>C.  Default interest</w:t>
      </w:r>
    </w:p>
    <w:p w:rsidRPr="00275FCA" w:rsidR="00014566" w:rsidP="00275FCA" w:rsidRDefault="0078442C">
      <w:pPr>
        <w:pStyle w:val="ECHRPara"/>
        <w:rPr>
          <w:lang w:val="en-GB"/>
        </w:rPr>
      </w:pPr>
      <w:r w:rsidRPr="00275FCA">
        <w:rPr>
          <w:lang w:val="en-GB"/>
        </w:rPr>
        <w:fldChar w:fldCharType="begin"/>
      </w:r>
      <w:r w:rsidRPr="00275FCA">
        <w:rPr>
          <w:lang w:val="en-GB"/>
        </w:rPr>
        <w:instrText xml:space="preserve"> SEQ level0 \*arabic </w:instrText>
      </w:r>
      <w:r w:rsidRPr="00275FCA">
        <w:rPr>
          <w:lang w:val="en-GB"/>
        </w:rPr>
        <w:fldChar w:fldCharType="separate"/>
      </w:r>
      <w:r w:rsidRPr="00275FCA" w:rsidR="00275FCA">
        <w:rPr>
          <w:noProof/>
          <w:lang w:val="en-GB"/>
        </w:rPr>
        <w:t>125</w:t>
      </w:r>
      <w:r w:rsidRPr="00275FCA">
        <w:rPr>
          <w:lang w:val="en-GB"/>
        </w:rPr>
        <w:fldChar w:fldCharType="end"/>
      </w:r>
      <w:r w:rsidRPr="00275FCA" w:rsidR="00014566">
        <w:rPr>
          <w:lang w:val="en-GB"/>
        </w:rPr>
        <w:t>.  The Court considers it appropriate that the default interest rate should be based on the marginal lending rate of the European Central Bank, to which should be added three percentage points.</w:t>
      </w:r>
    </w:p>
    <w:p w:rsidRPr="00275FCA" w:rsidR="00C52527" w:rsidP="00275FCA" w:rsidRDefault="00BB5883">
      <w:pPr>
        <w:pStyle w:val="ECHRTitle1"/>
        <w:rPr>
          <w:lang w:val="en-GB"/>
        </w:rPr>
      </w:pPr>
      <w:r w:rsidRPr="00275FCA">
        <w:rPr>
          <w:lang w:val="en-GB"/>
        </w:rPr>
        <w:t>FOR THESE REASONS, THE COURT</w:t>
      </w:r>
      <w:r w:rsidRPr="00275FCA" w:rsidR="0078442C">
        <w:rPr>
          <w:lang w:val="en-GB"/>
        </w:rPr>
        <w:t>,</w:t>
      </w:r>
    </w:p>
    <w:p w:rsidRPr="00275FCA" w:rsidR="006C2D79" w:rsidP="00275FCA" w:rsidRDefault="00B637B9">
      <w:pPr>
        <w:pStyle w:val="JuList"/>
      </w:pPr>
      <w:r w:rsidRPr="00275FCA">
        <w:rPr>
          <w:lang w:val="en-GB"/>
        </w:rPr>
        <w:t>1.  </w:t>
      </w:r>
      <w:r w:rsidRPr="00275FCA" w:rsidR="006C2D79">
        <w:rPr>
          <w:i/>
          <w:iCs/>
        </w:rPr>
        <w:t>Joins</w:t>
      </w:r>
      <w:r w:rsidRPr="00275FCA" w:rsidR="006C2D79">
        <w:t>,</w:t>
      </w:r>
      <w:r w:rsidRPr="00275FCA" w:rsidR="009F3C89">
        <w:t xml:space="preserve"> </w:t>
      </w:r>
      <w:r w:rsidRPr="00275FCA" w:rsidR="006C2D79">
        <w:t>unanimously, the issue of the applicants</w:t>
      </w:r>
      <w:r w:rsidRPr="00275FCA" w:rsidR="00275FCA">
        <w:t>’</w:t>
      </w:r>
      <w:r w:rsidRPr="00275FCA" w:rsidR="006C2D79">
        <w:t xml:space="preserve"> “victim status” to the merits of the applicants</w:t>
      </w:r>
      <w:r w:rsidRPr="00275FCA" w:rsidR="00275FCA">
        <w:t>’</w:t>
      </w:r>
      <w:r w:rsidRPr="00275FCA" w:rsidR="006C2D79">
        <w:t xml:space="preserve"> complaints under Article 10 of the Convention, and </w:t>
      </w:r>
      <w:r w:rsidRPr="00275FCA" w:rsidR="006C2D79">
        <w:rPr>
          <w:i/>
        </w:rPr>
        <w:t>holds</w:t>
      </w:r>
      <w:r w:rsidRPr="00275FCA" w:rsidR="006C2D79">
        <w:t xml:space="preserve"> that the applicant</w:t>
      </w:r>
      <w:r w:rsidRPr="00275FCA" w:rsidR="008E5853">
        <w:t>s</w:t>
      </w:r>
      <w:r w:rsidRPr="00275FCA" w:rsidR="006C2D79">
        <w:t xml:space="preserve"> ha</w:t>
      </w:r>
      <w:r w:rsidRPr="00275FCA" w:rsidR="008E5853">
        <w:t>ve</w:t>
      </w:r>
      <w:r w:rsidRPr="00275FCA" w:rsidR="006C2D79">
        <w:t xml:space="preserve"> victim status in relation to those complaints;</w:t>
      </w:r>
    </w:p>
    <w:p w:rsidRPr="00275FCA" w:rsidR="00F14DB2" w:rsidP="00275FCA" w:rsidRDefault="00F14DB2">
      <w:pPr>
        <w:pStyle w:val="JuList"/>
      </w:pPr>
    </w:p>
    <w:p w:rsidRPr="00275FCA" w:rsidR="00F14DB2" w:rsidP="00275FCA" w:rsidRDefault="009F3C89">
      <w:pPr>
        <w:pStyle w:val="JuList"/>
      </w:pPr>
      <w:r w:rsidRPr="00275FCA">
        <w:t>2.  </w:t>
      </w:r>
      <w:r w:rsidRPr="00275FCA" w:rsidR="00F14DB2">
        <w:rPr>
          <w:i/>
          <w:iCs/>
        </w:rPr>
        <w:t>Joins</w:t>
      </w:r>
      <w:r w:rsidRPr="00275FCA" w:rsidR="00F14DB2">
        <w:t>,</w:t>
      </w:r>
      <w:r w:rsidRPr="00275FCA">
        <w:t xml:space="preserve"> </w:t>
      </w:r>
      <w:r w:rsidRPr="00275FCA" w:rsidR="00F14DB2">
        <w:t>unanimously, the Government</w:t>
      </w:r>
      <w:r w:rsidRPr="00275FCA" w:rsidR="00275FCA">
        <w:t>’</w:t>
      </w:r>
      <w:r w:rsidRPr="00275FCA" w:rsidR="00F14DB2">
        <w:t xml:space="preserve"> s objection as to the non-exhaustion of domestic remedies in relation to the applicants</w:t>
      </w:r>
      <w:r w:rsidRPr="00275FCA" w:rsidR="00275FCA">
        <w:t>’</w:t>
      </w:r>
      <w:r w:rsidRPr="00275FCA" w:rsidR="00F14DB2">
        <w:t xml:space="preserve"> complaints under Article 5 §§ 4 and 5 of the Convention to the merits of those complaints and </w:t>
      </w:r>
      <w:r w:rsidRPr="00275FCA" w:rsidR="00F14DB2">
        <w:rPr>
          <w:i/>
          <w:iCs/>
        </w:rPr>
        <w:t>dismisses</w:t>
      </w:r>
      <w:r w:rsidRPr="00275FCA" w:rsidR="00F14DB2">
        <w:t xml:space="preserve"> it;</w:t>
      </w:r>
    </w:p>
    <w:p w:rsidRPr="00275FCA" w:rsidR="006C2D79" w:rsidP="00275FCA" w:rsidRDefault="006C2D79">
      <w:pPr>
        <w:pStyle w:val="JuList"/>
        <w:rPr>
          <w:lang w:val="en-GB"/>
        </w:rPr>
      </w:pPr>
    </w:p>
    <w:p w:rsidRPr="00275FCA" w:rsidR="00B637B9" w:rsidP="00275FCA" w:rsidRDefault="00F14DB2">
      <w:pPr>
        <w:pStyle w:val="JuList"/>
        <w:rPr>
          <w:lang w:val="en-GB"/>
        </w:rPr>
      </w:pPr>
      <w:r w:rsidRPr="00275FCA">
        <w:rPr>
          <w:lang w:val="en-GB"/>
        </w:rPr>
        <w:t>3</w:t>
      </w:r>
      <w:r w:rsidRPr="00275FCA" w:rsidR="0093072B">
        <w:rPr>
          <w:lang w:val="en-GB"/>
        </w:rPr>
        <w:t>.  </w:t>
      </w:r>
      <w:r w:rsidRPr="00275FCA" w:rsidR="00B637B9">
        <w:rPr>
          <w:i/>
          <w:lang w:val="en-GB"/>
        </w:rPr>
        <w:t>Declares</w:t>
      </w:r>
      <w:r w:rsidRPr="00275FCA" w:rsidR="0078442C">
        <w:rPr>
          <w:lang w:val="en-GB"/>
        </w:rPr>
        <w:t>, unanimously,</w:t>
      </w:r>
      <w:r w:rsidRPr="00275FCA" w:rsidR="00B637B9">
        <w:rPr>
          <w:lang w:val="en-GB"/>
        </w:rPr>
        <w:t xml:space="preserve"> the complaints </w:t>
      </w:r>
      <w:r w:rsidRPr="00275FCA" w:rsidR="008703F3">
        <w:rPr>
          <w:lang w:val="en-GB"/>
        </w:rPr>
        <w:t xml:space="preserve">under Article 5 §§ 3, 4 and 5 </w:t>
      </w:r>
      <w:r w:rsidRPr="00275FCA" w:rsidR="00AA09AD">
        <w:rPr>
          <w:lang w:val="en-GB"/>
        </w:rPr>
        <w:t xml:space="preserve">of the Convention </w:t>
      </w:r>
      <w:r w:rsidRPr="00275FCA" w:rsidR="00B637B9">
        <w:rPr>
          <w:lang w:val="en-GB"/>
        </w:rPr>
        <w:t>admissible;</w:t>
      </w:r>
    </w:p>
    <w:p w:rsidRPr="00275FCA" w:rsidR="00732465" w:rsidP="00275FCA" w:rsidRDefault="00732465">
      <w:pPr>
        <w:pStyle w:val="JuList"/>
        <w:rPr>
          <w:lang w:val="en-GB"/>
        </w:rPr>
      </w:pPr>
    </w:p>
    <w:p w:rsidRPr="00275FCA" w:rsidR="00732465" w:rsidP="00275FCA" w:rsidRDefault="00F14DB2">
      <w:pPr>
        <w:pStyle w:val="JuList"/>
        <w:rPr>
          <w:lang w:val="en-GB"/>
        </w:rPr>
      </w:pPr>
      <w:r w:rsidRPr="00275FCA">
        <w:rPr>
          <w:lang w:val="en-GB"/>
        </w:rPr>
        <w:t>4</w:t>
      </w:r>
      <w:r w:rsidRPr="00275FCA" w:rsidR="0093072B">
        <w:rPr>
          <w:lang w:val="en-GB"/>
        </w:rPr>
        <w:t>.  </w:t>
      </w:r>
      <w:r w:rsidRPr="00275FCA" w:rsidR="00732465">
        <w:rPr>
          <w:i/>
          <w:lang w:val="en-GB"/>
        </w:rPr>
        <w:t>Declares</w:t>
      </w:r>
      <w:r w:rsidRPr="00275FCA" w:rsidR="00732465">
        <w:rPr>
          <w:lang w:val="en-GB"/>
        </w:rPr>
        <w:t xml:space="preserve">, </w:t>
      </w:r>
      <w:r w:rsidRPr="00275FCA" w:rsidR="00304828">
        <w:t xml:space="preserve">by </w:t>
      </w:r>
      <w:r w:rsidRPr="00275FCA" w:rsidR="00C9040C">
        <w:t>a majority</w:t>
      </w:r>
      <w:r w:rsidRPr="00275FCA" w:rsidR="00732465">
        <w:rPr>
          <w:lang w:val="en-GB"/>
        </w:rPr>
        <w:t>, the complaints raised by the applicant Y</w:t>
      </w:r>
      <w:r w:rsidRPr="00275FCA" w:rsidR="00732465">
        <w:rPr>
          <w:rFonts w:cstheme="minorHAnsi"/>
          <w:lang w:val="en-GB"/>
        </w:rPr>
        <w:t>ı</w:t>
      </w:r>
      <w:r w:rsidRPr="00275FCA" w:rsidR="00732465">
        <w:rPr>
          <w:lang w:val="en-GB"/>
        </w:rPr>
        <w:t>lmaz Yavuz under Article 10 of the Convention inadmissible;</w:t>
      </w:r>
    </w:p>
    <w:p w:rsidRPr="00275FCA" w:rsidR="0088016B" w:rsidP="00275FCA" w:rsidRDefault="0088016B">
      <w:pPr>
        <w:pStyle w:val="JuList"/>
        <w:rPr>
          <w:lang w:val="en-GB"/>
        </w:rPr>
      </w:pPr>
    </w:p>
    <w:p w:rsidRPr="00275FCA" w:rsidR="00732465" w:rsidP="00275FCA" w:rsidRDefault="00F14DB2">
      <w:pPr>
        <w:pStyle w:val="JuList"/>
        <w:rPr>
          <w:lang w:val="en-GB"/>
        </w:rPr>
      </w:pPr>
      <w:r w:rsidRPr="00275FCA">
        <w:rPr>
          <w:lang w:val="en-GB"/>
        </w:rPr>
        <w:t>5</w:t>
      </w:r>
      <w:r w:rsidRPr="00275FCA" w:rsidR="00732465">
        <w:rPr>
          <w:lang w:val="en-GB"/>
        </w:rPr>
        <w:t>.</w:t>
      </w:r>
      <w:r w:rsidRPr="00275FCA" w:rsidR="0093072B">
        <w:rPr>
          <w:lang w:val="en-GB"/>
        </w:rPr>
        <w:t>  </w:t>
      </w:r>
      <w:r w:rsidRPr="00275FCA" w:rsidR="00732465">
        <w:rPr>
          <w:i/>
          <w:lang w:val="en-GB"/>
        </w:rPr>
        <w:t>Declares</w:t>
      </w:r>
      <w:r w:rsidRPr="00275FCA" w:rsidR="00732465">
        <w:rPr>
          <w:lang w:val="en-GB"/>
        </w:rPr>
        <w:t>, unanimously, the complaints raised by the remaining applicants under Article 10 admissible;</w:t>
      </w:r>
    </w:p>
    <w:p w:rsidRPr="00275FCA" w:rsidR="00AA09AD" w:rsidP="00275FCA" w:rsidRDefault="00AA09AD">
      <w:pPr>
        <w:pStyle w:val="JuList"/>
        <w:rPr>
          <w:lang w:val="en-GB"/>
        </w:rPr>
      </w:pPr>
    </w:p>
    <w:p w:rsidRPr="00275FCA" w:rsidR="008703F3" w:rsidP="00275FCA" w:rsidRDefault="00F14DB2">
      <w:pPr>
        <w:pStyle w:val="JuList"/>
      </w:pPr>
      <w:r w:rsidRPr="00275FCA">
        <w:rPr>
          <w:lang w:val="en-GB"/>
        </w:rPr>
        <w:t>6</w:t>
      </w:r>
      <w:r w:rsidRPr="00275FCA" w:rsidR="0093072B">
        <w:rPr>
          <w:lang w:val="en-GB"/>
        </w:rPr>
        <w:t>.  </w:t>
      </w:r>
      <w:r w:rsidRPr="00275FCA" w:rsidR="008703F3">
        <w:rPr>
          <w:i/>
          <w:iCs/>
        </w:rPr>
        <w:t>Holds</w:t>
      </w:r>
      <w:r w:rsidRPr="00275FCA" w:rsidR="008703F3">
        <w:t>,</w:t>
      </w:r>
      <w:r w:rsidRPr="00275FCA" w:rsidR="00304828">
        <w:t xml:space="preserve"> </w:t>
      </w:r>
      <w:r w:rsidRPr="00275FCA" w:rsidR="008703F3">
        <w:t xml:space="preserve">unanimously, that there is no need to examine the admissibility or the merits of the complaints under Article 14 of the Convention </w:t>
      </w:r>
      <w:r w:rsidRPr="00275FCA" w:rsidR="001968E2">
        <w:t xml:space="preserve">taken </w:t>
      </w:r>
      <w:r w:rsidRPr="00275FCA" w:rsidR="008703F3">
        <w:t>in conjunction w</w:t>
      </w:r>
      <w:r w:rsidRPr="00275FCA" w:rsidR="001968E2">
        <w:t>ith Article 2 of Protocol No. 1 to the Convention</w:t>
      </w:r>
      <w:r w:rsidRPr="00275FCA" w:rsidR="008703F3">
        <w:t>;</w:t>
      </w:r>
    </w:p>
    <w:p w:rsidRPr="00275FCA" w:rsidR="008703F3" w:rsidP="00275FCA" w:rsidRDefault="008703F3">
      <w:pPr>
        <w:pStyle w:val="JuList"/>
      </w:pPr>
    </w:p>
    <w:p w:rsidRPr="00275FCA" w:rsidR="008703F3" w:rsidP="00275FCA" w:rsidRDefault="00F14DB2">
      <w:pPr>
        <w:pStyle w:val="JuList"/>
        <w:rPr>
          <w:lang w:val="en-GB"/>
        </w:rPr>
      </w:pPr>
      <w:r w:rsidRPr="00275FCA">
        <w:t>7</w:t>
      </w:r>
      <w:r w:rsidRPr="00275FCA" w:rsidR="0093072B">
        <w:t>.  </w:t>
      </w:r>
      <w:r w:rsidRPr="00275FCA" w:rsidR="008703F3">
        <w:rPr>
          <w:i/>
          <w:lang w:val="en-GB"/>
        </w:rPr>
        <w:t>Declares</w:t>
      </w:r>
      <w:r w:rsidRPr="00275FCA" w:rsidR="008703F3">
        <w:rPr>
          <w:lang w:val="en-GB"/>
        </w:rPr>
        <w:t>, unanimously, the remainder of the application inadmissible;</w:t>
      </w:r>
    </w:p>
    <w:p w:rsidRPr="00275FCA" w:rsidR="00014566" w:rsidP="00275FCA" w:rsidRDefault="00014566">
      <w:pPr>
        <w:pStyle w:val="JuList"/>
        <w:ind w:left="0" w:firstLine="0"/>
        <w:rPr>
          <w:lang w:val="en-GB"/>
        </w:rPr>
      </w:pPr>
    </w:p>
    <w:p w:rsidRPr="00275FCA" w:rsidR="00014566" w:rsidP="00275FCA" w:rsidRDefault="00F14DB2">
      <w:pPr>
        <w:pStyle w:val="JuList"/>
        <w:rPr>
          <w:lang w:val="en-GB"/>
        </w:rPr>
      </w:pPr>
      <w:r w:rsidRPr="00275FCA">
        <w:rPr>
          <w:lang w:val="en-GB"/>
        </w:rPr>
        <w:t>8</w:t>
      </w:r>
      <w:r w:rsidRPr="00275FCA" w:rsidR="00014566">
        <w:rPr>
          <w:lang w:val="en-GB"/>
        </w:rPr>
        <w:t>.  </w:t>
      </w:r>
      <w:r w:rsidRPr="00275FCA" w:rsidR="00014566">
        <w:rPr>
          <w:i/>
          <w:lang w:val="en-GB"/>
        </w:rPr>
        <w:t>Holds</w:t>
      </w:r>
      <w:r w:rsidRPr="00275FCA" w:rsidR="0078442C">
        <w:rPr>
          <w:lang w:val="en-GB"/>
        </w:rPr>
        <w:t>, unanimously,</w:t>
      </w:r>
      <w:r w:rsidRPr="00275FCA" w:rsidR="00014566">
        <w:rPr>
          <w:color w:val="000000"/>
          <w:lang w:val="en-GB"/>
        </w:rPr>
        <w:t xml:space="preserve"> </w:t>
      </w:r>
      <w:r w:rsidRPr="00275FCA" w:rsidR="00014566">
        <w:rPr>
          <w:lang w:val="en-GB"/>
        </w:rPr>
        <w:t xml:space="preserve">that there has been a violation of Article </w:t>
      </w:r>
      <w:r w:rsidRPr="00275FCA" w:rsidR="00AA09AD">
        <w:rPr>
          <w:lang w:val="en-GB"/>
        </w:rPr>
        <w:t>5 §§ 3, 4 and 5</w:t>
      </w:r>
      <w:r w:rsidRPr="00275FCA" w:rsidR="00014566">
        <w:rPr>
          <w:lang w:val="en-GB"/>
        </w:rPr>
        <w:t xml:space="preserve"> of the Convention;</w:t>
      </w:r>
    </w:p>
    <w:p w:rsidRPr="00275FCA" w:rsidR="00014566" w:rsidP="00275FCA" w:rsidRDefault="00014566">
      <w:pPr>
        <w:pStyle w:val="JuList"/>
        <w:ind w:left="0" w:firstLine="0"/>
        <w:rPr>
          <w:lang w:val="en-GB"/>
        </w:rPr>
      </w:pPr>
    </w:p>
    <w:p w:rsidRPr="00275FCA" w:rsidR="00014566" w:rsidP="00275FCA" w:rsidRDefault="00F14DB2">
      <w:pPr>
        <w:pStyle w:val="JuList"/>
        <w:rPr>
          <w:lang w:val="en-GB"/>
        </w:rPr>
      </w:pPr>
      <w:r w:rsidRPr="00275FCA">
        <w:rPr>
          <w:lang w:val="en-GB"/>
        </w:rPr>
        <w:t>9</w:t>
      </w:r>
      <w:r w:rsidRPr="00275FCA" w:rsidR="00014566">
        <w:rPr>
          <w:lang w:val="en-GB"/>
        </w:rPr>
        <w:t>.  </w:t>
      </w:r>
      <w:r w:rsidRPr="00275FCA" w:rsidR="00014566">
        <w:rPr>
          <w:i/>
          <w:lang w:val="en-GB"/>
        </w:rPr>
        <w:t>Holds</w:t>
      </w:r>
      <w:r w:rsidRPr="00275FCA" w:rsidR="0078442C">
        <w:rPr>
          <w:lang w:val="en-GB"/>
        </w:rPr>
        <w:t>, unanimously,</w:t>
      </w:r>
      <w:r w:rsidRPr="00275FCA" w:rsidR="00014566">
        <w:rPr>
          <w:color w:val="000000"/>
          <w:lang w:val="en-GB"/>
        </w:rPr>
        <w:t xml:space="preserve"> </w:t>
      </w:r>
      <w:r w:rsidRPr="00275FCA" w:rsidR="00014566">
        <w:rPr>
          <w:lang w:val="en-GB"/>
        </w:rPr>
        <w:t xml:space="preserve">that there has been a violation of Article </w:t>
      </w:r>
      <w:r w:rsidRPr="00275FCA" w:rsidR="00AA09AD">
        <w:rPr>
          <w:lang w:val="en-GB"/>
        </w:rPr>
        <w:t>10</w:t>
      </w:r>
      <w:r w:rsidRPr="00275FCA" w:rsidR="00014566">
        <w:rPr>
          <w:lang w:val="en-GB"/>
        </w:rPr>
        <w:t xml:space="preserve"> of the Convention;</w:t>
      </w:r>
    </w:p>
    <w:p w:rsidRPr="00275FCA" w:rsidR="00014566" w:rsidP="00275FCA" w:rsidRDefault="00014566">
      <w:pPr>
        <w:pStyle w:val="JuList"/>
        <w:ind w:left="0" w:firstLine="0"/>
        <w:rPr>
          <w:lang w:val="en-GB"/>
        </w:rPr>
      </w:pPr>
    </w:p>
    <w:p w:rsidRPr="00275FCA" w:rsidR="00014566" w:rsidP="00275FCA" w:rsidRDefault="00F14DB2">
      <w:pPr>
        <w:pStyle w:val="JuList"/>
        <w:rPr>
          <w:lang w:val="en-GB"/>
        </w:rPr>
      </w:pPr>
      <w:r w:rsidRPr="00275FCA">
        <w:rPr>
          <w:lang w:val="en-GB"/>
        </w:rPr>
        <w:t>10</w:t>
      </w:r>
      <w:r w:rsidRPr="00275FCA" w:rsidR="00014566">
        <w:rPr>
          <w:lang w:val="en-GB"/>
        </w:rPr>
        <w:t>.  </w:t>
      </w:r>
      <w:r w:rsidRPr="00275FCA" w:rsidR="00014566">
        <w:rPr>
          <w:i/>
          <w:lang w:val="en-GB"/>
        </w:rPr>
        <w:t>Holds</w:t>
      </w:r>
      <w:r w:rsidRPr="00275FCA" w:rsidR="00014566">
        <w:rPr>
          <w:lang w:val="en-GB"/>
        </w:rPr>
        <w:t xml:space="preserve"> </w:t>
      </w:r>
      <w:r w:rsidRPr="00275FCA" w:rsidR="0078442C">
        <w:rPr>
          <w:lang w:val="en-GB"/>
        </w:rPr>
        <w:t>, unanimously,</w:t>
      </w:r>
    </w:p>
    <w:p w:rsidRPr="00275FCA" w:rsidR="00014566" w:rsidP="00275FCA" w:rsidRDefault="00014566">
      <w:pPr>
        <w:pStyle w:val="JuLista"/>
        <w:rPr>
          <w:lang w:val="en-GB"/>
        </w:rPr>
      </w:pPr>
      <w:r w:rsidRPr="00275FCA">
        <w:rPr>
          <w:lang w:val="en-GB"/>
        </w:rPr>
        <w:t>(a)  that the respondent State is to pay the applicant</w:t>
      </w:r>
      <w:r w:rsidRPr="00275FCA" w:rsidR="0078442C">
        <w:rPr>
          <w:lang w:val="en-GB"/>
        </w:rPr>
        <w:t>s</w:t>
      </w:r>
      <w:r w:rsidRPr="00275FCA">
        <w:rPr>
          <w:lang w:val="en-GB"/>
        </w:rPr>
        <w:t>, within three months</w:t>
      </w:r>
      <w:r w:rsidRPr="00275FCA" w:rsidR="0078442C">
        <w:rPr>
          <w:lang w:val="en-GB"/>
        </w:rPr>
        <w:t xml:space="preserve"> from the date on which the judgment becomes final in accordance with Article 44 § 2 of the Convention,</w:t>
      </w:r>
      <w:r w:rsidRPr="00275FCA">
        <w:rPr>
          <w:lang w:val="en-GB"/>
        </w:rPr>
        <w:t xml:space="preserve"> the following amounts,</w:t>
      </w:r>
      <w:r w:rsidRPr="00275FCA">
        <w:rPr>
          <w:b/>
          <w:lang w:val="en-GB"/>
        </w:rPr>
        <w:t xml:space="preserve"> </w:t>
      </w:r>
      <w:r w:rsidRPr="00275FCA">
        <w:rPr>
          <w:lang w:val="en-GB"/>
        </w:rPr>
        <w:t xml:space="preserve">to be converted into </w:t>
      </w:r>
      <w:r w:rsidRPr="00275FCA">
        <w:rPr>
          <w:color w:val="000000"/>
          <w:lang w:val="en-GB"/>
        </w:rPr>
        <w:t>the currency of the respondent State</w:t>
      </w:r>
      <w:r w:rsidRPr="00275FCA">
        <w:rPr>
          <w:lang w:val="en-GB"/>
        </w:rPr>
        <w:t xml:space="preserve"> at the rate applicable at the date of settlement:</w:t>
      </w:r>
    </w:p>
    <w:p w:rsidRPr="00275FCA" w:rsidR="00014566" w:rsidP="00275FCA" w:rsidRDefault="00FF2308">
      <w:pPr>
        <w:pStyle w:val="JuListi"/>
        <w:rPr>
          <w:lang w:val="en-GB"/>
        </w:rPr>
      </w:pPr>
      <w:r w:rsidRPr="00275FCA">
        <w:rPr>
          <w:lang w:val="en-GB"/>
        </w:rPr>
        <w:t>(i</w:t>
      </w:r>
      <w:r w:rsidRPr="00275FCA" w:rsidR="00014566">
        <w:rPr>
          <w:lang w:val="en-GB"/>
        </w:rPr>
        <w:t xml:space="preserve">)  EUR </w:t>
      </w:r>
      <w:r w:rsidRPr="00275FCA" w:rsidR="006A3AB0">
        <w:rPr>
          <w:lang w:val="en-GB"/>
        </w:rPr>
        <w:t>6</w:t>
      </w:r>
      <w:r w:rsidRPr="00275FCA">
        <w:rPr>
          <w:lang w:val="en-GB"/>
        </w:rPr>
        <w:t>,</w:t>
      </w:r>
      <w:r w:rsidRPr="00275FCA" w:rsidR="006A3AB0">
        <w:rPr>
          <w:lang w:val="en-GB"/>
        </w:rPr>
        <w:t>5</w:t>
      </w:r>
      <w:r w:rsidRPr="00275FCA">
        <w:rPr>
          <w:lang w:val="en-GB"/>
        </w:rPr>
        <w:t>00 (</w:t>
      </w:r>
      <w:r w:rsidRPr="00275FCA" w:rsidR="006A3AB0">
        <w:rPr>
          <w:lang w:val="en-GB"/>
        </w:rPr>
        <w:t>six thousand five hundred</w:t>
      </w:r>
      <w:r w:rsidRPr="00275FCA">
        <w:rPr>
          <w:lang w:val="en-GB"/>
        </w:rPr>
        <w:t xml:space="preserve"> euros)</w:t>
      </w:r>
      <w:r w:rsidRPr="00275FCA" w:rsidR="00014566">
        <w:rPr>
          <w:lang w:val="en-GB"/>
        </w:rPr>
        <w:t>, plus any tax that may be chargeable, in respect of non-pecuniary damage</w:t>
      </w:r>
      <w:r w:rsidRPr="00275FCA">
        <w:rPr>
          <w:lang w:val="en-GB"/>
        </w:rPr>
        <w:t xml:space="preserve"> to the applicant </w:t>
      </w:r>
      <w:r w:rsidRPr="00275FCA" w:rsidR="005F72A3">
        <w:rPr>
          <w:lang w:val="en-GB"/>
        </w:rPr>
        <w:t>Yılmaz</w:t>
      </w:r>
      <w:r w:rsidRPr="00275FCA">
        <w:rPr>
          <w:lang w:val="en-GB"/>
        </w:rPr>
        <w:t xml:space="preserve"> Yavuz</w:t>
      </w:r>
      <w:r w:rsidRPr="00275FCA" w:rsidR="00014566">
        <w:rPr>
          <w:lang w:val="en-GB"/>
        </w:rPr>
        <w:t>;</w:t>
      </w:r>
    </w:p>
    <w:p w:rsidRPr="00275FCA" w:rsidR="00FF2308" w:rsidP="00275FCA" w:rsidRDefault="0093072B">
      <w:pPr>
        <w:pStyle w:val="JuListi"/>
        <w:rPr>
          <w:lang w:val="en-GB"/>
        </w:rPr>
      </w:pPr>
      <w:r w:rsidRPr="00275FCA">
        <w:rPr>
          <w:lang w:val="en-GB"/>
        </w:rPr>
        <w:t>(ii)  </w:t>
      </w:r>
      <w:r w:rsidRPr="00275FCA" w:rsidR="00FF2308">
        <w:rPr>
          <w:lang w:val="en-GB"/>
        </w:rPr>
        <w:t xml:space="preserve">EUR </w:t>
      </w:r>
      <w:r w:rsidRPr="00275FCA" w:rsidR="006A3AB0">
        <w:rPr>
          <w:lang w:val="en-GB"/>
        </w:rPr>
        <w:t>10,000</w:t>
      </w:r>
      <w:r w:rsidRPr="00275FCA" w:rsidR="00FF2308">
        <w:rPr>
          <w:lang w:val="en-GB"/>
        </w:rPr>
        <w:t xml:space="preserve"> (</w:t>
      </w:r>
      <w:r w:rsidRPr="00275FCA" w:rsidR="006A3AB0">
        <w:rPr>
          <w:lang w:val="en-GB"/>
        </w:rPr>
        <w:t>ten</w:t>
      </w:r>
      <w:r w:rsidRPr="00275FCA" w:rsidR="00FF2308">
        <w:rPr>
          <w:lang w:val="en-GB"/>
        </w:rPr>
        <w:t xml:space="preserve"> thousand euros), plus any tax that may be chargeable, in respect of non-pecuniary damage to each of the remaining applicants;</w:t>
      </w:r>
    </w:p>
    <w:p w:rsidRPr="00275FCA" w:rsidR="00014566" w:rsidP="00275FCA" w:rsidRDefault="00014566">
      <w:pPr>
        <w:pStyle w:val="JuListi"/>
        <w:rPr>
          <w:lang w:val="en-GB"/>
        </w:rPr>
      </w:pPr>
      <w:r w:rsidRPr="00275FCA">
        <w:rPr>
          <w:lang w:val="en-GB"/>
        </w:rPr>
        <w:t xml:space="preserve">(iii)  EUR </w:t>
      </w:r>
      <w:r w:rsidRPr="00275FCA" w:rsidR="00272D0E">
        <w:rPr>
          <w:lang w:val="en-GB"/>
        </w:rPr>
        <w:t>3</w:t>
      </w:r>
      <w:r w:rsidRPr="00275FCA" w:rsidR="00FF2308">
        <w:rPr>
          <w:lang w:val="en-GB"/>
        </w:rPr>
        <w:t>,000</w:t>
      </w:r>
      <w:r w:rsidRPr="00275FCA">
        <w:rPr>
          <w:lang w:val="en-GB"/>
        </w:rPr>
        <w:t xml:space="preserve"> (</w:t>
      </w:r>
      <w:r w:rsidRPr="00275FCA" w:rsidR="00272D0E">
        <w:rPr>
          <w:lang w:val="en-GB"/>
        </w:rPr>
        <w:t>three</w:t>
      </w:r>
      <w:r w:rsidRPr="00275FCA" w:rsidR="00FF2308">
        <w:rPr>
          <w:lang w:val="en-GB"/>
        </w:rPr>
        <w:t xml:space="preserve"> thousand</w:t>
      </w:r>
      <w:r w:rsidRPr="00275FCA">
        <w:rPr>
          <w:lang w:val="en-GB"/>
        </w:rPr>
        <w:t xml:space="preserve"> euros), </w:t>
      </w:r>
      <w:r w:rsidRPr="00275FCA" w:rsidR="00C9040C">
        <w:rPr>
          <w:lang w:val="en-GB"/>
        </w:rPr>
        <w:t xml:space="preserve">to the applicants jointly </w:t>
      </w:r>
      <w:r w:rsidRPr="00275FCA">
        <w:rPr>
          <w:lang w:val="en-GB"/>
        </w:rPr>
        <w:t xml:space="preserve">plus any tax that may be chargeable to </w:t>
      </w:r>
      <w:r w:rsidRPr="00275FCA" w:rsidR="00C9040C">
        <w:rPr>
          <w:lang w:val="en-GB"/>
        </w:rPr>
        <w:t>them</w:t>
      </w:r>
      <w:r w:rsidRPr="00275FCA" w:rsidR="00877111">
        <w:rPr>
          <w:lang w:val="en-GB"/>
        </w:rPr>
        <w:t>,</w:t>
      </w:r>
      <w:r w:rsidRPr="00275FCA" w:rsidR="00FF2308">
        <w:rPr>
          <w:lang w:val="en-GB"/>
        </w:rPr>
        <w:t xml:space="preserve"> </w:t>
      </w:r>
      <w:r w:rsidRPr="00275FCA">
        <w:rPr>
          <w:lang w:val="en-GB"/>
        </w:rPr>
        <w:t>in respect of costs and expenses;</w:t>
      </w:r>
    </w:p>
    <w:p w:rsidRPr="00275FCA" w:rsidR="00014566" w:rsidP="00275FCA" w:rsidRDefault="00014566">
      <w:pPr>
        <w:pStyle w:val="JuLista"/>
        <w:rPr>
          <w:lang w:val="en-GB"/>
        </w:rPr>
      </w:pPr>
      <w:r w:rsidRPr="00275FCA">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275FCA" w:rsidR="00014566" w:rsidP="00275FCA" w:rsidRDefault="00014566">
      <w:pPr>
        <w:pStyle w:val="JuList"/>
        <w:rPr>
          <w:lang w:val="en-GB"/>
        </w:rPr>
      </w:pPr>
    </w:p>
    <w:p w:rsidRPr="00275FCA" w:rsidR="00014566" w:rsidP="00275FCA" w:rsidRDefault="00732465">
      <w:pPr>
        <w:pStyle w:val="JuList"/>
        <w:rPr>
          <w:lang w:val="en-GB"/>
        </w:rPr>
      </w:pPr>
      <w:r w:rsidRPr="00275FCA">
        <w:rPr>
          <w:lang w:val="en-GB"/>
        </w:rPr>
        <w:t>1</w:t>
      </w:r>
      <w:r w:rsidRPr="00275FCA" w:rsidR="00F14DB2">
        <w:rPr>
          <w:lang w:val="en-GB"/>
        </w:rPr>
        <w:t>1</w:t>
      </w:r>
      <w:r w:rsidRPr="00275FCA" w:rsidR="00014566">
        <w:rPr>
          <w:lang w:val="en-GB"/>
        </w:rPr>
        <w:t>.  </w:t>
      </w:r>
      <w:r w:rsidRPr="00275FCA" w:rsidR="00014566">
        <w:rPr>
          <w:i/>
          <w:lang w:val="en-GB"/>
        </w:rPr>
        <w:t>Dismisses</w:t>
      </w:r>
      <w:r w:rsidRPr="00275FCA" w:rsidR="00304828">
        <w:rPr>
          <w:i/>
          <w:lang w:val="en-GB"/>
        </w:rPr>
        <w:t>,</w:t>
      </w:r>
      <w:r w:rsidRPr="00275FCA" w:rsidR="0078442C">
        <w:rPr>
          <w:lang w:val="en-GB"/>
        </w:rPr>
        <w:t xml:space="preserve"> </w:t>
      </w:r>
      <w:r w:rsidRPr="00275FCA" w:rsidR="00304828">
        <w:t>by six votes to one</w:t>
      </w:r>
      <w:r w:rsidRPr="00275FCA" w:rsidR="0078442C">
        <w:rPr>
          <w:lang w:val="en-GB"/>
        </w:rPr>
        <w:t>,</w:t>
      </w:r>
      <w:r w:rsidRPr="00275FCA" w:rsidR="00014566">
        <w:rPr>
          <w:color w:val="000000"/>
          <w:lang w:val="en-GB"/>
        </w:rPr>
        <w:t xml:space="preserve"> </w:t>
      </w:r>
      <w:r w:rsidRPr="00275FCA" w:rsidR="00014566">
        <w:rPr>
          <w:lang w:val="en-GB"/>
        </w:rPr>
        <w:t>the remainder of the applicant</w:t>
      </w:r>
      <w:r w:rsidRPr="00275FCA" w:rsidR="0078442C">
        <w:rPr>
          <w:lang w:val="en-GB"/>
        </w:rPr>
        <w:t>s</w:t>
      </w:r>
      <w:r w:rsidRPr="00275FCA" w:rsidR="00275FCA">
        <w:rPr>
          <w:lang w:val="en-GB"/>
        </w:rPr>
        <w:t>’</w:t>
      </w:r>
      <w:r w:rsidRPr="00275FCA" w:rsidR="00014566">
        <w:rPr>
          <w:lang w:val="en-GB"/>
        </w:rPr>
        <w:t xml:space="preserve"> claim for just satisfaction.</w:t>
      </w:r>
    </w:p>
    <w:p w:rsidRPr="00275FCA" w:rsidR="00014566" w:rsidP="00275FCA" w:rsidRDefault="00014566">
      <w:pPr>
        <w:pStyle w:val="JuParaLast"/>
        <w:rPr>
          <w:lang w:val="en-GB"/>
        </w:rPr>
      </w:pPr>
      <w:r w:rsidRPr="00275FCA">
        <w:rPr>
          <w:lang w:val="en-GB"/>
        </w:rPr>
        <w:t xml:space="preserve">Done in English, and notified in writing on </w:t>
      </w:r>
      <w:r w:rsidRPr="00275FCA" w:rsidR="00304828">
        <w:rPr>
          <w:lang w:val="en-GB"/>
        </w:rPr>
        <w:t>7 March 2017</w:t>
      </w:r>
      <w:r w:rsidRPr="00275FCA">
        <w:rPr>
          <w:lang w:val="en-GB"/>
        </w:rPr>
        <w:t>, pursuant to Rule 77 §§ 2 and 3 of the Rules of Court.</w:t>
      </w:r>
    </w:p>
    <w:p w:rsidRPr="00275FCA" w:rsidR="00014566" w:rsidP="00275FCA" w:rsidRDefault="00014566">
      <w:pPr>
        <w:pStyle w:val="JuSigned"/>
        <w:rPr>
          <w:lang w:val="es-ES"/>
        </w:rPr>
      </w:pPr>
      <w:r w:rsidRPr="00275FCA">
        <w:rPr>
          <w:lang w:val="en-GB"/>
        </w:rPr>
        <w:tab/>
      </w:r>
      <w:r w:rsidRPr="00275FCA" w:rsidR="0078442C">
        <w:rPr>
          <w:lang w:val="es-ES"/>
        </w:rPr>
        <w:t>Stanley Naismith</w:t>
      </w:r>
      <w:r w:rsidRPr="00275FCA">
        <w:rPr>
          <w:lang w:val="es-ES"/>
        </w:rPr>
        <w:tab/>
      </w:r>
      <w:r w:rsidRPr="00275FCA" w:rsidR="0078442C">
        <w:rPr>
          <w:szCs w:val="24"/>
          <w:lang w:val="es-ES"/>
        </w:rPr>
        <w:t>Julia Laffranque</w:t>
      </w:r>
      <w:r w:rsidRPr="00275FCA" w:rsidR="00E1557C">
        <w:rPr>
          <w:szCs w:val="24"/>
          <w:lang w:val="es-ES"/>
        </w:rPr>
        <w:br/>
      </w:r>
      <w:r w:rsidRPr="00275FCA">
        <w:rPr>
          <w:lang w:val="es-ES"/>
        </w:rPr>
        <w:tab/>
      </w:r>
      <w:r w:rsidRPr="00275FCA" w:rsidR="0078442C">
        <w:rPr>
          <w:iCs/>
          <w:lang w:val="es-ES"/>
        </w:rPr>
        <w:t>Registrar</w:t>
      </w:r>
      <w:r w:rsidRPr="00275FCA">
        <w:rPr>
          <w:lang w:val="es-ES"/>
        </w:rPr>
        <w:tab/>
        <w:t>President</w:t>
      </w:r>
    </w:p>
    <w:p w:rsidRPr="00275FCA" w:rsidR="00830663" w:rsidP="00275FCA" w:rsidRDefault="00304828">
      <w:pPr>
        <w:pStyle w:val="JuParaLast"/>
        <w:rPr>
          <w:lang w:eastAsia="fr-FR"/>
        </w:rPr>
      </w:pPr>
      <w:r w:rsidRPr="00275FCA">
        <w:rPr>
          <w:lang w:eastAsia="fr-FR"/>
        </w:rPr>
        <w:t>In accordance with Article 45 § 2 of the Convention and Rule 74 § 2 of the Rules of Court, the separate opinions of Judge</w:t>
      </w:r>
      <w:r w:rsidRPr="00275FCA" w:rsidR="007939CD">
        <w:rPr>
          <w:lang w:eastAsia="fr-FR"/>
        </w:rPr>
        <w:t>s</w:t>
      </w:r>
      <w:r w:rsidRPr="00275FCA">
        <w:rPr>
          <w:lang w:eastAsia="fr-FR"/>
        </w:rPr>
        <w:t xml:space="preserve"> </w:t>
      </w:r>
      <w:r w:rsidRPr="00275FCA">
        <w:t>Lemmens</w:t>
      </w:r>
      <w:r w:rsidRPr="00275FCA" w:rsidR="00440C14">
        <w:t xml:space="preserve"> and </w:t>
      </w:r>
      <w:r w:rsidRPr="00275FCA">
        <w:t>Turković</w:t>
      </w:r>
      <w:r w:rsidRPr="00275FCA">
        <w:rPr>
          <w:lang w:eastAsia="fr-FR"/>
        </w:rPr>
        <w:t xml:space="preserve"> are annexed to this judgment.</w:t>
      </w:r>
    </w:p>
    <w:p w:rsidRPr="00275FCA" w:rsidR="007A3790" w:rsidP="00275FCA" w:rsidRDefault="00304828">
      <w:pPr>
        <w:pStyle w:val="JuInitialled"/>
        <w:keepNext/>
        <w:keepLines/>
        <w:rPr>
          <w:lang w:val="es-ES"/>
        </w:rPr>
      </w:pPr>
      <w:r w:rsidRPr="00275FCA">
        <w:rPr>
          <w:lang w:eastAsia="fr-FR"/>
        </w:rPr>
        <w:t>J.L.</w:t>
      </w:r>
      <w:r w:rsidRPr="00275FCA">
        <w:rPr>
          <w:lang w:eastAsia="fr-FR"/>
        </w:rPr>
        <w:br/>
      </w:r>
      <w:r w:rsidRPr="00275FCA" w:rsidR="002A6058">
        <w:rPr>
          <w:lang w:val="es-ES"/>
        </w:rPr>
        <w:t>S.H</w:t>
      </w:r>
      <w:r w:rsidRPr="00275FCA" w:rsidR="00F96DA0">
        <w:rPr>
          <w:lang w:val="es-ES"/>
        </w:rPr>
        <w:t xml:space="preserve"> N.</w:t>
      </w:r>
      <w:r w:rsidRPr="00275FCA" w:rsidR="007A3790">
        <w:rPr>
          <w:lang w:val="es-ES"/>
        </w:rPr>
        <w:br w:type="page"/>
      </w:r>
    </w:p>
    <w:p w:rsidRPr="00275FCA" w:rsidR="007A3790" w:rsidP="00275FCA" w:rsidRDefault="007A3790">
      <w:pPr>
        <w:jc w:val="center"/>
        <w:rPr>
          <w:b/>
          <w:lang w:val="it-IT"/>
        </w:rPr>
      </w:pPr>
      <w:r w:rsidRPr="00275FCA">
        <w:rPr>
          <w:b/>
          <w:lang w:val="it-IT"/>
        </w:rPr>
        <w:t>ANNEX</w:t>
      </w:r>
    </w:p>
    <w:p w:rsidRPr="00275FCA" w:rsidR="007A3790" w:rsidP="00275FCA" w:rsidRDefault="007A3790">
      <w:pPr>
        <w:rPr>
          <w:lang w:val="it-IT"/>
        </w:rPr>
      </w:pPr>
    </w:p>
    <w:p w:rsidRPr="00275FCA" w:rsidR="007A3790" w:rsidP="00275FCA" w:rsidRDefault="007A3790">
      <w:pPr>
        <w:jc w:val="center"/>
        <w:rPr>
          <w:b/>
          <w:lang w:val="en-GB"/>
        </w:rPr>
      </w:pPr>
      <w:r w:rsidRPr="00275FCA">
        <w:rPr>
          <w:b/>
          <w:lang w:val="en-GB"/>
        </w:rPr>
        <w:t>LIST OF APPLICANTS</w:t>
      </w:r>
    </w:p>
    <w:p w:rsidRPr="00275FCA" w:rsidR="007A3790" w:rsidP="00275FCA" w:rsidRDefault="007A3790">
      <w:pPr>
        <w:rPr>
          <w:lang w:val="en-GB"/>
        </w:rPr>
      </w:pPr>
    </w:p>
    <w:p w:rsidRPr="00275FCA" w:rsidR="00C52527" w:rsidP="00275FCA" w:rsidRDefault="007A3790">
      <w:pPr>
        <w:numPr>
          <w:ilvl w:val="0"/>
          <w:numId w:val="15"/>
        </w:numPr>
        <w:tabs>
          <w:tab w:val="clear" w:pos="3195"/>
        </w:tabs>
        <w:ind w:left="142" w:hanging="426"/>
        <w:jc w:val="left"/>
      </w:pPr>
      <w:r w:rsidRPr="00275FCA">
        <w:t>Esma Döner, born in 1970</w:t>
      </w:r>
    </w:p>
    <w:p w:rsidRPr="00275FCA" w:rsidR="007A3790" w:rsidP="00275FCA" w:rsidRDefault="007A3790">
      <w:pPr>
        <w:numPr>
          <w:ilvl w:val="0"/>
          <w:numId w:val="15"/>
        </w:numPr>
        <w:tabs>
          <w:tab w:val="clear" w:pos="3195"/>
        </w:tabs>
        <w:ind w:left="142" w:hanging="426"/>
        <w:jc w:val="left"/>
      </w:pPr>
      <w:r w:rsidRPr="00275FCA">
        <w:t>Gülperi Döner, born in 1974</w:t>
      </w:r>
    </w:p>
    <w:p w:rsidRPr="00275FCA" w:rsidR="007A3790" w:rsidP="00275FCA" w:rsidRDefault="005F72A3">
      <w:pPr>
        <w:numPr>
          <w:ilvl w:val="0"/>
          <w:numId w:val="15"/>
        </w:numPr>
        <w:tabs>
          <w:tab w:val="clear" w:pos="3195"/>
          <w:tab w:val="left" w:pos="142"/>
        </w:tabs>
        <w:ind w:left="-284" w:firstLine="0"/>
        <w:jc w:val="left"/>
      </w:pPr>
      <w:r w:rsidRPr="00275FCA">
        <w:t>Ayşe</w:t>
      </w:r>
      <w:r w:rsidRPr="00275FCA" w:rsidR="007A3790">
        <w:t xml:space="preserve"> Döner, born in 1962</w:t>
      </w:r>
    </w:p>
    <w:p w:rsidRPr="00275FCA" w:rsidR="007A3790" w:rsidP="00275FCA" w:rsidRDefault="007A3790">
      <w:pPr>
        <w:numPr>
          <w:ilvl w:val="0"/>
          <w:numId w:val="15"/>
        </w:numPr>
        <w:tabs>
          <w:tab w:val="clear" w:pos="3195"/>
          <w:tab w:val="left" w:pos="142"/>
        </w:tabs>
        <w:ind w:left="-284" w:firstLine="0"/>
        <w:jc w:val="left"/>
      </w:pPr>
      <w:r w:rsidRPr="00275FCA">
        <w:t>Hanım Gülün, born in 1973</w:t>
      </w:r>
    </w:p>
    <w:p w:rsidRPr="00275FCA" w:rsidR="007A3790" w:rsidP="00275FCA" w:rsidRDefault="005F72A3">
      <w:pPr>
        <w:numPr>
          <w:ilvl w:val="0"/>
          <w:numId w:val="15"/>
        </w:numPr>
        <w:tabs>
          <w:tab w:val="clear" w:pos="3195"/>
          <w:tab w:val="left" w:pos="142"/>
        </w:tabs>
        <w:ind w:left="-284" w:firstLine="0"/>
        <w:jc w:val="left"/>
      </w:pPr>
      <w:r w:rsidRPr="00275FCA">
        <w:t>Şahide</w:t>
      </w:r>
      <w:r w:rsidRPr="00275FCA" w:rsidR="007A3790">
        <w:t xml:space="preserve"> Gümüş, born in 1960</w:t>
      </w:r>
    </w:p>
    <w:p w:rsidRPr="00275FCA" w:rsidR="007A3790" w:rsidP="00275FCA" w:rsidRDefault="007A3790">
      <w:pPr>
        <w:numPr>
          <w:ilvl w:val="0"/>
          <w:numId w:val="15"/>
        </w:numPr>
        <w:tabs>
          <w:tab w:val="clear" w:pos="3195"/>
          <w:tab w:val="left" w:pos="142"/>
        </w:tabs>
        <w:ind w:left="-284" w:firstLine="0"/>
        <w:jc w:val="left"/>
      </w:pPr>
      <w:r w:rsidRPr="00275FCA">
        <w:t xml:space="preserve">Hasibe </w:t>
      </w:r>
      <w:r w:rsidRPr="00275FCA" w:rsidR="005F72A3">
        <w:t>Yılmaz</w:t>
      </w:r>
      <w:r w:rsidRPr="00275FCA">
        <w:t>, born in 1958</w:t>
      </w:r>
    </w:p>
    <w:p w:rsidRPr="00275FCA" w:rsidR="007A3790" w:rsidP="00275FCA" w:rsidRDefault="007A3790">
      <w:pPr>
        <w:numPr>
          <w:ilvl w:val="0"/>
          <w:numId w:val="15"/>
        </w:numPr>
        <w:tabs>
          <w:tab w:val="clear" w:pos="3195"/>
          <w:tab w:val="left" w:pos="142"/>
        </w:tabs>
        <w:ind w:left="-284" w:firstLine="0"/>
        <w:jc w:val="left"/>
      </w:pPr>
      <w:r w:rsidRPr="00275FCA">
        <w:t xml:space="preserve">Fatma </w:t>
      </w:r>
      <w:r w:rsidRPr="00275FCA" w:rsidR="005F72A3">
        <w:t>Yılmaz</w:t>
      </w:r>
      <w:r w:rsidRPr="00275FCA">
        <w:t>, born in 1956</w:t>
      </w:r>
    </w:p>
    <w:p w:rsidRPr="00275FCA" w:rsidR="007A3790" w:rsidP="00275FCA" w:rsidRDefault="007A3790">
      <w:pPr>
        <w:numPr>
          <w:ilvl w:val="0"/>
          <w:numId w:val="15"/>
        </w:numPr>
        <w:tabs>
          <w:tab w:val="clear" w:pos="3195"/>
          <w:tab w:val="left" w:pos="142"/>
        </w:tabs>
        <w:ind w:left="-284" w:firstLine="0"/>
        <w:jc w:val="left"/>
      </w:pPr>
      <w:r w:rsidRPr="00275FCA">
        <w:rPr>
          <w:bCs/>
        </w:rPr>
        <w:t>Tenzile Akyol</w:t>
      </w:r>
      <w:r w:rsidRPr="00275FCA">
        <w:t>, born in 1960</w:t>
      </w:r>
    </w:p>
    <w:p w:rsidRPr="00275FCA" w:rsidR="00C52527" w:rsidP="00275FCA" w:rsidRDefault="007A3790">
      <w:pPr>
        <w:numPr>
          <w:ilvl w:val="0"/>
          <w:numId w:val="15"/>
        </w:numPr>
        <w:tabs>
          <w:tab w:val="clear" w:pos="3195"/>
          <w:tab w:val="left" w:pos="142"/>
        </w:tabs>
        <w:ind w:left="-284" w:firstLine="0"/>
        <w:jc w:val="left"/>
      </w:pPr>
      <w:r w:rsidRPr="00275FCA">
        <w:t>Güli Akyol, born in 1953</w:t>
      </w:r>
    </w:p>
    <w:p w:rsidRPr="00275FCA" w:rsidR="007A3790" w:rsidP="00275FCA" w:rsidRDefault="007A3790">
      <w:pPr>
        <w:numPr>
          <w:ilvl w:val="0"/>
          <w:numId w:val="15"/>
        </w:numPr>
        <w:tabs>
          <w:tab w:val="clear" w:pos="3195"/>
          <w:tab w:val="left" w:pos="142"/>
        </w:tabs>
        <w:ind w:left="-284" w:firstLine="0"/>
        <w:jc w:val="left"/>
      </w:pPr>
      <w:r w:rsidRPr="00275FCA">
        <w:t xml:space="preserve">Fatma </w:t>
      </w:r>
      <w:r w:rsidRPr="00275FCA" w:rsidR="005F72A3">
        <w:t>Duruşkan</w:t>
      </w:r>
      <w:r w:rsidRPr="00275FCA">
        <w:t>, born in 1970</w:t>
      </w:r>
    </w:p>
    <w:p w:rsidRPr="00275FCA" w:rsidR="007A3790" w:rsidP="00275FCA" w:rsidRDefault="007A3790">
      <w:pPr>
        <w:numPr>
          <w:ilvl w:val="0"/>
          <w:numId w:val="15"/>
        </w:numPr>
        <w:tabs>
          <w:tab w:val="clear" w:pos="3195"/>
          <w:tab w:val="left" w:pos="142"/>
        </w:tabs>
        <w:ind w:left="-284" w:firstLine="0"/>
        <w:jc w:val="left"/>
      </w:pPr>
      <w:r w:rsidRPr="00275FCA">
        <w:rPr>
          <w:bCs/>
        </w:rPr>
        <w:t>Meryem Peker</w:t>
      </w:r>
      <w:r w:rsidRPr="00275FCA">
        <w:t>, born in 1957</w:t>
      </w:r>
    </w:p>
    <w:p w:rsidRPr="00275FCA" w:rsidR="00C52527" w:rsidP="00275FCA" w:rsidRDefault="007A3790">
      <w:pPr>
        <w:numPr>
          <w:ilvl w:val="0"/>
          <w:numId w:val="15"/>
        </w:numPr>
        <w:tabs>
          <w:tab w:val="clear" w:pos="3195"/>
          <w:tab w:val="left" w:pos="142"/>
        </w:tabs>
        <w:ind w:left="-284" w:firstLine="0"/>
        <w:jc w:val="left"/>
        <w:rPr>
          <w:lang w:val="de-DE"/>
        </w:rPr>
      </w:pPr>
      <w:r w:rsidRPr="00275FCA">
        <w:rPr>
          <w:lang w:val="de-DE"/>
        </w:rPr>
        <w:t xml:space="preserve">Mehmet </w:t>
      </w:r>
      <w:r w:rsidRPr="00275FCA" w:rsidR="005F72A3">
        <w:rPr>
          <w:lang w:val="de-DE"/>
        </w:rPr>
        <w:t>Şirin</w:t>
      </w:r>
      <w:r w:rsidRPr="00275FCA">
        <w:rPr>
          <w:lang w:val="de-DE"/>
        </w:rPr>
        <w:t xml:space="preserve"> Döner, born in 1971</w:t>
      </w:r>
    </w:p>
    <w:p w:rsidRPr="00275FCA" w:rsidR="00C52527" w:rsidP="00275FCA" w:rsidRDefault="007A3790">
      <w:pPr>
        <w:numPr>
          <w:ilvl w:val="0"/>
          <w:numId w:val="15"/>
        </w:numPr>
        <w:tabs>
          <w:tab w:val="clear" w:pos="3195"/>
          <w:tab w:val="left" w:pos="142"/>
        </w:tabs>
        <w:ind w:left="-284" w:firstLine="0"/>
        <w:jc w:val="left"/>
      </w:pPr>
      <w:r w:rsidRPr="00275FCA">
        <w:t>Şükrüye Temüroğlu, born in 1964</w:t>
      </w:r>
    </w:p>
    <w:p w:rsidRPr="00275FCA" w:rsidR="007A3790" w:rsidP="00275FCA" w:rsidRDefault="007A3790">
      <w:pPr>
        <w:numPr>
          <w:ilvl w:val="0"/>
          <w:numId w:val="15"/>
        </w:numPr>
        <w:tabs>
          <w:tab w:val="clear" w:pos="3195"/>
          <w:tab w:val="left" w:pos="142"/>
        </w:tabs>
        <w:ind w:left="-284" w:firstLine="0"/>
        <w:jc w:val="left"/>
      </w:pPr>
      <w:r w:rsidRPr="00275FCA">
        <w:t>Meliha Can, born in 1964</w:t>
      </w:r>
    </w:p>
    <w:p w:rsidRPr="00275FCA" w:rsidR="007A3790" w:rsidP="00275FCA" w:rsidRDefault="007A3790">
      <w:pPr>
        <w:numPr>
          <w:ilvl w:val="0"/>
          <w:numId w:val="15"/>
        </w:numPr>
        <w:tabs>
          <w:tab w:val="clear" w:pos="3195"/>
          <w:tab w:val="left" w:pos="142"/>
        </w:tabs>
        <w:ind w:left="-284" w:firstLine="0"/>
        <w:jc w:val="left"/>
      </w:pPr>
      <w:r w:rsidRPr="00275FCA">
        <w:t>Halime Günana, born in 1956</w:t>
      </w:r>
    </w:p>
    <w:p w:rsidRPr="00275FCA" w:rsidR="007A3790" w:rsidP="00275FCA" w:rsidRDefault="007A3790">
      <w:pPr>
        <w:numPr>
          <w:ilvl w:val="0"/>
          <w:numId w:val="15"/>
        </w:numPr>
        <w:tabs>
          <w:tab w:val="clear" w:pos="3195"/>
          <w:tab w:val="left" w:pos="142"/>
        </w:tabs>
        <w:ind w:left="-284" w:firstLine="0"/>
        <w:jc w:val="left"/>
      </w:pPr>
      <w:r w:rsidRPr="00275FCA">
        <w:t>Zübeyde Yavuz, born in 1956</w:t>
      </w:r>
    </w:p>
    <w:p w:rsidRPr="00275FCA" w:rsidR="007A3790" w:rsidP="00275FCA" w:rsidRDefault="007A3790">
      <w:pPr>
        <w:numPr>
          <w:ilvl w:val="0"/>
          <w:numId w:val="15"/>
        </w:numPr>
        <w:tabs>
          <w:tab w:val="clear" w:pos="3195"/>
          <w:tab w:val="left" w:pos="142"/>
        </w:tabs>
        <w:ind w:left="-284" w:firstLine="0"/>
        <w:jc w:val="left"/>
      </w:pPr>
      <w:r w:rsidRPr="00275FCA">
        <w:rPr>
          <w:bCs/>
        </w:rPr>
        <w:t>Asiya Karadeniz</w:t>
      </w:r>
      <w:r w:rsidRPr="00275FCA">
        <w:t>, born in 1965</w:t>
      </w:r>
    </w:p>
    <w:p w:rsidRPr="00275FCA" w:rsidR="007A3790" w:rsidP="00275FCA" w:rsidRDefault="007A3790">
      <w:pPr>
        <w:numPr>
          <w:ilvl w:val="0"/>
          <w:numId w:val="15"/>
        </w:numPr>
        <w:tabs>
          <w:tab w:val="clear" w:pos="3195"/>
          <w:tab w:val="left" w:pos="142"/>
        </w:tabs>
        <w:ind w:left="-284" w:firstLine="0"/>
        <w:jc w:val="left"/>
      </w:pPr>
      <w:r w:rsidRPr="00275FCA">
        <w:t>Zübeyde</w:t>
      </w:r>
      <w:r w:rsidRPr="00275FCA">
        <w:rPr>
          <w:bCs/>
        </w:rPr>
        <w:t xml:space="preserve"> Sapan</w:t>
      </w:r>
      <w:r w:rsidRPr="00275FCA">
        <w:t>, born in 1973</w:t>
      </w:r>
    </w:p>
    <w:p w:rsidRPr="00275FCA" w:rsidR="007A3790" w:rsidP="00275FCA" w:rsidRDefault="007A3790">
      <w:pPr>
        <w:numPr>
          <w:ilvl w:val="0"/>
          <w:numId w:val="15"/>
        </w:numPr>
        <w:tabs>
          <w:tab w:val="clear" w:pos="3195"/>
          <w:tab w:val="left" w:pos="142"/>
        </w:tabs>
        <w:ind w:left="-284" w:firstLine="0"/>
        <w:jc w:val="left"/>
      </w:pPr>
      <w:r w:rsidRPr="00275FCA">
        <w:rPr>
          <w:bCs/>
        </w:rPr>
        <w:t>Kudret Da</w:t>
      </w:r>
      <w:r w:rsidRPr="00275FCA">
        <w:t>ğ, born in 1957</w:t>
      </w:r>
    </w:p>
    <w:p w:rsidRPr="00275FCA" w:rsidR="007A3790" w:rsidP="00275FCA" w:rsidRDefault="005F72A3">
      <w:pPr>
        <w:numPr>
          <w:ilvl w:val="0"/>
          <w:numId w:val="15"/>
        </w:numPr>
        <w:tabs>
          <w:tab w:val="clear" w:pos="3195"/>
          <w:tab w:val="left" w:pos="142"/>
        </w:tabs>
        <w:ind w:left="-284" w:firstLine="0"/>
        <w:jc w:val="left"/>
      </w:pPr>
      <w:r w:rsidRPr="00275FCA">
        <w:t>Yılmaz</w:t>
      </w:r>
      <w:r w:rsidRPr="00275FCA" w:rsidR="0093072B">
        <w:rPr>
          <w:bCs/>
        </w:rPr>
        <w:t xml:space="preserve"> Yavuz, born in 1983</w:t>
      </w:r>
    </w:p>
    <w:p w:rsidRPr="00275FCA" w:rsidR="0008432F" w:rsidP="00275FCA" w:rsidRDefault="0008432F">
      <w:pPr>
        <w:tabs>
          <w:tab w:val="left" w:pos="142"/>
        </w:tabs>
        <w:ind w:left="-284"/>
        <w:jc w:val="left"/>
        <w:rPr>
          <w:bCs/>
        </w:rPr>
      </w:pPr>
    </w:p>
    <w:p w:rsidRPr="00275FCA" w:rsidR="0008432F" w:rsidP="00275FCA" w:rsidRDefault="0008432F">
      <w:pPr>
        <w:tabs>
          <w:tab w:val="left" w:pos="142"/>
        </w:tabs>
        <w:ind w:left="-284"/>
        <w:jc w:val="left"/>
        <w:sectPr w:rsidRPr="00275FCA" w:rsidR="0008432F" w:rsidSect="00E06EF8">
          <w:headerReference w:type="even" r:id="rId11"/>
          <w:headerReference w:type="default" r:id="rId12"/>
          <w:footerReference w:type="default" r:id="rId13"/>
          <w:footnotePr>
            <w:numRestart w:val="eachSect"/>
          </w:footnotePr>
          <w:pgSz w:w="11906" w:h="16838" w:code="9"/>
          <w:pgMar w:top="2274" w:right="2274" w:bottom="2274" w:left="2274" w:header="1701" w:footer="720" w:gutter="0"/>
          <w:pgNumType w:start="1"/>
          <w:cols w:space="720"/>
          <w:docGrid w:linePitch="326"/>
        </w:sectPr>
      </w:pPr>
    </w:p>
    <w:p w:rsidRPr="00275FCA" w:rsidR="0008432F" w:rsidP="00275FCA" w:rsidRDefault="0008432F">
      <w:pPr>
        <w:tabs>
          <w:tab w:val="left" w:pos="142"/>
        </w:tabs>
        <w:ind w:left="-284"/>
        <w:jc w:val="left"/>
      </w:pPr>
    </w:p>
    <w:p w:rsidRPr="00275FCA" w:rsidR="000A7BFD" w:rsidP="00275FCA" w:rsidRDefault="000A7BFD">
      <w:pPr>
        <w:pStyle w:val="ECHRTitleCentre1"/>
        <w:ind w:firstLine="284"/>
      </w:pPr>
      <w:r w:rsidRPr="00275FCA">
        <w:t>CONCURRING OPINION OF JUDGE LEMMENS</w:t>
      </w:r>
    </w:p>
    <w:p w:rsidRPr="00275FCA" w:rsidR="000A7BFD" w:rsidP="00275FCA" w:rsidRDefault="000A7BFD">
      <w:pPr>
        <w:pStyle w:val="OpiPara"/>
      </w:pPr>
      <w:r w:rsidRPr="00275FCA">
        <w:t>1.  I voted on all points with my colleagues. There are, however, some points upon which I have hesitated.</w:t>
      </w:r>
    </w:p>
    <w:p w:rsidRPr="00275FCA" w:rsidR="000A7BFD" w:rsidP="00275FCA" w:rsidRDefault="000A7BFD">
      <w:pPr>
        <w:pStyle w:val="OpiPara"/>
      </w:pPr>
    </w:p>
    <w:p w:rsidRPr="00275FCA" w:rsidR="000A7BFD" w:rsidP="00275FCA" w:rsidRDefault="000A7BFD">
      <w:pPr>
        <w:pStyle w:val="OpiPara"/>
      </w:pPr>
      <w:r w:rsidRPr="00275FCA">
        <w:t>2.  As far as the analysis of the complaint under Article 10 of the Convention is concerned, I note that the applicants did not complain about a violation of their right to freedom of expression. Rather, they complained under Article 7 of the Convention that they had been charged with an offence and subjected to criminal proceedings, despite the absence of any provision in domestic law criminalising their conduct (see paragraph 78 of the judgment).</w:t>
      </w:r>
      <w:r w:rsidRPr="00275FCA">
        <w:rPr>
          <w:rStyle w:val="FootnoteReference"/>
        </w:rPr>
        <w:footnoteReference w:id="1"/>
      </w:r>
    </w:p>
    <w:p w:rsidRPr="00275FCA" w:rsidR="000A7BFD" w:rsidP="00275FCA" w:rsidRDefault="000A7BFD">
      <w:pPr>
        <w:pStyle w:val="OpiPara"/>
      </w:pPr>
    </w:p>
    <w:p w:rsidRPr="00275FCA" w:rsidR="000A7BFD" w:rsidP="00275FCA" w:rsidRDefault="000A7BFD">
      <w:pPr>
        <w:pStyle w:val="OpiPara"/>
      </w:pPr>
      <w:r w:rsidRPr="00275FCA">
        <w:t xml:space="preserve">We are nevertheless examining the complaint under Article 10, on the basis of a reclassification of the initial complaint (see paragraph 79 of the judgment). I find such a reclassification disputable. A complaint relating to the contents of domestic criminal law is </w:t>
      </w:r>
      <w:r w:rsidRPr="00275FCA">
        <w:rPr>
          <w:i/>
        </w:rPr>
        <w:t>a priori</w:t>
      </w:r>
      <w:r w:rsidRPr="00275FCA">
        <w:t xml:space="preserve"> not related to the fundamental right to express opinions, even if the charges are directed at the expression of an opinion.</w:t>
      </w:r>
    </w:p>
    <w:p w:rsidRPr="00275FCA" w:rsidR="000A7BFD" w:rsidP="00275FCA" w:rsidRDefault="000A7BFD">
      <w:pPr>
        <w:pStyle w:val="OpiPara"/>
      </w:pPr>
    </w:p>
    <w:p w:rsidRPr="00275FCA" w:rsidR="000A7BFD" w:rsidP="00275FCA" w:rsidRDefault="000A7BFD">
      <w:pPr>
        <w:pStyle w:val="OpiPara"/>
      </w:pPr>
      <w:r w:rsidRPr="00275FCA">
        <w:t>What is more, while the applicants complained, under Article 7, only about the fact that the charges had no basis in domestic law, the judgment leaves open the corresponding question under Article 10 of whether the interference was “prescribed by law” (see paragraph 95 of the judgment). The precise complaint made by the applicants is thus left unanswered. Instead, the judgment finds a violation on the ground that the interference was not necessary in a democratic society (see paragraph 108 of the judgment). While the applicants complained about a purely legal issue (charges without a legal basis), the judgment examines whether, in the light of the concrete circumstances of the case, the action undertaken by the authorities could be considered proportionate to the aim pursued. This is, in my opinion, quite a different matter from that complained of.</w:t>
      </w:r>
    </w:p>
    <w:p w:rsidRPr="00275FCA" w:rsidR="000A7BFD" w:rsidP="00275FCA" w:rsidRDefault="000A7BFD">
      <w:pPr>
        <w:pStyle w:val="OpiPara"/>
      </w:pPr>
    </w:p>
    <w:p w:rsidRPr="00275FCA" w:rsidR="000A7BFD" w:rsidP="00275FCA" w:rsidRDefault="000A7BFD">
      <w:pPr>
        <w:pStyle w:val="OpiPara"/>
      </w:pPr>
      <w:r w:rsidRPr="00275FCA">
        <w:t>However, the Government did not object to the reclassification, instead entering into a discussion, albeit a brief one, of the merits of the Article 10 complaint (see paragraph 84 of the judgment). For that reason, I joined my colleagues in the examination of that complaint. I should add that on the merits, I am in full agreement with the judgment.</w:t>
      </w:r>
    </w:p>
    <w:p w:rsidRPr="00275FCA" w:rsidR="000A7BFD" w:rsidP="00275FCA" w:rsidRDefault="000A7BFD">
      <w:pPr>
        <w:pStyle w:val="OpiPara"/>
      </w:pPr>
    </w:p>
    <w:p w:rsidRPr="00275FCA" w:rsidR="000A7BFD" w:rsidP="00275FCA" w:rsidRDefault="000A7BFD">
      <w:pPr>
        <w:pStyle w:val="OpiPara"/>
      </w:pPr>
      <w:r w:rsidRPr="00275FCA">
        <w:t>3.  With respect to the complaint under Article 14 of the Convention, we state that there is no need to give a separate ruling on the admissibility and the merits of that complaint (see paragraph 114 of the judgment).</w:t>
      </w:r>
    </w:p>
    <w:p w:rsidRPr="00275FCA" w:rsidR="000A7BFD" w:rsidP="00275FCA" w:rsidRDefault="000A7BFD">
      <w:pPr>
        <w:pStyle w:val="OpiPara"/>
      </w:pPr>
    </w:p>
    <w:p w:rsidRPr="00275FCA" w:rsidR="000A7BFD" w:rsidP="00275FCA" w:rsidRDefault="000A7BFD">
      <w:pPr>
        <w:pStyle w:val="OpiPara"/>
      </w:pPr>
      <w:r w:rsidRPr="00275FCA">
        <w:t>In general, I would hesitate to concur with such a decision. An Article 14 complaint is intrinsically different in nature from a complaint under other Articles of the Convention: while the latter complaint is (only) about an interference with the applicant</w:t>
      </w:r>
      <w:r w:rsidRPr="00275FCA" w:rsidR="00275FCA">
        <w:t>’</w:t>
      </w:r>
      <w:r w:rsidRPr="00275FCA">
        <w:t xml:space="preserve">s rights, the former is about the treatment given to the applicant in comparison with others. Moreover, I would not exclude that in a case relating to the treatment of a minority, the discrimination issue is in fact the heart of the matter (see, as regards the treatment of Roma in the area of education, </w:t>
      </w:r>
      <w:r w:rsidRPr="00275FCA">
        <w:rPr>
          <w:i/>
        </w:rPr>
        <w:t>D.H. and Others v. the Czech Republic</w:t>
      </w:r>
      <w:r w:rsidRPr="00275FCA">
        <w:t xml:space="preserve"> [GC], no. 57325/00, ECHR 2007</w:t>
      </w:r>
      <w:r w:rsidRPr="00275FCA">
        <w:noBreakHyphen/>
        <w:t xml:space="preserve">IV; </w:t>
      </w:r>
      <w:r w:rsidRPr="00275FCA">
        <w:rPr>
          <w:i/>
        </w:rPr>
        <w:t>Oršuš and Others v. Croatia</w:t>
      </w:r>
      <w:r w:rsidRPr="00275FCA">
        <w:t xml:space="preserve"> [GC], no. 15766/03, ECHR 2010; and </w:t>
      </w:r>
      <w:r w:rsidRPr="00275FCA">
        <w:rPr>
          <w:i/>
        </w:rPr>
        <w:t>Horváth and Kiss v. Hungary</w:t>
      </w:r>
      <w:r w:rsidRPr="00275FCA">
        <w:t>, no. 11146/11, 29 January 2013).</w:t>
      </w:r>
    </w:p>
    <w:p w:rsidRPr="00275FCA" w:rsidR="000A7BFD" w:rsidP="00275FCA" w:rsidRDefault="000A7BFD">
      <w:pPr>
        <w:pStyle w:val="OpiPara"/>
      </w:pPr>
    </w:p>
    <w:p w:rsidRPr="00275FCA" w:rsidR="000A7BFD" w:rsidP="00275FCA" w:rsidRDefault="000A7BFD">
      <w:pPr>
        <w:pStyle w:val="OpiPara"/>
      </w:pPr>
      <w:r w:rsidRPr="00275FCA">
        <w:t>This case, however, is exceptional in this respect. As indicated in the judgment, there have been in the meantime changes in the domestic law regarding the teaching of the Kurdish language (see paragraph 114 of the judgment). Taking this new development into account, which reduces the object of the present Article 14 complaint to one of historical importance only, and of course also in the light of our finding of a violation of Article 10 of the Convention, I agree with my colleagues that it is now unnecessary to examine the Article 14 complaint separately.</w:t>
      </w:r>
    </w:p>
    <w:p w:rsidRPr="00275FCA" w:rsidR="000A7BFD" w:rsidP="00275FCA" w:rsidRDefault="000A7BFD">
      <w:pPr>
        <w:pStyle w:val="OpiPara"/>
      </w:pPr>
    </w:p>
    <w:p w:rsidRPr="00275FCA" w:rsidR="00440C14" w:rsidP="00275FCA" w:rsidRDefault="00440C14">
      <w:pPr>
        <w:pStyle w:val="OpiPara"/>
        <w:sectPr w:rsidRPr="00275FCA" w:rsidR="00440C14" w:rsidSect="0008432F">
          <w:headerReference w:type="even" r:id="rId14"/>
          <w:headerReference w:type="default" r:id="rId15"/>
          <w:footnotePr>
            <w:numRestart w:val="eachSect"/>
          </w:footnotePr>
          <w:pgSz w:w="11906" w:h="16838" w:code="9"/>
          <w:pgMar w:top="2274" w:right="2274" w:bottom="2274" w:left="2274" w:header="1701" w:footer="720" w:gutter="0"/>
          <w:cols w:space="720"/>
          <w:docGrid w:linePitch="326"/>
        </w:sectPr>
      </w:pPr>
    </w:p>
    <w:p w:rsidRPr="00275FCA" w:rsidR="00440C14" w:rsidP="00275FCA" w:rsidRDefault="00440C14">
      <w:pPr>
        <w:pStyle w:val="ECHRTitleCentre1"/>
        <w:rPr>
          <w:rFonts w:eastAsia="Times New Roman" w:cs="Times New Roman"/>
          <w:lang w:val="en-GB"/>
        </w:rPr>
      </w:pPr>
      <w:r w:rsidRPr="00275FCA">
        <w:rPr>
          <w:lang w:val="en-GB"/>
        </w:rPr>
        <w:t>PARTLY DISSENTING OPINION OF JUDGE TURKOVIĆ</w:t>
      </w:r>
    </w:p>
    <w:p w:rsidRPr="00275FCA" w:rsidR="00440C14" w:rsidP="00275FCA" w:rsidRDefault="00440C14">
      <w:pPr>
        <w:pStyle w:val="OpiPara"/>
        <w:rPr>
          <w:rFonts w:eastAsia="Times New Roman" w:cs="Times New Roman"/>
          <w:lang w:val="en-GB"/>
        </w:rPr>
      </w:pPr>
      <w:r w:rsidRPr="00275FCA">
        <w:rPr>
          <w:lang w:val="en-GB"/>
        </w:rPr>
        <w:t>1.  I respectfully disagree with the majority that Yılmaz Yavuz</w:t>
      </w:r>
      <w:r w:rsidRPr="00275FCA" w:rsidR="00275FCA">
        <w:rPr>
          <w:lang w:val="en-GB"/>
        </w:rPr>
        <w:t>’</w:t>
      </w:r>
      <w:r w:rsidRPr="00275FCA">
        <w:rPr>
          <w:lang w:val="en-GB"/>
        </w:rPr>
        <w:t>s arrest and subsequent detention cannot be viewed in terms of interference with the Article 10 right to freedom of speech.</w:t>
      </w:r>
    </w:p>
    <w:p w:rsidRPr="00275FCA" w:rsidR="00C52527" w:rsidP="00275FCA" w:rsidRDefault="00440C14">
      <w:pPr>
        <w:pStyle w:val="OpiPara"/>
        <w:rPr>
          <w:lang w:val="en-GB"/>
        </w:rPr>
      </w:pPr>
      <w:r w:rsidRPr="00275FCA">
        <w:rPr>
          <w:lang w:val="en-GB"/>
        </w:rPr>
        <w:t>2.  His premises were searched and he was arrested and detained for four days under suspicion of writing a petition requesting the provision of education in Kurdish and thus aiding and abetting an illegal organisation – just like the other applicants. In the present case the authorities abused or misused the wording of Article 169 of the Criminal Code prescribing the punishment of “(a)ny person who ... facilitates [the] operations [of an illegal organisation] in any manner whatsoever ...” (see paragraph 30 of the judgment). This was apt to have the effect of harassing and intimidating individuals of Kurdish origin suspected of expressing their legitimate demands, which was nothing more than peaceful speech. The vague and/or overbroad language of the law was specifically misused to target the Kurdish minority in order to silence their minority voices.</w:t>
      </w:r>
    </w:p>
    <w:p w:rsidRPr="00275FCA" w:rsidR="00C52527" w:rsidP="00275FCA" w:rsidRDefault="00440C14">
      <w:pPr>
        <w:pStyle w:val="OpiPara"/>
        <w:rPr>
          <w:lang w:val="en-GB"/>
        </w:rPr>
      </w:pPr>
      <w:r w:rsidRPr="00275FCA">
        <w:rPr>
          <w:lang w:val="en-GB"/>
        </w:rPr>
        <w:t xml:space="preserve">3.  Such a law, coupled with such a practice, is liable to have a severely dissuasive effect on the members of the Kurdish minority in expressing their specific concerns, opinions and demands (compare </w:t>
      </w:r>
      <w:r w:rsidRPr="00275FCA">
        <w:rPr>
          <w:i/>
          <w:lang w:val="en-GB"/>
        </w:rPr>
        <w:t>Dilipak v. Turkey</w:t>
      </w:r>
      <w:r w:rsidRPr="00275FCA">
        <w:rPr>
          <w:lang w:val="en-GB"/>
        </w:rPr>
        <w:t>, no. 29680/05</w:t>
      </w:r>
      <w:r w:rsidRPr="00275FCA">
        <w:rPr>
          <w:snapToGrid w:val="0"/>
          <w:lang w:val="en-GB"/>
        </w:rPr>
        <w:t xml:space="preserve">, </w:t>
      </w:r>
      <w:r w:rsidRPr="00275FCA">
        <w:rPr>
          <w:lang w:val="en-GB"/>
        </w:rPr>
        <w:t xml:space="preserve">§§ 46, 47 and 50, </w:t>
      </w:r>
      <w:r w:rsidRPr="00275FCA">
        <w:rPr>
          <w:snapToGrid w:val="0"/>
          <w:lang w:val="en-GB"/>
        </w:rPr>
        <w:t>15 September 2015,</w:t>
      </w:r>
      <w:r w:rsidRPr="00275FCA">
        <w:rPr>
          <w:lang w:val="en-GB"/>
        </w:rPr>
        <w:t xml:space="preserve"> and </w:t>
      </w:r>
      <w:r w:rsidRPr="00275FCA">
        <w:rPr>
          <w:i/>
          <w:lang w:val="en-GB"/>
        </w:rPr>
        <w:t>Altuğ Taner Akçam v. Turkey</w:t>
      </w:r>
      <w:r w:rsidRPr="00275FCA">
        <w:rPr>
          <w:lang w:val="en-GB"/>
        </w:rPr>
        <w:t>, no. 27520/07</w:t>
      </w:r>
      <w:r w:rsidRPr="00275FCA">
        <w:rPr>
          <w:snapToGrid w:val="0"/>
          <w:szCs w:val="24"/>
          <w:lang w:val="en-GB"/>
        </w:rPr>
        <w:t>, §§ 70-75, 25 October 2011</w:t>
      </w:r>
      <w:r w:rsidRPr="00275FCA">
        <w:rPr>
          <w:lang w:val="en-GB"/>
        </w:rPr>
        <w:t xml:space="preserve">). In this context, the fact that the applicant in question claimed that he had never submitted a petition to the authorities (compare </w:t>
      </w:r>
      <w:r w:rsidRPr="00275FCA">
        <w:rPr>
          <w:i/>
          <w:lang w:val="en-GB"/>
        </w:rPr>
        <w:t>Müdür Duman v. Turkey</w:t>
      </w:r>
      <w:r w:rsidRPr="00275FCA">
        <w:rPr>
          <w:lang w:val="en-GB"/>
        </w:rPr>
        <w:t xml:space="preserve">, no. 15450/03, § 30, 6 October 2015) and the fact that the public prosecutor at the Istanbul State Security Court decided later not to prosecute him because of a lack of evidence (compare </w:t>
      </w:r>
      <w:r w:rsidRPr="00275FCA">
        <w:rPr>
          <w:i/>
          <w:lang w:val="en-GB"/>
        </w:rPr>
        <w:t>Altuğ Taner Akçam</w:t>
      </w:r>
      <w:r w:rsidRPr="00275FCA">
        <w:rPr>
          <w:lang w:val="en-GB"/>
        </w:rPr>
        <w:t>, cited above, §§ 70-75), did not diminish the chilling effect of the Government</w:t>
      </w:r>
      <w:r w:rsidRPr="00275FCA" w:rsidR="00275FCA">
        <w:rPr>
          <w:lang w:val="en-GB"/>
        </w:rPr>
        <w:t>’</w:t>
      </w:r>
      <w:r w:rsidRPr="00275FCA">
        <w:rPr>
          <w:lang w:val="en-GB"/>
        </w:rPr>
        <w:t>s actions against him (search, arrest and detention) based on Article 169, and the chilling effect of that law itself.</w:t>
      </w:r>
    </w:p>
    <w:p w:rsidRPr="00275FCA" w:rsidR="00440C14" w:rsidP="00275FCA" w:rsidRDefault="00440C14">
      <w:pPr>
        <w:pStyle w:val="OpiPara"/>
        <w:rPr>
          <w:rFonts w:eastAsia="Times New Roman" w:cs="Times New Roman"/>
          <w:lang w:val="en-GB"/>
        </w:rPr>
      </w:pPr>
      <w:r w:rsidRPr="00275FCA">
        <w:rPr>
          <w:lang w:val="en-GB"/>
        </w:rPr>
        <w:t xml:space="preserve">4.  I could not agree more with the former UN Special Rapporteur on freedom of expression, Frank La Rue, that “(a)rbitrary use of criminal law to sanction legitimate expression constitutes one of the gravest forms of restriction to the right of free speech, as it not only creates a </w:t>
      </w:r>
      <w:r w:rsidRPr="00275FCA" w:rsidR="00275FCA">
        <w:rPr>
          <w:lang w:val="en-GB"/>
        </w:rPr>
        <w:t>‘</w:t>
      </w:r>
      <w:r w:rsidRPr="00275FCA">
        <w:rPr>
          <w:lang w:val="en-GB"/>
        </w:rPr>
        <w:t>chilling effect</w:t>
      </w:r>
      <w:r w:rsidRPr="00275FCA" w:rsidR="00275FCA">
        <w:rPr>
          <w:lang w:val="en-GB"/>
        </w:rPr>
        <w:t>’</w:t>
      </w:r>
      <w:r w:rsidRPr="00275FCA">
        <w:rPr>
          <w:lang w:val="en-GB"/>
        </w:rPr>
        <w:t xml:space="preserve">, but also leads to other human rights violations </w:t>
      </w:r>
      <w:r w:rsidRPr="00275FCA" w:rsidR="00C52527">
        <w:rPr>
          <w:lang w:val="en-GB"/>
        </w:rPr>
        <w:t>...</w:t>
      </w:r>
      <w:r w:rsidRPr="00275FCA">
        <w:rPr>
          <w:lang w:val="en-GB"/>
        </w:rPr>
        <w:t>”</w:t>
      </w:r>
      <w:r w:rsidRPr="00275FCA">
        <w:rPr>
          <w:rFonts w:eastAsia="Times New Roman" w:cs="Times New Roman"/>
          <w:vertAlign w:val="superscript"/>
          <w:lang w:val="en-GB"/>
        </w:rPr>
        <w:footnoteReference w:id="2"/>
      </w:r>
      <w:r w:rsidRPr="00275FCA">
        <w:rPr>
          <w:lang w:val="en-GB"/>
        </w:rPr>
        <w:t>. This is true even if along the way the person is not convicted due to a lack of evidence.</w:t>
      </w:r>
    </w:p>
    <w:p w:rsidRPr="00275FCA" w:rsidR="00440C14" w:rsidP="00275FCA" w:rsidRDefault="00440C14">
      <w:pPr>
        <w:pStyle w:val="OpiPara"/>
        <w:rPr>
          <w:rFonts w:eastAsia="Times New Roman" w:cs="Times New Roman"/>
          <w:lang w:val="en-GB"/>
        </w:rPr>
      </w:pPr>
      <w:r w:rsidRPr="00275FCA">
        <w:rPr>
          <w:lang w:val="en-GB"/>
        </w:rPr>
        <w:t xml:space="preserve">5.  Thus, in the case of Yılmaz Yavuz it is important to emphasise that the arbitrary use of criminal law to sanction legitimate expression, coupled with an intrusive investigation, not only led to human rights violations under Article 5 of the Convention (as the majority held), but above all created a “chilling effect” (which the majority omitted to acknowledge because of his claim that he never submitted the petition to the authorities). Indeed, the actions which the authorities took against the applicant in question cannot be regarded as solely comprising purely hypothetical risks of limitation of freedom of expression (see </w:t>
      </w:r>
      <w:r w:rsidRPr="00275FCA">
        <w:rPr>
          <w:i/>
          <w:lang w:val="en-GB"/>
        </w:rPr>
        <w:t>Dilipak</w:t>
      </w:r>
      <w:r w:rsidRPr="00275FCA">
        <w:rPr>
          <w:lang w:val="en-GB"/>
        </w:rPr>
        <w:t>, cited above, § 50). On the contrary, such actions are perfectly capable of creating fears leading the applicant and other members of the Kurdish minority – even those of ordinary firmness and certainly those who are risk averse – to engage in self-censorship. This is true even where, as in the present case, the applicant claims that he never submitted the petition and despite the fact that he was never prosecuted due to a lack of evidence.</w:t>
      </w:r>
    </w:p>
    <w:p w:rsidRPr="00275FCA" w:rsidR="00440C14" w:rsidP="00275FCA" w:rsidRDefault="00440C14">
      <w:pPr>
        <w:pStyle w:val="OpiPara"/>
        <w:rPr>
          <w:rFonts w:eastAsia="Times New Roman" w:cs="Times New Roman"/>
          <w:lang w:val="en-GB"/>
        </w:rPr>
      </w:pPr>
      <w:r w:rsidRPr="00275FCA">
        <w:rPr>
          <w:lang w:val="en-GB"/>
        </w:rPr>
        <w:t>6.  In the case of the applicant Yılmaz Yavuz the investigation crossed the line from permissible information-gathering to having a chilling effect: the investigation was conducted in retaliation for a petition containing legitimate demands, it resulted in actual harm (arrest and detention), it implied very serious punishment and it was conducted together with a number of other investigations concerning the very same “protected speech”. The fact that in the applicant</w:t>
      </w:r>
      <w:r w:rsidRPr="00275FCA" w:rsidR="00275FCA">
        <w:rPr>
          <w:lang w:val="en-GB"/>
        </w:rPr>
        <w:t>’</w:t>
      </w:r>
      <w:r w:rsidRPr="00275FCA">
        <w:rPr>
          <w:lang w:val="en-GB"/>
        </w:rPr>
        <w:t>s case the investigation was dropped due to a lack of evidence, and that he himself claimed that he never wrote the petition, did not diminish its intrusive character and its abusiveness as an informal system of prior restraint. The latter in itself raises an issue under the Convention. The two issues are not mutually exclusive. Hence, unlike the majority I do not find that it was appropriate to reject Yılmaz Yavuz</w:t>
      </w:r>
      <w:r w:rsidRPr="00275FCA" w:rsidR="00275FCA">
        <w:rPr>
          <w:lang w:val="en-GB"/>
        </w:rPr>
        <w:t>’</w:t>
      </w:r>
      <w:r w:rsidRPr="00275FCA">
        <w:rPr>
          <w:lang w:val="en-GB"/>
        </w:rPr>
        <w:t>s application concerning the violation of his freedom of speech as being manifestly ill-founded.</w:t>
      </w:r>
    </w:p>
    <w:p w:rsidRPr="00275FCA" w:rsidR="000A7BFD" w:rsidP="00275FCA" w:rsidRDefault="00440C14">
      <w:pPr>
        <w:pStyle w:val="OpiPara"/>
        <w:rPr>
          <w:rFonts w:ascii="Times New Roman" w:hAnsi="Times New Roman" w:eastAsia="Times New Roman" w:cs="Times New Roman"/>
          <w:lang w:val="en-GB"/>
        </w:rPr>
      </w:pPr>
      <w:r w:rsidRPr="00275FCA">
        <w:rPr>
          <w:lang w:val="en-GB"/>
        </w:rPr>
        <w:t>7.  Finally, given that fears of arbitrary actions, combined with uncertainty as to how the vague and/or overbroad laws will be applied, lead to self-censorship, with the result that the protection of minority rights is weakened, dissent dries up and democracy loses its essence, I find it unfortunate that in the present case the Court avoided examining the case from the perspective of the quality of the relevant law (see paragraph 94 of the judgment)</w:t>
      </w:r>
      <w:r w:rsidRPr="00275FCA">
        <w:rPr>
          <w:rFonts w:eastAsia="Times New Roman" w:cs="Times New Roman"/>
          <w:vertAlign w:val="superscript"/>
          <w:lang w:val="en-GB"/>
        </w:rPr>
        <w:footnoteReference w:id="3"/>
      </w:r>
      <w:r w:rsidRPr="00275FCA">
        <w:rPr>
          <w:lang w:val="en-GB"/>
        </w:rPr>
        <w:t>, even more so since the applicants complained originally under Article 7 of the Convention (see paragraph 78 of the judgment).</w:t>
      </w:r>
    </w:p>
    <w:sectPr w:rsidRPr="00275FCA" w:rsidR="000A7BFD" w:rsidSect="0008432F">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B78" w:rsidRPr="0032676F" w:rsidRDefault="00122B78" w:rsidP="00014566">
      <w:pPr>
        <w:rPr>
          <w:lang w:val="en-GB"/>
        </w:rPr>
      </w:pPr>
      <w:r w:rsidRPr="0032676F">
        <w:rPr>
          <w:lang w:val="en-GB"/>
        </w:rPr>
        <w:separator/>
      </w:r>
    </w:p>
  </w:endnote>
  <w:endnote w:type="continuationSeparator" w:id="0">
    <w:p w:rsidR="00122B78" w:rsidRPr="0032676F" w:rsidRDefault="00122B78" w:rsidP="00014566">
      <w:pPr>
        <w:rPr>
          <w:lang w:val="en-GB"/>
        </w:rPr>
      </w:pPr>
      <w:r w:rsidRPr="0032676F">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Default="00122B78" w:rsidP="006B4718">
    <w:pPr>
      <w:pStyle w:val="Footer"/>
      <w:jc w:val="center"/>
    </w:pPr>
    <w:r>
      <w:rPr>
        <w:noProof/>
        <w:lang w:eastAsia="ja-JP"/>
      </w:rPr>
      <w:drawing>
        <wp:inline distT="0" distB="0" distL="0" distR="0" wp14:anchorId="30697334" wp14:editId="58757206">
          <wp:extent cx="774065" cy="621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621665"/>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Default="00122B78" w:rsidP="006B47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B78" w:rsidRPr="0032676F" w:rsidRDefault="00122B78" w:rsidP="00014566">
      <w:pPr>
        <w:rPr>
          <w:lang w:val="en-GB"/>
        </w:rPr>
      </w:pPr>
      <w:r w:rsidRPr="0032676F">
        <w:rPr>
          <w:lang w:val="en-GB"/>
        </w:rPr>
        <w:separator/>
      </w:r>
    </w:p>
  </w:footnote>
  <w:footnote w:type="continuationSeparator" w:id="0">
    <w:p w:rsidR="00122B78" w:rsidRPr="0032676F" w:rsidRDefault="00122B78" w:rsidP="00014566">
      <w:pPr>
        <w:rPr>
          <w:lang w:val="en-GB"/>
        </w:rPr>
      </w:pPr>
      <w:r w:rsidRPr="0032676F">
        <w:rPr>
          <w:lang w:val="en-GB"/>
        </w:rPr>
        <w:continuationSeparator/>
      </w:r>
    </w:p>
  </w:footnote>
  <w:footnote w:id="1">
    <w:p w:rsidR="00122B78" w:rsidRPr="008451C7" w:rsidRDefault="00122B78" w:rsidP="000A7BFD">
      <w:pPr>
        <w:pStyle w:val="FootnoteText"/>
      </w:pPr>
      <w:r w:rsidRPr="003E74D4">
        <w:rPr>
          <w:rStyle w:val="FootnoteReference"/>
          <w:vertAlign w:val="baseline"/>
        </w:rPr>
        <w:footnoteRef/>
      </w:r>
      <w:r>
        <w:t>.  </w:t>
      </w:r>
      <w:r w:rsidRPr="008451C7">
        <w:t xml:space="preserve">I do not express an opinion </w:t>
      </w:r>
      <w:r>
        <w:t xml:space="preserve">on </w:t>
      </w:r>
      <w:r w:rsidRPr="008451C7">
        <w:t xml:space="preserve">whether </w:t>
      </w:r>
      <w:r>
        <w:t xml:space="preserve">the </w:t>
      </w:r>
      <w:r w:rsidRPr="008451C7">
        <w:t xml:space="preserve">Article 7 </w:t>
      </w:r>
      <w:r>
        <w:t>complaint c</w:t>
      </w:r>
      <w:r w:rsidRPr="008451C7">
        <w:t>ould be</w:t>
      </w:r>
      <w:r>
        <w:t xml:space="preserve"> declared</w:t>
      </w:r>
      <w:r w:rsidRPr="008451C7">
        <w:t xml:space="preserve"> applicable</w:t>
      </w:r>
      <w:r>
        <w:t xml:space="preserve"> in the present case (there was no declaration of guilt, nor an imposition of a penalty), and even less on whether Article 7 was violated or not.</w:t>
      </w:r>
    </w:p>
  </w:footnote>
  <w:footnote w:id="2">
    <w:p w:rsidR="00122B78" w:rsidRDefault="00122B78" w:rsidP="00440C14">
      <w:pPr>
        <w:pStyle w:val="NormalWeb"/>
        <w:rPr>
          <w:sz w:val="20"/>
          <w:szCs w:val="20"/>
        </w:rPr>
      </w:pPr>
      <w:r w:rsidRPr="000F0F72">
        <w:rPr>
          <w:sz w:val="20"/>
          <w:szCs w:val="20"/>
        </w:rPr>
        <w:footnoteRef/>
      </w:r>
      <w:r w:rsidRPr="000F0F72">
        <w:rPr>
          <w:rFonts w:eastAsia="Arial Unicode MS" w:cs="Arial Unicode MS"/>
          <w:sz w:val="20"/>
          <w:szCs w:val="20"/>
        </w:rPr>
        <w:t>.</w:t>
      </w:r>
      <w:r>
        <w:rPr>
          <w:rFonts w:eastAsia="Arial Unicode MS" w:cs="Arial Unicode MS"/>
        </w:rPr>
        <w:t>  </w:t>
      </w:r>
      <w:r>
        <w:rPr>
          <w:rFonts w:eastAsia="Arial Unicode MS" w:cs="Arial Unicode MS"/>
          <w:sz w:val="20"/>
          <w:szCs w:val="20"/>
        </w:rPr>
        <w:t>UN Human Rights Council, Report of the Special Rapporteur on the promotion and protection of the right to freedom of opinion and expression, Frank La Rue, May 2011, A/HRC/17/27.</w:t>
      </w:r>
    </w:p>
  </w:footnote>
  <w:footnote w:id="3">
    <w:p w:rsidR="00122B78" w:rsidRPr="00440C14" w:rsidRDefault="00122B78" w:rsidP="00440C14">
      <w:pPr>
        <w:pStyle w:val="FootnoteText"/>
        <w:rPr>
          <w:lang w:val="en-GB"/>
        </w:rPr>
      </w:pPr>
      <w:r w:rsidRPr="003C14A5">
        <w:rPr>
          <w:rFonts w:ascii="Times New Roman" w:eastAsia="Times New Roman" w:hAnsi="Times New Roman" w:cs="Times New Roman"/>
        </w:rPr>
        <w:footnoteRef/>
      </w:r>
      <w:r>
        <w:t>.  </w:t>
      </w:r>
      <w:r>
        <w:rPr>
          <w:rFonts w:ascii="Times New Roman" w:hAnsi="Times New Roman"/>
        </w:rPr>
        <w:t>Although the law has been repealed in the meantime (see paragraph 30 of the judgment), something for which Turkish Government should be commended, I believe that such an exercise would still be useful.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Pr="0032676F" w:rsidRDefault="00122B78"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Pr>
        <w:rStyle w:val="PageNumber"/>
        <w:noProof/>
        <w:szCs w:val="18"/>
        <w:lang w:val="en-GB"/>
      </w:rPr>
      <w:t>28</w:t>
    </w:r>
    <w:r>
      <w:rPr>
        <w:rStyle w:val="PageNumber"/>
        <w:szCs w:val="18"/>
        <w:lang w:val="en-GB"/>
      </w:rPr>
      <w:fldChar w:fldCharType="end"/>
    </w:r>
    <w:r w:rsidRPr="0032676F">
      <w:rPr>
        <w:lang w:val="en-GB"/>
      </w:rPr>
      <w:tab/>
    </w:r>
    <w:r>
      <w:rPr>
        <w:lang w:val="en-GB"/>
      </w:rPr>
      <w:t>DÖNER AND OTHERS v. TURKEY</w:t>
    </w:r>
    <w:r w:rsidRPr="0032676F">
      <w:rPr>
        <w:lang w:val="en-GB"/>
      </w:rPr>
      <w:t xml:space="preserve"> </w:t>
    </w:r>
    <w:r>
      <w:rPr>
        <w:lang w:val="en-GB"/>
      </w:rPr>
      <w:t>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Default="00122B78" w:rsidP="006B4718">
    <w:pPr>
      <w:jc w:val="center"/>
      <w:rPr>
        <w:lang w:val="en-GB"/>
      </w:rPr>
    </w:pPr>
    <w:r w:rsidRPr="0032676F">
      <w:rPr>
        <w:lang w:val="en-GB"/>
      </w:rPr>
      <w:t xml:space="preserve"> </w:t>
    </w:r>
    <w:r>
      <w:rPr>
        <w:noProof/>
        <w:lang w:eastAsia="ja-JP"/>
      </w:rPr>
      <w:drawing>
        <wp:inline distT="0" distB="0" distL="0" distR="0" wp14:anchorId="0A2F5F17" wp14:editId="565FB32C">
          <wp:extent cx="2962910" cy="1219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910" cy="1219200"/>
                  </a:xfrm>
                  <a:prstGeom prst="rect">
                    <a:avLst/>
                  </a:prstGeom>
                  <a:noFill/>
                </pic:spPr>
              </pic:pic>
            </a:graphicData>
          </a:graphic>
        </wp:inline>
      </w:drawing>
    </w:r>
  </w:p>
  <w:p w:rsidR="00122B78" w:rsidRPr="0032676F" w:rsidRDefault="00122B78" w:rsidP="006B4718">
    <w:pPr>
      <w:pStyle w:val="ECHRHeader"/>
      <w:jc w:val="cent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Pr="0032676F" w:rsidRDefault="00122B78"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75FCA">
      <w:rPr>
        <w:rStyle w:val="PageNumber"/>
        <w:noProof/>
        <w:szCs w:val="18"/>
        <w:lang w:val="en-GB"/>
      </w:rPr>
      <w:t>6</w:t>
    </w:r>
    <w:r>
      <w:rPr>
        <w:rStyle w:val="PageNumber"/>
        <w:szCs w:val="18"/>
        <w:lang w:val="en-GB"/>
      </w:rPr>
      <w:fldChar w:fldCharType="end"/>
    </w:r>
    <w:r w:rsidRPr="0032676F">
      <w:rPr>
        <w:lang w:val="en-GB"/>
      </w:rPr>
      <w:tab/>
    </w:r>
    <w:r>
      <w:rPr>
        <w:lang w:val="en-GB"/>
      </w:rPr>
      <w:t>DÖNER AND OTHERS v. TURKEY</w:t>
    </w:r>
    <w:r w:rsidRPr="0032676F">
      <w:rPr>
        <w:lang w:val="en-GB"/>
      </w:rPr>
      <w:t xml:space="preserve"> </w:t>
    </w:r>
    <w:r>
      <w:rPr>
        <w:lang w:val="en-GB"/>
      </w:rPr>
      <w:t xml:space="preserve">JUDGMENT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Pr="00D60D87" w:rsidRDefault="00122B78" w:rsidP="00ED02E4">
    <w:pPr>
      <w:pStyle w:val="ECHRHeader"/>
    </w:pPr>
    <w:r>
      <w:tab/>
    </w:r>
    <w:r>
      <w:rPr>
        <w:lang w:val="en-GB"/>
      </w:rPr>
      <w:t>DÖNER AND OTHERS v. TURKEY</w:t>
    </w:r>
    <w:r w:rsidRPr="0032676F">
      <w:rPr>
        <w:lang w:val="en-GB"/>
      </w:rPr>
      <w:t xml:space="preserve"> </w:t>
    </w:r>
    <w:r>
      <w:rPr>
        <w:lang w:val="en-GB"/>
      </w:rPr>
      <w:t>JUDGMENT</w:t>
    </w:r>
    <w:r w:rsidRPr="00D60D87">
      <w:tab/>
    </w:r>
    <w:r>
      <w:rPr>
        <w:rStyle w:val="PageNumber"/>
        <w:szCs w:val="18"/>
      </w:rPr>
      <w:fldChar w:fldCharType="begin"/>
    </w:r>
    <w:r>
      <w:rPr>
        <w:rStyle w:val="PageNumber"/>
        <w:szCs w:val="18"/>
      </w:rPr>
      <w:instrText xml:space="preserve"> PAGE </w:instrText>
    </w:r>
    <w:r>
      <w:rPr>
        <w:rStyle w:val="PageNumber"/>
        <w:szCs w:val="18"/>
      </w:rPr>
      <w:fldChar w:fldCharType="separate"/>
    </w:r>
    <w:r w:rsidR="00275FCA">
      <w:rPr>
        <w:rStyle w:val="PageNumber"/>
        <w:noProof/>
        <w:szCs w:val="18"/>
      </w:rPr>
      <w:t>7</w:t>
    </w:r>
    <w:r>
      <w:rPr>
        <w:rStyle w:val="PageNumber"/>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Pr="0032676F" w:rsidRDefault="00122B78"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75FCA">
      <w:rPr>
        <w:rStyle w:val="PageNumber"/>
        <w:noProof/>
        <w:szCs w:val="18"/>
        <w:lang w:val="en-GB"/>
      </w:rPr>
      <w:t>32</w:t>
    </w:r>
    <w:r>
      <w:rPr>
        <w:rStyle w:val="PageNumber"/>
        <w:szCs w:val="18"/>
        <w:lang w:val="en-GB"/>
      </w:rPr>
      <w:fldChar w:fldCharType="end"/>
    </w:r>
    <w:r w:rsidRPr="0032676F">
      <w:rPr>
        <w:lang w:val="en-GB"/>
      </w:rPr>
      <w:tab/>
    </w:r>
    <w:r>
      <w:rPr>
        <w:lang w:val="en-GB"/>
      </w:rPr>
      <w:t>DÖNER AND OTHERS v. TURKEY</w:t>
    </w:r>
    <w:r w:rsidRPr="0032676F">
      <w:rPr>
        <w:lang w:val="en-GB"/>
      </w:rPr>
      <w:t xml:space="preserve"> </w:t>
    </w:r>
    <w:r>
      <w:rPr>
        <w:lang w:val="en-GB"/>
      </w:rPr>
      <w:t xml:space="preserve">JUDGMENT </w:t>
    </w:r>
    <w:r w:rsidRPr="0008432F">
      <w:rPr>
        <w:lang w:val="en-GB"/>
      </w:rPr>
      <w:t>- SEPARATE OPINION</w:t>
    </w:r>
    <w:r>
      <w:rPr>
        <w:lang w:val="en-GB"/>
      </w:rPr>
      <w: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B78" w:rsidRPr="00D60D87" w:rsidRDefault="00122B78" w:rsidP="00ED02E4">
    <w:pPr>
      <w:pStyle w:val="ECHRHeader"/>
    </w:pPr>
    <w:r>
      <w:tab/>
    </w:r>
    <w:r>
      <w:rPr>
        <w:lang w:val="en-GB"/>
      </w:rPr>
      <w:t>DÖNER AND OTHERS v. TURKEY</w:t>
    </w:r>
    <w:r w:rsidRPr="0032676F">
      <w:rPr>
        <w:lang w:val="en-GB"/>
      </w:rPr>
      <w:t xml:space="preserve"> </w:t>
    </w:r>
    <w:r>
      <w:rPr>
        <w:lang w:val="en-GB"/>
      </w:rPr>
      <w:t>JUDGMENT - SEPARATE OPINION</w:t>
    </w:r>
    <w:r>
      <w:rPr>
        <w:lang w:val="tr-TR"/>
      </w:rPr>
      <w:t>S</w:t>
    </w:r>
    <w:r w:rsidRPr="00D60D87">
      <w:tab/>
    </w:r>
    <w:r>
      <w:rPr>
        <w:rStyle w:val="PageNumber"/>
        <w:szCs w:val="18"/>
      </w:rPr>
      <w:fldChar w:fldCharType="begin"/>
    </w:r>
    <w:r>
      <w:rPr>
        <w:rStyle w:val="PageNumber"/>
        <w:szCs w:val="18"/>
      </w:rPr>
      <w:instrText xml:space="preserve"> PAGE </w:instrText>
    </w:r>
    <w:r>
      <w:rPr>
        <w:rStyle w:val="PageNumber"/>
        <w:szCs w:val="18"/>
      </w:rPr>
      <w:fldChar w:fldCharType="separate"/>
    </w:r>
    <w:r w:rsidR="00275FCA">
      <w:rPr>
        <w:rStyle w:val="PageNumber"/>
        <w:noProof/>
        <w:szCs w:val="18"/>
      </w:rPr>
      <w:t>31</w:t>
    </w:r>
    <w:r>
      <w:rPr>
        <w:rStyle w:val="PageNumber"/>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C145B3"/>
    <w:multiLevelType w:val="hybridMultilevel"/>
    <w:tmpl w:val="9D46F754"/>
    <w:lvl w:ilvl="0" w:tplc="DBF017DC">
      <w:start w:val="1"/>
      <w:numFmt w:val="decimal"/>
      <w:lvlText w:val="%1."/>
      <w:lvlJc w:val="left"/>
      <w:pPr>
        <w:tabs>
          <w:tab w:val="num" w:pos="3195"/>
        </w:tabs>
        <w:ind w:left="3195" w:hanging="360"/>
      </w:pPr>
      <w:rPr>
        <w:rFonts w:hint="default"/>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2">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9"/>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 w:numId="16">
    <w:abstractNumId w:val="13"/>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662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78442C"/>
    <w:rsid w:val="000010ED"/>
    <w:rsid w:val="000041F8"/>
    <w:rsid w:val="000042A8"/>
    <w:rsid w:val="00004308"/>
    <w:rsid w:val="00005BF0"/>
    <w:rsid w:val="000065E2"/>
    <w:rsid w:val="00007154"/>
    <w:rsid w:val="00007E6E"/>
    <w:rsid w:val="0001032F"/>
    <w:rsid w:val="000103AE"/>
    <w:rsid w:val="00011D69"/>
    <w:rsid w:val="00011E29"/>
    <w:rsid w:val="000125E0"/>
    <w:rsid w:val="00012AD3"/>
    <w:rsid w:val="00014170"/>
    <w:rsid w:val="00014566"/>
    <w:rsid w:val="00015C2D"/>
    <w:rsid w:val="00015DC6"/>
    <w:rsid w:val="00015F00"/>
    <w:rsid w:val="00021E0F"/>
    <w:rsid w:val="00022C1D"/>
    <w:rsid w:val="00026708"/>
    <w:rsid w:val="00027B5B"/>
    <w:rsid w:val="00032AD0"/>
    <w:rsid w:val="00034987"/>
    <w:rsid w:val="00035639"/>
    <w:rsid w:val="00041AC8"/>
    <w:rsid w:val="00043CF7"/>
    <w:rsid w:val="00044F8E"/>
    <w:rsid w:val="0004632E"/>
    <w:rsid w:val="00046561"/>
    <w:rsid w:val="000504B1"/>
    <w:rsid w:val="0005086A"/>
    <w:rsid w:val="00051265"/>
    <w:rsid w:val="00053E3B"/>
    <w:rsid w:val="00056EFE"/>
    <w:rsid w:val="000602DF"/>
    <w:rsid w:val="000614B4"/>
    <w:rsid w:val="00061B05"/>
    <w:rsid w:val="00062973"/>
    <w:rsid w:val="00062D5D"/>
    <w:rsid w:val="000632D5"/>
    <w:rsid w:val="0006332E"/>
    <w:rsid w:val="000644EE"/>
    <w:rsid w:val="0006473C"/>
    <w:rsid w:val="00065360"/>
    <w:rsid w:val="000655A9"/>
    <w:rsid w:val="00071ABC"/>
    <w:rsid w:val="00072241"/>
    <w:rsid w:val="0008432F"/>
    <w:rsid w:val="000856D7"/>
    <w:rsid w:val="00091AC2"/>
    <w:rsid w:val="000923DF"/>
    <w:rsid w:val="000925AD"/>
    <w:rsid w:val="0009309F"/>
    <w:rsid w:val="000943DC"/>
    <w:rsid w:val="00095945"/>
    <w:rsid w:val="000A0045"/>
    <w:rsid w:val="000A21D8"/>
    <w:rsid w:val="000A24EB"/>
    <w:rsid w:val="000A4562"/>
    <w:rsid w:val="000A776F"/>
    <w:rsid w:val="000A7BFD"/>
    <w:rsid w:val="000B2E95"/>
    <w:rsid w:val="000B6923"/>
    <w:rsid w:val="000C033C"/>
    <w:rsid w:val="000C06F8"/>
    <w:rsid w:val="000C3AF4"/>
    <w:rsid w:val="000C4822"/>
    <w:rsid w:val="000C5006"/>
    <w:rsid w:val="000C5E4F"/>
    <w:rsid w:val="000C5F3C"/>
    <w:rsid w:val="000C6DCC"/>
    <w:rsid w:val="000C7236"/>
    <w:rsid w:val="000D1D79"/>
    <w:rsid w:val="000D397B"/>
    <w:rsid w:val="000D47AA"/>
    <w:rsid w:val="000D6266"/>
    <w:rsid w:val="000D721F"/>
    <w:rsid w:val="000D7B89"/>
    <w:rsid w:val="000E0546"/>
    <w:rsid w:val="000E069B"/>
    <w:rsid w:val="000E0E82"/>
    <w:rsid w:val="000E1DC5"/>
    <w:rsid w:val="000E223F"/>
    <w:rsid w:val="000E35AC"/>
    <w:rsid w:val="000E4D87"/>
    <w:rsid w:val="000E7659"/>
    <w:rsid w:val="000E7A71"/>
    <w:rsid w:val="000E7D45"/>
    <w:rsid w:val="000F0F72"/>
    <w:rsid w:val="000F2EF0"/>
    <w:rsid w:val="000F385C"/>
    <w:rsid w:val="000F42D7"/>
    <w:rsid w:val="000F5F89"/>
    <w:rsid w:val="000F7851"/>
    <w:rsid w:val="0010213D"/>
    <w:rsid w:val="0010334B"/>
    <w:rsid w:val="00103C50"/>
    <w:rsid w:val="00104E23"/>
    <w:rsid w:val="001061A6"/>
    <w:rsid w:val="00106756"/>
    <w:rsid w:val="001077B2"/>
    <w:rsid w:val="00111B0C"/>
    <w:rsid w:val="00113829"/>
    <w:rsid w:val="001172A0"/>
    <w:rsid w:val="00117AEC"/>
    <w:rsid w:val="001206EB"/>
    <w:rsid w:val="00120D6C"/>
    <w:rsid w:val="00122822"/>
    <w:rsid w:val="00122B78"/>
    <w:rsid w:val="00122CAB"/>
    <w:rsid w:val="00125526"/>
    <w:rsid w:val="001257EC"/>
    <w:rsid w:val="00131428"/>
    <w:rsid w:val="00132C6A"/>
    <w:rsid w:val="00133D33"/>
    <w:rsid w:val="00134D64"/>
    <w:rsid w:val="00135A30"/>
    <w:rsid w:val="0013612C"/>
    <w:rsid w:val="0013654A"/>
    <w:rsid w:val="00137FF6"/>
    <w:rsid w:val="00140645"/>
    <w:rsid w:val="00141650"/>
    <w:rsid w:val="00141932"/>
    <w:rsid w:val="00142B29"/>
    <w:rsid w:val="00143909"/>
    <w:rsid w:val="0014546D"/>
    <w:rsid w:val="0014683F"/>
    <w:rsid w:val="001531FB"/>
    <w:rsid w:val="00155555"/>
    <w:rsid w:val="00155944"/>
    <w:rsid w:val="001559F8"/>
    <w:rsid w:val="00161E5D"/>
    <w:rsid w:val="00162A12"/>
    <w:rsid w:val="0016314A"/>
    <w:rsid w:val="00166530"/>
    <w:rsid w:val="00171191"/>
    <w:rsid w:val="0017384E"/>
    <w:rsid w:val="001832BD"/>
    <w:rsid w:val="00184C3C"/>
    <w:rsid w:val="00184DF3"/>
    <w:rsid w:val="00184F90"/>
    <w:rsid w:val="001855F9"/>
    <w:rsid w:val="00190799"/>
    <w:rsid w:val="00192D9A"/>
    <w:rsid w:val="001943B5"/>
    <w:rsid w:val="00195134"/>
    <w:rsid w:val="001968E2"/>
    <w:rsid w:val="001978DC"/>
    <w:rsid w:val="001A145B"/>
    <w:rsid w:val="001A197B"/>
    <w:rsid w:val="001A293F"/>
    <w:rsid w:val="001A674C"/>
    <w:rsid w:val="001B3B24"/>
    <w:rsid w:val="001B4DF9"/>
    <w:rsid w:val="001C0B4A"/>
    <w:rsid w:val="001C0D27"/>
    <w:rsid w:val="001C0F98"/>
    <w:rsid w:val="001C2A42"/>
    <w:rsid w:val="001C3A1D"/>
    <w:rsid w:val="001C77D5"/>
    <w:rsid w:val="001D0D6B"/>
    <w:rsid w:val="001D372A"/>
    <w:rsid w:val="001D3E91"/>
    <w:rsid w:val="001D5D9F"/>
    <w:rsid w:val="001D63ED"/>
    <w:rsid w:val="001D7348"/>
    <w:rsid w:val="001E035B"/>
    <w:rsid w:val="001E0961"/>
    <w:rsid w:val="001E25E5"/>
    <w:rsid w:val="001E3EAE"/>
    <w:rsid w:val="001E5348"/>
    <w:rsid w:val="001E6F32"/>
    <w:rsid w:val="001F2145"/>
    <w:rsid w:val="001F43BF"/>
    <w:rsid w:val="001F5D6C"/>
    <w:rsid w:val="001F6262"/>
    <w:rsid w:val="001F67B0"/>
    <w:rsid w:val="001F7B3D"/>
    <w:rsid w:val="001F7CA8"/>
    <w:rsid w:val="00205F9F"/>
    <w:rsid w:val="00210338"/>
    <w:rsid w:val="002115FC"/>
    <w:rsid w:val="002133F8"/>
    <w:rsid w:val="0021423C"/>
    <w:rsid w:val="00216B87"/>
    <w:rsid w:val="00221908"/>
    <w:rsid w:val="00223AB9"/>
    <w:rsid w:val="002263A6"/>
    <w:rsid w:val="002278A7"/>
    <w:rsid w:val="00230D00"/>
    <w:rsid w:val="00231320"/>
    <w:rsid w:val="00231DF7"/>
    <w:rsid w:val="00231FD1"/>
    <w:rsid w:val="002333A8"/>
    <w:rsid w:val="002336E4"/>
    <w:rsid w:val="002339E0"/>
    <w:rsid w:val="00233CF8"/>
    <w:rsid w:val="0023529E"/>
    <w:rsid w:val="00235746"/>
    <w:rsid w:val="0023575D"/>
    <w:rsid w:val="002366F3"/>
    <w:rsid w:val="00237148"/>
    <w:rsid w:val="002402AB"/>
    <w:rsid w:val="0024222D"/>
    <w:rsid w:val="0024389F"/>
    <w:rsid w:val="00244B0E"/>
    <w:rsid w:val="00244F6C"/>
    <w:rsid w:val="002509C1"/>
    <w:rsid w:val="002512B9"/>
    <w:rsid w:val="002532C5"/>
    <w:rsid w:val="00253AB3"/>
    <w:rsid w:val="00260C03"/>
    <w:rsid w:val="00263882"/>
    <w:rsid w:val="0026540E"/>
    <w:rsid w:val="0027225C"/>
    <w:rsid w:val="00272D0E"/>
    <w:rsid w:val="00274B0E"/>
    <w:rsid w:val="00275123"/>
    <w:rsid w:val="00275FCA"/>
    <w:rsid w:val="00276144"/>
    <w:rsid w:val="00280851"/>
    <w:rsid w:val="00280F43"/>
    <w:rsid w:val="00281E14"/>
    <w:rsid w:val="00282240"/>
    <w:rsid w:val="0028572A"/>
    <w:rsid w:val="00285798"/>
    <w:rsid w:val="00291CAA"/>
    <w:rsid w:val="002924E1"/>
    <w:rsid w:val="00293E38"/>
    <w:rsid w:val="00293F94"/>
    <w:rsid w:val="002948AD"/>
    <w:rsid w:val="00294C05"/>
    <w:rsid w:val="00294C92"/>
    <w:rsid w:val="00294F7E"/>
    <w:rsid w:val="002A01CC"/>
    <w:rsid w:val="002A58BA"/>
    <w:rsid w:val="002A6058"/>
    <w:rsid w:val="002A61B1"/>
    <w:rsid w:val="002A663C"/>
    <w:rsid w:val="002A7A75"/>
    <w:rsid w:val="002B1E6C"/>
    <w:rsid w:val="002B3F68"/>
    <w:rsid w:val="002B3FA5"/>
    <w:rsid w:val="002B444B"/>
    <w:rsid w:val="002B5887"/>
    <w:rsid w:val="002B613E"/>
    <w:rsid w:val="002C0692"/>
    <w:rsid w:val="002C0E27"/>
    <w:rsid w:val="002C3040"/>
    <w:rsid w:val="002C468A"/>
    <w:rsid w:val="002C5045"/>
    <w:rsid w:val="002C53CB"/>
    <w:rsid w:val="002C6007"/>
    <w:rsid w:val="002C6380"/>
    <w:rsid w:val="002C6DAA"/>
    <w:rsid w:val="002D022D"/>
    <w:rsid w:val="002D0DF3"/>
    <w:rsid w:val="002D24BB"/>
    <w:rsid w:val="002D2FF0"/>
    <w:rsid w:val="002D606B"/>
    <w:rsid w:val="002E4C57"/>
    <w:rsid w:val="002E4CFF"/>
    <w:rsid w:val="002E5754"/>
    <w:rsid w:val="002F010F"/>
    <w:rsid w:val="002F0731"/>
    <w:rsid w:val="002F0C3A"/>
    <w:rsid w:val="002F2AF7"/>
    <w:rsid w:val="002F2CAA"/>
    <w:rsid w:val="002F3C1B"/>
    <w:rsid w:val="002F5C3B"/>
    <w:rsid w:val="002F7E1C"/>
    <w:rsid w:val="0030143D"/>
    <w:rsid w:val="00301A75"/>
    <w:rsid w:val="00301BC4"/>
    <w:rsid w:val="0030217F"/>
    <w:rsid w:val="00302F70"/>
    <w:rsid w:val="0030336F"/>
    <w:rsid w:val="0030375E"/>
    <w:rsid w:val="00304828"/>
    <w:rsid w:val="00307F91"/>
    <w:rsid w:val="003114FB"/>
    <w:rsid w:val="00312A30"/>
    <w:rsid w:val="00312AB6"/>
    <w:rsid w:val="00313CE5"/>
    <w:rsid w:val="00314DCE"/>
    <w:rsid w:val="00315885"/>
    <w:rsid w:val="00320F72"/>
    <w:rsid w:val="0032147F"/>
    <w:rsid w:val="0032321F"/>
    <w:rsid w:val="0032463E"/>
    <w:rsid w:val="00325E3C"/>
    <w:rsid w:val="00326224"/>
    <w:rsid w:val="0032676F"/>
    <w:rsid w:val="00331C0F"/>
    <w:rsid w:val="00333B39"/>
    <w:rsid w:val="0033569B"/>
    <w:rsid w:val="003374D8"/>
    <w:rsid w:val="00337EE4"/>
    <w:rsid w:val="00340A00"/>
    <w:rsid w:val="00340FFD"/>
    <w:rsid w:val="00341497"/>
    <w:rsid w:val="00343892"/>
    <w:rsid w:val="00346401"/>
    <w:rsid w:val="003467EE"/>
    <w:rsid w:val="003472D5"/>
    <w:rsid w:val="0035063C"/>
    <w:rsid w:val="003506B1"/>
    <w:rsid w:val="0035544F"/>
    <w:rsid w:val="00356AC7"/>
    <w:rsid w:val="003609FA"/>
    <w:rsid w:val="00363350"/>
    <w:rsid w:val="00366628"/>
    <w:rsid w:val="00366ED4"/>
    <w:rsid w:val="003710C8"/>
    <w:rsid w:val="003720D5"/>
    <w:rsid w:val="003750BE"/>
    <w:rsid w:val="00380E66"/>
    <w:rsid w:val="0038195C"/>
    <w:rsid w:val="00387B9D"/>
    <w:rsid w:val="003910A7"/>
    <w:rsid w:val="003911C6"/>
    <w:rsid w:val="0039364F"/>
    <w:rsid w:val="00393A7A"/>
    <w:rsid w:val="00393BA5"/>
    <w:rsid w:val="003956D8"/>
    <w:rsid w:val="00395A43"/>
    <w:rsid w:val="00396686"/>
    <w:rsid w:val="0039725B"/>
    <w:rsid w:val="0039778E"/>
    <w:rsid w:val="003A1330"/>
    <w:rsid w:val="003A1AA8"/>
    <w:rsid w:val="003A4540"/>
    <w:rsid w:val="003A6FFE"/>
    <w:rsid w:val="003B42EB"/>
    <w:rsid w:val="003B4913"/>
    <w:rsid w:val="003B4941"/>
    <w:rsid w:val="003C14A5"/>
    <w:rsid w:val="003C1CB4"/>
    <w:rsid w:val="003C25A9"/>
    <w:rsid w:val="003C294A"/>
    <w:rsid w:val="003C3591"/>
    <w:rsid w:val="003C5714"/>
    <w:rsid w:val="003C6B9F"/>
    <w:rsid w:val="003C6E2A"/>
    <w:rsid w:val="003C797D"/>
    <w:rsid w:val="003D0299"/>
    <w:rsid w:val="003D12F1"/>
    <w:rsid w:val="003D15DB"/>
    <w:rsid w:val="003D3A24"/>
    <w:rsid w:val="003D4064"/>
    <w:rsid w:val="003D5402"/>
    <w:rsid w:val="003E0CC1"/>
    <w:rsid w:val="003E5424"/>
    <w:rsid w:val="003E6D80"/>
    <w:rsid w:val="003E74D4"/>
    <w:rsid w:val="003F05FA"/>
    <w:rsid w:val="003F244A"/>
    <w:rsid w:val="003F30B8"/>
    <w:rsid w:val="003F4C45"/>
    <w:rsid w:val="003F553E"/>
    <w:rsid w:val="003F5F7B"/>
    <w:rsid w:val="003F7D64"/>
    <w:rsid w:val="004021BB"/>
    <w:rsid w:val="004022B5"/>
    <w:rsid w:val="00402643"/>
    <w:rsid w:val="00402C23"/>
    <w:rsid w:val="00404568"/>
    <w:rsid w:val="00407893"/>
    <w:rsid w:val="004103E7"/>
    <w:rsid w:val="004115D3"/>
    <w:rsid w:val="00414300"/>
    <w:rsid w:val="004172E3"/>
    <w:rsid w:val="0042059A"/>
    <w:rsid w:val="00422BBE"/>
    <w:rsid w:val="004239CD"/>
    <w:rsid w:val="00424F83"/>
    <w:rsid w:val="00425C67"/>
    <w:rsid w:val="00427E7A"/>
    <w:rsid w:val="00430BED"/>
    <w:rsid w:val="00432306"/>
    <w:rsid w:val="00433395"/>
    <w:rsid w:val="00436307"/>
    <w:rsid w:val="00436C49"/>
    <w:rsid w:val="004409F8"/>
    <w:rsid w:val="00440C14"/>
    <w:rsid w:val="00441964"/>
    <w:rsid w:val="00441B4D"/>
    <w:rsid w:val="00442144"/>
    <w:rsid w:val="00445366"/>
    <w:rsid w:val="00446082"/>
    <w:rsid w:val="0044701D"/>
    <w:rsid w:val="004471FD"/>
    <w:rsid w:val="00447F5B"/>
    <w:rsid w:val="004507B4"/>
    <w:rsid w:val="00451FAF"/>
    <w:rsid w:val="0045486A"/>
    <w:rsid w:val="0045498F"/>
    <w:rsid w:val="0045506B"/>
    <w:rsid w:val="0045513B"/>
    <w:rsid w:val="00456CCA"/>
    <w:rsid w:val="004616CB"/>
    <w:rsid w:val="00461DB0"/>
    <w:rsid w:val="00463926"/>
    <w:rsid w:val="004646E0"/>
    <w:rsid w:val="00464C9A"/>
    <w:rsid w:val="00471DB1"/>
    <w:rsid w:val="00472D0F"/>
    <w:rsid w:val="00474F3D"/>
    <w:rsid w:val="00477E3A"/>
    <w:rsid w:val="00482D1A"/>
    <w:rsid w:val="00483E5F"/>
    <w:rsid w:val="004845FF"/>
    <w:rsid w:val="00484BD7"/>
    <w:rsid w:val="00485FF9"/>
    <w:rsid w:val="004870A0"/>
    <w:rsid w:val="00487CE6"/>
    <w:rsid w:val="00487CEE"/>
    <w:rsid w:val="004907F0"/>
    <w:rsid w:val="0049140B"/>
    <w:rsid w:val="00491C36"/>
    <w:rsid w:val="004923A5"/>
    <w:rsid w:val="004925A5"/>
    <w:rsid w:val="00492EB7"/>
    <w:rsid w:val="004954D6"/>
    <w:rsid w:val="004968A4"/>
    <w:rsid w:val="00496BFB"/>
    <w:rsid w:val="004A0E5A"/>
    <w:rsid w:val="004A15C7"/>
    <w:rsid w:val="004A1E24"/>
    <w:rsid w:val="004A421F"/>
    <w:rsid w:val="004A7F1E"/>
    <w:rsid w:val="004B013B"/>
    <w:rsid w:val="004B07E1"/>
    <w:rsid w:val="004B112B"/>
    <w:rsid w:val="004B308D"/>
    <w:rsid w:val="004B407A"/>
    <w:rsid w:val="004C01E4"/>
    <w:rsid w:val="004C086C"/>
    <w:rsid w:val="004C1F56"/>
    <w:rsid w:val="004C20C4"/>
    <w:rsid w:val="004C27BC"/>
    <w:rsid w:val="004C6151"/>
    <w:rsid w:val="004C7822"/>
    <w:rsid w:val="004D06F3"/>
    <w:rsid w:val="004D15F3"/>
    <w:rsid w:val="004D29B1"/>
    <w:rsid w:val="004D3775"/>
    <w:rsid w:val="004D3A70"/>
    <w:rsid w:val="004D4504"/>
    <w:rsid w:val="004D4969"/>
    <w:rsid w:val="004D4C94"/>
    <w:rsid w:val="004D5311"/>
    <w:rsid w:val="004D5DCC"/>
    <w:rsid w:val="004E2CDA"/>
    <w:rsid w:val="004E3897"/>
    <w:rsid w:val="004F10AF"/>
    <w:rsid w:val="004F11A4"/>
    <w:rsid w:val="004F2050"/>
    <w:rsid w:val="004F2389"/>
    <w:rsid w:val="004F304D"/>
    <w:rsid w:val="004F57E0"/>
    <w:rsid w:val="004F61BE"/>
    <w:rsid w:val="004F63CA"/>
    <w:rsid w:val="004F66B1"/>
    <w:rsid w:val="00510971"/>
    <w:rsid w:val="00510E60"/>
    <w:rsid w:val="00511C07"/>
    <w:rsid w:val="00516E32"/>
    <w:rsid w:val="00517006"/>
    <w:rsid w:val="005173A6"/>
    <w:rsid w:val="00520BAA"/>
    <w:rsid w:val="00525208"/>
    <w:rsid w:val="005257A5"/>
    <w:rsid w:val="005264C0"/>
    <w:rsid w:val="00526A8A"/>
    <w:rsid w:val="00530F53"/>
    <w:rsid w:val="00531DF2"/>
    <w:rsid w:val="005344F4"/>
    <w:rsid w:val="0053609A"/>
    <w:rsid w:val="0054258A"/>
    <w:rsid w:val="005426C5"/>
    <w:rsid w:val="00542BBB"/>
    <w:rsid w:val="005442EE"/>
    <w:rsid w:val="00545AA0"/>
    <w:rsid w:val="00547353"/>
    <w:rsid w:val="005474E7"/>
    <w:rsid w:val="005512A3"/>
    <w:rsid w:val="00553354"/>
    <w:rsid w:val="00553FC9"/>
    <w:rsid w:val="00555636"/>
    <w:rsid w:val="005578CE"/>
    <w:rsid w:val="00562781"/>
    <w:rsid w:val="00563E83"/>
    <w:rsid w:val="00564565"/>
    <w:rsid w:val="00565D42"/>
    <w:rsid w:val="00566D33"/>
    <w:rsid w:val="005704E8"/>
    <w:rsid w:val="0057271C"/>
    <w:rsid w:val="00572845"/>
    <w:rsid w:val="00572FA8"/>
    <w:rsid w:val="00573B25"/>
    <w:rsid w:val="00576520"/>
    <w:rsid w:val="00582DC3"/>
    <w:rsid w:val="00583FCB"/>
    <w:rsid w:val="00586B7F"/>
    <w:rsid w:val="00587732"/>
    <w:rsid w:val="005901F9"/>
    <w:rsid w:val="00590ECB"/>
    <w:rsid w:val="005922FF"/>
    <w:rsid w:val="00592772"/>
    <w:rsid w:val="00593774"/>
    <w:rsid w:val="0059574A"/>
    <w:rsid w:val="00595E37"/>
    <w:rsid w:val="005A013C"/>
    <w:rsid w:val="005A1B9B"/>
    <w:rsid w:val="005A662F"/>
    <w:rsid w:val="005A6751"/>
    <w:rsid w:val="005B092E"/>
    <w:rsid w:val="005B152C"/>
    <w:rsid w:val="005B1EE0"/>
    <w:rsid w:val="005B2B24"/>
    <w:rsid w:val="005B4425"/>
    <w:rsid w:val="005B4B94"/>
    <w:rsid w:val="005C2A8B"/>
    <w:rsid w:val="005C355A"/>
    <w:rsid w:val="005C3EE8"/>
    <w:rsid w:val="005D1671"/>
    <w:rsid w:val="005D2317"/>
    <w:rsid w:val="005D34F9"/>
    <w:rsid w:val="005D4190"/>
    <w:rsid w:val="005D4979"/>
    <w:rsid w:val="005D4A99"/>
    <w:rsid w:val="005D67A3"/>
    <w:rsid w:val="005D74C4"/>
    <w:rsid w:val="005E2988"/>
    <w:rsid w:val="005E2A43"/>
    <w:rsid w:val="005E2ABC"/>
    <w:rsid w:val="005E3085"/>
    <w:rsid w:val="005E3669"/>
    <w:rsid w:val="005E438A"/>
    <w:rsid w:val="005E4FD3"/>
    <w:rsid w:val="005F0B4F"/>
    <w:rsid w:val="005F1DF0"/>
    <w:rsid w:val="005F51E1"/>
    <w:rsid w:val="005F5A11"/>
    <w:rsid w:val="005F5B72"/>
    <w:rsid w:val="005F5BC3"/>
    <w:rsid w:val="005F72A3"/>
    <w:rsid w:val="005F75E1"/>
    <w:rsid w:val="00600D92"/>
    <w:rsid w:val="00601E95"/>
    <w:rsid w:val="00602145"/>
    <w:rsid w:val="00607467"/>
    <w:rsid w:val="00611C80"/>
    <w:rsid w:val="00613991"/>
    <w:rsid w:val="00613C79"/>
    <w:rsid w:val="00613DA6"/>
    <w:rsid w:val="00617318"/>
    <w:rsid w:val="00620692"/>
    <w:rsid w:val="006242CA"/>
    <w:rsid w:val="0062603B"/>
    <w:rsid w:val="00627507"/>
    <w:rsid w:val="00630A8A"/>
    <w:rsid w:val="00631A7C"/>
    <w:rsid w:val="00633717"/>
    <w:rsid w:val="006341B2"/>
    <w:rsid w:val="006344E1"/>
    <w:rsid w:val="0063478A"/>
    <w:rsid w:val="00637796"/>
    <w:rsid w:val="0064197F"/>
    <w:rsid w:val="00641DCD"/>
    <w:rsid w:val="00646A57"/>
    <w:rsid w:val="006545C4"/>
    <w:rsid w:val="0065688C"/>
    <w:rsid w:val="0066045E"/>
    <w:rsid w:val="00660A6C"/>
    <w:rsid w:val="00661971"/>
    <w:rsid w:val="00661CE8"/>
    <w:rsid w:val="006623D9"/>
    <w:rsid w:val="0066550C"/>
    <w:rsid w:val="00665D51"/>
    <w:rsid w:val="006716F2"/>
    <w:rsid w:val="00672BA9"/>
    <w:rsid w:val="00680B0C"/>
    <w:rsid w:val="00681F30"/>
    <w:rsid w:val="00682BF2"/>
    <w:rsid w:val="006831BA"/>
    <w:rsid w:val="00684F0B"/>
    <w:rsid w:val="006859CE"/>
    <w:rsid w:val="00685FBF"/>
    <w:rsid w:val="006860C5"/>
    <w:rsid w:val="00691270"/>
    <w:rsid w:val="00694BA8"/>
    <w:rsid w:val="006A037C"/>
    <w:rsid w:val="006A36F4"/>
    <w:rsid w:val="006A3AB0"/>
    <w:rsid w:val="006A406F"/>
    <w:rsid w:val="006A40A5"/>
    <w:rsid w:val="006A5D3A"/>
    <w:rsid w:val="006A72EA"/>
    <w:rsid w:val="006B3248"/>
    <w:rsid w:val="006B4718"/>
    <w:rsid w:val="006B51A1"/>
    <w:rsid w:val="006C1A8B"/>
    <w:rsid w:val="006C232C"/>
    <w:rsid w:val="006C23D4"/>
    <w:rsid w:val="006C2D79"/>
    <w:rsid w:val="006C2F6D"/>
    <w:rsid w:val="006C7BB0"/>
    <w:rsid w:val="006D3237"/>
    <w:rsid w:val="006D3651"/>
    <w:rsid w:val="006D5994"/>
    <w:rsid w:val="006D5A93"/>
    <w:rsid w:val="006D6AF0"/>
    <w:rsid w:val="006D6F03"/>
    <w:rsid w:val="006E2E37"/>
    <w:rsid w:val="006E350B"/>
    <w:rsid w:val="006E3690"/>
    <w:rsid w:val="006E3CF1"/>
    <w:rsid w:val="006E40F5"/>
    <w:rsid w:val="006E7E80"/>
    <w:rsid w:val="006F1DF9"/>
    <w:rsid w:val="006F24DB"/>
    <w:rsid w:val="006F3825"/>
    <w:rsid w:val="006F48CA"/>
    <w:rsid w:val="006F64DD"/>
    <w:rsid w:val="007000B0"/>
    <w:rsid w:val="00701FA9"/>
    <w:rsid w:val="00706B6E"/>
    <w:rsid w:val="0071023F"/>
    <w:rsid w:val="007118F5"/>
    <w:rsid w:val="0071356C"/>
    <w:rsid w:val="00715127"/>
    <w:rsid w:val="00715E8E"/>
    <w:rsid w:val="007170BA"/>
    <w:rsid w:val="00720241"/>
    <w:rsid w:val="00721F9D"/>
    <w:rsid w:val="00723580"/>
    <w:rsid w:val="00723755"/>
    <w:rsid w:val="00723E00"/>
    <w:rsid w:val="00724139"/>
    <w:rsid w:val="007245DD"/>
    <w:rsid w:val="00730759"/>
    <w:rsid w:val="0073136C"/>
    <w:rsid w:val="00731F0F"/>
    <w:rsid w:val="00732465"/>
    <w:rsid w:val="0073297A"/>
    <w:rsid w:val="00733250"/>
    <w:rsid w:val="007333CE"/>
    <w:rsid w:val="00733739"/>
    <w:rsid w:val="00734261"/>
    <w:rsid w:val="007362B7"/>
    <w:rsid w:val="00736C1B"/>
    <w:rsid w:val="00740B59"/>
    <w:rsid w:val="00741404"/>
    <w:rsid w:val="0074467E"/>
    <w:rsid w:val="007449E5"/>
    <w:rsid w:val="00745D6F"/>
    <w:rsid w:val="00746C5A"/>
    <w:rsid w:val="0074785B"/>
    <w:rsid w:val="00747FF0"/>
    <w:rsid w:val="00750E3B"/>
    <w:rsid w:val="00753CBD"/>
    <w:rsid w:val="007553A2"/>
    <w:rsid w:val="00755DB6"/>
    <w:rsid w:val="00756148"/>
    <w:rsid w:val="00762D31"/>
    <w:rsid w:val="00764D4E"/>
    <w:rsid w:val="00765A1F"/>
    <w:rsid w:val="0077019C"/>
    <w:rsid w:val="00771A50"/>
    <w:rsid w:val="007726AF"/>
    <w:rsid w:val="00772A0A"/>
    <w:rsid w:val="00775B6D"/>
    <w:rsid w:val="007764DD"/>
    <w:rsid w:val="00776D68"/>
    <w:rsid w:val="00777277"/>
    <w:rsid w:val="0078313E"/>
    <w:rsid w:val="0078442C"/>
    <w:rsid w:val="007850EE"/>
    <w:rsid w:val="00785B95"/>
    <w:rsid w:val="00790E96"/>
    <w:rsid w:val="0079250B"/>
    <w:rsid w:val="00793366"/>
    <w:rsid w:val="0079398E"/>
    <w:rsid w:val="007939CD"/>
    <w:rsid w:val="00796451"/>
    <w:rsid w:val="00796F65"/>
    <w:rsid w:val="0079769A"/>
    <w:rsid w:val="007A1C70"/>
    <w:rsid w:val="007A1EFC"/>
    <w:rsid w:val="007A3790"/>
    <w:rsid w:val="007A6476"/>
    <w:rsid w:val="007A6675"/>
    <w:rsid w:val="007A716F"/>
    <w:rsid w:val="007A7EA7"/>
    <w:rsid w:val="007B270A"/>
    <w:rsid w:val="007C0695"/>
    <w:rsid w:val="007C419A"/>
    <w:rsid w:val="007C4CC8"/>
    <w:rsid w:val="007C5426"/>
    <w:rsid w:val="007C5798"/>
    <w:rsid w:val="007C6326"/>
    <w:rsid w:val="007D0547"/>
    <w:rsid w:val="007D4832"/>
    <w:rsid w:val="007D6312"/>
    <w:rsid w:val="007E21B2"/>
    <w:rsid w:val="007E2C4E"/>
    <w:rsid w:val="007E4303"/>
    <w:rsid w:val="007E4C91"/>
    <w:rsid w:val="007E6E6D"/>
    <w:rsid w:val="007E7CE1"/>
    <w:rsid w:val="007E7FA9"/>
    <w:rsid w:val="007F10D0"/>
    <w:rsid w:val="007F1905"/>
    <w:rsid w:val="007F4C59"/>
    <w:rsid w:val="007F58B2"/>
    <w:rsid w:val="007F791A"/>
    <w:rsid w:val="00801300"/>
    <w:rsid w:val="00802C64"/>
    <w:rsid w:val="00805E52"/>
    <w:rsid w:val="008061D0"/>
    <w:rsid w:val="00806A39"/>
    <w:rsid w:val="00810B38"/>
    <w:rsid w:val="0081257A"/>
    <w:rsid w:val="008140D2"/>
    <w:rsid w:val="00814310"/>
    <w:rsid w:val="00817A24"/>
    <w:rsid w:val="008203E0"/>
    <w:rsid w:val="008204C7"/>
    <w:rsid w:val="00820992"/>
    <w:rsid w:val="00823602"/>
    <w:rsid w:val="008255F5"/>
    <w:rsid w:val="0083014E"/>
    <w:rsid w:val="00830663"/>
    <w:rsid w:val="0083214A"/>
    <w:rsid w:val="00832CDE"/>
    <w:rsid w:val="00834220"/>
    <w:rsid w:val="00840001"/>
    <w:rsid w:val="0084024F"/>
    <w:rsid w:val="00841007"/>
    <w:rsid w:val="008418E1"/>
    <w:rsid w:val="00844043"/>
    <w:rsid w:val="00845723"/>
    <w:rsid w:val="00845864"/>
    <w:rsid w:val="0085017F"/>
    <w:rsid w:val="00851EF9"/>
    <w:rsid w:val="00852754"/>
    <w:rsid w:val="00855273"/>
    <w:rsid w:val="0085551E"/>
    <w:rsid w:val="0085554B"/>
    <w:rsid w:val="00855B27"/>
    <w:rsid w:val="00856C34"/>
    <w:rsid w:val="00856E3B"/>
    <w:rsid w:val="008570CA"/>
    <w:rsid w:val="008577FD"/>
    <w:rsid w:val="00860B03"/>
    <w:rsid w:val="00861737"/>
    <w:rsid w:val="0086468E"/>
    <w:rsid w:val="00864710"/>
    <w:rsid w:val="0086497A"/>
    <w:rsid w:val="00866629"/>
    <w:rsid w:val="008703F3"/>
    <w:rsid w:val="008713A1"/>
    <w:rsid w:val="0087158D"/>
    <w:rsid w:val="00872E66"/>
    <w:rsid w:val="008737D5"/>
    <w:rsid w:val="008754AB"/>
    <w:rsid w:val="00877111"/>
    <w:rsid w:val="0088016B"/>
    <w:rsid w:val="0088060C"/>
    <w:rsid w:val="00882B17"/>
    <w:rsid w:val="00883538"/>
    <w:rsid w:val="00886500"/>
    <w:rsid w:val="00893576"/>
    <w:rsid w:val="00893E73"/>
    <w:rsid w:val="00894253"/>
    <w:rsid w:val="008942E0"/>
    <w:rsid w:val="00894C54"/>
    <w:rsid w:val="008968C6"/>
    <w:rsid w:val="00896A79"/>
    <w:rsid w:val="008A1420"/>
    <w:rsid w:val="008A1DAC"/>
    <w:rsid w:val="008A3A01"/>
    <w:rsid w:val="008A43C4"/>
    <w:rsid w:val="008A537F"/>
    <w:rsid w:val="008A5942"/>
    <w:rsid w:val="008A5D1A"/>
    <w:rsid w:val="008A678D"/>
    <w:rsid w:val="008B02DC"/>
    <w:rsid w:val="008B0B8A"/>
    <w:rsid w:val="008B1042"/>
    <w:rsid w:val="008B152A"/>
    <w:rsid w:val="008B1D1C"/>
    <w:rsid w:val="008B3D31"/>
    <w:rsid w:val="008B48DF"/>
    <w:rsid w:val="008B4D91"/>
    <w:rsid w:val="008B57CE"/>
    <w:rsid w:val="008B659F"/>
    <w:rsid w:val="008B70CA"/>
    <w:rsid w:val="008B7B07"/>
    <w:rsid w:val="008C26DE"/>
    <w:rsid w:val="008C500E"/>
    <w:rsid w:val="008C58BE"/>
    <w:rsid w:val="008D01EB"/>
    <w:rsid w:val="008D2225"/>
    <w:rsid w:val="008D2DA7"/>
    <w:rsid w:val="008D4752"/>
    <w:rsid w:val="008D552A"/>
    <w:rsid w:val="008D68F2"/>
    <w:rsid w:val="008D7A2E"/>
    <w:rsid w:val="008E271C"/>
    <w:rsid w:val="008E3634"/>
    <w:rsid w:val="008E418E"/>
    <w:rsid w:val="008E5853"/>
    <w:rsid w:val="008E5BC6"/>
    <w:rsid w:val="008E6A25"/>
    <w:rsid w:val="008E6EE3"/>
    <w:rsid w:val="008F0F81"/>
    <w:rsid w:val="008F1551"/>
    <w:rsid w:val="008F2CA0"/>
    <w:rsid w:val="008F5193"/>
    <w:rsid w:val="008F5C36"/>
    <w:rsid w:val="008F5FC0"/>
    <w:rsid w:val="008F7CB4"/>
    <w:rsid w:val="009013A7"/>
    <w:rsid w:val="009017FB"/>
    <w:rsid w:val="009017FC"/>
    <w:rsid w:val="00902AA0"/>
    <w:rsid w:val="00903507"/>
    <w:rsid w:val="00903B43"/>
    <w:rsid w:val="0090506B"/>
    <w:rsid w:val="009050C9"/>
    <w:rsid w:val="009066FC"/>
    <w:rsid w:val="00912CB6"/>
    <w:rsid w:val="009140A3"/>
    <w:rsid w:val="009144A2"/>
    <w:rsid w:val="0091510C"/>
    <w:rsid w:val="00915AB0"/>
    <w:rsid w:val="00915D70"/>
    <w:rsid w:val="009172C9"/>
    <w:rsid w:val="0092049F"/>
    <w:rsid w:val="009208B3"/>
    <w:rsid w:val="00922794"/>
    <w:rsid w:val="0092378F"/>
    <w:rsid w:val="009247C8"/>
    <w:rsid w:val="009259AC"/>
    <w:rsid w:val="009268B9"/>
    <w:rsid w:val="00926F38"/>
    <w:rsid w:val="0093072B"/>
    <w:rsid w:val="00932671"/>
    <w:rsid w:val="00934055"/>
    <w:rsid w:val="00934301"/>
    <w:rsid w:val="00936CD1"/>
    <w:rsid w:val="00941747"/>
    <w:rsid w:val="00941EFB"/>
    <w:rsid w:val="00942FEA"/>
    <w:rsid w:val="009452D5"/>
    <w:rsid w:val="00945607"/>
    <w:rsid w:val="00947AFB"/>
    <w:rsid w:val="00951D7D"/>
    <w:rsid w:val="00952C12"/>
    <w:rsid w:val="00962A52"/>
    <w:rsid w:val="009630C7"/>
    <w:rsid w:val="00967E92"/>
    <w:rsid w:val="00972B55"/>
    <w:rsid w:val="00973A39"/>
    <w:rsid w:val="00973F00"/>
    <w:rsid w:val="009743B7"/>
    <w:rsid w:val="00974788"/>
    <w:rsid w:val="0097684A"/>
    <w:rsid w:val="009810B2"/>
    <w:rsid w:val="0098228B"/>
    <w:rsid w:val="009828DA"/>
    <w:rsid w:val="00985BAB"/>
    <w:rsid w:val="0098768B"/>
    <w:rsid w:val="009901EB"/>
    <w:rsid w:val="0099194E"/>
    <w:rsid w:val="00997F03"/>
    <w:rsid w:val="009A01FF"/>
    <w:rsid w:val="009A17DF"/>
    <w:rsid w:val="009A46DF"/>
    <w:rsid w:val="009A6321"/>
    <w:rsid w:val="009A6460"/>
    <w:rsid w:val="009A6A1C"/>
    <w:rsid w:val="009A75AC"/>
    <w:rsid w:val="009B1B5F"/>
    <w:rsid w:val="009B21A5"/>
    <w:rsid w:val="009B2EC2"/>
    <w:rsid w:val="009B6673"/>
    <w:rsid w:val="009B76ED"/>
    <w:rsid w:val="009C191B"/>
    <w:rsid w:val="009C23AF"/>
    <w:rsid w:val="009C2BD6"/>
    <w:rsid w:val="009C6399"/>
    <w:rsid w:val="009D35C7"/>
    <w:rsid w:val="009E0EAA"/>
    <w:rsid w:val="009E18D4"/>
    <w:rsid w:val="009E1F32"/>
    <w:rsid w:val="009E5829"/>
    <w:rsid w:val="009E6C40"/>
    <w:rsid w:val="009E6ED2"/>
    <w:rsid w:val="009E776C"/>
    <w:rsid w:val="009F3C89"/>
    <w:rsid w:val="009F714A"/>
    <w:rsid w:val="00A005AD"/>
    <w:rsid w:val="00A01215"/>
    <w:rsid w:val="00A03476"/>
    <w:rsid w:val="00A03F03"/>
    <w:rsid w:val="00A119C7"/>
    <w:rsid w:val="00A15EBB"/>
    <w:rsid w:val="00A17115"/>
    <w:rsid w:val="00A1726E"/>
    <w:rsid w:val="00A17734"/>
    <w:rsid w:val="00A204CF"/>
    <w:rsid w:val="00A23BD3"/>
    <w:rsid w:val="00A23D49"/>
    <w:rsid w:val="00A24100"/>
    <w:rsid w:val="00A259E5"/>
    <w:rsid w:val="00A27004"/>
    <w:rsid w:val="00A30C29"/>
    <w:rsid w:val="00A324D2"/>
    <w:rsid w:val="00A34DD6"/>
    <w:rsid w:val="00A36819"/>
    <w:rsid w:val="00A36989"/>
    <w:rsid w:val="00A43628"/>
    <w:rsid w:val="00A43F4F"/>
    <w:rsid w:val="00A463BE"/>
    <w:rsid w:val="00A469D6"/>
    <w:rsid w:val="00A47F13"/>
    <w:rsid w:val="00A5257B"/>
    <w:rsid w:val="00A539C2"/>
    <w:rsid w:val="00A54192"/>
    <w:rsid w:val="00A55B01"/>
    <w:rsid w:val="00A56102"/>
    <w:rsid w:val="00A56880"/>
    <w:rsid w:val="00A57302"/>
    <w:rsid w:val="00A6035E"/>
    <w:rsid w:val="00A6144C"/>
    <w:rsid w:val="00A638AE"/>
    <w:rsid w:val="00A66617"/>
    <w:rsid w:val="00A671F8"/>
    <w:rsid w:val="00A673A4"/>
    <w:rsid w:val="00A67E0C"/>
    <w:rsid w:val="00A708CC"/>
    <w:rsid w:val="00A7150B"/>
    <w:rsid w:val="00A724AE"/>
    <w:rsid w:val="00A73329"/>
    <w:rsid w:val="00A73992"/>
    <w:rsid w:val="00A74ABA"/>
    <w:rsid w:val="00A76A43"/>
    <w:rsid w:val="00A8118B"/>
    <w:rsid w:val="00A82359"/>
    <w:rsid w:val="00A834F3"/>
    <w:rsid w:val="00A86215"/>
    <w:rsid w:val="00A865D2"/>
    <w:rsid w:val="00A94C20"/>
    <w:rsid w:val="00A96ED6"/>
    <w:rsid w:val="00A97618"/>
    <w:rsid w:val="00A97BA0"/>
    <w:rsid w:val="00AA0082"/>
    <w:rsid w:val="00AA09AD"/>
    <w:rsid w:val="00AA0CBE"/>
    <w:rsid w:val="00AA0CC2"/>
    <w:rsid w:val="00AA1778"/>
    <w:rsid w:val="00AA227F"/>
    <w:rsid w:val="00AA235F"/>
    <w:rsid w:val="00AA27FE"/>
    <w:rsid w:val="00AA3BC7"/>
    <w:rsid w:val="00AA59DC"/>
    <w:rsid w:val="00AA610C"/>
    <w:rsid w:val="00AA754A"/>
    <w:rsid w:val="00AB099E"/>
    <w:rsid w:val="00AB1269"/>
    <w:rsid w:val="00AB4328"/>
    <w:rsid w:val="00AB4CEE"/>
    <w:rsid w:val="00AB5FA0"/>
    <w:rsid w:val="00AC7129"/>
    <w:rsid w:val="00AD09A8"/>
    <w:rsid w:val="00AD63B2"/>
    <w:rsid w:val="00AD64C6"/>
    <w:rsid w:val="00AD78F6"/>
    <w:rsid w:val="00AE01DB"/>
    <w:rsid w:val="00AE0A2E"/>
    <w:rsid w:val="00AE3189"/>
    <w:rsid w:val="00AE354C"/>
    <w:rsid w:val="00AF044A"/>
    <w:rsid w:val="00AF0AC2"/>
    <w:rsid w:val="00AF4B07"/>
    <w:rsid w:val="00AF561F"/>
    <w:rsid w:val="00AF6186"/>
    <w:rsid w:val="00AF6B82"/>
    <w:rsid w:val="00AF7A3A"/>
    <w:rsid w:val="00B03446"/>
    <w:rsid w:val="00B03881"/>
    <w:rsid w:val="00B04259"/>
    <w:rsid w:val="00B10B78"/>
    <w:rsid w:val="00B14FE0"/>
    <w:rsid w:val="00B160DB"/>
    <w:rsid w:val="00B1620E"/>
    <w:rsid w:val="00B17A95"/>
    <w:rsid w:val="00B20836"/>
    <w:rsid w:val="00B21B6E"/>
    <w:rsid w:val="00B235BB"/>
    <w:rsid w:val="00B252A6"/>
    <w:rsid w:val="00B27A44"/>
    <w:rsid w:val="00B30BBF"/>
    <w:rsid w:val="00B33C03"/>
    <w:rsid w:val="00B37444"/>
    <w:rsid w:val="00B44881"/>
    <w:rsid w:val="00B44E56"/>
    <w:rsid w:val="00B4619F"/>
    <w:rsid w:val="00B46543"/>
    <w:rsid w:val="00B47630"/>
    <w:rsid w:val="00B47D33"/>
    <w:rsid w:val="00B52BE0"/>
    <w:rsid w:val="00B54133"/>
    <w:rsid w:val="00B57FDD"/>
    <w:rsid w:val="00B6060F"/>
    <w:rsid w:val="00B637B9"/>
    <w:rsid w:val="00B65E40"/>
    <w:rsid w:val="00B701ED"/>
    <w:rsid w:val="00B71EA9"/>
    <w:rsid w:val="00B8007A"/>
    <w:rsid w:val="00B8086C"/>
    <w:rsid w:val="00B861B4"/>
    <w:rsid w:val="00B86DBB"/>
    <w:rsid w:val="00B86DFE"/>
    <w:rsid w:val="00B90990"/>
    <w:rsid w:val="00B922FF"/>
    <w:rsid w:val="00B9281E"/>
    <w:rsid w:val="00B92E92"/>
    <w:rsid w:val="00B93925"/>
    <w:rsid w:val="00B95187"/>
    <w:rsid w:val="00B9534B"/>
    <w:rsid w:val="00BA0EAF"/>
    <w:rsid w:val="00BA15E9"/>
    <w:rsid w:val="00BA1CEE"/>
    <w:rsid w:val="00BA2D55"/>
    <w:rsid w:val="00BA53BC"/>
    <w:rsid w:val="00BA71B1"/>
    <w:rsid w:val="00BB0637"/>
    <w:rsid w:val="00BB345F"/>
    <w:rsid w:val="00BB47E0"/>
    <w:rsid w:val="00BB5883"/>
    <w:rsid w:val="00BB5E99"/>
    <w:rsid w:val="00BB664B"/>
    <w:rsid w:val="00BB68EA"/>
    <w:rsid w:val="00BC1950"/>
    <w:rsid w:val="00BC1C27"/>
    <w:rsid w:val="00BC3891"/>
    <w:rsid w:val="00BC3B29"/>
    <w:rsid w:val="00BC5485"/>
    <w:rsid w:val="00BC6BBF"/>
    <w:rsid w:val="00BD04A4"/>
    <w:rsid w:val="00BD1572"/>
    <w:rsid w:val="00BD3D6A"/>
    <w:rsid w:val="00BD6157"/>
    <w:rsid w:val="00BD7342"/>
    <w:rsid w:val="00BE07FD"/>
    <w:rsid w:val="00BE14E3"/>
    <w:rsid w:val="00BE3774"/>
    <w:rsid w:val="00BE41E5"/>
    <w:rsid w:val="00BE4BC8"/>
    <w:rsid w:val="00BE5DD2"/>
    <w:rsid w:val="00BE71FC"/>
    <w:rsid w:val="00BF0BBB"/>
    <w:rsid w:val="00BF3E5E"/>
    <w:rsid w:val="00BF4109"/>
    <w:rsid w:val="00BF4687"/>
    <w:rsid w:val="00BF4CC3"/>
    <w:rsid w:val="00C05135"/>
    <w:rsid w:val="00C054C7"/>
    <w:rsid w:val="00C057B5"/>
    <w:rsid w:val="00C065C8"/>
    <w:rsid w:val="00C1336F"/>
    <w:rsid w:val="00C13FE7"/>
    <w:rsid w:val="00C159C2"/>
    <w:rsid w:val="00C1600E"/>
    <w:rsid w:val="00C217A6"/>
    <w:rsid w:val="00C22687"/>
    <w:rsid w:val="00C230E9"/>
    <w:rsid w:val="00C32E4D"/>
    <w:rsid w:val="00C333A0"/>
    <w:rsid w:val="00C34B3C"/>
    <w:rsid w:val="00C36A81"/>
    <w:rsid w:val="00C37B14"/>
    <w:rsid w:val="00C37B48"/>
    <w:rsid w:val="00C41228"/>
    <w:rsid w:val="00C41581"/>
    <w:rsid w:val="00C41974"/>
    <w:rsid w:val="00C447AD"/>
    <w:rsid w:val="00C453F6"/>
    <w:rsid w:val="00C45B41"/>
    <w:rsid w:val="00C46409"/>
    <w:rsid w:val="00C46573"/>
    <w:rsid w:val="00C51AEE"/>
    <w:rsid w:val="00C52527"/>
    <w:rsid w:val="00C53F4A"/>
    <w:rsid w:val="00C54125"/>
    <w:rsid w:val="00C54B91"/>
    <w:rsid w:val="00C55B54"/>
    <w:rsid w:val="00C60097"/>
    <w:rsid w:val="00C6098E"/>
    <w:rsid w:val="00C60D9F"/>
    <w:rsid w:val="00C61400"/>
    <w:rsid w:val="00C6152C"/>
    <w:rsid w:val="00C621C2"/>
    <w:rsid w:val="00C62F38"/>
    <w:rsid w:val="00C6582B"/>
    <w:rsid w:val="00C67446"/>
    <w:rsid w:val="00C73FF4"/>
    <w:rsid w:val="00C74810"/>
    <w:rsid w:val="00C83630"/>
    <w:rsid w:val="00C83728"/>
    <w:rsid w:val="00C83BDC"/>
    <w:rsid w:val="00C9040C"/>
    <w:rsid w:val="00C90D68"/>
    <w:rsid w:val="00C92127"/>
    <w:rsid w:val="00C925FE"/>
    <w:rsid w:val="00C9338E"/>
    <w:rsid w:val="00C939FE"/>
    <w:rsid w:val="00C94686"/>
    <w:rsid w:val="00C94D22"/>
    <w:rsid w:val="00C94DCA"/>
    <w:rsid w:val="00CA346E"/>
    <w:rsid w:val="00CA4BDA"/>
    <w:rsid w:val="00CA5546"/>
    <w:rsid w:val="00CB1F66"/>
    <w:rsid w:val="00CB2951"/>
    <w:rsid w:val="00CB5D97"/>
    <w:rsid w:val="00CB60C1"/>
    <w:rsid w:val="00CB728A"/>
    <w:rsid w:val="00CB7946"/>
    <w:rsid w:val="00CC014E"/>
    <w:rsid w:val="00CC01E3"/>
    <w:rsid w:val="00CC2658"/>
    <w:rsid w:val="00CC451A"/>
    <w:rsid w:val="00CC5868"/>
    <w:rsid w:val="00CD1175"/>
    <w:rsid w:val="00CD282B"/>
    <w:rsid w:val="00CD4C35"/>
    <w:rsid w:val="00CD7369"/>
    <w:rsid w:val="00CE0B0E"/>
    <w:rsid w:val="00CE16B9"/>
    <w:rsid w:val="00CE218F"/>
    <w:rsid w:val="00CE3831"/>
    <w:rsid w:val="00CE73BF"/>
    <w:rsid w:val="00CE7D4E"/>
    <w:rsid w:val="00CE7FC8"/>
    <w:rsid w:val="00CF0E9D"/>
    <w:rsid w:val="00CF0F92"/>
    <w:rsid w:val="00CF74B8"/>
    <w:rsid w:val="00D00ABB"/>
    <w:rsid w:val="00D0110D"/>
    <w:rsid w:val="00D02EEC"/>
    <w:rsid w:val="00D03551"/>
    <w:rsid w:val="00D03BEB"/>
    <w:rsid w:val="00D05958"/>
    <w:rsid w:val="00D05A17"/>
    <w:rsid w:val="00D06A63"/>
    <w:rsid w:val="00D07E0E"/>
    <w:rsid w:val="00D11478"/>
    <w:rsid w:val="00D11479"/>
    <w:rsid w:val="00D11A17"/>
    <w:rsid w:val="00D15ED0"/>
    <w:rsid w:val="00D16321"/>
    <w:rsid w:val="00D20F13"/>
    <w:rsid w:val="00D20F66"/>
    <w:rsid w:val="00D21723"/>
    <w:rsid w:val="00D2189F"/>
    <w:rsid w:val="00D21B3E"/>
    <w:rsid w:val="00D21FED"/>
    <w:rsid w:val="00D22B04"/>
    <w:rsid w:val="00D241DB"/>
    <w:rsid w:val="00D24251"/>
    <w:rsid w:val="00D26069"/>
    <w:rsid w:val="00D264D1"/>
    <w:rsid w:val="00D26BE7"/>
    <w:rsid w:val="00D31A39"/>
    <w:rsid w:val="00D32741"/>
    <w:rsid w:val="00D3413A"/>
    <w:rsid w:val="00D343E2"/>
    <w:rsid w:val="00D345B2"/>
    <w:rsid w:val="00D361A2"/>
    <w:rsid w:val="00D36816"/>
    <w:rsid w:val="00D36E5C"/>
    <w:rsid w:val="00D37A3E"/>
    <w:rsid w:val="00D42A8E"/>
    <w:rsid w:val="00D44C2E"/>
    <w:rsid w:val="00D45414"/>
    <w:rsid w:val="00D4657E"/>
    <w:rsid w:val="00D47886"/>
    <w:rsid w:val="00D53C0F"/>
    <w:rsid w:val="00D54781"/>
    <w:rsid w:val="00D566BD"/>
    <w:rsid w:val="00D57A4D"/>
    <w:rsid w:val="00D60AA7"/>
    <w:rsid w:val="00D60D87"/>
    <w:rsid w:val="00D62194"/>
    <w:rsid w:val="00D6435F"/>
    <w:rsid w:val="00D64723"/>
    <w:rsid w:val="00D720C0"/>
    <w:rsid w:val="00D75E28"/>
    <w:rsid w:val="00D772C2"/>
    <w:rsid w:val="00D8008E"/>
    <w:rsid w:val="00D82C45"/>
    <w:rsid w:val="00D83405"/>
    <w:rsid w:val="00D835EA"/>
    <w:rsid w:val="00D87D25"/>
    <w:rsid w:val="00D906F8"/>
    <w:rsid w:val="00D908A8"/>
    <w:rsid w:val="00D94FAE"/>
    <w:rsid w:val="00D9748A"/>
    <w:rsid w:val="00D977B6"/>
    <w:rsid w:val="00DA4A31"/>
    <w:rsid w:val="00DA61F2"/>
    <w:rsid w:val="00DA7B04"/>
    <w:rsid w:val="00DB36C2"/>
    <w:rsid w:val="00DB7196"/>
    <w:rsid w:val="00DC0E8A"/>
    <w:rsid w:val="00DC169B"/>
    <w:rsid w:val="00DC2AB9"/>
    <w:rsid w:val="00DC37E6"/>
    <w:rsid w:val="00DC3BD1"/>
    <w:rsid w:val="00DC48DE"/>
    <w:rsid w:val="00DC576E"/>
    <w:rsid w:val="00DC5AF7"/>
    <w:rsid w:val="00DC63F0"/>
    <w:rsid w:val="00DD3229"/>
    <w:rsid w:val="00DD3FBC"/>
    <w:rsid w:val="00DD66D8"/>
    <w:rsid w:val="00DD6EE5"/>
    <w:rsid w:val="00DE1B8E"/>
    <w:rsid w:val="00DE386C"/>
    <w:rsid w:val="00DE3C4D"/>
    <w:rsid w:val="00DE425E"/>
    <w:rsid w:val="00DE4D35"/>
    <w:rsid w:val="00DE5756"/>
    <w:rsid w:val="00DE74D3"/>
    <w:rsid w:val="00DF0549"/>
    <w:rsid w:val="00DF098B"/>
    <w:rsid w:val="00DF11C4"/>
    <w:rsid w:val="00DF210C"/>
    <w:rsid w:val="00DF35ED"/>
    <w:rsid w:val="00DF4B6A"/>
    <w:rsid w:val="00E00815"/>
    <w:rsid w:val="00E02C09"/>
    <w:rsid w:val="00E02FB7"/>
    <w:rsid w:val="00E0368A"/>
    <w:rsid w:val="00E04D59"/>
    <w:rsid w:val="00E06EF8"/>
    <w:rsid w:val="00E07DA1"/>
    <w:rsid w:val="00E10D01"/>
    <w:rsid w:val="00E123CB"/>
    <w:rsid w:val="00E1491A"/>
    <w:rsid w:val="00E14EF1"/>
    <w:rsid w:val="00E1557C"/>
    <w:rsid w:val="00E16C8B"/>
    <w:rsid w:val="00E20E13"/>
    <w:rsid w:val="00E21DBC"/>
    <w:rsid w:val="00E25E13"/>
    <w:rsid w:val="00E262D4"/>
    <w:rsid w:val="00E275D7"/>
    <w:rsid w:val="00E27DBE"/>
    <w:rsid w:val="00E327A8"/>
    <w:rsid w:val="00E32AB1"/>
    <w:rsid w:val="00E35186"/>
    <w:rsid w:val="00E35563"/>
    <w:rsid w:val="00E36C71"/>
    <w:rsid w:val="00E40404"/>
    <w:rsid w:val="00E42314"/>
    <w:rsid w:val="00E43A90"/>
    <w:rsid w:val="00E459C6"/>
    <w:rsid w:val="00E4639D"/>
    <w:rsid w:val="00E46AE0"/>
    <w:rsid w:val="00E47589"/>
    <w:rsid w:val="00E54C6E"/>
    <w:rsid w:val="00E54ED9"/>
    <w:rsid w:val="00E61F92"/>
    <w:rsid w:val="00E64915"/>
    <w:rsid w:val="00E661D4"/>
    <w:rsid w:val="00E70091"/>
    <w:rsid w:val="00E708FF"/>
    <w:rsid w:val="00E70CB0"/>
    <w:rsid w:val="00E70F29"/>
    <w:rsid w:val="00E720F5"/>
    <w:rsid w:val="00E7269D"/>
    <w:rsid w:val="00E745FF"/>
    <w:rsid w:val="00E749CC"/>
    <w:rsid w:val="00E76D47"/>
    <w:rsid w:val="00E83C27"/>
    <w:rsid w:val="00E84925"/>
    <w:rsid w:val="00E849F7"/>
    <w:rsid w:val="00E8638F"/>
    <w:rsid w:val="00E90302"/>
    <w:rsid w:val="00E91B04"/>
    <w:rsid w:val="00E9206F"/>
    <w:rsid w:val="00E93D5F"/>
    <w:rsid w:val="00E9597F"/>
    <w:rsid w:val="00E96C43"/>
    <w:rsid w:val="00E97396"/>
    <w:rsid w:val="00EA130A"/>
    <w:rsid w:val="00EA185E"/>
    <w:rsid w:val="00EA2D13"/>
    <w:rsid w:val="00EA49EA"/>
    <w:rsid w:val="00EA592A"/>
    <w:rsid w:val="00EA5E98"/>
    <w:rsid w:val="00EA62FA"/>
    <w:rsid w:val="00EA76EE"/>
    <w:rsid w:val="00EB0694"/>
    <w:rsid w:val="00EB0C77"/>
    <w:rsid w:val="00EB14E4"/>
    <w:rsid w:val="00EB32A5"/>
    <w:rsid w:val="00EB34ED"/>
    <w:rsid w:val="00EB7BE0"/>
    <w:rsid w:val="00EC315E"/>
    <w:rsid w:val="00EC4230"/>
    <w:rsid w:val="00ED02E4"/>
    <w:rsid w:val="00ED077C"/>
    <w:rsid w:val="00ED1190"/>
    <w:rsid w:val="00ED1BB1"/>
    <w:rsid w:val="00ED2417"/>
    <w:rsid w:val="00ED3C40"/>
    <w:rsid w:val="00ED6544"/>
    <w:rsid w:val="00ED78BF"/>
    <w:rsid w:val="00EE0277"/>
    <w:rsid w:val="00EE0AFE"/>
    <w:rsid w:val="00EE1DA9"/>
    <w:rsid w:val="00EE2611"/>
    <w:rsid w:val="00EE3E00"/>
    <w:rsid w:val="00EE5DD2"/>
    <w:rsid w:val="00EE6AD9"/>
    <w:rsid w:val="00EF41F1"/>
    <w:rsid w:val="00EF4F08"/>
    <w:rsid w:val="00EF5626"/>
    <w:rsid w:val="00F00077"/>
    <w:rsid w:val="00F00900"/>
    <w:rsid w:val="00F00A79"/>
    <w:rsid w:val="00F00E86"/>
    <w:rsid w:val="00F00F8B"/>
    <w:rsid w:val="00F02F9D"/>
    <w:rsid w:val="00F06EEC"/>
    <w:rsid w:val="00F07C1E"/>
    <w:rsid w:val="00F105DB"/>
    <w:rsid w:val="00F13157"/>
    <w:rsid w:val="00F132BC"/>
    <w:rsid w:val="00F13D80"/>
    <w:rsid w:val="00F14DB2"/>
    <w:rsid w:val="00F1620E"/>
    <w:rsid w:val="00F16AAA"/>
    <w:rsid w:val="00F1739F"/>
    <w:rsid w:val="00F17AFA"/>
    <w:rsid w:val="00F21161"/>
    <w:rsid w:val="00F2156E"/>
    <w:rsid w:val="00F218EF"/>
    <w:rsid w:val="00F21BC7"/>
    <w:rsid w:val="00F266A2"/>
    <w:rsid w:val="00F272C5"/>
    <w:rsid w:val="00F32269"/>
    <w:rsid w:val="00F33BA2"/>
    <w:rsid w:val="00F36484"/>
    <w:rsid w:val="00F40036"/>
    <w:rsid w:val="00F4457E"/>
    <w:rsid w:val="00F45E5F"/>
    <w:rsid w:val="00F47844"/>
    <w:rsid w:val="00F479EA"/>
    <w:rsid w:val="00F55809"/>
    <w:rsid w:val="00F56A6F"/>
    <w:rsid w:val="00F5709C"/>
    <w:rsid w:val="00F64743"/>
    <w:rsid w:val="00F64EF1"/>
    <w:rsid w:val="00F651B0"/>
    <w:rsid w:val="00F67462"/>
    <w:rsid w:val="00F70A4A"/>
    <w:rsid w:val="00F734A5"/>
    <w:rsid w:val="00F73690"/>
    <w:rsid w:val="00F76583"/>
    <w:rsid w:val="00F809A8"/>
    <w:rsid w:val="00F80BFD"/>
    <w:rsid w:val="00F81268"/>
    <w:rsid w:val="00F8421F"/>
    <w:rsid w:val="00F84C4B"/>
    <w:rsid w:val="00F8713C"/>
    <w:rsid w:val="00F8765F"/>
    <w:rsid w:val="00F90292"/>
    <w:rsid w:val="00F90767"/>
    <w:rsid w:val="00F90FAB"/>
    <w:rsid w:val="00F91FEE"/>
    <w:rsid w:val="00F957C5"/>
    <w:rsid w:val="00F96DA0"/>
    <w:rsid w:val="00FA0A5F"/>
    <w:rsid w:val="00FA136D"/>
    <w:rsid w:val="00FA1392"/>
    <w:rsid w:val="00FA3322"/>
    <w:rsid w:val="00FA54E3"/>
    <w:rsid w:val="00FA685B"/>
    <w:rsid w:val="00FA7107"/>
    <w:rsid w:val="00FB0C01"/>
    <w:rsid w:val="00FB36A6"/>
    <w:rsid w:val="00FB36C0"/>
    <w:rsid w:val="00FB6484"/>
    <w:rsid w:val="00FB7509"/>
    <w:rsid w:val="00FC18F2"/>
    <w:rsid w:val="00FC25F6"/>
    <w:rsid w:val="00FC28B0"/>
    <w:rsid w:val="00FC39E5"/>
    <w:rsid w:val="00FC3A78"/>
    <w:rsid w:val="00FC5044"/>
    <w:rsid w:val="00FC5FFE"/>
    <w:rsid w:val="00FC607F"/>
    <w:rsid w:val="00FD0A12"/>
    <w:rsid w:val="00FD1005"/>
    <w:rsid w:val="00FD2C39"/>
    <w:rsid w:val="00FD3180"/>
    <w:rsid w:val="00FD55D9"/>
    <w:rsid w:val="00FD5BCA"/>
    <w:rsid w:val="00FD6C75"/>
    <w:rsid w:val="00FD7A4F"/>
    <w:rsid w:val="00FE47A5"/>
    <w:rsid w:val="00FE71B3"/>
    <w:rsid w:val="00FF0A65"/>
    <w:rsid w:val="00FF2308"/>
    <w:rsid w:val="00FF42C5"/>
    <w:rsid w:val="00FF4399"/>
    <w:rsid w:val="00FF4E38"/>
    <w:rsid w:val="00FF5ECD"/>
    <w:rsid w:val="00FF608C"/>
    <w:rsid w:val="00FF7238"/>
    <w:rsid w:val="00FF7B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C52527"/>
    <w:pPr>
      <w:jc w:val="both"/>
    </w:pPr>
    <w:rPr>
      <w:rFonts w:eastAsiaTheme="minorEastAsia"/>
      <w:sz w:val="24"/>
    </w:rPr>
  </w:style>
  <w:style w:type="paragraph" w:styleId="Heading1">
    <w:name w:val="heading 1"/>
    <w:basedOn w:val="Normal"/>
    <w:next w:val="Normal"/>
    <w:link w:val="Heading1Char"/>
    <w:uiPriority w:val="99"/>
    <w:semiHidden/>
    <w:rsid w:val="00C5252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C5252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C5252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C5252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C5252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C5252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C5252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C5252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C5252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52527"/>
    <w:rPr>
      <w:rFonts w:ascii="Tahoma" w:hAnsi="Tahoma" w:cs="Tahoma"/>
      <w:sz w:val="16"/>
      <w:szCs w:val="16"/>
    </w:rPr>
  </w:style>
  <w:style w:type="character" w:customStyle="1" w:styleId="BalloonTextChar">
    <w:name w:val="Balloon Text Char"/>
    <w:basedOn w:val="DefaultParagraphFont"/>
    <w:link w:val="BalloonText"/>
    <w:uiPriority w:val="99"/>
    <w:semiHidden/>
    <w:rsid w:val="00C52527"/>
    <w:rPr>
      <w:rFonts w:ascii="Tahoma" w:eastAsiaTheme="minorEastAsia" w:hAnsi="Tahoma" w:cs="Tahoma"/>
      <w:sz w:val="16"/>
      <w:szCs w:val="16"/>
    </w:rPr>
  </w:style>
  <w:style w:type="character" w:styleId="BookTitle">
    <w:name w:val="Book Title"/>
    <w:uiPriority w:val="99"/>
    <w:semiHidden/>
    <w:qFormat/>
    <w:rsid w:val="00C52527"/>
    <w:rPr>
      <w:i/>
      <w:iCs/>
      <w:smallCaps/>
      <w:spacing w:val="5"/>
    </w:rPr>
  </w:style>
  <w:style w:type="paragraph" w:customStyle="1" w:styleId="ECHRHeader">
    <w:name w:val="ECHR_Header"/>
    <w:aliases w:val="Ju_Header"/>
    <w:basedOn w:val="Header"/>
    <w:uiPriority w:val="4"/>
    <w:qFormat/>
    <w:rsid w:val="00C5252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C52527"/>
    <w:pPr>
      <w:jc w:val="left"/>
    </w:pPr>
    <w:rPr>
      <w:sz w:val="8"/>
    </w:rPr>
  </w:style>
  <w:style w:type="character" w:styleId="Strong">
    <w:name w:val="Strong"/>
    <w:uiPriority w:val="99"/>
    <w:semiHidden/>
    <w:qFormat/>
    <w:rsid w:val="00C52527"/>
    <w:rPr>
      <w:b/>
      <w:bCs/>
    </w:rPr>
  </w:style>
  <w:style w:type="paragraph" w:styleId="NoSpacing">
    <w:name w:val="No Spacing"/>
    <w:basedOn w:val="Normal"/>
    <w:link w:val="NoSpacingChar"/>
    <w:semiHidden/>
    <w:qFormat/>
    <w:rsid w:val="00C52527"/>
    <w:rPr>
      <w:sz w:val="22"/>
    </w:rPr>
  </w:style>
  <w:style w:type="character" w:customStyle="1" w:styleId="NoSpacingChar">
    <w:name w:val="No Spacing Char"/>
    <w:basedOn w:val="DefaultParagraphFont"/>
    <w:link w:val="NoSpacing"/>
    <w:semiHidden/>
    <w:rsid w:val="00C52527"/>
    <w:rPr>
      <w:rFonts w:eastAsiaTheme="minorEastAsia"/>
    </w:rPr>
  </w:style>
  <w:style w:type="paragraph" w:customStyle="1" w:styleId="ECHRFooterLine">
    <w:name w:val="ECHR_Footer_Line"/>
    <w:aliases w:val="Footer_Line"/>
    <w:basedOn w:val="Normal"/>
    <w:next w:val="ECHRFooter"/>
    <w:uiPriority w:val="57"/>
    <w:semiHidden/>
    <w:rsid w:val="00C52527"/>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C52527"/>
  </w:style>
  <w:style w:type="paragraph" w:customStyle="1" w:styleId="OpiPara">
    <w:name w:val="Opi_Para"/>
    <w:basedOn w:val="ECHRPara"/>
    <w:uiPriority w:val="46"/>
    <w:qFormat/>
    <w:rsid w:val="00C52527"/>
  </w:style>
  <w:style w:type="paragraph" w:customStyle="1" w:styleId="DecList">
    <w:name w:val="Dec_List"/>
    <w:basedOn w:val="Normal"/>
    <w:uiPriority w:val="9"/>
    <w:semiHidden/>
    <w:qFormat/>
    <w:rsid w:val="00C52527"/>
    <w:pPr>
      <w:spacing w:before="240"/>
      <w:ind w:left="284"/>
    </w:pPr>
  </w:style>
  <w:style w:type="paragraph" w:customStyle="1" w:styleId="ECHRTitleCentre3">
    <w:name w:val="ECHR_Title_Centre_3"/>
    <w:aliases w:val="Ju_H_Article"/>
    <w:basedOn w:val="Normal"/>
    <w:next w:val="ECHRParaQuote"/>
    <w:uiPriority w:val="27"/>
    <w:qFormat/>
    <w:rsid w:val="00C5252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C52527"/>
    <w:pPr>
      <w:keepNext/>
      <w:keepLines/>
      <w:spacing w:after="240"/>
      <w:jc w:val="center"/>
      <w:outlineLvl w:val="0"/>
    </w:pPr>
    <w:rPr>
      <w:rFonts w:asciiTheme="majorHAnsi" w:hAnsiTheme="majorHAnsi"/>
      <w:sz w:val="28"/>
    </w:rPr>
  </w:style>
  <w:style w:type="paragraph" w:customStyle="1" w:styleId="DummyStyle">
    <w:name w:val="Dummy_Style"/>
    <w:basedOn w:val="Normal"/>
    <w:semiHidden/>
    <w:qFormat/>
    <w:rsid w:val="00C52527"/>
    <w:rPr>
      <w:color w:val="00B050"/>
    </w:rPr>
  </w:style>
  <w:style w:type="paragraph" w:customStyle="1" w:styleId="JuAppQuestion">
    <w:name w:val="Ju_App_Question"/>
    <w:basedOn w:val="Normal"/>
    <w:uiPriority w:val="5"/>
    <w:semiHidden/>
    <w:qFormat/>
    <w:rsid w:val="00C52527"/>
    <w:pPr>
      <w:numPr>
        <w:numId w:val="17"/>
      </w:numPr>
      <w:jc w:val="left"/>
    </w:pPr>
    <w:rPr>
      <w:b/>
    </w:rPr>
  </w:style>
  <w:style w:type="paragraph" w:customStyle="1" w:styleId="JuCourt">
    <w:name w:val="Ju_Court"/>
    <w:basedOn w:val="Normal"/>
    <w:next w:val="Normal"/>
    <w:uiPriority w:val="16"/>
    <w:qFormat/>
    <w:rsid w:val="00C52527"/>
    <w:pPr>
      <w:tabs>
        <w:tab w:val="left" w:pos="907"/>
        <w:tab w:val="left" w:pos="1701"/>
        <w:tab w:val="right" w:pos="7371"/>
      </w:tabs>
      <w:spacing w:before="240"/>
      <w:ind w:left="397" w:hanging="397"/>
      <w:jc w:val="left"/>
    </w:pPr>
    <w:rPr>
      <w:lang w:bidi="en-US"/>
    </w:rPr>
  </w:style>
  <w:style w:type="paragraph" w:customStyle="1" w:styleId="ECHRTitleCentre2">
    <w:name w:val="ECHR_Title_Centre_2"/>
    <w:aliases w:val="Dec_H_Case"/>
    <w:basedOn w:val="Normal"/>
    <w:next w:val="ECHRPara"/>
    <w:uiPriority w:val="8"/>
    <w:qFormat/>
    <w:rsid w:val="00C52527"/>
    <w:pPr>
      <w:spacing w:after="240"/>
      <w:jc w:val="center"/>
      <w:outlineLvl w:val="0"/>
    </w:pPr>
    <w:rPr>
      <w:rFonts w:asciiTheme="majorHAnsi" w:hAnsiTheme="majorHAnsi"/>
    </w:rPr>
  </w:style>
  <w:style w:type="paragraph" w:customStyle="1" w:styleId="JuHeaderLandscape">
    <w:name w:val="Ju_Header_Landscape"/>
    <w:basedOn w:val="ECHRHeader"/>
    <w:uiPriority w:val="4"/>
    <w:qFormat/>
    <w:rsid w:val="00C52527"/>
    <w:pPr>
      <w:tabs>
        <w:tab w:val="clear" w:pos="3686"/>
        <w:tab w:val="clear" w:pos="7371"/>
        <w:tab w:val="center" w:pos="6146"/>
        <w:tab w:val="right" w:pos="12293"/>
      </w:tabs>
    </w:pPr>
  </w:style>
  <w:style w:type="paragraph" w:styleId="Title">
    <w:name w:val="Title"/>
    <w:basedOn w:val="Normal"/>
    <w:next w:val="Normal"/>
    <w:link w:val="TitleChar"/>
    <w:uiPriority w:val="99"/>
    <w:semiHidden/>
    <w:qFormat/>
    <w:rsid w:val="00C5252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C5252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C5252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C5252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C5252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C52527"/>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C52527"/>
    <w:pPr>
      <w:keepNext/>
      <w:keepLines/>
      <w:spacing w:before="240" w:after="120"/>
      <w:ind w:left="1236"/>
    </w:pPr>
    <w:rPr>
      <w:sz w:val="20"/>
    </w:rPr>
  </w:style>
  <w:style w:type="character" w:customStyle="1" w:styleId="JuITMark">
    <w:name w:val="Ju_ITMark"/>
    <w:basedOn w:val="DefaultParagraphFont"/>
    <w:uiPriority w:val="38"/>
    <w:qFormat/>
    <w:rsid w:val="00C52527"/>
    <w:rPr>
      <w:vanish w:val="0"/>
      <w:color w:val="auto"/>
      <w:sz w:val="14"/>
      <w:bdr w:val="none" w:sz="0" w:space="0" w:color="auto"/>
      <w:shd w:val="clear" w:color="auto" w:fill="BEE5FF" w:themeFill="background1" w:themeFillTint="33"/>
    </w:rPr>
  </w:style>
  <w:style w:type="paragraph" w:customStyle="1" w:styleId="JuInitialled">
    <w:name w:val="Ju_Initialled"/>
    <w:basedOn w:val="Normal"/>
    <w:uiPriority w:val="31"/>
    <w:qFormat/>
    <w:rsid w:val="00C52527"/>
    <w:pPr>
      <w:tabs>
        <w:tab w:val="center" w:pos="6407"/>
      </w:tabs>
      <w:spacing w:before="720"/>
      <w:jc w:val="right"/>
    </w:pPr>
  </w:style>
  <w:style w:type="character" w:customStyle="1" w:styleId="JUNAMES">
    <w:name w:val="JU_NAMES"/>
    <w:uiPriority w:val="17"/>
    <w:qFormat/>
    <w:rsid w:val="00C52527"/>
    <w:rPr>
      <w:caps w:val="0"/>
      <w:smallCaps/>
    </w:rPr>
  </w:style>
  <w:style w:type="paragraph" w:styleId="Header">
    <w:name w:val="header"/>
    <w:basedOn w:val="Normal"/>
    <w:link w:val="HeaderChar"/>
    <w:uiPriority w:val="57"/>
    <w:semiHidden/>
    <w:rsid w:val="00C5252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C52527"/>
    <w:rPr>
      <w:sz w:val="24"/>
    </w:rPr>
  </w:style>
  <w:style w:type="character" w:customStyle="1" w:styleId="Heading1Char">
    <w:name w:val="Heading 1 Char"/>
    <w:basedOn w:val="DefaultParagraphFont"/>
    <w:link w:val="Heading1"/>
    <w:uiPriority w:val="99"/>
    <w:semiHidden/>
    <w:rsid w:val="00C5252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C5252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C5252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C52527"/>
    <w:rPr>
      <w:rFonts w:asciiTheme="majorHAnsi" w:eastAsiaTheme="majorEastAsia" w:hAnsiTheme="majorHAnsi" w:cstheme="majorBidi"/>
      <w:b/>
      <w:bCs/>
      <w:color w:val="4D4D4D"/>
      <w:sz w:val="26"/>
      <w:szCs w:val="26"/>
    </w:rPr>
  </w:style>
  <w:style w:type="paragraph" w:customStyle="1" w:styleId="JuParaSub">
    <w:name w:val="Ju_Para_Sub"/>
    <w:basedOn w:val="ECHRPara"/>
    <w:uiPriority w:val="13"/>
    <w:qFormat/>
    <w:rsid w:val="00C52527"/>
    <w:pPr>
      <w:ind w:left="284"/>
    </w:pPr>
  </w:style>
  <w:style w:type="paragraph" w:customStyle="1" w:styleId="JuCase">
    <w:name w:val="Ju_Case"/>
    <w:basedOn w:val="Normal"/>
    <w:next w:val="ECHRPara"/>
    <w:uiPriority w:val="10"/>
    <w:rsid w:val="00C52527"/>
    <w:pPr>
      <w:ind w:firstLine="284"/>
    </w:pPr>
    <w:rPr>
      <w:b/>
    </w:rPr>
  </w:style>
  <w:style w:type="character" w:customStyle="1" w:styleId="Heading3Char">
    <w:name w:val="Heading 3 Char"/>
    <w:basedOn w:val="DefaultParagraphFont"/>
    <w:link w:val="Heading3"/>
    <w:uiPriority w:val="99"/>
    <w:semiHidden/>
    <w:rsid w:val="00C5252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C5252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C52527"/>
    <w:rPr>
      <w:rFonts w:asciiTheme="majorHAnsi" w:eastAsiaTheme="majorEastAsia" w:hAnsiTheme="majorHAnsi" w:cstheme="majorBidi"/>
      <w:b/>
      <w:bCs/>
      <w:color w:val="808080"/>
    </w:rPr>
  </w:style>
  <w:style w:type="character" w:styleId="SubtleEmphasis">
    <w:name w:val="Subtle Emphasis"/>
    <w:uiPriority w:val="99"/>
    <w:semiHidden/>
    <w:qFormat/>
    <w:rsid w:val="00C5252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C52527"/>
    <w:pPr>
      <w:keepNext/>
      <w:keepLines/>
      <w:spacing w:before="720" w:after="240"/>
      <w:outlineLvl w:val="0"/>
    </w:pPr>
    <w:rPr>
      <w:rFonts w:asciiTheme="majorHAnsi" w:hAnsiTheme="majorHAnsi"/>
      <w:sz w:val="28"/>
    </w:rPr>
  </w:style>
  <w:style w:type="character" w:styleId="Emphasis">
    <w:name w:val="Emphasis"/>
    <w:uiPriority w:val="99"/>
    <w:semiHidden/>
    <w:qFormat/>
    <w:rsid w:val="00C52527"/>
    <w:rPr>
      <w:b/>
      <w:bCs/>
      <w:i/>
      <w:iCs/>
      <w:spacing w:val="10"/>
      <w:bdr w:val="none" w:sz="0" w:space="0" w:color="auto"/>
      <w:shd w:val="clear" w:color="auto" w:fill="auto"/>
    </w:rPr>
  </w:style>
  <w:style w:type="paragraph" w:styleId="Footer">
    <w:name w:val="footer"/>
    <w:basedOn w:val="Normal"/>
    <w:link w:val="FooterChar"/>
    <w:uiPriority w:val="57"/>
    <w:semiHidden/>
    <w:rsid w:val="00C5252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C52527"/>
    <w:rPr>
      <w:sz w:val="24"/>
    </w:rPr>
  </w:style>
  <w:style w:type="character" w:styleId="FootnoteReference">
    <w:name w:val="footnote reference"/>
    <w:basedOn w:val="DefaultParagraphFont"/>
    <w:uiPriority w:val="99"/>
    <w:semiHidden/>
    <w:rsid w:val="00C52527"/>
    <w:rPr>
      <w:vertAlign w:val="superscript"/>
    </w:rPr>
  </w:style>
  <w:style w:type="paragraph" w:styleId="FootnoteText">
    <w:name w:val="footnote text"/>
    <w:basedOn w:val="Normal"/>
    <w:link w:val="FootnoteTextChar"/>
    <w:uiPriority w:val="99"/>
    <w:semiHidden/>
    <w:rsid w:val="00C52527"/>
    <w:rPr>
      <w:sz w:val="20"/>
      <w:szCs w:val="20"/>
    </w:rPr>
  </w:style>
  <w:style w:type="character" w:customStyle="1" w:styleId="FootnoteTextChar">
    <w:name w:val="Footnote Text Char"/>
    <w:basedOn w:val="DefaultParagraphFont"/>
    <w:link w:val="FootnoteText"/>
    <w:uiPriority w:val="99"/>
    <w:rsid w:val="00C52527"/>
    <w:rPr>
      <w:rFonts w:eastAsiaTheme="minorEastAsia"/>
      <w:sz w:val="20"/>
      <w:szCs w:val="20"/>
    </w:rPr>
  </w:style>
  <w:style w:type="character" w:customStyle="1" w:styleId="Heading6Char">
    <w:name w:val="Heading 6 Char"/>
    <w:basedOn w:val="DefaultParagraphFont"/>
    <w:link w:val="Heading6"/>
    <w:uiPriority w:val="99"/>
    <w:semiHidden/>
    <w:rsid w:val="00C5252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C5252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C5252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C5252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C52527"/>
    <w:rPr>
      <w:color w:val="0072BC" w:themeColor="hyperlink"/>
      <w:u w:val="single"/>
    </w:rPr>
  </w:style>
  <w:style w:type="character" w:styleId="IntenseEmphasis">
    <w:name w:val="Intense Emphasis"/>
    <w:uiPriority w:val="99"/>
    <w:semiHidden/>
    <w:qFormat/>
    <w:rsid w:val="00C52527"/>
    <w:rPr>
      <w:b/>
      <w:bCs/>
    </w:rPr>
  </w:style>
  <w:style w:type="paragraph" w:styleId="IntenseQuote">
    <w:name w:val="Intense Quote"/>
    <w:basedOn w:val="Normal"/>
    <w:next w:val="Normal"/>
    <w:link w:val="IntenseQuoteChar"/>
    <w:uiPriority w:val="99"/>
    <w:semiHidden/>
    <w:qFormat/>
    <w:rsid w:val="00C5252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C52527"/>
    <w:rPr>
      <w:rFonts w:eastAsiaTheme="minorEastAsia"/>
      <w:b/>
      <w:bCs/>
      <w:i/>
      <w:iCs/>
      <w:lang w:bidi="en-US"/>
    </w:rPr>
  </w:style>
  <w:style w:type="character" w:styleId="IntenseReference">
    <w:name w:val="Intense Reference"/>
    <w:uiPriority w:val="99"/>
    <w:semiHidden/>
    <w:qFormat/>
    <w:rsid w:val="00C52527"/>
    <w:rPr>
      <w:smallCaps/>
      <w:spacing w:val="5"/>
      <w:u w:val="single"/>
    </w:rPr>
  </w:style>
  <w:style w:type="paragraph" w:styleId="ListParagraph">
    <w:name w:val="List Paragraph"/>
    <w:basedOn w:val="Normal"/>
    <w:uiPriority w:val="99"/>
    <w:semiHidden/>
    <w:qFormat/>
    <w:rsid w:val="00C5252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C52527"/>
    <w:pPr>
      <w:spacing w:before="200"/>
      <w:ind w:left="360" w:right="360"/>
    </w:pPr>
    <w:rPr>
      <w:i/>
      <w:iCs/>
      <w:sz w:val="22"/>
      <w:lang w:bidi="en-US"/>
    </w:rPr>
  </w:style>
  <w:style w:type="character" w:customStyle="1" w:styleId="QuoteChar">
    <w:name w:val="Quote Char"/>
    <w:basedOn w:val="DefaultParagraphFont"/>
    <w:link w:val="Quote"/>
    <w:uiPriority w:val="99"/>
    <w:semiHidden/>
    <w:rsid w:val="00C52527"/>
    <w:rPr>
      <w:rFonts w:eastAsiaTheme="minorEastAsia"/>
      <w:i/>
      <w:iCs/>
      <w:lang w:bidi="en-US"/>
    </w:rPr>
  </w:style>
  <w:style w:type="character" w:styleId="SubtleReference">
    <w:name w:val="Subtle Reference"/>
    <w:uiPriority w:val="99"/>
    <w:semiHidden/>
    <w:qFormat/>
    <w:rsid w:val="00C52527"/>
    <w:rPr>
      <w:smallCaps/>
    </w:rPr>
  </w:style>
  <w:style w:type="table" w:styleId="TableGrid">
    <w:name w:val="Table Grid"/>
    <w:basedOn w:val="TableNormal"/>
    <w:uiPriority w:val="59"/>
    <w:semiHidden/>
    <w:rsid w:val="00C5252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C5252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C5252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C5252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C5252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C5252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C5252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5252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C52527"/>
    <w:pPr>
      <w:spacing w:before="120" w:after="120"/>
      <w:ind w:left="425" w:firstLine="142"/>
    </w:pPr>
    <w:rPr>
      <w:sz w:val="20"/>
    </w:rPr>
  </w:style>
  <w:style w:type="paragraph" w:customStyle="1" w:styleId="ECHRPara">
    <w:name w:val="ECHR_Para"/>
    <w:aliases w:val="Ju_Para"/>
    <w:basedOn w:val="Normal"/>
    <w:link w:val="ECHRParaChar"/>
    <w:uiPriority w:val="12"/>
    <w:qFormat/>
    <w:rsid w:val="00C5252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C5252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C5252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C52527"/>
    <w:pPr>
      <w:ind w:left="340" w:hanging="340"/>
    </w:pPr>
  </w:style>
  <w:style w:type="paragraph" w:customStyle="1" w:styleId="JuSigned">
    <w:name w:val="Ju_Signed"/>
    <w:basedOn w:val="Normal"/>
    <w:next w:val="JuParaLast"/>
    <w:uiPriority w:val="32"/>
    <w:qFormat/>
    <w:rsid w:val="00C52527"/>
    <w:pPr>
      <w:tabs>
        <w:tab w:val="center" w:pos="851"/>
        <w:tab w:val="center" w:pos="6407"/>
      </w:tabs>
      <w:spacing w:before="720"/>
      <w:jc w:val="left"/>
    </w:pPr>
  </w:style>
  <w:style w:type="paragraph" w:customStyle="1" w:styleId="JuParaLast">
    <w:name w:val="Ju_Para_Last"/>
    <w:basedOn w:val="Normal"/>
    <w:next w:val="ECHRPara"/>
    <w:uiPriority w:val="30"/>
    <w:qFormat/>
    <w:rsid w:val="00C52527"/>
    <w:pPr>
      <w:keepNext/>
      <w:keepLines/>
      <w:spacing w:before="240"/>
      <w:ind w:firstLine="284"/>
    </w:pPr>
  </w:style>
  <w:style w:type="paragraph" w:customStyle="1" w:styleId="JuQuotSub">
    <w:name w:val="Ju_Quot_Sub"/>
    <w:basedOn w:val="ECHRParaQuote"/>
    <w:uiPriority w:val="15"/>
    <w:qFormat/>
    <w:rsid w:val="00C52527"/>
    <w:pPr>
      <w:ind w:left="567"/>
    </w:pPr>
  </w:style>
  <w:style w:type="character" w:styleId="PageNumber">
    <w:name w:val="page number"/>
    <w:semiHidden/>
    <w:rsid w:val="00014566"/>
    <w:rPr>
      <w:sz w:val="18"/>
    </w:rPr>
  </w:style>
  <w:style w:type="paragraph" w:customStyle="1" w:styleId="JuLista">
    <w:name w:val="Ju_List_a"/>
    <w:basedOn w:val="JuList"/>
    <w:uiPriority w:val="28"/>
    <w:qFormat/>
    <w:rsid w:val="00C52527"/>
    <w:pPr>
      <w:ind w:left="346" w:firstLine="0"/>
    </w:pPr>
  </w:style>
  <w:style w:type="paragraph" w:customStyle="1" w:styleId="JuListi">
    <w:name w:val="Ju_List_i"/>
    <w:basedOn w:val="Normal"/>
    <w:next w:val="JuLista"/>
    <w:uiPriority w:val="28"/>
    <w:qFormat/>
    <w:rsid w:val="00C52527"/>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JuTitle">
    <w:name w:val="Ju_Title"/>
    <w:basedOn w:val="Normal"/>
    <w:next w:val="ECHRPara"/>
    <w:uiPriority w:val="3"/>
    <w:semiHidden/>
    <w:qFormat/>
    <w:rsid w:val="00C52527"/>
    <w:pPr>
      <w:spacing w:before="720" w:after="240"/>
      <w:jc w:val="center"/>
      <w:outlineLvl w:val="0"/>
    </w:pPr>
    <w:rPr>
      <w:rFonts w:asciiTheme="majorHAnsi" w:hAnsiTheme="majorHAnsi"/>
      <w:b/>
      <w:caps/>
    </w:rPr>
  </w:style>
  <w:style w:type="paragraph" w:styleId="ListBullet">
    <w:name w:val="List Bullet"/>
    <w:basedOn w:val="Normal"/>
    <w:uiPriority w:val="99"/>
    <w:semiHidden/>
    <w:rsid w:val="00014566"/>
    <w:pPr>
      <w:numPr>
        <w:numId w:val="1"/>
      </w:numPr>
    </w:pPr>
  </w:style>
  <w:style w:type="paragraph" w:customStyle="1" w:styleId="OpiH1">
    <w:name w:val="Opi_H_1"/>
    <w:basedOn w:val="ECHRHeading2"/>
    <w:uiPriority w:val="42"/>
    <w:qFormat/>
    <w:rsid w:val="00C52527"/>
    <w:pPr>
      <w:ind w:left="635" w:hanging="357"/>
      <w:outlineLvl w:val="2"/>
    </w:pPr>
  </w:style>
  <w:style w:type="paragraph" w:styleId="Subtitle">
    <w:name w:val="Subtitle"/>
    <w:basedOn w:val="Normal"/>
    <w:next w:val="Normal"/>
    <w:link w:val="SubtitleChar"/>
    <w:uiPriority w:val="99"/>
    <w:semiHidden/>
    <w:qFormat/>
    <w:rsid w:val="00C5252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C5252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C5252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C5252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C5252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
    <w:name w:val="Opi_H_a"/>
    <w:basedOn w:val="ECHRHeading3"/>
    <w:uiPriority w:val="43"/>
    <w:qFormat/>
    <w:rsid w:val="00C52527"/>
    <w:pPr>
      <w:ind w:left="833" w:hanging="357"/>
      <w:outlineLvl w:val="3"/>
    </w:pPr>
    <w:rPr>
      <w:b/>
      <w:i w:val="0"/>
      <w:sz w:val="20"/>
    </w:rPr>
  </w:style>
  <w:style w:type="paragraph" w:customStyle="1" w:styleId="OpiHA0">
    <w:name w:val="Opi_H_A"/>
    <w:basedOn w:val="ECHRHeading1"/>
    <w:next w:val="OpiPara"/>
    <w:uiPriority w:val="41"/>
    <w:qFormat/>
    <w:rsid w:val="00C52527"/>
    <w:pPr>
      <w:tabs>
        <w:tab w:val="clear" w:pos="357"/>
      </w:tabs>
      <w:outlineLvl w:val="1"/>
    </w:pPr>
    <w:rPr>
      <w:b/>
    </w:rPr>
  </w:style>
  <w:style w:type="paragraph" w:customStyle="1" w:styleId="OpiHi">
    <w:name w:val="Opi_H_i"/>
    <w:basedOn w:val="ECHRHeading4"/>
    <w:uiPriority w:val="44"/>
    <w:qFormat/>
    <w:rsid w:val="00C52527"/>
    <w:pPr>
      <w:ind w:left="1037" w:hanging="357"/>
      <w:outlineLvl w:val="4"/>
    </w:pPr>
    <w:rPr>
      <w:b w:val="0"/>
      <w:i/>
    </w:rPr>
  </w:style>
  <w:style w:type="paragraph" w:customStyle="1" w:styleId="OpiParaSub">
    <w:name w:val="Opi_Para_Sub"/>
    <w:basedOn w:val="JuParaSub"/>
    <w:uiPriority w:val="47"/>
    <w:qFormat/>
    <w:rsid w:val="00C52527"/>
  </w:style>
  <w:style w:type="paragraph" w:customStyle="1" w:styleId="OpiQuot">
    <w:name w:val="Opi_Quot"/>
    <w:basedOn w:val="ECHRParaQuote"/>
    <w:uiPriority w:val="48"/>
    <w:qFormat/>
    <w:rsid w:val="00C52527"/>
  </w:style>
  <w:style w:type="paragraph" w:customStyle="1" w:styleId="OpiQuotSub">
    <w:name w:val="Opi_Quot_Sub"/>
    <w:basedOn w:val="JuQuotSub"/>
    <w:uiPriority w:val="49"/>
    <w:qFormat/>
    <w:rsid w:val="00C52527"/>
  </w:style>
  <w:style w:type="paragraph" w:customStyle="1" w:styleId="OpiTranslation">
    <w:name w:val="Opi_Translation"/>
    <w:basedOn w:val="Normal"/>
    <w:next w:val="OpiPara"/>
    <w:uiPriority w:val="40"/>
    <w:qFormat/>
    <w:rsid w:val="00C52527"/>
    <w:pPr>
      <w:jc w:val="center"/>
      <w:outlineLvl w:val="0"/>
    </w:pPr>
    <w:rPr>
      <w:i/>
    </w:rPr>
  </w:style>
  <w:style w:type="character" w:customStyle="1" w:styleId="ECHRParaChar">
    <w:name w:val="ECHR_Para Char"/>
    <w:aliases w:val="Ju_Para Char"/>
    <w:link w:val="ECHRPara"/>
    <w:uiPriority w:val="12"/>
    <w:rsid w:val="00D16321"/>
    <w:rPr>
      <w:rFonts w:eastAsiaTheme="minorEastAsia"/>
      <w:sz w:val="24"/>
    </w:rPr>
  </w:style>
  <w:style w:type="paragraph" w:styleId="Revision">
    <w:name w:val="Revision"/>
    <w:hidden/>
    <w:uiPriority w:val="99"/>
    <w:semiHidden/>
    <w:rsid w:val="00583FCB"/>
    <w:rPr>
      <w:rFonts w:eastAsiaTheme="minorEastAsia"/>
      <w:sz w:val="24"/>
    </w:rPr>
  </w:style>
  <w:style w:type="paragraph" w:customStyle="1" w:styleId="jupara">
    <w:name w:val="jupara"/>
    <w:basedOn w:val="Normal"/>
    <w:rsid w:val="00275FCA"/>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275FCA"/>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1719">
      <w:bodyDiv w:val="1"/>
      <w:marLeft w:val="0"/>
      <w:marRight w:val="0"/>
      <w:marTop w:val="0"/>
      <w:marBottom w:val="0"/>
      <w:divBdr>
        <w:top w:val="none" w:sz="0" w:space="0" w:color="auto"/>
        <w:left w:val="none" w:sz="0" w:space="0" w:color="auto"/>
        <w:bottom w:val="none" w:sz="0" w:space="0" w:color="auto"/>
        <w:right w:val="none" w:sz="0" w:space="0" w:color="auto"/>
      </w:divBdr>
      <w:divsChild>
        <w:div w:id="151801535">
          <w:marLeft w:val="0"/>
          <w:marRight w:val="0"/>
          <w:marTop w:val="0"/>
          <w:marBottom w:val="0"/>
          <w:divBdr>
            <w:top w:val="none" w:sz="0" w:space="0" w:color="auto"/>
            <w:left w:val="none" w:sz="0" w:space="0" w:color="auto"/>
            <w:bottom w:val="none" w:sz="0" w:space="0" w:color="auto"/>
            <w:right w:val="none" w:sz="0" w:space="0" w:color="auto"/>
          </w:divBdr>
          <w:divsChild>
            <w:div w:id="1148086139">
              <w:marLeft w:val="0"/>
              <w:marRight w:val="0"/>
              <w:marTop w:val="0"/>
              <w:marBottom w:val="0"/>
              <w:divBdr>
                <w:top w:val="none" w:sz="0" w:space="0" w:color="auto"/>
                <w:left w:val="none" w:sz="0" w:space="0" w:color="auto"/>
                <w:bottom w:val="none" w:sz="0" w:space="0" w:color="auto"/>
                <w:right w:val="none" w:sz="0" w:space="0" w:color="auto"/>
              </w:divBdr>
              <w:divsChild>
                <w:div w:id="993293922">
                  <w:marLeft w:val="0"/>
                  <w:marRight w:val="0"/>
                  <w:marTop w:val="0"/>
                  <w:marBottom w:val="0"/>
                  <w:divBdr>
                    <w:top w:val="none" w:sz="0" w:space="0" w:color="auto"/>
                    <w:left w:val="none" w:sz="0" w:space="0" w:color="auto"/>
                    <w:bottom w:val="none" w:sz="0" w:space="0" w:color="auto"/>
                    <w:right w:val="none" w:sz="0" w:space="0" w:color="auto"/>
                  </w:divBdr>
                  <w:divsChild>
                    <w:div w:id="1930115424">
                      <w:marLeft w:val="0"/>
                      <w:marRight w:val="0"/>
                      <w:marTop w:val="0"/>
                      <w:marBottom w:val="0"/>
                      <w:divBdr>
                        <w:top w:val="none" w:sz="0" w:space="0" w:color="auto"/>
                        <w:left w:val="none" w:sz="0" w:space="0" w:color="auto"/>
                        <w:bottom w:val="none" w:sz="0" w:space="0" w:color="auto"/>
                        <w:right w:val="none" w:sz="0" w:space="0" w:color="auto"/>
                      </w:divBdr>
                      <w:divsChild>
                        <w:div w:id="391855368">
                          <w:marLeft w:val="0"/>
                          <w:marRight w:val="0"/>
                          <w:marTop w:val="0"/>
                          <w:marBottom w:val="0"/>
                          <w:divBdr>
                            <w:top w:val="none" w:sz="0" w:space="0" w:color="auto"/>
                            <w:left w:val="none" w:sz="0" w:space="0" w:color="auto"/>
                            <w:bottom w:val="none" w:sz="0" w:space="0" w:color="auto"/>
                            <w:right w:val="none" w:sz="0" w:space="0" w:color="auto"/>
                          </w:divBdr>
                          <w:divsChild>
                            <w:div w:id="15509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29348">
      <w:bodyDiv w:val="1"/>
      <w:marLeft w:val="0"/>
      <w:marRight w:val="0"/>
      <w:marTop w:val="0"/>
      <w:marBottom w:val="0"/>
      <w:divBdr>
        <w:top w:val="none" w:sz="0" w:space="0" w:color="auto"/>
        <w:left w:val="none" w:sz="0" w:space="0" w:color="auto"/>
        <w:bottom w:val="none" w:sz="0" w:space="0" w:color="auto"/>
        <w:right w:val="none" w:sz="0" w:space="0" w:color="auto"/>
      </w:divBdr>
      <w:divsChild>
        <w:div w:id="770972494">
          <w:marLeft w:val="0"/>
          <w:marRight w:val="0"/>
          <w:marTop w:val="0"/>
          <w:marBottom w:val="0"/>
          <w:divBdr>
            <w:top w:val="none" w:sz="0" w:space="0" w:color="auto"/>
            <w:left w:val="none" w:sz="0" w:space="0" w:color="auto"/>
            <w:bottom w:val="none" w:sz="0" w:space="0" w:color="auto"/>
            <w:right w:val="none" w:sz="0" w:space="0" w:color="auto"/>
          </w:divBdr>
          <w:divsChild>
            <w:div w:id="1487552231">
              <w:marLeft w:val="0"/>
              <w:marRight w:val="0"/>
              <w:marTop w:val="0"/>
              <w:marBottom w:val="0"/>
              <w:divBdr>
                <w:top w:val="none" w:sz="0" w:space="0" w:color="auto"/>
                <w:left w:val="none" w:sz="0" w:space="0" w:color="auto"/>
                <w:bottom w:val="none" w:sz="0" w:space="0" w:color="auto"/>
                <w:right w:val="none" w:sz="0" w:space="0" w:color="auto"/>
              </w:divBdr>
              <w:divsChild>
                <w:div w:id="1553537598">
                  <w:marLeft w:val="0"/>
                  <w:marRight w:val="0"/>
                  <w:marTop w:val="0"/>
                  <w:marBottom w:val="0"/>
                  <w:divBdr>
                    <w:top w:val="none" w:sz="0" w:space="0" w:color="auto"/>
                    <w:left w:val="none" w:sz="0" w:space="0" w:color="auto"/>
                    <w:bottom w:val="none" w:sz="0" w:space="0" w:color="auto"/>
                    <w:right w:val="none" w:sz="0" w:space="0" w:color="auto"/>
                  </w:divBdr>
                  <w:divsChild>
                    <w:div w:id="1956667518">
                      <w:marLeft w:val="0"/>
                      <w:marRight w:val="0"/>
                      <w:marTop w:val="0"/>
                      <w:marBottom w:val="0"/>
                      <w:divBdr>
                        <w:top w:val="none" w:sz="0" w:space="0" w:color="auto"/>
                        <w:left w:val="none" w:sz="0" w:space="0" w:color="auto"/>
                        <w:bottom w:val="none" w:sz="0" w:space="0" w:color="auto"/>
                        <w:right w:val="none" w:sz="0" w:space="0" w:color="auto"/>
                      </w:divBdr>
                      <w:divsChild>
                        <w:div w:id="409162994">
                          <w:marLeft w:val="0"/>
                          <w:marRight w:val="0"/>
                          <w:marTop w:val="0"/>
                          <w:marBottom w:val="0"/>
                          <w:divBdr>
                            <w:top w:val="none" w:sz="0" w:space="0" w:color="auto"/>
                            <w:left w:val="none" w:sz="0" w:space="0" w:color="auto"/>
                            <w:bottom w:val="none" w:sz="0" w:space="0" w:color="auto"/>
                            <w:right w:val="none" w:sz="0" w:space="0" w:color="auto"/>
                          </w:divBdr>
                          <w:divsChild>
                            <w:div w:id="5508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8590">
      <w:bodyDiv w:val="1"/>
      <w:marLeft w:val="0"/>
      <w:marRight w:val="0"/>
      <w:marTop w:val="0"/>
      <w:marBottom w:val="0"/>
      <w:divBdr>
        <w:top w:val="none" w:sz="0" w:space="0" w:color="auto"/>
        <w:left w:val="none" w:sz="0" w:space="0" w:color="auto"/>
        <w:bottom w:val="none" w:sz="0" w:space="0" w:color="auto"/>
        <w:right w:val="none" w:sz="0" w:space="0" w:color="auto"/>
      </w:divBdr>
      <w:divsChild>
        <w:div w:id="148903744">
          <w:marLeft w:val="0"/>
          <w:marRight w:val="0"/>
          <w:marTop w:val="0"/>
          <w:marBottom w:val="0"/>
          <w:divBdr>
            <w:top w:val="none" w:sz="0" w:space="0" w:color="auto"/>
            <w:left w:val="none" w:sz="0" w:space="0" w:color="auto"/>
            <w:bottom w:val="none" w:sz="0" w:space="0" w:color="auto"/>
            <w:right w:val="none" w:sz="0" w:space="0" w:color="auto"/>
          </w:divBdr>
          <w:divsChild>
            <w:div w:id="915479154">
              <w:marLeft w:val="0"/>
              <w:marRight w:val="0"/>
              <w:marTop w:val="0"/>
              <w:marBottom w:val="0"/>
              <w:divBdr>
                <w:top w:val="none" w:sz="0" w:space="0" w:color="auto"/>
                <w:left w:val="none" w:sz="0" w:space="0" w:color="auto"/>
                <w:bottom w:val="none" w:sz="0" w:space="0" w:color="auto"/>
                <w:right w:val="none" w:sz="0" w:space="0" w:color="auto"/>
              </w:divBdr>
              <w:divsChild>
                <w:div w:id="1193036963">
                  <w:marLeft w:val="0"/>
                  <w:marRight w:val="0"/>
                  <w:marTop w:val="0"/>
                  <w:marBottom w:val="0"/>
                  <w:divBdr>
                    <w:top w:val="none" w:sz="0" w:space="0" w:color="auto"/>
                    <w:left w:val="none" w:sz="0" w:space="0" w:color="auto"/>
                    <w:bottom w:val="none" w:sz="0" w:space="0" w:color="auto"/>
                    <w:right w:val="none" w:sz="0" w:space="0" w:color="auto"/>
                  </w:divBdr>
                  <w:divsChild>
                    <w:div w:id="449470586">
                      <w:marLeft w:val="0"/>
                      <w:marRight w:val="0"/>
                      <w:marTop w:val="0"/>
                      <w:marBottom w:val="0"/>
                      <w:divBdr>
                        <w:top w:val="none" w:sz="0" w:space="0" w:color="auto"/>
                        <w:left w:val="none" w:sz="0" w:space="0" w:color="auto"/>
                        <w:bottom w:val="none" w:sz="0" w:space="0" w:color="auto"/>
                        <w:right w:val="none" w:sz="0" w:space="0" w:color="auto"/>
                      </w:divBdr>
                      <w:divsChild>
                        <w:div w:id="435950614">
                          <w:marLeft w:val="0"/>
                          <w:marRight w:val="0"/>
                          <w:marTop w:val="0"/>
                          <w:marBottom w:val="0"/>
                          <w:divBdr>
                            <w:top w:val="none" w:sz="0" w:space="0" w:color="auto"/>
                            <w:left w:val="none" w:sz="0" w:space="0" w:color="auto"/>
                            <w:bottom w:val="none" w:sz="0" w:space="0" w:color="auto"/>
                            <w:right w:val="none" w:sz="0" w:space="0" w:color="auto"/>
                          </w:divBdr>
                          <w:divsChild>
                            <w:div w:id="3022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349406">
      <w:bodyDiv w:val="1"/>
      <w:marLeft w:val="0"/>
      <w:marRight w:val="0"/>
      <w:marTop w:val="0"/>
      <w:marBottom w:val="0"/>
      <w:divBdr>
        <w:top w:val="none" w:sz="0" w:space="0" w:color="auto"/>
        <w:left w:val="none" w:sz="0" w:space="0" w:color="auto"/>
        <w:bottom w:val="none" w:sz="0" w:space="0" w:color="auto"/>
        <w:right w:val="none" w:sz="0" w:space="0" w:color="auto"/>
      </w:divBdr>
      <w:divsChild>
        <w:div w:id="352921139">
          <w:marLeft w:val="0"/>
          <w:marRight w:val="0"/>
          <w:marTop w:val="0"/>
          <w:marBottom w:val="0"/>
          <w:divBdr>
            <w:top w:val="none" w:sz="0" w:space="0" w:color="auto"/>
            <w:left w:val="none" w:sz="0" w:space="0" w:color="auto"/>
            <w:bottom w:val="none" w:sz="0" w:space="0" w:color="auto"/>
            <w:right w:val="none" w:sz="0" w:space="0" w:color="auto"/>
          </w:divBdr>
          <w:divsChild>
            <w:div w:id="1284968446">
              <w:marLeft w:val="0"/>
              <w:marRight w:val="0"/>
              <w:marTop w:val="0"/>
              <w:marBottom w:val="0"/>
              <w:divBdr>
                <w:top w:val="none" w:sz="0" w:space="0" w:color="auto"/>
                <w:left w:val="none" w:sz="0" w:space="0" w:color="auto"/>
                <w:bottom w:val="none" w:sz="0" w:space="0" w:color="auto"/>
                <w:right w:val="none" w:sz="0" w:space="0" w:color="auto"/>
              </w:divBdr>
              <w:divsChild>
                <w:div w:id="1642692335">
                  <w:marLeft w:val="0"/>
                  <w:marRight w:val="0"/>
                  <w:marTop w:val="0"/>
                  <w:marBottom w:val="0"/>
                  <w:divBdr>
                    <w:top w:val="none" w:sz="0" w:space="0" w:color="auto"/>
                    <w:left w:val="none" w:sz="0" w:space="0" w:color="auto"/>
                    <w:bottom w:val="none" w:sz="0" w:space="0" w:color="auto"/>
                    <w:right w:val="none" w:sz="0" w:space="0" w:color="auto"/>
                  </w:divBdr>
                  <w:divsChild>
                    <w:div w:id="865799879">
                      <w:marLeft w:val="0"/>
                      <w:marRight w:val="0"/>
                      <w:marTop w:val="0"/>
                      <w:marBottom w:val="0"/>
                      <w:divBdr>
                        <w:top w:val="none" w:sz="0" w:space="0" w:color="auto"/>
                        <w:left w:val="none" w:sz="0" w:space="0" w:color="auto"/>
                        <w:bottom w:val="none" w:sz="0" w:space="0" w:color="auto"/>
                        <w:right w:val="none" w:sz="0" w:space="0" w:color="auto"/>
                      </w:divBdr>
                      <w:divsChild>
                        <w:div w:id="1896040367">
                          <w:marLeft w:val="0"/>
                          <w:marRight w:val="0"/>
                          <w:marTop w:val="0"/>
                          <w:marBottom w:val="0"/>
                          <w:divBdr>
                            <w:top w:val="none" w:sz="0" w:space="0" w:color="auto"/>
                            <w:left w:val="none" w:sz="0" w:space="0" w:color="auto"/>
                            <w:bottom w:val="none" w:sz="0" w:space="0" w:color="auto"/>
                            <w:right w:val="none" w:sz="0" w:space="0" w:color="auto"/>
                          </w:divBdr>
                          <w:divsChild>
                            <w:div w:id="2112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763154">
      <w:bodyDiv w:val="1"/>
      <w:marLeft w:val="0"/>
      <w:marRight w:val="0"/>
      <w:marTop w:val="0"/>
      <w:marBottom w:val="0"/>
      <w:divBdr>
        <w:top w:val="none" w:sz="0" w:space="0" w:color="auto"/>
        <w:left w:val="none" w:sz="0" w:space="0" w:color="auto"/>
        <w:bottom w:val="none" w:sz="0" w:space="0" w:color="auto"/>
        <w:right w:val="none" w:sz="0" w:space="0" w:color="auto"/>
      </w:divBdr>
      <w:divsChild>
        <w:div w:id="1430007308">
          <w:marLeft w:val="0"/>
          <w:marRight w:val="0"/>
          <w:marTop w:val="0"/>
          <w:marBottom w:val="0"/>
          <w:divBdr>
            <w:top w:val="none" w:sz="0" w:space="0" w:color="auto"/>
            <w:left w:val="none" w:sz="0" w:space="0" w:color="auto"/>
            <w:bottom w:val="none" w:sz="0" w:space="0" w:color="auto"/>
            <w:right w:val="none" w:sz="0" w:space="0" w:color="auto"/>
          </w:divBdr>
          <w:divsChild>
            <w:div w:id="1571428589">
              <w:marLeft w:val="0"/>
              <w:marRight w:val="0"/>
              <w:marTop w:val="0"/>
              <w:marBottom w:val="0"/>
              <w:divBdr>
                <w:top w:val="none" w:sz="0" w:space="0" w:color="auto"/>
                <w:left w:val="none" w:sz="0" w:space="0" w:color="auto"/>
                <w:bottom w:val="none" w:sz="0" w:space="0" w:color="auto"/>
                <w:right w:val="none" w:sz="0" w:space="0" w:color="auto"/>
              </w:divBdr>
              <w:divsChild>
                <w:div w:id="1193300827">
                  <w:marLeft w:val="0"/>
                  <w:marRight w:val="0"/>
                  <w:marTop w:val="0"/>
                  <w:marBottom w:val="0"/>
                  <w:divBdr>
                    <w:top w:val="none" w:sz="0" w:space="0" w:color="auto"/>
                    <w:left w:val="none" w:sz="0" w:space="0" w:color="auto"/>
                    <w:bottom w:val="none" w:sz="0" w:space="0" w:color="auto"/>
                    <w:right w:val="none" w:sz="0" w:space="0" w:color="auto"/>
                  </w:divBdr>
                  <w:divsChild>
                    <w:div w:id="1005474083">
                      <w:marLeft w:val="0"/>
                      <w:marRight w:val="0"/>
                      <w:marTop w:val="0"/>
                      <w:marBottom w:val="0"/>
                      <w:divBdr>
                        <w:top w:val="none" w:sz="0" w:space="0" w:color="auto"/>
                        <w:left w:val="none" w:sz="0" w:space="0" w:color="auto"/>
                        <w:bottom w:val="none" w:sz="0" w:space="0" w:color="auto"/>
                        <w:right w:val="none" w:sz="0" w:space="0" w:color="auto"/>
                      </w:divBdr>
                      <w:divsChild>
                        <w:div w:id="1570070256">
                          <w:marLeft w:val="0"/>
                          <w:marRight w:val="0"/>
                          <w:marTop w:val="0"/>
                          <w:marBottom w:val="0"/>
                          <w:divBdr>
                            <w:top w:val="none" w:sz="0" w:space="0" w:color="auto"/>
                            <w:left w:val="none" w:sz="0" w:space="0" w:color="auto"/>
                            <w:bottom w:val="none" w:sz="0" w:space="0" w:color="auto"/>
                            <w:right w:val="none" w:sz="0" w:space="0" w:color="auto"/>
                          </w:divBdr>
                          <w:divsChild>
                            <w:div w:id="14189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322096">
      <w:bodyDiv w:val="1"/>
      <w:marLeft w:val="0"/>
      <w:marRight w:val="0"/>
      <w:marTop w:val="0"/>
      <w:marBottom w:val="0"/>
      <w:divBdr>
        <w:top w:val="none" w:sz="0" w:space="0" w:color="auto"/>
        <w:left w:val="none" w:sz="0" w:space="0" w:color="auto"/>
        <w:bottom w:val="none" w:sz="0" w:space="0" w:color="auto"/>
        <w:right w:val="none" w:sz="0" w:space="0" w:color="auto"/>
      </w:divBdr>
      <w:divsChild>
        <w:div w:id="1206987590">
          <w:marLeft w:val="0"/>
          <w:marRight w:val="0"/>
          <w:marTop w:val="0"/>
          <w:marBottom w:val="0"/>
          <w:divBdr>
            <w:top w:val="none" w:sz="0" w:space="0" w:color="auto"/>
            <w:left w:val="none" w:sz="0" w:space="0" w:color="auto"/>
            <w:bottom w:val="none" w:sz="0" w:space="0" w:color="auto"/>
            <w:right w:val="none" w:sz="0" w:space="0" w:color="auto"/>
          </w:divBdr>
          <w:divsChild>
            <w:div w:id="1543831564">
              <w:marLeft w:val="0"/>
              <w:marRight w:val="0"/>
              <w:marTop w:val="0"/>
              <w:marBottom w:val="0"/>
              <w:divBdr>
                <w:top w:val="none" w:sz="0" w:space="0" w:color="auto"/>
                <w:left w:val="none" w:sz="0" w:space="0" w:color="auto"/>
                <w:bottom w:val="none" w:sz="0" w:space="0" w:color="auto"/>
                <w:right w:val="none" w:sz="0" w:space="0" w:color="auto"/>
              </w:divBdr>
              <w:divsChild>
                <w:div w:id="2012218864">
                  <w:marLeft w:val="0"/>
                  <w:marRight w:val="0"/>
                  <w:marTop w:val="0"/>
                  <w:marBottom w:val="0"/>
                  <w:divBdr>
                    <w:top w:val="none" w:sz="0" w:space="0" w:color="auto"/>
                    <w:left w:val="none" w:sz="0" w:space="0" w:color="auto"/>
                    <w:bottom w:val="none" w:sz="0" w:space="0" w:color="auto"/>
                    <w:right w:val="none" w:sz="0" w:space="0" w:color="auto"/>
                  </w:divBdr>
                  <w:divsChild>
                    <w:div w:id="1840539488">
                      <w:marLeft w:val="0"/>
                      <w:marRight w:val="0"/>
                      <w:marTop w:val="0"/>
                      <w:marBottom w:val="0"/>
                      <w:divBdr>
                        <w:top w:val="none" w:sz="0" w:space="0" w:color="auto"/>
                        <w:left w:val="none" w:sz="0" w:space="0" w:color="auto"/>
                        <w:bottom w:val="none" w:sz="0" w:space="0" w:color="auto"/>
                        <w:right w:val="none" w:sz="0" w:space="0" w:color="auto"/>
                      </w:divBdr>
                      <w:divsChild>
                        <w:div w:id="279380474">
                          <w:marLeft w:val="0"/>
                          <w:marRight w:val="0"/>
                          <w:marTop w:val="0"/>
                          <w:marBottom w:val="0"/>
                          <w:divBdr>
                            <w:top w:val="none" w:sz="0" w:space="0" w:color="auto"/>
                            <w:left w:val="none" w:sz="0" w:space="0" w:color="auto"/>
                            <w:bottom w:val="none" w:sz="0" w:space="0" w:color="auto"/>
                            <w:right w:val="none" w:sz="0" w:space="0" w:color="auto"/>
                          </w:divBdr>
                          <w:divsChild>
                            <w:div w:id="2591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92776">
      <w:bodyDiv w:val="1"/>
      <w:marLeft w:val="0"/>
      <w:marRight w:val="0"/>
      <w:marTop w:val="0"/>
      <w:marBottom w:val="0"/>
      <w:divBdr>
        <w:top w:val="none" w:sz="0" w:space="0" w:color="auto"/>
        <w:left w:val="none" w:sz="0" w:space="0" w:color="auto"/>
        <w:bottom w:val="none" w:sz="0" w:space="0" w:color="auto"/>
        <w:right w:val="none" w:sz="0" w:space="0" w:color="auto"/>
      </w:divBdr>
      <w:divsChild>
        <w:div w:id="946353774">
          <w:marLeft w:val="0"/>
          <w:marRight w:val="0"/>
          <w:marTop w:val="0"/>
          <w:marBottom w:val="0"/>
          <w:divBdr>
            <w:top w:val="none" w:sz="0" w:space="0" w:color="auto"/>
            <w:left w:val="none" w:sz="0" w:space="0" w:color="auto"/>
            <w:bottom w:val="none" w:sz="0" w:space="0" w:color="auto"/>
            <w:right w:val="none" w:sz="0" w:space="0" w:color="auto"/>
          </w:divBdr>
          <w:divsChild>
            <w:div w:id="249854752">
              <w:marLeft w:val="0"/>
              <w:marRight w:val="0"/>
              <w:marTop w:val="0"/>
              <w:marBottom w:val="0"/>
              <w:divBdr>
                <w:top w:val="none" w:sz="0" w:space="0" w:color="auto"/>
                <w:left w:val="none" w:sz="0" w:space="0" w:color="auto"/>
                <w:bottom w:val="none" w:sz="0" w:space="0" w:color="auto"/>
                <w:right w:val="none" w:sz="0" w:space="0" w:color="auto"/>
              </w:divBdr>
              <w:divsChild>
                <w:div w:id="2123255934">
                  <w:marLeft w:val="0"/>
                  <w:marRight w:val="0"/>
                  <w:marTop w:val="0"/>
                  <w:marBottom w:val="0"/>
                  <w:divBdr>
                    <w:top w:val="none" w:sz="0" w:space="0" w:color="auto"/>
                    <w:left w:val="none" w:sz="0" w:space="0" w:color="auto"/>
                    <w:bottom w:val="none" w:sz="0" w:space="0" w:color="auto"/>
                    <w:right w:val="none" w:sz="0" w:space="0" w:color="auto"/>
                  </w:divBdr>
                  <w:divsChild>
                    <w:div w:id="559560638">
                      <w:marLeft w:val="0"/>
                      <w:marRight w:val="0"/>
                      <w:marTop w:val="0"/>
                      <w:marBottom w:val="0"/>
                      <w:divBdr>
                        <w:top w:val="none" w:sz="0" w:space="0" w:color="auto"/>
                        <w:left w:val="none" w:sz="0" w:space="0" w:color="auto"/>
                        <w:bottom w:val="none" w:sz="0" w:space="0" w:color="auto"/>
                        <w:right w:val="none" w:sz="0" w:space="0" w:color="auto"/>
                      </w:divBdr>
                      <w:divsChild>
                        <w:div w:id="370885157">
                          <w:marLeft w:val="0"/>
                          <w:marRight w:val="0"/>
                          <w:marTop w:val="0"/>
                          <w:marBottom w:val="0"/>
                          <w:divBdr>
                            <w:top w:val="none" w:sz="0" w:space="0" w:color="auto"/>
                            <w:left w:val="none" w:sz="0" w:space="0" w:color="auto"/>
                            <w:bottom w:val="none" w:sz="0" w:space="0" w:color="auto"/>
                            <w:right w:val="none" w:sz="0" w:space="0" w:color="auto"/>
                          </w:divBdr>
                          <w:divsChild>
                            <w:div w:id="19273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92481">
      <w:bodyDiv w:val="1"/>
      <w:marLeft w:val="0"/>
      <w:marRight w:val="0"/>
      <w:marTop w:val="0"/>
      <w:marBottom w:val="0"/>
      <w:divBdr>
        <w:top w:val="none" w:sz="0" w:space="0" w:color="auto"/>
        <w:left w:val="none" w:sz="0" w:space="0" w:color="auto"/>
        <w:bottom w:val="none" w:sz="0" w:space="0" w:color="auto"/>
        <w:right w:val="none" w:sz="0" w:space="0" w:color="auto"/>
      </w:divBdr>
      <w:divsChild>
        <w:div w:id="1692755586">
          <w:marLeft w:val="0"/>
          <w:marRight w:val="0"/>
          <w:marTop w:val="0"/>
          <w:marBottom w:val="0"/>
          <w:divBdr>
            <w:top w:val="none" w:sz="0" w:space="0" w:color="auto"/>
            <w:left w:val="none" w:sz="0" w:space="0" w:color="auto"/>
            <w:bottom w:val="none" w:sz="0" w:space="0" w:color="auto"/>
            <w:right w:val="none" w:sz="0" w:space="0" w:color="auto"/>
          </w:divBdr>
          <w:divsChild>
            <w:div w:id="147748728">
              <w:marLeft w:val="0"/>
              <w:marRight w:val="0"/>
              <w:marTop w:val="0"/>
              <w:marBottom w:val="0"/>
              <w:divBdr>
                <w:top w:val="none" w:sz="0" w:space="0" w:color="auto"/>
                <w:left w:val="none" w:sz="0" w:space="0" w:color="auto"/>
                <w:bottom w:val="none" w:sz="0" w:space="0" w:color="auto"/>
                <w:right w:val="none" w:sz="0" w:space="0" w:color="auto"/>
              </w:divBdr>
              <w:divsChild>
                <w:div w:id="854148798">
                  <w:marLeft w:val="0"/>
                  <w:marRight w:val="0"/>
                  <w:marTop w:val="0"/>
                  <w:marBottom w:val="0"/>
                  <w:divBdr>
                    <w:top w:val="none" w:sz="0" w:space="0" w:color="auto"/>
                    <w:left w:val="none" w:sz="0" w:space="0" w:color="auto"/>
                    <w:bottom w:val="none" w:sz="0" w:space="0" w:color="auto"/>
                    <w:right w:val="none" w:sz="0" w:space="0" w:color="auto"/>
                  </w:divBdr>
                  <w:divsChild>
                    <w:div w:id="1532962646">
                      <w:marLeft w:val="0"/>
                      <w:marRight w:val="0"/>
                      <w:marTop w:val="0"/>
                      <w:marBottom w:val="0"/>
                      <w:divBdr>
                        <w:top w:val="none" w:sz="0" w:space="0" w:color="auto"/>
                        <w:left w:val="none" w:sz="0" w:space="0" w:color="auto"/>
                        <w:bottom w:val="none" w:sz="0" w:space="0" w:color="auto"/>
                        <w:right w:val="none" w:sz="0" w:space="0" w:color="auto"/>
                      </w:divBdr>
                      <w:divsChild>
                        <w:div w:id="2032605582">
                          <w:marLeft w:val="0"/>
                          <w:marRight w:val="0"/>
                          <w:marTop w:val="0"/>
                          <w:marBottom w:val="0"/>
                          <w:divBdr>
                            <w:top w:val="none" w:sz="0" w:space="0" w:color="auto"/>
                            <w:left w:val="none" w:sz="0" w:space="0" w:color="auto"/>
                            <w:bottom w:val="none" w:sz="0" w:space="0" w:color="auto"/>
                            <w:right w:val="none" w:sz="0" w:space="0" w:color="auto"/>
                          </w:divBdr>
                          <w:divsChild>
                            <w:div w:id="502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31397">
      <w:bodyDiv w:val="1"/>
      <w:marLeft w:val="0"/>
      <w:marRight w:val="0"/>
      <w:marTop w:val="0"/>
      <w:marBottom w:val="0"/>
      <w:divBdr>
        <w:top w:val="none" w:sz="0" w:space="0" w:color="auto"/>
        <w:left w:val="none" w:sz="0" w:space="0" w:color="auto"/>
        <w:bottom w:val="none" w:sz="0" w:space="0" w:color="auto"/>
        <w:right w:val="none" w:sz="0" w:space="0" w:color="auto"/>
      </w:divBdr>
      <w:divsChild>
        <w:div w:id="770004129">
          <w:marLeft w:val="0"/>
          <w:marRight w:val="0"/>
          <w:marTop w:val="0"/>
          <w:marBottom w:val="0"/>
          <w:divBdr>
            <w:top w:val="none" w:sz="0" w:space="0" w:color="auto"/>
            <w:left w:val="none" w:sz="0" w:space="0" w:color="auto"/>
            <w:bottom w:val="none" w:sz="0" w:space="0" w:color="auto"/>
            <w:right w:val="none" w:sz="0" w:space="0" w:color="auto"/>
          </w:divBdr>
          <w:divsChild>
            <w:div w:id="669262201">
              <w:marLeft w:val="0"/>
              <w:marRight w:val="0"/>
              <w:marTop w:val="0"/>
              <w:marBottom w:val="0"/>
              <w:divBdr>
                <w:top w:val="none" w:sz="0" w:space="0" w:color="auto"/>
                <w:left w:val="none" w:sz="0" w:space="0" w:color="auto"/>
                <w:bottom w:val="none" w:sz="0" w:space="0" w:color="auto"/>
                <w:right w:val="none" w:sz="0" w:space="0" w:color="auto"/>
              </w:divBdr>
              <w:divsChild>
                <w:div w:id="1269583888">
                  <w:marLeft w:val="0"/>
                  <w:marRight w:val="0"/>
                  <w:marTop w:val="0"/>
                  <w:marBottom w:val="0"/>
                  <w:divBdr>
                    <w:top w:val="none" w:sz="0" w:space="0" w:color="auto"/>
                    <w:left w:val="none" w:sz="0" w:space="0" w:color="auto"/>
                    <w:bottom w:val="none" w:sz="0" w:space="0" w:color="auto"/>
                    <w:right w:val="none" w:sz="0" w:space="0" w:color="auto"/>
                  </w:divBdr>
                  <w:divsChild>
                    <w:div w:id="1209681243">
                      <w:marLeft w:val="0"/>
                      <w:marRight w:val="0"/>
                      <w:marTop w:val="0"/>
                      <w:marBottom w:val="0"/>
                      <w:divBdr>
                        <w:top w:val="none" w:sz="0" w:space="0" w:color="auto"/>
                        <w:left w:val="none" w:sz="0" w:space="0" w:color="auto"/>
                        <w:bottom w:val="none" w:sz="0" w:space="0" w:color="auto"/>
                        <w:right w:val="none" w:sz="0" w:space="0" w:color="auto"/>
                      </w:divBdr>
                      <w:divsChild>
                        <w:div w:id="30958951">
                          <w:marLeft w:val="0"/>
                          <w:marRight w:val="0"/>
                          <w:marTop w:val="0"/>
                          <w:marBottom w:val="0"/>
                          <w:divBdr>
                            <w:top w:val="none" w:sz="0" w:space="0" w:color="auto"/>
                            <w:left w:val="none" w:sz="0" w:space="0" w:color="auto"/>
                            <w:bottom w:val="none" w:sz="0" w:space="0" w:color="auto"/>
                            <w:right w:val="none" w:sz="0" w:space="0" w:color="auto"/>
                          </w:divBdr>
                          <w:divsChild>
                            <w:div w:id="15567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04920">
      <w:bodyDiv w:val="1"/>
      <w:marLeft w:val="0"/>
      <w:marRight w:val="0"/>
      <w:marTop w:val="0"/>
      <w:marBottom w:val="0"/>
      <w:divBdr>
        <w:top w:val="none" w:sz="0" w:space="0" w:color="auto"/>
        <w:left w:val="none" w:sz="0" w:space="0" w:color="auto"/>
        <w:bottom w:val="none" w:sz="0" w:space="0" w:color="auto"/>
        <w:right w:val="none" w:sz="0" w:space="0" w:color="auto"/>
      </w:divBdr>
      <w:divsChild>
        <w:div w:id="1298992418">
          <w:marLeft w:val="0"/>
          <w:marRight w:val="0"/>
          <w:marTop w:val="0"/>
          <w:marBottom w:val="0"/>
          <w:divBdr>
            <w:top w:val="none" w:sz="0" w:space="0" w:color="auto"/>
            <w:left w:val="none" w:sz="0" w:space="0" w:color="auto"/>
            <w:bottom w:val="none" w:sz="0" w:space="0" w:color="auto"/>
            <w:right w:val="none" w:sz="0" w:space="0" w:color="auto"/>
          </w:divBdr>
          <w:divsChild>
            <w:div w:id="395785435">
              <w:marLeft w:val="0"/>
              <w:marRight w:val="0"/>
              <w:marTop w:val="0"/>
              <w:marBottom w:val="0"/>
              <w:divBdr>
                <w:top w:val="none" w:sz="0" w:space="0" w:color="auto"/>
                <w:left w:val="none" w:sz="0" w:space="0" w:color="auto"/>
                <w:bottom w:val="none" w:sz="0" w:space="0" w:color="auto"/>
                <w:right w:val="none" w:sz="0" w:space="0" w:color="auto"/>
              </w:divBdr>
              <w:divsChild>
                <w:div w:id="706956394">
                  <w:marLeft w:val="0"/>
                  <w:marRight w:val="0"/>
                  <w:marTop w:val="0"/>
                  <w:marBottom w:val="0"/>
                  <w:divBdr>
                    <w:top w:val="none" w:sz="0" w:space="0" w:color="auto"/>
                    <w:left w:val="none" w:sz="0" w:space="0" w:color="auto"/>
                    <w:bottom w:val="none" w:sz="0" w:space="0" w:color="auto"/>
                    <w:right w:val="none" w:sz="0" w:space="0" w:color="auto"/>
                  </w:divBdr>
                  <w:divsChild>
                    <w:div w:id="2009475559">
                      <w:marLeft w:val="0"/>
                      <w:marRight w:val="0"/>
                      <w:marTop w:val="0"/>
                      <w:marBottom w:val="0"/>
                      <w:divBdr>
                        <w:top w:val="none" w:sz="0" w:space="0" w:color="auto"/>
                        <w:left w:val="none" w:sz="0" w:space="0" w:color="auto"/>
                        <w:bottom w:val="none" w:sz="0" w:space="0" w:color="auto"/>
                        <w:right w:val="none" w:sz="0" w:space="0" w:color="auto"/>
                      </w:divBdr>
                      <w:divsChild>
                        <w:div w:id="898974594">
                          <w:marLeft w:val="0"/>
                          <w:marRight w:val="0"/>
                          <w:marTop w:val="0"/>
                          <w:marBottom w:val="0"/>
                          <w:divBdr>
                            <w:top w:val="none" w:sz="0" w:space="0" w:color="auto"/>
                            <w:left w:val="none" w:sz="0" w:space="0" w:color="auto"/>
                            <w:bottom w:val="none" w:sz="0" w:space="0" w:color="auto"/>
                            <w:right w:val="none" w:sz="0" w:space="0" w:color="auto"/>
                          </w:divBdr>
                          <w:divsChild>
                            <w:div w:id="830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45928">
      <w:bodyDiv w:val="1"/>
      <w:marLeft w:val="0"/>
      <w:marRight w:val="0"/>
      <w:marTop w:val="0"/>
      <w:marBottom w:val="0"/>
      <w:divBdr>
        <w:top w:val="none" w:sz="0" w:space="0" w:color="auto"/>
        <w:left w:val="none" w:sz="0" w:space="0" w:color="auto"/>
        <w:bottom w:val="none" w:sz="0" w:space="0" w:color="auto"/>
        <w:right w:val="none" w:sz="0" w:space="0" w:color="auto"/>
      </w:divBdr>
      <w:divsChild>
        <w:div w:id="12267742">
          <w:marLeft w:val="0"/>
          <w:marRight w:val="0"/>
          <w:marTop w:val="0"/>
          <w:marBottom w:val="0"/>
          <w:divBdr>
            <w:top w:val="none" w:sz="0" w:space="0" w:color="auto"/>
            <w:left w:val="none" w:sz="0" w:space="0" w:color="auto"/>
            <w:bottom w:val="none" w:sz="0" w:space="0" w:color="auto"/>
            <w:right w:val="none" w:sz="0" w:space="0" w:color="auto"/>
          </w:divBdr>
          <w:divsChild>
            <w:div w:id="238711899">
              <w:marLeft w:val="0"/>
              <w:marRight w:val="0"/>
              <w:marTop w:val="0"/>
              <w:marBottom w:val="0"/>
              <w:divBdr>
                <w:top w:val="none" w:sz="0" w:space="0" w:color="auto"/>
                <w:left w:val="none" w:sz="0" w:space="0" w:color="auto"/>
                <w:bottom w:val="none" w:sz="0" w:space="0" w:color="auto"/>
                <w:right w:val="none" w:sz="0" w:space="0" w:color="auto"/>
              </w:divBdr>
              <w:divsChild>
                <w:div w:id="2041662663">
                  <w:marLeft w:val="0"/>
                  <w:marRight w:val="0"/>
                  <w:marTop w:val="0"/>
                  <w:marBottom w:val="0"/>
                  <w:divBdr>
                    <w:top w:val="none" w:sz="0" w:space="0" w:color="auto"/>
                    <w:left w:val="none" w:sz="0" w:space="0" w:color="auto"/>
                    <w:bottom w:val="none" w:sz="0" w:space="0" w:color="auto"/>
                    <w:right w:val="none" w:sz="0" w:space="0" w:color="auto"/>
                  </w:divBdr>
                  <w:divsChild>
                    <w:div w:id="1945840586">
                      <w:marLeft w:val="0"/>
                      <w:marRight w:val="0"/>
                      <w:marTop w:val="0"/>
                      <w:marBottom w:val="0"/>
                      <w:divBdr>
                        <w:top w:val="none" w:sz="0" w:space="0" w:color="auto"/>
                        <w:left w:val="none" w:sz="0" w:space="0" w:color="auto"/>
                        <w:bottom w:val="none" w:sz="0" w:space="0" w:color="auto"/>
                        <w:right w:val="none" w:sz="0" w:space="0" w:color="auto"/>
                      </w:divBdr>
                      <w:divsChild>
                        <w:div w:id="1734044939">
                          <w:marLeft w:val="0"/>
                          <w:marRight w:val="0"/>
                          <w:marTop w:val="0"/>
                          <w:marBottom w:val="0"/>
                          <w:divBdr>
                            <w:top w:val="none" w:sz="0" w:space="0" w:color="auto"/>
                            <w:left w:val="none" w:sz="0" w:space="0" w:color="auto"/>
                            <w:bottom w:val="none" w:sz="0" w:space="0" w:color="auto"/>
                            <w:right w:val="none" w:sz="0" w:space="0" w:color="auto"/>
                          </w:divBdr>
                          <w:divsChild>
                            <w:div w:id="1690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451652">
      <w:bodyDiv w:val="1"/>
      <w:marLeft w:val="0"/>
      <w:marRight w:val="0"/>
      <w:marTop w:val="0"/>
      <w:marBottom w:val="0"/>
      <w:divBdr>
        <w:top w:val="none" w:sz="0" w:space="0" w:color="auto"/>
        <w:left w:val="none" w:sz="0" w:space="0" w:color="auto"/>
        <w:bottom w:val="none" w:sz="0" w:space="0" w:color="auto"/>
        <w:right w:val="none" w:sz="0" w:space="0" w:color="auto"/>
      </w:divBdr>
      <w:divsChild>
        <w:div w:id="202835250">
          <w:marLeft w:val="0"/>
          <w:marRight w:val="0"/>
          <w:marTop w:val="0"/>
          <w:marBottom w:val="0"/>
          <w:divBdr>
            <w:top w:val="none" w:sz="0" w:space="0" w:color="auto"/>
            <w:left w:val="none" w:sz="0" w:space="0" w:color="auto"/>
            <w:bottom w:val="none" w:sz="0" w:space="0" w:color="auto"/>
            <w:right w:val="none" w:sz="0" w:space="0" w:color="auto"/>
          </w:divBdr>
          <w:divsChild>
            <w:div w:id="183903615">
              <w:marLeft w:val="0"/>
              <w:marRight w:val="0"/>
              <w:marTop w:val="0"/>
              <w:marBottom w:val="0"/>
              <w:divBdr>
                <w:top w:val="none" w:sz="0" w:space="0" w:color="auto"/>
                <w:left w:val="none" w:sz="0" w:space="0" w:color="auto"/>
                <w:bottom w:val="none" w:sz="0" w:space="0" w:color="auto"/>
                <w:right w:val="none" w:sz="0" w:space="0" w:color="auto"/>
              </w:divBdr>
              <w:divsChild>
                <w:div w:id="1831403727">
                  <w:marLeft w:val="0"/>
                  <w:marRight w:val="0"/>
                  <w:marTop w:val="0"/>
                  <w:marBottom w:val="0"/>
                  <w:divBdr>
                    <w:top w:val="none" w:sz="0" w:space="0" w:color="auto"/>
                    <w:left w:val="none" w:sz="0" w:space="0" w:color="auto"/>
                    <w:bottom w:val="none" w:sz="0" w:space="0" w:color="auto"/>
                    <w:right w:val="none" w:sz="0" w:space="0" w:color="auto"/>
                  </w:divBdr>
                  <w:divsChild>
                    <w:div w:id="485703367">
                      <w:marLeft w:val="0"/>
                      <w:marRight w:val="0"/>
                      <w:marTop w:val="0"/>
                      <w:marBottom w:val="0"/>
                      <w:divBdr>
                        <w:top w:val="none" w:sz="0" w:space="0" w:color="auto"/>
                        <w:left w:val="none" w:sz="0" w:space="0" w:color="auto"/>
                        <w:bottom w:val="none" w:sz="0" w:space="0" w:color="auto"/>
                        <w:right w:val="none" w:sz="0" w:space="0" w:color="auto"/>
                      </w:divBdr>
                      <w:divsChild>
                        <w:div w:id="1252856437">
                          <w:marLeft w:val="0"/>
                          <w:marRight w:val="0"/>
                          <w:marTop w:val="0"/>
                          <w:marBottom w:val="0"/>
                          <w:divBdr>
                            <w:top w:val="none" w:sz="0" w:space="0" w:color="auto"/>
                            <w:left w:val="none" w:sz="0" w:space="0" w:color="auto"/>
                            <w:bottom w:val="none" w:sz="0" w:space="0" w:color="auto"/>
                            <w:right w:val="none" w:sz="0" w:space="0" w:color="auto"/>
                          </w:divBdr>
                          <w:divsChild>
                            <w:div w:id="3383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043705">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29763889">
      <w:bodyDiv w:val="1"/>
      <w:marLeft w:val="0"/>
      <w:marRight w:val="0"/>
      <w:marTop w:val="0"/>
      <w:marBottom w:val="0"/>
      <w:divBdr>
        <w:top w:val="none" w:sz="0" w:space="0" w:color="auto"/>
        <w:left w:val="none" w:sz="0" w:space="0" w:color="auto"/>
        <w:bottom w:val="none" w:sz="0" w:space="0" w:color="auto"/>
        <w:right w:val="none" w:sz="0" w:space="0" w:color="auto"/>
      </w:divBdr>
    </w:div>
    <w:div w:id="1735079209">
      <w:bodyDiv w:val="1"/>
      <w:marLeft w:val="0"/>
      <w:marRight w:val="0"/>
      <w:marTop w:val="0"/>
      <w:marBottom w:val="0"/>
      <w:divBdr>
        <w:top w:val="none" w:sz="0" w:space="0" w:color="auto"/>
        <w:left w:val="none" w:sz="0" w:space="0" w:color="auto"/>
        <w:bottom w:val="none" w:sz="0" w:space="0" w:color="auto"/>
        <w:right w:val="none" w:sz="0" w:space="0" w:color="auto"/>
      </w:divBdr>
      <w:divsChild>
        <w:div w:id="1199857563">
          <w:marLeft w:val="0"/>
          <w:marRight w:val="0"/>
          <w:marTop w:val="0"/>
          <w:marBottom w:val="0"/>
          <w:divBdr>
            <w:top w:val="none" w:sz="0" w:space="0" w:color="auto"/>
            <w:left w:val="none" w:sz="0" w:space="0" w:color="auto"/>
            <w:bottom w:val="none" w:sz="0" w:space="0" w:color="auto"/>
            <w:right w:val="none" w:sz="0" w:space="0" w:color="auto"/>
          </w:divBdr>
          <w:divsChild>
            <w:div w:id="1478065489">
              <w:marLeft w:val="0"/>
              <w:marRight w:val="0"/>
              <w:marTop w:val="0"/>
              <w:marBottom w:val="0"/>
              <w:divBdr>
                <w:top w:val="none" w:sz="0" w:space="0" w:color="auto"/>
                <w:left w:val="none" w:sz="0" w:space="0" w:color="auto"/>
                <w:bottom w:val="none" w:sz="0" w:space="0" w:color="auto"/>
                <w:right w:val="none" w:sz="0" w:space="0" w:color="auto"/>
              </w:divBdr>
              <w:divsChild>
                <w:div w:id="630549864">
                  <w:marLeft w:val="0"/>
                  <w:marRight w:val="0"/>
                  <w:marTop w:val="0"/>
                  <w:marBottom w:val="0"/>
                  <w:divBdr>
                    <w:top w:val="none" w:sz="0" w:space="0" w:color="auto"/>
                    <w:left w:val="none" w:sz="0" w:space="0" w:color="auto"/>
                    <w:bottom w:val="none" w:sz="0" w:space="0" w:color="auto"/>
                    <w:right w:val="none" w:sz="0" w:space="0" w:color="auto"/>
                  </w:divBdr>
                  <w:divsChild>
                    <w:div w:id="1863860503">
                      <w:marLeft w:val="0"/>
                      <w:marRight w:val="0"/>
                      <w:marTop w:val="0"/>
                      <w:marBottom w:val="0"/>
                      <w:divBdr>
                        <w:top w:val="none" w:sz="0" w:space="0" w:color="auto"/>
                        <w:left w:val="none" w:sz="0" w:space="0" w:color="auto"/>
                        <w:bottom w:val="none" w:sz="0" w:space="0" w:color="auto"/>
                        <w:right w:val="none" w:sz="0" w:space="0" w:color="auto"/>
                      </w:divBdr>
                      <w:divsChild>
                        <w:div w:id="1962681856">
                          <w:marLeft w:val="0"/>
                          <w:marRight w:val="0"/>
                          <w:marTop w:val="0"/>
                          <w:marBottom w:val="0"/>
                          <w:divBdr>
                            <w:top w:val="none" w:sz="0" w:space="0" w:color="auto"/>
                            <w:left w:val="none" w:sz="0" w:space="0" w:color="auto"/>
                            <w:bottom w:val="none" w:sz="0" w:space="0" w:color="auto"/>
                            <w:right w:val="none" w:sz="0" w:space="0" w:color="auto"/>
                          </w:divBdr>
                          <w:divsChild>
                            <w:div w:id="928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5312">
      <w:bodyDiv w:val="1"/>
      <w:marLeft w:val="0"/>
      <w:marRight w:val="0"/>
      <w:marTop w:val="0"/>
      <w:marBottom w:val="0"/>
      <w:divBdr>
        <w:top w:val="none" w:sz="0" w:space="0" w:color="auto"/>
        <w:left w:val="none" w:sz="0" w:space="0" w:color="auto"/>
        <w:bottom w:val="none" w:sz="0" w:space="0" w:color="auto"/>
        <w:right w:val="none" w:sz="0" w:space="0" w:color="auto"/>
      </w:divBdr>
      <w:divsChild>
        <w:div w:id="40061173">
          <w:marLeft w:val="0"/>
          <w:marRight w:val="0"/>
          <w:marTop w:val="0"/>
          <w:marBottom w:val="0"/>
          <w:divBdr>
            <w:top w:val="none" w:sz="0" w:space="0" w:color="auto"/>
            <w:left w:val="none" w:sz="0" w:space="0" w:color="auto"/>
            <w:bottom w:val="none" w:sz="0" w:space="0" w:color="auto"/>
            <w:right w:val="none" w:sz="0" w:space="0" w:color="auto"/>
          </w:divBdr>
          <w:divsChild>
            <w:div w:id="1073503672">
              <w:marLeft w:val="0"/>
              <w:marRight w:val="0"/>
              <w:marTop w:val="0"/>
              <w:marBottom w:val="0"/>
              <w:divBdr>
                <w:top w:val="none" w:sz="0" w:space="0" w:color="auto"/>
                <w:left w:val="none" w:sz="0" w:space="0" w:color="auto"/>
                <w:bottom w:val="none" w:sz="0" w:space="0" w:color="auto"/>
                <w:right w:val="none" w:sz="0" w:space="0" w:color="auto"/>
              </w:divBdr>
              <w:divsChild>
                <w:div w:id="2084525811">
                  <w:marLeft w:val="0"/>
                  <w:marRight w:val="0"/>
                  <w:marTop w:val="0"/>
                  <w:marBottom w:val="0"/>
                  <w:divBdr>
                    <w:top w:val="none" w:sz="0" w:space="0" w:color="auto"/>
                    <w:left w:val="none" w:sz="0" w:space="0" w:color="auto"/>
                    <w:bottom w:val="none" w:sz="0" w:space="0" w:color="auto"/>
                    <w:right w:val="none" w:sz="0" w:space="0" w:color="auto"/>
                  </w:divBdr>
                  <w:divsChild>
                    <w:div w:id="978266198">
                      <w:marLeft w:val="0"/>
                      <w:marRight w:val="0"/>
                      <w:marTop w:val="0"/>
                      <w:marBottom w:val="0"/>
                      <w:divBdr>
                        <w:top w:val="none" w:sz="0" w:space="0" w:color="auto"/>
                        <w:left w:val="none" w:sz="0" w:space="0" w:color="auto"/>
                        <w:bottom w:val="none" w:sz="0" w:space="0" w:color="auto"/>
                        <w:right w:val="none" w:sz="0" w:space="0" w:color="auto"/>
                      </w:divBdr>
                      <w:divsChild>
                        <w:div w:id="703554959">
                          <w:marLeft w:val="0"/>
                          <w:marRight w:val="0"/>
                          <w:marTop w:val="0"/>
                          <w:marBottom w:val="0"/>
                          <w:divBdr>
                            <w:top w:val="none" w:sz="0" w:space="0" w:color="auto"/>
                            <w:left w:val="none" w:sz="0" w:space="0" w:color="auto"/>
                            <w:bottom w:val="none" w:sz="0" w:space="0" w:color="auto"/>
                            <w:right w:val="none" w:sz="0" w:space="0" w:color="auto"/>
                          </w:divBdr>
                          <w:divsChild>
                            <w:div w:id="17554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70A8A-F539-4F03-AA2B-76F54DE4C914}"/>
</file>

<file path=customXml/itemProps2.xml><?xml version="1.0" encoding="utf-8"?>
<ds:datastoreItem xmlns:ds="http://schemas.openxmlformats.org/officeDocument/2006/customXml" ds:itemID="{EB23E33D-3AE0-4C78-BB3F-66B8E97A8C20}"/>
</file>

<file path=customXml/itemProps3.xml><?xml version="1.0" encoding="utf-8"?>
<ds:datastoreItem xmlns:ds="http://schemas.openxmlformats.org/officeDocument/2006/customXml" ds:itemID="{E7AAF30A-F596-4938-ACAC-3091AC654442}"/>
</file>

<file path=customXml/itemProps4.xml><?xml version="1.0" encoding="utf-8"?>
<ds:datastoreItem xmlns:ds="http://schemas.openxmlformats.org/officeDocument/2006/customXml" ds:itemID="{3CC8BF79-7404-4C8B-B1B5-F2621DAFFEB1}"/>
</file>

<file path=docProps/app.xml><?xml version="1.0" encoding="utf-8"?>
<Properties xmlns="http://schemas.openxmlformats.org/officeDocument/2006/extended-properties" xmlns:vt="http://schemas.openxmlformats.org/officeDocument/2006/docPropsVTypes">
  <Template>Normal.dotm</Template>
  <TotalTime>0</TotalTime>
  <Pages>1</Pages>
  <Words>12493</Words>
  <Characters>71214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83540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dc:description/>
  <cp:lastModifiedBy/>
  <cp:revision>1</cp:revision>
  <dcterms:created xsi:type="dcterms:W3CDTF">2017-12-11T13:48:00Z</dcterms:created>
  <dcterms:modified xsi:type="dcterms:W3CDTF">2017-12-11T13:48:00Z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