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EE0004" w:rsidR="00014566" w:rsidP="00EE0004" w:rsidRDefault="00014566">
      <w:pPr>
        <w:pStyle w:val="ECHRDecisionBody"/>
        <w:jc w:val="center"/>
        <w:rPr>
          <w:lang w:val="en-GB"/>
        </w:rPr>
      </w:pPr>
      <w:bookmarkStart w:name="_GoBack" w:id="0"/>
      <w:bookmarkEnd w:id="0"/>
    </w:p>
    <w:p w:rsidRPr="00EE0004" w:rsidR="00F65D8F" w:rsidP="00EE0004" w:rsidRDefault="00F65D8F">
      <w:pPr>
        <w:pStyle w:val="ECHRDecisionBody"/>
        <w:jc w:val="center"/>
        <w:rPr>
          <w:lang w:val="en-GB"/>
        </w:rPr>
      </w:pPr>
    </w:p>
    <w:p w:rsidRPr="00EE0004" w:rsidR="00F65D8F" w:rsidP="00EE0004" w:rsidRDefault="00F65D8F">
      <w:pPr>
        <w:pStyle w:val="ECHRDecisionBody"/>
        <w:jc w:val="center"/>
        <w:rPr>
          <w:lang w:val="en-GB"/>
        </w:rPr>
      </w:pPr>
    </w:p>
    <w:p w:rsidRPr="00EE0004" w:rsidR="00014566" w:rsidP="00EE0004" w:rsidRDefault="00B11BAD">
      <w:pPr>
        <w:jc w:val="center"/>
        <w:rPr>
          <w:lang w:val="en-GB"/>
        </w:rPr>
      </w:pPr>
      <w:r w:rsidRPr="00EE0004">
        <w:rPr>
          <w:lang w:val="en-GB"/>
        </w:rPr>
        <w:t>THIRD SECTION</w:t>
      </w:r>
    </w:p>
    <w:p w:rsidRPr="00EE0004" w:rsidR="00014566" w:rsidP="00EE0004" w:rsidRDefault="00014566">
      <w:pPr>
        <w:jc w:val="center"/>
        <w:rPr>
          <w:lang w:val="en-GB"/>
        </w:rPr>
      </w:pPr>
    </w:p>
    <w:p w:rsidRPr="00EE0004" w:rsidR="00F65D8F" w:rsidP="00EE0004" w:rsidRDefault="00F65D8F">
      <w:pPr>
        <w:jc w:val="center"/>
        <w:rPr>
          <w:lang w:val="en-GB"/>
        </w:rPr>
      </w:pPr>
    </w:p>
    <w:p w:rsidRPr="00EE0004" w:rsidR="00F65D8F" w:rsidP="00EE0004" w:rsidRDefault="00F65D8F">
      <w:pPr>
        <w:jc w:val="center"/>
        <w:rPr>
          <w:lang w:val="en-GB"/>
        </w:rPr>
      </w:pPr>
    </w:p>
    <w:p w:rsidRPr="00EE0004" w:rsidR="00F65D8F" w:rsidP="00EE0004" w:rsidRDefault="00F65D8F">
      <w:pPr>
        <w:jc w:val="center"/>
        <w:rPr>
          <w:lang w:val="en-GB"/>
        </w:rPr>
      </w:pPr>
    </w:p>
    <w:p w:rsidRPr="00EE0004" w:rsidR="00F65D8F" w:rsidP="00EE0004" w:rsidRDefault="00F65D8F">
      <w:pPr>
        <w:jc w:val="center"/>
        <w:rPr>
          <w:lang w:val="en-GB"/>
        </w:rPr>
      </w:pPr>
    </w:p>
    <w:p w:rsidRPr="00EE0004" w:rsidR="00F65D8F" w:rsidP="00EE0004" w:rsidRDefault="00F65D8F">
      <w:pPr>
        <w:jc w:val="center"/>
        <w:rPr>
          <w:lang w:val="en-GB"/>
        </w:rPr>
      </w:pPr>
    </w:p>
    <w:p w:rsidRPr="00EE0004" w:rsidR="00014566" w:rsidP="00EE0004" w:rsidRDefault="00014566">
      <w:pPr>
        <w:jc w:val="center"/>
        <w:rPr>
          <w:b/>
          <w:lang w:val="en-GB"/>
        </w:rPr>
      </w:pPr>
      <w:bookmarkStart w:name="To" w:id="1"/>
      <w:r w:rsidRPr="00EE0004">
        <w:rPr>
          <w:b/>
          <w:lang w:val="en-GB"/>
        </w:rPr>
        <w:t xml:space="preserve">CASE OF </w:t>
      </w:r>
      <w:bookmarkEnd w:id="1"/>
      <w:r w:rsidRPr="00EE0004" w:rsidR="00B11BAD">
        <w:rPr>
          <w:b/>
          <w:lang w:val="en-GB"/>
        </w:rPr>
        <w:t>VINOGRADOV v. RUSSIA</w:t>
      </w:r>
    </w:p>
    <w:p w:rsidRPr="00EE0004" w:rsidR="00014566" w:rsidP="00EE0004" w:rsidRDefault="00014566">
      <w:pPr>
        <w:jc w:val="center"/>
        <w:rPr>
          <w:lang w:val="en-GB"/>
        </w:rPr>
      </w:pPr>
    </w:p>
    <w:p w:rsidRPr="00EE0004" w:rsidR="00014566" w:rsidP="00EE0004" w:rsidRDefault="00014566">
      <w:pPr>
        <w:jc w:val="center"/>
        <w:rPr>
          <w:i/>
          <w:lang w:val="en-GB"/>
        </w:rPr>
      </w:pPr>
      <w:r w:rsidRPr="00EE0004">
        <w:rPr>
          <w:i/>
          <w:lang w:val="en-GB"/>
        </w:rPr>
        <w:t>(</w:t>
      </w:r>
      <w:r w:rsidRPr="00EE0004" w:rsidR="00B11BAD">
        <w:rPr>
          <w:i/>
          <w:lang w:val="en-GB"/>
        </w:rPr>
        <w:t>Application no. 27122/10</w:t>
      </w:r>
      <w:r w:rsidRPr="00EE0004">
        <w:rPr>
          <w:i/>
          <w:lang w:val="en-GB"/>
        </w:rPr>
        <w:t>)</w:t>
      </w:r>
    </w:p>
    <w:p w:rsidRPr="00EE0004" w:rsidR="00014566" w:rsidP="00EE0004" w:rsidRDefault="00014566">
      <w:pPr>
        <w:jc w:val="center"/>
        <w:rPr>
          <w:lang w:val="en-GB"/>
        </w:rPr>
      </w:pPr>
    </w:p>
    <w:p w:rsidRPr="00EE0004" w:rsidR="00014566" w:rsidP="00EE0004" w:rsidRDefault="00014566">
      <w:pPr>
        <w:jc w:val="center"/>
        <w:rPr>
          <w:lang w:val="en-GB"/>
        </w:rPr>
      </w:pPr>
    </w:p>
    <w:p w:rsidRPr="00EE0004" w:rsidR="00014566" w:rsidP="00EE0004" w:rsidRDefault="00014566">
      <w:pPr>
        <w:jc w:val="center"/>
        <w:rPr>
          <w:lang w:val="en-GB"/>
        </w:rPr>
      </w:pPr>
    </w:p>
    <w:p w:rsidRPr="00EE0004" w:rsidR="00014566" w:rsidP="00EE0004" w:rsidRDefault="00014566">
      <w:pPr>
        <w:jc w:val="center"/>
        <w:rPr>
          <w:lang w:val="en-GB"/>
        </w:rPr>
      </w:pPr>
    </w:p>
    <w:p w:rsidRPr="00EE0004" w:rsidR="00014566" w:rsidP="00EE0004" w:rsidRDefault="00014566">
      <w:pPr>
        <w:jc w:val="center"/>
        <w:rPr>
          <w:lang w:val="en-GB"/>
        </w:rPr>
      </w:pPr>
    </w:p>
    <w:p w:rsidRPr="00EE0004" w:rsidR="00014566" w:rsidP="00EE0004" w:rsidRDefault="00014566">
      <w:pPr>
        <w:jc w:val="center"/>
        <w:rPr>
          <w:lang w:val="en-GB"/>
        </w:rPr>
      </w:pPr>
    </w:p>
    <w:p w:rsidRPr="00EE0004" w:rsidR="00014566" w:rsidP="00EE0004" w:rsidRDefault="00F65D8F">
      <w:pPr>
        <w:jc w:val="center"/>
        <w:rPr>
          <w:szCs w:val="24"/>
          <w:lang w:val="en-GB"/>
        </w:rPr>
      </w:pPr>
      <w:r w:rsidRPr="00EE0004">
        <w:rPr>
          <w:szCs w:val="24"/>
          <w:lang w:val="en-GB"/>
        </w:rPr>
        <w:t>JUDGMENT</w:t>
      </w:r>
    </w:p>
    <w:p w:rsidRPr="00EE0004" w:rsidR="00014566" w:rsidP="00EE0004" w:rsidRDefault="00014566">
      <w:pPr>
        <w:jc w:val="center"/>
        <w:rPr>
          <w:szCs w:val="24"/>
          <w:lang w:val="en-GB"/>
        </w:rPr>
      </w:pPr>
    </w:p>
    <w:p w:rsidRPr="00EE0004" w:rsidR="00014566" w:rsidP="00EE0004" w:rsidRDefault="00014566">
      <w:pPr>
        <w:jc w:val="center"/>
        <w:rPr>
          <w:szCs w:val="24"/>
          <w:lang w:val="en-GB"/>
        </w:rPr>
      </w:pPr>
    </w:p>
    <w:p w:rsidRPr="00EE0004" w:rsidR="00F65D8F" w:rsidP="00EE0004" w:rsidRDefault="00F65D8F">
      <w:pPr>
        <w:pStyle w:val="JuCase"/>
        <w:ind w:firstLine="0"/>
        <w:jc w:val="center"/>
        <w:rPr>
          <w:b w:val="0"/>
          <w:lang w:val="en-GB"/>
        </w:rPr>
      </w:pPr>
    </w:p>
    <w:p w:rsidRPr="00EE0004" w:rsidR="00F65D8F" w:rsidP="00EE0004" w:rsidRDefault="00F65D8F">
      <w:pPr>
        <w:pStyle w:val="JuCase"/>
        <w:ind w:firstLine="0"/>
        <w:jc w:val="center"/>
        <w:rPr>
          <w:b w:val="0"/>
          <w:lang w:val="en-GB"/>
        </w:rPr>
      </w:pPr>
    </w:p>
    <w:p w:rsidRPr="00EE0004" w:rsidR="00F65D8F" w:rsidP="00EE0004" w:rsidRDefault="00F65D8F">
      <w:pPr>
        <w:pStyle w:val="JuCase"/>
        <w:ind w:firstLine="0"/>
        <w:jc w:val="center"/>
        <w:rPr>
          <w:b w:val="0"/>
          <w:lang w:val="en-GB"/>
        </w:rPr>
      </w:pPr>
      <w:r w:rsidRPr="00EE0004">
        <w:rPr>
          <w:b w:val="0"/>
          <w:lang w:val="en-GB"/>
        </w:rPr>
        <w:t>STRASBOURG</w:t>
      </w:r>
    </w:p>
    <w:p w:rsidRPr="00EE0004" w:rsidR="00F65D8F" w:rsidP="00EE0004" w:rsidRDefault="00F65D8F">
      <w:pPr>
        <w:pStyle w:val="JuCase"/>
        <w:ind w:firstLine="0"/>
        <w:jc w:val="center"/>
        <w:rPr>
          <w:b w:val="0"/>
          <w:lang w:val="en-GB"/>
        </w:rPr>
      </w:pPr>
    </w:p>
    <w:p w:rsidRPr="00EE0004" w:rsidR="00F65D8F" w:rsidP="00EE0004" w:rsidRDefault="00F65D8F">
      <w:pPr>
        <w:pStyle w:val="JuCase"/>
        <w:ind w:firstLine="0"/>
        <w:jc w:val="center"/>
        <w:rPr>
          <w:b w:val="0"/>
          <w:lang w:val="en-GB"/>
        </w:rPr>
      </w:pPr>
      <w:r w:rsidRPr="00EE0004">
        <w:rPr>
          <w:b w:val="0"/>
          <w:lang w:val="en-GB"/>
        </w:rPr>
        <w:t>7 March 2017</w:t>
      </w:r>
    </w:p>
    <w:p w:rsidRPr="00EE0004" w:rsidR="00F65D8F" w:rsidP="00EE0004" w:rsidRDefault="00F65D8F">
      <w:pPr>
        <w:pStyle w:val="JuCase"/>
        <w:ind w:firstLine="0"/>
        <w:jc w:val="center"/>
        <w:rPr>
          <w:b w:val="0"/>
          <w:lang w:val="en-GB"/>
        </w:rPr>
      </w:pPr>
    </w:p>
    <w:p w:rsidRPr="00EE0004" w:rsidR="00F65D8F" w:rsidP="00EE0004" w:rsidRDefault="00F65D8F">
      <w:pPr>
        <w:pStyle w:val="JuCase"/>
        <w:ind w:firstLine="0"/>
        <w:jc w:val="center"/>
        <w:rPr>
          <w:b w:val="0"/>
          <w:lang w:val="en-GB"/>
        </w:rPr>
      </w:pPr>
    </w:p>
    <w:p w:rsidRPr="00EE0004" w:rsidR="00F65D8F" w:rsidP="00EE0004" w:rsidRDefault="00F65D8F">
      <w:pPr>
        <w:pStyle w:val="JuCase"/>
        <w:ind w:firstLine="0"/>
        <w:rPr>
          <w:b w:val="0"/>
          <w:i/>
          <w:sz w:val="22"/>
          <w:lang w:val="en-GB"/>
        </w:rPr>
      </w:pPr>
      <w:r w:rsidRPr="00EE0004">
        <w:rPr>
          <w:b w:val="0"/>
          <w:i/>
          <w:sz w:val="22"/>
          <w:lang w:val="en-GB"/>
        </w:rPr>
        <w:t>This judgment is final but it may be subject to editorial revision.</w:t>
      </w:r>
    </w:p>
    <w:p w:rsidRPr="00EE0004" w:rsidR="00F65D8F" w:rsidP="00EE0004" w:rsidRDefault="00F65D8F">
      <w:pPr>
        <w:pStyle w:val="JuCase"/>
        <w:ind w:firstLine="0"/>
        <w:rPr>
          <w:b w:val="0"/>
          <w:lang w:val="en-GB"/>
        </w:rPr>
        <w:sectPr w:rsidRPr="00EE0004" w:rsidR="00F65D8F" w:rsidSect="00F65D8F">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r w:rsidRPr="00EE0004">
        <w:rPr>
          <w:b w:val="0"/>
          <w:i/>
          <w:sz w:val="22"/>
          <w:lang w:val="en-GB"/>
        </w:rPr>
        <w:t xml:space="preserve"> </w:t>
      </w:r>
    </w:p>
    <w:p w:rsidRPr="00EE0004" w:rsidR="00014566" w:rsidP="00EE0004" w:rsidRDefault="00014566">
      <w:pPr>
        <w:pStyle w:val="JuCase"/>
        <w:rPr>
          <w:bCs/>
          <w:lang w:val="en-GB"/>
        </w:rPr>
      </w:pPr>
      <w:r w:rsidRPr="00EE0004">
        <w:rPr>
          <w:lang w:val="en-GB"/>
        </w:rPr>
        <w:t xml:space="preserve">In the case of </w:t>
      </w:r>
      <w:proofErr w:type="spellStart"/>
      <w:r w:rsidRPr="00EE0004" w:rsidR="00B11BAD">
        <w:rPr>
          <w:lang w:val="en-GB"/>
        </w:rPr>
        <w:t>Vinogradov</w:t>
      </w:r>
      <w:proofErr w:type="spellEnd"/>
      <w:r w:rsidRPr="00EE0004" w:rsidR="00B11BAD">
        <w:rPr>
          <w:lang w:val="en-GB"/>
        </w:rPr>
        <w:t xml:space="preserve"> v. Russia</w:t>
      </w:r>
      <w:r w:rsidRPr="00EE0004">
        <w:rPr>
          <w:lang w:val="en-GB"/>
        </w:rPr>
        <w:t>,</w:t>
      </w:r>
    </w:p>
    <w:p w:rsidRPr="00EE0004" w:rsidR="00014566" w:rsidP="00EE0004" w:rsidRDefault="00014566">
      <w:pPr>
        <w:pStyle w:val="ECHRPara"/>
        <w:rPr>
          <w:lang w:val="en-GB"/>
        </w:rPr>
      </w:pPr>
      <w:r w:rsidRPr="00EE0004">
        <w:rPr>
          <w:lang w:val="en-GB"/>
        </w:rPr>
        <w:t>The European Court of Human Rights (</w:t>
      </w:r>
      <w:r w:rsidRPr="00EE0004" w:rsidR="00B11BAD">
        <w:rPr>
          <w:lang w:val="en-GB"/>
        </w:rPr>
        <w:t>Third Section</w:t>
      </w:r>
      <w:r w:rsidRPr="00EE0004">
        <w:rPr>
          <w:lang w:val="en-GB"/>
        </w:rPr>
        <w:t xml:space="preserve">), sitting as a </w:t>
      </w:r>
      <w:r w:rsidRPr="00EE0004" w:rsidR="00B11BAD">
        <w:rPr>
          <w:lang w:val="en-GB"/>
        </w:rPr>
        <w:t>Committee</w:t>
      </w:r>
      <w:r w:rsidRPr="00EE0004">
        <w:rPr>
          <w:lang w:val="en-GB"/>
        </w:rPr>
        <w:t xml:space="preserve"> composed of:</w:t>
      </w:r>
    </w:p>
    <w:p w:rsidRPr="00EE0004" w:rsidR="00014566" w:rsidP="00EE0004" w:rsidRDefault="00F65D8F">
      <w:pPr>
        <w:pStyle w:val="ECHRDecisionBody"/>
        <w:rPr>
          <w:lang w:val="en-GB"/>
        </w:rPr>
      </w:pPr>
      <w:r w:rsidRPr="00EE0004">
        <w:tab/>
      </w:r>
      <w:proofErr w:type="spellStart"/>
      <w:r w:rsidRPr="00EE0004">
        <w:t>Branko</w:t>
      </w:r>
      <w:proofErr w:type="spellEnd"/>
      <w:r w:rsidRPr="00EE0004">
        <w:t xml:space="preserve"> </w:t>
      </w:r>
      <w:proofErr w:type="spellStart"/>
      <w:r w:rsidRPr="00EE0004">
        <w:t>Lubarda</w:t>
      </w:r>
      <w:proofErr w:type="spellEnd"/>
      <w:r w:rsidRPr="00EE0004">
        <w:t>,</w:t>
      </w:r>
      <w:r w:rsidRPr="00EE0004">
        <w:rPr>
          <w:i/>
        </w:rPr>
        <w:t xml:space="preserve"> President,</w:t>
      </w:r>
      <w:r w:rsidRPr="00EE0004">
        <w:rPr>
          <w:i/>
        </w:rPr>
        <w:br/>
      </w:r>
      <w:r w:rsidRPr="00EE0004">
        <w:tab/>
        <w:t xml:space="preserve">Dmitry </w:t>
      </w:r>
      <w:proofErr w:type="spellStart"/>
      <w:r w:rsidRPr="00EE0004">
        <w:t>Dedov</w:t>
      </w:r>
      <w:proofErr w:type="spellEnd"/>
      <w:r w:rsidRPr="00EE0004">
        <w:t>,</w:t>
      </w:r>
      <w:r w:rsidRPr="00EE0004">
        <w:rPr>
          <w:i/>
        </w:rPr>
        <w:br/>
      </w:r>
      <w:r w:rsidRPr="00EE0004">
        <w:tab/>
        <w:t xml:space="preserve">Alena </w:t>
      </w:r>
      <w:proofErr w:type="spellStart"/>
      <w:r w:rsidRPr="00EE0004">
        <w:t>Poláčková</w:t>
      </w:r>
      <w:proofErr w:type="spellEnd"/>
      <w:r w:rsidRPr="00EE0004">
        <w:t>,</w:t>
      </w:r>
      <w:r w:rsidRPr="00EE0004">
        <w:rPr>
          <w:i/>
        </w:rPr>
        <w:t xml:space="preserve"> judges,</w:t>
      </w:r>
      <w:r w:rsidRPr="00EE0004" w:rsidR="00014566">
        <w:rPr>
          <w:szCs w:val="24"/>
          <w:lang w:val="en-GB"/>
        </w:rPr>
        <w:br/>
      </w:r>
      <w:r w:rsidRPr="00EE0004" w:rsidR="00014566">
        <w:rPr>
          <w:lang w:val="en-GB"/>
        </w:rPr>
        <w:t xml:space="preserve">and </w:t>
      </w:r>
      <w:proofErr w:type="spellStart"/>
      <w:r w:rsidRPr="00EE0004" w:rsidR="00B11BAD">
        <w:rPr>
          <w:lang w:val="en-GB"/>
        </w:rPr>
        <w:t>Fatoş</w:t>
      </w:r>
      <w:proofErr w:type="spellEnd"/>
      <w:r w:rsidRPr="00EE0004" w:rsidR="00B11BAD">
        <w:rPr>
          <w:lang w:val="en-GB"/>
        </w:rPr>
        <w:t xml:space="preserve"> Aracı</w:t>
      </w:r>
      <w:r w:rsidRPr="00EE0004" w:rsidR="00014566">
        <w:rPr>
          <w:lang w:val="en-GB"/>
        </w:rPr>
        <w:t xml:space="preserve">, </w:t>
      </w:r>
      <w:r w:rsidRPr="00EE0004" w:rsidR="00B11BAD">
        <w:rPr>
          <w:i/>
          <w:lang w:val="en-GB"/>
        </w:rPr>
        <w:t xml:space="preserve">Deputy Section </w:t>
      </w:r>
      <w:r w:rsidRPr="00EE0004" w:rsidR="00B11BAD">
        <w:rPr>
          <w:i/>
          <w:iCs/>
          <w:lang w:val="en-GB"/>
        </w:rPr>
        <w:t>Registrar</w:t>
      </w:r>
      <w:r w:rsidRPr="00EE0004" w:rsidR="00014566">
        <w:rPr>
          <w:i/>
          <w:lang w:val="en-GB"/>
        </w:rPr>
        <w:t>,</w:t>
      </w:r>
    </w:p>
    <w:p w:rsidRPr="00EE0004" w:rsidR="00014566" w:rsidP="00EE0004" w:rsidRDefault="00014566">
      <w:pPr>
        <w:pStyle w:val="ECHRPara"/>
        <w:rPr>
          <w:lang w:val="en-GB"/>
        </w:rPr>
      </w:pPr>
      <w:r w:rsidRPr="00EE0004">
        <w:rPr>
          <w:lang w:val="en-GB"/>
        </w:rPr>
        <w:t xml:space="preserve">Having deliberated in private on </w:t>
      </w:r>
      <w:r w:rsidRPr="00EE0004" w:rsidR="00F65D8F">
        <w:rPr>
          <w:lang w:val="en-GB"/>
        </w:rPr>
        <w:t>7 February 2017</w:t>
      </w:r>
      <w:r w:rsidRPr="00EE0004">
        <w:rPr>
          <w:lang w:val="en-GB"/>
        </w:rPr>
        <w:t>,</w:t>
      </w:r>
    </w:p>
    <w:p w:rsidRPr="00EE0004" w:rsidR="00014566" w:rsidP="00EE0004" w:rsidRDefault="00014566">
      <w:pPr>
        <w:pStyle w:val="ECHRPara"/>
        <w:rPr>
          <w:lang w:val="en-GB"/>
        </w:rPr>
      </w:pPr>
      <w:r w:rsidRPr="00EE0004">
        <w:rPr>
          <w:lang w:val="en-GB"/>
        </w:rPr>
        <w:t>Delivers the following judgment, which was adopted on that date:</w:t>
      </w:r>
    </w:p>
    <w:p w:rsidRPr="00EE0004" w:rsidR="00014566" w:rsidP="00EE0004" w:rsidRDefault="00014566">
      <w:pPr>
        <w:pStyle w:val="ECHRTitle1"/>
        <w:rPr>
          <w:lang w:val="en-GB"/>
        </w:rPr>
      </w:pPr>
      <w:r w:rsidRPr="00EE0004">
        <w:rPr>
          <w:lang w:val="en-GB"/>
        </w:rPr>
        <w:t>PROCEDURE</w:t>
      </w:r>
    </w:p>
    <w:p w:rsidRPr="00EE0004" w:rsidR="008612C7" w:rsidP="00EE0004" w:rsidRDefault="008612C7">
      <w:pPr>
        <w:pStyle w:val="ECHRPara"/>
        <w:rPr>
          <w:lang w:val="en-GB"/>
        </w:rPr>
      </w:pPr>
      <w:r w:rsidRPr="00EE0004">
        <w:rPr>
          <w:lang w:val="en-GB"/>
        </w:rPr>
        <w:fldChar w:fldCharType="begin"/>
      </w:r>
      <w:r w:rsidRPr="00EE0004">
        <w:rPr>
          <w:lang w:val="en-GB"/>
        </w:rPr>
        <w:instrText xml:space="preserve"> SEQ level0 \*arabic </w:instrText>
      </w:r>
      <w:r w:rsidRPr="00EE0004">
        <w:rPr>
          <w:lang w:val="en-GB"/>
        </w:rPr>
        <w:fldChar w:fldCharType="separate"/>
      </w:r>
      <w:r w:rsidRPr="00EE0004" w:rsidR="00EE0004">
        <w:rPr>
          <w:noProof/>
          <w:lang w:val="en-GB"/>
        </w:rPr>
        <w:t>1</w:t>
      </w:r>
      <w:r w:rsidRPr="00EE0004">
        <w:rPr>
          <w:lang w:val="en-GB"/>
        </w:rPr>
        <w:fldChar w:fldCharType="end"/>
      </w:r>
      <w:r w:rsidRPr="00EE0004">
        <w:rPr>
          <w:lang w:val="en-GB"/>
        </w:rPr>
        <w:t xml:space="preserve">.  The case originated in an application (no. 27122/10) against the Russian Federation lodged with the Court under Article 34 of the Convention for the Protection of Human Rights and Fundamental Freedoms (“the Convention”) by a Russian national, Mr Ivan Vasilyevich </w:t>
      </w:r>
      <w:proofErr w:type="spellStart"/>
      <w:r w:rsidRPr="00EE0004">
        <w:rPr>
          <w:lang w:val="en-GB"/>
        </w:rPr>
        <w:t>Vinogradov</w:t>
      </w:r>
      <w:proofErr w:type="spellEnd"/>
      <w:r w:rsidRPr="00EE0004">
        <w:rPr>
          <w:lang w:val="en-GB"/>
        </w:rPr>
        <w:t xml:space="preserve"> (“the applicant”), on 26 April 2010.</w:t>
      </w:r>
    </w:p>
    <w:p w:rsidRPr="00EE0004" w:rsidR="008612C7" w:rsidP="00EE0004" w:rsidRDefault="008612C7">
      <w:pPr>
        <w:pStyle w:val="ECHRPara"/>
        <w:rPr>
          <w:lang w:val="en-GB"/>
        </w:rPr>
      </w:pPr>
      <w:r w:rsidRPr="00EE0004">
        <w:rPr>
          <w:lang w:val="en-GB"/>
        </w:rPr>
        <w:fldChar w:fldCharType="begin"/>
      </w:r>
      <w:r w:rsidRPr="00EE0004">
        <w:rPr>
          <w:lang w:val="en-GB"/>
        </w:rPr>
        <w:instrText xml:space="preserve"> SEQ level0 \*arabic </w:instrText>
      </w:r>
      <w:r w:rsidRPr="00EE0004">
        <w:rPr>
          <w:lang w:val="en-GB"/>
        </w:rPr>
        <w:fldChar w:fldCharType="separate"/>
      </w:r>
      <w:r w:rsidRPr="00EE0004" w:rsidR="00EE0004">
        <w:rPr>
          <w:noProof/>
          <w:lang w:val="en-GB"/>
        </w:rPr>
        <w:t>2</w:t>
      </w:r>
      <w:r w:rsidRPr="00EE0004">
        <w:rPr>
          <w:lang w:val="en-GB"/>
        </w:rPr>
        <w:fldChar w:fldCharType="end"/>
      </w:r>
      <w:r w:rsidRPr="00EE0004">
        <w:rPr>
          <w:lang w:val="en-GB"/>
        </w:rPr>
        <w:t xml:space="preserve">.  The Russian Government (“the Government”) </w:t>
      </w:r>
      <w:r w:rsidRPr="00EE0004">
        <w:t xml:space="preserve">were represented by </w:t>
      </w:r>
      <w:proofErr w:type="spellStart"/>
      <w:r w:rsidRPr="00EE0004">
        <w:t>Mr</w:t>
      </w:r>
      <w:proofErr w:type="spellEnd"/>
      <w:r w:rsidRPr="00EE0004">
        <w:t> G. </w:t>
      </w:r>
      <w:proofErr w:type="spellStart"/>
      <w:r w:rsidRPr="00EE0004">
        <w:t>Matyushkin</w:t>
      </w:r>
      <w:proofErr w:type="spellEnd"/>
      <w:r w:rsidRPr="00EE0004">
        <w:t>, Representative of the Russian Federation at the European Court of Human Rights.</w:t>
      </w:r>
    </w:p>
    <w:p w:rsidRPr="00EE0004" w:rsidR="008612C7" w:rsidP="00EE0004" w:rsidRDefault="008612C7">
      <w:pPr>
        <w:pStyle w:val="ECHRPara"/>
        <w:rPr>
          <w:lang w:val="en-GB"/>
        </w:rPr>
      </w:pPr>
      <w:r w:rsidRPr="00EE0004">
        <w:rPr>
          <w:lang w:val="en-GB"/>
        </w:rPr>
        <w:fldChar w:fldCharType="begin"/>
      </w:r>
      <w:r w:rsidRPr="00EE0004">
        <w:rPr>
          <w:lang w:val="en-GB"/>
        </w:rPr>
        <w:instrText xml:space="preserve"> SEQ level0 \*arabic </w:instrText>
      </w:r>
      <w:r w:rsidRPr="00EE0004">
        <w:rPr>
          <w:lang w:val="en-GB"/>
        </w:rPr>
        <w:fldChar w:fldCharType="separate"/>
      </w:r>
      <w:r w:rsidRPr="00EE0004" w:rsidR="00EE0004">
        <w:rPr>
          <w:noProof/>
          <w:lang w:val="en-GB"/>
        </w:rPr>
        <w:t>3</w:t>
      </w:r>
      <w:r w:rsidRPr="00EE0004">
        <w:rPr>
          <w:lang w:val="en-GB"/>
        </w:rPr>
        <w:fldChar w:fldCharType="end"/>
      </w:r>
      <w:r w:rsidRPr="00EE0004">
        <w:rPr>
          <w:lang w:val="en-GB"/>
        </w:rPr>
        <w:t>.  The applicant alleged, in particular,</w:t>
      </w:r>
      <w:r w:rsidRPr="00EE0004">
        <w:t xml:space="preserve"> </w:t>
      </w:r>
      <w:r w:rsidRPr="00EE0004">
        <w:rPr>
          <w:lang w:val="en-GB"/>
        </w:rPr>
        <w:t xml:space="preserve">that </w:t>
      </w:r>
      <w:r w:rsidRPr="00EE0004">
        <w:t>the conditions of his detention were inhuman and unsuitable for a part</w:t>
      </w:r>
      <w:r w:rsidRPr="00EE0004" w:rsidR="00C869BF">
        <w:t>ial</w:t>
      </w:r>
      <w:r w:rsidRPr="00EE0004">
        <w:t>ly</w:t>
      </w:r>
      <w:r w:rsidRPr="00EE0004" w:rsidR="00C869BF">
        <w:t xml:space="preserve"> </w:t>
      </w:r>
      <w:proofErr w:type="spellStart"/>
      <w:r w:rsidRPr="00EE0004">
        <w:t>paralysed</w:t>
      </w:r>
      <w:proofErr w:type="spellEnd"/>
      <w:r w:rsidRPr="00EE0004">
        <w:t xml:space="preserve"> detainee such as himself.</w:t>
      </w:r>
    </w:p>
    <w:p w:rsidRPr="00EE0004" w:rsidR="008612C7" w:rsidP="00EE0004" w:rsidRDefault="008612C7">
      <w:pPr>
        <w:pStyle w:val="ECHRPara"/>
        <w:rPr>
          <w:lang w:val="en-GB"/>
        </w:rPr>
      </w:pPr>
      <w:r w:rsidRPr="00EE0004">
        <w:rPr>
          <w:lang w:val="en-GB"/>
        </w:rPr>
        <w:fldChar w:fldCharType="begin"/>
      </w:r>
      <w:r w:rsidRPr="00EE0004">
        <w:rPr>
          <w:lang w:val="en-GB"/>
        </w:rPr>
        <w:instrText xml:space="preserve"> SEQ level0 \*arabic </w:instrText>
      </w:r>
      <w:r w:rsidRPr="00EE0004">
        <w:rPr>
          <w:lang w:val="en-GB"/>
        </w:rPr>
        <w:fldChar w:fldCharType="separate"/>
      </w:r>
      <w:r w:rsidRPr="00EE0004" w:rsidR="00EE0004">
        <w:rPr>
          <w:noProof/>
          <w:lang w:val="en-GB"/>
        </w:rPr>
        <w:t>4</w:t>
      </w:r>
      <w:r w:rsidRPr="00EE0004">
        <w:rPr>
          <w:lang w:val="en-GB"/>
        </w:rPr>
        <w:fldChar w:fldCharType="end"/>
      </w:r>
      <w:r w:rsidRPr="00EE0004">
        <w:rPr>
          <w:lang w:val="en-GB"/>
        </w:rPr>
        <w:t xml:space="preserve">.  On </w:t>
      </w:r>
      <w:r w:rsidRPr="00EE0004">
        <w:rPr>
          <w:szCs w:val="24"/>
          <w:lang w:val="en-GB"/>
        </w:rPr>
        <w:t>16 May 2011</w:t>
      </w:r>
      <w:r w:rsidRPr="00EE0004">
        <w:rPr>
          <w:lang w:val="en-GB"/>
        </w:rPr>
        <w:t xml:space="preserve"> the </w:t>
      </w:r>
      <w:r w:rsidRPr="00EE0004" w:rsidR="00B5303A">
        <w:rPr>
          <w:lang w:val="en-GB"/>
        </w:rPr>
        <w:t>above complaints were</w:t>
      </w:r>
      <w:r w:rsidRPr="00EE0004">
        <w:rPr>
          <w:lang w:val="en-GB"/>
        </w:rPr>
        <w:t xml:space="preserve"> communicated to the Government.</w:t>
      </w:r>
    </w:p>
    <w:p w:rsidRPr="00EE0004" w:rsidR="000F14DF" w:rsidP="00EE0004" w:rsidRDefault="000F14DF">
      <w:pPr>
        <w:pStyle w:val="ECHRPara"/>
        <w:rPr>
          <w:lang w:val="en-GB"/>
        </w:rPr>
      </w:pPr>
      <w:r w:rsidRPr="00EE0004">
        <w:rPr>
          <w:lang w:val="en-GB"/>
        </w:rPr>
        <w:fldChar w:fldCharType="begin"/>
      </w:r>
      <w:r w:rsidRPr="00EE0004">
        <w:rPr>
          <w:lang w:val="en-GB"/>
        </w:rPr>
        <w:instrText xml:space="preserve"> SEQ level0 \*arabic </w:instrText>
      </w:r>
      <w:r w:rsidRPr="00EE0004">
        <w:rPr>
          <w:lang w:val="en-GB"/>
        </w:rPr>
        <w:fldChar w:fldCharType="separate"/>
      </w:r>
      <w:r w:rsidRPr="00EE0004" w:rsidR="00EE0004">
        <w:rPr>
          <w:noProof/>
          <w:lang w:val="en-GB"/>
        </w:rPr>
        <w:t>5</w:t>
      </w:r>
      <w:r w:rsidRPr="00EE0004">
        <w:rPr>
          <w:lang w:val="en-GB"/>
        </w:rPr>
        <w:fldChar w:fldCharType="end"/>
      </w:r>
      <w:r w:rsidRPr="00EE0004">
        <w:rPr>
          <w:lang w:val="en-GB"/>
        </w:rPr>
        <w:t>.  </w:t>
      </w:r>
      <w:r w:rsidRPr="00EE0004">
        <w:t>The Government objected to the examination of the applications by a Committee. Having considered the Government</w:t>
      </w:r>
      <w:r w:rsidRPr="00EE0004" w:rsidR="00EE0004">
        <w:t>’</w:t>
      </w:r>
      <w:r w:rsidRPr="00EE0004">
        <w:t>s objection, the Court rejects it.</w:t>
      </w:r>
    </w:p>
    <w:p w:rsidRPr="00EE0004" w:rsidR="00014566" w:rsidP="00EE0004" w:rsidRDefault="00014566">
      <w:pPr>
        <w:pStyle w:val="ECHRTitle1"/>
        <w:rPr>
          <w:lang w:val="en-GB"/>
        </w:rPr>
      </w:pPr>
      <w:r w:rsidRPr="00EE0004">
        <w:rPr>
          <w:lang w:val="en-GB"/>
        </w:rPr>
        <w:t>THE FACTS</w:t>
      </w:r>
    </w:p>
    <w:p w:rsidRPr="00EE0004" w:rsidR="00014566" w:rsidP="00EE0004" w:rsidRDefault="00014566">
      <w:pPr>
        <w:pStyle w:val="ECHRHeading1"/>
        <w:rPr>
          <w:lang w:val="en-GB"/>
        </w:rPr>
      </w:pPr>
      <w:r w:rsidRPr="00EE0004">
        <w:rPr>
          <w:lang w:val="en-GB"/>
        </w:rPr>
        <w:t>I.  THE CIRCUMSTANCES OF THE CASE</w:t>
      </w:r>
    </w:p>
    <w:p w:rsidRPr="00EE0004" w:rsidR="008612C7" w:rsidP="00EE0004" w:rsidRDefault="008612C7">
      <w:pPr>
        <w:pStyle w:val="ECHRPara"/>
      </w:pPr>
      <w:r w:rsidRPr="00EE0004">
        <w:rPr>
          <w:lang w:val="en-GB"/>
        </w:rPr>
        <w:fldChar w:fldCharType="begin"/>
      </w:r>
      <w:r w:rsidRPr="00EE0004">
        <w:rPr>
          <w:lang w:val="en-GB"/>
        </w:rPr>
        <w:instrText xml:space="preserve"> SEQ level0 \*arabic </w:instrText>
      </w:r>
      <w:r w:rsidRPr="00EE0004">
        <w:rPr>
          <w:lang w:val="en-GB"/>
        </w:rPr>
        <w:fldChar w:fldCharType="separate"/>
      </w:r>
      <w:r w:rsidRPr="00EE0004" w:rsidR="00EE0004">
        <w:rPr>
          <w:noProof/>
          <w:lang w:val="en-GB"/>
        </w:rPr>
        <w:t>6</w:t>
      </w:r>
      <w:r w:rsidRPr="00EE0004">
        <w:rPr>
          <w:lang w:val="en-GB"/>
        </w:rPr>
        <w:fldChar w:fldCharType="end"/>
      </w:r>
      <w:r w:rsidRPr="00EE0004">
        <w:rPr>
          <w:lang w:val="en-GB"/>
        </w:rPr>
        <w:t xml:space="preserve">.  The applicant was born in 1960 </w:t>
      </w:r>
      <w:r w:rsidRPr="00EE0004">
        <w:t xml:space="preserve">and until his conviction lived in the town of </w:t>
      </w:r>
      <w:proofErr w:type="spellStart"/>
      <w:r w:rsidRPr="00EE0004">
        <w:t>S</w:t>
      </w:r>
      <w:r w:rsidRPr="00EE0004" w:rsidR="00E51673">
        <w:t>lantsy</w:t>
      </w:r>
      <w:proofErr w:type="spellEnd"/>
      <w:r w:rsidRPr="00EE0004" w:rsidR="00E51673">
        <w:t xml:space="preserve"> in the Leningrad Region.</w:t>
      </w:r>
    </w:p>
    <w:p w:rsidRPr="00EE0004" w:rsidR="008612C7" w:rsidP="00EE0004" w:rsidRDefault="008612C7">
      <w:pPr>
        <w:pStyle w:val="ECHRHeading2"/>
      </w:pPr>
      <w:r w:rsidRPr="00EE0004">
        <w:t>A.  The applicant</w:t>
      </w:r>
      <w:r w:rsidRPr="00EE0004" w:rsidR="00EE0004">
        <w:t>’</w:t>
      </w:r>
      <w:r w:rsidRPr="00EE0004">
        <w:t>s medical background and his conviction</w:t>
      </w:r>
    </w:p>
    <w:p w:rsidRPr="00EE0004" w:rsidR="008612C7" w:rsidP="00EE0004" w:rsidRDefault="00EE0004">
      <w:pPr>
        <w:pStyle w:val="ECHRPara"/>
        <w:rPr>
          <w:lang w:val="en"/>
        </w:rPr>
      </w:pPr>
      <w:fldSimple w:instr=" SEQ level0 \*arabic ">
        <w:r w:rsidRPr="00EE0004">
          <w:rPr>
            <w:noProof/>
          </w:rPr>
          <w:t>7</w:t>
        </w:r>
      </w:fldSimple>
      <w:r w:rsidRPr="00EE0004" w:rsidR="008612C7">
        <w:t xml:space="preserve">.  In 1991 the applicant sustained a penetrating head injury, which involved </w:t>
      </w:r>
      <w:r w:rsidRPr="00EE0004" w:rsidR="00C869BF">
        <w:t xml:space="preserve">the </w:t>
      </w:r>
      <w:r w:rsidRPr="00EE0004" w:rsidR="008612C7">
        <w:rPr>
          <w:lang w:val="en"/>
        </w:rPr>
        <w:t xml:space="preserve">crushing of brain tissue. This trauma caused </w:t>
      </w:r>
      <w:r w:rsidRPr="00EE0004" w:rsidR="008612C7">
        <w:t>paralysis of the entire right side of his body, light speech impairment and post-traumatic epilepsy.</w:t>
      </w:r>
      <w:r w:rsidRPr="00EE0004" w:rsidR="008612C7">
        <w:rPr>
          <w:lang w:val="en"/>
        </w:rPr>
        <w:t xml:space="preserve"> </w:t>
      </w:r>
      <w:r w:rsidRPr="00EE0004" w:rsidR="008612C7">
        <w:t>To reduce the</w:t>
      </w:r>
      <w:r w:rsidRPr="00EE0004" w:rsidR="008612C7">
        <w:rPr>
          <w:lang w:val="en"/>
        </w:rPr>
        <w:t xml:space="preserve"> frequency of epilep</w:t>
      </w:r>
      <w:r w:rsidRPr="00EE0004" w:rsidR="00121A7B">
        <w:rPr>
          <w:lang w:val="en"/>
        </w:rPr>
        <w:t>tic</w:t>
      </w:r>
      <w:r w:rsidRPr="00EE0004" w:rsidR="008612C7">
        <w:rPr>
          <w:lang w:val="en"/>
        </w:rPr>
        <w:t xml:space="preserve"> seizures the applicant </w:t>
      </w:r>
      <w:r w:rsidRPr="00EE0004" w:rsidR="00121A7B">
        <w:rPr>
          <w:lang w:val="en"/>
        </w:rPr>
        <w:t xml:space="preserve">was obliged </w:t>
      </w:r>
      <w:r w:rsidRPr="00EE0004" w:rsidR="008612C7">
        <w:rPr>
          <w:lang w:val="en"/>
        </w:rPr>
        <w:t xml:space="preserve">to take </w:t>
      </w:r>
      <w:proofErr w:type="spellStart"/>
      <w:r w:rsidRPr="00EE0004" w:rsidR="008612C7">
        <w:rPr>
          <w:lang w:val="en"/>
        </w:rPr>
        <w:t>Benzonal</w:t>
      </w:r>
      <w:proofErr w:type="spellEnd"/>
      <w:r w:rsidRPr="00EE0004" w:rsidR="008612C7">
        <w:rPr>
          <w:lang w:val="en"/>
        </w:rPr>
        <w:t>.</w:t>
      </w:r>
    </w:p>
    <w:bookmarkStart w:name="q7" w:id="2"/>
    <w:p w:rsidRPr="00EE0004" w:rsidR="008612C7" w:rsidP="00EE0004" w:rsidRDefault="008612C7">
      <w:pPr>
        <w:pStyle w:val="ECHRPara"/>
        <w:rPr>
          <w:lang w:val="en-GB"/>
        </w:rPr>
      </w:pPr>
      <w:r w:rsidRPr="00EE0004">
        <w:fldChar w:fldCharType="begin"/>
      </w:r>
      <w:r w:rsidRPr="00EE0004">
        <w:instrText xml:space="preserve"> SEQ level0 \*arabic </w:instrText>
      </w:r>
      <w:r w:rsidRPr="00EE0004">
        <w:fldChar w:fldCharType="separate"/>
      </w:r>
      <w:r w:rsidRPr="00EE0004" w:rsidR="00EE0004">
        <w:rPr>
          <w:noProof/>
        </w:rPr>
        <w:t>8</w:t>
      </w:r>
      <w:r w:rsidRPr="00EE0004">
        <w:rPr>
          <w:noProof/>
        </w:rPr>
        <w:fldChar w:fldCharType="end"/>
      </w:r>
      <w:bookmarkEnd w:id="2"/>
      <w:r w:rsidRPr="00EE0004">
        <w:t xml:space="preserve">.  The following year the applicant was examined by a social security medical assessment board </w:t>
      </w:r>
      <w:r w:rsidRPr="00EE0004">
        <w:rPr>
          <w:i/>
        </w:rPr>
        <w:t>(</w:t>
      </w:r>
      <w:r w:rsidRPr="00EE0004">
        <w:rPr>
          <w:i/>
          <w:lang w:val="ru-RU"/>
        </w:rPr>
        <w:t>бюро</w:t>
      </w:r>
      <w:r w:rsidRPr="00EE0004">
        <w:rPr>
          <w:i/>
        </w:rPr>
        <w:t xml:space="preserve"> </w:t>
      </w:r>
      <w:proofErr w:type="spellStart"/>
      <w:r w:rsidRPr="00EE0004">
        <w:rPr>
          <w:i/>
          <w:lang w:val="ru-RU"/>
        </w:rPr>
        <w:t>медико</w:t>
      </w:r>
      <w:proofErr w:type="spellEnd"/>
      <w:r w:rsidRPr="00EE0004">
        <w:rPr>
          <w:i/>
        </w:rPr>
        <w:t>-</w:t>
      </w:r>
      <w:r w:rsidRPr="00EE0004">
        <w:rPr>
          <w:i/>
          <w:lang w:val="ru-RU"/>
        </w:rPr>
        <w:t>социальной</w:t>
      </w:r>
      <w:r w:rsidRPr="00EE0004">
        <w:rPr>
          <w:i/>
        </w:rPr>
        <w:t xml:space="preserve"> </w:t>
      </w:r>
      <w:r w:rsidRPr="00EE0004">
        <w:rPr>
          <w:i/>
          <w:lang w:val="ru-RU"/>
        </w:rPr>
        <w:t>экспертизы</w:t>
      </w:r>
      <w:r w:rsidRPr="00EE0004">
        <w:t xml:space="preserve">) and certified as having the highest-degree disability </w:t>
      </w:r>
      <w:r w:rsidRPr="00EE0004">
        <w:rPr>
          <w:lang w:val="en-GB"/>
        </w:rPr>
        <w:t xml:space="preserve">on the grounds that he had lost </w:t>
      </w:r>
      <w:r w:rsidRPr="00EE0004" w:rsidR="00121A7B">
        <w:rPr>
          <w:lang w:val="en-GB"/>
        </w:rPr>
        <w:t xml:space="preserve">the </w:t>
      </w:r>
      <w:r w:rsidRPr="00EE0004">
        <w:t xml:space="preserve">ability to work, to walk without assistance or to look after </w:t>
      </w:r>
      <w:proofErr w:type="gramStart"/>
      <w:r w:rsidRPr="00EE0004">
        <w:t>himself</w:t>
      </w:r>
      <w:proofErr w:type="gramEnd"/>
      <w:r w:rsidRPr="00EE0004">
        <w:t xml:space="preserve">. Those findings were confirmed by the board during routine re-examinations in 1994, 1996, 1998 and 2000, when </w:t>
      </w:r>
      <w:r w:rsidRPr="00EE0004" w:rsidR="00121A7B">
        <w:t>the applicant</w:t>
      </w:r>
      <w:r w:rsidRPr="00EE0004" w:rsidDel="00121A7B" w:rsidR="00121A7B">
        <w:t xml:space="preserve"> </w:t>
      </w:r>
      <w:r w:rsidRPr="00EE0004" w:rsidR="00121A7B">
        <w:t xml:space="preserve">was granted </w:t>
      </w:r>
      <w:r w:rsidRPr="00EE0004">
        <w:t>life</w:t>
      </w:r>
      <w:r w:rsidRPr="00EE0004" w:rsidR="00E51673">
        <w:t>-long disability status.</w:t>
      </w:r>
    </w:p>
    <w:p w:rsidRPr="00EE0004" w:rsidR="008612C7" w:rsidP="00EE0004" w:rsidRDefault="00EE0004">
      <w:pPr>
        <w:pStyle w:val="ECHRPara"/>
      </w:pPr>
      <w:fldSimple w:instr=" SEQ level0 \*arabic ">
        <w:r w:rsidRPr="00EE0004">
          <w:rPr>
            <w:noProof/>
          </w:rPr>
          <w:t>9</w:t>
        </w:r>
      </w:fldSimple>
      <w:r w:rsidRPr="00EE0004" w:rsidR="008612C7">
        <w:t xml:space="preserve">.  In 2005 the applicant committed a homicide. On 16 April 2007 the </w:t>
      </w:r>
      <w:proofErr w:type="spellStart"/>
      <w:r w:rsidRPr="00EE0004" w:rsidR="008612C7">
        <w:t>Slantsy</w:t>
      </w:r>
      <w:proofErr w:type="spellEnd"/>
      <w:r w:rsidRPr="00EE0004" w:rsidR="008612C7">
        <w:t xml:space="preserve"> Town Court found him guilty of murder and sentenced him to seven years</w:t>
      </w:r>
      <w:r w:rsidRPr="00EE0004">
        <w:t>’</w:t>
      </w:r>
      <w:r w:rsidRPr="00EE0004" w:rsidR="008612C7">
        <w:t xml:space="preserve"> imprisonment in a highly secure correctional colony. On 15 August 2007 the Leningrad Region Court upheld the sentence on appeal.</w:t>
      </w:r>
    </w:p>
    <w:p w:rsidRPr="00EE0004" w:rsidR="008612C7" w:rsidP="00EE0004" w:rsidRDefault="008612C7">
      <w:pPr>
        <w:pStyle w:val="ECHRHeading2"/>
        <w:rPr>
          <w:lang w:val="en-GB"/>
        </w:rPr>
      </w:pPr>
      <w:r w:rsidRPr="00EE0004">
        <w:t xml:space="preserve">B.  The </w:t>
      </w:r>
      <w:r w:rsidRPr="00EE0004">
        <w:rPr>
          <w:lang w:val="en-GB"/>
        </w:rPr>
        <w:t>applicant</w:t>
      </w:r>
      <w:r w:rsidRPr="00EE0004" w:rsidR="00EE0004">
        <w:rPr>
          <w:lang w:val="en-GB"/>
        </w:rPr>
        <w:t>’</w:t>
      </w:r>
      <w:r w:rsidRPr="00EE0004">
        <w:rPr>
          <w:lang w:val="en-GB"/>
        </w:rPr>
        <w:t>s medical treatment and conditions of his detention</w:t>
      </w:r>
    </w:p>
    <w:p w:rsidRPr="00EE0004" w:rsidR="008612C7" w:rsidP="00EE0004" w:rsidRDefault="00EE0004">
      <w:pPr>
        <w:pStyle w:val="ECHRPara"/>
      </w:pPr>
      <w:fldSimple w:instr=" SEQ level0 \*arabic ">
        <w:r w:rsidRPr="00EE0004">
          <w:rPr>
            <w:noProof/>
          </w:rPr>
          <w:t>10</w:t>
        </w:r>
      </w:fldSimple>
      <w:r w:rsidRPr="00EE0004" w:rsidR="008612C7">
        <w:rPr>
          <w:noProof/>
        </w:rPr>
        <w:t>.</w:t>
      </w:r>
      <w:r w:rsidRPr="00EE0004" w:rsidR="008612C7">
        <w:t xml:space="preserve">  On 16 April 2007 the applicant was taken to a police ward </w:t>
      </w:r>
      <w:r w:rsidRPr="00EE0004" w:rsidR="008612C7">
        <w:rPr>
          <w:lang w:val="en-GB"/>
        </w:rPr>
        <w:t xml:space="preserve">in the town of </w:t>
      </w:r>
      <w:proofErr w:type="spellStart"/>
      <w:r w:rsidRPr="00EE0004" w:rsidR="008612C7">
        <w:t>Slantsy</w:t>
      </w:r>
      <w:proofErr w:type="spellEnd"/>
      <w:r w:rsidRPr="00EE0004" w:rsidR="008612C7">
        <w:t>.</w:t>
      </w:r>
    </w:p>
    <w:p w:rsidRPr="00EE0004" w:rsidR="008612C7" w:rsidP="00EE0004" w:rsidRDefault="00EE0004">
      <w:pPr>
        <w:pStyle w:val="ECHRPara"/>
      </w:pPr>
      <w:fldSimple w:instr=" SEQ level0 \*arabic ">
        <w:r w:rsidRPr="00EE0004">
          <w:rPr>
            <w:noProof/>
          </w:rPr>
          <w:t>11</w:t>
        </w:r>
      </w:fldSimple>
      <w:r w:rsidRPr="00EE0004" w:rsidR="008612C7">
        <w:t xml:space="preserve">.  Two days later he was transferred to remand prison no. </w:t>
      </w:r>
      <w:proofErr w:type="gramStart"/>
      <w:r w:rsidRPr="00EE0004" w:rsidR="008612C7">
        <w:t>IZ-47/6 in St Petersburg.</w:t>
      </w:r>
      <w:proofErr w:type="gramEnd"/>
      <w:r w:rsidRPr="00EE0004" w:rsidR="008612C7">
        <w:t xml:space="preserve"> On admission to that facility the resident prison doctor </w:t>
      </w:r>
      <w:r w:rsidRPr="00EE0004" w:rsidR="00121A7B">
        <w:t>conduct</w:t>
      </w:r>
      <w:r w:rsidRPr="00EE0004" w:rsidR="008612C7">
        <w:t xml:space="preserve">ed a general medical check-up of the applicant and noted his disability. The applicant was allowed to take </w:t>
      </w:r>
      <w:proofErr w:type="spellStart"/>
      <w:r w:rsidRPr="00EE0004" w:rsidR="008612C7">
        <w:t>Benzonal</w:t>
      </w:r>
      <w:proofErr w:type="spellEnd"/>
      <w:r w:rsidRPr="00EE0004" w:rsidR="008612C7">
        <w:t xml:space="preserve"> supplied by his wife </w:t>
      </w:r>
      <w:r w:rsidRPr="00EE0004" w:rsidR="00121A7B">
        <w:t xml:space="preserve">in order </w:t>
      </w:r>
      <w:r w:rsidRPr="00EE0004" w:rsidR="008612C7">
        <w:t xml:space="preserve">to </w:t>
      </w:r>
      <w:proofErr w:type="spellStart"/>
      <w:r w:rsidRPr="00EE0004" w:rsidR="008612C7">
        <w:t>mi</w:t>
      </w:r>
      <w:r w:rsidRPr="00EE0004" w:rsidR="00121A7B">
        <w:t>nimis</w:t>
      </w:r>
      <w:r w:rsidRPr="00EE0004" w:rsidR="008612C7">
        <w:t>e</w:t>
      </w:r>
      <w:proofErr w:type="spellEnd"/>
      <w:r w:rsidRPr="00EE0004" w:rsidR="008612C7">
        <w:t xml:space="preserve"> </w:t>
      </w:r>
      <w:r w:rsidRPr="00EE0004" w:rsidR="008612C7">
        <w:rPr>
          <w:lang w:val="en-GB"/>
        </w:rPr>
        <w:t xml:space="preserve">his </w:t>
      </w:r>
      <w:r w:rsidRPr="00EE0004" w:rsidR="008612C7">
        <w:t>suf</w:t>
      </w:r>
      <w:r w:rsidRPr="00EE0004" w:rsidR="00E51673">
        <w:t>fering from epileptic seizures.</w:t>
      </w:r>
    </w:p>
    <w:p w:rsidRPr="00EE0004" w:rsidR="008612C7" w:rsidP="00EE0004" w:rsidRDefault="00EE0004">
      <w:pPr>
        <w:pStyle w:val="ECHRPara"/>
      </w:pPr>
      <w:fldSimple w:instr=" SEQ level0 \*arabic ">
        <w:r w:rsidRPr="00EE0004">
          <w:rPr>
            <w:noProof/>
          </w:rPr>
          <w:t>12</w:t>
        </w:r>
      </w:fldSimple>
      <w:r w:rsidRPr="00EE0004" w:rsidR="008612C7">
        <w:t xml:space="preserve">.  In the remand prison the applicant was detained in a </w:t>
      </w:r>
      <w:r w:rsidRPr="00EE0004" w:rsidR="00121A7B">
        <w:t xml:space="preserve">normal </w:t>
      </w:r>
      <w:r w:rsidRPr="00EE0004" w:rsidR="008612C7">
        <w:t>cell</w:t>
      </w:r>
      <w:r w:rsidRPr="00EE0004" w:rsidR="00121A7B">
        <w:t xml:space="preserve"> block where</w:t>
      </w:r>
      <w:r w:rsidRPr="00EE0004" w:rsidR="008612C7">
        <w:t xml:space="preserve"> he </w:t>
      </w:r>
      <w:r w:rsidRPr="00EE0004" w:rsidR="00121A7B">
        <w:t xml:space="preserve">allegedly </w:t>
      </w:r>
      <w:r w:rsidRPr="00EE0004" w:rsidR="008612C7">
        <w:t xml:space="preserve">faced great difficulties in </w:t>
      </w:r>
      <w:r w:rsidRPr="00EE0004" w:rsidR="00121A7B">
        <w:t xml:space="preserve">his </w:t>
      </w:r>
      <w:r w:rsidRPr="00EE0004" w:rsidR="008612C7">
        <w:t>daily routine</w:t>
      </w:r>
      <w:r w:rsidRPr="00EE0004" w:rsidR="00121A7B">
        <w:t xml:space="preserve"> owing to the lack of special arrangements</w:t>
      </w:r>
      <w:r w:rsidRPr="00EE0004" w:rsidR="008612C7">
        <w:t xml:space="preserve">, in particular when using </w:t>
      </w:r>
      <w:r w:rsidRPr="00EE0004" w:rsidR="00121A7B">
        <w:t>the</w:t>
      </w:r>
      <w:r w:rsidRPr="00EE0004" w:rsidR="008612C7">
        <w:t xml:space="preserve"> squat toilet and </w:t>
      </w:r>
      <w:r w:rsidRPr="00EE0004" w:rsidR="00121A7B">
        <w:t xml:space="preserve">shared </w:t>
      </w:r>
      <w:r w:rsidRPr="00EE0004" w:rsidR="008612C7">
        <w:t>dormitory shower, which lacked handrails and non-slip flooring.</w:t>
      </w:r>
    </w:p>
    <w:p w:rsidRPr="00EE0004" w:rsidR="008612C7" w:rsidP="00EE0004" w:rsidRDefault="008612C7">
      <w:pPr>
        <w:pStyle w:val="ECHRPara"/>
      </w:pPr>
      <w:r w:rsidRPr="00EE0004">
        <w:rPr>
          <w:lang w:val="en"/>
        </w:rPr>
        <w:fldChar w:fldCharType="begin"/>
      </w:r>
      <w:r w:rsidRPr="00EE0004">
        <w:rPr>
          <w:lang w:val="en"/>
        </w:rPr>
        <w:instrText xml:space="preserve"> SEQ level0 \*arabic </w:instrText>
      </w:r>
      <w:r w:rsidRPr="00EE0004">
        <w:rPr>
          <w:lang w:val="en"/>
        </w:rPr>
        <w:fldChar w:fldCharType="separate"/>
      </w:r>
      <w:r w:rsidRPr="00EE0004" w:rsidR="00EE0004">
        <w:rPr>
          <w:noProof/>
          <w:lang w:val="en"/>
        </w:rPr>
        <w:t>13</w:t>
      </w:r>
      <w:r w:rsidRPr="00EE0004">
        <w:rPr>
          <w:lang w:val="en"/>
        </w:rPr>
        <w:fldChar w:fldCharType="end"/>
      </w:r>
      <w:r w:rsidRPr="00EE0004">
        <w:rPr>
          <w:lang w:val="en"/>
        </w:rPr>
        <w:t>.  </w:t>
      </w:r>
      <w:r w:rsidRPr="00EE0004">
        <w:t xml:space="preserve">On 26 September 2007, when the sentence became final, he was transferred to correctional colony no. 7 in the Leningrad Region, where he was also placed in a cell designed for healthy inmates and, </w:t>
      </w:r>
      <w:r w:rsidRPr="00EE0004" w:rsidR="00543EB4">
        <w:t>allegedly</w:t>
      </w:r>
      <w:r w:rsidRPr="00EE0004" w:rsidR="00C869BF">
        <w:t>,</w:t>
      </w:r>
      <w:r w:rsidRPr="00EE0004">
        <w:t xml:space="preserve"> continued</w:t>
      </w:r>
      <w:r w:rsidRPr="00EE0004" w:rsidR="00121A7B">
        <w:t xml:space="preserve"> to</w:t>
      </w:r>
      <w:r w:rsidRPr="00EE0004">
        <w:t xml:space="preserve"> experienc</w:t>
      </w:r>
      <w:r w:rsidRPr="00EE0004" w:rsidR="00121A7B">
        <w:t>e</w:t>
      </w:r>
      <w:r w:rsidRPr="00EE0004">
        <w:t xml:space="preserve"> the inconveniences </w:t>
      </w:r>
      <w:r w:rsidRPr="00EE0004" w:rsidR="00121A7B">
        <w:t>arising from</w:t>
      </w:r>
      <w:r w:rsidRPr="00EE0004">
        <w:t xml:space="preserve"> his disability.</w:t>
      </w:r>
    </w:p>
    <w:p w:rsidRPr="00EE0004" w:rsidR="008612C7" w:rsidP="00EE0004" w:rsidRDefault="00EE0004">
      <w:pPr>
        <w:pStyle w:val="ECHRPara"/>
      </w:pPr>
      <w:fldSimple w:instr=" SEQ level0 \*arabic ">
        <w:r w:rsidRPr="00EE0004">
          <w:rPr>
            <w:noProof/>
          </w:rPr>
          <w:t>14</w:t>
        </w:r>
      </w:fldSimple>
      <w:r w:rsidRPr="00EE0004" w:rsidR="008612C7">
        <w:t xml:space="preserve">.  Having no </w:t>
      </w:r>
      <w:proofErr w:type="spellStart"/>
      <w:r w:rsidRPr="00EE0004" w:rsidR="008612C7">
        <w:t>licen</w:t>
      </w:r>
      <w:r w:rsidRPr="00EE0004" w:rsidR="00121A7B">
        <w:t>c</w:t>
      </w:r>
      <w:r w:rsidRPr="00EE0004" w:rsidR="008612C7">
        <w:t>e</w:t>
      </w:r>
      <w:proofErr w:type="spellEnd"/>
      <w:r w:rsidRPr="00EE0004" w:rsidR="008612C7">
        <w:t xml:space="preserve"> to treat inmates with a</w:t>
      </w:r>
      <w:r w:rsidRPr="00EE0004" w:rsidR="00121A7B">
        <w:t>s</w:t>
      </w:r>
      <w:r w:rsidRPr="00EE0004" w:rsidR="008612C7">
        <w:t xml:space="preserve"> strong </w:t>
      </w:r>
      <w:r w:rsidRPr="00EE0004" w:rsidR="00121A7B">
        <w:t xml:space="preserve">a </w:t>
      </w:r>
      <w:r w:rsidRPr="00EE0004" w:rsidR="008612C7">
        <w:t xml:space="preserve">medication as </w:t>
      </w:r>
      <w:proofErr w:type="spellStart"/>
      <w:r w:rsidRPr="00EE0004" w:rsidR="008612C7">
        <w:t>Benzonal</w:t>
      </w:r>
      <w:proofErr w:type="spellEnd"/>
      <w:r w:rsidRPr="00EE0004" w:rsidR="008612C7">
        <w:t xml:space="preserve">, </w:t>
      </w:r>
      <w:r w:rsidRPr="00EE0004" w:rsidR="00121A7B">
        <w:t xml:space="preserve">the </w:t>
      </w:r>
      <w:r w:rsidRPr="00EE0004" w:rsidR="008612C7">
        <w:t>colony</w:t>
      </w:r>
      <w:r w:rsidRPr="00EE0004">
        <w:t>’</w:t>
      </w:r>
      <w:r w:rsidRPr="00EE0004" w:rsidR="00121A7B">
        <w:t>s</w:t>
      </w:r>
      <w:r w:rsidRPr="00EE0004" w:rsidR="008612C7">
        <w:t xml:space="preserve"> medical authorities offered the applicant two substitute drugs with similar anticonvulsive effect, but the latter refused, alleging their low efficiency and possible side effects.</w:t>
      </w:r>
    </w:p>
    <w:bookmarkStart w:name="a14" w:id="3"/>
    <w:p w:rsidRPr="00EE0004" w:rsidR="008612C7" w:rsidP="00EE0004" w:rsidRDefault="008612C7">
      <w:pPr>
        <w:pStyle w:val="ECHRPara"/>
      </w:pPr>
      <w:r w:rsidRPr="00EE0004">
        <w:fldChar w:fldCharType="begin"/>
      </w:r>
      <w:r w:rsidRPr="00EE0004">
        <w:instrText xml:space="preserve"> SEQ level0 \*arabic </w:instrText>
      </w:r>
      <w:r w:rsidRPr="00EE0004">
        <w:fldChar w:fldCharType="separate"/>
      </w:r>
      <w:r w:rsidRPr="00EE0004" w:rsidR="00EE0004">
        <w:rPr>
          <w:noProof/>
        </w:rPr>
        <w:t>15</w:t>
      </w:r>
      <w:r w:rsidRPr="00EE0004">
        <w:rPr>
          <w:noProof/>
        </w:rPr>
        <w:fldChar w:fldCharType="end"/>
      </w:r>
      <w:bookmarkEnd w:id="3"/>
      <w:r w:rsidRPr="00EE0004">
        <w:t>.  On 3 March 2008</w:t>
      </w:r>
      <w:r w:rsidRPr="00EE0004" w:rsidR="00121A7B">
        <w:t>,</w:t>
      </w:r>
      <w:r w:rsidRPr="00EE0004">
        <w:t xml:space="preserve"> at </w:t>
      </w:r>
      <w:r w:rsidRPr="00EE0004" w:rsidR="00121A7B">
        <w:t xml:space="preserve">his own </w:t>
      </w:r>
      <w:r w:rsidRPr="00EE0004">
        <w:t>request</w:t>
      </w:r>
      <w:r w:rsidRPr="00EE0004" w:rsidR="00121A7B">
        <w:t>,</w:t>
      </w:r>
      <w:r w:rsidRPr="00EE0004">
        <w:t xml:space="preserve"> </w:t>
      </w:r>
      <w:r w:rsidRPr="00EE0004" w:rsidR="00121A7B">
        <w:t>the applicant</w:t>
      </w:r>
      <w:r w:rsidRPr="00EE0004">
        <w:t xml:space="preserve"> was sent to </w:t>
      </w:r>
      <w:proofErr w:type="spellStart"/>
      <w:r w:rsidRPr="00EE0004">
        <w:t>Gaaza</w:t>
      </w:r>
      <w:proofErr w:type="spellEnd"/>
      <w:r w:rsidRPr="00EE0004">
        <w:t xml:space="preserve"> prison hospital in St Petersburg (“the prison hospital”) for an in</w:t>
      </w:r>
      <w:r w:rsidRPr="00EE0004" w:rsidR="00C869BF">
        <w:noBreakHyphen/>
      </w:r>
      <w:r w:rsidRPr="00EE0004">
        <w:t xml:space="preserve">depth medical examination and treatment. In the hospital </w:t>
      </w:r>
      <w:r w:rsidRPr="00EE0004" w:rsidR="00543EB4">
        <w:t>he</w:t>
      </w:r>
      <w:r w:rsidRPr="00EE0004">
        <w:t xml:space="preserve"> was subjected to various medical tests which showed that his health was stable. On 1 April 2008 the applicant was discharged from the hospital. In the discharge summary the </w:t>
      </w:r>
      <w:r w:rsidRPr="00EE0004" w:rsidR="00121A7B">
        <w:t>supervis</w:t>
      </w:r>
      <w:r w:rsidRPr="00EE0004">
        <w:t xml:space="preserve">ing doctor mentioned that the patient was able to look after himself and </w:t>
      </w:r>
      <w:r w:rsidRPr="00EE0004" w:rsidR="00121A7B">
        <w:t xml:space="preserve">to </w:t>
      </w:r>
      <w:r w:rsidRPr="00EE0004">
        <w:t>walk without assistance.</w:t>
      </w:r>
    </w:p>
    <w:p w:rsidRPr="00EE0004" w:rsidR="008612C7" w:rsidP="00EE0004" w:rsidRDefault="00EE0004">
      <w:pPr>
        <w:pStyle w:val="ECHRPara"/>
      </w:pPr>
      <w:fldSimple w:instr=" SEQ level0 \*arabic ">
        <w:r w:rsidRPr="00EE0004">
          <w:rPr>
            <w:noProof/>
          </w:rPr>
          <w:t>16</w:t>
        </w:r>
      </w:fldSimple>
      <w:r w:rsidRPr="00EE0004" w:rsidR="008612C7">
        <w:t xml:space="preserve">.  On 10 October 2008 </w:t>
      </w:r>
      <w:r w:rsidRPr="00EE0004" w:rsidR="00121A7B">
        <w:t>the</w:t>
      </w:r>
      <w:r w:rsidRPr="00EE0004" w:rsidR="008612C7">
        <w:t xml:space="preserve"> deputy head of the correctional colony ordered the applicant</w:t>
      </w:r>
      <w:r w:rsidRPr="00EE0004">
        <w:t>’</w:t>
      </w:r>
      <w:r w:rsidRPr="00EE0004" w:rsidR="008612C7">
        <w:t>s transfer to a special unit for disabled prisoners. According to the Government</w:t>
      </w:r>
      <w:r w:rsidRPr="00EE0004">
        <w:t>’</w:t>
      </w:r>
      <w:r w:rsidRPr="00EE0004" w:rsidR="008612C7">
        <w:t xml:space="preserve">s description, this unit had “enhanced housing conditions” and “less strict security regime”. It accommodated </w:t>
      </w:r>
      <w:r w:rsidRPr="00EE0004" w:rsidR="00C869BF">
        <w:t xml:space="preserve">only </w:t>
      </w:r>
      <w:r w:rsidRPr="00EE0004" w:rsidR="008612C7">
        <w:t>disabled inmates</w:t>
      </w:r>
      <w:r w:rsidRPr="00EE0004" w:rsidR="00121A7B">
        <w:t>,</w:t>
      </w:r>
      <w:r w:rsidRPr="00EE0004" w:rsidR="008612C7">
        <w:t xml:space="preserve"> who were detained in a prison wing located close to the medical unit.</w:t>
      </w:r>
    </w:p>
    <w:p w:rsidRPr="00EE0004" w:rsidR="008612C7" w:rsidP="00EE0004" w:rsidRDefault="00EE0004">
      <w:pPr>
        <w:pStyle w:val="ECHRPara"/>
      </w:pPr>
      <w:fldSimple w:instr=" SEQ level0 \*arabic ">
        <w:r w:rsidRPr="00EE0004">
          <w:rPr>
            <w:noProof/>
          </w:rPr>
          <w:t>17</w:t>
        </w:r>
      </w:fldSimple>
      <w:r w:rsidRPr="00EE0004" w:rsidR="008612C7">
        <w:t xml:space="preserve">.  The applicant submitted that even after his transfer to the special unit he had not been provided with nursing assistance. Being unable to dress </w:t>
      </w:r>
      <w:r w:rsidRPr="00EE0004" w:rsidR="00863B56">
        <w:t>himself</w:t>
      </w:r>
      <w:r w:rsidRPr="00EE0004" w:rsidR="008612C7">
        <w:t xml:space="preserve"> or perform hygiene procedures without assistance, he had asked his inmates for help in exchang</w:t>
      </w:r>
      <w:r w:rsidRPr="00EE0004" w:rsidR="00121A7B">
        <w:t>ing</w:t>
      </w:r>
      <w:r w:rsidRPr="00EE0004" w:rsidR="008612C7">
        <w:t xml:space="preserve"> valuable prison products such as tea, coffee, sweets </w:t>
      </w:r>
      <w:r w:rsidRPr="00EE0004" w:rsidR="00121A7B">
        <w:t xml:space="preserve">and </w:t>
      </w:r>
      <w:r w:rsidRPr="00EE0004" w:rsidR="008612C7">
        <w:t>cigarettes.</w:t>
      </w:r>
    </w:p>
    <w:bookmarkStart w:name="q17" w:id="4"/>
    <w:p w:rsidRPr="00EE0004" w:rsidR="008612C7" w:rsidP="00EE0004" w:rsidRDefault="008612C7">
      <w:pPr>
        <w:pStyle w:val="ECHRPara"/>
        <w:rPr>
          <w:lang w:val="en-GB"/>
        </w:rPr>
      </w:pPr>
      <w:r w:rsidRPr="00EE0004">
        <w:fldChar w:fldCharType="begin"/>
      </w:r>
      <w:r w:rsidRPr="00EE0004">
        <w:instrText xml:space="preserve"> SEQ level0 \*arabic </w:instrText>
      </w:r>
      <w:r w:rsidRPr="00EE0004">
        <w:fldChar w:fldCharType="separate"/>
      </w:r>
      <w:r w:rsidRPr="00EE0004" w:rsidR="00EE0004">
        <w:rPr>
          <w:noProof/>
        </w:rPr>
        <w:t>18</w:t>
      </w:r>
      <w:r w:rsidRPr="00EE0004">
        <w:rPr>
          <w:noProof/>
        </w:rPr>
        <w:fldChar w:fldCharType="end"/>
      </w:r>
      <w:bookmarkEnd w:id="4"/>
      <w:r w:rsidRPr="00EE0004">
        <w:t xml:space="preserve">.  On 1 July 2009 the </w:t>
      </w:r>
      <w:r w:rsidRPr="00EE0004">
        <w:rPr>
          <w:lang w:val="en-GB"/>
        </w:rPr>
        <w:t>special medical board, at the request of the penal authorities, issued an advisory report confirming the gravity</w:t>
      </w:r>
      <w:r w:rsidRPr="00EE0004" w:rsidR="002931CB">
        <w:rPr>
          <w:lang w:val="en-GB"/>
        </w:rPr>
        <w:t xml:space="preserve"> of the applicant</w:t>
      </w:r>
      <w:r w:rsidRPr="00EE0004" w:rsidR="00EE0004">
        <w:rPr>
          <w:lang w:val="en-GB"/>
        </w:rPr>
        <w:t>’</w:t>
      </w:r>
      <w:r w:rsidRPr="00EE0004" w:rsidR="002931CB">
        <w:rPr>
          <w:lang w:val="en-GB"/>
        </w:rPr>
        <w:t>s disability.</w:t>
      </w:r>
    </w:p>
    <w:bookmarkStart w:name="q18" w:id="5"/>
    <w:p w:rsidRPr="00EE0004" w:rsidR="008612C7" w:rsidP="00EE0004" w:rsidRDefault="008612C7">
      <w:pPr>
        <w:pStyle w:val="ECHRPara"/>
        <w:rPr>
          <w:lang w:val="en-GB"/>
        </w:rPr>
      </w:pPr>
      <w:r w:rsidRPr="00EE0004">
        <w:rPr>
          <w:lang w:val="en-GB"/>
        </w:rPr>
        <w:fldChar w:fldCharType="begin"/>
      </w:r>
      <w:r w:rsidRPr="00EE0004">
        <w:rPr>
          <w:lang w:val="en-GB"/>
        </w:rPr>
        <w:instrText xml:space="preserve"> SEQ level0 \*arabic </w:instrText>
      </w:r>
      <w:r w:rsidRPr="00EE0004">
        <w:rPr>
          <w:lang w:val="en-GB"/>
        </w:rPr>
        <w:fldChar w:fldCharType="separate"/>
      </w:r>
      <w:r w:rsidRPr="00EE0004" w:rsidR="00EE0004">
        <w:rPr>
          <w:noProof/>
          <w:lang w:val="en-GB"/>
        </w:rPr>
        <w:t>19</w:t>
      </w:r>
      <w:r w:rsidRPr="00EE0004">
        <w:rPr>
          <w:lang w:val="en-GB"/>
        </w:rPr>
        <w:fldChar w:fldCharType="end"/>
      </w:r>
      <w:bookmarkEnd w:id="5"/>
      <w:r w:rsidRPr="00EE0004">
        <w:rPr>
          <w:lang w:val="en-GB"/>
        </w:rPr>
        <w:t xml:space="preserve">.  On 4 August 2009 the applicant was examined by a medical board composed of the prison hospital </w:t>
      </w:r>
      <w:r w:rsidRPr="00EE0004" w:rsidR="00121A7B">
        <w:rPr>
          <w:lang w:val="en-GB"/>
        </w:rPr>
        <w:t xml:space="preserve">management </w:t>
      </w:r>
      <w:r w:rsidRPr="00EE0004">
        <w:rPr>
          <w:lang w:val="en-GB"/>
        </w:rPr>
        <w:t>and a neurosurgeon. The doctors noted that the applicant</w:t>
      </w:r>
      <w:r w:rsidRPr="00EE0004" w:rsidR="00EE0004">
        <w:rPr>
          <w:lang w:val="en-GB"/>
        </w:rPr>
        <w:t>’</w:t>
      </w:r>
      <w:r w:rsidRPr="00EE0004">
        <w:rPr>
          <w:lang w:val="en-GB"/>
        </w:rPr>
        <w:t>s health</w:t>
      </w:r>
      <w:r w:rsidRPr="00EE0004" w:rsidR="00121A7B">
        <w:rPr>
          <w:lang w:val="en-GB"/>
        </w:rPr>
        <w:t xml:space="preserve"> had</w:t>
      </w:r>
      <w:r w:rsidRPr="00EE0004">
        <w:rPr>
          <w:lang w:val="en-GB"/>
        </w:rPr>
        <w:t xml:space="preserve"> remained stable, that he was able to look after himself</w:t>
      </w:r>
      <w:r w:rsidRPr="00EE0004" w:rsidR="00121A7B">
        <w:rPr>
          <w:lang w:val="en-GB"/>
        </w:rPr>
        <w:t>,</w:t>
      </w:r>
      <w:r w:rsidRPr="00EE0004">
        <w:rPr>
          <w:lang w:val="en-GB"/>
        </w:rPr>
        <w:t xml:space="preserve"> and that nursing assistance was not required for him. However, due to the gravity of the applicant</w:t>
      </w:r>
      <w:r w:rsidRPr="00EE0004" w:rsidR="00EE0004">
        <w:rPr>
          <w:lang w:val="en-GB"/>
        </w:rPr>
        <w:t>’</w:t>
      </w:r>
      <w:r w:rsidRPr="00EE0004">
        <w:rPr>
          <w:lang w:val="en-GB"/>
        </w:rPr>
        <w:t xml:space="preserve">s brain condition it was </w:t>
      </w:r>
      <w:r w:rsidRPr="00EE0004" w:rsidR="00121A7B">
        <w:rPr>
          <w:lang w:val="en-GB"/>
        </w:rPr>
        <w:t>decid</w:t>
      </w:r>
      <w:r w:rsidRPr="00EE0004">
        <w:rPr>
          <w:lang w:val="en-GB"/>
        </w:rPr>
        <w:t xml:space="preserve">ed to check whether his illness fell </w:t>
      </w:r>
      <w:r w:rsidRPr="00EE0004">
        <w:t>within the established list of illnesses warranting early release.</w:t>
      </w:r>
    </w:p>
    <w:p w:rsidRPr="00EE0004" w:rsidR="008612C7" w:rsidP="00EE0004" w:rsidRDefault="00EE0004">
      <w:pPr>
        <w:pStyle w:val="ECHRPara"/>
      </w:pPr>
      <w:fldSimple w:instr=" SEQ level0 \*arabic ">
        <w:r w:rsidRPr="00EE0004">
          <w:rPr>
            <w:noProof/>
          </w:rPr>
          <w:t>20</w:t>
        </w:r>
      </w:fldSimple>
      <w:r w:rsidRPr="00EE0004" w:rsidR="008612C7">
        <w:t>.  Three days later a special medical board confirmed that the applicant</w:t>
      </w:r>
      <w:r w:rsidRPr="00EE0004">
        <w:t>’</w:t>
      </w:r>
      <w:r w:rsidRPr="00EE0004" w:rsidR="008612C7">
        <w:t>s condition justified his ear</w:t>
      </w:r>
      <w:r w:rsidRPr="00EE0004" w:rsidR="002931CB">
        <w:t>ly release.</w:t>
      </w:r>
    </w:p>
    <w:bookmarkStart w:name="q20" w:id="6"/>
    <w:p w:rsidRPr="00EE0004" w:rsidR="002A4F2B" w:rsidP="00EE0004" w:rsidRDefault="008612C7">
      <w:pPr>
        <w:pStyle w:val="ECHRPara"/>
      </w:pPr>
      <w:r w:rsidRPr="00EE0004">
        <w:fldChar w:fldCharType="begin"/>
      </w:r>
      <w:r w:rsidRPr="00EE0004">
        <w:instrText xml:space="preserve"> SEQ level0 \*arabic </w:instrText>
      </w:r>
      <w:r w:rsidRPr="00EE0004">
        <w:fldChar w:fldCharType="separate"/>
      </w:r>
      <w:r w:rsidRPr="00EE0004" w:rsidR="00EE0004">
        <w:rPr>
          <w:noProof/>
        </w:rPr>
        <w:t>21</w:t>
      </w:r>
      <w:r w:rsidRPr="00EE0004">
        <w:rPr>
          <w:noProof/>
        </w:rPr>
        <w:fldChar w:fldCharType="end"/>
      </w:r>
      <w:bookmarkEnd w:id="6"/>
      <w:r w:rsidRPr="00EE0004">
        <w:t>.  It appears that the applicant remained in the prison hospital until 8 September 2009.</w:t>
      </w:r>
    </w:p>
    <w:p w:rsidRPr="00EE0004" w:rsidR="002A4F2B" w:rsidP="00EE0004" w:rsidRDefault="00EE0004">
      <w:pPr>
        <w:pStyle w:val="ECHRPara"/>
      </w:pPr>
      <w:fldSimple w:instr=" SEQ level0 \*arabic ">
        <w:r w:rsidRPr="00EE0004">
          <w:rPr>
            <w:noProof/>
          </w:rPr>
          <w:t>22</w:t>
        </w:r>
      </w:fldSimple>
      <w:r w:rsidRPr="00EE0004" w:rsidR="008612C7">
        <w:t>.  In the meantime the detention authorities applied for his early release on medical grounds.</w:t>
      </w:r>
    </w:p>
    <w:p w:rsidRPr="00EE0004" w:rsidR="008612C7" w:rsidP="00EE0004" w:rsidRDefault="00EE0004">
      <w:pPr>
        <w:pStyle w:val="ECHRPara"/>
      </w:pPr>
      <w:fldSimple w:instr=" SEQ level0 \*arabic ">
        <w:r w:rsidRPr="00EE0004">
          <w:rPr>
            <w:noProof/>
          </w:rPr>
          <w:t>23</w:t>
        </w:r>
      </w:fldSimple>
      <w:r w:rsidRPr="00EE0004" w:rsidR="008612C7">
        <w:t xml:space="preserve">.  On 28 August 2009 the </w:t>
      </w:r>
      <w:proofErr w:type="spellStart"/>
      <w:r w:rsidRPr="00EE0004" w:rsidR="008612C7">
        <w:t>Smolninskiy</w:t>
      </w:r>
      <w:proofErr w:type="spellEnd"/>
      <w:r w:rsidRPr="00EE0004" w:rsidR="008612C7">
        <w:t xml:space="preserve"> District Court of St Petersburg dismissed their application</w:t>
      </w:r>
      <w:r w:rsidRPr="00EE0004" w:rsidR="00B87811">
        <w:t>,</w:t>
      </w:r>
      <w:r w:rsidRPr="00EE0004" w:rsidR="008612C7">
        <w:t xml:space="preserve"> citing the gravity of the applicant</w:t>
      </w:r>
      <w:r w:rsidRPr="00EE0004">
        <w:t>’</w:t>
      </w:r>
      <w:r w:rsidRPr="00EE0004" w:rsidR="008612C7">
        <w:t>s offence, the fact that he had developed paralysis and epilepsy prior to his arrest and that in detention his condition</w:t>
      </w:r>
      <w:r w:rsidRPr="00EE0004" w:rsidR="00B87811">
        <w:t xml:space="preserve"> had</w:t>
      </w:r>
      <w:r w:rsidRPr="00EE0004" w:rsidR="008612C7">
        <w:t xml:space="preserve"> remained stable. The decision was upheld on appeal by the St Petersburg City Court on 17 November 2009.</w:t>
      </w:r>
    </w:p>
    <w:bookmarkStart w:name="q23" w:id="7"/>
    <w:p w:rsidRPr="00EE0004" w:rsidR="008612C7" w:rsidP="00EE0004" w:rsidRDefault="008612C7">
      <w:pPr>
        <w:pStyle w:val="ECHRPara"/>
      </w:pPr>
      <w:r w:rsidRPr="00EE0004">
        <w:fldChar w:fldCharType="begin"/>
      </w:r>
      <w:r w:rsidRPr="00EE0004">
        <w:instrText xml:space="preserve"> SEQ level0 \*arabic </w:instrText>
      </w:r>
      <w:r w:rsidRPr="00EE0004">
        <w:fldChar w:fldCharType="separate"/>
      </w:r>
      <w:r w:rsidRPr="00EE0004" w:rsidR="00EE0004">
        <w:rPr>
          <w:noProof/>
        </w:rPr>
        <w:t>24</w:t>
      </w:r>
      <w:r w:rsidRPr="00EE0004">
        <w:rPr>
          <w:noProof/>
        </w:rPr>
        <w:fldChar w:fldCharType="end"/>
      </w:r>
      <w:bookmarkEnd w:id="7"/>
      <w:r w:rsidRPr="00EE0004">
        <w:t xml:space="preserve">.  Between 1 February and 18 March 2010, </w:t>
      </w:r>
      <w:r w:rsidRPr="00EE0004" w:rsidR="00B87811">
        <w:t xml:space="preserve">at </w:t>
      </w:r>
      <w:r w:rsidRPr="00EE0004">
        <w:t>his</w:t>
      </w:r>
      <w:r w:rsidRPr="00EE0004" w:rsidR="00B87811">
        <w:t xml:space="preserve"> own</w:t>
      </w:r>
      <w:r w:rsidRPr="00EE0004">
        <w:t xml:space="preserve"> request, the applicant was admitted to the prison hospital for treatment</w:t>
      </w:r>
      <w:r w:rsidRPr="00EE0004" w:rsidR="00543EB4">
        <w:t>,</w:t>
      </w:r>
      <w:r w:rsidRPr="00EE0004" w:rsidR="002931CB">
        <w:t xml:space="preserve"> and on 16 March </w:t>
      </w:r>
      <w:r w:rsidRPr="00EE0004">
        <w:t>2010 he was re-examined by a medical board, which confirmed his right to ea</w:t>
      </w:r>
      <w:r w:rsidRPr="00EE0004" w:rsidR="002931CB">
        <w:t>rly release on medical grounds.</w:t>
      </w:r>
    </w:p>
    <w:p w:rsidRPr="00EE0004" w:rsidR="008612C7" w:rsidP="00EE0004" w:rsidRDefault="00EE0004">
      <w:pPr>
        <w:pStyle w:val="ECHRPara"/>
      </w:pPr>
      <w:fldSimple w:instr=" SEQ level0 \*arabic ">
        <w:r w:rsidRPr="00EE0004">
          <w:rPr>
            <w:noProof/>
          </w:rPr>
          <w:t>25</w:t>
        </w:r>
      </w:fldSimple>
      <w:r w:rsidRPr="00EE0004" w:rsidR="008612C7">
        <w:t xml:space="preserve">.  On 10 April 2010 the applicant was transferred to correctional colony no. 4 in the Leningrad Region. He was accommodated in a special unit for disabled prisoners. It appears that the conditions of his detention were similar to those in correctional colony no. 7. The applicant continued </w:t>
      </w:r>
      <w:r w:rsidRPr="00EE0004" w:rsidR="00B87811">
        <w:t xml:space="preserve">to </w:t>
      </w:r>
      <w:r w:rsidRPr="00EE0004" w:rsidR="008612C7">
        <w:t>receiv</w:t>
      </w:r>
      <w:r w:rsidRPr="00EE0004" w:rsidR="00B87811">
        <w:t>e</w:t>
      </w:r>
      <w:r w:rsidRPr="00EE0004" w:rsidR="008612C7">
        <w:t xml:space="preserve"> </w:t>
      </w:r>
      <w:proofErr w:type="spellStart"/>
      <w:r w:rsidRPr="00EE0004" w:rsidR="008612C7">
        <w:t>Benzonal</w:t>
      </w:r>
      <w:proofErr w:type="spellEnd"/>
      <w:r w:rsidRPr="00EE0004" w:rsidR="008612C7">
        <w:t xml:space="preserve"> from his wife and refused </w:t>
      </w:r>
      <w:r w:rsidRPr="00EE0004" w:rsidR="00B87811">
        <w:t xml:space="preserve">to </w:t>
      </w:r>
      <w:r w:rsidRPr="00EE0004" w:rsidR="008612C7">
        <w:t>tak</w:t>
      </w:r>
      <w:r w:rsidRPr="00EE0004" w:rsidR="00B87811">
        <w:t>e</w:t>
      </w:r>
      <w:r w:rsidRPr="00EE0004" w:rsidR="002931CB">
        <w:t xml:space="preserve"> any substitutes.</w:t>
      </w:r>
    </w:p>
    <w:bookmarkStart w:name="q25" w:id="8"/>
    <w:p w:rsidRPr="00EE0004" w:rsidR="008612C7" w:rsidP="00EE0004" w:rsidRDefault="008612C7">
      <w:pPr>
        <w:pStyle w:val="ECHRPara"/>
      </w:pPr>
      <w:r w:rsidRPr="00EE0004">
        <w:fldChar w:fldCharType="begin"/>
      </w:r>
      <w:r w:rsidRPr="00EE0004">
        <w:instrText xml:space="preserve"> SEQ level0 \*arabic </w:instrText>
      </w:r>
      <w:r w:rsidRPr="00EE0004">
        <w:fldChar w:fldCharType="separate"/>
      </w:r>
      <w:r w:rsidRPr="00EE0004" w:rsidR="00EE0004">
        <w:rPr>
          <w:noProof/>
        </w:rPr>
        <w:t>26</w:t>
      </w:r>
      <w:r w:rsidRPr="00EE0004">
        <w:rPr>
          <w:noProof/>
        </w:rPr>
        <w:fldChar w:fldCharType="end"/>
      </w:r>
      <w:bookmarkEnd w:id="8"/>
      <w:r w:rsidRPr="00EE0004">
        <w:t xml:space="preserve">.  On 10 June 2010 the </w:t>
      </w:r>
      <w:proofErr w:type="spellStart"/>
      <w:r w:rsidRPr="00EE0004">
        <w:t>Tosnenskiy</w:t>
      </w:r>
      <w:proofErr w:type="spellEnd"/>
      <w:r w:rsidRPr="00EE0004">
        <w:t xml:space="preserve"> Town Court dismissed the application for early release on medical grounds</w:t>
      </w:r>
      <w:r w:rsidRPr="00EE0004" w:rsidR="00B87811">
        <w:t>,</w:t>
      </w:r>
      <w:r w:rsidRPr="00EE0004">
        <w:t xml:space="preserve"> referring to the gravity of the applicant</w:t>
      </w:r>
      <w:r w:rsidRPr="00EE0004" w:rsidR="00EE0004">
        <w:t>’</w:t>
      </w:r>
      <w:r w:rsidRPr="00EE0004">
        <w:t>s offence, the fact that his health status had already been taken into account by the court which sentenced him, and, lastly, to the fact that the applicant</w:t>
      </w:r>
      <w:r w:rsidRPr="00EE0004" w:rsidR="00EE0004">
        <w:t>’</w:t>
      </w:r>
      <w:r w:rsidRPr="00EE0004">
        <w:t>s medical condition h</w:t>
      </w:r>
      <w:r w:rsidRPr="00EE0004" w:rsidR="002931CB">
        <w:t>ad not worsened in detention.</w:t>
      </w:r>
    </w:p>
    <w:p w:rsidRPr="00EE0004" w:rsidR="00014566" w:rsidP="00EE0004" w:rsidRDefault="00014566">
      <w:pPr>
        <w:pStyle w:val="ECHRHeading1"/>
        <w:rPr>
          <w:lang w:val="en-GB"/>
        </w:rPr>
      </w:pPr>
      <w:r w:rsidRPr="00EE0004">
        <w:rPr>
          <w:lang w:val="en-GB"/>
        </w:rPr>
        <w:t>II.</w:t>
      </w:r>
      <w:proofErr w:type="gramStart"/>
      <w:r w:rsidRPr="00EE0004">
        <w:rPr>
          <w:lang w:val="en-GB"/>
        </w:rPr>
        <w:t>  RELEVANT</w:t>
      </w:r>
      <w:proofErr w:type="gramEnd"/>
      <w:r w:rsidRPr="00EE0004">
        <w:rPr>
          <w:lang w:val="en-GB"/>
        </w:rPr>
        <w:t xml:space="preserve"> </w:t>
      </w:r>
      <w:r w:rsidRPr="00EE0004" w:rsidR="008612C7">
        <w:rPr>
          <w:lang w:val="en-GB"/>
        </w:rPr>
        <w:t>DOMESTIC AND INTERNATIONAL LAW</w:t>
      </w:r>
    </w:p>
    <w:p w:rsidRPr="00EE0004" w:rsidR="008612C7" w:rsidP="00EE0004" w:rsidRDefault="00DE4D9C">
      <w:pPr>
        <w:pStyle w:val="ECHRPara"/>
      </w:pPr>
      <w:r>
        <w:fldChar w:fldCharType="begin"/>
      </w:r>
      <w:r>
        <w:instrText xml:space="preserve"> SEQ level0 \*arabic </w:instrText>
      </w:r>
      <w:r>
        <w:fldChar w:fldCharType="separate"/>
      </w:r>
      <w:r w:rsidRPr="00EE0004" w:rsidR="00EE0004">
        <w:rPr>
          <w:noProof/>
        </w:rPr>
        <w:t>27</w:t>
      </w:r>
      <w:r>
        <w:rPr>
          <w:noProof/>
        </w:rPr>
        <w:fldChar w:fldCharType="end"/>
      </w:r>
      <w:r w:rsidRPr="00EE0004" w:rsidR="00F408C1">
        <w:t>.  </w:t>
      </w:r>
      <w:r w:rsidRPr="00EE0004" w:rsidR="008612C7">
        <w:t>The relevant provisions of domestic and international law</w:t>
      </w:r>
      <w:r w:rsidRPr="00EE0004" w:rsidR="009546DA">
        <w:t xml:space="preserve"> </w:t>
      </w:r>
      <w:r w:rsidRPr="00EE0004" w:rsidR="008612C7">
        <w:t>on the detention o</w:t>
      </w:r>
      <w:r w:rsidRPr="00EE0004" w:rsidR="00A510E9">
        <w:t xml:space="preserve">f disabled inmates are cited in </w:t>
      </w:r>
      <w:proofErr w:type="spellStart"/>
      <w:r w:rsidRPr="00EE0004" w:rsidR="00A510E9">
        <w:rPr>
          <w:i/>
        </w:rPr>
        <w:t>Topekhin</w:t>
      </w:r>
      <w:proofErr w:type="spellEnd"/>
      <w:r w:rsidRPr="00EE0004" w:rsidR="00A510E9">
        <w:rPr>
          <w:i/>
        </w:rPr>
        <w:t xml:space="preserve"> v. Russia</w:t>
      </w:r>
      <w:r w:rsidRPr="00EE0004" w:rsidR="00A510E9">
        <w:t xml:space="preserve"> (no. 78774/13</w:t>
      </w:r>
      <w:r w:rsidRPr="00EE0004" w:rsidR="00EE0004">
        <w:rPr>
          <w:snapToGrid w:val="0"/>
        </w:rPr>
        <w:t>, §§ </w:t>
      </w:r>
      <w:r w:rsidRPr="00EE0004" w:rsidR="00A510E9">
        <w:rPr>
          <w:snapToGrid w:val="0"/>
        </w:rPr>
        <w:t>52-45 and §§ 54-58, 10 May 2016</w:t>
      </w:r>
      <w:r w:rsidRPr="00EE0004" w:rsidR="008612C7">
        <w:rPr>
          <w:lang w:val="en-GB"/>
        </w:rPr>
        <w:t>).</w:t>
      </w:r>
    </w:p>
    <w:bookmarkStart w:name="q28" w:id="9"/>
    <w:p w:rsidRPr="00EE0004" w:rsidR="00014566" w:rsidP="00EE0004" w:rsidRDefault="008612C7">
      <w:pPr>
        <w:pStyle w:val="ECHRPara"/>
      </w:pPr>
      <w:r w:rsidRPr="00EE0004">
        <w:fldChar w:fldCharType="begin"/>
      </w:r>
      <w:r w:rsidRPr="00EE0004">
        <w:instrText xml:space="preserve"> SEQ level0 \*arabic </w:instrText>
      </w:r>
      <w:r w:rsidRPr="00EE0004">
        <w:fldChar w:fldCharType="separate"/>
      </w:r>
      <w:r w:rsidRPr="00EE0004" w:rsidR="00EE0004">
        <w:rPr>
          <w:noProof/>
        </w:rPr>
        <w:t>28</w:t>
      </w:r>
      <w:r w:rsidRPr="00EE0004">
        <w:fldChar w:fldCharType="end"/>
      </w:r>
      <w:bookmarkEnd w:id="9"/>
      <w:r w:rsidRPr="00EE0004">
        <w:t xml:space="preserve">.  The rules on certification of a disability are set out in the Federal Law “On social protection of disabled persons in the Russian Federation”, no. 181-FZ of 24 November 1995. According to Articles 7 and 8 of the Law, a social security medical assessment board carries out an assessment </w:t>
      </w:r>
      <w:r w:rsidRPr="00EE0004" w:rsidR="00B87811">
        <w:t xml:space="preserve">for the purpose </w:t>
      </w:r>
      <w:r w:rsidRPr="00EE0004">
        <w:t>o</w:t>
      </w:r>
      <w:r w:rsidRPr="00EE0004" w:rsidR="00B87811">
        <w:t>f</w:t>
      </w:r>
      <w:r w:rsidRPr="00EE0004">
        <w:t xml:space="preserve"> determin</w:t>
      </w:r>
      <w:r w:rsidRPr="00EE0004" w:rsidR="00B87811">
        <w:t>ing the</w:t>
      </w:r>
      <w:r w:rsidRPr="00EE0004">
        <w:t xml:space="preserve"> needs of </w:t>
      </w:r>
      <w:r w:rsidRPr="00EE0004" w:rsidR="00B87811">
        <w:t>the</w:t>
      </w:r>
      <w:r w:rsidRPr="00EE0004">
        <w:t xml:space="preserve"> person under examination and </w:t>
      </w:r>
      <w:r w:rsidRPr="00EE0004" w:rsidR="00B87811">
        <w:t>the</w:t>
      </w:r>
      <w:r w:rsidRPr="00EE0004">
        <w:t xml:space="preserve"> degree of his or her disability. The examination has to be based on a complex assessment of </w:t>
      </w:r>
      <w:r w:rsidRPr="00EE0004" w:rsidR="00B87811">
        <w:t xml:space="preserve">the </w:t>
      </w:r>
      <w:r w:rsidRPr="00EE0004">
        <w:t xml:space="preserve">clinical, functional, social, professional, psychological and other characteristics of </w:t>
      </w:r>
      <w:r w:rsidRPr="00EE0004" w:rsidR="00B87811">
        <w:t>the</w:t>
      </w:r>
      <w:r w:rsidRPr="00EE0004">
        <w:t xml:space="preserve"> person</w:t>
      </w:r>
      <w:r w:rsidRPr="00EE0004" w:rsidR="00B87811">
        <w:t xml:space="preserve"> concerned</w:t>
      </w:r>
      <w:r w:rsidRPr="00EE0004">
        <w:t xml:space="preserve">. </w:t>
      </w:r>
      <w:r w:rsidRPr="00EE0004" w:rsidR="00B87811">
        <w:t>T</w:t>
      </w:r>
      <w:r w:rsidRPr="00EE0004">
        <w:t>he social security medical assessment board</w:t>
      </w:r>
      <w:r w:rsidRPr="00EE0004" w:rsidR="00EE0004">
        <w:t>’</w:t>
      </w:r>
      <w:r w:rsidRPr="00EE0004" w:rsidR="00B87811">
        <w:t>s decision</w:t>
      </w:r>
      <w:r w:rsidRPr="00EE0004">
        <w:t xml:space="preserve"> is binding for State authorities, local authorities, </w:t>
      </w:r>
      <w:r w:rsidRPr="00EE0004" w:rsidR="00B87811">
        <w:t xml:space="preserve">and </w:t>
      </w:r>
      <w:r w:rsidRPr="00EE0004">
        <w:t>private and public entities.</w:t>
      </w:r>
    </w:p>
    <w:p w:rsidRPr="00EE0004" w:rsidR="00014566" w:rsidP="00EE0004" w:rsidRDefault="00014566">
      <w:pPr>
        <w:pStyle w:val="ECHRTitle1"/>
        <w:rPr>
          <w:lang w:val="en-GB"/>
        </w:rPr>
      </w:pPr>
      <w:r w:rsidRPr="00EE0004">
        <w:rPr>
          <w:lang w:val="en-GB"/>
        </w:rPr>
        <w:t>THE LAW</w:t>
      </w:r>
    </w:p>
    <w:p w:rsidRPr="00EE0004" w:rsidR="008612C7" w:rsidP="00EE0004" w:rsidRDefault="008612C7">
      <w:pPr>
        <w:pStyle w:val="ECHRHeading1"/>
        <w:rPr>
          <w:lang w:val="en-GB"/>
        </w:rPr>
      </w:pPr>
      <w:r w:rsidRPr="00EE0004">
        <w:rPr>
          <w:lang w:val="en-GB"/>
        </w:rPr>
        <w:t xml:space="preserve">I.  ALLEGED VIOLATION OF ARTICLE 3 OF THE CONVENTION ON ACCOUNT OF THE </w:t>
      </w:r>
      <w:r w:rsidRPr="00EE0004" w:rsidR="002931CB">
        <w:rPr>
          <w:lang w:val="en-GB"/>
        </w:rPr>
        <w:t>QUALITY OF THE MEDICAL TRETMENT</w:t>
      </w:r>
    </w:p>
    <w:p w:rsidRPr="00EE0004" w:rsidR="008612C7" w:rsidP="00EE0004" w:rsidRDefault="008612C7">
      <w:pPr>
        <w:pStyle w:val="ECHRPara"/>
        <w:rPr>
          <w:lang w:val="en-GB"/>
        </w:rPr>
      </w:pPr>
      <w:r w:rsidRPr="00EE0004">
        <w:rPr>
          <w:lang w:val="en-GB"/>
        </w:rPr>
        <w:fldChar w:fldCharType="begin"/>
      </w:r>
      <w:r w:rsidRPr="00EE0004">
        <w:rPr>
          <w:lang w:val="en-GB"/>
        </w:rPr>
        <w:instrText xml:space="preserve"> SEQ level0 \*arabic </w:instrText>
      </w:r>
      <w:r w:rsidRPr="00EE0004">
        <w:rPr>
          <w:lang w:val="en-GB"/>
        </w:rPr>
        <w:fldChar w:fldCharType="separate"/>
      </w:r>
      <w:r w:rsidRPr="00EE0004" w:rsidR="00EE0004">
        <w:rPr>
          <w:noProof/>
          <w:lang w:val="en-GB"/>
        </w:rPr>
        <w:t>29</w:t>
      </w:r>
      <w:r w:rsidRPr="00EE0004">
        <w:rPr>
          <w:lang w:val="en-GB"/>
        </w:rPr>
        <w:fldChar w:fldCharType="end"/>
      </w:r>
      <w:r w:rsidRPr="00EE0004">
        <w:rPr>
          <w:lang w:val="en-GB"/>
        </w:rPr>
        <w:t>.  The applicant complained that</w:t>
      </w:r>
      <w:r w:rsidRPr="00EE0004">
        <w:t xml:space="preserve"> </w:t>
      </w:r>
      <w:r w:rsidRPr="00EE0004" w:rsidR="00EC7B2B">
        <w:rPr>
          <w:lang w:val="en-GB"/>
        </w:rPr>
        <w:t xml:space="preserve">whilst in detention </w:t>
      </w:r>
      <w:r w:rsidRPr="00EE0004">
        <w:rPr>
          <w:lang w:val="en-GB"/>
        </w:rPr>
        <w:t xml:space="preserve">he </w:t>
      </w:r>
      <w:r w:rsidRPr="00EE0004" w:rsidR="00EC7B2B">
        <w:rPr>
          <w:lang w:val="en-GB"/>
        </w:rPr>
        <w:t xml:space="preserve">had </w:t>
      </w:r>
      <w:r w:rsidRPr="00EE0004">
        <w:rPr>
          <w:lang w:val="en-GB"/>
        </w:rPr>
        <w:t xml:space="preserve">not </w:t>
      </w:r>
      <w:r w:rsidRPr="00EE0004" w:rsidR="00EC7B2B">
        <w:rPr>
          <w:lang w:val="en-GB"/>
        </w:rPr>
        <w:t xml:space="preserve">been </w:t>
      </w:r>
      <w:r w:rsidRPr="00EE0004">
        <w:rPr>
          <w:lang w:val="en-GB"/>
        </w:rPr>
        <w:t>afforded adequate medical treatment for his brain condition. He relied on Article 3 of the Convention, which reads:</w:t>
      </w:r>
    </w:p>
    <w:p w:rsidRPr="00EE0004" w:rsidR="008612C7" w:rsidP="00EE0004" w:rsidRDefault="008612C7">
      <w:pPr>
        <w:pStyle w:val="ECHRParaQuote"/>
        <w:rPr>
          <w:lang w:val="en-GB"/>
        </w:rPr>
      </w:pPr>
      <w:r w:rsidRPr="00EE0004">
        <w:t>“No one shall be subjected to torture or to inhuman or degrading treatment or punishment.”</w:t>
      </w:r>
    </w:p>
    <w:p w:rsidRPr="00EE0004" w:rsidR="008612C7" w:rsidP="00EE0004" w:rsidRDefault="008612C7">
      <w:pPr>
        <w:pStyle w:val="ECHRHeading2"/>
      </w:pPr>
      <w:r w:rsidRPr="00EE0004">
        <w:t>A.  The parties</w:t>
      </w:r>
      <w:r w:rsidRPr="00EE0004" w:rsidR="00EE0004">
        <w:t>’</w:t>
      </w:r>
      <w:r w:rsidRPr="00EE0004">
        <w:t xml:space="preserve"> submissions</w:t>
      </w:r>
    </w:p>
    <w:p w:rsidRPr="00EE0004" w:rsidR="008612C7" w:rsidP="00EE0004" w:rsidRDefault="00EE0004">
      <w:pPr>
        <w:pStyle w:val="ECHRPara"/>
      </w:pPr>
      <w:fldSimple w:instr=" SEQ level0 \*arabic ">
        <w:r w:rsidRPr="00EE0004">
          <w:rPr>
            <w:noProof/>
          </w:rPr>
          <w:t>30</w:t>
        </w:r>
      </w:fldSimple>
      <w:r w:rsidRPr="00EE0004" w:rsidR="008612C7">
        <w:t>.  The Government put forward two lines of argument. Firstly, they argued that the applicant</w:t>
      </w:r>
      <w:r w:rsidRPr="00EE0004">
        <w:t>’</w:t>
      </w:r>
      <w:r w:rsidRPr="00EE0004" w:rsidR="008612C7">
        <w:t>s claim should be rejected because he had failed to exhaust</w:t>
      </w:r>
      <w:r w:rsidRPr="00EE0004" w:rsidR="00EC7B2B">
        <w:t xml:space="preserve"> the</w:t>
      </w:r>
      <w:r w:rsidRPr="00EE0004" w:rsidR="008612C7">
        <w:t xml:space="preserve"> domestic remedies. Secondly, they argued that the applicant </w:t>
      </w:r>
      <w:r w:rsidRPr="00EE0004" w:rsidR="00EC7B2B">
        <w:t xml:space="preserve">had </w:t>
      </w:r>
      <w:r w:rsidRPr="00EE0004" w:rsidR="008612C7">
        <w:t>received adequate medical treatment. He had had no epileptic seizures in detention and the state of his health had not deteriorated.</w:t>
      </w:r>
    </w:p>
    <w:p w:rsidRPr="00EE0004" w:rsidR="008612C7" w:rsidP="00EE0004" w:rsidRDefault="00EE0004">
      <w:pPr>
        <w:pStyle w:val="ECHRPara"/>
      </w:pPr>
      <w:fldSimple w:instr=" SEQ level0 \*arabic ">
        <w:r w:rsidRPr="00EE0004">
          <w:rPr>
            <w:noProof/>
          </w:rPr>
          <w:t>31</w:t>
        </w:r>
      </w:fldSimple>
      <w:r w:rsidRPr="00EE0004" w:rsidR="008612C7">
        <w:t xml:space="preserve">.  The applicant maintained his complaints. He stated that owing to the failure of the detention authorities to provide him with </w:t>
      </w:r>
      <w:proofErr w:type="spellStart"/>
      <w:r w:rsidRPr="00EE0004" w:rsidR="008612C7">
        <w:t>Benzonal</w:t>
      </w:r>
      <w:proofErr w:type="spellEnd"/>
      <w:r w:rsidRPr="00EE0004" w:rsidR="008612C7">
        <w:t xml:space="preserve">, his wife had had to step in and to supply the drugs. He further argued that his health had worsened and that he </w:t>
      </w:r>
      <w:r w:rsidRPr="00EE0004" w:rsidR="00EC7B2B">
        <w:t xml:space="preserve">had </w:t>
      </w:r>
      <w:r w:rsidRPr="00EE0004" w:rsidR="008612C7">
        <w:t>regularly had epileptic seizures, which had been d</w:t>
      </w:r>
      <w:r w:rsidRPr="00EE0004" w:rsidR="002931CB">
        <w:t>isregarded by the authorities.</w:t>
      </w:r>
    </w:p>
    <w:p w:rsidRPr="00EE0004" w:rsidR="008612C7" w:rsidP="00EE0004" w:rsidRDefault="008612C7">
      <w:pPr>
        <w:pStyle w:val="ECHRHeading2"/>
      </w:pPr>
      <w:r w:rsidRPr="00EE0004">
        <w:t>B.  The Court</w:t>
      </w:r>
      <w:r w:rsidRPr="00EE0004" w:rsidR="00EE0004">
        <w:t>’</w:t>
      </w:r>
      <w:r w:rsidRPr="00EE0004">
        <w:t>s assessment</w:t>
      </w:r>
    </w:p>
    <w:p w:rsidRPr="00EE0004" w:rsidR="008612C7" w:rsidP="00EE0004" w:rsidRDefault="00EE0004">
      <w:pPr>
        <w:pStyle w:val="ECHRPara"/>
      </w:pPr>
      <w:fldSimple w:instr=" SEQ level0 \*arabic ">
        <w:r w:rsidRPr="00EE0004">
          <w:rPr>
            <w:noProof/>
          </w:rPr>
          <w:t>32</w:t>
        </w:r>
      </w:fldSimple>
      <w:r w:rsidRPr="00EE0004" w:rsidR="008612C7">
        <w:t>.</w:t>
      </w:r>
      <w:r w:rsidRPr="00EE0004" w:rsidR="002931CB">
        <w:t>  </w:t>
      </w:r>
      <w:r w:rsidRPr="00EE0004" w:rsidR="008612C7">
        <w:t>The Court notes the Government</w:t>
      </w:r>
      <w:r w:rsidRPr="00EE0004">
        <w:t>’</w:t>
      </w:r>
      <w:r w:rsidRPr="00EE0004" w:rsidR="008612C7">
        <w:t>s plea of non-exhaustion of domestic remedies, but does not consider it necessary to address it in view of its conclusion that the applicant</w:t>
      </w:r>
      <w:r w:rsidRPr="00EE0004">
        <w:t>’</w:t>
      </w:r>
      <w:r w:rsidRPr="00EE0004" w:rsidR="008612C7">
        <w:t>s complaint under Article 3</w:t>
      </w:r>
      <w:r w:rsidRPr="00EE0004" w:rsidR="00510ADE">
        <w:t xml:space="preserve"> of the Convention</w:t>
      </w:r>
      <w:r w:rsidRPr="00EE0004" w:rsidR="008612C7">
        <w:t xml:space="preserve"> is, in any event, inadmissible for the reasons stated below.</w:t>
      </w:r>
    </w:p>
    <w:p w:rsidRPr="00EE0004" w:rsidR="008612C7" w:rsidP="00EE0004" w:rsidRDefault="00EE0004">
      <w:pPr>
        <w:pStyle w:val="ECHRPara"/>
      </w:pPr>
      <w:fldSimple w:instr=" SEQ level0 \*arabic ">
        <w:r w:rsidRPr="00EE0004">
          <w:rPr>
            <w:noProof/>
          </w:rPr>
          <w:t>33</w:t>
        </w:r>
      </w:fldSimple>
      <w:r w:rsidRPr="00EE0004" w:rsidR="008612C7">
        <w:t>.  The Court firstly observes that no significant changes in the applicant</w:t>
      </w:r>
      <w:r w:rsidRPr="00EE0004">
        <w:t>’</w:t>
      </w:r>
      <w:r w:rsidRPr="00EE0004" w:rsidR="008612C7">
        <w:t xml:space="preserve">s medical condition were established by the doctors </w:t>
      </w:r>
      <w:r w:rsidRPr="00EE0004" w:rsidR="00EC7B2B">
        <w:t xml:space="preserve">over the period of </w:t>
      </w:r>
      <w:r w:rsidRPr="00EE0004" w:rsidR="008612C7">
        <w:t xml:space="preserve">several years </w:t>
      </w:r>
      <w:r w:rsidRPr="00EE0004" w:rsidR="00EC7B2B">
        <w:t>that</w:t>
      </w:r>
      <w:r w:rsidRPr="00EE0004" w:rsidR="008612C7">
        <w:t xml:space="preserve"> his detention</w:t>
      </w:r>
      <w:r w:rsidRPr="00EE0004" w:rsidR="00EC7B2B">
        <w:t xml:space="preserve"> lasted</w:t>
      </w:r>
      <w:r w:rsidRPr="00EE0004" w:rsidR="008612C7">
        <w:t xml:space="preserve"> (see paragraph</w:t>
      </w:r>
      <w:r w:rsidRPr="00EE0004" w:rsidR="008A1657">
        <w:t xml:space="preserve">s </w:t>
      </w:r>
      <w:r w:rsidRPr="00EE0004" w:rsidR="008D1B4E">
        <w:fldChar w:fldCharType="begin"/>
      </w:r>
      <w:r w:rsidRPr="00EE0004" w:rsidR="008D1B4E">
        <w:instrText xml:space="preserve"> REF a14 \h </w:instrText>
      </w:r>
      <w:r w:rsidRPr="00EE0004" w:rsidR="006E3933">
        <w:instrText xml:space="preserve"> \* MERGEFORMAT </w:instrText>
      </w:r>
      <w:r w:rsidRPr="00EE0004" w:rsidR="008D1B4E">
        <w:fldChar w:fldCharType="separate"/>
      </w:r>
      <w:r w:rsidRPr="00EE0004">
        <w:rPr>
          <w:noProof/>
        </w:rPr>
        <w:t>15</w:t>
      </w:r>
      <w:r w:rsidRPr="00EE0004" w:rsidR="008D1B4E">
        <w:fldChar w:fldCharType="end"/>
      </w:r>
      <w:r w:rsidRPr="00EE0004" w:rsidR="008A1657">
        <w:t xml:space="preserve">, </w:t>
      </w:r>
      <w:r w:rsidRPr="00EE0004" w:rsidR="008D1B4E">
        <w:fldChar w:fldCharType="begin"/>
      </w:r>
      <w:r w:rsidRPr="00EE0004" w:rsidR="008D1B4E">
        <w:instrText xml:space="preserve"> REF q18 \h </w:instrText>
      </w:r>
      <w:r w:rsidRPr="00EE0004" w:rsidR="006E3933">
        <w:instrText xml:space="preserve"> \* MERGEFORMAT </w:instrText>
      </w:r>
      <w:r w:rsidRPr="00EE0004" w:rsidR="008D1B4E">
        <w:fldChar w:fldCharType="separate"/>
      </w:r>
      <w:r w:rsidRPr="00EE0004">
        <w:rPr>
          <w:noProof/>
          <w:lang w:val="en-GB"/>
        </w:rPr>
        <w:t>19</w:t>
      </w:r>
      <w:r w:rsidRPr="00EE0004" w:rsidR="008D1B4E">
        <w:fldChar w:fldCharType="end"/>
      </w:r>
      <w:r w:rsidRPr="00EE0004" w:rsidR="008A1657">
        <w:t>,</w:t>
      </w:r>
      <w:r w:rsidRPr="00EE0004" w:rsidR="00510ADE">
        <w:t xml:space="preserve"> and</w:t>
      </w:r>
      <w:r w:rsidRPr="00EE0004" w:rsidR="008A1657">
        <w:t xml:space="preserve"> </w:t>
      </w:r>
      <w:r w:rsidRPr="00EE0004" w:rsidR="008D1B4E">
        <w:fldChar w:fldCharType="begin"/>
      </w:r>
      <w:r w:rsidRPr="00EE0004" w:rsidR="008D1B4E">
        <w:instrText xml:space="preserve"> REF q25 \h </w:instrText>
      </w:r>
      <w:r w:rsidRPr="00EE0004" w:rsidR="006E3933">
        <w:instrText xml:space="preserve"> \* MERGEFORMAT </w:instrText>
      </w:r>
      <w:r w:rsidRPr="00EE0004" w:rsidR="008D1B4E">
        <w:fldChar w:fldCharType="separate"/>
      </w:r>
      <w:r w:rsidRPr="00EE0004">
        <w:rPr>
          <w:noProof/>
        </w:rPr>
        <w:t>26</w:t>
      </w:r>
      <w:r w:rsidRPr="00EE0004" w:rsidR="008D1B4E">
        <w:fldChar w:fldCharType="end"/>
      </w:r>
      <w:r w:rsidRPr="00EE0004" w:rsidR="00510ADE">
        <w:t xml:space="preserve"> </w:t>
      </w:r>
      <w:r w:rsidRPr="00EE0004" w:rsidR="008612C7">
        <w:t xml:space="preserve">above). In the absence of any evidence </w:t>
      </w:r>
      <w:r w:rsidRPr="00EE0004" w:rsidR="00EC7B2B">
        <w:t>challenging</w:t>
      </w:r>
      <w:r w:rsidRPr="00EE0004" w:rsidR="008612C7">
        <w:t xml:space="preserve"> the accuracy or veracity of the medical entries in the applicant</w:t>
      </w:r>
      <w:r w:rsidRPr="00EE0004">
        <w:t>’</w:t>
      </w:r>
      <w:r w:rsidRPr="00EE0004" w:rsidR="008612C7">
        <w:t>s file, the Court cannot accept the allegation th</w:t>
      </w:r>
      <w:r w:rsidRPr="00EE0004" w:rsidR="00EC7B2B">
        <w:t>at his</w:t>
      </w:r>
      <w:r w:rsidRPr="00EE0004" w:rsidR="008612C7">
        <w:t xml:space="preserve"> </w:t>
      </w:r>
      <w:r w:rsidRPr="00EE0004" w:rsidR="00EC7B2B">
        <w:t xml:space="preserve">epileptic seizures became </w:t>
      </w:r>
      <w:r w:rsidRPr="00EE0004" w:rsidR="008612C7">
        <w:t>increas</w:t>
      </w:r>
      <w:r w:rsidRPr="00EE0004" w:rsidR="00EC7B2B">
        <w:t>ingly</w:t>
      </w:r>
      <w:r w:rsidRPr="00EE0004" w:rsidR="008612C7">
        <w:t xml:space="preserve"> frequen</w:t>
      </w:r>
      <w:r w:rsidRPr="00EE0004" w:rsidR="00EC7B2B">
        <w:t>t</w:t>
      </w:r>
      <w:r w:rsidRPr="00EE0004" w:rsidR="002931CB">
        <w:t>.</w:t>
      </w:r>
    </w:p>
    <w:p w:rsidRPr="00EE0004" w:rsidR="008612C7" w:rsidP="00EE0004" w:rsidRDefault="00EE0004">
      <w:pPr>
        <w:pStyle w:val="ECHRPara"/>
      </w:pPr>
      <w:fldSimple w:instr=" SEQ level0 \*arabic ">
        <w:r w:rsidRPr="00EE0004">
          <w:rPr>
            <w:noProof/>
          </w:rPr>
          <w:t>34</w:t>
        </w:r>
      </w:fldSimple>
      <w:r w:rsidRPr="00EE0004" w:rsidR="008612C7">
        <w:t xml:space="preserve">.  Secondly, the Court notes that in detention the applicant </w:t>
      </w:r>
      <w:r w:rsidRPr="00EE0004" w:rsidR="00EC7B2B">
        <w:t xml:space="preserve">had </w:t>
      </w:r>
      <w:r w:rsidRPr="00EE0004" w:rsidR="008612C7">
        <w:t>remained under close medical supervision, undergo</w:t>
      </w:r>
      <w:r w:rsidRPr="00EE0004" w:rsidR="00EC7B2B">
        <w:t>i</w:t>
      </w:r>
      <w:r w:rsidRPr="00EE0004" w:rsidR="008612C7">
        <w:t>n</w:t>
      </w:r>
      <w:r w:rsidRPr="00EE0004" w:rsidR="00EC7B2B">
        <w:t>g</w:t>
      </w:r>
      <w:r w:rsidRPr="00EE0004" w:rsidR="008612C7">
        <w:t xml:space="preserve"> various medical tests and inpatient treatment in the prison hospital (see paragraphs </w:t>
      </w:r>
      <w:r w:rsidRPr="00EE0004" w:rsidR="008D1B4E">
        <w:fldChar w:fldCharType="begin"/>
      </w:r>
      <w:r w:rsidRPr="00EE0004" w:rsidR="008D1B4E">
        <w:instrText xml:space="preserve"> REF a14 \h </w:instrText>
      </w:r>
      <w:r w:rsidRPr="00EE0004" w:rsidR="006E3933">
        <w:instrText xml:space="preserve"> \* MERGEFORMAT </w:instrText>
      </w:r>
      <w:r w:rsidRPr="00EE0004" w:rsidR="008D1B4E">
        <w:fldChar w:fldCharType="separate"/>
      </w:r>
      <w:r w:rsidRPr="00EE0004">
        <w:rPr>
          <w:noProof/>
        </w:rPr>
        <w:t>15</w:t>
      </w:r>
      <w:r w:rsidRPr="00EE0004" w:rsidR="008D1B4E">
        <w:fldChar w:fldCharType="end"/>
      </w:r>
      <w:r w:rsidRPr="00EE0004" w:rsidR="008A1657">
        <w:t xml:space="preserve">, </w:t>
      </w:r>
      <w:r w:rsidRPr="00EE0004" w:rsidR="008D1B4E">
        <w:fldChar w:fldCharType="begin"/>
      </w:r>
      <w:r w:rsidRPr="00EE0004" w:rsidR="008D1B4E">
        <w:instrText xml:space="preserve"> REF q18 \h </w:instrText>
      </w:r>
      <w:r w:rsidRPr="00EE0004" w:rsidR="006E3933">
        <w:instrText xml:space="preserve"> \* MERGEFORMAT </w:instrText>
      </w:r>
      <w:r w:rsidRPr="00EE0004" w:rsidR="008D1B4E">
        <w:fldChar w:fldCharType="separate"/>
      </w:r>
      <w:r w:rsidRPr="00EE0004">
        <w:rPr>
          <w:noProof/>
          <w:lang w:val="en-GB"/>
        </w:rPr>
        <w:t>19</w:t>
      </w:r>
      <w:r w:rsidRPr="00EE0004" w:rsidR="008D1B4E">
        <w:fldChar w:fldCharType="end"/>
      </w:r>
      <w:r w:rsidRPr="00EE0004" w:rsidR="008A1657">
        <w:t xml:space="preserve">, </w:t>
      </w:r>
      <w:r w:rsidRPr="00EE0004" w:rsidR="008D1B4E">
        <w:fldChar w:fldCharType="begin"/>
      </w:r>
      <w:r w:rsidRPr="00EE0004" w:rsidR="008D1B4E">
        <w:instrText xml:space="preserve"> REF q20 \h </w:instrText>
      </w:r>
      <w:r w:rsidRPr="00EE0004" w:rsidR="006E3933">
        <w:instrText xml:space="preserve"> \* MERGEFORMAT </w:instrText>
      </w:r>
      <w:r w:rsidRPr="00EE0004" w:rsidR="008D1B4E">
        <w:fldChar w:fldCharType="separate"/>
      </w:r>
      <w:r w:rsidRPr="00EE0004">
        <w:rPr>
          <w:noProof/>
        </w:rPr>
        <w:t>21</w:t>
      </w:r>
      <w:r w:rsidRPr="00EE0004" w:rsidR="008D1B4E">
        <w:fldChar w:fldCharType="end"/>
      </w:r>
      <w:r w:rsidRPr="00EE0004" w:rsidR="008A1657">
        <w:t xml:space="preserve"> and </w:t>
      </w:r>
      <w:r w:rsidRPr="00EE0004" w:rsidR="008D1B4E">
        <w:fldChar w:fldCharType="begin"/>
      </w:r>
      <w:r w:rsidRPr="00EE0004" w:rsidR="008D1B4E">
        <w:instrText xml:space="preserve"> REF q23 \h </w:instrText>
      </w:r>
      <w:r w:rsidRPr="00EE0004" w:rsidR="006E3933">
        <w:instrText xml:space="preserve"> \* MERGEFORMAT </w:instrText>
      </w:r>
      <w:r w:rsidRPr="00EE0004" w:rsidR="008D1B4E">
        <w:fldChar w:fldCharType="separate"/>
      </w:r>
      <w:r w:rsidRPr="00EE0004">
        <w:rPr>
          <w:noProof/>
        </w:rPr>
        <w:t>24</w:t>
      </w:r>
      <w:r w:rsidRPr="00EE0004" w:rsidR="008D1B4E">
        <w:fldChar w:fldCharType="end"/>
      </w:r>
      <w:r w:rsidRPr="00EE0004" w:rsidR="008612C7">
        <w:t xml:space="preserve"> above).</w:t>
      </w:r>
    </w:p>
    <w:p w:rsidRPr="00EE0004" w:rsidR="008612C7" w:rsidP="00EE0004" w:rsidRDefault="00EE0004">
      <w:pPr>
        <w:pStyle w:val="ECHRPara"/>
        <w:rPr>
          <w:lang w:val="en"/>
        </w:rPr>
      </w:pPr>
      <w:fldSimple w:instr=" SEQ level0 \*arabic ">
        <w:r w:rsidRPr="00EE0004">
          <w:rPr>
            <w:noProof/>
          </w:rPr>
          <w:t>35</w:t>
        </w:r>
      </w:fldSimple>
      <w:r w:rsidRPr="00EE0004" w:rsidR="008612C7">
        <w:t xml:space="preserve">.  Lastly, as regards the availability of anticonvulsants in detention, the Court observes that it is not disputed by the parties that the medical authorities offered the applicant several drugs to reduce the frequency of </w:t>
      </w:r>
      <w:r w:rsidRPr="00EE0004" w:rsidR="00C869BF">
        <w:t xml:space="preserve">his </w:t>
      </w:r>
      <w:r w:rsidRPr="00EE0004" w:rsidR="008612C7">
        <w:t>epileptic seizures, but the applicant refused to follow the doctors</w:t>
      </w:r>
      <w:r w:rsidRPr="00EE0004">
        <w:t>’</w:t>
      </w:r>
      <w:r w:rsidRPr="00EE0004" w:rsidR="008612C7">
        <w:t xml:space="preserve"> recommendations and continued t</w:t>
      </w:r>
      <w:r w:rsidRPr="00EE0004" w:rsidR="00EC7B2B">
        <w:t>o</w:t>
      </w:r>
      <w:r w:rsidRPr="00EE0004" w:rsidR="008612C7">
        <w:t xml:space="preserve"> take </w:t>
      </w:r>
      <w:proofErr w:type="spellStart"/>
      <w:r w:rsidRPr="00EE0004" w:rsidR="008612C7">
        <w:rPr>
          <w:lang w:val="en"/>
        </w:rPr>
        <w:t>Benzonal</w:t>
      </w:r>
      <w:proofErr w:type="spellEnd"/>
      <w:r w:rsidRPr="00EE0004" w:rsidR="008612C7">
        <w:rPr>
          <w:lang w:val="en"/>
        </w:rPr>
        <w:t>. The Court sees no legitimate grounds for such a refusal and therefore does not accept the applicant</w:t>
      </w:r>
      <w:r w:rsidRPr="00EE0004">
        <w:rPr>
          <w:lang w:val="en"/>
        </w:rPr>
        <w:t>’</w:t>
      </w:r>
      <w:r w:rsidRPr="00EE0004" w:rsidR="008612C7">
        <w:rPr>
          <w:lang w:val="en"/>
        </w:rPr>
        <w:t>s argument about the</w:t>
      </w:r>
      <w:r w:rsidRPr="00EE0004" w:rsidR="002931CB">
        <w:rPr>
          <w:lang w:val="en"/>
        </w:rPr>
        <w:t xml:space="preserve"> lack of effective medication.</w:t>
      </w:r>
    </w:p>
    <w:p w:rsidRPr="00EE0004" w:rsidR="008612C7" w:rsidP="00EE0004" w:rsidRDefault="00EE0004">
      <w:pPr>
        <w:pStyle w:val="ECHRPara"/>
      </w:pPr>
      <w:fldSimple w:instr=" SEQ level0 \*arabic ">
        <w:r w:rsidRPr="00EE0004">
          <w:rPr>
            <w:noProof/>
          </w:rPr>
          <w:t>36</w:t>
        </w:r>
      </w:fldSimple>
      <w:r w:rsidRPr="00EE0004" w:rsidR="008612C7">
        <w:t xml:space="preserve">.  In the light of the above, and taking into account that the applicant did not submit any medical opinions suggesting any </w:t>
      </w:r>
      <w:r w:rsidRPr="00EE0004" w:rsidR="00EC7B2B">
        <w:t xml:space="preserve">shortcomings </w:t>
      </w:r>
      <w:r w:rsidRPr="00EE0004" w:rsidR="008612C7">
        <w:t xml:space="preserve">in his treatment, the Court cannot find that he was deprived of adequate medical care (see </w:t>
      </w:r>
      <w:proofErr w:type="spellStart"/>
      <w:r w:rsidRPr="00EE0004" w:rsidR="008612C7">
        <w:rPr>
          <w:i/>
          <w:lang w:val="en-GB"/>
        </w:rPr>
        <w:t>Yepishin</w:t>
      </w:r>
      <w:proofErr w:type="spellEnd"/>
      <w:r w:rsidRPr="00EE0004" w:rsidR="008612C7">
        <w:rPr>
          <w:i/>
          <w:lang w:val="en-GB"/>
        </w:rPr>
        <w:t xml:space="preserve"> v. Russia</w:t>
      </w:r>
      <w:r w:rsidRPr="00EE0004" w:rsidR="008612C7">
        <w:rPr>
          <w:lang w:val="en-GB"/>
        </w:rPr>
        <w:t>, no. 591/07, §§ 52-54, 27 June 2013)</w:t>
      </w:r>
      <w:r w:rsidRPr="00EE0004" w:rsidR="008612C7">
        <w:t>. Accordingly, this complaint is manifestly ill-founded and must be rejected in accordance with Article 35 §§ 3 and 4 of the Convention.</w:t>
      </w:r>
    </w:p>
    <w:p w:rsidRPr="00EE0004" w:rsidR="008612C7" w:rsidP="00EE0004" w:rsidRDefault="008612C7">
      <w:pPr>
        <w:pStyle w:val="ECHRHeading1"/>
      </w:pPr>
      <w:r w:rsidRPr="00EE0004">
        <w:rPr>
          <w:lang w:val="en-GB"/>
        </w:rPr>
        <w:t>II.</w:t>
      </w:r>
      <w:proofErr w:type="gramStart"/>
      <w:r w:rsidRPr="00EE0004">
        <w:rPr>
          <w:lang w:val="en-GB"/>
        </w:rPr>
        <w:t>  ALLEGED</w:t>
      </w:r>
      <w:proofErr w:type="gramEnd"/>
      <w:r w:rsidRPr="00EE0004">
        <w:rPr>
          <w:lang w:val="en-GB"/>
        </w:rPr>
        <w:t xml:space="preserve"> VIOLATION OF ARTICLE 3 OF THE CONVENTION ON ACCOUNT OF THE CONDITIONS OF THE APPLICAN</w:t>
      </w:r>
      <w:r w:rsidRPr="00EE0004" w:rsidR="00EC7B2B">
        <w:rPr>
          <w:lang w:val="en-GB"/>
        </w:rPr>
        <w:t>T</w:t>
      </w:r>
      <w:r w:rsidRPr="00EE0004" w:rsidR="00EE0004">
        <w:rPr>
          <w:lang w:val="en-GB"/>
        </w:rPr>
        <w:t>’</w:t>
      </w:r>
      <w:r w:rsidRPr="00EE0004">
        <w:rPr>
          <w:lang w:val="en-GB"/>
        </w:rPr>
        <w:t>S DETENTION</w:t>
      </w:r>
    </w:p>
    <w:p w:rsidRPr="00EE0004" w:rsidR="008612C7" w:rsidP="00EE0004" w:rsidRDefault="00EE0004">
      <w:pPr>
        <w:pStyle w:val="ECHRPara"/>
      </w:pPr>
      <w:fldSimple w:instr=" SEQ level0 \*arabic ">
        <w:r w:rsidRPr="00EE0004">
          <w:rPr>
            <w:noProof/>
          </w:rPr>
          <w:t>37</w:t>
        </w:r>
      </w:fldSimple>
      <w:r w:rsidRPr="00EE0004" w:rsidR="008612C7">
        <w:t>.  The applicant complained that he was detained in conditions unfit for persons with disabilities such as himself, which amounted to degrading treatment prohibited by Article 3 of the Convention, cited above.</w:t>
      </w:r>
    </w:p>
    <w:p w:rsidRPr="00EE0004" w:rsidR="008612C7" w:rsidP="00EE0004" w:rsidRDefault="008612C7">
      <w:pPr>
        <w:pStyle w:val="ECHRHeading2"/>
      </w:pPr>
      <w:r w:rsidRPr="00EE0004">
        <w:t>A.  The parties</w:t>
      </w:r>
      <w:r w:rsidRPr="00EE0004" w:rsidR="00EE0004">
        <w:t>’</w:t>
      </w:r>
      <w:r w:rsidRPr="00EE0004">
        <w:t xml:space="preserve"> submissions</w:t>
      </w:r>
    </w:p>
    <w:p w:rsidRPr="00EE0004" w:rsidR="008612C7" w:rsidP="00EE0004" w:rsidRDefault="00EE0004">
      <w:pPr>
        <w:pStyle w:val="ECHRPara"/>
      </w:pPr>
      <w:fldSimple w:instr=" SEQ level0 \*arabic ">
        <w:r w:rsidRPr="00EE0004">
          <w:rPr>
            <w:noProof/>
          </w:rPr>
          <w:t>38</w:t>
        </w:r>
      </w:fldSimple>
      <w:r w:rsidRPr="00EE0004" w:rsidR="008612C7">
        <w:t>.  The Government argued that the conditions of the applicant</w:t>
      </w:r>
      <w:r w:rsidRPr="00EE0004">
        <w:t>’</w:t>
      </w:r>
      <w:r w:rsidRPr="00EE0004" w:rsidR="008612C7">
        <w:t xml:space="preserve">s detention </w:t>
      </w:r>
      <w:r w:rsidRPr="00EE0004" w:rsidR="00EC7B2B">
        <w:t xml:space="preserve">had been </w:t>
      </w:r>
      <w:r w:rsidRPr="00EE0004" w:rsidR="008612C7">
        <w:t xml:space="preserve">satisfactory. He </w:t>
      </w:r>
      <w:r w:rsidRPr="00EE0004" w:rsidR="00EC7B2B">
        <w:t xml:space="preserve">had been </w:t>
      </w:r>
      <w:r w:rsidRPr="00EE0004" w:rsidR="008612C7">
        <w:t xml:space="preserve">detained in a special unit for disabled prisoners </w:t>
      </w:r>
      <w:r w:rsidRPr="00EE0004" w:rsidR="00EC7B2B">
        <w:t>which offered</w:t>
      </w:r>
      <w:r w:rsidRPr="00EE0004" w:rsidR="008612C7">
        <w:t xml:space="preserve"> </w:t>
      </w:r>
      <w:r w:rsidRPr="00EE0004" w:rsidR="00EC7B2B">
        <w:t>better</w:t>
      </w:r>
      <w:r w:rsidRPr="00EE0004" w:rsidR="00C869BF">
        <w:t>-quality</w:t>
      </w:r>
      <w:r w:rsidRPr="00EE0004" w:rsidR="00EC7B2B">
        <w:t xml:space="preserve"> </w:t>
      </w:r>
      <w:r w:rsidRPr="00EE0004" w:rsidR="008612C7">
        <w:t>living conditions. Referring to the findings of the prison hospitals</w:t>
      </w:r>
      <w:r w:rsidRPr="00EE0004">
        <w:t>’</w:t>
      </w:r>
      <w:r w:rsidRPr="00EE0004" w:rsidR="008612C7">
        <w:t xml:space="preserve"> doctors</w:t>
      </w:r>
      <w:r w:rsidRPr="00EE0004" w:rsidR="00EC7B2B">
        <w:t>,</w:t>
      </w:r>
      <w:r w:rsidRPr="00EE0004" w:rsidR="008612C7">
        <w:t xml:space="preserve"> the Government stated that the applicant had been able to look after himself and therefore no nursin</w:t>
      </w:r>
      <w:r w:rsidRPr="00EE0004" w:rsidR="002931CB">
        <w:t>g assistance had been required.</w:t>
      </w:r>
    </w:p>
    <w:p w:rsidRPr="00EE0004" w:rsidR="008612C7" w:rsidP="00EE0004" w:rsidRDefault="00EE0004">
      <w:pPr>
        <w:pStyle w:val="ECHRPara"/>
      </w:pPr>
      <w:fldSimple w:instr=" SEQ level0 \*arabic ">
        <w:r w:rsidRPr="00EE0004">
          <w:rPr>
            <w:noProof/>
          </w:rPr>
          <w:t>39</w:t>
        </w:r>
      </w:fldSimple>
      <w:r w:rsidRPr="00EE0004" w:rsidR="008612C7">
        <w:t xml:space="preserve">.  The applicant maintained his complaints, </w:t>
      </w:r>
      <w:r w:rsidRPr="00EE0004" w:rsidR="00EC7B2B">
        <w:t>referr</w:t>
      </w:r>
      <w:r w:rsidRPr="00EE0004" w:rsidR="008612C7">
        <w:t>ing t</w:t>
      </w:r>
      <w:r w:rsidRPr="00EE0004" w:rsidR="00EC7B2B">
        <w:t xml:space="preserve">o </w:t>
      </w:r>
      <w:r w:rsidRPr="00EE0004" w:rsidR="008612C7">
        <w:t>h</w:t>
      </w:r>
      <w:r w:rsidRPr="00EE0004" w:rsidR="00EC7B2B">
        <w:t>is</w:t>
      </w:r>
      <w:r w:rsidRPr="00EE0004" w:rsidR="008612C7">
        <w:t xml:space="preserve"> inability to look after himself or to perform basic hygiene procedures. He complained of various daily inconveniences and </w:t>
      </w:r>
      <w:r w:rsidRPr="00EE0004" w:rsidR="00EC7B2B">
        <w:t>his complete</w:t>
      </w:r>
      <w:r w:rsidRPr="00EE0004" w:rsidR="008612C7">
        <w:t xml:space="preserve"> dependence on his inmates</w:t>
      </w:r>
      <w:r w:rsidRPr="00EE0004">
        <w:t>’</w:t>
      </w:r>
      <w:r w:rsidRPr="00EE0004" w:rsidR="008612C7">
        <w:t xml:space="preserve"> assistance.</w:t>
      </w:r>
    </w:p>
    <w:p w:rsidRPr="00EE0004" w:rsidR="008612C7" w:rsidP="00EE0004" w:rsidRDefault="00982530">
      <w:pPr>
        <w:pStyle w:val="ECHRHeading2"/>
      </w:pPr>
      <w:r w:rsidRPr="00EE0004">
        <w:t>B.  The Court</w:t>
      </w:r>
      <w:r w:rsidRPr="00EE0004" w:rsidR="00EE0004">
        <w:t>’</w:t>
      </w:r>
      <w:r w:rsidRPr="00EE0004">
        <w:t>s assessment</w:t>
      </w:r>
    </w:p>
    <w:p w:rsidRPr="00EE0004" w:rsidR="008612C7" w:rsidP="00EE0004" w:rsidRDefault="008612C7">
      <w:pPr>
        <w:pStyle w:val="ECHRHeading3"/>
      </w:pPr>
      <w:r w:rsidRPr="00EE0004">
        <w:t>1.  Admissibility</w:t>
      </w:r>
    </w:p>
    <w:p w:rsidRPr="00EE0004" w:rsidR="008612C7" w:rsidP="00EE0004" w:rsidRDefault="00EE0004">
      <w:pPr>
        <w:pStyle w:val="ECHRPara"/>
      </w:pPr>
      <w:fldSimple w:instr=" SEQ level0 \*arabic ">
        <w:r w:rsidRPr="00EE0004">
          <w:rPr>
            <w:noProof/>
          </w:rPr>
          <w:t>40</w:t>
        </w:r>
      </w:fldSimple>
      <w:r w:rsidRPr="00EE0004" w:rsidR="008612C7">
        <w:t>.  The Court notes that this complaint is not manifestly ill-founded within the meaning of Article 35 § 3 (a) of the Convention and that it is not inadmissible on any other grounds. It must therefore be declared admissible.</w:t>
      </w:r>
    </w:p>
    <w:p w:rsidRPr="00EE0004" w:rsidR="008612C7" w:rsidP="00EE0004" w:rsidRDefault="008612C7">
      <w:pPr>
        <w:pStyle w:val="ECHRHeading3"/>
      </w:pPr>
      <w:r w:rsidRPr="00EE0004">
        <w:t>2.  Merits</w:t>
      </w:r>
    </w:p>
    <w:p w:rsidRPr="00EE0004" w:rsidR="008612C7" w:rsidP="00EE0004" w:rsidRDefault="002931CB">
      <w:pPr>
        <w:pStyle w:val="ECHRHeading4"/>
      </w:pPr>
      <w:r w:rsidRPr="00EE0004">
        <w:t>(a)  General principles</w:t>
      </w:r>
    </w:p>
    <w:p w:rsidRPr="00EE0004" w:rsidR="00556746" w:rsidP="00EE0004" w:rsidRDefault="00EE0004">
      <w:pPr>
        <w:pStyle w:val="ECHRPara"/>
        <w:rPr>
          <w:snapToGrid w:val="0"/>
        </w:rPr>
      </w:pPr>
      <w:fldSimple w:instr=" SEQ level0 \*arabic ">
        <w:r w:rsidRPr="00EE0004">
          <w:rPr>
            <w:noProof/>
          </w:rPr>
          <w:t>41</w:t>
        </w:r>
      </w:fldSimple>
      <w:r w:rsidRPr="00EE0004" w:rsidR="008612C7">
        <w:t>.  The applicable general principles are set out in</w:t>
      </w:r>
      <w:r w:rsidRPr="00EE0004" w:rsidR="00556746">
        <w:rPr>
          <w:bCs/>
          <w:i/>
          <w:snapToGrid w:val="0"/>
        </w:rPr>
        <w:t xml:space="preserve"> </w:t>
      </w:r>
      <w:proofErr w:type="spellStart"/>
      <w:r w:rsidRPr="00EE0004" w:rsidR="00556746">
        <w:rPr>
          <w:bCs/>
          <w:i/>
          <w:snapToGrid w:val="0"/>
        </w:rPr>
        <w:t>Muršić</w:t>
      </w:r>
      <w:proofErr w:type="spellEnd"/>
      <w:r w:rsidRPr="00EE0004" w:rsidR="00556746">
        <w:rPr>
          <w:b/>
          <w:bCs/>
          <w:snapToGrid w:val="0"/>
        </w:rPr>
        <w:t xml:space="preserve"> </w:t>
      </w:r>
      <w:r w:rsidRPr="00EE0004" w:rsidR="002931CB">
        <w:rPr>
          <w:i/>
          <w:snapToGrid w:val="0"/>
        </w:rPr>
        <w:t>v. </w:t>
      </w:r>
      <w:r w:rsidRPr="00EE0004" w:rsidR="00556746">
        <w:rPr>
          <w:i/>
          <w:snapToGrid w:val="0"/>
        </w:rPr>
        <w:t>Croatia</w:t>
      </w:r>
      <w:r w:rsidRPr="00EE0004" w:rsidR="00B5303A">
        <w:rPr>
          <w:snapToGrid w:val="0"/>
        </w:rPr>
        <w:t> [GC]</w:t>
      </w:r>
      <w:r w:rsidRPr="00EE0004" w:rsidR="00556746">
        <w:rPr>
          <w:snapToGrid w:val="0"/>
        </w:rPr>
        <w:t xml:space="preserve"> </w:t>
      </w:r>
      <w:r w:rsidRPr="00EE0004" w:rsidR="00B5303A">
        <w:rPr>
          <w:snapToGrid w:val="0"/>
        </w:rPr>
        <w:t>(</w:t>
      </w:r>
      <w:r w:rsidRPr="00EE0004" w:rsidR="00556746">
        <w:rPr>
          <w:snapToGrid w:val="0"/>
        </w:rPr>
        <w:t>no. 7334/13</w:t>
      </w:r>
      <w:r w:rsidRPr="00EE0004" w:rsidR="00556746">
        <w:t>, §§ 96-101, 20 October 2016)</w:t>
      </w:r>
      <w:r w:rsidRPr="00EE0004" w:rsidR="00B5303A">
        <w:t>,</w:t>
      </w:r>
      <w:r w:rsidRPr="00EE0004" w:rsidR="00556746">
        <w:t xml:space="preserve"> and</w:t>
      </w:r>
      <w:r w:rsidRPr="00EE0004" w:rsidR="008612C7">
        <w:t xml:space="preserve"> </w:t>
      </w:r>
      <w:proofErr w:type="spellStart"/>
      <w:r w:rsidRPr="00EE0004" w:rsidR="008612C7">
        <w:rPr>
          <w:i/>
        </w:rPr>
        <w:t>Topekhin</w:t>
      </w:r>
      <w:proofErr w:type="spellEnd"/>
      <w:r w:rsidRPr="00EE0004" w:rsidR="008612C7">
        <w:rPr>
          <w:i/>
        </w:rPr>
        <w:t xml:space="preserve"> </w:t>
      </w:r>
      <w:r w:rsidRPr="00EE0004" w:rsidR="00556746">
        <w:t xml:space="preserve">(cited above, </w:t>
      </w:r>
      <w:r w:rsidRPr="00EE0004" w:rsidR="00556746">
        <w:rPr>
          <w:snapToGrid w:val="0"/>
        </w:rPr>
        <w:t>§§ 78-81).</w:t>
      </w:r>
    </w:p>
    <w:p w:rsidRPr="00EE0004" w:rsidR="008612C7" w:rsidP="00EE0004" w:rsidRDefault="008612C7">
      <w:pPr>
        <w:pStyle w:val="ECHRHeading4"/>
        <w:rPr>
          <w:i/>
          <w:lang w:val="en-GB"/>
        </w:rPr>
      </w:pPr>
      <w:r w:rsidRPr="00EE0004">
        <w:rPr>
          <w:snapToGrid w:val="0"/>
          <w:lang w:val="en-GB"/>
        </w:rPr>
        <w:t>(b)  </w:t>
      </w:r>
      <w:r w:rsidRPr="00EE0004">
        <w:rPr>
          <w:snapToGrid w:val="0"/>
        </w:rPr>
        <w:t>Application of the above principles to the present case</w:t>
      </w:r>
    </w:p>
    <w:p w:rsidRPr="00EE0004" w:rsidR="00EC259E" w:rsidP="00EE0004" w:rsidRDefault="00EE0004">
      <w:pPr>
        <w:pStyle w:val="ECHRPara"/>
      </w:pPr>
      <w:fldSimple w:instr=" SEQ level0 \*arabic ">
        <w:r w:rsidRPr="00EE0004">
          <w:rPr>
            <w:noProof/>
          </w:rPr>
          <w:t>42</w:t>
        </w:r>
      </w:fldSimple>
      <w:r w:rsidRPr="00EE0004" w:rsidR="008612C7">
        <w:t>.  </w:t>
      </w:r>
      <w:r w:rsidRPr="00EE0004" w:rsidR="003D779C">
        <w:t>To assess the adequacy of the conditions of the applicant</w:t>
      </w:r>
      <w:r w:rsidRPr="00EE0004">
        <w:t>’</w:t>
      </w:r>
      <w:r w:rsidRPr="00EE0004" w:rsidR="003D779C">
        <w:t>s detention, the Court must take into account the degree of nursing assistance required to the applicant.</w:t>
      </w:r>
      <w:r w:rsidRPr="00EE0004" w:rsidR="002A4F2B">
        <w:t xml:space="preserve"> </w:t>
      </w:r>
      <w:r w:rsidRPr="00EE0004" w:rsidR="003D779C">
        <w:t xml:space="preserve">The Court reiterates </w:t>
      </w:r>
      <w:r w:rsidRPr="00EE0004" w:rsidR="00EC259E">
        <w:t xml:space="preserve">that it is not its task to rule on matters lying exclusively within the field of expertise of medical specialists and to establish whether an applicant in fact required a particular treatment (see </w:t>
      </w:r>
      <w:proofErr w:type="spellStart"/>
      <w:r w:rsidRPr="00EE0004" w:rsidR="00EC259E">
        <w:rPr>
          <w:i/>
        </w:rPr>
        <w:t>Ukhan</w:t>
      </w:r>
      <w:proofErr w:type="spellEnd"/>
      <w:r w:rsidRPr="00EE0004" w:rsidR="00EC259E">
        <w:rPr>
          <w:i/>
        </w:rPr>
        <w:t xml:space="preserve"> v. Ukraine</w:t>
      </w:r>
      <w:r w:rsidRPr="00EE0004" w:rsidR="00EC259E">
        <w:t>, no. 30628/02, § 76, 18 December 2008</w:t>
      </w:r>
      <w:r w:rsidRPr="00EE0004" w:rsidR="00982530">
        <w:t>,</w:t>
      </w:r>
      <w:r w:rsidRPr="00EE0004" w:rsidR="00EC259E">
        <w:t xml:space="preserve"> and </w:t>
      </w:r>
      <w:r w:rsidRPr="00EE0004" w:rsidR="00EC259E">
        <w:rPr>
          <w:i/>
        </w:rPr>
        <w:t xml:space="preserve">Sergey </w:t>
      </w:r>
      <w:proofErr w:type="spellStart"/>
      <w:r w:rsidRPr="00EE0004" w:rsidR="00EC259E">
        <w:rPr>
          <w:i/>
        </w:rPr>
        <w:t>Antonov</w:t>
      </w:r>
      <w:proofErr w:type="spellEnd"/>
      <w:r w:rsidRPr="00EE0004" w:rsidR="00EC259E">
        <w:rPr>
          <w:i/>
        </w:rPr>
        <w:t xml:space="preserve"> v. Ukraine</w:t>
      </w:r>
      <w:r w:rsidRPr="00EE0004" w:rsidR="00EC259E">
        <w:t xml:space="preserve">, no. 40512/13, § 86, 22 October 2015). However, having regard to the vulnerability of applicants in detention, it is for the Government to provide credible and convincing evidence showing that the applicant concerned had received </w:t>
      </w:r>
      <w:r w:rsidRPr="00EE0004" w:rsidR="003D779C">
        <w:t>the required medical or nursing assistance in detention</w:t>
      </w:r>
      <w:r w:rsidRPr="00EE0004" w:rsidR="00EC259E">
        <w:t>.</w:t>
      </w:r>
    </w:p>
    <w:p w:rsidRPr="00EE0004" w:rsidR="008612C7" w:rsidP="00EE0004" w:rsidRDefault="00EE0004">
      <w:pPr>
        <w:pStyle w:val="ECHRPara"/>
      </w:pPr>
      <w:fldSimple w:instr=" SEQ level0 \*arabic ">
        <w:r w:rsidRPr="00EE0004">
          <w:rPr>
            <w:noProof/>
          </w:rPr>
          <w:t>43</w:t>
        </w:r>
      </w:fldSimple>
      <w:r w:rsidRPr="00EE0004" w:rsidR="0006641E">
        <w:t>.  </w:t>
      </w:r>
      <w:r w:rsidRPr="00EE0004" w:rsidR="003D779C">
        <w:t>T</w:t>
      </w:r>
      <w:r w:rsidRPr="00EE0004" w:rsidR="008612C7">
        <w:t xml:space="preserve">he Court observes that </w:t>
      </w:r>
      <w:r w:rsidRPr="00EE0004" w:rsidR="003D779C">
        <w:t xml:space="preserve">in the present </w:t>
      </w:r>
      <w:r w:rsidRPr="00EE0004" w:rsidR="008612C7">
        <w:t xml:space="preserve">there is conflicting evidence on this issue. On the one hand, the social security medical assessment board concluded that the applicant was unable to walk without assistance or look after himself (see paragraphs </w:t>
      </w:r>
      <w:r w:rsidRPr="00EE0004" w:rsidR="008D1B4E">
        <w:fldChar w:fldCharType="begin"/>
      </w:r>
      <w:r w:rsidRPr="00EE0004" w:rsidR="008D1B4E">
        <w:instrText xml:space="preserve"> REF q7 \h </w:instrText>
      </w:r>
      <w:r w:rsidRPr="00EE0004" w:rsidR="006E3933">
        <w:instrText xml:space="preserve"> \* MERGEFORMAT </w:instrText>
      </w:r>
      <w:r w:rsidRPr="00EE0004" w:rsidR="008D1B4E">
        <w:fldChar w:fldCharType="separate"/>
      </w:r>
      <w:r w:rsidRPr="00EE0004">
        <w:rPr>
          <w:noProof/>
        </w:rPr>
        <w:t>8</w:t>
      </w:r>
      <w:r w:rsidRPr="00EE0004" w:rsidR="008D1B4E">
        <w:fldChar w:fldCharType="end"/>
      </w:r>
      <w:r w:rsidRPr="00EE0004" w:rsidR="008A1657">
        <w:t xml:space="preserve"> and </w:t>
      </w:r>
      <w:r w:rsidRPr="00EE0004" w:rsidR="008D1B4E">
        <w:fldChar w:fldCharType="begin"/>
      </w:r>
      <w:r w:rsidRPr="00EE0004" w:rsidR="008D1B4E">
        <w:instrText xml:space="preserve"> REF q17 \h </w:instrText>
      </w:r>
      <w:r w:rsidRPr="00EE0004" w:rsidR="006E3933">
        <w:instrText xml:space="preserve"> \* MERGEFORMAT </w:instrText>
      </w:r>
      <w:r w:rsidRPr="00EE0004" w:rsidR="008D1B4E">
        <w:fldChar w:fldCharType="separate"/>
      </w:r>
      <w:r w:rsidRPr="00EE0004">
        <w:rPr>
          <w:noProof/>
        </w:rPr>
        <w:t>18</w:t>
      </w:r>
      <w:r w:rsidRPr="00EE0004" w:rsidR="008D1B4E">
        <w:fldChar w:fldCharType="end"/>
      </w:r>
      <w:r w:rsidRPr="00EE0004" w:rsidR="008612C7">
        <w:t xml:space="preserve"> above). On the other hand, the prison hospital</w:t>
      </w:r>
      <w:r w:rsidRPr="00EE0004">
        <w:t>’</w:t>
      </w:r>
      <w:r w:rsidRPr="00EE0004" w:rsidR="008612C7">
        <w:t xml:space="preserve">s doctors </w:t>
      </w:r>
      <w:r w:rsidRPr="00EE0004" w:rsidR="003C1758">
        <w:t>sta</w:t>
      </w:r>
      <w:r w:rsidRPr="00EE0004" w:rsidR="008612C7">
        <w:t>ted that he was able to walk unaided and to look after himself (see paragraphs</w:t>
      </w:r>
      <w:r w:rsidRPr="00EE0004" w:rsidR="008A1657">
        <w:t xml:space="preserve"> </w:t>
      </w:r>
      <w:r w:rsidRPr="00EE0004" w:rsidR="008D1B4E">
        <w:fldChar w:fldCharType="begin"/>
      </w:r>
      <w:r w:rsidRPr="00EE0004" w:rsidR="008D1B4E">
        <w:instrText xml:space="preserve"> REF a14 \h </w:instrText>
      </w:r>
      <w:r w:rsidRPr="00EE0004" w:rsidR="006E3933">
        <w:instrText xml:space="preserve"> \* MERGEFORMAT </w:instrText>
      </w:r>
      <w:r w:rsidRPr="00EE0004" w:rsidR="008D1B4E">
        <w:fldChar w:fldCharType="separate"/>
      </w:r>
      <w:r w:rsidRPr="00EE0004">
        <w:rPr>
          <w:noProof/>
        </w:rPr>
        <w:t>15</w:t>
      </w:r>
      <w:r w:rsidRPr="00EE0004" w:rsidR="008D1B4E">
        <w:fldChar w:fldCharType="end"/>
      </w:r>
      <w:r w:rsidRPr="00EE0004" w:rsidR="008A1657">
        <w:t xml:space="preserve"> and </w:t>
      </w:r>
      <w:r w:rsidRPr="00EE0004" w:rsidR="008D1B4E">
        <w:fldChar w:fldCharType="begin"/>
      </w:r>
      <w:r w:rsidRPr="00EE0004" w:rsidR="008D1B4E">
        <w:instrText xml:space="preserve"> REF q18 \h </w:instrText>
      </w:r>
      <w:r w:rsidRPr="00EE0004" w:rsidR="006E3933">
        <w:instrText xml:space="preserve"> \* MERGEFORMAT </w:instrText>
      </w:r>
      <w:r w:rsidRPr="00EE0004" w:rsidR="008D1B4E">
        <w:fldChar w:fldCharType="separate"/>
      </w:r>
      <w:r w:rsidRPr="00EE0004">
        <w:rPr>
          <w:noProof/>
          <w:lang w:val="en-GB"/>
        </w:rPr>
        <w:t>19</w:t>
      </w:r>
      <w:r w:rsidRPr="00EE0004" w:rsidR="008D1B4E">
        <w:fldChar w:fldCharType="end"/>
      </w:r>
      <w:r w:rsidRPr="00EE0004" w:rsidR="008612C7">
        <w:t xml:space="preserve"> above).</w:t>
      </w:r>
    </w:p>
    <w:p w:rsidRPr="00EE0004" w:rsidR="008612C7" w:rsidP="00EE0004" w:rsidRDefault="00EE0004">
      <w:pPr>
        <w:pStyle w:val="ECHRPara"/>
      </w:pPr>
      <w:fldSimple w:instr=" SEQ level0 \*arabic ">
        <w:r w:rsidRPr="00EE0004">
          <w:rPr>
            <w:noProof/>
          </w:rPr>
          <w:t>44</w:t>
        </w:r>
      </w:fldSimple>
      <w:r w:rsidRPr="00EE0004" w:rsidR="008612C7">
        <w:t>.  </w:t>
      </w:r>
      <w:r w:rsidRPr="00EE0004" w:rsidR="003C1758">
        <w:t>T</w:t>
      </w:r>
      <w:r w:rsidRPr="00EE0004" w:rsidR="008612C7">
        <w:t xml:space="preserve">he assessment of </w:t>
      </w:r>
      <w:r w:rsidRPr="00EE0004" w:rsidR="003C1758">
        <w:t>the</w:t>
      </w:r>
      <w:r w:rsidRPr="00EE0004" w:rsidR="008612C7">
        <w:t xml:space="preserve"> degree of a person</w:t>
      </w:r>
      <w:r w:rsidRPr="00EE0004">
        <w:t>’</w:t>
      </w:r>
      <w:r w:rsidRPr="00EE0004" w:rsidR="008612C7">
        <w:t xml:space="preserve">s autonomy and his or her need in </w:t>
      </w:r>
      <w:r w:rsidRPr="00EE0004" w:rsidR="003C1758">
        <w:t xml:space="preserve">terms of </w:t>
      </w:r>
      <w:r w:rsidRPr="00EE0004" w:rsidR="008612C7">
        <w:t xml:space="preserve">nursing assistance is based on multiple factors, </w:t>
      </w:r>
      <w:r w:rsidRPr="00EE0004" w:rsidR="003C1758">
        <w:t xml:space="preserve">rather than </w:t>
      </w:r>
      <w:r w:rsidRPr="00EE0004" w:rsidR="008612C7">
        <w:t xml:space="preserve">being limited </w:t>
      </w:r>
      <w:r w:rsidRPr="00EE0004" w:rsidR="003C1758">
        <w:t>me</w:t>
      </w:r>
      <w:r w:rsidRPr="00EE0004" w:rsidR="008612C7">
        <w:t>rely</w:t>
      </w:r>
      <w:r w:rsidRPr="00EE0004" w:rsidR="003C1758">
        <w:t xml:space="preserve"> to the</w:t>
      </w:r>
      <w:r w:rsidRPr="00EE0004" w:rsidR="008612C7">
        <w:t xml:space="preserve"> medical condition of a damaged organ, and therefore requires specific expertise in the matter, rather than general medical knowledge</w:t>
      </w:r>
      <w:r w:rsidRPr="00EE0004" w:rsidR="003C1758">
        <w:t>.</w:t>
      </w:r>
      <w:r w:rsidRPr="00EE0004" w:rsidR="008612C7">
        <w:t xml:space="preserve"> </w:t>
      </w:r>
      <w:r w:rsidRPr="00EE0004" w:rsidR="003C1758">
        <w:t>T</w:t>
      </w:r>
      <w:r w:rsidRPr="00EE0004" w:rsidR="008612C7">
        <w:t>h</w:t>
      </w:r>
      <w:r w:rsidRPr="00EE0004" w:rsidR="003C1758">
        <w:t>is being so, the</w:t>
      </w:r>
      <w:r w:rsidRPr="00EE0004" w:rsidR="008612C7">
        <w:t xml:space="preserve"> Court gives credence to the conclusion of the social security medical assessment board. Unlike the prison hospital</w:t>
      </w:r>
      <w:r w:rsidRPr="00EE0004">
        <w:t>’</w:t>
      </w:r>
      <w:r w:rsidRPr="00EE0004" w:rsidR="008612C7">
        <w:t>s doctors, th</w:t>
      </w:r>
      <w:r w:rsidRPr="00EE0004" w:rsidR="003C1758">
        <w:t>is</w:t>
      </w:r>
      <w:r w:rsidRPr="00EE0004" w:rsidR="008612C7">
        <w:t xml:space="preserve"> board was a </w:t>
      </w:r>
      <w:proofErr w:type="spellStart"/>
      <w:r w:rsidRPr="00EE0004" w:rsidR="008612C7">
        <w:t>specialised</w:t>
      </w:r>
      <w:proofErr w:type="spellEnd"/>
      <w:r w:rsidRPr="00EE0004" w:rsidR="008612C7">
        <w:t xml:space="preserve"> body equipped to perform </w:t>
      </w:r>
      <w:r w:rsidRPr="00EE0004" w:rsidR="003C1758">
        <w:t xml:space="preserve">an </w:t>
      </w:r>
      <w:r w:rsidRPr="00EE0004" w:rsidR="008612C7">
        <w:t>all-round assessment and to d</w:t>
      </w:r>
      <w:r w:rsidRPr="00EE0004" w:rsidR="003C1758">
        <w:t>eliv</w:t>
      </w:r>
      <w:r w:rsidRPr="00EE0004" w:rsidR="008612C7">
        <w:t xml:space="preserve">er a binding decision on </w:t>
      </w:r>
      <w:r w:rsidRPr="00EE0004" w:rsidR="003C1758">
        <w:t>the</w:t>
      </w:r>
      <w:r w:rsidRPr="00EE0004" w:rsidR="008612C7">
        <w:t xml:space="preserve"> degree of person</w:t>
      </w:r>
      <w:r w:rsidRPr="00EE0004">
        <w:t>’</w:t>
      </w:r>
      <w:r w:rsidRPr="00EE0004" w:rsidR="008612C7">
        <w:t xml:space="preserve">s disability and the level of his or her social and physical limitations </w:t>
      </w:r>
      <w:r w:rsidRPr="00EE0004" w:rsidR="003C1758">
        <w:t xml:space="preserve">thereby implied </w:t>
      </w:r>
      <w:r w:rsidRPr="00EE0004" w:rsidR="008612C7">
        <w:t xml:space="preserve">(see paragraph </w:t>
      </w:r>
      <w:r w:rsidRPr="00EE0004" w:rsidR="008D1B4E">
        <w:fldChar w:fldCharType="begin"/>
      </w:r>
      <w:r w:rsidRPr="00EE0004" w:rsidR="008D1B4E">
        <w:instrText xml:space="preserve"> REF q28 \h </w:instrText>
      </w:r>
      <w:r w:rsidRPr="00EE0004" w:rsidR="006E3933">
        <w:instrText xml:space="preserve"> \* MERGEFORMAT </w:instrText>
      </w:r>
      <w:r w:rsidRPr="00EE0004" w:rsidR="008D1B4E">
        <w:fldChar w:fldCharType="separate"/>
      </w:r>
      <w:r w:rsidRPr="00EE0004">
        <w:rPr>
          <w:noProof/>
        </w:rPr>
        <w:t>28</w:t>
      </w:r>
      <w:r w:rsidRPr="00EE0004" w:rsidR="008D1B4E">
        <w:fldChar w:fldCharType="end"/>
      </w:r>
      <w:r w:rsidRPr="00EE0004" w:rsidR="008D1B4E">
        <w:t xml:space="preserve"> </w:t>
      </w:r>
      <w:r w:rsidRPr="00EE0004" w:rsidR="008612C7">
        <w:t xml:space="preserve">above). The Court therefore </w:t>
      </w:r>
      <w:r w:rsidRPr="00EE0004" w:rsidR="0006641E">
        <w:t>accepts</w:t>
      </w:r>
      <w:r w:rsidRPr="00EE0004" w:rsidR="008612C7">
        <w:t xml:space="preserve"> that the applicant was in need of </w:t>
      </w:r>
      <w:r w:rsidRPr="00EE0004" w:rsidR="0006641E">
        <w:t xml:space="preserve">regular </w:t>
      </w:r>
      <w:r w:rsidRPr="00EE0004" w:rsidR="008612C7">
        <w:t>nursing assistance.</w:t>
      </w:r>
    </w:p>
    <w:p w:rsidRPr="00EE0004" w:rsidR="008612C7" w:rsidP="00EE0004" w:rsidRDefault="00EE0004">
      <w:pPr>
        <w:pStyle w:val="ECHRPara"/>
      </w:pPr>
      <w:fldSimple w:instr=" SEQ level0 \*arabic ">
        <w:r w:rsidRPr="00EE0004">
          <w:rPr>
            <w:noProof/>
          </w:rPr>
          <w:t>45</w:t>
        </w:r>
      </w:fldSimple>
      <w:r w:rsidRPr="00EE0004" w:rsidR="008612C7">
        <w:t xml:space="preserve">.  The fact that no such assistance had been arranged in the remand prison or correctional colonies is </w:t>
      </w:r>
      <w:r w:rsidRPr="00EE0004" w:rsidR="002931CB">
        <w:t>not disputed by the Government.</w:t>
      </w:r>
    </w:p>
    <w:p w:rsidRPr="00EE0004" w:rsidR="008612C7" w:rsidP="00EE0004" w:rsidRDefault="00EE0004">
      <w:pPr>
        <w:pStyle w:val="ECHRPara"/>
        <w:rPr>
          <w:i/>
        </w:rPr>
      </w:pPr>
      <w:fldSimple w:instr=" SEQ level0 \*arabic ">
        <w:r w:rsidRPr="00EE0004">
          <w:rPr>
            <w:noProof/>
          </w:rPr>
          <w:t>46</w:t>
        </w:r>
      </w:fldSimple>
      <w:r w:rsidRPr="00EE0004" w:rsidR="008612C7">
        <w:t xml:space="preserve">.  The Court reiterates that it has </w:t>
      </w:r>
      <w:r w:rsidRPr="00EE0004" w:rsidR="003C1758">
        <w:t>p</w:t>
      </w:r>
      <w:r w:rsidRPr="00EE0004" w:rsidR="008612C7">
        <w:t>re</w:t>
      </w:r>
      <w:r w:rsidRPr="00EE0004" w:rsidR="003C1758">
        <w:t>viousl</w:t>
      </w:r>
      <w:r w:rsidRPr="00EE0004" w:rsidR="008612C7">
        <w:t>y found violation</w:t>
      </w:r>
      <w:r w:rsidRPr="00EE0004" w:rsidR="003C1758">
        <w:t>s</w:t>
      </w:r>
      <w:r w:rsidRPr="00EE0004" w:rsidR="008612C7">
        <w:t xml:space="preserve"> of Article</w:t>
      </w:r>
      <w:r w:rsidRPr="00EE0004" w:rsidR="003C1758">
        <w:t> </w:t>
      </w:r>
      <w:r w:rsidRPr="00EE0004" w:rsidR="008612C7">
        <w:t xml:space="preserve">3 of the Convention on account of the lack of professional nursing assistance </w:t>
      </w:r>
      <w:r w:rsidRPr="00EE0004" w:rsidR="003C1758">
        <w:t xml:space="preserve">available to </w:t>
      </w:r>
      <w:r w:rsidRPr="00EE0004" w:rsidR="008612C7">
        <w:t>part</w:t>
      </w:r>
      <w:r w:rsidRPr="00EE0004" w:rsidR="00C33E24">
        <w:t>ial</w:t>
      </w:r>
      <w:r w:rsidRPr="00EE0004" w:rsidR="008612C7">
        <w:t xml:space="preserve">ly </w:t>
      </w:r>
      <w:proofErr w:type="spellStart"/>
      <w:r w:rsidRPr="00EE0004" w:rsidR="008612C7">
        <w:t>paralysed</w:t>
      </w:r>
      <w:proofErr w:type="spellEnd"/>
      <w:r w:rsidRPr="00EE0004" w:rsidR="008612C7">
        <w:t xml:space="preserve"> prisoners (see </w:t>
      </w:r>
      <w:proofErr w:type="spellStart"/>
      <w:r w:rsidRPr="00EE0004" w:rsidR="008612C7">
        <w:rPr>
          <w:i/>
        </w:rPr>
        <w:t>Topekhin</w:t>
      </w:r>
      <w:proofErr w:type="spellEnd"/>
      <w:r w:rsidRPr="00EE0004" w:rsidR="008612C7">
        <w:rPr>
          <w:i/>
        </w:rPr>
        <w:t xml:space="preserve">, </w:t>
      </w:r>
      <w:r w:rsidRPr="00EE0004" w:rsidR="008612C7">
        <w:t xml:space="preserve">cited above, §§ 85-88; </w:t>
      </w:r>
      <w:proofErr w:type="spellStart"/>
      <w:r w:rsidRPr="00EE0004" w:rsidR="00374D62">
        <w:rPr>
          <w:i/>
          <w:lang w:val="en-GB"/>
        </w:rPr>
        <w:t>Semikhvostov</w:t>
      </w:r>
      <w:proofErr w:type="spellEnd"/>
      <w:r w:rsidRPr="00EE0004" w:rsidR="00374D62">
        <w:rPr>
          <w:i/>
          <w:lang w:val="en-GB"/>
        </w:rPr>
        <w:t xml:space="preserve"> v. Russia</w:t>
      </w:r>
      <w:r w:rsidRPr="00EE0004" w:rsidR="00374D62">
        <w:rPr>
          <w:lang w:val="en-GB"/>
        </w:rPr>
        <w:t>, no. 2689/12</w:t>
      </w:r>
      <w:r w:rsidRPr="00EE0004" w:rsidR="00374D62">
        <w:rPr>
          <w:snapToGrid w:val="0"/>
          <w:lang w:val="en-GB"/>
        </w:rPr>
        <w:t xml:space="preserve">, </w:t>
      </w:r>
      <w:r w:rsidRPr="00EE0004" w:rsidR="00374D62">
        <w:rPr>
          <w:snapToGrid w:val="0"/>
        </w:rPr>
        <w:t>§§ 85-86</w:t>
      </w:r>
      <w:r w:rsidRPr="00EE0004" w:rsidR="00374D62">
        <w:rPr>
          <w:snapToGrid w:val="0"/>
          <w:lang w:val="en-GB"/>
        </w:rPr>
        <w:t xml:space="preserve">, </w:t>
      </w:r>
      <w:r w:rsidRPr="00EE0004" w:rsidR="00374D62">
        <w:rPr>
          <w:lang w:val="en-GB"/>
        </w:rPr>
        <w:t>6</w:t>
      </w:r>
      <w:r w:rsidRPr="00EE0004" w:rsidR="002931CB">
        <w:rPr>
          <w:lang w:val="en-GB"/>
        </w:rPr>
        <w:t> </w:t>
      </w:r>
      <w:r w:rsidRPr="00EE0004" w:rsidR="00374D62">
        <w:rPr>
          <w:snapToGrid w:val="0"/>
          <w:lang w:val="en-GB"/>
        </w:rPr>
        <w:t>February</w:t>
      </w:r>
      <w:r w:rsidRPr="00EE0004" w:rsidR="002931CB">
        <w:rPr>
          <w:snapToGrid w:val="0"/>
          <w:lang w:val="en-GB"/>
        </w:rPr>
        <w:t> </w:t>
      </w:r>
      <w:r w:rsidRPr="00EE0004" w:rsidR="00374D62">
        <w:rPr>
          <w:snapToGrid w:val="0"/>
          <w:lang w:val="en-GB"/>
        </w:rPr>
        <w:t>2014</w:t>
      </w:r>
      <w:r w:rsidRPr="00EE0004" w:rsidR="00374D62">
        <w:t xml:space="preserve">; </w:t>
      </w:r>
      <w:proofErr w:type="spellStart"/>
      <w:r w:rsidRPr="00EE0004" w:rsidR="008612C7">
        <w:rPr>
          <w:i/>
          <w:snapToGrid w:val="0"/>
          <w:lang w:val="en-GB"/>
        </w:rPr>
        <w:t>Grimailovs</w:t>
      </w:r>
      <w:proofErr w:type="spellEnd"/>
      <w:r w:rsidRPr="00EE0004" w:rsidR="008612C7">
        <w:rPr>
          <w:i/>
          <w:snapToGrid w:val="0"/>
          <w:lang w:val="en-GB"/>
        </w:rPr>
        <w:t xml:space="preserve"> v. Latvia</w:t>
      </w:r>
      <w:r w:rsidRPr="00EE0004" w:rsidR="008612C7">
        <w:rPr>
          <w:snapToGrid w:val="0"/>
          <w:lang w:val="en-GB"/>
        </w:rPr>
        <w:t>, no. 6087/03, §§ 161-62, 25</w:t>
      </w:r>
      <w:r w:rsidRPr="00EE0004" w:rsidR="002931CB">
        <w:rPr>
          <w:snapToGrid w:val="0"/>
          <w:lang w:val="en-GB"/>
        </w:rPr>
        <w:t> </w:t>
      </w:r>
      <w:r w:rsidRPr="00EE0004" w:rsidR="008612C7">
        <w:rPr>
          <w:snapToGrid w:val="0"/>
          <w:lang w:val="en-GB"/>
        </w:rPr>
        <w:t>June</w:t>
      </w:r>
      <w:r w:rsidRPr="00EE0004" w:rsidR="002931CB">
        <w:rPr>
          <w:snapToGrid w:val="0"/>
          <w:lang w:val="en-GB"/>
        </w:rPr>
        <w:t> </w:t>
      </w:r>
      <w:r w:rsidRPr="00EE0004" w:rsidR="008612C7">
        <w:rPr>
          <w:snapToGrid w:val="0"/>
          <w:lang w:val="en-GB"/>
        </w:rPr>
        <w:t xml:space="preserve">2013; </w:t>
      </w:r>
      <w:r w:rsidRPr="00EE0004" w:rsidR="008612C7">
        <w:rPr>
          <w:i/>
          <w:lang w:val="en-GB"/>
        </w:rPr>
        <w:t>D.G. v. Poland</w:t>
      </w:r>
      <w:r w:rsidRPr="00EE0004" w:rsidR="008612C7">
        <w:rPr>
          <w:lang w:val="en-GB"/>
        </w:rPr>
        <w:t>, no. 45705/07</w:t>
      </w:r>
      <w:r w:rsidRPr="00EE0004" w:rsidR="008612C7">
        <w:rPr>
          <w:snapToGrid w:val="0"/>
          <w:lang w:val="en-GB"/>
        </w:rPr>
        <w:t>, § 177, 12 February 2013</w:t>
      </w:r>
      <w:r w:rsidRPr="00EE0004" w:rsidR="00C869BF">
        <w:rPr>
          <w:snapToGrid w:val="0"/>
          <w:lang w:val="en-GB"/>
        </w:rPr>
        <w:t>;</w:t>
      </w:r>
      <w:r w:rsidRPr="00EE0004" w:rsidR="008612C7">
        <w:rPr>
          <w:snapToGrid w:val="0"/>
          <w:lang w:val="en-GB"/>
        </w:rPr>
        <w:t xml:space="preserve"> and </w:t>
      </w:r>
      <w:proofErr w:type="spellStart"/>
      <w:r w:rsidRPr="00EE0004" w:rsidR="008612C7">
        <w:rPr>
          <w:i/>
          <w:snapToGrid w:val="0"/>
          <w:lang w:val="en-GB"/>
        </w:rPr>
        <w:t>Kaprykowski</w:t>
      </w:r>
      <w:proofErr w:type="spellEnd"/>
      <w:r w:rsidRPr="00EE0004" w:rsidR="008612C7">
        <w:rPr>
          <w:i/>
          <w:snapToGrid w:val="0"/>
          <w:lang w:val="en-GB"/>
        </w:rPr>
        <w:t xml:space="preserve"> v. Poland</w:t>
      </w:r>
      <w:r w:rsidRPr="00EE0004" w:rsidR="008612C7">
        <w:rPr>
          <w:snapToGrid w:val="0"/>
          <w:lang w:val="en-GB"/>
        </w:rPr>
        <w:t xml:space="preserve">, no. 23052/05, § 74, 3 February 2009). It sees no reason to reach a different conclusion in the present case. </w:t>
      </w:r>
      <w:r w:rsidRPr="00EE0004" w:rsidR="003C1758">
        <w:rPr>
          <w:snapToGrid w:val="0"/>
          <w:lang w:val="en-GB"/>
        </w:rPr>
        <w:t>T</w:t>
      </w:r>
      <w:r w:rsidRPr="00EE0004" w:rsidR="008612C7">
        <w:rPr>
          <w:snapToGrid w:val="0"/>
        </w:rPr>
        <w:t>he applicant</w:t>
      </w:r>
      <w:r w:rsidRPr="00EE0004">
        <w:rPr>
          <w:snapToGrid w:val="0"/>
        </w:rPr>
        <w:t>’</w:t>
      </w:r>
      <w:r w:rsidRPr="00EE0004" w:rsidR="008612C7">
        <w:rPr>
          <w:snapToGrid w:val="0"/>
        </w:rPr>
        <w:t>s dependence on his inmates</w:t>
      </w:r>
      <w:r w:rsidRPr="00EE0004" w:rsidR="00F408C1">
        <w:rPr>
          <w:snapToGrid w:val="0"/>
        </w:rPr>
        <w:t xml:space="preserve"> over a period of several</w:t>
      </w:r>
      <w:r w:rsidRPr="00EE0004" w:rsidR="003C1758">
        <w:rPr>
          <w:snapToGrid w:val="0"/>
        </w:rPr>
        <w:t xml:space="preserve"> years</w:t>
      </w:r>
      <w:r w:rsidRPr="00EE0004" w:rsidR="008612C7">
        <w:rPr>
          <w:snapToGrid w:val="0"/>
        </w:rPr>
        <w:t xml:space="preserve"> and the need to ask for their help with hygiene procedures put him in a very uncomfortable position and adversely affected his emotional well-being. The Court therefore finds that the conditions of his detention amounted to inhuman and degrading treatment. There has thus been a violation of Article 3 of the Convention on that account.</w:t>
      </w:r>
    </w:p>
    <w:p w:rsidRPr="00EE0004" w:rsidR="008612C7" w:rsidP="00EE0004" w:rsidRDefault="008612C7">
      <w:pPr>
        <w:pStyle w:val="ECHRHeading1"/>
        <w:rPr>
          <w:lang w:val="en-GB"/>
        </w:rPr>
      </w:pPr>
      <w:r w:rsidRPr="00EE0004">
        <w:rPr>
          <w:lang w:val="en-GB"/>
        </w:rPr>
        <w:t>III.</w:t>
      </w:r>
      <w:proofErr w:type="gramStart"/>
      <w:r w:rsidRPr="00EE0004">
        <w:rPr>
          <w:lang w:val="en-GB"/>
        </w:rPr>
        <w:t>  OTHER</w:t>
      </w:r>
      <w:proofErr w:type="gramEnd"/>
      <w:r w:rsidRPr="00EE0004">
        <w:rPr>
          <w:lang w:val="en-GB"/>
        </w:rPr>
        <w:t xml:space="preserve"> ALLEGED VIOLATIONS OF THE CONVENTION</w:t>
      </w:r>
    </w:p>
    <w:p w:rsidRPr="00EE0004" w:rsidR="008612C7" w:rsidP="00EE0004" w:rsidRDefault="008612C7">
      <w:pPr>
        <w:pStyle w:val="ECHRPara"/>
        <w:rPr>
          <w:lang w:val="en-GB"/>
        </w:rPr>
      </w:pPr>
      <w:r w:rsidRPr="00EE0004">
        <w:rPr>
          <w:lang w:val="en-GB"/>
        </w:rPr>
        <w:fldChar w:fldCharType="begin"/>
      </w:r>
      <w:r w:rsidRPr="00EE0004">
        <w:rPr>
          <w:lang w:val="en-GB"/>
        </w:rPr>
        <w:instrText xml:space="preserve"> SEQ level0 \*arabic </w:instrText>
      </w:r>
      <w:r w:rsidRPr="00EE0004">
        <w:rPr>
          <w:lang w:val="en-GB"/>
        </w:rPr>
        <w:fldChar w:fldCharType="separate"/>
      </w:r>
      <w:r w:rsidRPr="00EE0004" w:rsidR="00EE0004">
        <w:rPr>
          <w:noProof/>
          <w:lang w:val="en-GB"/>
        </w:rPr>
        <w:t>47</w:t>
      </w:r>
      <w:r w:rsidRPr="00EE0004">
        <w:rPr>
          <w:lang w:val="en-GB"/>
        </w:rPr>
        <w:fldChar w:fldCharType="end"/>
      </w:r>
      <w:r w:rsidRPr="00EE0004">
        <w:rPr>
          <w:lang w:val="en-GB"/>
        </w:rPr>
        <w:t>.  Lastly, the applicant complained under Articles 6 and 13 of the Convention that the criminal proceedings against him a</w:t>
      </w:r>
      <w:r w:rsidRPr="00EE0004" w:rsidR="003C1758">
        <w:rPr>
          <w:lang w:val="en-GB"/>
        </w:rPr>
        <w:t>nd the</w:t>
      </w:r>
      <w:r w:rsidRPr="00EE0004">
        <w:rPr>
          <w:lang w:val="en-GB"/>
        </w:rPr>
        <w:t xml:space="preserve"> proceedings concerning his early relea</w:t>
      </w:r>
      <w:r w:rsidRPr="00EE0004" w:rsidR="002931CB">
        <w:rPr>
          <w:lang w:val="en-GB"/>
        </w:rPr>
        <w:t>se had been lengthy and unfair.</w:t>
      </w:r>
    </w:p>
    <w:p w:rsidRPr="00EE0004" w:rsidR="008612C7" w:rsidP="00EE0004" w:rsidRDefault="008612C7">
      <w:pPr>
        <w:pStyle w:val="ECHRPara"/>
      </w:pPr>
      <w:r w:rsidRPr="00EE0004">
        <w:rPr>
          <w:lang w:val="en-GB"/>
        </w:rPr>
        <w:fldChar w:fldCharType="begin"/>
      </w:r>
      <w:r w:rsidRPr="00EE0004">
        <w:rPr>
          <w:lang w:val="en-GB"/>
        </w:rPr>
        <w:instrText xml:space="preserve"> SEQ level0 \*arabic </w:instrText>
      </w:r>
      <w:r w:rsidRPr="00EE0004">
        <w:rPr>
          <w:lang w:val="en-GB"/>
        </w:rPr>
        <w:fldChar w:fldCharType="separate"/>
      </w:r>
      <w:r w:rsidRPr="00EE0004" w:rsidR="00EE0004">
        <w:rPr>
          <w:noProof/>
          <w:lang w:val="en-GB"/>
        </w:rPr>
        <w:t>48</w:t>
      </w:r>
      <w:r w:rsidRPr="00EE0004">
        <w:rPr>
          <w:lang w:val="en-GB"/>
        </w:rPr>
        <w:fldChar w:fldCharType="end"/>
      </w:r>
      <w:r w:rsidRPr="00EE0004">
        <w:rPr>
          <w:lang w:val="en-GB"/>
        </w:rPr>
        <w:t>.  </w:t>
      </w:r>
      <w:r w:rsidRPr="00EE0004">
        <w:t xml:space="preserve">The Court considers that, in the light of all the material in its possession and in so far as the matters complained of </w:t>
      </w:r>
      <w:proofErr w:type="gramStart"/>
      <w:r w:rsidRPr="00EE0004">
        <w:t>are</w:t>
      </w:r>
      <w:proofErr w:type="gramEnd"/>
      <w:r w:rsidRPr="00EE0004">
        <w:t xml:space="preserve"> within its competence, those complaints do not disclose any appearance of a violation of the rights and freedoms set out in the Convention or its Protocols. Accordingly, the Court rejects them as manifestly ill-founded, pursuant to Article 35 §§ 3 (a) and 4 of the Convention.</w:t>
      </w:r>
    </w:p>
    <w:p w:rsidRPr="00EE0004" w:rsidR="008612C7" w:rsidP="00EE0004" w:rsidRDefault="008612C7">
      <w:pPr>
        <w:pStyle w:val="ECHRHeading1"/>
        <w:rPr>
          <w:lang w:val="en-GB"/>
        </w:rPr>
      </w:pPr>
      <w:r w:rsidRPr="00EE0004">
        <w:rPr>
          <w:lang w:val="en-GB"/>
        </w:rPr>
        <w:t>IV.</w:t>
      </w:r>
      <w:proofErr w:type="gramStart"/>
      <w:r w:rsidRPr="00EE0004">
        <w:rPr>
          <w:lang w:val="en-GB"/>
        </w:rPr>
        <w:t>  APPLICATION</w:t>
      </w:r>
      <w:proofErr w:type="gramEnd"/>
      <w:r w:rsidRPr="00EE0004">
        <w:rPr>
          <w:lang w:val="en-GB"/>
        </w:rPr>
        <w:t xml:space="preserve"> OF ARTICLE 41 OF THE CONVENTION</w:t>
      </w:r>
    </w:p>
    <w:p w:rsidRPr="00EE0004" w:rsidR="008612C7" w:rsidP="00EE0004" w:rsidRDefault="008612C7">
      <w:pPr>
        <w:pStyle w:val="ECHRPara"/>
        <w:keepNext/>
        <w:keepLines/>
        <w:rPr>
          <w:lang w:val="en-GB"/>
        </w:rPr>
      </w:pPr>
      <w:r w:rsidRPr="00EE0004">
        <w:rPr>
          <w:lang w:val="en-GB"/>
        </w:rPr>
        <w:fldChar w:fldCharType="begin"/>
      </w:r>
      <w:r w:rsidRPr="00EE0004">
        <w:rPr>
          <w:lang w:val="en-GB"/>
        </w:rPr>
        <w:instrText xml:space="preserve"> SEQ level0 \*arabic </w:instrText>
      </w:r>
      <w:r w:rsidRPr="00EE0004">
        <w:rPr>
          <w:lang w:val="en-GB"/>
        </w:rPr>
        <w:fldChar w:fldCharType="separate"/>
      </w:r>
      <w:r w:rsidRPr="00EE0004" w:rsidR="00EE0004">
        <w:rPr>
          <w:noProof/>
          <w:lang w:val="en-GB"/>
        </w:rPr>
        <w:t>49</w:t>
      </w:r>
      <w:r w:rsidRPr="00EE0004">
        <w:rPr>
          <w:lang w:val="en-GB"/>
        </w:rPr>
        <w:fldChar w:fldCharType="end"/>
      </w:r>
      <w:r w:rsidRPr="00EE0004">
        <w:rPr>
          <w:lang w:val="en-GB"/>
        </w:rPr>
        <w:t>.  Article 41 of the Convention provides:</w:t>
      </w:r>
    </w:p>
    <w:p w:rsidRPr="00EE0004" w:rsidR="008612C7" w:rsidP="00EE0004" w:rsidRDefault="008612C7">
      <w:pPr>
        <w:pStyle w:val="ECHRParaQuote"/>
        <w:keepNext/>
        <w:keepLines/>
        <w:rPr>
          <w:lang w:val="en-GB"/>
        </w:rPr>
      </w:pPr>
      <w:r w:rsidRPr="00EE0004">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EE0004" w:rsidR="008612C7" w:rsidP="00EE0004" w:rsidRDefault="008612C7">
      <w:pPr>
        <w:pStyle w:val="ECHRPara"/>
        <w:keepNext/>
        <w:keepLines/>
        <w:rPr>
          <w:lang w:val="en-GB"/>
        </w:rPr>
      </w:pPr>
      <w:r w:rsidRPr="00EE0004">
        <w:rPr>
          <w:lang w:val="en-GB"/>
        </w:rPr>
        <w:fldChar w:fldCharType="begin"/>
      </w:r>
      <w:r w:rsidRPr="00EE0004">
        <w:rPr>
          <w:lang w:val="en-GB"/>
        </w:rPr>
        <w:instrText xml:space="preserve"> SEQ level0 \*arabic </w:instrText>
      </w:r>
      <w:r w:rsidRPr="00EE0004">
        <w:rPr>
          <w:lang w:val="en-GB"/>
        </w:rPr>
        <w:fldChar w:fldCharType="separate"/>
      </w:r>
      <w:r w:rsidRPr="00EE0004" w:rsidR="00EE0004">
        <w:rPr>
          <w:noProof/>
          <w:lang w:val="en-GB"/>
        </w:rPr>
        <w:t>50</w:t>
      </w:r>
      <w:r w:rsidRPr="00EE0004">
        <w:rPr>
          <w:lang w:val="en-GB"/>
        </w:rPr>
        <w:fldChar w:fldCharType="end"/>
      </w:r>
      <w:r w:rsidRPr="00EE0004">
        <w:rPr>
          <w:lang w:val="en-GB"/>
        </w:rPr>
        <w:t>.  The applicant did not submit a claim for just satisfaction. Accordingly, the Court considers that there is no call to award him any sum on that account.</w:t>
      </w:r>
    </w:p>
    <w:p w:rsidRPr="00EE0004" w:rsidR="00014566" w:rsidP="00EE0004" w:rsidRDefault="00BB5883">
      <w:pPr>
        <w:pStyle w:val="ECHRTitle1"/>
        <w:rPr>
          <w:lang w:val="en-GB"/>
        </w:rPr>
      </w:pPr>
      <w:r w:rsidRPr="00EE0004">
        <w:rPr>
          <w:lang w:val="en-GB"/>
        </w:rPr>
        <w:t>FOR THESE REASONS, THE COURT</w:t>
      </w:r>
      <w:r w:rsidRPr="00EE0004" w:rsidR="00B11BAD">
        <w:rPr>
          <w:lang w:val="en-GB"/>
        </w:rPr>
        <w:t xml:space="preserve">, </w:t>
      </w:r>
      <w:r w:rsidRPr="00EE0004" w:rsidR="00B5303A">
        <w:rPr>
          <w:lang w:val="en-GB"/>
        </w:rPr>
        <w:t>UNANIMOUSLY</w:t>
      </w:r>
    </w:p>
    <w:p w:rsidRPr="00EE0004" w:rsidR="008612C7" w:rsidP="00EE0004" w:rsidRDefault="008612C7">
      <w:pPr>
        <w:pStyle w:val="JuList"/>
        <w:rPr>
          <w:lang w:val="en-GB"/>
        </w:rPr>
      </w:pPr>
      <w:r w:rsidRPr="00EE0004">
        <w:rPr>
          <w:lang w:val="en-GB"/>
        </w:rPr>
        <w:t>1.  </w:t>
      </w:r>
      <w:proofErr w:type="gramStart"/>
      <w:r w:rsidRPr="00EE0004">
        <w:rPr>
          <w:i/>
          <w:lang w:val="en-GB"/>
        </w:rPr>
        <w:t>Declares</w:t>
      </w:r>
      <w:proofErr w:type="gramEnd"/>
      <w:r w:rsidRPr="00EE0004">
        <w:rPr>
          <w:lang w:val="en-GB"/>
        </w:rPr>
        <w:t xml:space="preserve"> the complaint concerning the conditions of the applicant</w:t>
      </w:r>
      <w:r w:rsidRPr="00EE0004" w:rsidR="00EE0004">
        <w:rPr>
          <w:lang w:val="en-GB"/>
        </w:rPr>
        <w:t>’</w:t>
      </w:r>
      <w:r w:rsidRPr="00EE0004">
        <w:rPr>
          <w:lang w:val="en-GB"/>
        </w:rPr>
        <w:t>s detention admissible and the remainder of the application inadmissible;</w:t>
      </w:r>
    </w:p>
    <w:p w:rsidRPr="00EE0004" w:rsidR="008612C7" w:rsidP="00EE0004" w:rsidRDefault="008612C7">
      <w:pPr>
        <w:pStyle w:val="JuList"/>
        <w:ind w:left="0" w:firstLine="0"/>
        <w:rPr>
          <w:lang w:val="en-GB"/>
        </w:rPr>
      </w:pPr>
    </w:p>
    <w:p w:rsidRPr="00EE0004" w:rsidR="008612C7" w:rsidP="00EE0004" w:rsidRDefault="008612C7">
      <w:pPr>
        <w:pStyle w:val="JuList"/>
        <w:rPr>
          <w:lang w:val="en-GB"/>
        </w:rPr>
      </w:pPr>
      <w:r w:rsidRPr="00EE0004">
        <w:rPr>
          <w:lang w:val="en-GB"/>
        </w:rPr>
        <w:t>2.  </w:t>
      </w:r>
      <w:proofErr w:type="gramStart"/>
      <w:r w:rsidRPr="00EE0004">
        <w:rPr>
          <w:i/>
          <w:lang w:val="en-GB"/>
        </w:rPr>
        <w:t>Holds</w:t>
      </w:r>
      <w:proofErr w:type="gramEnd"/>
      <w:r w:rsidRPr="00EE0004">
        <w:rPr>
          <w:lang w:val="en-GB"/>
        </w:rPr>
        <w:t xml:space="preserve"> that there has been a violation of Article 3 of the Convention on account of the conditions of the applicant</w:t>
      </w:r>
      <w:r w:rsidRPr="00EE0004" w:rsidR="00EE0004">
        <w:rPr>
          <w:lang w:val="en-GB"/>
        </w:rPr>
        <w:t>’</w:t>
      </w:r>
      <w:r w:rsidRPr="00EE0004">
        <w:rPr>
          <w:lang w:val="en-GB"/>
        </w:rPr>
        <w:t>s detention</w:t>
      </w:r>
      <w:r w:rsidRPr="00EE0004" w:rsidR="00522205">
        <w:rPr>
          <w:lang w:val="en-GB"/>
        </w:rPr>
        <w:t>.</w:t>
      </w:r>
    </w:p>
    <w:p w:rsidRPr="00EE0004" w:rsidR="008612C7" w:rsidP="00EE0004" w:rsidRDefault="008612C7">
      <w:pPr>
        <w:pStyle w:val="JuParaLast"/>
        <w:rPr>
          <w:lang w:val="en-GB"/>
        </w:rPr>
      </w:pPr>
      <w:r w:rsidRPr="00EE0004">
        <w:rPr>
          <w:lang w:val="en-GB"/>
        </w:rPr>
        <w:t xml:space="preserve">Done in English, and notified in writing on </w:t>
      </w:r>
      <w:r w:rsidRPr="00EE0004" w:rsidR="00F65D8F">
        <w:rPr>
          <w:lang w:val="en-GB"/>
        </w:rPr>
        <w:t>7 March 2017</w:t>
      </w:r>
      <w:r w:rsidRPr="00EE0004">
        <w:rPr>
          <w:lang w:val="en-GB"/>
        </w:rPr>
        <w:t>, pursuant to Rule 77 §§ 2 and 3 of the Rules of Court.</w:t>
      </w:r>
    </w:p>
    <w:p w:rsidRPr="00EE0004" w:rsidR="004D15F3" w:rsidP="00EE0004" w:rsidRDefault="00014566">
      <w:pPr>
        <w:pStyle w:val="JuSigned"/>
        <w:rPr>
          <w:lang w:val="it-IT"/>
        </w:rPr>
      </w:pPr>
      <w:r w:rsidRPr="00EE0004">
        <w:rPr>
          <w:lang w:val="en-GB"/>
        </w:rPr>
        <w:tab/>
      </w:r>
      <w:proofErr w:type="spellStart"/>
      <w:r w:rsidRPr="00EE0004" w:rsidR="00B11BAD">
        <w:rPr>
          <w:lang w:val="it-IT"/>
        </w:rPr>
        <w:t>Fatoş</w:t>
      </w:r>
      <w:proofErr w:type="spellEnd"/>
      <w:r w:rsidRPr="00EE0004" w:rsidR="00B11BAD">
        <w:rPr>
          <w:lang w:val="it-IT"/>
        </w:rPr>
        <w:t xml:space="preserve"> Aracı</w:t>
      </w:r>
      <w:r w:rsidRPr="00EE0004">
        <w:rPr>
          <w:lang w:val="it-IT"/>
        </w:rPr>
        <w:tab/>
      </w:r>
      <w:proofErr w:type="spellStart"/>
      <w:r w:rsidRPr="00EE0004" w:rsidR="00F65D8F">
        <w:rPr>
          <w:lang w:val="it-IT"/>
        </w:rPr>
        <w:t>Branko</w:t>
      </w:r>
      <w:proofErr w:type="spellEnd"/>
      <w:r w:rsidRPr="00EE0004" w:rsidR="00F65D8F">
        <w:rPr>
          <w:lang w:val="it-IT"/>
        </w:rPr>
        <w:t xml:space="preserve"> </w:t>
      </w:r>
      <w:proofErr w:type="spellStart"/>
      <w:r w:rsidRPr="00EE0004" w:rsidR="00F65D8F">
        <w:rPr>
          <w:lang w:val="it-IT"/>
        </w:rPr>
        <w:t>Lubarda</w:t>
      </w:r>
      <w:proofErr w:type="spellEnd"/>
      <w:r w:rsidRPr="00EE0004" w:rsidR="00E1557C">
        <w:rPr>
          <w:szCs w:val="24"/>
          <w:lang w:val="it-IT"/>
        </w:rPr>
        <w:br/>
      </w:r>
      <w:r w:rsidRPr="00EE0004">
        <w:rPr>
          <w:lang w:val="it-IT"/>
        </w:rPr>
        <w:tab/>
      </w:r>
      <w:proofErr w:type="spellStart"/>
      <w:r w:rsidRPr="00EE0004" w:rsidR="00B11BAD">
        <w:rPr>
          <w:lang w:val="it-IT"/>
        </w:rPr>
        <w:t>Deputy</w:t>
      </w:r>
      <w:proofErr w:type="spellEnd"/>
      <w:r w:rsidRPr="00EE0004" w:rsidR="00B11BAD">
        <w:rPr>
          <w:lang w:val="it-IT"/>
        </w:rPr>
        <w:t xml:space="preserve"> </w:t>
      </w:r>
      <w:r w:rsidRPr="00EE0004" w:rsidR="00B11BAD">
        <w:rPr>
          <w:iCs/>
          <w:lang w:val="it-IT"/>
        </w:rPr>
        <w:t>Registrar</w:t>
      </w:r>
      <w:r w:rsidRPr="00EE0004">
        <w:rPr>
          <w:lang w:val="it-IT"/>
        </w:rPr>
        <w:tab/>
      </w:r>
      <w:proofErr w:type="spellStart"/>
      <w:r w:rsidRPr="00EE0004">
        <w:rPr>
          <w:lang w:val="it-IT"/>
        </w:rPr>
        <w:t>President</w:t>
      </w:r>
      <w:proofErr w:type="spellEnd"/>
    </w:p>
    <w:sectPr w:rsidRPr="00EE0004" w:rsidR="004D15F3" w:rsidSect="00F65D8F">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B2B" w:rsidRPr="003A441D" w:rsidRDefault="00EC7B2B" w:rsidP="00014566">
      <w:pPr>
        <w:rPr>
          <w:lang w:val="en-GB"/>
        </w:rPr>
      </w:pPr>
      <w:r w:rsidRPr="003A441D">
        <w:rPr>
          <w:lang w:val="en-GB"/>
        </w:rPr>
        <w:separator/>
      </w:r>
    </w:p>
  </w:endnote>
  <w:endnote w:type="continuationSeparator" w:id="0">
    <w:p w:rsidR="00EC7B2B" w:rsidRPr="003A441D" w:rsidRDefault="00EC7B2B" w:rsidP="00014566">
      <w:pPr>
        <w:rPr>
          <w:lang w:val="en-GB"/>
        </w:rPr>
      </w:pPr>
      <w:r w:rsidRPr="003A441D">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D8F" w:rsidRPr="00150BFA" w:rsidRDefault="00F65D8F" w:rsidP="0020718E">
    <w:pPr>
      <w:jc w:val="center"/>
    </w:pPr>
    <w:r>
      <w:rPr>
        <w:noProof/>
        <w:lang w:eastAsia="ja-JP"/>
      </w:rPr>
      <w:drawing>
        <wp:inline distT="0" distB="0" distL="0" distR="0" wp14:anchorId="1ACA68A1" wp14:editId="621C9AC3">
          <wp:extent cx="771525" cy="619125"/>
          <wp:effectExtent l="0" t="0" r="9525" b="9525"/>
          <wp:docPr id="4" name="Picture 4"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F65D8F" w:rsidRDefault="00F65D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B2B" w:rsidRPr="003A441D" w:rsidRDefault="00EC7B2B" w:rsidP="00014566">
      <w:pPr>
        <w:rPr>
          <w:lang w:val="en-GB"/>
        </w:rPr>
      </w:pPr>
      <w:r w:rsidRPr="003A441D">
        <w:rPr>
          <w:lang w:val="en-GB"/>
        </w:rPr>
        <w:separator/>
      </w:r>
    </w:p>
  </w:footnote>
  <w:footnote w:type="continuationSeparator" w:id="0">
    <w:p w:rsidR="00EC7B2B" w:rsidRPr="003A441D" w:rsidRDefault="00EC7B2B" w:rsidP="00014566">
      <w:pPr>
        <w:rPr>
          <w:lang w:val="en-GB"/>
        </w:rPr>
      </w:pPr>
      <w:r w:rsidRPr="003A441D">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B2B" w:rsidRPr="00F65D8F" w:rsidRDefault="00EC7B2B" w:rsidP="00F65D8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D8F" w:rsidRPr="00A45145" w:rsidRDefault="00F65D8F" w:rsidP="00A45145">
    <w:pPr>
      <w:jc w:val="center"/>
    </w:pPr>
    <w:r>
      <w:rPr>
        <w:noProof/>
        <w:lang w:eastAsia="ja-JP"/>
      </w:rPr>
      <w:drawing>
        <wp:inline distT="0" distB="0" distL="0" distR="0" wp14:anchorId="0E57ACF3" wp14:editId="5492B22E">
          <wp:extent cx="2962275" cy="1219200"/>
          <wp:effectExtent l="0" t="0" r="9525" b="0"/>
          <wp:docPr id="2" name="Picture 2"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6B1414" w:rsidRDefault="006B14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D8F" w:rsidRPr="003A441D" w:rsidRDefault="00F65D8F"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EE0004">
      <w:rPr>
        <w:rStyle w:val="PageNumber"/>
        <w:noProof/>
        <w:szCs w:val="18"/>
        <w:lang w:val="en-GB"/>
      </w:rPr>
      <w:t>8</w:t>
    </w:r>
    <w:r>
      <w:rPr>
        <w:rStyle w:val="PageNumber"/>
        <w:szCs w:val="18"/>
        <w:lang w:val="en-GB"/>
      </w:rPr>
      <w:fldChar w:fldCharType="end"/>
    </w:r>
    <w:r w:rsidRPr="003A441D">
      <w:rPr>
        <w:lang w:val="en-GB"/>
      </w:rPr>
      <w:tab/>
    </w:r>
    <w:r>
      <w:rPr>
        <w:lang w:val="en-GB"/>
      </w:rPr>
      <w:t>VINOGRADOV v. RUSSIA</w:t>
    </w:r>
    <w:r w:rsidRPr="003A441D">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D8F" w:rsidRPr="003A441D" w:rsidRDefault="00F65D8F" w:rsidP="00D60D87">
    <w:pPr>
      <w:pStyle w:val="ECHRHeader"/>
      <w:rPr>
        <w:lang w:val="en-GB"/>
      </w:rPr>
    </w:pPr>
    <w:r w:rsidRPr="003A441D">
      <w:rPr>
        <w:lang w:val="en-GB"/>
      </w:rPr>
      <w:tab/>
    </w:r>
    <w:r>
      <w:rPr>
        <w:lang w:val="en-GB"/>
      </w:rPr>
      <w:t>VINOGRADOV v. RUSSIA</w:t>
    </w:r>
    <w:r w:rsidRPr="003A441D">
      <w:rPr>
        <w:lang w:val="en-GB"/>
      </w:rPr>
      <w:t xml:space="preserve"> </w:t>
    </w:r>
    <w:r>
      <w:rPr>
        <w:lang w:val="en-GB"/>
      </w:rPr>
      <w:t>JUDGMENT</w:t>
    </w:r>
    <w:r w:rsidRPr="003A441D">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EE0004">
      <w:rPr>
        <w:rStyle w:val="PageNumber"/>
        <w:noProof/>
        <w:szCs w:val="18"/>
        <w:lang w:val="en-GB"/>
      </w:rPr>
      <w:t>7</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4097"/>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B11BAD"/>
    <w:rsid w:val="000010ED"/>
    <w:rsid w:val="000041F8"/>
    <w:rsid w:val="000042A8"/>
    <w:rsid w:val="00004308"/>
    <w:rsid w:val="00005BF0"/>
    <w:rsid w:val="00007154"/>
    <w:rsid w:val="000103AE"/>
    <w:rsid w:val="00011D69"/>
    <w:rsid w:val="00012AD3"/>
    <w:rsid w:val="00014566"/>
    <w:rsid w:val="00015C2D"/>
    <w:rsid w:val="00015F00"/>
    <w:rsid w:val="00022C1D"/>
    <w:rsid w:val="00034987"/>
    <w:rsid w:val="000350E3"/>
    <w:rsid w:val="000602DF"/>
    <w:rsid w:val="00061B05"/>
    <w:rsid w:val="00062973"/>
    <w:rsid w:val="00062D5D"/>
    <w:rsid w:val="000632D5"/>
    <w:rsid w:val="000644EE"/>
    <w:rsid w:val="0006641E"/>
    <w:rsid w:val="00071ABC"/>
    <w:rsid w:val="00075CD6"/>
    <w:rsid w:val="00075CDE"/>
    <w:rsid w:val="000856D7"/>
    <w:rsid w:val="000925AD"/>
    <w:rsid w:val="000A24EB"/>
    <w:rsid w:val="000B6923"/>
    <w:rsid w:val="000C033C"/>
    <w:rsid w:val="000C5F3C"/>
    <w:rsid w:val="000C6DCC"/>
    <w:rsid w:val="000D47AA"/>
    <w:rsid w:val="000D721F"/>
    <w:rsid w:val="000E069B"/>
    <w:rsid w:val="000E0E82"/>
    <w:rsid w:val="000E1DC5"/>
    <w:rsid w:val="000E223F"/>
    <w:rsid w:val="000E35AC"/>
    <w:rsid w:val="000E7D45"/>
    <w:rsid w:val="000F14DF"/>
    <w:rsid w:val="000F7851"/>
    <w:rsid w:val="00104E23"/>
    <w:rsid w:val="00111B0C"/>
    <w:rsid w:val="00120D6C"/>
    <w:rsid w:val="00121A7B"/>
    <w:rsid w:val="001257EC"/>
    <w:rsid w:val="00132C6A"/>
    <w:rsid w:val="00133D33"/>
    <w:rsid w:val="00134D64"/>
    <w:rsid w:val="00135A30"/>
    <w:rsid w:val="0013612C"/>
    <w:rsid w:val="00137FF6"/>
    <w:rsid w:val="00141650"/>
    <w:rsid w:val="00162A12"/>
    <w:rsid w:val="00166530"/>
    <w:rsid w:val="001832BD"/>
    <w:rsid w:val="001943B5"/>
    <w:rsid w:val="00195134"/>
    <w:rsid w:val="001A145B"/>
    <w:rsid w:val="001A674C"/>
    <w:rsid w:val="001B3B24"/>
    <w:rsid w:val="001C0F98"/>
    <w:rsid w:val="001C2A42"/>
    <w:rsid w:val="001D63ED"/>
    <w:rsid w:val="001D7348"/>
    <w:rsid w:val="001E035B"/>
    <w:rsid w:val="001E0961"/>
    <w:rsid w:val="001E3EAE"/>
    <w:rsid w:val="001E5348"/>
    <w:rsid w:val="001E6F32"/>
    <w:rsid w:val="001F2145"/>
    <w:rsid w:val="001F6262"/>
    <w:rsid w:val="001F67B0"/>
    <w:rsid w:val="001F7B3D"/>
    <w:rsid w:val="00205F9F"/>
    <w:rsid w:val="00210338"/>
    <w:rsid w:val="002115FC"/>
    <w:rsid w:val="002133F8"/>
    <w:rsid w:val="0021423C"/>
    <w:rsid w:val="00230D00"/>
    <w:rsid w:val="00231DF7"/>
    <w:rsid w:val="00231FD1"/>
    <w:rsid w:val="002339E0"/>
    <w:rsid w:val="00233CF8"/>
    <w:rsid w:val="0023575D"/>
    <w:rsid w:val="00237148"/>
    <w:rsid w:val="0024222D"/>
    <w:rsid w:val="00244B0E"/>
    <w:rsid w:val="00244F6C"/>
    <w:rsid w:val="00252AA2"/>
    <w:rsid w:val="002532C5"/>
    <w:rsid w:val="00260C03"/>
    <w:rsid w:val="0026540E"/>
    <w:rsid w:val="0027225C"/>
    <w:rsid w:val="00275123"/>
    <w:rsid w:val="00282240"/>
    <w:rsid w:val="0028572A"/>
    <w:rsid w:val="002931CB"/>
    <w:rsid w:val="002948AD"/>
    <w:rsid w:val="00294C05"/>
    <w:rsid w:val="00294C92"/>
    <w:rsid w:val="002A01CC"/>
    <w:rsid w:val="002A31A9"/>
    <w:rsid w:val="002A4F2B"/>
    <w:rsid w:val="002A61B1"/>
    <w:rsid w:val="002A663C"/>
    <w:rsid w:val="002B1E6C"/>
    <w:rsid w:val="002B444B"/>
    <w:rsid w:val="002B5887"/>
    <w:rsid w:val="002C0692"/>
    <w:rsid w:val="002C0E27"/>
    <w:rsid w:val="002C3040"/>
    <w:rsid w:val="002D022D"/>
    <w:rsid w:val="002D24BB"/>
    <w:rsid w:val="002E7F98"/>
    <w:rsid w:val="002F2AF7"/>
    <w:rsid w:val="002F7E1C"/>
    <w:rsid w:val="00301A75"/>
    <w:rsid w:val="00302F70"/>
    <w:rsid w:val="0030336F"/>
    <w:rsid w:val="0030375E"/>
    <w:rsid w:val="00312A30"/>
    <w:rsid w:val="00320F72"/>
    <w:rsid w:val="0032463E"/>
    <w:rsid w:val="00326224"/>
    <w:rsid w:val="0032676F"/>
    <w:rsid w:val="00337EE4"/>
    <w:rsid w:val="00340FFD"/>
    <w:rsid w:val="003506B1"/>
    <w:rsid w:val="00356AC7"/>
    <w:rsid w:val="003609FA"/>
    <w:rsid w:val="003710C8"/>
    <w:rsid w:val="00374D62"/>
    <w:rsid w:val="003750BE"/>
    <w:rsid w:val="00387B9D"/>
    <w:rsid w:val="0039364F"/>
    <w:rsid w:val="00396686"/>
    <w:rsid w:val="0039778E"/>
    <w:rsid w:val="003A441D"/>
    <w:rsid w:val="003B4941"/>
    <w:rsid w:val="003C1758"/>
    <w:rsid w:val="003C5714"/>
    <w:rsid w:val="003C6B9F"/>
    <w:rsid w:val="003C6E2A"/>
    <w:rsid w:val="003D0299"/>
    <w:rsid w:val="003D779C"/>
    <w:rsid w:val="003E6D80"/>
    <w:rsid w:val="003F05FA"/>
    <w:rsid w:val="003F244A"/>
    <w:rsid w:val="003F30B8"/>
    <w:rsid w:val="003F4C45"/>
    <w:rsid w:val="003F5F7B"/>
    <w:rsid w:val="003F7D64"/>
    <w:rsid w:val="00414300"/>
    <w:rsid w:val="00425C67"/>
    <w:rsid w:val="00427E7A"/>
    <w:rsid w:val="00436307"/>
    <w:rsid w:val="00436C49"/>
    <w:rsid w:val="00443E27"/>
    <w:rsid w:val="00445366"/>
    <w:rsid w:val="00447F5B"/>
    <w:rsid w:val="00461DB0"/>
    <w:rsid w:val="00463926"/>
    <w:rsid w:val="004646E0"/>
    <w:rsid w:val="00464C9A"/>
    <w:rsid w:val="00474F3D"/>
    <w:rsid w:val="004767C6"/>
    <w:rsid w:val="00477E3A"/>
    <w:rsid w:val="00483E5F"/>
    <w:rsid w:val="00485FF9"/>
    <w:rsid w:val="004907F0"/>
    <w:rsid w:val="0049140B"/>
    <w:rsid w:val="004923A5"/>
    <w:rsid w:val="00496BFB"/>
    <w:rsid w:val="004A15C7"/>
    <w:rsid w:val="004B013B"/>
    <w:rsid w:val="004B112B"/>
    <w:rsid w:val="004B3986"/>
    <w:rsid w:val="004C01E4"/>
    <w:rsid w:val="004C086C"/>
    <w:rsid w:val="004C1F56"/>
    <w:rsid w:val="004C27BC"/>
    <w:rsid w:val="004D15F3"/>
    <w:rsid w:val="004D5311"/>
    <w:rsid w:val="004D5DCC"/>
    <w:rsid w:val="004F10AF"/>
    <w:rsid w:val="004F11A4"/>
    <w:rsid w:val="004F2389"/>
    <w:rsid w:val="004F304D"/>
    <w:rsid w:val="004F61BE"/>
    <w:rsid w:val="004F66B1"/>
    <w:rsid w:val="00510ADE"/>
    <w:rsid w:val="00511C07"/>
    <w:rsid w:val="005173A6"/>
    <w:rsid w:val="00520BAA"/>
    <w:rsid w:val="00522205"/>
    <w:rsid w:val="00525208"/>
    <w:rsid w:val="005257A5"/>
    <w:rsid w:val="005264C0"/>
    <w:rsid w:val="00526A8A"/>
    <w:rsid w:val="00531DF2"/>
    <w:rsid w:val="00543EB4"/>
    <w:rsid w:val="005442EE"/>
    <w:rsid w:val="00547353"/>
    <w:rsid w:val="005474E7"/>
    <w:rsid w:val="005512A3"/>
    <w:rsid w:val="00556746"/>
    <w:rsid w:val="005578CE"/>
    <w:rsid w:val="00562781"/>
    <w:rsid w:val="00563E83"/>
    <w:rsid w:val="00564985"/>
    <w:rsid w:val="0057271C"/>
    <w:rsid w:val="00572845"/>
    <w:rsid w:val="00592772"/>
    <w:rsid w:val="0059574A"/>
    <w:rsid w:val="005A1B9B"/>
    <w:rsid w:val="005A6751"/>
    <w:rsid w:val="005B092E"/>
    <w:rsid w:val="005B152C"/>
    <w:rsid w:val="005B1EE0"/>
    <w:rsid w:val="005B2B24"/>
    <w:rsid w:val="005B4425"/>
    <w:rsid w:val="005B4B94"/>
    <w:rsid w:val="005C3EE8"/>
    <w:rsid w:val="005D34F9"/>
    <w:rsid w:val="005D4190"/>
    <w:rsid w:val="005D67A3"/>
    <w:rsid w:val="005E2988"/>
    <w:rsid w:val="005E2A43"/>
    <w:rsid w:val="005E3085"/>
    <w:rsid w:val="005E438A"/>
    <w:rsid w:val="005E6EC4"/>
    <w:rsid w:val="005F51E1"/>
    <w:rsid w:val="00611C80"/>
    <w:rsid w:val="00620692"/>
    <w:rsid w:val="006242CA"/>
    <w:rsid w:val="00627507"/>
    <w:rsid w:val="00633717"/>
    <w:rsid w:val="006344E1"/>
    <w:rsid w:val="006450CB"/>
    <w:rsid w:val="006545C4"/>
    <w:rsid w:val="00661971"/>
    <w:rsid w:val="00661CE8"/>
    <w:rsid w:val="006623D9"/>
    <w:rsid w:val="0066550C"/>
    <w:rsid w:val="006716F2"/>
    <w:rsid w:val="00682BF2"/>
    <w:rsid w:val="006859CE"/>
    <w:rsid w:val="00691270"/>
    <w:rsid w:val="00694BA8"/>
    <w:rsid w:val="006A037C"/>
    <w:rsid w:val="006A36F4"/>
    <w:rsid w:val="006A406F"/>
    <w:rsid w:val="006A544F"/>
    <w:rsid w:val="006A5D3A"/>
    <w:rsid w:val="006A7DE9"/>
    <w:rsid w:val="006B1414"/>
    <w:rsid w:val="006C23D4"/>
    <w:rsid w:val="006C7BB0"/>
    <w:rsid w:val="006D3237"/>
    <w:rsid w:val="006D469D"/>
    <w:rsid w:val="006E2E37"/>
    <w:rsid w:val="006E3933"/>
    <w:rsid w:val="006E3CF1"/>
    <w:rsid w:val="006E7E80"/>
    <w:rsid w:val="006F1DF9"/>
    <w:rsid w:val="006F24DB"/>
    <w:rsid w:val="006F48CA"/>
    <w:rsid w:val="006F64DD"/>
    <w:rsid w:val="00715127"/>
    <w:rsid w:val="00715E8E"/>
    <w:rsid w:val="00723580"/>
    <w:rsid w:val="00723755"/>
    <w:rsid w:val="0073136C"/>
    <w:rsid w:val="00731F0F"/>
    <w:rsid w:val="00733250"/>
    <w:rsid w:val="00741404"/>
    <w:rsid w:val="007449E5"/>
    <w:rsid w:val="00746C5A"/>
    <w:rsid w:val="00747FF0"/>
    <w:rsid w:val="00764D4E"/>
    <w:rsid w:val="00765A1F"/>
    <w:rsid w:val="00775B6D"/>
    <w:rsid w:val="00776D68"/>
    <w:rsid w:val="007850EE"/>
    <w:rsid w:val="00785B95"/>
    <w:rsid w:val="00790E96"/>
    <w:rsid w:val="00793366"/>
    <w:rsid w:val="007A716F"/>
    <w:rsid w:val="007B270A"/>
    <w:rsid w:val="007B7B18"/>
    <w:rsid w:val="007C0695"/>
    <w:rsid w:val="007C419A"/>
    <w:rsid w:val="007C4CC8"/>
    <w:rsid w:val="007C5426"/>
    <w:rsid w:val="007C5798"/>
    <w:rsid w:val="007D4832"/>
    <w:rsid w:val="007E21B2"/>
    <w:rsid w:val="007E2C4E"/>
    <w:rsid w:val="007F1905"/>
    <w:rsid w:val="00801300"/>
    <w:rsid w:val="00802C64"/>
    <w:rsid w:val="00805E52"/>
    <w:rsid w:val="008061D0"/>
    <w:rsid w:val="00810B38"/>
    <w:rsid w:val="008204C7"/>
    <w:rsid w:val="00820992"/>
    <w:rsid w:val="00823602"/>
    <w:rsid w:val="008255F5"/>
    <w:rsid w:val="0083014E"/>
    <w:rsid w:val="0083214A"/>
    <w:rsid w:val="00834220"/>
    <w:rsid w:val="00845723"/>
    <w:rsid w:val="00847E7A"/>
    <w:rsid w:val="00851EF9"/>
    <w:rsid w:val="008577FD"/>
    <w:rsid w:val="00860B03"/>
    <w:rsid w:val="008612C7"/>
    <w:rsid w:val="00863B56"/>
    <w:rsid w:val="0086497A"/>
    <w:rsid w:val="008713A1"/>
    <w:rsid w:val="008754AB"/>
    <w:rsid w:val="0088060C"/>
    <w:rsid w:val="00893576"/>
    <w:rsid w:val="00893E73"/>
    <w:rsid w:val="008A1657"/>
    <w:rsid w:val="008A43C4"/>
    <w:rsid w:val="008B02DC"/>
    <w:rsid w:val="008B57CE"/>
    <w:rsid w:val="008B659F"/>
    <w:rsid w:val="008C26DE"/>
    <w:rsid w:val="008D1B4E"/>
    <w:rsid w:val="008D2225"/>
    <w:rsid w:val="008D4752"/>
    <w:rsid w:val="008D552A"/>
    <w:rsid w:val="008E271C"/>
    <w:rsid w:val="008E418E"/>
    <w:rsid w:val="008E5BC6"/>
    <w:rsid w:val="008E6A25"/>
    <w:rsid w:val="008F5193"/>
    <w:rsid w:val="009013A7"/>
    <w:rsid w:val="009017FB"/>
    <w:rsid w:val="009017FC"/>
    <w:rsid w:val="00903B43"/>
    <w:rsid w:val="0090506B"/>
    <w:rsid w:val="009050C9"/>
    <w:rsid w:val="009066FC"/>
    <w:rsid w:val="009140A3"/>
    <w:rsid w:val="009144A2"/>
    <w:rsid w:val="0091510C"/>
    <w:rsid w:val="009259AC"/>
    <w:rsid w:val="00926F38"/>
    <w:rsid w:val="00934301"/>
    <w:rsid w:val="00936CD1"/>
    <w:rsid w:val="00941747"/>
    <w:rsid w:val="00941EFB"/>
    <w:rsid w:val="00947AFB"/>
    <w:rsid w:val="00951D7D"/>
    <w:rsid w:val="00952C12"/>
    <w:rsid w:val="009546DA"/>
    <w:rsid w:val="009630C7"/>
    <w:rsid w:val="00972B55"/>
    <w:rsid w:val="009743B7"/>
    <w:rsid w:val="0098228B"/>
    <w:rsid w:val="00982530"/>
    <w:rsid w:val="009828DA"/>
    <w:rsid w:val="00985BAB"/>
    <w:rsid w:val="00997F03"/>
    <w:rsid w:val="009A46DF"/>
    <w:rsid w:val="009A7A43"/>
    <w:rsid w:val="009B1B5F"/>
    <w:rsid w:val="009B2EC2"/>
    <w:rsid w:val="009B6673"/>
    <w:rsid w:val="009C191B"/>
    <w:rsid w:val="009C2BD6"/>
    <w:rsid w:val="009E1F32"/>
    <w:rsid w:val="009E5829"/>
    <w:rsid w:val="009E776C"/>
    <w:rsid w:val="00A1726E"/>
    <w:rsid w:val="00A204CF"/>
    <w:rsid w:val="00A23D49"/>
    <w:rsid w:val="00A27004"/>
    <w:rsid w:val="00A30C29"/>
    <w:rsid w:val="00A34DD6"/>
    <w:rsid w:val="00A36819"/>
    <w:rsid w:val="00A36989"/>
    <w:rsid w:val="00A43628"/>
    <w:rsid w:val="00A510E9"/>
    <w:rsid w:val="00A54192"/>
    <w:rsid w:val="00A6035E"/>
    <w:rsid w:val="00A6144C"/>
    <w:rsid w:val="00A66617"/>
    <w:rsid w:val="00A671F8"/>
    <w:rsid w:val="00A673A4"/>
    <w:rsid w:val="00A724AE"/>
    <w:rsid w:val="00A73329"/>
    <w:rsid w:val="00A77D92"/>
    <w:rsid w:val="00A82359"/>
    <w:rsid w:val="00A865D2"/>
    <w:rsid w:val="00A94C20"/>
    <w:rsid w:val="00A96ED6"/>
    <w:rsid w:val="00AA227F"/>
    <w:rsid w:val="00AA3BC7"/>
    <w:rsid w:val="00AA754A"/>
    <w:rsid w:val="00AB099E"/>
    <w:rsid w:val="00AB4328"/>
    <w:rsid w:val="00AB5FA0"/>
    <w:rsid w:val="00AE0A2E"/>
    <w:rsid w:val="00AE354C"/>
    <w:rsid w:val="00AF4B07"/>
    <w:rsid w:val="00AF6186"/>
    <w:rsid w:val="00AF7A3A"/>
    <w:rsid w:val="00B11BAD"/>
    <w:rsid w:val="00B160DB"/>
    <w:rsid w:val="00B20836"/>
    <w:rsid w:val="00B235BB"/>
    <w:rsid w:val="00B27A44"/>
    <w:rsid w:val="00B30BBF"/>
    <w:rsid w:val="00B33C03"/>
    <w:rsid w:val="00B44CAF"/>
    <w:rsid w:val="00B44E56"/>
    <w:rsid w:val="00B46543"/>
    <w:rsid w:val="00B47D33"/>
    <w:rsid w:val="00B52BE0"/>
    <w:rsid w:val="00B5303A"/>
    <w:rsid w:val="00B54133"/>
    <w:rsid w:val="00B637B9"/>
    <w:rsid w:val="00B701ED"/>
    <w:rsid w:val="00B7766C"/>
    <w:rsid w:val="00B8086C"/>
    <w:rsid w:val="00B861B4"/>
    <w:rsid w:val="00B86DFE"/>
    <w:rsid w:val="00B87811"/>
    <w:rsid w:val="00B90990"/>
    <w:rsid w:val="00B922FF"/>
    <w:rsid w:val="00B9281E"/>
    <w:rsid w:val="00B93925"/>
    <w:rsid w:val="00B95187"/>
    <w:rsid w:val="00BA2D55"/>
    <w:rsid w:val="00BA71B1"/>
    <w:rsid w:val="00BB0637"/>
    <w:rsid w:val="00BB345F"/>
    <w:rsid w:val="00BB5883"/>
    <w:rsid w:val="00BB68EA"/>
    <w:rsid w:val="00BC1C27"/>
    <w:rsid w:val="00BC6BBF"/>
    <w:rsid w:val="00BD1572"/>
    <w:rsid w:val="00BE14E3"/>
    <w:rsid w:val="00BE3774"/>
    <w:rsid w:val="00BE41E5"/>
    <w:rsid w:val="00BF0BBB"/>
    <w:rsid w:val="00BF4109"/>
    <w:rsid w:val="00BF4CC3"/>
    <w:rsid w:val="00C054C7"/>
    <w:rsid w:val="00C057B5"/>
    <w:rsid w:val="00C22687"/>
    <w:rsid w:val="00C32E4D"/>
    <w:rsid w:val="00C333A0"/>
    <w:rsid w:val="00C33E24"/>
    <w:rsid w:val="00C36A81"/>
    <w:rsid w:val="00C41974"/>
    <w:rsid w:val="00C447AD"/>
    <w:rsid w:val="00C53F4A"/>
    <w:rsid w:val="00C54125"/>
    <w:rsid w:val="00C55B54"/>
    <w:rsid w:val="00C6098E"/>
    <w:rsid w:val="00C6152C"/>
    <w:rsid w:val="00C621C2"/>
    <w:rsid w:val="00C74810"/>
    <w:rsid w:val="00C869BF"/>
    <w:rsid w:val="00C90D68"/>
    <w:rsid w:val="00C939FE"/>
    <w:rsid w:val="00CA4BDA"/>
    <w:rsid w:val="00CB1F66"/>
    <w:rsid w:val="00CB2951"/>
    <w:rsid w:val="00CD282B"/>
    <w:rsid w:val="00CD4C35"/>
    <w:rsid w:val="00CD7369"/>
    <w:rsid w:val="00CE0B0E"/>
    <w:rsid w:val="00CE3831"/>
    <w:rsid w:val="00D00ABB"/>
    <w:rsid w:val="00D02EEC"/>
    <w:rsid w:val="00D03551"/>
    <w:rsid w:val="00D06A63"/>
    <w:rsid w:val="00D07E0E"/>
    <w:rsid w:val="00D11478"/>
    <w:rsid w:val="00D139AA"/>
    <w:rsid w:val="00D15ED0"/>
    <w:rsid w:val="00D21B3E"/>
    <w:rsid w:val="00D21FED"/>
    <w:rsid w:val="00D24251"/>
    <w:rsid w:val="00D343E2"/>
    <w:rsid w:val="00D361A2"/>
    <w:rsid w:val="00D44C2E"/>
    <w:rsid w:val="00D45414"/>
    <w:rsid w:val="00D53C0F"/>
    <w:rsid w:val="00D566BD"/>
    <w:rsid w:val="00D57A4D"/>
    <w:rsid w:val="00D60AA7"/>
    <w:rsid w:val="00D60D87"/>
    <w:rsid w:val="00D62EED"/>
    <w:rsid w:val="00D6435F"/>
    <w:rsid w:val="00D7582C"/>
    <w:rsid w:val="00D75E28"/>
    <w:rsid w:val="00D772C2"/>
    <w:rsid w:val="00D8008E"/>
    <w:rsid w:val="00D82C45"/>
    <w:rsid w:val="00D835EA"/>
    <w:rsid w:val="00D908A8"/>
    <w:rsid w:val="00D977B6"/>
    <w:rsid w:val="00DA4A31"/>
    <w:rsid w:val="00DA61F2"/>
    <w:rsid w:val="00DA7B04"/>
    <w:rsid w:val="00DB36C2"/>
    <w:rsid w:val="00DB7196"/>
    <w:rsid w:val="00DC169B"/>
    <w:rsid w:val="00DC2AB9"/>
    <w:rsid w:val="00DC63F0"/>
    <w:rsid w:val="00DD6EE5"/>
    <w:rsid w:val="00DE1B8E"/>
    <w:rsid w:val="00DE386C"/>
    <w:rsid w:val="00DE4D35"/>
    <w:rsid w:val="00DF0549"/>
    <w:rsid w:val="00DF098B"/>
    <w:rsid w:val="00DF11C4"/>
    <w:rsid w:val="00DF210C"/>
    <w:rsid w:val="00DF4B6A"/>
    <w:rsid w:val="00DF5683"/>
    <w:rsid w:val="00E02C09"/>
    <w:rsid w:val="00E04D59"/>
    <w:rsid w:val="00E07DA1"/>
    <w:rsid w:val="00E123CB"/>
    <w:rsid w:val="00E1557C"/>
    <w:rsid w:val="00E20E13"/>
    <w:rsid w:val="00E21DBC"/>
    <w:rsid w:val="00E275D7"/>
    <w:rsid w:val="00E27DBE"/>
    <w:rsid w:val="00E32AB1"/>
    <w:rsid w:val="00E36C71"/>
    <w:rsid w:val="00E40404"/>
    <w:rsid w:val="00E459C6"/>
    <w:rsid w:val="00E47589"/>
    <w:rsid w:val="00E51673"/>
    <w:rsid w:val="00E64915"/>
    <w:rsid w:val="00E661D4"/>
    <w:rsid w:val="00E70091"/>
    <w:rsid w:val="00E720F5"/>
    <w:rsid w:val="00E74C6A"/>
    <w:rsid w:val="00E76D47"/>
    <w:rsid w:val="00E849F7"/>
    <w:rsid w:val="00E90302"/>
    <w:rsid w:val="00E9597F"/>
    <w:rsid w:val="00E97396"/>
    <w:rsid w:val="00E97CC1"/>
    <w:rsid w:val="00EA185E"/>
    <w:rsid w:val="00EA592A"/>
    <w:rsid w:val="00EB14E4"/>
    <w:rsid w:val="00EB32A5"/>
    <w:rsid w:val="00EB34ED"/>
    <w:rsid w:val="00EB7BE0"/>
    <w:rsid w:val="00EC259E"/>
    <w:rsid w:val="00EC315E"/>
    <w:rsid w:val="00EC7B2B"/>
    <w:rsid w:val="00ED077C"/>
    <w:rsid w:val="00ED1190"/>
    <w:rsid w:val="00ED6544"/>
    <w:rsid w:val="00EE0004"/>
    <w:rsid w:val="00EE0277"/>
    <w:rsid w:val="00EE1DA9"/>
    <w:rsid w:val="00EE3E00"/>
    <w:rsid w:val="00EE5DD2"/>
    <w:rsid w:val="00EF41F1"/>
    <w:rsid w:val="00EF4F08"/>
    <w:rsid w:val="00F00A79"/>
    <w:rsid w:val="00F00E86"/>
    <w:rsid w:val="00F00F8B"/>
    <w:rsid w:val="00F07C1E"/>
    <w:rsid w:val="00F105DB"/>
    <w:rsid w:val="00F132BC"/>
    <w:rsid w:val="00F13D80"/>
    <w:rsid w:val="00F16AAA"/>
    <w:rsid w:val="00F21161"/>
    <w:rsid w:val="00F218EF"/>
    <w:rsid w:val="00F21BC7"/>
    <w:rsid w:val="00F266A2"/>
    <w:rsid w:val="00F32269"/>
    <w:rsid w:val="00F408C1"/>
    <w:rsid w:val="00F4457E"/>
    <w:rsid w:val="00F56A6F"/>
    <w:rsid w:val="00F5709C"/>
    <w:rsid w:val="00F64EF1"/>
    <w:rsid w:val="00F65D8F"/>
    <w:rsid w:val="00F8765F"/>
    <w:rsid w:val="00F90767"/>
    <w:rsid w:val="00FA37F3"/>
    <w:rsid w:val="00FA685B"/>
    <w:rsid w:val="00FB0C01"/>
    <w:rsid w:val="00FC18F2"/>
    <w:rsid w:val="00FC39E5"/>
    <w:rsid w:val="00FC3A78"/>
    <w:rsid w:val="00FC5FFE"/>
    <w:rsid w:val="00FD1005"/>
    <w:rsid w:val="00FD3180"/>
    <w:rsid w:val="00FD3673"/>
    <w:rsid w:val="00FD6C75"/>
    <w:rsid w:val="00FE71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EE0004"/>
    <w:pPr>
      <w:jc w:val="both"/>
    </w:pPr>
    <w:rPr>
      <w:rFonts w:eastAsiaTheme="minorEastAsia"/>
      <w:sz w:val="24"/>
    </w:rPr>
  </w:style>
  <w:style w:type="paragraph" w:styleId="Heading1">
    <w:name w:val="heading 1"/>
    <w:basedOn w:val="Normal"/>
    <w:next w:val="Normal"/>
    <w:link w:val="Heading1Char"/>
    <w:uiPriority w:val="99"/>
    <w:semiHidden/>
    <w:rsid w:val="00EE0004"/>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EE0004"/>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EE0004"/>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EE0004"/>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EE0004"/>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EE0004"/>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EE0004"/>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EE0004"/>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EE0004"/>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E0004"/>
    <w:rPr>
      <w:rFonts w:ascii="Tahoma" w:hAnsi="Tahoma" w:cs="Tahoma"/>
      <w:sz w:val="16"/>
      <w:szCs w:val="16"/>
    </w:rPr>
  </w:style>
  <w:style w:type="character" w:customStyle="1" w:styleId="BalloonTextChar">
    <w:name w:val="Balloon Text Char"/>
    <w:basedOn w:val="DefaultParagraphFont"/>
    <w:link w:val="BalloonText"/>
    <w:uiPriority w:val="99"/>
    <w:semiHidden/>
    <w:rsid w:val="00EE0004"/>
    <w:rPr>
      <w:rFonts w:ascii="Tahoma" w:eastAsiaTheme="minorEastAsia" w:hAnsi="Tahoma" w:cs="Tahoma"/>
      <w:sz w:val="16"/>
      <w:szCs w:val="16"/>
    </w:rPr>
  </w:style>
  <w:style w:type="character" w:styleId="BookTitle">
    <w:name w:val="Book Title"/>
    <w:uiPriority w:val="99"/>
    <w:semiHidden/>
    <w:qFormat/>
    <w:rsid w:val="00EE0004"/>
    <w:rPr>
      <w:i/>
      <w:iCs/>
      <w:smallCaps/>
      <w:spacing w:val="5"/>
    </w:rPr>
  </w:style>
  <w:style w:type="paragraph" w:customStyle="1" w:styleId="ECHRHeader">
    <w:name w:val="ECHR_Header"/>
    <w:aliases w:val="Ju_Header"/>
    <w:basedOn w:val="Header"/>
    <w:uiPriority w:val="4"/>
    <w:qFormat/>
    <w:rsid w:val="00EE0004"/>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EE0004"/>
    <w:pPr>
      <w:jc w:val="left"/>
    </w:pPr>
    <w:rPr>
      <w:sz w:val="8"/>
    </w:rPr>
  </w:style>
  <w:style w:type="character" w:styleId="Strong">
    <w:name w:val="Strong"/>
    <w:uiPriority w:val="99"/>
    <w:semiHidden/>
    <w:qFormat/>
    <w:rsid w:val="00EE0004"/>
    <w:rPr>
      <w:b/>
      <w:bCs/>
    </w:rPr>
  </w:style>
  <w:style w:type="paragraph" w:styleId="NoSpacing">
    <w:name w:val="No Spacing"/>
    <w:basedOn w:val="Normal"/>
    <w:link w:val="NoSpacingChar"/>
    <w:semiHidden/>
    <w:qFormat/>
    <w:rsid w:val="00EE0004"/>
    <w:rPr>
      <w:sz w:val="22"/>
    </w:rPr>
  </w:style>
  <w:style w:type="character" w:customStyle="1" w:styleId="NoSpacingChar">
    <w:name w:val="No Spacing Char"/>
    <w:basedOn w:val="DefaultParagraphFont"/>
    <w:link w:val="NoSpacing"/>
    <w:semiHidden/>
    <w:rsid w:val="00EE0004"/>
    <w:rPr>
      <w:rFonts w:eastAsiaTheme="minorEastAsia"/>
    </w:rPr>
  </w:style>
  <w:style w:type="paragraph" w:customStyle="1" w:styleId="ECHRFooterLine">
    <w:name w:val="ECHR_Footer_Line"/>
    <w:aliases w:val="Footer_Line"/>
    <w:basedOn w:val="Normal"/>
    <w:next w:val="ECHRFooter"/>
    <w:uiPriority w:val="57"/>
    <w:semiHidden/>
    <w:rsid w:val="00EE0004"/>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EE0004"/>
  </w:style>
  <w:style w:type="paragraph" w:customStyle="1" w:styleId="DecList">
    <w:name w:val="Dec_List"/>
    <w:basedOn w:val="Normal"/>
    <w:uiPriority w:val="9"/>
    <w:semiHidden/>
    <w:qFormat/>
    <w:rsid w:val="00EE0004"/>
    <w:pPr>
      <w:spacing w:before="240"/>
      <w:ind w:left="284"/>
    </w:pPr>
  </w:style>
  <w:style w:type="paragraph" w:customStyle="1" w:styleId="DummyStyle">
    <w:name w:val="Dummy_Style"/>
    <w:basedOn w:val="Normal"/>
    <w:semiHidden/>
    <w:qFormat/>
    <w:rsid w:val="00EE0004"/>
    <w:rPr>
      <w:color w:val="00B050"/>
    </w:rPr>
  </w:style>
  <w:style w:type="paragraph" w:customStyle="1" w:styleId="ECHRTitleCentre3">
    <w:name w:val="ECHR_Title_Centre_3"/>
    <w:aliases w:val="Ju_H_Article"/>
    <w:basedOn w:val="Normal"/>
    <w:next w:val="ECHRParaQuote"/>
    <w:uiPriority w:val="27"/>
    <w:qFormat/>
    <w:rsid w:val="00EE0004"/>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EE0004"/>
    <w:pPr>
      <w:keepNext/>
      <w:keepLines/>
      <w:spacing w:after="240"/>
      <w:jc w:val="center"/>
      <w:outlineLvl w:val="0"/>
    </w:pPr>
    <w:rPr>
      <w:rFonts w:asciiTheme="majorHAnsi" w:hAnsiTheme="majorHAnsi"/>
      <w:sz w:val="28"/>
    </w:rPr>
  </w:style>
  <w:style w:type="paragraph" w:customStyle="1" w:styleId="JuAppQuestion">
    <w:name w:val="Ju_App_Question"/>
    <w:basedOn w:val="Normal"/>
    <w:uiPriority w:val="5"/>
    <w:semiHidden/>
    <w:qFormat/>
    <w:rsid w:val="00EE0004"/>
    <w:pPr>
      <w:numPr>
        <w:numId w:val="22"/>
      </w:numPr>
      <w:jc w:val="left"/>
    </w:pPr>
    <w:rPr>
      <w:b/>
    </w:rPr>
  </w:style>
  <w:style w:type="paragraph" w:customStyle="1" w:styleId="JuCourt">
    <w:name w:val="Ju_Court"/>
    <w:basedOn w:val="Normal"/>
    <w:next w:val="Normal"/>
    <w:uiPriority w:val="16"/>
    <w:qFormat/>
    <w:rsid w:val="00EE0004"/>
    <w:pPr>
      <w:tabs>
        <w:tab w:val="left" w:pos="907"/>
        <w:tab w:val="left" w:pos="1701"/>
        <w:tab w:val="right" w:pos="7371"/>
      </w:tabs>
      <w:spacing w:before="240"/>
      <w:ind w:left="397" w:hanging="397"/>
      <w:jc w:val="left"/>
    </w:pPr>
    <w:rPr>
      <w:lang w:bidi="en-US"/>
    </w:rPr>
  </w:style>
  <w:style w:type="paragraph" w:customStyle="1" w:styleId="JuHeaderLandscape">
    <w:name w:val="Ju_Header_Landscape"/>
    <w:basedOn w:val="ECHRHeader"/>
    <w:uiPriority w:val="4"/>
    <w:qFormat/>
    <w:rsid w:val="00EE0004"/>
    <w:pPr>
      <w:tabs>
        <w:tab w:val="clear" w:pos="3686"/>
        <w:tab w:val="clear" w:pos="7371"/>
        <w:tab w:val="center" w:pos="6146"/>
        <w:tab w:val="right" w:pos="12293"/>
      </w:tabs>
    </w:pPr>
  </w:style>
  <w:style w:type="paragraph" w:customStyle="1" w:styleId="ECHRTitleCentre2">
    <w:name w:val="ECHR_Title_Centre_2"/>
    <w:aliases w:val="Dec_H_Case"/>
    <w:basedOn w:val="Normal"/>
    <w:next w:val="ECHRPara"/>
    <w:uiPriority w:val="8"/>
    <w:qFormat/>
    <w:rsid w:val="00EE0004"/>
    <w:pPr>
      <w:spacing w:after="240"/>
      <w:jc w:val="center"/>
      <w:outlineLvl w:val="0"/>
    </w:pPr>
    <w:rPr>
      <w:rFonts w:asciiTheme="majorHAnsi" w:hAnsiTheme="majorHAnsi"/>
    </w:rPr>
  </w:style>
  <w:style w:type="paragraph" w:customStyle="1" w:styleId="JuInitialled">
    <w:name w:val="Ju_Initialled"/>
    <w:basedOn w:val="Normal"/>
    <w:uiPriority w:val="31"/>
    <w:qFormat/>
    <w:rsid w:val="00EE0004"/>
    <w:pPr>
      <w:tabs>
        <w:tab w:val="center" w:pos="6407"/>
      </w:tabs>
      <w:spacing w:before="720"/>
      <w:jc w:val="right"/>
    </w:pPr>
  </w:style>
  <w:style w:type="paragraph" w:styleId="Title">
    <w:name w:val="Title"/>
    <w:basedOn w:val="Normal"/>
    <w:next w:val="Normal"/>
    <w:link w:val="TitleChar"/>
    <w:uiPriority w:val="99"/>
    <w:semiHidden/>
    <w:qFormat/>
    <w:rsid w:val="00EE0004"/>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EE0004"/>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EE0004"/>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EE0004"/>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EE0004"/>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EE0004"/>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EE0004"/>
    <w:pPr>
      <w:keepNext/>
      <w:keepLines/>
      <w:spacing w:before="240" w:after="120"/>
      <w:ind w:left="1236"/>
    </w:pPr>
    <w:rPr>
      <w:sz w:val="20"/>
    </w:rPr>
  </w:style>
  <w:style w:type="character" w:customStyle="1" w:styleId="JuITMark">
    <w:name w:val="Ju_ITMark"/>
    <w:basedOn w:val="DefaultParagraphFont"/>
    <w:uiPriority w:val="38"/>
    <w:qFormat/>
    <w:rsid w:val="00EE0004"/>
    <w:rPr>
      <w:vanish w:val="0"/>
      <w:color w:val="auto"/>
      <w:sz w:val="14"/>
      <w:bdr w:val="none" w:sz="0" w:space="0" w:color="auto"/>
      <w:shd w:val="clear" w:color="auto" w:fill="BEE5FF" w:themeFill="background1" w:themeFillTint="33"/>
    </w:rPr>
  </w:style>
  <w:style w:type="paragraph" w:customStyle="1" w:styleId="JuLista">
    <w:name w:val="Ju_List_a"/>
    <w:basedOn w:val="JuList"/>
    <w:uiPriority w:val="28"/>
    <w:qFormat/>
    <w:rsid w:val="00EE0004"/>
    <w:pPr>
      <w:ind w:left="346" w:firstLine="0"/>
    </w:pPr>
  </w:style>
  <w:style w:type="paragraph" w:customStyle="1" w:styleId="JuListi">
    <w:name w:val="Ju_List_i"/>
    <w:basedOn w:val="Normal"/>
    <w:next w:val="JuLista"/>
    <w:uiPriority w:val="28"/>
    <w:qFormat/>
    <w:rsid w:val="00EE0004"/>
    <w:pPr>
      <w:ind w:left="794"/>
    </w:pPr>
  </w:style>
  <w:style w:type="paragraph" w:styleId="Header">
    <w:name w:val="header"/>
    <w:basedOn w:val="Normal"/>
    <w:link w:val="HeaderChar"/>
    <w:uiPriority w:val="57"/>
    <w:semiHidden/>
    <w:rsid w:val="00EE0004"/>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EE0004"/>
    <w:rPr>
      <w:sz w:val="24"/>
    </w:rPr>
  </w:style>
  <w:style w:type="character" w:customStyle="1" w:styleId="Heading1Char">
    <w:name w:val="Heading 1 Char"/>
    <w:basedOn w:val="DefaultParagraphFont"/>
    <w:link w:val="Heading1"/>
    <w:uiPriority w:val="99"/>
    <w:semiHidden/>
    <w:rsid w:val="00EE0004"/>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EE0004"/>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EE0004"/>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EE0004"/>
    <w:rPr>
      <w:rFonts w:asciiTheme="majorHAnsi" w:eastAsiaTheme="majorEastAsia" w:hAnsiTheme="majorHAnsi" w:cstheme="majorBidi"/>
      <w:b/>
      <w:bCs/>
      <w:color w:val="4D4D4D"/>
      <w:sz w:val="26"/>
      <w:szCs w:val="26"/>
    </w:rPr>
  </w:style>
  <w:style w:type="character" w:customStyle="1" w:styleId="JUNAMES">
    <w:name w:val="JU_NAMES"/>
    <w:uiPriority w:val="17"/>
    <w:qFormat/>
    <w:rsid w:val="00EE0004"/>
    <w:rPr>
      <w:caps w:val="0"/>
      <w:smallCaps/>
    </w:rPr>
  </w:style>
  <w:style w:type="paragraph" w:customStyle="1" w:styleId="JuCase">
    <w:name w:val="Ju_Case"/>
    <w:basedOn w:val="Normal"/>
    <w:next w:val="ECHRPara"/>
    <w:uiPriority w:val="10"/>
    <w:rsid w:val="00EE0004"/>
    <w:pPr>
      <w:ind w:firstLine="284"/>
    </w:pPr>
    <w:rPr>
      <w:b/>
    </w:rPr>
  </w:style>
  <w:style w:type="character" w:customStyle="1" w:styleId="Heading3Char">
    <w:name w:val="Heading 3 Char"/>
    <w:basedOn w:val="DefaultParagraphFont"/>
    <w:link w:val="Heading3"/>
    <w:uiPriority w:val="99"/>
    <w:semiHidden/>
    <w:rsid w:val="00EE0004"/>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EE0004"/>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EE0004"/>
    <w:rPr>
      <w:rFonts w:asciiTheme="majorHAnsi" w:eastAsiaTheme="majorEastAsia" w:hAnsiTheme="majorHAnsi" w:cstheme="majorBidi"/>
      <w:b/>
      <w:bCs/>
      <w:color w:val="808080"/>
    </w:rPr>
  </w:style>
  <w:style w:type="character" w:styleId="SubtleEmphasis">
    <w:name w:val="Subtle Emphasis"/>
    <w:uiPriority w:val="99"/>
    <w:semiHidden/>
    <w:qFormat/>
    <w:rsid w:val="00EE0004"/>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EE0004"/>
    <w:pPr>
      <w:keepNext/>
      <w:keepLines/>
      <w:spacing w:before="720" w:after="240"/>
      <w:outlineLvl w:val="0"/>
    </w:pPr>
    <w:rPr>
      <w:rFonts w:asciiTheme="majorHAnsi" w:hAnsiTheme="majorHAnsi"/>
      <w:sz w:val="28"/>
    </w:rPr>
  </w:style>
  <w:style w:type="character" w:styleId="Emphasis">
    <w:name w:val="Emphasis"/>
    <w:uiPriority w:val="99"/>
    <w:semiHidden/>
    <w:qFormat/>
    <w:rsid w:val="00EE0004"/>
    <w:rPr>
      <w:b/>
      <w:bCs/>
      <w:i/>
      <w:iCs/>
      <w:spacing w:val="10"/>
      <w:bdr w:val="none" w:sz="0" w:space="0" w:color="auto"/>
      <w:shd w:val="clear" w:color="auto" w:fill="auto"/>
    </w:rPr>
  </w:style>
  <w:style w:type="paragraph" w:styleId="Footer">
    <w:name w:val="footer"/>
    <w:basedOn w:val="Normal"/>
    <w:link w:val="FooterChar"/>
    <w:uiPriority w:val="57"/>
    <w:semiHidden/>
    <w:rsid w:val="00EE0004"/>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EE0004"/>
    <w:rPr>
      <w:sz w:val="24"/>
    </w:rPr>
  </w:style>
  <w:style w:type="character" w:styleId="FootnoteReference">
    <w:name w:val="footnote reference"/>
    <w:basedOn w:val="DefaultParagraphFont"/>
    <w:uiPriority w:val="99"/>
    <w:semiHidden/>
    <w:rsid w:val="00EE0004"/>
    <w:rPr>
      <w:vertAlign w:val="superscript"/>
    </w:rPr>
  </w:style>
  <w:style w:type="paragraph" w:styleId="FootnoteText">
    <w:name w:val="footnote text"/>
    <w:basedOn w:val="Normal"/>
    <w:link w:val="FootnoteTextChar"/>
    <w:uiPriority w:val="99"/>
    <w:semiHidden/>
    <w:rsid w:val="00EE0004"/>
    <w:rPr>
      <w:sz w:val="20"/>
      <w:szCs w:val="20"/>
    </w:rPr>
  </w:style>
  <w:style w:type="character" w:customStyle="1" w:styleId="FootnoteTextChar">
    <w:name w:val="Footnote Text Char"/>
    <w:basedOn w:val="DefaultParagraphFont"/>
    <w:link w:val="FootnoteText"/>
    <w:uiPriority w:val="99"/>
    <w:semiHidden/>
    <w:rsid w:val="00EE0004"/>
    <w:rPr>
      <w:rFonts w:eastAsiaTheme="minorEastAsia"/>
      <w:sz w:val="20"/>
      <w:szCs w:val="20"/>
    </w:rPr>
  </w:style>
  <w:style w:type="character" w:customStyle="1" w:styleId="Heading6Char">
    <w:name w:val="Heading 6 Char"/>
    <w:basedOn w:val="DefaultParagraphFont"/>
    <w:link w:val="Heading6"/>
    <w:uiPriority w:val="99"/>
    <w:semiHidden/>
    <w:rsid w:val="00EE0004"/>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EE0004"/>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EE0004"/>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EE0004"/>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EE0004"/>
    <w:rPr>
      <w:color w:val="0072BC" w:themeColor="hyperlink"/>
      <w:u w:val="single"/>
    </w:rPr>
  </w:style>
  <w:style w:type="character" w:styleId="IntenseEmphasis">
    <w:name w:val="Intense Emphasis"/>
    <w:uiPriority w:val="99"/>
    <w:semiHidden/>
    <w:qFormat/>
    <w:rsid w:val="00EE0004"/>
    <w:rPr>
      <w:b/>
      <w:bCs/>
    </w:rPr>
  </w:style>
  <w:style w:type="paragraph" w:styleId="IntenseQuote">
    <w:name w:val="Intense Quote"/>
    <w:basedOn w:val="Normal"/>
    <w:next w:val="Normal"/>
    <w:link w:val="IntenseQuoteChar"/>
    <w:uiPriority w:val="99"/>
    <w:semiHidden/>
    <w:qFormat/>
    <w:rsid w:val="00EE0004"/>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EE0004"/>
    <w:rPr>
      <w:rFonts w:eastAsiaTheme="minorEastAsia"/>
      <w:b/>
      <w:bCs/>
      <w:i/>
      <w:iCs/>
      <w:lang w:bidi="en-US"/>
    </w:rPr>
  </w:style>
  <w:style w:type="character" w:styleId="IntenseReference">
    <w:name w:val="Intense Reference"/>
    <w:uiPriority w:val="99"/>
    <w:semiHidden/>
    <w:qFormat/>
    <w:rsid w:val="00EE0004"/>
    <w:rPr>
      <w:smallCaps/>
      <w:spacing w:val="5"/>
      <w:u w:val="single"/>
    </w:rPr>
  </w:style>
  <w:style w:type="paragraph" w:styleId="ListParagraph">
    <w:name w:val="List Paragraph"/>
    <w:basedOn w:val="Normal"/>
    <w:uiPriority w:val="99"/>
    <w:semiHidden/>
    <w:qFormat/>
    <w:rsid w:val="00EE0004"/>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EE0004"/>
    <w:pPr>
      <w:spacing w:before="200"/>
      <w:ind w:left="360" w:right="360"/>
    </w:pPr>
    <w:rPr>
      <w:i/>
      <w:iCs/>
      <w:sz w:val="22"/>
      <w:lang w:bidi="en-US"/>
    </w:rPr>
  </w:style>
  <w:style w:type="character" w:customStyle="1" w:styleId="QuoteChar">
    <w:name w:val="Quote Char"/>
    <w:basedOn w:val="DefaultParagraphFont"/>
    <w:link w:val="Quote"/>
    <w:uiPriority w:val="99"/>
    <w:semiHidden/>
    <w:rsid w:val="00EE0004"/>
    <w:rPr>
      <w:rFonts w:eastAsiaTheme="minorEastAsia"/>
      <w:i/>
      <w:iCs/>
      <w:lang w:bidi="en-US"/>
    </w:rPr>
  </w:style>
  <w:style w:type="character" w:styleId="SubtleReference">
    <w:name w:val="Subtle Reference"/>
    <w:uiPriority w:val="99"/>
    <w:semiHidden/>
    <w:qFormat/>
    <w:rsid w:val="00EE0004"/>
    <w:rPr>
      <w:smallCaps/>
    </w:rPr>
  </w:style>
  <w:style w:type="table" w:styleId="TableGrid">
    <w:name w:val="Table Grid"/>
    <w:basedOn w:val="TableNormal"/>
    <w:uiPriority w:val="59"/>
    <w:semiHidden/>
    <w:rsid w:val="00EE000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EE0004"/>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EE0004"/>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EE0004"/>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EE0004"/>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EE0004"/>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EE0004"/>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EE0004"/>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EE0004"/>
    <w:pPr>
      <w:spacing w:before="120" w:after="120"/>
      <w:ind w:left="425" w:firstLine="142"/>
    </w:pPr>
    <w:rPr>
      <w:sz w:val="20"/>
    </w:rPr>
  </w:style>
  <w:style w:type="paragraph" w:customStyle="1" w:styleId="ECHRPara">
    <w:name w:val="ECHR_Para"/>
    <w:aliases w:val="Ju_Para"/>
    <w:basedOn w:val="Normal"/>
    <w:link w:val="ECHRParaChar"/>
    <w:uiPriority w:val="12"/>
    <w:qFormat/>
    <w:rsid w:val="00EE0004"/>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EE0004"/>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EE0004"/>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link w:val="JuListChar"/>
    <w:uiPriority w:val="28"/>
    <w:qFormat/>
    <w:rsid w:val="00EE0004"/>
    <w:pPr>
      <w:ind w:left="340" w:hanging="340"/>
    </w:pPr>
  </w:style>
  <w:style w:type="paragraph" w:customStyle="1" w:styleId="JuSigned">
    <w:name w:val="Ju_Signed"/>
    <w:basedOn w:val="Normal"/>
    <w:next w:val="JuParaLast"/>
    <w:uiPriority w:val="32"/>
    <w:qFormat/>
    <w:rsid w:val="00EE0004"/>
    <w:pPr>
      <w:tabs>
        <w:tab w:val="center" w:pos="851"/>
        <w:tab w:val="center" w:pos="6407"/>
      </w:tabs>
      <w:spacing w:before="720"/>
      <w:jc w:val="left"/>
    </w:pPr>
  </w:style>
  <w:style w:type="paragraph" w:customStyle="1" w:styleId="JuParaLast">
    <w:name w:val="Ju_Para_Last"/>
    <w:basedOn w:val="Normal"/>
    <w:next w:val="ECHRPara"/>
    <w:uiPriority w:val="30"/>
    <w:qFormat/>
    <w:rsid w:val="00EE0004"/>
    <w:pPr>
      <w:keepNext/>
      <w:keepLines/>
      <w:spacing w:before="240"/>
      <w:ind w:firstLine="284"/>
    </w:pPr>
  </w:style>
  <w:style w:type="paragraph" w:customStyle="1" w:styleId="JuParaSub">
    <w:name w:val="Ju_Para_Sub"/>
    <w:basedOn w:val="ECHRPara"/>
    <w:uiPriority w:val="13"/>
    <w:qFormat/>
    <w:rsid w:val="00EE0004"/>
    <w:pPr>
      <w:ind w:left="284"/>
    </w:pPr>
  </w:style>
  <w:style w:type="character" w:styleId="PageNumber">
    <w:name w:val="page number"/>
    <w:uiPriority w:val="99"/>
    <w:semiHidden/>
    <w:rsid w:val="00014566"/>
    <w:rPr>
      <w:sz w:val="18"/>
    </w:rPr>
  </w:style>
  <w:style w:type="paragraph" w:customStyle="1" w:styleId="JuQuotSub">
    <w:name w:val="Ju_Quot_Sub"/>
    <w:basedOn w:val="ECHRParaQuote"/>
    <w:uiPriority w:val="15"/>
    <w:qFormat/>
    <w:rsid w:val="00EE0004"/>
    <w:pPr>
      <w:ind w:left="567"/>
    </w:pPr>
  </w:style>
  <w:style w:type="paragraph" w:customStyle="1" w:styleId="JuTitle">
    <w:name w:val="Ju_Title"/>
    <w:basedOn w:val="Normal"/>
    <w:next w:val="ECHRPara"/>
    <w:uiPriority w:val="3"/>
    <w:semiHidden/>
    <w:qFormat/>
    <w:rsid w:val="00EE0004"/>
    <w:pPr>
      <w:spacing w:before="720" w:after="240"/>
      <w:jc w:val="center"/>
      <w:outlineLvl w:val="0"/>
    </w:pPr>
    <w:rPr>
      <w:rFonts w:asciiTheme="majorHAnsi" w:hAnsiTheme="majorHAnsi"/>
      <w:b/>
      <w:caps/>
    </w:r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H1">
    <w:name w:val="Opi_H_1"/>
    <w:basedOn w:val="ECHRHeading2"/>
    <w:uiPriority w:val="42"/>
    <w:qFormat/>
    <w:rsid w:val="00EE0004"/>
    <w:pPr>
      <w:ind w:left="635" w:hanging="357"/>
      <w:outlineLvl w:val="2"/>
    </w:pPr>
  </w:style>
  <w:style w:type="paragraph" w:styleId="ListBullet">
    <w:name w:val="List Bullet"/>
    <w:basedOn w:val="Normal"/>
    <w:uiPriority w:val="99"/>
    <w:semiHidden/>
    <w:rsid w:val="00014566"/>
    <w:pPr>
      <w:numPr>
        <w:numId w:val="1"/>
      </w:numPr>
    </w:pPr>
  </w:style>
  <w:style w:type="paragraph" w:customStyle="1" w:styleId="OpiHa">
    <w:name w:val="Opi_H_a"/>
    <w:basedOn w:val="ECHRHeading3"/>
    <w:uiPriority w:val="43"/>
    <w:qFormat/>
    <w:rsid w:val="00EE0004"/>
    <w:pPr>
      <w:ind w:left="833" w:hanging="357"/>
      <w:outlineLvl w:val="3"/>
    </w:pPr>
    <w:rPr>
      <w:b/>
      <w:i w:val="0"/>
      <w:sz w:val="20"/>
    </w:rPr>
  </w:style>
  <w:style w:type="paragraph" w:styleId="Subtitle">
    <w:name w:val="Subtitle"/>
    <w:basedOn w:val="Normal"/>
    <w:next w:val="Normal"/>
    <w:link w:val="SubtitleChar"/>
    <w:uiPriority w:val="99"/>
    <w:semiHidden/>
    <w:qFormat/>
    <w:rsid w:val="00EE0004"/>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EE0004"/>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EE0004"/>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EE0004"/>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EE0004"/>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HA0">
    <w:name w:val="Opi_H_A"/>
    <w:basedOn w:val="ECHRHeading1"/>
    <w:next w:val="OpiPara"/>
    <w:uiPriority w:val="41"/>
    <w:qFormat/>
    <w:rsid w:val="00EE0004"/>
    <w:pPr>
      <w:tabs>
        <w:tab w:val="clear" w:pos="357"/>
      </w:tabs>
      <w:outlineLvl w:val="1"/>
    </w:pPr>
    <w:rPr>
      <w:b/>
    </w:rPr>
  </w:style>
  <w:style w:type="paragraph" w:customStyle="1" w:styleId="OpiHi">
    <w:name w:val="Opi_H_i"/>
    <w:basedOn w:val="ECHRHeading4"/>
    <w:uiPriority w:val="44"/>
    <w:qFormat/>
    <w:rsid w:val="00EE0004"/>
    <w:pPr>
      <w:ind w:left="1037" w:hanging="357"/>
      <w:outlineLvl w:val="4"/>
    </w:pPr>
    <w:rPr>
      <w:b w:val="0"/>
      <w:i/>
    </w:rPr>
  </w:style>
  <w:style w:type="paragraph" w:customStyle="1" w:styleId="OpiPara">
    <w:name w:val="Opi_Para"/>
    <w:basedOn w:val="ECHRPara"/>
    <w:uiPriority w:val="46"/>
    <w:qFormat/>
    <w:rsid w:val="00EE0004"/>
  </w:style>
  <w:style w:type="paragraph" w:customStyle="1" w:styleId="OpiParaSub">
    <w:name w:val="Opi_Para_Sub"/>
    <w:basedOn w:val="JuParaSub"/>
    <w:uiPriority w:val="47"/>
    <w:qFormat/>
    <w:rsid w:val="00EE0004"/>
  </w:style>
  <w:style w:type="paragraph" w:customStyle="1" w:styleId="OpiQuot">
    <w:name w:val="Opi_Quot"/>
    <w:basedOn w:val="ECHRParaQuote"/>
    <w:uiPriority w:val="48"/>
    <w:qFormat/>
    <w:rsid w:val="00EE0004"/>
  </w:style>
  <w:style w:type="paragraph" w:customStyle="1" w:styleId="OpiQuotSub">
    <w:name w:val="Opi_Quot_Sub"/>
    <w:basedOn w:val="JuQuotSub"/>
    <w:uiPriority w:val="49"/>
    <w:qFormat/>
    <w:rsid w:val="00EE0004"/>
  </w:style>
  <w:style w:type="paragraph" w:customStyle="1" w:styleId="OpiTranslation">
    <w:name w:val="Opi_Translation"/>
    <w:basedOn w:val="Normal"/>
    <w:next w:val="OpiPara"/>
    <w:uiPriority w:val="40"/>
    <w:qFormat/>
    <w:rsid w:val="00EE0004"/>
    <w:pPr>
      <w:jc w:val="center"/>
      <w:outlineLvl w:val="0"/>
    </w:pPr>
    <w:rPr>
      <w:i/>
    </w:rPr>
  </w:style>
  <w:style w:type="character" w:customStyle="1" w:styleId="ECHRParaChar">
    <w:name w:val="ECHR_Para Char"/>
    <w:aliases w:val="Ju_Para Char"/>
    <w:link w:val="ECHRPara"/>
    <w:uiPriority w:val="12"/>
    <w:rsid w:val="008612C7"/>
    <w:rPr>
      <w:rFonts w:eastAsiaTheme="minorEastAsia"/>
      <w:sz w:val="24"/>
    </w:rPr>
  </w:style>
  <w:style w:type="character" w:customStyle="1" w:styleId="JuListChar">
    <w:name w:val="Ju_List Char"/>
    <w:link w:val="JuList"/>
    <w:uiPriority w:val="28"/>
    <w:rsid w:val="008612C7"/>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E2FFE3-1309-4369-8399-8F63D6ADBE04}"/>
</file>

<file path=customXml/itemProps2.xml><?xml version="1.0" encoding="utf-8"?>
<ds:datastoreItem xmlns:ds="http://schemas.openxmlformats.org/officeDocument/2006/customXml" ds:itemID="{C38E1C12-5D90-4A4D-84FD-3D4D36B0815C}"/>
</file>

<file path=customXml/itemProps3.xml><?xml version="1.0" encoding="utf-8"?>
<ds:datastoreItem xmlns:ds="http://schemas.openxmlformats.org/officeDocument/2006/customXml" ds:itemID="{3C0326C2-C794-4C75-BD71-C0FACB2982BC}"/>
</file>

<file path=customXml/itemProps4.xml><?xml version="1.0" encoding="utf-8"?>
<ds:datastoreItem xmlns:ds="http://schemas.openxmlformats.org/officeDocument/2006/customXml" ds:itemID="{43AC600A-2207-4C60-B0B9-C6F279617616}"/>
</file>

<file path=docProps/app.xml><?xml version="1.0" encoding="utf-8"?>
<Properties xmlns="http://schemas.openxmlformats.org/officeDocument/2006/extended-properties" xmlns:vt="http://schemas.openxmlformats.org/officeDocument/2006/docPropsVTypes">
  <Template>Normal.dotm</Template>
  <TotalTime>0</TotalTime>
  <Pages>1</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2017-03-07T08:50:00Z</dcterms:created>
  <dcterms:modified xsi:type="dcterms:W3CDTF">2017-03-07T08:50:00Z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