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A2269A" w:rsidR="00014566" w:rsidP="00A2269A" w:rsidRDefault="00014566">
      <w:pPr>
        <w:pStyle w:val="ECHRDecisionBody"/>
        <w:rPr>
          <w:lang w:val="en-GB"/>
        </w:rPr>
      </w:pPr>
      <w:bookmarkStart w:name="_GoBack" w:id="0"/>
      <w:bookmarkEnd w:id="0"/>
    </w:p>
    <w:p w:rsidRPr="00A2269A" w:rsidR="00F83488" w:rsidP="00A2269A" w:rsidRDefault="00F83488">
      <w:pPr>
        <w:pStyle w:val="ECHRDecisionBody"/>
        <w:rPr>
          <w:lang w:val="en-GB"/>
        </w:rPr>
      </w:pPr>
    </w:p>
    <w:p w:rsidRPr="00A2269A" w:rsidR="00F83488" w:rsidP="00A2269A" w:rsidRDefault="00F83488">
      <w:pPr>
        <w:pStyle w:val="ECHRDecisionBody"/>
        <w:rPr>
          <w:lang w:val="en-GB"/>
        </w:rPr>
      </w:pPr>
    </w:p>
    <w:p w:rsidRPr="00A2269A" w:rsidR="00014566" w:rsidP="00A2269A" w:rsidRDefault="00876B76">
      <w:pPr>
        <w:jc w:val="center"/>
        <w:rPr>
          <w:lang w:val="en-GB"/>
        </w:rPr>
      </w:pPr>
      <w:r w:rsidRPr="00A2269A">
        <w:rPr>
          <w:lang w:val="en-GB"/>
        </w:rPr>
        <w:t>FOURTH SECTION</w:t>
      </w:r>
    </w:p>
    <w:p w:rsidRPr="00A2269A" w:rsidR="00014566" w:rsidP="00A2269A" w:rsidRDefault="00014566">
      <w:pPr>
        <w:jc w:val="center"/>
        <w:rPr>
          <w:lang w:val="en-GB"/>
        </w:rPr>
      </w:pPr>
    </w:p>
    <w:p w:rsidRPr="00A2269A" w:rsidR="000E5A99" w:rsidP="00A2269A" w:rsidRDefault="000E5A99">
      <w:pPr>
        <w:jc w:val="center"/>
        <w:rPr>
          <w:lang w:val="en-GB"/>
        </w:rPr>
      </w:pPr>
    </w:p>
    <w:p w:rsidRPr="00A2269A" w:rsidR="00F83488" w:rsidP="00A2269A" w:rsidRDefault="00F83488">
      <w:pPr>
        <w:jc w:val="center"/>
        <w:rPr>
          <w:lang w:val="en-GB"/>
        </w:rPr>
      </w:pPr>
    </w:p>
    <w:p w:rsidRPr="00A2269A" w:rsidR="002F6BF0" w:rsidP="00A2269A" w:rsidRDefault="002F6BF0">
      <w:pPr>
        <w:jc w:val="center"/>
        <w:rPr>
          <w:lang w:val="en-GB"/>
        </w:rPr>
      </w:pPr>
    </w:p>
    <w:p w:rsidRPr="00A2269A" w:rsidR="000E5A99" w:rsidP="00A2269A" w:rsidRDefault="000E5A99">
      <w:pPr>
        <w:jc w:val="center"/>
        <w:rPr>
          <w:lang w:val="en-GB"/>
        </w:rPr>
      </w:pPr>
    </w:p>
    <w:p w:rsidRPr="00A2269A" w:rsidR="000E5A99" w:rsidP="00A2269A" w:rsidRDefault="000E5A99">
      <w:pPr>
        <w:jc w:val="center"/>
        <w:rPr>
          <w:lang w:val="en-GB"/>
        </w:rPr>
      </w:pPr>
    </w:p>
    <w:p w:rsidRPr="00A2269A" w:rsidR="000E5A99" w:rsidP="00A2269A" w:rsidRDefault="000E5A99">
      <w:pPr>
        <w:jc w:val="center"/>
        <w:rPr>
          <w:lang w:val="en-GB"/>
        </w:rPr>
      </w:pPr>
    </w:p>
    <w:p w:rsidRPr="00A2269A" w:rsidR="00014566" w:rsidP="00A2269A" w:rsidRDefault="00014566">
      <w:pPr>
        <w:jc w:val="center"/>
        <w:rPr>
          <w:b/>
          <w:lang w:val="en-GB"/>
        </w:rPr>
      </w:pPr>
      <w:bookmarkStart w:name="To" w:id="1"/>
      <w:r w:rsidRPr="00A2269A">
        <w:rPr>
          <w:b/>
          <w:lang w:val="en-GB"/>
        </w:rPr>
        <w:t xml:space="preserve">CASE OF </w:t>
      </w:r>
      <w:bookmarkEnd w:id="1"/>
      <w:r w:rsidRPr="00A2269A" w:rsidR="00876B76">
        <w:rPr>
          <w:b/>
          <w:lang w:val="en-GB"/>
        </w:rPr>
        <w:t xml:space="preserve">CEROVŠEK </w:t>
      </w:r>
      <w:r w:rsidRPr="00A2269A" w:rsidR="00F83488">
        <w:rPr>
          <w:b/>
          <w:lang w:val="en-GB"/>
        </w:rPr>
        <w:t>AND</w:t>
      </w:r>
      <w:r w:rsidRPr="00A2269A" w:rsidR="00876B76">
        <w:rPr>
          <w:b/>
          <w:lang w:val="en-GB"/>
        </w:rPr>
        <w:t xml:space="preserve"> BOŽIČNIK v. SLOVENIA</w:t>
      </w:r>
    </w:p>
    <w:p w:rsidRPr="00A2269A" w:rsidR="00014566" w:rsidP="00A2269A" w:rsidRDefault="00014566">
      <w:pPr>
        <w:jc w:val="center"/>
        <w:rPr>
          <w:lang w:val="en-GB"/>
        </w:rPr>
      </w:pPr>
    </w:p>
    <w:p w:rsidRPr="00A2269A" w:rsidR="00014566" w:rsidP="00A2269A" w:rsidRDefault="00014566">
      <w:pPr>
        <w:jc w:val="center"/>
        <w:rPr>
          <w:i/>
          <w:lang w:val="en-GB"/>
        </w:rPr>
      </w:pPr>
      <w:r w:rsidRPr="00A2269A">
        <w:rPr>
          <w:i/>
          <w:lang w:val="en-GB"/>
        </w:rPr>
        <w:t>(</w:t>
      </w:r>
      <w:r w:rsidRPr="00A2269A" w:rsidR="00876B76">
        <w:rPr>
          <w:i/>
          <w:lang w:val="en-GB"/>
        </w:rPr>
        <w:t>Applications nos. 68939/12 and 68949/12</w:t>
      </w:r>
      <w:r w:rsidRPr="00A2269A">
        <w:rPr>
          <w:i/>
          <w:lang w:val="en-GB"/>
        </w:rPr>
        <w:t>)</w:t>
      </w:r>
    </w:p>
    <w:p w:rsidRPr="00A2269A" w:rsidR="00014566" w:rsidP="00A2269A" w:rsidRDefault="00014566">
      <w:pPr>
        <w:jc w:val="center"/>
        <w:rPr>
          <w:lang w:val="en-GB"/>
        </w:rPr>
      </w:pPr>
    </w:p>
    <w:p w:rsidRPr="00A2269A" w:rsidR="00014566" w:rsidP="00A2269A" w:rsidRDefault="00014566">
      <w:pPr>
        <w:jc w:val="center"/>
        <w:rPr>
          <w:lang w:val="en-GB"/>
        </w:rPr>
      </w:pPr>
    </w:p>
    <w:p w:rsidRPr="00A2269A" w:rsidR="00014566" w:rsidP="00A2269A" w:rsidRDefault="00014566">
      <w:pPr>
        <w:jc w:val="center"/>
        <w:rPr>
          <w:lang w:val="en-GB"/>
        </w:rPr>
      </w:pPr>
    </w:p>
    <w:p w:rsidRPr="00A2269A" w:rsidR="000E5A99" w:rsidP="00A2269A" w:rsidRDefault="000E5A99">
      <w:pPr>
        <w:jc w:val="center"/>
        <w:rPr>
          <w:lang w:val="en-GB"/>
        </w:rPr>
      </w:pPr>
    </w:p>
    <w:p w:rsidRPr="00A2269A" w:rsidR="000E5A99" w:rsidP="00A2269A" w:rsidRDefault="000E5A99">
      <w:pPr>
        <w:jc w:val="center"/>
        <w:rPr>
          <w:lang w:val="en-GB"/>
        </w:rPr>
      </w:pPr>
    </w:p>
    <w:p w:rsidRPr="00A2269A" w:rsidR="000E5A99" w:rsidP="00A2269A" w:rsidRDefault="000E5A99">
      <w:pPr>
        <w:jc w:val="center"/>
        <w:rPr>
          <w:lang w:val="en-GB"/>
        </w:rPr>
      </w:pPr>
    </w:p>
    <w:p w:rsidRPr="00A2269A" w:rsidR="000E5A99" w:rsidP="00A2269A" w:rsidRDefault="000E5A99">
      <w:pPr>
        <w:jc w:val="center"/>
        <w:rPr>
          <w:lang w:val="en-GB"/>
        </w:rPr>
      </w:pPr>
    </w:p>
    <w:p w:rsidRPr="00A2269A" w:rsidR="000E5A99" w:rsidP="00A2269A" w:rsidRDefault="000E5A99">
      <w:pPr>
        <w:jc w:val="center"/>
        <w:rPr>
          <w:lang w:val="en-GB"/>
        </w:rPr>
      </w:pPr>
    </w:p>
    <w:p w:rsidRPr="00A2269A" w:rsidR="00014566" w:rsidP="00A2269A" w:rsidRDefault="000E5A99">
      <w:pPr>
        <w:jc w:val="center"/>
        <w:rPr>
          <w:szCs w:val="24"/>
          <w:lang w:val="en-GB"/>
        </w:rPr>
      </w:pPr>
      <w:r w:rsidRPr="00A2269A">
        <w:rPr>
          <w:szCs w:val="24"/>
          <w:lang w:val="en-GB"/>
        </w:rPr>
        <w:t>JUDGMENT</w:t>
      </w:r>
    </w:p>
    <w:p w:rsidRPr="00A2269A" w:rsidR="000E5A99" w:rsidP="00A2269A" w:rsidRDefault="000E5A99">
      <w:pPr>
        <w:pStyle w:val="JuParaSub"/>
        <w:ind w:firstLine="0"/>
        <w:jc w:val="center"/>
        <w:rPr>
          <w:lang w:val="en-GB"/>
        </w:rPr>
      </w:pPr>
    </w:p>
    <w:p w:rsidRPr="00A2269A" w:rsidR="000E5A99" w:rsidP="00A2269A" w:rsidRDefault="000E5A99">
      <w:pPr>
        <w:pStyle w:val="JuParaSub"/>
        <w:ind w:firstLine="0"/>
        <w:jc w:val="center"/>
        <w:rPr>
          <w:lang w:val="en-GB"/>
        </w:rPr>
      </w:pPr>
    </w:p>
    <w:p w:rsidRPr="00A2269A" w:rsidR="000E5A99" w:rsidP="00A2269A" w:rsidRDefault="000E5A99">
      <w:pPr>
        <w:jc w:val="center"/>
        <w:rPr>
          <w:szCs w:val="24"/>
          <w:lang w:val="en-GB"/>
        </w:rPr>
      </w:pPr>
      <w:r w:rsidRPr="00A2269A">
        <w:rPr>
          <w:szCs w:val="24"/>
          <w:lang w:val="en-GB"/>
        </w:rPr>
        <w:t>STRASBOURG</w:t>
      </w:r>
    </w:p>
    <w:p w:rsidRPr="00A2269A" w:rsidR="000E5A99" w:rsidP="00A2269A" w:rsidRDefault="000E5A99">
      <w:pPr>
        <w:jc w:val="center"/>
        <w:rPr>
          <w:szCs w:val="24"/>
          <w:lang w:val="en-GB"/>
        </w:rPr>
      </w:pPr>
    </w:p>
    <w:p w:rsidRPr="00A2269A" w:rsidR="000E5A99" w:rsidP="00A2269A" w:rsidRDefault="000E5A99">
      <w:pPr>
        <w:jc w:val="center"/>
        <w:rPr>
          <w:szCs w:val="24"/>
          <w:lang w:val="en-GB"/>
        </w:rPr>
      </w:pPr>
      <w:r w:rsidRPr="00A2269A">
        <w:rPr>
          <w:szCs w:val="24"/>
          <w:lang w:val="en-GB"/>
        </w:rPr>
        <w:t>7 March 2017</w:t>
      </w:r>
    </w:p>
    <w:p w:rsidRPr="00A2269A" w:rsidR="000E5A99" w:rsidP="00A2269A" w:rsidRDefault="000E5A99">
      <w:pPr>
        <w:pStyle w:val="JuParaSub"/>
        <w:ind w:firstLine="0"/>
        <w:jc w:val="center"/>
        <w:rPr>
          <w:lang w:val="en-GB"/>
        </w:rPr>
      </w:pPr>
    </w:p>
    <w:p w:rsidRPr="00A2269A" w:rsidR="000E5A99" w:rsidP="00A2269A" w:rsidRDefault="000E5A99">
      <w:pPr>
        <w:pStyle w:val="JuParaSub"/>
        <w:ind w:firstLine="0"/>
        <w:jc w:val="center"/>
        <w:rPr>
          <w:lang w:val="en-GB"/>
        </w:rPr>
      </w:pPr>
    </w:p>
    <w:p w:rsidRPr="00A2269A" w:rsidR="00B63815" w:rsidP="00A2269A" w:rsidRDefault="00B63815">
      <w:pPr>
        <w:pStyle w:val="JuParaSub"/>
        <w:ind w:firstLine="0"/>
        <w:jc w:val="center"/>
        <w:rPr>
          <w:lang w:val="en-GB"/>
        </w:rPr>
      </w:pPr>
    </w:p>
    <w:p w:rsidRPr="00A2269A" w:rsidR="00A2269A" w:rsidP="00A2269A" w:rsidRDefault="00A2269A">
      <w:pPr>
        <w:pStyle w:val="jucase0"/>
        <w:ind w:firstLine="0"/>
        <w:jc w:val="center"/>
        <w:rPr>
          <w:color w:val="FF0000"/>
          <w:sz w:val="28"/>
          <w:szCs w:val="28"/>
          <w:u w:val="single"/>
        </w:rPr>
      </w:pPr>
      <w:r w:rsidRPr="00A2269A">
        <w:rPr>
          <w:color w:val="FF0000"/>
          <w:sz w:val="28"/>
          <w:szCs w:val="28"/>
          <w:u w:val="single"/>
        </w:rPr>
        <w:t>FINAL</w:t>
      </w:r>
    </w:p>
    <w:p w:rsidRPr="00A2269A" w:rsidR="00A2269A" w:rsidP="00A2269A" w:rsidRDefault="00A2269A">
      <w:pPr>
        <w:pStyle w:val="jupara"/>
        <w:tabs>
          <w:tab w:val="left" w:pos="4650"/>
        </w:tabs>
        <w:ind w:firstLine="0"/>
        <w:jc w:val="center"/>
        <w:rPr>
          <w:color w:val="FF0000"/>
          <w:sz w:val="28"/>
          <w:szCs w:val="28"/>
        </w:rPr>
      </w:pPr>
    </w:p>
    <w:p w:rsidRPr="00A2269A" w:rsidR="00A2269A" w:rsidP="00A2269A" w:rsidRDefault="00A2269A">
      <w:pPr>
        <w:pStyle w:val="jupara"/>
        <w:ind w:firstLine="0"/>
        <w:jc w:val="center"/>
        <w:rPr>
          <w:color w:val="FF0000"/>
          <w:sz w:val="28"/>
          <w:szCs w:val="28"/>
        </w:rPr>
      </w:pPr>
      <w:r w:rsidRPr="00A2269A">
        <w:rPr>
          <w:color w:val="FF0000"/>
          <w:sz w:val="28"/>
          <w:szCs w:val="28"/>
        </w:rPr>
        <w:t>07/06/2017</w:t>
      </w:r>
    </w:p>
    <w:p w:rsidRPr="00A2269A" w:rsidR="00A2269A" w:rsidP="00A2269A" w:rsidRDefault="00A2269A">
      <w:pPr>
        <w:pStyle w:val="jupara"/>
        <w:ind w:firstLine="0"/>
        <w:jc w:val="center"/>
      </w:pPr>
    </w:p>
    <w:p w:rsidRPr="00A2269A" w:rsidR="00A2269A" w:rsidP="00A2269A" w:rsidRDefault="00A2269A">
      <w:pPr>
        <w:jc w:val="center"/>
        <w:rPr>
          <w:i/>
          <w:iCs/>
          <w:sz w:val="22"/>
        </w:rPr>
      </w:pPr>
      <w:r w:rsidRPr="00A2269A">
        <w:rPr>
          <w:i/>
          <w:iCs/>
          <w:sz w:val="22"/>
        </w:rPr>
        <w:t>This judgment has become final under Article 44 § 2 of the Convention. It may be subject to editorial revision.</w:t>
      </w:r>
    </w:p>
    <w:p w:rsidRPr="00A2269A" w:rsidR="000E5A99" w:rsidP="00A2269A" w:rsidRDefault="000E5A99">
      <w:pPr>
        <w:pStyle w:val="JuParaSub"/>
        <w:ind w:firstLine="0"/>
        <w:jc w:val="left"/>
        <w:rPr>
          <w:i/>
          <w:sz w:val="22"/>
          <w:lang w:val="en-GB"/>
        </w:rPr>
      </w:pPr>
    </w:p>
    <w:p w:rsidRPr="00A2269A" w:rsidR="000E5A99" w:rsidP="00A2269A" w:rsidRDefault="000E5A99">
      <w:pPr>
        <w:pStyle w:val="JuParaSub"/>
        <w:ind w:firstLine="0"/>
        <w:jc w:val="left"/>
        <w:rPr>
          <w:lang w:val="en-GB"/>
        </w:rPr>
        <w:sectPr w:rsidRPr="00A2269A" w:rsidR="000E5A99" w:rsidSect="000E5A99">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2274" w:right="2274" w:bottom="2274" w:left="2274" w:header="1701" w:footer="720" w:gutter="0"/>
          <w:pgNumType w:start="1"/>
          <w:cols w:space="720"/>
          <w:titlePg/>
          <w:docGrid w:linePitch="326"/>
        </w:sectPr>
      </w:pPr>
    </w:p>
    <w:p w:rsidRPr="00A2269A" w:rsidR="00014566" w:rsidP="00A2269A" w:rsidRDefault="00014566">
      <w:pPr>
        <w:pStyle w:val="JuParaSub"/>
        <w:rPr>
          <w:bCs/>
          <w:lang w:val="en-GB"/>
        </w:rPr>
      </w:pPr>
      <w:r w:rsidRPr="00A2269A">
        <w:rPr>
          <w:b/>
          <w:lang w:val="en-GB"/>
        </w:rPr>
        <w:t xml:space="preserve">In the case of </w:t>
      </w:r>
      <w:r w:rsidRPr="00A2269A" w:rsidR="00876B76">
        <w:rPr>
          <w:b/>
          <w:lang w:val="en-GB"/>
        </w:rPr>
        <w:t xml:space="preserve">Cerovšek and </w:t>
      </w:r>
      <w:r w:rsidRPr="00A2269A" w:rsidR="00E54957">
        <w:rPr>
          <w:b/>
          <w:lang w:val="en-GB"/>
        </w:rPr>
        <w:t>Bo</w:t>
      </w:r>
      <w:r w:rsidRPr="00A2269A" w:rsidR="00E54957">
        <w:rPr>
          <w:b/>
          <w:lang w:val="sl-SI"/>
        </w:rPr>
        <w:t xml:space="preserve">žičnik </w:t>
      </w:r>
      <w:r w:rsidRPr="00A2269A" w:rsidR="00876B76">
        <w:rPr>
          <w:b/>
          <w:lang w:val="en-GB"/>
        </w:rPr>
        <w:t>v. Slovenia</w:t>
      </w:r>
      <w:r w:rsidRPr="00A2269A">
        <w:rPr>
          <w:lang w:val="en-GB"/>
        </w:rPr>
        <w:t>,</w:t>
      </w:r>
    </w:p>
    <w:p w:rsidRPr="00A2269A" w:rsidR="00014566" w:rsidP="00A2269A" w:rsidRDefault="00014566">
      <w:pPr>
        <w:pStyle w:val="ECHRPara"/>
        <w:rPr>
          <w:lang w:val="en-GB"/>
        </w:rPr>
      </w:pPr>
      <w:r w:rsidRPr="00A2269A">
        <w:rPr>
          <w:lang w:val="en-GB"/>
        </w:rPr>
        <w:t>The European Court of Human Rights (</w:t>
      </w:r>
      <w:r w:rsidRPr="00A2269A" w:rsidR="00876B76">
        <w:rPr>
          <w:lang w:val="en-GB"/>
        </w:rPr>
        <w:t>Fourth Section</w:t>
      </w:r>
      <w:r w:rsidRPr="00A2269A">
        <w:rPr>
          <w:lang w:val="en-GB"/>
        </w:rPr>
        <w:t xml:space="preserve">), sitting as a </w:t>
      </w:r>
      <w:r w:rsidRPr="00A2269A" w:rsidR="00876B76">
        <w:rPr>
          <w:lang w:val="en-GB"/>
        </w:rPr>
        <w:t>Chamber</w:t>
      </w:r>
      <w:r w:rsidRPr="00A2269A">
        <w:rPr>
          <w:lang w:val="en-GB"/>
        </w:rPr>
        <w:t xml:space="preserve"> composed of:</w:t>
      </w:r>
    </w:p>
    <w:p w:rsidRPr="00A2269A" w:rsidR="00014566" w:rsidP="00A2269A" w:rsidRDefault="000E5A99">
      <w:pPr>
        <w:pStyle w:val="ECHRDecisionBody"/>
        <w:rPr>
          <w:lang w:val="en-GB"/>
        </w:rPr>
      </w:pPr>
      <w:r w:rsidRPr="00A2269A">
        <w:tab/>
        <w:t>András Sajó,</w:t>
      </w:r>
      <w:r w:rsidRPr="00A2269A">
        <w:rPr>
          <w:i/>
        </w:rPr>
        <w:t xml:space="preserve"> President,</w:t>
      </w:r>
      <w:r w:rsidRPr="00A2269A">
        <w:rPr>
          <w:i/>
        </w:rPr>
        <w:br/>
      </w:r>
      <w:r w:rsidRPr="00A2269A">
        <w:tab/>
        <w:t>Vincent A. De Gaetano,</w:t>
      </w:r>
      <w:r w:rsidRPr="00A2269A">
        <w:rPr>
          <w:i/>
        </w:rPr>
        <w:br/>
      </w:r>
      <w:r w:rsidRPr="00A2269A">
        <w:tab/>
        <w:t>Nona Tsotsoria,</w:t>
      </w:r>
      <w:r w:rsidRPr="00A2269A">
        <w:rPr>
          <w:i/>
        </w:rPr>
        <w:br/>
      </w:r>
      <w:r w:rsidRPr="00A2269A">
        <w:tab/>
        <w:t>Krzysztof Wojtyczek,</w:t>
      </w:r>
      <w:r w:rsidRPr="00A2269A">
        <w:rPr>
          <w:i/>
        </w:rPr>
        <w:br/>
      </w:r>
      <w:r w:rsidRPr="00A2269A">
        <w:tab/>
        <w:t>Iulia Motoc,</w:t>
      </w:r>
      <w:r w:rsidRPr="00A2269A">
        <w:rPr>
          <w:i/>
        </w:rPr>
        <w:br/>
      </w:r>
      <w:r w:rsidRPr="00A2269A">
        <w:tab/>
        <w:t>Gabriele Kucsko-Stadlmayer,</w:t>
      </w:r>
      <w:r w:rsidRPr="00A2269A">
        <w:rPr>
          <w:i/>
        </w:rPr>
        <w:br/>
      </w:r>
      <w:r w:rsidRPr="00A2269A">
        <w:tab/>
        <w:t>Marko Bošnjak,</w:t>
      </w:r>
      <w:r w:rsidRPr="00A2269A">
        <w:rPr>
          <w:i/>
        </w:rPr>
        <w:t xml:space="preserve"> judges,</w:t>
      </w:r>
      <w:r w:rsidRPr="00A2269A">
        <w:rPr>
          <w:i/>
        </w:rPr>
        <w:br/>
      </w:r>
      <w:r w:rsidRPr="00A2269A" w:rsidR="00014566">
        <w:rPr>
          <w:lang w:val="en-GB"/>
        </w:rPr>
        <w:t xml:space="preserve">and </w:t>
      </w:r>
      <w:r w:rsidRPr="00A2269A" w:rsidR="00876B76">
        <w:rPr>
          <w:lang w:val="en-GB"/>
        </w:rPr>
        <w:t>Marialena Tsirli</w:t>
      </w:r>
      <w:r w:rsidRPr="00A2269A" w:rsidR="00014566">
        <w:rPr>
          <w:lang w:val="en-GB"/>
        </w:rPr>
        <w:t xml:space="preserve">, </w:t>
      </w:r>
      <w:r w:rsidRPr="00A2269A" w:rsidR="00876B76">
        <w:rPr>
          <w:i/>
          <w:lang w:val="en-GB"/>
        </w:rPr>
        <w:t xml:space="preserve">Section </w:t>
      </w:r>
      <w:r w:rsidRPr="00A2269A" w:rsidR="00876B76">
        <w:rPr>
          <w:i/>
          <w:iCs/>
          <w:lang w:val="en-GB"/>
        </w:rPr>
        <w:t>Registrar</w:t>
      </w:r>
      <w:r w:rsidRPr="00A2269A" w:rsidR="00014566">
        <w:rPr>
          <w:i/>
          <w:lang w:val="en-GB"/>
        </w:rPr>
        <w:t>,</w:t>
      </w:r>
    </w:p>
    <w:p w:rsidRPr="00A2269A" w:rsidR="00014566" w:rsidP="00A2269A" w:rsidRDefault="00014566">
      <w:pPr>
        <w:pStyle w:val="ECHRPara"/>
        <w:rPr>
          <w:lang w:val="en-GB"/>
        </w:rPr>
      </w:pPr>
      <w:r w:rsidRPr="00A2269A">
        <w:rPr>
          <w:lang w:val="en-GB"/>
        </w:rPr>
        <w:t xml:space="preserve">Having deliberated in private on </w:t>
      </w:r>
      <w:r w:rsidRPr="00A2269A" w:rsidR="000E5A99">
        <w:rPr>
          <w:lang w:val="en-GB"/>
        </w:rPr>
        <w:t>31 January 2017</w:t>
      </w:r>
      <w:r w:rsidRPr="00A2269A">
        <w:rPr>
          <w:lang w:val="en-GB"/>
        </w:rPr>
        <w:t>,</w:t>
      </w:r>
    </w:p>
    <w:p w:rsidRPr="00A2269A" w:rsidR="00014566" w:rsidP="00A2269A" w:rsidRDefault="00014566">
      <w:pPr>
        <w:pStyle w:val="ECHRPara"/>
        <w:rPr>
          <w:lang w:val="en-GB"/>
        </w:rPr>
      </w:pPr>
      <w:r w:rsidRPr="00A2269A">
        <w:rPr>
          <w:lang w:val="en-GB"/>
        </w:rPr>
        <w:t>Delivers the following judgment, which was adopted on that date:</w:t>
      </w:r>
    </w:p>
    <w:p w:rsidRPr="00A2269A" w:rsidR="00014566" w:rsidP="00A2269A" w:rsidRDefault="00014566">
      <w:pPr>
        <w:pStyle w:val="ECHRTitle1"/>
        <w:rPr>
          <w:lang w:val="en-GB"/>
        </w:rPr>
      </w:pPr>
      <w:r w:rsidRPr="00A2269A">
        <w:rPr>
          <w:lang w:val="en-GB"/>
        </w:rPr>
        <w:t>PROCEDURE</w:t>
      </w:r>
    </w:p>
    <w:p w:rsidRPr="00A2269A" w:rsidR="00F83488"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w:t>
      </w:r>
      <w:r w:rsidRPr="00A2269A">
        <w:rPr>
          <w:lang w:val="en-GB"/>
        </w:rPr>
        <w:fldChar w:fldCharType="end"/>
      </w:r>
      <w:r w:rsidRPr="00A2269A" w:rsidR="00014566">
        <w:rPr>
          <w:lang w:val="en-GB"/>
        </w:rPr>
        <w:t xml:space="preserve">.  The case originated in </w:t>
      </w:r>
      <w:r w:rsidRPr="00A2269A" w:rsidR="003E1713">
        <w:rPr>
          <w:lang w:val="en-GB"/>
        </w:rPr>
        <w:t>two</w:t>
      </w:r>
      <w:r w:rsidRPr="00A2269A">
        <w:rPr>
          <w:lang w:val="en-GB"/>
        </w:rPr>
        <w:t xml:space="preserve"> applications (nos. 68939/12 and </w:t>
      </w:r>
      <w:r w:rsidRPr="00A2269A" w:rsidR="003E1713">
        <w:rPr>
          <w:lang w:val="en-GB"/>
        </w:rPr>
        <w:t>68949/12</w:t>
      </w:r>
      <w:r w:rsidRPr="00A2269A">
        <w:rPr>
          <w:lang w:val="en-GB"/>
        </w:rPr>
        <w:t>)</w:t>
      </w:r>
      <w:r w:rsidRPr="00A2269A" w:rsidR="00014566">
        <w:rPr>
          <w:lang w:val="en-GB"/>
        </w:rPr>
        <w:t xml:space="preserve"> against </w:t>
      </w:r>
      <w:r w:rsidRPr="00A2269A">
        <w:rPr>
          <w:lang w:val="en-GB"/>
        </w:rPr>
        <w:t>the Republic of Slovenia</w:t>
      </w:r>
      <w:r w:rsidRPr="00A2269A" w:rsidR="00014566">
        <w:rPr>
          <w:lang w:val="en-GB"/>
        </w:rPr>
        <w:t xml:space="preserve"> lodged with the </w:t>
      </w:r>
      <w:r w:rsidRPr="00A2269A">
        <w:rPr>
          <w:lang w:val="en-GB"/>
        </w:rPr>
        <w:t>Court under Article 34</w:t>
      </w:r>
      <w:r w:rsidRPr="00A2269A" w:rsidR="00014566">
        <w:rPr>
          <w:lang w:val="en-GB"/>
        </w:rPr>
        <w:t xml:space="preserve"> of the Convention for the Protection of Human Rights and Fundamental Freedoms (“the Convention”) by </w:t>
      </w:r>
      <w:r w:rsidRPr="00A2269A" w:rsidR="003E1713">
        <w:rPr>
          <w:lang w:val="en-GB"/>
        </w:rPr>
        <w:t>two</w:t>
      </w:r>
      <w:r w:rsidRPr="00A2269A">
        <w:rPr>
          <w:lang w:val="en-GB"/>
        </w:rPr>
        <w:t xml:space="preserve"> Slovenian nationals, Mr Silvo Cerovšek</w:t>
      </w:r>
      <w:r w:rsidRPr="00A2269A" w:rsidR="008463E6">
        <w:rPr>
          <w:lang w:val="en-GB"/>
        </w:rPr>
        <w:t xml:space="preserve"> (“the first applicant”)</w:t>
      </w:r>
      <w:r w:rsidRPr="00A2269A">
        <w:rPr>
          <w:lang w:val="en-GB"/>
        </w:rPr>
        <w:t xml:space="preserve"> and Mr</w:t>
      </w:r>
      <w:r w:rsidRPr="00A2269A" w:rsidR="003E1713">
        <w:rPr>
          <w:lang w:val="en-GB"/>
        </w:rPr>
        <w:t xml:space="preserve"> Štefan Božičnik </w:t>
      </w:r>
      <w:r w:rsidRPr="00A2269A">
        <w:rPr>
          <w:lang w:val="en-GB"/>
        </w:rPr>
        <w:t>(“the</w:t>
      </w:r>
      <w:r w:rsidRPr="00A2269A" w:rsidR="008463E6">
        <w:rPr>
          <w:lang w:val="en-GB"/>
        </w:rPr>
        <w:t xml:space="preserve"> second</w:t>
      </w:r>
      <w:r w:rsidRPr="00A2269A">
        <w:rPr>
          <w:lang w:val="en-GB"/>
        </w:rPr>
        <w:t xml:space="preserve"> applicant”), on 8 October 2012</w:t>
      </w:r>
      <w:r w:rsidRPr="00A2269A" w:rsidR="003E1713">
        <w:rPr>
          <w:lang w:val="en-GB"/>
        </w:rPr>
        <w:t>.</w:t>
      </w:r>
    </w:p>
    <w:p w:rsidRPr="00A2269A" w:rsidR="00876B7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2</w:t>
      </w:r>
      <w:r w:rsidRPr="00A2269A">
        <w:rPr>
          <w:lang w:val="en-GB"/>
        </w:rPr>
        <w:fldChar w:fldCharType="end"/>
      </w:r>
      <w:r w:rsidRPr="00A2269A" w:rsidR="00014566">
        <w:rPr>
          <w:lang w:val="en-GB"/>
        </w:rPr>
        <w:t>.  </w:t>
      </w:r>
      <w:r w:rsidRPr="00A2269A">
        <w:rPr>
          <w:lang w:val="en-GB"/>
        </w:rPr>
        <w:t>The applicants were represented by Mr</w:t>
      </w:r>
      <w:r w:rsidRPr="00A2269A" w:rsidR="003E1713">
        <w:rPr>
          <w:lang w:val="en-GB"/>
        </w:rPr>
        <w:t xml:space="preserve"> D. Medved, a lawyer practising in Krško.</w:t>
      </w:r>
      <w:r w:rsidRPr="00A2269A">
        <w:rPr>
          <w:lang w:val="en-GB"/>
        </w:rPr>
        <w:t xml:space="preserve"> </w:t>
      </w:r>
      <w:r w:rsidRPr="00A2269A" w:rsidR="00014566">
        <w:rPr>
          <w:lang w:val="en-GB"/>
        </w:rPr>
        <w:t xml:space="preserve">The </w:t>
      </w:r>
      <w:r w:rsidRPr="00A2269A">
        <w:rPr>
          <w:lang w:val="en-GB"/>
        </w:rPr>
        <w:t>Slovenian</w:t>
      </w:r>
      <w:r w:rsidRPr="00A2269A" w:rsidR="00014566">
        <w:rPr>
          <w:lang w:val="en-GB"/>
        </w:rPr>
        <w:t xml:space="preserve"> Government (“the Government”) were represented by their Agent, Mrs </w:t>
      </w:r>
      <w:r w:rsidRPr="00A2269A" w:rsidR="00C90B1B">
        <w:rPr>
          <w:lang w:val="en-GB"/>
        </w:rPr>
        <w:t xml:space="preserve">T. </w:t>
      </w:r>
      <w:r w:rsidRPr="00A2269A" w:rsidR="003E1713">
        <w:rPr>
          <w:lang w:val="en-GB"/>
        </w:rPr>
        <w:t>Mihelič Žitko</w:t>
      </w:r>
      <w:r w:rsidRPr="00A2269A" w:rsidR="00014566">
        <w:rPr>
          <w:lang w:val="en-GB"/>
        </w:rPr>
        <w:t xml:space="preserve">, </w:t>
      </w:r>
      <w:r w:rsidRPr="00A2269A" w:rsidR="003E1713">
        <w:rPr>
          <w:lang w:val="en-GB"/>
        </w:rPr>
        <w:t>Stat</w:t>
      </w:r>
      <w:r w:rsidRPr="00A2269A" w:rsidR="005D145C">
        <w:rPr>
          <w:lang w:val="en-GB"/>
        </w:rPr>
        <w:t>e</w:t>
      </w:r>
      <w:r w:rsidRPr="00A2269A" w:rsidR="003E1713">
        <w:rPr>
          <w:lang w:val="en-GB"/>
        </w:rPr>
        <w:t xml:space="preserve"> Attorney</w:t>
      </w:r>
      <w:r w:rsidRPr="00A2269A" w:rsidR="00014566">
        <w:rPr>
          <w:lang w:val="en-GB"/>
        </w:rPr>
        <w:t>.</w:t>
      </w:r>
    </w:p>
    <w:bookmarkStart w:name="complaintpar3" w:id="2"/>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3</w:t>
      </w:r>
      <w:r w:rsidRPr="00A2269A">
        <w:rPr>
          <w:lang w:val="en-GB"/>
        </w:rPr>
        <w:fldChar w:fldCharType="end"/>
      </w:r>
      <w:bookmarkEnd w:id="2"/>
      <w:r w:rsidRPr="00A2269A">
        <w:rPr>
          <w:lang w:val="en-GB"/>
        </w:rPr>
        <w:t>.  The applicants alleged, in particular,</w:t>
      </w:r>
      <w:r w:rsidRPr="00A2269A" w:rsidR="003E1713">
        <w:rPr>
          <w:lang w:val="en-GB"/>
        </w:rPr>
        <w:t xml:space="preserve"> that Article 6 of the Convention </w:t>
      </w:r>
      <w:r w:rsidRPr="00A2269A" w:rsidR="00B97158">
        <w:rPr>
          <w:lang w:val="en-GB"/>
        </w:rPr>
        <w:t>had been violated as the reasons for the verdict</w:t>
      </w:r>
      <w:r w:rsidRPr="00A2269A" w:rsidR="00603401">
        <w:rPr>
          <w:lang w:val="en-GB"/>
        </w:rPr>
        <w:t>s</w:t>
      </w:r>
      <w:r w:rsidRPr="00A2269A" w:rsidR="00B97158">
        <w:rPr>
          <w:lang w:val="en-GB"/>
        </w:rPr>
        <w:t xml:space="preserve"> </w:t>
      </w:r>
      <w:r w:rsidRPr="00A2269A" w:rsidR="005D145C">
        <w:rPr>
          <w:lang w:val="en-GB"/>
        </w:rPr>
        <w:t xml:space="preserve">against them </w:t>
      </w:r>
      <w:r w:rsidRPr="00A2269A" w:rsidR="00B97158">
        <w:rPr>
          <w:lang w:val="en-GB"/>
        </w:rPr>
        <w:t xml:space="preserve">had not </w:t>
      </w:r>
      <w:r w:rsidRPr="00A2269A" w:rsidR="00C90B1B">
        <w:rPr>
          <w:lang w:val="en-GB"/>
        </w:rPr>
        <w:t xml:space="preserve">been </w:t>
      </w:r>
      <w:r w:rsidRPr="00A2269A" w:rsidR="00B97158">
        <w:rPr>
          <w:lang w:val="en-GB"/>
        </w:rPr>
        <w:t>give</w:t>
      </w:r>
      <w:r w:rsidRPr="00A2269A" w:rsidR="003E28FF">
        <w:rPr>
          <w:lang w:val="en-GB"/>
        </w:rPr>
        <w:t>n by the judge who had reached them</w:t>
      </w:r>
      <w:r w:rsidRPr="00A2269A">
        <w:rPr>
          <w:lang w:val="en-GB"/>
        </w:rPr>
        <w:t>.</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4</w:t>
      </w:r>
      <w:r w:rsidRPr="00A2269A">
        <w:rPr>
          <w:lang w:val="en-GB"/>
        </w:rPr>
        <w:fldChar w:fldCharType="end"/>
      </w:r>
      <w:r w:rsidRPr="00A2269A" w:rsidR="00014566">
        <w:rPr>
          <w:lang w:val="en-GB"/>
        </w:rPr>
        <w:t>.  </w:t>
      </w:r>
      <w:r w:rsidRPr="00A2269A">
        <w:rPr>
          <w:lang w:val="en-GB"/>
        </w:rPr>
        <w:t xml:space="preserve">On </w:t>
      </w:r>
      <w:r w:rsidRPr="00A2269A" w:rsidR="00B97158">
        <w:rPr>
          <w:lang w:val="en-GB"/>
        </w:rPr>
        <w:t>8 April 2015</w:t>
      </w:r>
      <w:r w:rsidRPr="00A2269A">
        <w:rPr>
          <w:lang w:val="en-GB"/>
        </w:rPr>
        <w:t xml:space="preserve"> </w:t>
      </w:r>
      <w:r w:rsidRPr="00A2269A" w:rsidR="00B97158">
        <w:rPr>
          <w:lang w:val="en-GB"/>
        </w:rPr>
        <w:t>the above complaint was communicated to the Government and the remainder of the applications was declared inadmissible</w:t>
      </w:r>
      <w:r w:rsidRPr="00A2269A" w:rsidR="00B97158">
        <w:rPr>
          <w:szCs w:val="24"/>
          <w:lang w:val="en-GB"/>
        </w:rPr>
        <w:t xml:space="preserve"> </w:t>
      </w:r>
      <w:r w:rsidRPr="00A2269A" w:rsidR="00B97158">
        <w:rPr>
          <w:lang w:val="en-GB"/>
        </w:rPr>
        <w:t>pursuant to Rule 54 § 3</w:t>
      </w:r>
      <w:r w:rsidRPr="00A2269A" w:rsidR="008463E6">
        <w:rPr>
          <w:lang w:val="en-GB"/>
        </w:rPr>
        <w:t xml:space="preserve"> of the Rules of Court.</w:t>
      </w:r>
    </w:p>
    <w:p w:rsidRPr="00A2269A" w:rsidR="00014566" w:rsidP="00A2269A" w:rsidRDefault="00014566">
      <w:pPr>
        <w:pStyle w:val="ECHRTitle1"/>
        <w:rPr>
          <w:lang w:val="en-GB"/>
        </w:rPr>
      </w:pPr>
      <w:r w:rsidRPr="00A2269A">
        <w:rPr>
          <w:lang w:val="en-GB"/>
        </w:rPr>
        <w:t>THE FACTS</w:t>
      </w:r>
    </w:p>
    <w:p w:rsidRPr="00A2269A" w:rsidR="00014566" w:rsidP="00A2269A" w:rsidRDefault="00014566">
      <w:pPr>
        <w:pStyle w:val="ECHRHeading1"/>
        <w:rPr>
          <w:lang w:val="en-GB"/>
        </w:rPr>
      </w:pPr>
      <w:r w:rsidRPr="00A2269A">
        <w:rPr>
          <w:lang w:val="en-GB"/>
        </w:rPr>
        <w:t>I.  THE CIRCUMSTANCES OF THE CASE</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w:t>
      </w:r>
      <w:r w:rsidRPr="00A2269A">
        <w:rPr>
          <w:lang w:val="en-GB"/>
        </w:rPr>
        <w:fldChar w:fldCharType="end"/>
      </w:r>
      <w:r w:rsidRPr="00A2269A" w:rsidR="00014566">
        <w:rPr>
          <w:lang w:val="en-GB"/>
        </w:rPr>
        <w:t>.  The</w:t>
      </w:r>
      <w:r w:rsidRPr="00A2269A" w:rsidR="008463E6">
        <w:rPr>
          <w:lang w:val="en-GB"/>
        </w:rPr>
        <w:t xml:space="preserve"> first applicant was born in 1962 and lives in Bizeljsko. The second applicant was born in 1946 and lives in Artiče</w:t>
      </w:r>
      <w:r w:rsidRPr="00A2269A" w:rsidR="00014566">
        <w:rPr>
          <w:lang w:val="en-GB"/>
        </w:rPr>
        <w:t>.</w:t>
      </w:r>
    </w:p>
    <w:p w:rsidRPr="00A2269A" w:rsidR="00F83488" w:rsidP="00A2269A" w:rsidRDefault="008463E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6</w:t>
      </w:r>
      <w:r w:rsidRPr="00A2269A">
        <w:rPr>
          <w:lang w:val="en-GB"/>
        </w:rPr>
        <w:fldChar w:fldCharType="end"/>
      </w:r>
      <w:r w:rsidRPr="00A2269A">
        <w:rPr>
          <w:lang w:val="en-GB"/>
        </w:rPr>
        <w:t>.  The applicant</w:t>
      </w:r>
      <w:r w:rsidRPr="00A2269A" w:rsidR="00900E82">
        <w:rPr>
          <w:lang w:val="en-GB"/>
        </w:rPr>
        <w:t>s</w:t>
      </w:r>
      <w:r w:rsidRPr="00A2269A">
        <w:rPr>
          <w:lang w:val="en-GB"/>
        </w:rPr>
        <w:t xml:space="preserve"> were</w:t>
      </w:r>
      <w:r w:rsidRPr="00A2269A" w:rsidR="006F5FC1">
        <w:rPr>
          <w:lang w:val="en-GB"/>
        </w:rPr>
        <w:t xml:space="preserve"> charged </w:t>
      </w:r>
      <w:r w:rsidRPr="00A2269A">
        <w:rPr>
          <w:lang w:val="en-GB"/>
        </w:rPr>
        <w:t>in 2005 and 2006</w:t>
      </w:r>
      <w:r w:rsidRPr="00A2269A" w:rsidR="006F5FC1">
        <w:rPr>
          <w:lang w:val="en-GB"/>
        </w:rPr>
        <w:t xml:space="preserve"> </w:t>
      </w:r>
      <w:r w:rsidRPr="00A2269A">
        <w:rPr>
          <w:lang w:val="en-GB"/>
        </w:rPr>
        <w:t>respectively</w:t>
      </w:r>
      <w:r w:rsidRPr="00A2269A">
        <w:rPr>
          <w:i/>
          <w:lang w:val="en-GB"/>
        </w:rPr>
        <w:t xml:space="preserve"> </w:t>
      </w:r>
      <w:r w:rsidRPr="00A2269A">
        <w:rPr>
          <w:lang w:val="en-GB"/>
        </w:rPr>
        <w:t>of committ</w:t>
      </w:r>
      <w:r w:rsidRPr="00A2269A" w:rsidR="005D145C">
        <w:rPr>
          <w:lang w:val="en-GB"/>
        </w:rPr>
        <w:t xml:space="preserve">ing </w:t>
      </w:r>
      <w:r w:rsidRPr="00A2269A">
        <w:rPr>
          <w:lang w:val="en-GB"/>
        </w:rPr>
        <w:t xml:space="preserve">theft by cutting </w:t>
      </w:r>
      <w:r w:rsidRPr="00A2269A" w:rsidR="006F5FC1">
        <w:rPr>
          <w:lang w:val="en-GB"/>
        </w:rPr>
        <w:t xml:space="preserve">down </w:t>
      </w:r>
      <w:r w:rsidRPr="00A2269A">
        <w:rPr>
          <w:lang w:val="en-GB"/>
        </w:rPr>
        <w:t xml:space="preserve">and taking trees </w:t>
      </w:r>
      <w:r w:rsidRPr="00A2269A" w:rsidR="00D948DC">
        <w:rPr>
          <w:lang w:val="en-GB"/>
        </w:rPr>
        <w:t xml:space="preserve">from </w:t>
      </w:r>
      <w:r w:rsidRPr="00A2269A">
        <w:rPr>
          <w:lang w:val="en-GB"/>
        </w:rPr>
        <w:t xml:space="preserve">a forest belonging to another person and appropriating the wood. </w:t>
      </w:r>
      <w:r w:rsidRPr="00A2269A" w:rsidR="00D047F7">
        <w:rPr>
          <w:lang w:val="en-GB"/>
        </w:rPr>
        <w:t xml:space="preserve">They were tried </w:t>
      </w:r>
      <w:r w:rsidRPr="00A2269A" w:rsidR="00D948DC">
        <w:rPr>
          <w:lang w:val="en-GB"/>
        </w:rPr>
        <w:t xml:space="preserve">by </w:t>
      </w:r>
      <w:r w:rsidRPr="00A2269A" w:rsidR="00491F7D">
        <w:rPr>
          <w:lang w:val="en-GB"/>
        </w:rPr>
        <w:t xml:space="preserve">a </w:t>
      </w:r>
      <w:r w:rsidRPr="00A2269A" w:rsidR="00D047F7">
        <w:rPr>
          <w:lang w:val="en-GB"/>
        </w:rPr>
        <w:t xml:space="preserve">professional </w:t>
      </w:r>
      <w:r w:rsidRPr="00A2269A" w:rsidR="00491F7D">
        <w:rPr>
          <w:lang w:val="en-GB"/>
        </w:rPr>
        <w:t>judge, A.K., sit</w:t>
      </w:r>
      <w:r w:rsidRPr="00A2269A" w:rsidR="002356B6">
        <w:rPr>
          <w:lang w:val="en-GB"/>
        </w:rPr>
        <w:t>t</w:t>
      </w:r>
      <w:r w:rsidRPr="00A2269A" w:rsidR="00491F7D">
        <w:rPr>
          <w:lang w:val="en-GB"/>
        </w:rPr>
        <w:t xml:space="preserve">ing </w:t>
      </w:r>
      <w:r w:rsidRPr="00A2269A" w:rsidR="00D44694">
        <w:rPr>
          <w:lang w:val="en-GB"/>
        </w:rPr>
        <w:t>as a single judge</w:t>
      </w:r>
      <w:r w:rsidRPr="00A2269A" w:rsidR="00D047F7">
        <w:rPr>
          <w:lang w:val="en-GB"/>
        </w:rPr>
        <w:t>.</w:t>
      </w:r>
    </w:p>
    <w:bookmarkStart w:name="fistinstanceproceedings" w:id="3"/>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7</w:t>
      </w:r>
      <w:r w:rsidRPr="00A2269A">
        <w:rPr>
          <w:lang w:val="en-GB"/>
        </w:rPr>
        <w:fldChar w:fldCharType="end"/>
      </w:r>
      <w:bookmarkEnd w:id="3"/>
      <w:r w:rsidRPr="00A2269A">
        <w:rPr>
          <w:lang w:val="en-GB"/>
        </w:rPr>
        <w:t>.  </w:t>
      </w:r>
      <w:r w:rsidRPr="00A2269A" w:rsidR="00603401">
        <w:rPr>
          <w:lang w:val="en-GB"/>
        </w:rPr>
        <w:t>T</w:t>
      </w:r>
      <w:r w:rsidRPr="00A2269A" w:rsidR="006F5FC1">
        <w:rPr>
          <w:lang w:val="en-GB"/>
        </w:rPr>
        <w:t xml:space="preserve">he first applicant stated in </w:t>
      </w:r>
      <w:r w:rsidRPr="00A2269A" w:rsidR="00603401">
        <w:rPr>
          <w:lang w:val="en-GB"/>
        </w:rPr>
        <w:t xml:space="preserve">his defence in </w:t>
      </w:r>
      <w:r w:rsidRPr="00A2269A" w:rsidR="008463E6">
        <w:rPr>
          <w:lang w:val="en-GB"/>
        </w:rPr>
        <w:t xml:space="preserve">the proceedings against </w:t>
      </w:r>
      <w:r w:rsidRPr="00A2269A" w:rsidR="006F5FC1">
        <w:rPr>
          <w:lang w:val="en-GB"/>
        </w:rPr>
        <w:t xml:space="preserve">him </w:t>
      </w:r>
      <w:r w:rsidRPr="00A2269A" w:rsidR="008463E6">
        <w:rPr>
          <w:lang w:val="en-GB"/>
        </w:rPr>
        <w:t xml:space="preserve">that he had cut </w:t>
      </w:r>
      <w:r w:rsidRPr="00A2269A" w:rsidR="006F5FC1">
        <w:rPr>
          <w:lang w:val="en-GB"/>
        </w:rPr>
        <w:t xml:space="preserve">down </w:t>
      </w:r>
      <w:r w:rsidRPr="00A2269A" w:rsidR="008463E6">
        <w:rPr>
          <w:lang w:val="en-GB"/>
        </w:rPr>
        <w:t xml:space="preserve">trees which had been marked for cutting or </w:t>
      </w:r>
      <w:r w:rsidRPr="00A2269A" w:rsidR="006F5FC1">
        <w:rPr>
          <w:lang w:val="en-GB"/>
        </w:rPr>
        <w:t xml:space="preserve">had been </w:t>
      </w:r>
      <w:r w:rsidRPr="00A2269A" w:rsidR="008463E6">
        <w:rPr>
          <w:lang w:val="en-GB"/>
        </w:rPr>
        <w:t>attacked by bark beetle</w:t>
      </w:r>
      <w:r w:rsidRPr="00A2269A" w:rsidR="00C90B1B">
        <w:rPr>
          <w:lang w:val="en-GB"/>
        </w:rPr>
        <w:t xml:space="preserve"> in his own forest</w:t>
      </w:r>
      <w:r w:rsidRPr="00A2269A" w:rsidR="008463E6">
        <w:rPr>
          <w:lang w:val="en-GB"/>
        </w:rPr>
        <w:t>. In the course of the proceedings</w:t>
      </w:r>
      <w:r w:rsidRPr="00A2269A" w:rsidR="00DC3CA6">
        <w:rPr>
          <w:lang w:val="en-GB"/>
        </w:rPr>
        <w:t xml:space="preserve"> against the first applicant</w:t>
      </w:r>
      <w:r w:rsidRPr="00A2269A" w:rsidR="008463E6">
        <w:rPr>
          <w:lang w:val="en-GB"/>
        </w:rPr>
        <w:t xml:space="preserve"> </w:t>
      </w:r>
      <w:r w:rsidRPr="00A2269A" w:rsidR="008F1157">
        <w:rPr>
          <w:lang w:val="en-GB"/>
        </w:rPr>
        <w:t>J</w:t>
      </w:r>
      <w:r w:rsidRPr="00A2269A" w:rsidR="008463E6">
        <w:rPr>
          <w:lang w:val="en-GB"/>
        </w:rPr>
        <w:t xml:space="preserve">udge A.K. </w:t>
      </w:r>
      <w:r w:rsidRPr="00A2269A" w:rsidR="005D145C">
        <w:rPr>
          <w:lang w:val="en-GB"/>
        </w:rPr>
        <w:t xml:space="preserve">examined </w:t>
      </w:r>
      <w:r w:rsidRPr="00A2269A" w:rsidR="008463E6">
        <w:rPr>
          <w:lang w:val="en-GB"/>
        </w:rPr>
        <w:t>a number of witnesses</w:t>
      </w:r>
      <w:r w:rsidRPr="00A2269A" w:rsidR="00C90B1B">
        <w:rPr>
          <w:lang w:val="en-GB"/>
        </w:rPr>
        <w:t xml:space="preserve"> </w:t>
      </w:r>
      <w:r w:rsidRPr="00A2269A" w:rsidR="006F5FC1">
        <w:rPr>
          <w:lang w:val="en-GB"/>
        </w:rPr>
        <w:t xml:space="preserve">during </w:t>
      </w:r>
      <w:r w:rsidRPr="00A2269A" w:rsidR="00C90B1B">
        <w:rPr>
          <w:lang w:val="en-GB"/>
        </w:rPr>
        <w:t>the main hearing</w:t>
      </w:r>
      <w:r w:rsidRPr="00A2269A" w:rsidR="008463E6">
        <w:rPr>
          <w:lang w:val="en-GB"/>
        </w:rPr>
        <w:t>,</w:t>
      </w:r>
      <w:r w:rsidRPr="00A2269A" w:rsidR="00C90B1B">
        <w:rPr>
          <w:lang w:val="en-GB"/>
        </w:rPr>
        <w:t xml:space="preserve"> inspected </w:t>
      </w:r>
      <w:r w:rsidRPr="00A2269A" w:rsidR="008463E6">
        <w:rPr>
          <w:lang w:val="en-GB"/>
        </w:rPr>
        <w:t xml:space="preserve">the place of the </w:t>
      </w:r>
      <w:r w:rsidRPr="00A2269A" w:rsidR="006635B7">
        <w:rPr>
          <w:lang w:val="en-GB"/>
        </w:rPr>
        <w:t>alleged</w:t>
      </w:r>
      <w:r w:rsidRPr="00A2269A" w:rsidR="00C90B1B">
        <w:rPr>
          <w:lang w:val="en-GB"/>
        </w:rPr>
        <w:t xml:space="preserve"> offence and</w:t>
      </w:r>
      <w:r w:rsidRPr="00A2269A" w:rsidR="008463E6">
        <w:rPr>
          <w:lang w:val="en-GB"/>
        </w:rPr>
        <w:t xml:space="preserve"> examined a number of other documents</w:t>
      </w:r>
      <w:r w:rsidRPr="00A2269A" w:rsidR="006F5FC1">
        <w:rPr>
          <w:lang w:val="en-GB"/>
        </w:rPr>
        <w:t>,</w:t>
      </w:r>
      <w:r w:rsidRPr="00A2269A" w:rsidR="008463E6">
        <w:rPr>
          <w:lang w:val="en-GB"/>
        </w:rPr>
        <w:t xml:space="preserve"> including a sketch and a copy of the </w:t>
      </w:r>
      <w:r w:rsidRPr="00A2269A" w:rsidR="006F5FC1">
        <w:rPr>
          <w:lang w:val="en-GB"/>
        </w:rPr>
        <w:t xml:space="preserve">land register </w:t>
      </w:r>
      <w:r w:rsidRPr="00A2269A" w:rsidR="008463E6">
        <w:rPr>
          <w:lang w:val="en-GB"/>
        </w:rPr>
        <w:t xml:space="preserve">map. None of the witnesses </w:t>
      </w:r>
      <w:r w:rsidRPr="00A2269A" w:rsidR="00C90B1B">
        <w:rPr>
          <w:lang w:val="en-GB"/>
        </w:rPr>
        <w:t>testified</w:t>
      </w:r>
      <w:r w:rsidRPr="00A2269A" w:rsidR="008463E6">
        <w:rPr>
          <w:lang w:val="en-GB"/>
        </w:rPr>
        <w:t xml:space="preserve"> that they </w:t>
      </w:r>
      <w:r w:rsidRPr="00A2269A" w:rsidR="00C90B1B">
        <w:rPr>
          <w:lang w:val="en-GB"/>
        </w:rPr>
        <w:t xml:space="preserve">had </w:t>
      </w:r>
      <w:r w:rsidRPr="00A2269A" w:rsidR="008463E6">
        <w:rPr>
          <w:lang w:val="en-GB"/>
        </w:rPr>
        <w:t>s</w:t>
      </w:r>
      <w:r w:rsidRPr="00A2269A" w:rsidR="00C90B1B">
        <w:rPr>
          <w:lang w:val="en-GB"/>
        </w:rPr>
        <w:t xml:space="preserve">een </w:t>
      </w:r>
      <w:r w:rsidRPr="00A2269A" w:rsidR="008463E6">
        <w:rPr>
          <w:lang w:val="en-GB"/>
        </w:rPr>
        <w:t xml:space="preserve">the first applicant cutting </w:t>
      </w:r>
      <w:r w:rsidRPr="00A2269A" w:rsidR="006F5FC1">
        <w:rPr>
          <w:lang w:val="en-GB"/>
        </w:rPr>
        <w:t xml:space="preserve">down </w:t>
      </w:r>
      <w:r w:rsidRPr="00A2269A" w:rsidR="008463E6">
        <w:rPr>
          <w:lang w:val="en-GB"/>
        </w:rPr>
        <w:t>trees on the injured party</w:t>
      </w:r>
      <w:r w:rsidRPr="00A2269A" w:rsidR="00A2269A">
        <w:rPr>
          <w:lang w:val="en-GB"/>
        </w:rPr>
        <w:t>’</w:t>
      </w:r>
      <w:r w:rsidRPr="00A2269A" w:rsidR="008463E6">
        <w:rPr>
          <w:lang w:val="en-GB"/>
        </w:rPr>
        <w:t>s plot of land</w:t>
      </w:r>
      <w:r w:rsidRPr="00A2269A" w:rsidR="006F5FC1">
        <w:rPr>
          <w:lang w:val="en-GB"/>
        </w:rPr>
        <w:t>. H</w:t>
      </w:r>
      <w:r w:rsidRPr="00A2269A" w:rsidR="008463E6">
        <w:rPr>
          <w:lang w:val="en-GB"/>
        </w:rPr>
        <w:t>owever</w:t>
      </w:r>
      <w:r w:rsidRPr="00A2269A" w:rsidR="006F5FC1">
        <w:rPr>
          <w:lang w:val="en-GB"/>
        </w:rPr>
        <w:t>,</w:t>
      </w:r>
      <w:r w:rsidRPr="00A2269A" w:rsidR="008463E6">
        <w:rPr>
          <w:lang w:val="en-GB"/>
        </w:rPr>
        <w:t xml:space="preserve"> they testified about a number of </w:t>
      </w:r>
      <w:r w:rsidRPr="00A2269A" w:rsidR="00C90B1B">
        <w:rPr>
          <w:lang w:val="en-GB"/>
        </w:rPr>
        <w:t>other</w:t>
      </w:r>
      <w:r w:rsidRPr="00A2269A" w:rsidR="008463E6">
        <w:rPr>
          <w:lang w:val="en-GB"/>
        </w:rPr>
        <w:t xml:space="preserve"> circumstances in relation to the charges, for example similarities in the way the trees </w:t>
      </w:r>
      <w:r w:rsidRPr="00A2269A" w:rsidR="00C90B1B">
        <w:rPr>
          <w:lang w:val="en-GB"/>
        </w:rPr>
        <w:t xml:space="preserve">had been cut </w:t>
      </w:r>
      <w:r w:rsidRPr="00A2269A" w:rsidR="006F5FC1">
        <w:rPr>
          <w:lang w:val="en-GB"/>
        </w:rPr>
        <w:t xml:space="preserve">down </w:t>
      </w:r>
      <w:r w:rsidRPr="00A2269A" w:rsidR="008463E6">
        <w:rPr>
          <w:lang w:val="en-GB"/>
        </w:rPr>
        <w:t>on the first applicant</w:t>
      </w:r>
      <w:r w:rsidRPr="00A2269A" w:rsidR="00A2269A">
        <w:rPr>
          <w:lang w:val="en-GB"/>
        </w:rPr>
        <w:t>’</w:t>
      </w:r>
      <w:r w:rsidRPr="00A2269A" w:rsidR="008463E6">
        <w:rPr>
          <w:lang w:val="en-GB"/>
        </w:rPr>
        <w:t xml:space="preserve">s land and </w:t>
      </w:r>
      <w:r w:rsidRPr="00A2269A" w:rsidR="006F5FC1">
        <w:rPr>
          <w:lang w:val="en-GB"/>
        </w:rPr>
        <w:t xml:space="preserve">on </w:t>
      </w:r>
      <w:r w:rsidRPr="00A2269A" w:rsidR="008463E6">
        <w:rPr>
          <w:lang w:val="en-GB"/>
        </w:rPr>
        <w:t>th</w:t>
      </w:r>
      <w:r w:rsidRPr="00A2269A" w:rsidR="005D145C">
        <w:rPr>
          <w:lang w:val="en-GB"/>
        </w:rPr>
        <w:t xml:space="preserve">at of the </w:t>
      </w:r>
      <w:r w:rsidRPr="00A2269A" w:rsidR="000812E4">
        <w:rPr>
          <w:lang w:val="en-GB"/>
        </w:rPr>
        <w:t>injured party</w:t>
      </w:r>
      <w:r w:rsidRPr="00A2269A" w:rsidR="008463E6">
        <w:rPr>
          <w:lang w:val="en-GB"/>
        </w:rPr>
        <w:t>, traces</w:t>
      </w:r>
      <w:r w:rsidRPr="00A2269A" w:rsidR="00C90B1B">
        <w:rPr>
          <w:lang w:val="en-GB"/>
        </w:rPr>
        <w:t xml:space="preserve"> </w:t>
      </w:r>
      <w:r w:rsidRPr="00A2269A" w:rsidR="006F5FC1">
        <w:rPr>
          <w:lang w:val="en-GB"/>
        </w:rPr>
        <w:t xml:space="preserve">of </w:t>
      </w:r>
      <w:r w:rsidRPr="00A2269A" w:rsidR="008463E6">
        <w:rPr>
          <w:lang w:val="en-GB"/>
        </w:rPr>
        <w:t xml:space="preserve">the transport of trees, the fact that the first applicant </w:t>
      </w:r>
      <w:r w:rsidRPr="00A2269A" w:rsidR="00C90B1B">
        <w:rPr>
          <w:lang w:val="en-GB"/>
        </w:rPr>
        <w:t xml:space="preserve">had </w:t>
      </w:r>
      <w:r w:rsidRPr="00A2269A" w:rsidR="008463E6">
        <w:rPr>
          <w:lang w:val="en-GB"/>
        </w:rPr>
        <w:t xml:space="preserve">regularly sold wood and that he had </w:t>
      </w:r>
      <w:r w:rsidRPr="00A2269A" w:rsidR="006F5FC1">
        <w:rPr>
          <w:lang w:val="en-GB"/>
        </w:rPr>
        <w:t xml:space="preserve">also </w:t>
      </w:r>
      <w:r w:rsidRPr="00A2269A" w:rsidR="008463E6">
        <w:rPr>
          <w:lang w:val="en-GB"/>
        </w:rPr>
        <w:t xml:space="preserve">cut </w:t>
      </w:r>
      <w:r w:rsidRPr="00A2269A" w:rsidR="006F5FC1">
        <w:rPr>
          <w:lang w:val="en-GB"/>
        </w:rPr>
        <w:t>down u</w:t>
      </w:r>
      <w:r w:rsidRPr="00A2269A" w:rsidR="008463E6">
        <w:rPr>
          <w:lang w:val="en-GB"/>
        </w:rPr>
        <w:t xml:space="preserve">nmarked trees on </w:t>
      </w:r>
      <w:r w:rsidRPr="00A2269A" w:rsidR="00C90B1B">
        <w:rPr>
          <w:lang w:val="en-GB"/>
        </w:rPr>
        <w:t xml:space="preserve">his own </w:t>
      </w:r>
      <w:r w:rsidRPr="00A2269A" w:rsidR="008463E6">
        <w:rPr>
          <w:lang w:val="en-GB"/>
        </w:rPr>
        <w:t xml:space="preserve">land. One of the witnesses also testified that he </w:t>
      </w:r>
      <w:r w:rsidRPr="00A2269A" w:rsidR="00C90B1B">
        <w:rPr>
          <w:lang w:val="en-GB"/>
        </w:rPr>
        <w:t xml:space="preserve">had seen </w:t>
      </w:r>
      <w:r w:rsidRPr="00A2269A" w:rsidR="008463E6">
        <w:rPr>
          <w:lang w:val="en-GB"/>
        </w:rPr>
        <w:t xml:space="preserve">the first applicant and </w:t>
      </w:r>
      <w:r w:rsidRPr="00A2269A" w:rsidR="00C90B1B">
        <w:rPr>
          <w:lang w:val="en-GB"/>
        </w:rPr>
        <w:t xml:space="preserve">another person, </w:t>
      </w:r>
      <w:r w:rsidRPr="00A2269A" w:rsidR="008463E6">
        <w:rPr>
          <w:lang w:val="en-GB"/>
        </w:rPr>
        <w:t>B.K.</w:t>
      </w:r>
      <w:r w:rsidRPr="00A2269A" w:rsidR="00C90B1B">
        <w:rPr>
          <w:lang w:val="en-GB"/>
        </w:rPr>
        <w:t>,</w:t>
      </w:r>
      <w:r w:rsidRPr="00A2269A" w:rsidR="008463E6">
        <w:rPr>
          <w:lang w:val="en-GB"/>
        </w:rPr>
        <w:t xml:space="preserve"> transporting trees over the injured party</w:t>
      </w:r>
      <w:r w:rsidRPr="00A2269A" w:rsidR="00A2269A">
        <w:rPr>
          <w:lang w:val="en-GB"/>
        </w:rPr>
        <w:t>’</w:t>
      </w:r>
      <w:r w:rsidRPr="00A2269A" w:rsidR="008463E6">
        <w:rPr>
          <w:lang w:val="en-GB"/>
        </w:rPr>
        <w:t xml:space="preserve">s land. Another witness, the </w:t>
      </w:r>
      <w:r w:rsidRPr="00A2269A" w:rsidR="000812E4">
        <w:rPr>
          <w:lang w:val="en-GB"/>
        </w:rPr>
        <w:t>injured party</w:t>
      </w:r>
      <w:r w:rsidRPr="00A2269A" w:rsidR="00A2269A">
        <w:rPr>
          <w:lang w:val="en-GB"/>
        </w:rPr>
        <w:t>’</w:t>
      </w:r>
      <w:r w:rsidRPr="00A2269A" w:rsidR="000812E4">
        <w:rPr>
          <w:lang w:val="en-GB"/>
        </w:rPr>
        <w:t>s</w:t>
      </w:r>
      <w:r w:rsidRPr="00A2269A" w:rsidR="00573B56">
        <w:rPr>
          <w:lang w:val="en-GB"/>
        </w:rPr>
        <w:t xml:space="preserve"> husband</w:t>
      </w:r>
      <w:r w:rsidRPr="00A2269A" w:rsidR="008463E6">
        <w:rPr>
          <w:lang w:val="en-GB"/>
        </w:rPr>
        <w:t xml:space="preserve">, testified that B.K. </w:t>
      </w:r>
      <w:r w:rsidRPr="00A2269A" w:rsidR="00573B56">
        <w:rPr>
          <w:lang w:val="en-GB"/>
        </w:rPr>
        <w:t xml:space="preserve">had </w:t>
      </w:r>
      <w:r w:rsidRPr="00A2269A" w:rsidR="008463E6">
        <w:rPr>
          <w:lang w:val="en-GB"/>
        </w:rPr>
        <w:t xml:space="preserve">indirectly confirmed his involvement in cutting </w:t>
      </w:r>
      <w:r w:rsidRPr="00A2269A" w:rsidR="00573B56">
        <w:rPr>
          <w:lang w:val="en-GB"/>
        </w:rPr>
        <w:t xml:space="preserve">down the </w:t>
      </w:r>
      <w:r w:rsidRPr="00A2269A" w:rsidR="008463E6">
        <w:rPr>
          <w:lang w:val="en-GB"/>
        </w:rPr>
        <w:t xml:space="preserve">trees </w:t>
      </w:r>
      <w:r w:rsidRPr="00A2269A" w:rsidR="00573B56">
        <w:rPr>
          <w:lang w:val="en-GB"/>
        </w:rPr>
        <w:t>in question</w:t>
      </w:r>
      <w:r w:rsidRPr="00A2269A" w:rsidR="008463E6">
        <w:rPr>
          <w:lang w:val="en-GB"/>
        </w:rPr>
        <w:t>. B.K.</w:t>
      </w:r>
      <w:r w:rsidRPr="00A2269A" w:rsidR="00573B56">
        <w:rPr>
          <w:lang w:val="en-GB"/>
        </w:rPr>
        <w:t>,</w:t>
      </w:r>
      <w:r w:rsidRPr="00A2269A" w:rsidR="008463E6">
        <w:rPr>
          <w:lang w:val="en-GB"/>
        </w:rPr>
        <w:t xml:space="preserve"> however</w:t>
      </w:r>
      <w:r w:rsidRPr="00A2269A" w:rsidR="00573B56">
        <w:rPr>
          <w:lang w:val="en-GB"/>
        </w:rPr>
        <w:t>,</w:t>
      </w:r>
      <w:r w:rsidRPr="00A2269A" w:rsidR="008463E6">
        <w:rPr>
          <w:lang w:val="en-GB"/>
        </w:rPr>
        <w:t xml:space="preserve"> </w:t>
      </w:r>
      <w:r w:rsidRPr="00A2269A" w:rsidR="00573B56">
        <w:rPr>
          <w:lang w:val="en-GB"/>
        </w:rPr>
        <w:t xml:space="preserve">stated </w:t>
      </w:r>
      <w:r w:rsidRPr="00A2269A" w:rsidR="008463E6">
        <w:rPr>
          <w:lang w:val="en-GB"/>
        </w:rPr>
        <w:t xml:space="preserve">that he believed that he had only cut </w:t>
      </w:r>
      <w:r w:rsidRPr="00A2269A" w:rsidR="00573B56">
        <w:rPr>
          <w:lang w:val="en-GB"/>
        </w:rPr>
        <w:t xml:space="preserve">down </w:t>
      </w:r>
      <w:r w:rsidRPr="00A2269A" w:rsidR="008463E6">
        <w:rPr>
          <w:lang w:val="en-GB"/>
        </w:rPr>
        <w:t>marked trees on the first applicant</w:t>
      </w:r>
      <w:r w:rsidRPr="00A2269A" w:rsidR="00A2269A">
        <w:rPr>
          <w:lang w:val="en-GB"/>
        </w:rPr>
        <w:t>’</w:t>
      </w:r>
      <w:r w:rsidRPr="00A2269A" w:rsidR="008463E6">
        <w:rPr>
          <w:lang w:val="en-GB"/>
        </w:rPr>
        <w:t xml:space="preserve">s land. The court also appointed an expert, who estimated that the value of the </w:t>
      </w:r>
      <w:r w:rsidRPr="00A2269A" w:rsidR="00C90B1B">
        <w:rPr>
          <w:lang w:val="en-GB"/>
        </w:rPr>
        <w:t xml:space="preserve">allegedly stolen </w:t>
      </w:r>
      <w:r w:rsidRPr="00A2269A" w:rsidR="008463E6">
        <w:rPr>
          <w:lang w:val="en-GB"/>
        </w:rPr>
        <w:t>woo</w:t>
      </w:r>
      <w:r w:rsidRPr="00A2269A" w:rsidR="00CD37C4">
        <w:rPr>
          <w:lang w:val="en-GB"/>
        </w:rPr>
        <w:t>d amounted to 2,028</w:t>
      </w:r>
      <w:r w:rsidRPr="00A2269A" w:rsidR="008463E6">
        <w:rPr>
          <w:lang w:val="en-GB"/>
        </w:rPr>
        <w:t xml:space="preserve"> euros (EUR).</w:t>
      </w:r>
    </w:p>
    <w:p w:rsidRPr="00A2269A" w:rsidR="008463E6"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8</w:t>
      </w:r>
      <w:r w:rsidRPr="00A2269A">
        <w:rPr>
          <w:lang w:val="en-GB"/>
        </w:rPr>
        <w:fldChar w:fldCharType="end"/>
      </w:r>
      <w:r w:rsidRPr="00A2269A">
        <w:rPr>
          <w:lang w:val="en-GB"/>
        </w:rPr>
        <w:t>.  </w:t>
      </w:r>
      <w:r w:rsidRPr="00A2269A" w:rsidR="00573B56">
        <w:rPr>
          <w:lang w:val="en-GB"/>
        </w:rPr>
        <w:t>T</w:t>
      </w:r>
      <w:r w:rsidRPr="00A2269A" w:rsidR="008463E6">
        <w:rPr>
          <w:lang w:val="en-GB"/>
        </w:rPr>
        <w:t>he second applicant</w:t>
      </w:r>
      <w:r w:rsidRPr="00A2269A" w:rsidR="00573B56">
        <w:rPr>
          <w:lang w:val="en-GB"/>
        </w:rPr>
        <w:t xml:space="preserve"> </w:t>
      </w:r>
      <w:r w:rsidRPr="00A2269A" w:rsidR="008463E6">
        <w:rPr>
          <w:lang w:val="en-GB"/>
        </w:rPr>
        <w:t xml:space="preserve">was charged with two </w:t>
      </w:r>
      <w:r w:rsidRPr="00A2269A" w:rsidR="000812E4">
        <w:rPr>
          <w:lang w:val="en-GB"/>
        </w:rPr>
        <w:t xml:space="preserve">counts of </w:t>
      </w:r>
      <w:r w:rsidRPr="00A2269A" w:rsidR="008463E6">
        <w:rPr>
          <w:lang w:val="en-GB"/>
        </w:rPr>
        <w:t>theft. In the course of the proceedings</w:t>
      </w:r>
      <w:r w:rsidRPr="00A2269A" w:rsidR="00DC3CA6">
        <w:rPr>
          <w:lang w:val="en-GB"/>
        </w:rPr>
        <w:t xml:space="preserve"> against him</w:t>
      </w:r>
      <w:r w:rsidRPr="00A2269A" w:rsidR="008463E6">
        <w:rPr>
          <w:lang w:val="en-GB"/>
        </w:rPr>
        <w:t xml:space="preserve">, </w:t>
      </w:r>
      <w:r w:rsidRPr="00A2269A" w:rsidR="00573B56">
        <w:rPr>
          <w:lang w:val="en-GB"/>
        </w:rPr>
        <w:t>J</w:t>
      </w:r>
      <w:r w:rsidRPr="00A2269A" w:rsidR="008463E6">
        <w:rPr>
          <w:lang w:val="en-GB"/>
        </w:rPr>
        <w:t>udge A.K. heard a number of witnesses</w:t>
      </w:r>
      <w:r w:rsidRPr="00A2269A" w:rsidR="00C90B1B">
        <w:rPr>
          <w:lang w:val="en-GB"/>
        </w:rPr>
        <w:t xml:space="preserve"> at the main hearing</w:t>
      </w:r>
      <w:r w:rsidRPr="00A2269A" w:rsidR="008463E6">
        <w:rPr>
          <w:lang w:val="en-GB"/>
        </w:rPr>
        <w:t xml:space="preserve"> and examined </w:t>
      </w:r>
      <w:r w:rsidRPr="00A2269A" w:rsidR="00716068">
        <w:rPr>
          <w:lang w:val="en-GB"/>
        </w:rPr>
        <w:t xml:space="preserve">several </w:t>
      </w:r>
      <w:r w:rsidRPr="00A2269A" w:rsidR="008463E6">
        <w:rPr>
          <w:lang w:val="en-GB"/>
        </w:rPr>
        <w:t>documents</w:t>
      </w:r>
      <w:r w:rsidRPr="00A2269A" w:rsidR="00573B56">
        <w:rPr>
          <w:lang w:val="en-GB"/>
        </w:rPr>
        <w:t>,</w:t>
      </w:r>
      <w:r w:rsidRPr="00A2269A" w:rsidR="008463E6">
        <w:rPr>
          <w:lang w:val="en-GB"/>
        </w:rPr>
        <w:t xml:space="preserve"> including copies of </w:t>
      </w:r>
      <w:r w:rsidRPr="00A2269A" w:rsidR="00573B56">
        <w:rPr>
          <w:lang w:val="en-GB"/>
        </w:rPr>
        <w:t xml:space="preserve">the </w:t>
      </w:r>
      <w:r w:rsidRPr="00A2269A" w:rsidR="008463E6">
        <w:rPr>
          <w:lang w:val="en-GB"/>
        </w:rPr>
        <w:t xml:space="preserve">relevant </w:t>
      </w:r>
      <w:r w:rsidRPr="00A2269A" w:rsidR="00573B56">
        <w:rPr>
          <w:lang w:val="en-GB"/>
        </w:rPr>
        <w:t>land register</w:t>
      </w:r>
      <w:r w:rsidRPr="00A2269A" w:rsidR="008463E6">
        <w:rPr>
          <w:lang w:val="en-GB"/>
        </w:rPr>
        <w:t xml:space="preserve"> maps.</w:t>
      </w:r>
      <w:r w:rsidRPr="00A2269A" w:rsidR="00573B56">
        <w:rPr>
          <w:lang w:val="en-GB"/>
        </w:rPr>
        <w:t xml:space="preserve"> I</w:t>
      </w:r>
      <w:r w:rsidRPr="00A2269A" w:rsidR="008463E6">
        <w:rPr>
          <w:lang w:val="en-GB"/>
        </w:rPr>
        <w:t xml:space="preserve">n respect of the first charge, </w:t>
      </w:r>
      <w:r w:rsidRPr="00A2269A" w:rsidR="00573B56">
        <w:rPr>
          <w:lang w:val="en-GB"/>
        </w:rPr>
        <w:t xml:space="preserve">the second applicant maintained </w:t>
      </w:r>
      <w:r w:rsidRPr="00A2269A" w:rsidR="008463E6">
        <w:rPr>
          <w:lang w:val="en-GB"/>
        </w:rPr>
        <w:t xml:space="preserve">that he had mistakenly thought that he </w:t>
      </w:r>
      <w:r w:rsidRPr="00A2269A" w:rsidR="00C90B1B">
        <w:rPr>
          <w:lang w:val="en-GB"/>
        </w:rPr>
        <w:t xml:space="preserve">had been </w:t>
      </w:r>
      <w:r w:rsidRPr="00A2269A" w:rsidR="008463E6">
        <w:rPr>
          <w:lang w:val="en-GB"/>
        </w:rPr>
        <w:t xml:space="preserve">cutting </w:t>
      </w:r>
      <w:r w:rsidRPr="00A2269A" w:rsidR="00573B56">
        <w:rPr>
          <w:lang w:val="en-GB"/>
        </w:rPr>
        <w:t xml:space="preserve">down </w:t>
      </w:r>
      <w:r w:rsidRPr="00A2269A" w:rsidR="008463E6">
        <w:rPr>
          <w:lang w:val="en-GB"/>
        </w:rPr>
        <w:t>trees on his own land,</w:t>
      </w:r>
      <w:r w:rsidRPr="00A2269A" w:rsidR="00C90B1B">
        <w:rPr>
          <w:lang w:val="en-GB"/>
        </w:rPr>
        <w:t xml:space="preserve"> wh</w:t>
      </w:r>
      <w:r w:rsidRPr="00A2269A" w:rsidR="00573B56">
        <w:rPr>
          <w:lang w:val="en-GB"/>
        </w:rPr>
        <w:t xml:space="preserve">ose </w:t>
      </w:r>
      <w:r w:rsidRPr="00A2269A" w:rsidR="00C90B1B">
        <w:rPr>
          <w:lang w:val="en-GB"/>
        </w:rPr>
        <w:t xml:space="preserve">borders had been </w:t>
      </w:r>
      <w:r w:rsidRPr="00A2269A" w:rsidR="008463E6">
        <w:rPr>
          <w:lang w:val="en-GB"/>
        </w:rPr>
        <w:t>show</w:t>
      </w:r>
      <w:r w:rsidRPr="00A2269A" w:rsidR="00573B56">
        <w:rPr>
          <w:lang w:val="en-GB"/>
        </w:rPr>
        <w:t>n</w:t>
      </w:r>
      <w:r w:rsidRPr="00A2269A" w:rsidR="008463E6">
        <w:rPr>
          <w:lang w:val="en-GB"/>
        </w:rPr>
        <w:t xml:space="preserve"> to him by </w:t>
      </w:r>
      <w:r w:rsidRPr="00A2269A" w:rsidR="00573B56">
        <w:rPr>
          <w:lang w:val="en-GB"/>
        </w:rPr>
        <w:t xml:space="preserve">the </w:t>
      </w:r>
      <w:r w:rsidRPr="00A2269A" w:rsidR="008463E6">
        <w:rPr>
          <w:lang w:val="en-GB"/>
        </w:rPr>
        <w:t>former owners</w:t>
      </w:r>
      <w:r w:rsidRPr="00A2269A" w:rsidR="00573B56">
        <w:rPr>
          <w:lang w:val="en-GB"/>
        </w:rPr>
        <w:t>,</w:t>
      </w:r>
      <w:r w:rsidRPr="00A2269A" w:rsidR="008463E6">
        <w:rPr>
          <w:lang w:val="en-GB"/>
        </w:rPr>
        <w:t xml:space="preserve"> F.H. and J.H</w:t>
      </w:r>
      <w:r w:rsidRPr="00A2269A" w:rsidR="00C90B1B">
        <w:rPr>
          <w:lang w:val="en-GB"/>
        </w:rPr>
        <w:t xml:space="preserve">., who also </w:t>
      </w:r>
      <w:r w:rsidRPr="00A2269A" w:rsidR="00716068">
        <w:rPr>
          <w:lang w:val="en-GB"/>
        </w:rPr>
        <w:t xml:space="preserve">appeared </w:t>
      </w:r>
      <w:r w:rsidRPr="00A2269A" w:rsidR="00C90B1B">
        <w:rPr>
          <w:lang w:val="en-GB"/>
        </w:rPr>
        <w:t xml:space="preserve">as witnesses in the proceedings. </w:t>
      </w:r>
      <w:r w:rsidRPr="00A2269A" w:rsidR="008463E6">
        <w:rPr>
          <w:lang w:val="en-GB"/>
        </w:rPr>
        <w:t xml:space="preserve">The </w:t>
      </w:r>
      <w:r w:rsidRPr="00A2269A" w:rsidR="00573B56">
        <w:rPr>
          <w:lang w:val="en-GB"/>
        </w:rPr>
        <w:t xml:space="preserve">husband of the </w:t>
      </w:r>
      <w:r w:rsidRPr="00A2269A" w:rsidR="000812E4">
        <w:rPr>
          <w:lang w:val="en-GB"/>
        </w:rPr>
        <w:t>injured party</w:t>
      </w:r>
      <w:r w:rsidRPr="00A2269A" w:rsidR="00573B56">
        <w:rPr>
          <w:lang w:val="en-GB"/>
        </w:rPr>
        <w:t xml:space="preserve">, </w:t>
      </w:r>
      <w:r w:rsidRPr="00A2269A" w:rsidR="003700B7">
        <w:rPr>
          <w:lang w:val="en-GB"/>
        </w:rPr>
        <w:t>M.P.</w:t>
      </w:r>
      <w:r w:rsidRPr="00A2269A" w:rsidR="00573B56">
        <w:rPr>
          <w:lang w:val="en-GB"/>
        </w:rPr>
        <w:t>,</w:t>
      </w:r>
      <w:r w:rsidRPr="00A2269A" w:rsidR="008463E6">
        <w:rPr>
          <w:lang w:val="en-GB"/>
        </w:rPr>
        <w:t xml:space="preserve"> stated that they </w:t>
      </w:r>
      <w:r w:rsidRPr="00A2269A" w:rsidR="0060082B">
        <w:rPr>
          <w:lang w:val="en-GB"/>
        </w:rPr>
        <w:t xml:space="preserve">had </w:t>
      </w:r>
      <w:r w:rsidRPr="00A2269A" w:rsidR="008463E6">
        <w:rPr>
          <w:lang w:val="en-GB"/>
        </w:rPr>
        <w:t>found out</w:t>
      </w:r>
      <w:r w:rsidRPr="00A2269A" w:rsidR="0060082B">
        <w:rPr>
          <w:lang w:val="en-GB"/>
        </w:rPr>
        <w:t xml:space="preserve"> about the stolen wood </w:t>
      </w:r>
      <w:r w:rsidRPr="00A2269A" w:rsidR="00573B56">
        <w:rPr>
          <w:lang w:val="en-GB"/>
        </w:rPr>
        <w:t xml:space="preserve">six months </w:t>
      </w:r>
      <w:r w:rsidRPr="00A2269A" w:rsidR="008463E6">
        <w:rPr>
          <w:lang w:val="en-GB"/>
        </w:rPr>
        <w:t xml:space="preserve">after the event and that neighbours had told them that the </w:t>
      </w:r>
      <w:r w:rsidRPr="00A2269A" w:rsidR="006635B7">
        <w:rPr>
          <w:lang w:val="en-GB"/>
        </w:rPr>
        <w:t xml:space="preserve">second </w:t>
      </w:r>
      <w:r w:rsidRPr="00A2269A" w:rsidR="008463E6">
        <w:rPr>
          <w:lang w:val="en-GB"/>
        </w:rPr>
        <w:t>applicant had been seen in the forest at th</w:t>
      </w:r>
      <w:r w:rsidRPr="00A2269A" w:rsidR="00573B56">
        <w:rPr>
          <w:lang w:val="en-GB"/>
        </w:rPr>
        <w:t>e</w:t>
      </w:r>
      <w:r w:rsidRPr="00A2269A" w:rsidR="008463E6">
        <w:rPr>
          <w:lang w:val="en-GB"/>
        </w:rPr>
        <w:t xml:space="preserve"> time</w:t>
      </w:r>
      <w:r w:rsidRPr="00A2269A" w:rsidR="00573B56">
        <w:rPr>
          <w:lang w:val="en-GB"/>
        </w:rPr>
        <w:t xml:space="preserve">, while </w:t>
      </w:r>
      <w:r w:rsidRPr="00A2269A" w:rsidR="0060082B">
        <w:rPr>
          <w:lang w:val="en-GB"/>
        </w:rPr>
        <w:t xml:space="preserve">another person, </w:t>
      </w:r>
      <w:r w:rsidRPr="00A2269A" w:rsidR="008463E6">
        <w:rPr>
          <w:lang w:val="en-GB"/>
        </w:rPr>
        <w:t>I.T.</w:t>
      </w:r>
      <w:r w:rsidRPr="00A2269A" w:rsidR="0060082B">
        <w:rPr>
          <w:lang w:val="en-GB"/>
        </w:rPr>
        <w:t>,</w:t>
      </w:r>
      <w:r w:rsidRPr="00A2269A" w:rsidR="008463E6">
        <w:rPr>
          <w:lang w:val="en-GB"/>
        </w:rPr>
        <w:t xml:space="preserve"> had been seen transporting the wood. He also testified that the second applicant </w:t>
      </w:r>
      <w:r w:rsidRPr="00A2269A" w:rsidR="00573B56">
        <w:rPr>
          <w:lang w:val="en-GB"/>
        </w:rPr>
        <w:t xml:space="preserve">had </w:t>
      </w:r>
      <w:r w:rsidRPr="00A2269A" w:rsidR="008463E6">
        <w:rPr>
          <w:lang w:val="en-GB"/>
        </w:rPr>
        <w:t xml:space="preserve">admitted to him that he </w:t>
      </w:r>
      <w:r w:rsidRPr="00A2269A" w:rsidR="0060082B">
        <w:rPr>
          <w:lang w:val="en-GB"/>
        </w:rPr>
        <w:t xml:space="preserve">had cut </w:t>
      </w:r>
      <w:r w:rsidRPr="00A2269A" w:rsidR="00573B56">
        <w:rPr>
          <w:lang w:val="en-GB"/>
        </w:rPr>
        <w:t xml:space="preserve">down </w:t>
      </w:r>
      <w:r w:rsidRPr="00A2269A" w:rsidR="0060082B">
        <w:rPr>
          <w:lang w:val="en-GB"/>
        </w:rPr>
        <w:t xml:space="preserve">the </w:t>
      </w:r>
      <w:r w:rsidRPr="00A2269A" w:rsidR="008463E6">
        <w:rPr>
          <w:lang w:val="en-GB"/>
        </w:rPr>
        <w:t>trees</w:t>
      </w:r>
      <w:r w:rsidRPr="00A2269A" w:rsidR="00573B56">
        <w:rPr>
          <w:lang w:val="en-GB"/>
        </w:rPr>
        <w:t>,</w:t>
      </w:r>
      <w:r w:rsidRPr="00A2269A" w:rsidR="008463E6">
        <w:rPr>
          <w:lang w:val="en-GB"/>
        </w:rPr>
        <w:t xml:space="preserve"> thinking that</w:t>
      </w:r>
      <w:r w:rsidRPr="00A2269A" w:rsidR="0060082B">
        <w:rPr>
          <w:lang w:val="en-GB"/>
        </w:rPr>
        <w:t xml:space="preserve"> they had belonged to </w:t>
      </w:r>
      <w:r w:rsidRPr="00A2269A" w:rsidR="00716068">
        <w:rPr>
          <w:lang w:val="en-GB"/>
        </w:rPr>
        <w:t xml:space="preserve">his </w:t>
      </w:r>
      <w:r w:rsidRPr="00A2269A" w:rsidR="0060082B">
        <w:rPr>
          <w:lang w:val="en-GB"/>
        </w:rPr>
        <w:t>land</w:t>
      </w:r>
      <w:r w:rsidRPr="00A2269A" w:rsidR="008463E6">
        <w:rPr>
          <w:lang w:val="en-GB"/>
        </w:rPr>
        <w:t xml:space="preserve"> </w:t>
      </w:r>
      <w:r w:rsidRPr="00A2269A" w:rsidR="0060082B">
        <w:rPr>
          <w:lang w:val="en-GB"/>
        </w:rPr>
        <w:t xml:space="preserve">but that </w:t>
      </w:r>
      <w:r w:rsidRPr="00A2269A" w:rsidR="008463E6">
        <w:rPr>
          <w:lang w:val="en-GB"/>
        </w:rPr>
        <w:t xml:space="preserve">they had failed to agree on how much the second applicant </w:t>
      </w:r>
      <w:r w:rsidRPr="00A2269A" w:rsidR="00573B56">
        <w:rPr>
          <w:lang w:val="en-GB"/>
        </w:rPr>
        <w:t xml:space="preserve">should </w:t>
      </w:r>
      <w:r w:rsidRPr="00A2269A" w:rsidR="008463E6">
        <w:rPr>
          <w:lang w:val="en-GB"/>
        </w:rPr>
        <w:t xml:space="preserve">pay M.P. </w:t>
      </w:r>
      <w:r w:rsidRPr="00A2269A" w:rsidR="00573B56">
        <w:rPr>
          <w:lang w:val="en-GB"/>
        </w:rPr>
        <w:t xml:space="preserve">in </w:t>
      </w:r>
      <w:r w:rsidRPr="00A2269A" w:rsidR="0060082B">
        <w:rPr>
          <w:lang w:val="en-GB"/>
        </w:rPr>
        <w:t>compensation</w:t>
      </w:r>
      <w:r w:rsidRPr="00A2269A" w:rsidR="008463E6">
        <w:rPr>
          <w:lang w:val="en-GB"/>
        </w:rPr>
        <w:t>. I.T.</w:t>
      </w:r>
      <w:r w:rsidRPr="00A2269A" w:rsidR="0060082B">
        <w:rPr>
          <w:lang w:val="en-GB"/>
        </w:rPr>
        <w:t xml:space="preserve"> stated</w:t>
      </w:r>
      <w:r w:rsidRPr="00A2269A" w:rsidR="008463E6">
        <w:rPr>
          <w:lang w:val="en-GB"/>
        </w:rPr>
        <w:t xml:space="preserve"> that he had helped the second applicant transport the</w:t>
      </w:r>
      <w:r w:rsidRPr="00A2269A" w:rsidR="0060082B">
        <w:rPr>
          <w:lang w:val="en-GB"/>
        </w:rPr>
        <w:t xml:space="preserve"> wood</w:t>
      </w:r>
      <w:r w:rsidRPr="00A2269A" w:rsidR="008463E6">
        <w:rPr>
          <w:lang w:val="en-GB"/>
        </w:rPr>
        <w:t xml:space="preserve"> </w:t>
      </w:r>
      <w:r w:rsidRPr="00A2269A" w:rsidR="0060082B">
        <w:rPr>
          <w:lang w:val="en-GB"/>
        </w:rPr>
        <w:t xml:space="preserve">and </w:t>
      </w:r>
      <w:r w:rsidRPr="00A2269A" w:rsidR="008463E6">
        <w:rPr>
          <w:lang w:val="en-GB"/>
        </w:rPr>
        <w:t xml:space="preserve">that </w:t>
      </w:r>
      <w:r w:rsidRPr="00A2269A" w:rsidR="0060082B">
        <w:rPr>
          <w:lang w:val="en-GB"/>
        </w:rPr>
        <w:t xml:space="preserve">he had been told by </w:t>
      </w:r>
      <w:r w:rsidRPr="00A2269A" w:rsidR="00573B56">
        <w:rPr>
          <w:lang w:val="en-GB"/>
        </w:rPr>
        <w:t xml:space="preserve">him </w:t>
      </w:r>
      <w:r w:rsidRPr="00A2269A" w:rsidR="0060082B">
        <w:rPr>
          <w:lang w:val="en-GB"/>
        </w:rPr>
        <w:t xml:space="preserve">that the </w:t>
      </w:r>
      <w:r w:rsidRPr="00A2269A" w:rsidR="00573B56">
        <w:rPr>
          <w:lang w:val="en-GB"/>
        </w:rPr>
        <w:t xml:space="preserve">land </w:t>
      </w:r>
      <w:r w:rsidRPr="00A2269A" w:rsidR="0060082B">
        <w:rPr>
          <w:lang w:val="en-GB"/>
        </w:rPr>
        <w:t>belonged to him</w:t>
      </w:r>
      <w:r w:rsidRPr="00A2269A" w:rsidR="008463E6">
        <w:rPr>
          <w:lang w:val="en-GB"/>
        </w:rPr>
        <w:t xml:space="preserve">, which </w:t>
      </w:r>
      <w:r w:rsidRPr="00A2269A" w:rsidR="0060082B">
        <w:rPr>
          <w:lang w:val="en-GB"/>
        </w:rPr>
        <w:t xml:space="preserve">I.T. </w:t>
      </w:r>
      <w:r w:rsidRPr="00A2269A" w:rsidR="008463E6">
        <w:rPr>
          <w:lang w:val="en-GB"/>
        </w:rPr>
        <w:t xml:space="preserve">had found suspicious. </w:t>
      </w:r>
      <w:r w:rsidRPr="00A2269A" w:rsidR="00573B56">
        <w:rPr>
          <w:lang w:val="en-GB"/>
        </w:rPr>
        <w:t>Another w</w:t>
      </w:r>
      <w:r w:rsidRPr="00A2269A" w:rsidR="008463E6">
        <w:rPr>
          <w:lang w:val="en-GB"/>
        </w:rPr>
        <w:t>itness</w:t>
      </w:r>
      <w:r w:rsidRPr="00A2269A" w:rsidR="00573B56">
        <w:rPr>
          <w:lang w:val="en-GB"/>
        </w:rPr>
        <w:t>,</w:t>
      </w:r>
      <w:r w:rsidRPr="00A2269A" w:rsidR="008463E6">
        <w:rPr>
          <w:lang w:val="en-GB"/>
        </w:rPr>
        <w:t xml:space="preserve"> S.P.</w:t>
      </w:r>
      <w:r w:rsidRPr="00A2269A" w:rsidR="00573B56">
        <w:rPr>
          <w:lang w:val="en-GB"/>
        </w:rPr>
        <w:t>,</w:t>
      </w:r>
      <w:r w:rsidRPr="00A2269A" w:rsidR="008463E6">
        <w:rPr>
          <w:lang w:val="en-GB"/>
        </w:rPr>
        <w:t xml:space="preserve"> stated that he had helped I.T. load the truck with the wood. As to the second charge, the second applicant argued that he had had an agreement with </w:t>
      </w:r>
      <w:r w:rsidRPr="00A2269A" w:rsidR="0060082B">
        <w:rPr>
          <w:lang w:val="en-GB"/>
        </w:rPr>
        <w:t>the injured party</w:t>
      </w:r>
      <w:r w:rsidRPr="00A2269A" w:rsidR="00573B56">
        <w:rPr>
          <w:lang w:val="en-GB"/>
        </w:rPr>
        <w:t xml:space="preserve"> in that case</w:t>
      </w:r>
      <w:r w:rsidRPr="00A2269A" w:rsidR="006B5F3E">
        <w:rPr>
          <w:lang w:val="en-GB"/>
        </w:rPr>
        <w:t>, F.B.,</w:t>
      </w:r>
      <w:r w:rsidRPr="00A2269A" w:rsidR="0060082B">
        <w:rPr>
          <w:lang w:val="en-GB"/>
        </w:rPr>
        <w:t xml:space="preserve"> </w:t>
      </w:r>
      <w:r w:rsidRPr="00A2269A" w:rsidR="008463E6">
        <w:rPr>
          <w:lang w:val="en-GB"/>
        </w:rPr>
        <w:t xml:space="preserve">that he could cut </w:t>
      </w:r>
      <w:r w:rsidRPr="00A2269A" w:rsidR="00573B56">
        <w:rPr>
          <w:lang w:val="en-GB"/>
        </w:rPr>
        <w:t xml:space="preserve">down </w:t>
      </w:r>
      <w:r w:rsidRPr="00A2269A" w:rsidR="008463E6">
        <w:rPr>
          <w:lang w:val="en-GB"/>
        </w:rPr>
        <w:t xml:space="preserve">trees in exchange for wine. The judge </w:t>
      </w:r>
      <w:r w:rsidRPr="00A2269A" w:rsidR="00603401">
        <w:rPr>
          <w:lang w:val="en-GB"/>
        </w:rPr>
        <w:t>questioned</w:t>
      </w:r>
      <w:r w:rsidRPr="00A2269A" w:rsidR="008463E6">
        <w:rPr>
          <w:lang w:val="en-GB"/>
        </w:rPr>
        <w:t xml:space="preserve"> the injured party, who denied the existence of </w:t>
      </w:r>
      <w:r w:rsidRPr="00A2269A" w:rsidR="00573B56">
        <w:rPr>
          <w:lang w:val="en-GB"/>
        </w:rPr>
        <w:t xml:space="preserve">such an </w:t>
      </w:r>
      <w:r w:rsidRPr="00A2269A" w:rsidR="008463E6">
        <w:rPr>
          <w:lang w:val="en-GB"/>
        </w:rPr>
        <w:t xml:space="preserve">agreement. The court also appointed an expert, who estimated that the value of the beech and hornbeam trees </w:t>
      </w:r>
      <w:r w:rsidRPr="00A2269A" w:rsidR="002E3C69">
        <w:rPr>
          <w:lang w:val="en-GB"/>
        </w:rPr>
        <w:t xml:space="preserve">cut down </w:t>
      </w:r>
      <w:r w:rsidRPr="00A2269A" w:rsidR="008463E6">
        <w:rPr>
          <w:lang w:val="en-GB"/>
        </w:rPr>
        <w:t>amounted to EUR 457 and th</w:t>
      </w:r>
      <w:r w:rsidRPr="00A2269A" w:rsidR="002E3C69">
        <w:rPr>
          <w:lang w:val="en-GB"/>
        </w:rPr>
        <w:t xml:space="preserve">at </w:t>
      </w:r>
      <w:r w:rsidRPr="00A2269A" w:rsidR="008463E6">
        <w:rPr>
          <w:lang w:val="en-GB"/>
        </w:rPr>
        <w:t xml:space="preserve">of the acacia trees </w:t>
      </w:r>
      <w:r w:rsidRPr="00A2269A" w:rsidR="002E3C69">
        <w:rPr>
          <w:lang w:val="en-GB"/>
        </w:rPr>
        <w:t>at</w:t>
      </w:r>
      <w:r w:rsidRPr="00A2269A" w:rsidR="008463E6">
        <w:rPr>
          <w:lang w:val="en-GB"/>
        </w:rPr>
        <w:t xml:space="preserve"> EUR 440.</w:t>
      </w:r>
    </w:p>
    <w:p w:rsidRPr="00A2269A" w:rsidR="008463E6"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9</w:t>
      </w:r>
      <w:r w:rsidRPr="00A2269A">
        <w:rPr>
          <w:lang w:val="en-GB"/>
        </w:rPr>
        <w:fldChar w:fldCharType="end"/>
      </w:r>
      <w:r w:rsidRPr="00A2269A">
        <w:rPr>
          <w:lang w:val="en-GB"/>
        </w:rPr>
        <w:t>.  </w:t>
      </w:r>
      <w:r w:rsidRPr="00A2269A" w:rsidR="008463E6">
        <w:rPr>
          <w:lang w:val="en-GB"/>
        </w:rPr>
        <w:t xml:space="preserve">On 21 June 2007 </w:t>
      </w:r>
      <w:r w:rsidRPr="00A2269A" w:rsidR="002E3C69">
        <w:rPr>
          <w:lang w:val="en-GB"/>
        </w:rPr>
        <w:t>J</w:t>
      </w:r>
      <w:r w:rsidRPr="00A2269A" w:rsidR="008463E6">
        <w:rPr>
          <w:lang w:val="en-GB"/>
        </w:rPr>
        <w:t>udge A.K.</w:t>
      </w:r>
      <w:r w:rsidRPr="00A2269A" w:rsidR="00491F7D">
        <w:rPr>
          <w:lang w:val="en-GB"/>
        </w:rPr>
        <w:t xml:space="preserve"> </w:t>
      </w:r>
      <w:r w:rsidRPr="00A2269A" w:rsidR="00900E82">
        <w:rPr>
          <w:lang w:val="en-GB"/>
        </w:rPr>
        <w:t xml:space="preserve">found </w:t>
      </w:r>
      <w:r w:rsidRPr="00A2269A" w:rsidR="00491F7D">
        <w:rPr>
          <w:lang w:val="en-GB"/>
        </w:rPr>
        <w:t>the first applicant</w:t>
      </w:r>
      <w:r w:rsidRPr="00A2269A" w:rsidR="008463E6">
        <w:rPr>
          <w:lang w:val="en-GB"/>
        </w:rPr>
        <w:t xml:space="preserve"> guilty of tak</w:t>
      </w:r>
      <w:r w:rsidRPr="00A2269A" w:rsidR="002E3C69">
        <w:rPr>
          <w:lang w:val="en-GB"/>
        </w:rPr>
        <w:t xml:space="preserve">ing </w:t>
      </w:r>
      <w:r w:rsidRPr="00A2269A" w:rsidR="008463E6">
        <w:rPr>
          <w:lang w:val="en-GB"/>
        </w:rPr>
        <w:t>another</w:t>
      </w:r>
      <w:r w:rsidRPr="00A2269A" w:rsidR="00A2269A">
        <w:rPr>
          <w:lang w:val="en-GB"/>
        </w:rPr>
        <w:t>’</w:t>
      </w:r>
      <w:r w:rsidRPr="00A2269A" w:rsidR="008463E6">
        <w:rPr>
          <w:lang w:val="en-GB"/>
        </w:rPr>
        <w:t>s movable property with the intention of unlawfully appropriating</w:t>
      </w:r>
      <w:r w:rsidRPr="00A2269A" w:rsidR="00BE27AF">
        <w:rPr>
          <w:lang w:val="en-GB"/>
        </w:rPr>
        <w:t xml:space="preserve"> it</w:t>
      </w:r>
      <w:r w:rsidRPr="00A2269A" w:rsidR="00491F7D">
        <w:rPr>
          <w:lang w:val="en-GB"/>
        </w:rPr>
        <w:t>, and sentenced him to six months in prison, suspended for three years</w:t>
      </w:r>
      <w:r w:rsidRPr="00A2269A" w:rsidR="007161C4">
        <w:rPr>
          <w:lang w:val="en-GB"/>
        </w:rPr>
        <w:t xml:space="preserve">. </w:t>
      </w:r>
      <w:r w:rsidRPr="00A2269A" w:rsidR="00BE27AF">
        <w:rPr>
          <w:lang w:val="en-GB"/>
        </w:rPr>
        <w:t xml:space="preserve">The judge </w:t>
      </w:r>
      <w:r w:rsidRPr="00A2269A" w:rsidR="008463E6">
        <w:rPr>
          <w:lang w:val="en-GB"/>
        </w:rPr>
        <w:t xml:space="preserve">found that the applicant had cut </w:t>
      </w:r>
      <w:r w:rsidRPr="00A2269A" w:rsidR="002E3C69">
        <w:rPr>
          <w:lang w:val="en-GB"/>
        </w:rPr>
        <w:t xml:space="preserve">down </w:t>
      </w:r>
      <w:r w:rsidRPr="00A2269A" w:rsidR="008463E6">
        <w:rPr>
          <w:lang w:val="en-GB"/>
        </w:rPr>
        <w:t xml:space="preserve">and taken eight oak trees in a forest without the knowledge of its owner and had appropriated wood </w:t>
      </w:r>
      <w:r w:rsidRPr="00A2269A" w:rsidR="002E3C69">
        <w:rPr>
          <w:lang w:val="en-GB"/>
        </w:rPr>
        <w:t xml:space="preserve">worth </w:t>
      </w:r>
      <w:r w:rsidRPr="00A2269A" w:rsidR="008463E6">
        <w:rPr>
          <w:lang w:val="en-GB"/>
        </w:rPr>
        <w:t xml:space="preserve">EUR 2,028. </w:t>
      </w:r>
      <w:r w:rsidRPr="00A2269A" w:rsidR="007161C4">
        <w:rPr>
          <w:lang w:val="en-GB"/>
        </w:rPr>
        <w:t>She</w:t>
      </w:r>
      <w:r w:rsidRPr="00A2269A" w:rsidR="008463E6">
        <w:rPr>
          <w:lang w:val="en-GB"/>
        </w:rPr>
        <w:t xml:space="preserve"> ordered</w:t>
      </w:r>
      <w:r w:rsidRPr="00A2269A" w:rsidR="007161C4">
        <w:rPr>
          <w:lang w:val="en-GB"/>
        </w:rPr>
        <w:t xml:space="preserve"> him</w:t>
      </w:r>
      <w:r w:rsidRPr="00A2269A" w:rsidR="008463E6">
        <w:rPr>
          <w:lang w:val="en-GB"/>
        </w:rPr>
        <w:t xml:space="preserve"> to </w:t>
      </w:r>
      <w:r w:rsidRPr="00A2269A" w:rsidR="00D948DC">
        <w:rPr>
          <w:lang w:val="en-GB"/>
        </w:rPr>
        <w:t xml:space="preserve">either </w:t>
      </w:r>
      <w:r w:rsidRPr="00A2269A" w:rsidR="008463E6">
        <w:rPr>
          <w:lang w:val="en-GB"/>
        </w:rPr>
        <w:t xml:space="preserve">deliver </w:t>
      </w:r>
      <w:r w:rsidRPr="00A2269A" w:rsidR="00900E82">
        <w:rPr>
          <w:lang w:val="en-GB"/>
        </w:rPr>
        <w:t xml:space="preserve">to </w:t>
      </w:r>
      <w:r w:rsidRPr="00A2269A" w:rsidR="008463E6">
        <w:rPr>
          <w:lang w:val="en-GB"/>
        </w:rPr>
        <w:t xml:space="preserve">the injured party </w:t>
      </w:r>
      <w:r w:rsidRPr="00A2269A" w:rsidR="002E3C69">
        <w:rPr>
          <w:lang w:val="en-GB"/>
        </w:rPr>
        <w:t xml:space="preserve">the same </w:t>
      </w:r>
      <w:r w:rsidRPr="00A2269A" w:rsidR="008463E6">
        <w:rPr>
          <w:lang w:val="en-GB"/>
        </w:rPr>
        <w:t xml:space="preserve">quantity of oak </w:t>
      </w:r>
      <w:r w:rsidRPr="00A2269A" w:rsidR="002E3C69">
        <w:rPr>
          <w:lang w:val="en-GB"/>
        </w:rPr>
        <w:t xml:space="preserve">that </w:t>
      </w:r>
      <w:r w:rsidRPr="00A2269A" w:rsidR="00716068">
        <w:rPr>
          <w:lang w:val="en-GB"/>
        </w:rPr>
        <w:t xml:space="preserve">had been </w:t>
      </w:r>
      <w:r w:rsidRPr="00A2269A" w:rsidR="008463E6">
        <w:rPr>
          <w:lang w:val="en-GB"/>
        </w:rPr>
        <w:t xml:space="preserve">taken from </w:t>
      </w:r>
      <w:r w:rsidRPr="00A2269A" w:rsidR="00716068">
        <w:rPr>
          <w:lang w:val="en-GB"/>
        </w:rPr>
        <w:t xml:space="preserve">the </w:t>
      </w:r>
      <w:r w:rsidRPr="00A2269A" w:rsidR="008463E6">
        <w:rPr>
          <w:lang w:val="en-GB"/>
        </w:rPr>
        <w:t xml:space="preserve">forest or to pay compensation of EUR 2,028. </w:t>
      </w:r>
      <w:r w:rsidRPr="00A2269A" w:rsidR="007161C4">
        <w:rPr>
          <w:lang w:val="en-GB"/>
        </w:rPr>
        <w:t xml:space="preserve">She pronounced </w:t>
      </w:r>
      <w:r w:rsidRPr="00A2269A" w:rsidR="00605693">
        <w:rPr>
          <w:lang w:val="en-GB"/>
        </w:rPr>
        <w:t xml:space="preserve">a guilty verdict and </w:t>
      </w:r>
      <w:r w:rsidRPr="00A2269A" w:rsidR="008024C5">
        <w:t>sentence</w:t>
      </w:r>
      <w:r w:rsidRPr="00A2269A" w:rsidR="00605693">
        <w:t>d him</w:t>
      </w:r>
      <w:r w:rsidRPr="00A2269A" w:rsidR="008024C5">
        <w:t xml:space="preserve"> (</w:t>
      </w:r>
      <w:r w:rsidRPr="00A2269A" w:rsidR="008024C5">
        <w:rPr>
          <w:i/>
          <w:lang w:val="en-GB"/>
        </w:rPr>
        <w:t xml:space="preserve">izrek, </w:t>
      </w:r>
      <w:r w:rsidRPr="00A2269A" w:rsidR="008024C5">
        <w:t>hereinafter referred to as “the verdict”)</w:t>
      </w:r>
      <w:r w:rsidRPr="00A2269A" w:rsidR="00007FCF">
        <w:rPr>
          <w:i/>
          <w:lang w:val="en-GB"/>
        </w:rPr>
        <w:t xml:space="preserve"> </w:t>
      </w:r>
      <w:r w:rsidRPr="00A2269A" w:rsidR="007161C4">
        <w:rPr>
          <w:lang w:val="en-GB"/>
        </w:rPr>
        <w:t>orally.</w:t>
      </w:r>
    </w:p>
    <w:p w:rsidRPr="00A2269A" w:rsidR="008463E6"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10</w:t>
      </w:r>
      <w:r w:rsidRPr="00A2269A">
        <w:rPr>
          <w:lang w:val="en-GB"/>
        </w:rPr>
        <w:fldChar w:fldCharType="end"/>
      </w:r>
      <w:r w:rsidRPr="00A2269A">
        <w:rPr>
          <w:lang w:val="en-GB"/>
        </w:rPr>
        <w:t>.  </w:t>
      </w:r>
      <w:r w:rsidRPr="00A2269A" w:rsidR="008463E6">
        <w:rPr>
          <w:lang w:val="en-GB"/>
        </w:rPr>
        <w:t xml:space="preserve">On 2 July 2007 </w:t>
      </w:r>
      <w:r w:rsidRPr="00A2269A" w:rsidR="007161C4">
        <w:rPr>
          <w:lang w:val="en-GB"/>
        </w:rPr>
        <w:t>Judge A.K.</w:t>
      </w:r>
      <w:r w:rsidRPr="00A2269A" w:rsidR="00900E82">
        <w:rPr>
          <w:lang w:val="en-GB"/>
        </w:rPr>
        <w:t xml:space="preserve">, </w:t>
      </w:r>
      <w:r w:rsidRPr="00A2269A" w:rsidR="007161C4">
        <w:rPr>
          <w:lang w:val="en-GB"/>
        </w:rPr>
        <w:t>again giving an oral verdict, f</w:t>
      </w:r>
      <w:r w:rsidRPr="00A2269A" w:rsidR="00900E82">
        <w:rPr>
          <w:lang w:val="en-GB"/>
        </w:rPr>
        <w:t xml:space="preserve">ound the second applicant </w:t>
      </w:r>
      <w:r w:rsidRPr="00A2269A" w:rsidR="008463E6">
        <w:rPr>
          <w:lang w:val="en-GB"/>
        </w:rPr>
        <w:t xml:space="preserve">guilty of </w:t>
      </w:r>
      <w:r w:rsidRPr="00A2269A" w:rsidR="002E3C69">
        <w:rPr>
          <w:lang w:val="en-GB"/>
        </w:rPr>
        <w:t xml:space="preserve">taking </w:t>
      </w:r>
      <w:r w:rsidRPr="00A2269A" w:rsidR="008463E6">
        <w:rPr>
          <w:lang w:val="en-GB"/>
        </w:rPr>
        <w:t>another</w:t>
      </w:r>
      <w:r w:rsidRPr="00A2269A" w:rsidR="00A2269A">
        <w:rPr>
          <w:lang w:val="en-GB"/>
        </w:rPr>
        <w:t>’</w:t>
      </w:r>
      <w:r w:rsidRPr="00A2269A" w:rsidR="008463E6">
        <w:rPr>
          <w:lang w:val="en-GB"/>
        </w:rPr>
        <w:t>s movable property with the intention of unlawfully appropriating it</w:t>
      </w:r>
      <w:r w:rsidRPr="00A2269A" w:rsidR="007161C4">
        <w:rPr>
          <w:lang w:val="en-GB"/>
        </w:rPr>
        <w:t xml:space="preserve"> and sentenced him to seven months in prison, suspended for three years. She found </w:t>
      </w:r>
      <w:r w:rsidRPr="00A2269A" w:rsidR="008463E6">
        <w:rPr>
          <w:lang w:val="en-GB"/>
        </w:rPr>
        <w:t xml:space="preserve">that the second applicant had cut </w:t>
      </w:r>
      <w:r w:rsidRPr="00A2269A" w:rsidR="002E3C69">
        <w:rPr>
          <w:lang w:val="en-GB"/>
        </w:rPr>
        <w:t xml:space="preserve">down </w:t>
      </w:r>
      <w:r w:rsidRPr="00A2269A" w:rsidR="008463E6">
        <w:rPr>
          <w:lang w:val="en-GB"/>
        </w:rPr>
        <w:t xml:space="preserve">and taken three beech </w:t>
      </w:r>
      <w:r w:rsidRPr="00A2269A" w:rsidR="002E3C69">
        <w:rPr>
          <w:lang w:val="en-GB"/>
        </w:rPr>
        <w:t xml:space="preserve">trees </w:t>
      </w:r>
      <w:r w:rsidRPr="00A2269A" w:rsidR="008463E6">
        <w:rPr>
          <w:lang w:val="en-GB"/>
        </w:rPr>
        <w:t>and nine hornbeam</w:t>
      </w:r>
      <w:r w:rsidRPr="00A2269A" w:rsidR="002E3C69">
        <w:rPr>
          <w:lang w:val="en-GB"/>
        </w:rPr>
        <w:t>s</w:t>
      </w:r>
      <w:r w:rsidRPr="00A2269A" w:rsidR="008463E6">
        <w:rPr>
          <w:lang w:val="en-GB"/>
        </w:rPr>
        <w:t xml:space="preserve"> </w:t>
      </w:r>
      <w:r w:rsidRPr="00A2269A" w:rsidR="002E3C69">
        <w:rPr>
          <w:lang w:val="en-GB"/>
        </w:rPr>
        <w:t xml:space="preserve">worth </w:t>
      </w:r>
      <w:r w:rsidRPr="00A2269A" w:rsidR="008463E6">
        <w:rPr>
          <w:lang w:val="en-GB"/>
        </w:rPr>
        <w:t>at least EUR</w:t>
      </w:r>
      <w:r w:rsidRPr="00A2269A" w:rsidR="00C92246">
        <w:rPr>
          <w:lang w:val="en-GB"/>
        </w:rPr>
        <w:t> </w:t>
      </w:r>
      <w:r w:rsidRPr="00A2269A" w:rsidR="008463E6">
        <w:rPr>
          <w:lang w:val="en-GB"/>
        </w:rPr>
        <w:t>457</w:t>
      </w:r>
      <w:r w:rsidRPr="00A2269A" w:rsidR="00B531DE">
        <w:rPr>
          <w:lang w:val="en-GB"/>
        </w:rPr>
        <w:t xml:space="preserve"> and</w:t>
      </w:r>
      <w:r w:rsidRPr="00A2269A" w:rsidR="008463E6">
        <w:rPr>
          <w:lang w:val="en-GB"/>
        </w:rPr>
        <w:t xml:space="preserve"> two hundred acacia trees </w:t>
      </w:r>
      <w:r w:rsidRPr="00A2269A" w:rsidR="002E3C69">
        <w:rPr>
          <w:lang w:val="en-GB"/>
        </w:rPr>
        <w:t xml:space="preserve">worth </w:t>
      </w:r>
      <w:r w:rsidRPr="00A2269A" w:rsidR="008463E6">
        <w:rPr>
          <w:lang w:val="en-GB"/>
        </w:rPr>
        <w:t xml:space="preserve">at least EUR 440 from land belonging to </w:t>
      </w:r>
      <w:r w:rsidRPr="00A2269A" w:rsidR="00B531DE">
        <w:rPr>
          <w:lang w:val="en-GB"/>
        </w:rPr>
        <w:t xml:space="preserve">other </w:t>
      </w:r>
      <w:r w:rsidRPr="00A2269A" w:rsidR="008463E6">
        <w:rPr>
          <w:lang w:val="en-GB"/>
        </w:rPr>
        <w:t>person</w:t>
      </w:r>
      <w:r w:rsidRPr="00A2269A" w:rsidR="00B531DE">
        <w:rPr>
          <w:lang w:val="en-GB"/>
        </w:rPr>
        <w:t>s</w:t>
      </w:r>
      <w:r w:rsidRPr="00A2269A" w:rsidR="007161C4">
        <w:rPr>
          <w:lang w:val="en-GB"/>
        </w:rPr>
        <w:t xml:space="preserve">. </w:t>
      </w:r>
      <w:r w:rsidRPr="00A2269A" w:rsidR="008463E6">
        <w:rPr>
          <w:lang w:val="en-GB"/>
        </w:rPr>
        <w:t>Moreover, the second applicant was ordered to pay compensation of EUR 457 and EUR 440 respectively</w:t>
      </w:r>
      <w:r w:rsidRPr="00A2269A" w:rsidR="002E3C69">
        <w:rPr>
          <w:lang w:val="en-GB"/>
        </w:rPr>
        <w:t xml:space="preserve"> to the two injured parties</w:t>
      </w:r>
      <w:r w:rsidRPr="00A2269A" w:rsidR="008463E6">
        <w:rPr>
          <w:lang w:val="en-GB"/>
        </w:rPr>
        <w:t>.</w:t>
      </w:r>
    </w:p>
    <w:p w:rsidRPr="00A2269A" w:rsidR="00E40506" w:rsidP="00A2269A" w:rsidRDefault="008024C5">
      <w:pPr>
        <w:pStyle w:val="ECHRPara"/>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11</w:t>
      </w:r>
      <w:r w:rsidRPr="00A2269A">
        <w:rPr>
          <w:lang w:val="en-GB"/>
        </w:rPr>
        <w:fldChar w:fldCharType="end"/>
      </w:r>
      <w:r w:rsidRPr="00A2269A">
        <w:rPr>
          <w:lang w:val="en-GB"/>
        </w:rPr>
        <w:t>.  </w:t>
      </w:r>
      <w:r w:rsidRPr="00A2269A" w:rsidR="00E40506">
        <w:t xml:space="preserve">The Government </w:t>
      </w:r>
      <w:r w:rsidRPr="00A2269A" w:rsidR="00C528B5">
        <w:t xml:space="preserve">submitted that </w:t>
      </w:r>
      <w:r w:rsidRPr="00A2269A">
        <w:rPr>
          <w:lang w:val="en-GB"/>
        </w:rPr>
        <w:t>J</w:t>
      </w:r>
      <w:r w:rsidRPr="00A2269A" w:rsidR="00764C27">
        <w:rPr>
          <w:lang w:val="en-GB"/>
        </w:rPr>
        <w:t>udge</w:t>
      </w:r>
      <w:r w:rsidRPr="00A2269A">
        <w:rPr>
          <w:lang w:val="en-GB"/>
        </w:rPr>
        <w:t xml:space="preserve"> A.K.</w:t>
      </w:r>
      <w:r w:rsidRPr="00A2269A" w:rsidR="00E40506">
        <w:t xml:space="preserve">, when pronouncing the verdict, had also given an oral summary of the main reasons (see paragraph </w:t>
      </w:r>
      <w:r w:rsidRPr="00A2269A" w:rsidR="00B63815">
        <w:rPr>
          <w:noProof/>
        </w:rPr>
        <w:t>34</w:t>
      </w:r>
      <w:r w:rsidRPr="00A2269A">
        <w:t xml:space="preserve"> </w:t>
      </w:r>
      <w:r w:rsidRPr="00A2269A" w:rsidR="00007FCF">
        <w:t>below</w:t>
      </w:r>
      <w:r w:rsidRPr="00A2269A" w:rsidR="00E40506">
        <w:t xml:space="preserve">), </w:t>
      </w:r>
      <w:r w:rsidRPr="00A2269A" w:rsidR="00C528B5">
        <w:t>however</w:t>
      </w:r>
      <w:r w:rsidRPr="00A2269A" w:rsidR="00900E82">
        <w:t>,</w:t>
      </w:r>
      <w:r w:rsidRPr="00A2269A" w:rsidR="00E40506">
        <w:t xml:space="preserve"> no indication of that</w:t>
      </w:r>
      <w:r w:rsidRPr="00A2269A" w:rsidR="00C528B5">
        <w:t xml:space="preserve"> can be found</w:t>
      </w:r>
      <w:r w:rsidRPr="00A2269A" w:rsidR="00E40506">
        <w:t xml:space="preserve"> in the records of the hearing.</w:t>
      </w:r>
    </w:p>
    <w:p w:rsidRPr="00A2269A" w:rsidR="008463E6"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12</w:t>
      </w:r>
      <w:r w:rsidRPr="00A2269A">
        <w:rPr>
          <w:lang w:val="en-GB"/>
        </w:rPr>
        <w:fldChar w:fldCharType="end"/>
      </w:r>
      <w:r w:rsidRPr="00A2269A">
        <w:rPr>
          <w:lang w:val="en-GB"/>
        </w:rPr>
        <w:t>.  </w:t>
      </w:r>
      <w:r w:rsidRPr="00A2269A" w:rsidR="00BE27AF">
        <w:rPr>
          <w:lang w:val="en-GB"/>
        </w:rPr>
        <w:t>A</w:t>
      </w:r>
      <w:r w:rsidRPr="00A2269A" w:rsidR="008463E6">
        <w:rPr>
          <w:lang w:val="en-GB"/>
        </w:rPr>
        <w:t>fter hearing the verdict both applicant</w:t>
      </w:r>
      <w:r w:rsidRPr="00A2269A" w:rsidR="009D19DE">
        <w:rPr>
          <w:lang w:val="en-GB"/>
        </w:rPr>
        <w:t>s</w:t>
      </w:r>
      <w:r w:rsidRPr="00A2269A" w:rsidR="008463E6">
        <w:rPr>
          <w:lang w:val="en-GB"/>
        </w:rPr>
        <w:t xml:space="preserve"> gave notice of </w:t>
      </w:r>
      <w:r w:rsidRPr="00A2269A" w:rsidR="002E3C69">
        <w:rPr>
          <w:lang w:val="en-GB"/>
        </w:rPr>
        <w:t xml:space="preserve">their </w:t>
      </w:r>
      <w:r w:rsidRPr="00A2269A" w:rsidR="008463E6">
        <w:rPr>
          <w:lang w:val="en-GB"/>
        </w:rPr>
        <w:t>intention to appeal</w:t>
      </w:r>
      <w:r w:rsidRPr="00A2269A" w:rsidR="00007FCF">
        <w:rPr>
          <w:lang w:val="en-GB"/>
        </w:rPr>
        <w:t xml:space="preserve">, which gave rise to an obligation on the part of Judge A.K. to </w:t>
      </w:r>
      <w:r w:rsidRPr="00A2269A" w:rsidR="00007FCF">
        <w:t xml:space="preserve">draw up written grounds for her verdicts (see paragraph </w:t>
      </w:r>
      <w:r w:rsidRPr="00A2269A" w:rsidR="00B63815">
        <w:rPr>
          <w:noProof/>
        </w:rPr>
        <w:t>23</w:t>
      </w:r>
      <w:r w:rsidRPr="00A2269A" w:rsidR="00007FCF">
        <w:t xml:space="preserve"> below).</w:t>
      </w:r>
    </w:p>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13</w:t>
      </w:r>
      <w:r w:rsidRPr="00A2269A">
        <w:rPr>
          <w:lang w:val="en-GB"/>
        </w:rPr>
        <w:fldChar w:fldCharType="end"/>
      </w:r>
      <w:r w:rsidRPr="00A2269A">
        <w:rPr>
          <w:lang w:val="en-GB"/>
        </w:rPr>
        <w:t>.  </w:t>
      </w:r>
      <w:r w:rsidRPr="00A2269A" w:rsidR="002E3C69">
        <w:rPr>
          <w:lang w:val="en-GB"/>
        </w:rPr>
        <w:t xml:space="preserve">A.K. later retired </w:t>
      </w:r>
      <w:r w:rsidRPr="00A2269A" w:rsidR="009D19DE">
        <w:rPr>
          <w:lang w:val="en-GB"/>
        </w:rPr>
        <w:t xml:space="preserve">on an unspecified date and </w:t>
      </w:r>
      <w:r w:rsidRPr="00A2269A" w:rsidR="008463E6">
        <w:rPr>
          <w:lang w:val="en-GB"/>
        </w:rPr>
        <w:t>the case</w:t>
      </w:r>
      <w:r w:rsidRPr="00A2269A" w:rsidR="002E3C69">
        <w:rPr>
          <w:lang w:val="en-GB"/>
        </w:rPr>
        <w:t xml:space="preserve"> </w:t>
      </w:r>
      <w:r w:rsidRPr="00A2269A" w:rsidR="008463E6">
        <w:rPr>
          <w:lang w:val="en-GB"/>
        </w:rPr>
        <w:t>files in both applicants</w:t>
      </w:r>
      <w:r w:rsidRPr="00A2269A" w:rsidR="00A2269A">
        <w:rPr>
          <w:lang w:val="en-GB"/>
        </w:rPr>
        <w:t>’</w:t>
      </w:r>
      <w:r w:rsidRPr="00A2269A" w:rsidR="008463E6">
        <w:rPr>
          <w:lang w:val="en-GB"/>
        </w:rPr>
        <w:t xml:space="preserve"> cases </w:t>
      </w:r>
      <w:r w:rsidRPr="00A2269A" w:rsidR="009D19DE">
        <w:rPr>
          <w:lang w:val="en-GB"/>
        </w:rPr>
        <w:t xml:space="preserve">got </w:t>
      </w:r>
      <w:r w:rsidRPr="00A2269A" w:rsidR="008463E6">
        <w:rPr>
          <w:lang w:val="en-GB"/>
        </w:rPr>
        <w:t xml:space="preserve">lost. </w:t>
      </w:r>
      <w:r w:rsidRPr="00A2269A" w:rsidR="002E3C69">
        <w:rPr>
          <w:lang w:val="en-GB"/>
        </w:rPr>
        <w:t>I</w:t>
      </w:r>
      <w:r w:rsidRPr="00A2269A" w:rsidR="008463E6">
        <w:rPr>
          <w:lang w:val="en-GB"/>
        </w:rPr>
        <w:t>n 2010, the local court re</w:t>
      </w:r>
      <w:r w:rsidRPr="00A2269A" w:rsidR="002E3C69">
        <w:rPr>
          <w:lang w:val="en-GB"/>
        </w:rPr>
        <w:t xml:space="preserve">constituted </w:t>
      </w:r>
      <w:r w:rsidRPr="00A2269A" w:rsidR="008463E6">
        <w:rPr>
          <w:lang w:val="en-GB"/>
        </w:rPr>
        <w:t>the files.</w:t>
      </w:r>
    </w:p>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14</w:t>
      </w:r>
      <w:r w:rsidRPr="00A2269A">
        <w:rPr>
          <w:lang w:val="en-GB"/>
        </w:rPr>
        <w:fldChar w:fldCharType="end"/>
      </w:r>
      <w:r w:rsidRPr="00A2269A">
        <w:rPr>
          <w:lang w:val="en-GB"/>
        </w:rPr>
        <w:t>.  </w:t>
      </w:r>
      <w:r w:rsidRPr="00A2269A" w:rsidR="008463E6">
        <w:rPr>
          <w:lang w:val="en-GB"/>
        </w:rPr>
        <w:t xml:space="preserve">Based on the </w:t>
      </w:r>
      <w:r w:rsidRPr="00A2269A" w:rsidR="00DC3CA6">
        <w:rPr>
          <w:lang w:val="en-GB"/>
        </w:rPr>
        <w:t>documents</w:t>
      </w:r>
      <w:r w:rsidRPr="00A2269A" w:rsidR="008463E6">
        <w:rPr>
          <w:lang w:val="en-GB"/>
        </w:rPr>
        <w:t xml:space="preserve"> contained in the restored case</w:t>
      </w:r>
      <w:r w:rsidRPr="00A2269A" w:rsidR="002E3C69">
        <w:rPr>
          <w:lang w:val="en-GB"/>
        </w:rPr>
        <w:t xml:space="preserve"> </w:t>
      </w:r>
      <w:r w:rsidRPr="00A2269A" w:rsidR="008463E6">
        <w:rPr>
          <w:lang w:val="en-GB"/>
        </w:rPr>
        <w:t xml:space="preserve">file, </w:t>
      </w:r>
      <w:r w:rsidRPr="00A2269A" w:rsidR="002E3C69">
        <w:rPr>
          <w:lang w:val="en-GB"/>
        </w:rPr>
        <w:t>J</w:t>
      </w:r>
      <w:r w:rsidRPr="00A2269A" w:rsidR="008463E6">
        <w:rPr>
          <w:lang w:val="en-GB"/>
        </w:rPr>
        <w:t xml:space="preserve">udge D.K.M. delivered written </w:t>
      </w:r>
      <w:r w:rsidRPr="00A2269A" w:rsidR="009D19DE">
        <w:rPr>
          <w:lang w:val="en-GB"/>
        </w:rPr>
        <w:t xml:space="preserve">grounds </w:t>
      </w:r>
      <w:r w:rsidRPr="00A2269A" w:rsidR="002E3C69">
        <w:rPr>
          <w:lang w:val="en-GB"/>
        </w:rPr>
        <w:t xml:space="preserve">for </w:t>
      </w:r>
      <w:r w:rsidRPr="00A2269A" w:rsidR="00B531DE">
        <w:rPr>
          <w:lang w:val="en-GB"/>
        </w:rPr>
        <w:t>the verdict pronounced by Judge A.K.</w:t>
      </w:r>
      <w:r w:rsidRPr="00A2269A" w:rsidR="000812E4">
        <w:rPr>
          <w:lang w:val="en-GB"/>
        </w:rPr>
        <w:t xml:space="preserve"> (see paragraph </w:t>
      </w:r>
      <w:r w:rsidRPr="00A2269A" w:rsidR="00B63815">
        <w:rPr>
          <w:noProof/>
          <w:lang w:val="en-GB"/>
        </w:rPr>
        <w:t>9</w:t>
      </w:r>
      <w:r w:rsidRPr="00A2269A" w:rsidR="000812E4">
        <w:rPr>
          <w:lang w:val="en-GB"/>
        </w:rPr>
        <w:t xml:space="preserve"> above)</w:t>
      </w:r>
      <w:r w:rsidRPr="00A2269A" w:rsidR="002E3C69">
        <w:rPr>
          <w:lang w:val="en-GB"/>
        </w:rPr>
        <w:t xml:space="preserve">, </w:t>
      </w:r>
      <w:r w:rsidRPr="00A2269A" w:rsidR="008463E6">
        <w:rPr>
          <w:lang w:val="en-GB"/>
        </w:rPr>
        <w:t>which w</w:t>
      </w:r>
      <w:r w:rsidRPr="00A2269A" w:rsidR="009D19DE">
        <w:rPr>
          <w:lang w:val="en-GB"/>
        </w:rPr>
        <w:t>ere</w:t>
      </w:r>
      <w:r w:rsidRPr="00A2269A" w:rsidR="008463E6">
        <w:rPr>
          <w:lang w:val="en-GB"/>
        </w:rPr>
        <w:t xml:space="preserve"> served on the first applicant</w:t>
      </w:r>
      <w:r w:rsidRPr="00A2269A" w:rsidR="00A2269A">
        <w:rPr>
          <w:lang w:val="en-GB"/>
        </w:rPr>
        <w:t>’</w:t>
      </w:r>
      <w:r w:rsidRPr="00A2269A" w:rsidR="008463E6">
        <w:rPr>
          <w:lang w:val="en-GB"/>
        </w:rPr>
        <w:t>s counsel on 17 August 2010. In her reasoning, the judge relied</w:t>
      </w:r>
      <w:r w:rsidRPr="00A2269A" w:rsidR="009D19DE">
        <w:rPr>
          <w:lang w:val="en-GB"/>
        </w:rPr>
        <w:t xml:space="preserve"> on</w:t>
      </w:r>
      <w:r w:rsidRPr="00A2269A" w:rsidR="008463E6">
        <w:rPr>
          <w:lang w:val="en-GB"/>
        </w:rPr>
        <w:t xml:space="preserve"> </w:t>
      </w:r>
      <w:r w:rsidRPr="00A2269A" w:rsidR="009D19DE">
        <w:rPr>
          <w:lang w:val="en-GB"/>
        </w:rPr>
        <w:t xml:space="preserve">the records of the hearings, </w:t>
      </w:r>
      <w:r w:rsidRPr="00A2269A" w:rsidR="002E3C69">
        <w:rPr>
          <w:lang w:val="en-GB"/>
        </w:rPr>
        <w:t xml:space="preserve">the </w:t>
      </w:r>
      <w:r w:rsidRPr="00A2269A" w:rsidR="009D19DE">
        <w:rPr>
          <w:lang w:val="en-GB"/>
        </w:rPr>
        <w:t>transcript of the inspection</w:t>
      </w:r>
      <w:r w:rsidRPr="00A2269A" w:rsidR="002E3C69">
        <w:rPr>
          <w:lang w:val="en-GB"/>
        </w:rPr>
        <w:t xml:space="preserve"> of the location</w:t>
      </w:r>
      <w:r w:rsidRPr="00A2269A" w:rsidR="009D19DE">
        <w:rPr>
          <w:lang w:val="en-GB"/>
        </w:rPr>
        <w:t xml:space="preserve"> and other</w:t>
      </w:r>
      <w:r w:rsidRPr="00A2269A" w:rsidR="001F5D3E">
        <w:rPr>
          <w:lang w:val="en-GB"/>
        </w:rPr>
        <w:t xml:space="preserve"> documents in the file.</w:t>
      </w:r>
      <w:r w:rsidRPr="00A2269A" w:rsidR="009D19DE">
        <w:rPr>
          <w:lang w:val="en-GB"/>
        </w:rPr>
        <w:t xml:space="preserve"> </w:t>
      </w:r>
      <w:r w:rsidRPr="00A2269A" w:rsidR="008463E6">
        <w:rPr>
          <w:lang w:val="en-GB"/>
        </w:rPr>
        <w:t xml:space="preserve">The judge </w:t>
      </w:r>
      <w:r w:rsidRPr="00A2269A" w:rsidR="009D19DE">
        <w:rPr>
          <w:lang w:val="en-GB"/>
        </w:rPr>
        <w:t>did not</w:t>
      </w:r>
      <w:r w:rsidRPr="00A2269A" w:rsidR="008463E6">
        <w:rPr>
          <w:lang w:val="en-GB"/>
        </w:rPr>
        <w:t xml:space="preserve"> </w:t>
      </w:r>
      <w:r w:rsidRPr="00A2269A" w:rsidR="009421E7">
        <w:rPr>
          <w:lang w:val="en-GB"/>
        </w:rPr>
        <w:t xml:space="preserve">believe </w:t>
      </w:r>
      <w:r w:rsidRPr="00A2269A" w:rsidR="008463E6">
        <w:rPr>
          <w:lang w:val="en-GB"/>
        </w:rPr>
        <w:t>the</w:t>
      </w:r>
      <w:r w:rsidRPr="00A2269A" w:rsidR="009D19DE">
        <w:rPr>
          <w:lang w:val="en-GB"/>
        </w:rPr>
        <w:t xml:space="preserve"> applicant</w:t>
      </w:r>
      <w:r w:rsidRPr="00A2269A" w:rsidR="00A2269A">
        <w:rPr>
          <w:lang w:val="en-GB"/>
        </w:rPr>
        <w:t>’</w:t>
      </w:r>
      <w:r w:rsidRPr="00A2269A" w:rsidR="009D19DE">
        <w:rPr>
          <w:lang w:val="en-GB"/>
        </w:rPr>
        <w:t xml:space="preserve">s version of events and dismissed </w:t>
      </w:r>
      <w:r w:rsidRPr="00A2269A" w:rsidR="008463E6">
        <w:rPr>
          <w:lang w:val="en-GB"/>
        </w:rPr>
        <w:t>B.K.</w:t>
      </w:r>
      <w:r w:rsidRPr="00A2269A" w:rsidR="00A2269A">
        <w:rPr>
          <w:lang w:val="en-GB"/>
        </w:rPr>
        <w:t>’</w:t>
      </w:r>
      <w:r w:rsidRPr="00A2269A" w:rsidR="002E3C69">
        <w:rPr>
          <w:lang w:val="en-GB"/>
        </w:rPr>
        <w:t>s</w:t>
      </w:r>
      <w:r w:rsidRPr="00A2269A" w:rsidR="008463E6">
        <w:rPr>
          <w:lang w:val="en-GB"/>
        </w:rPr>
        <w:t xml:space="preserve"> </w:t>
      </w:r>
      <w:r w:rsidRPr="00A2269A" w:rsidR="002E3C69">
        <w:rPr>
          <w:lang w:val="en-GB"/>
        </w:rPr>
        <w:t xml:space="preserve">statements </w:t>
      </w:r>
      <w:r w:rsidRPr="00A2269A" w:rsidR="00917F69">
        <w:rPr>
          <w:lang w:val="en-GB"/>
        </w:rPr>
        <w:t xml:space="preserve">as </w:t>
      </w:r>
      <w:r w:rsidRPr="00A2269A" w:rsidR="008463E6">
        <w:rPr>
          <w:lang w:val="en-GB"/>
        </w:rPr>
        <w:t>bias</w:t>
      </w:r>
      <w:r w:rsidRPr="00A2269A" w:rsidR="009D19DE">
        <w:rPr>
          <w:lang w:val="en-GB"/>
        </w:rPr>
        <w:t>ed</w:t>
      </w:r>
      <w:r w:rsidRPr="00A2269A" w:rsidR="008463E6">
        <w:rPr>
          <w:lang w:val="en-GB"/>
        </w:rPr>
        <w:t xml:space="preserve"> </w:t>
      </w:r>
      <w:r w:rsidRPr="00A2269A" w:rsidR="00917F69">
        <w:rPr>
          <w:lang w:val="en-GB"/>
        </w:rPr>
        <w:t xml:space="preserve">because he </w:t>
      </w:r>
      <w:r w:rsidRPr="00A2269A" w:rsidR="002A5048">
        <w:rPr>
          <w:lang w:val="en-GB"/>
        </w:rPr>
        <w:t xml:space="preserve">had been </w:t>
      </w:r>
      <w:r w:rsidRPr="00A2269A" w:rsidR="008463E6">
        <w:rPr>
          <w:lang w:val="en-GB"/>
        </w:rPr>
        <w:t>work</w:t>
      </w:r>
      <w:r w:rsidRPr="00A2269A" w:rsidR="002A5048">
        <w:rPr>
          <w:lang w:val="en-GB"/>
        </w:rPr>
        <w:t xml:space="preserve">ing </w:t>
      </w:r>
      <w:r w:rsidRPr="00A2269A" w:rsidR="008463E6">
        <w:rPr>
          <w:lang w:val="en-GB"/>
        </w:rPr>
        <w:t>for the first applicant</w:t>
      </w:r>
      <w:r w:rsidRPr="00A2269A" w:rsidR="00917F69">
        <w:rPr>
          <w:lang w:val="en-GB"/>
        </w:rPr>
        <w:t xml:space="preserve">. She also </w:t>
      </w:r>
      <w:r w:rsidRPr="00A2269A" w:rsidR="009D19DE">
        <w:rPr>
          <w:lang w:val="en-GB"/>
        </w:rPr>
        <w:t>f</w:t>
      </w:r>
      <w:r w:rsidRPr="00A2269A" w:rsidR="00917F69">
        <w:rPr>
          <w:lang w:val="en-GB"/>
        </w:rPr>
        <w:t>ou</w:t>
      </w:r>
      <w:r w:rsidRPr="00A2269A" w:rsidR="009D19DE">
        <w:rPr>
          <w:lang w:val="en-GB"/>
        </w:rPr>
        <w:t>n</w:t>
      </w:r>
      <w:r w:rsidRPr="00A2269A" w:rsidR="001F5D3E">
        <w:rPr>
          <w:lang w:val="en-GB"/>
        </w:rPr>
        <w:t>d</w:t>
      </w:r>
      <w:r w:rsidRPr="00A2269A" w:rsidR="009D19DE">
        <w:rPr>
          <w:lang w:val="en-GB"/>
        </w:rPr>
        <w:t xml:space="preserve"> his testimony to be in contradiction with some of the other witness </w:t>
      </w:r>
      <w:r w:rsidRPr="00A2269A" w:rsidR="008463E6">
        <w:rPr>
          <w:lang w:val="en-GB"/>
        </w:rPr>
        <w:t>statements. The court</w:t>
      </w:r>
      <w:r w:rsidRPr="00A2269A" w:rsidR="009D19DE">
        <w:rPr>
          <w:lang w:val="en-GB"/>
        </w:rPr>
        <w:t xml:space="preserve"> relied heavily on the </w:t>
      </w:r>
      <w:r w:rsidRPr="00A2269A" w:rsidR="001F5D3E">
        <w:rPr>
          <w:lang w:val="en-GB"/>
        </w:rPr>
        <w:t>finding</w:t>
      </w:r>
      <w:r w:rsidRPr="00A2269A" w:rsidR="009D19DE">
        <w:rPr>
          <w:lang w:val="en-GB"/>
        </w:rPr>
        <w:t xml:space="preserve"> that while </w:t>
      </w:r>
      <w:r w:rsidRPr="00A2269A" w:rsidR="008463E6">
        <w:rPr>
          <w:lang w:val="en-GB"/>
        </w:rPr>
        <w:t>B.K.</w:t>
      </w:r>
      <w:r w:rsidRPr="00A2269A" w:rsidR="001F5D3E">
        <w:rPr>
          <w:lang w:val="en-GB"/>
        </w:rPr>
        <w:t xml:space="preserve"> had</w:t>
      </w:r>
      <w:r w:rsidRPr="00A2269A" w:rsidR="008463E6">
        <w:rPr>
          <w:lang w:val="en-GB"/>
        </w:rPr>
        <w:t xml:space="preserve"> cut </w:t>
      </w:r>
      <w:r w:rsidRPr="00A2269A" w:rsidR="00A22199">
        <w:rPr>
          <w:lang w:val="en-GB"/>
        </w:rPr>
        <w:t xml:space="preserve">down </w:t>
      </w:r>
      <w:r w:rsidRPr="00A2269A" w:rsidR="008463E6">
        <w:rPr>
          <w:lang w:val="en-GB"/>
        </w:rPr>
        <w:t>the trees professionally</w:t>
      </w:r>
      <w:r w:rsidRPr="00A2269A" w:rsidR="009D19DE">
        <w:rPr>
          <w:lang w:val="en-GB"/>
        </w:rPr>
        <w:t xml:space="preserve"> on the applicant</w:t>
      </w:r>
      <w:r w:rsidRPr="00A2269A" w:rsidR="00A2269A">
        <w:rPr>
          <w:lang w:val="en-GB"/>
        </w:rPr>
        <w:t>’</w:t>
      </w:r>
      <w:r w:rsidRPr="00A2269A" w:rsidR="009D19DE">
        <w:rPr>
          <w:lang w:val="en-GB"/>
        </w:rPr>
        <w:t xml:space="preserve">s </w:t>
      </w:r>
      <w:r w:rsidRPr="00A2269A" w:rsidR="00A22199">
        <w:rPr>
          <w:lang w:val="en-GB"/>
        </w:rPr>
        <w:t>land</w:t>
      </w:r>
      <w:r w:rsidRPr="00A2269A" w:rsidR="009D19DE">
        <w:rPr>
          <w:lang w:val="en-GB"/>
        </w:rPr>
        <w:t>, witness</w:t>
      </w:r>
      <w:r w:rsidRPr="00A2269A" w:rsidR="009421E7">
        <w:rPr>
          <w:lang w:val="en-GB"/>
        </w:rPr>
        <w:t xml:space="preserve"> testimony </w:t>
      </w:r>
      <w:r w:rsidRPr="00A2269A" w:rsidR="009D19DE">
        <w:rPr>
          <w:lang w:val="en-GB"/>
        </w:rPr>
        <w:t>showe</w:t>
      </w:r>
      <w:r w:rsidRPr="00A2269A" w:rsidR="001F5D3E">
        <w:rPr>
          <w:lang w:val="en-GB"/>
        </w:rPr>
        <w:t>d that certain trees had been c</w:t>
      </w:r>
      <w:r w:rsidRPr="00A2269A" w:rsidR="009D19DE">
        <w:rPr>
          <w:lang w:val="en-GB"/>
        </w:rPr>
        <w:t xml:space="preserve">ut </w:t>
      </w:r>
      <w:r w:rsidRPr="00A2269A" w:rsidR="00A22199">
        <w:rPr>
          <w:lang w:val="en-GB"/>
        </w:rPr>
        <w:t xml:space="preserve">down </w:t>
      </w:r>
      <w:r w:rsidRPr="00A2269A" w:rsidR="002A5048">
        <w:rPr>
          <w:lang w:val="en-GB"/>
        </w:rPr>
        <w:t xml:space="preserve">in an </w:t>
      </w:r>
      <w:r w:rsidRPr="00A2269A" w:rsidR="001F5D3E">
        <w:rPr>
          <w:lang w:val="en-GB"/>
        </w:rPr>
        <w:t>unprofessional</w:t>
      </w:r>
      <w:r w:rsidRPr="00A2269A" w:rsidR="002A5048">
        <w:rPr>
          <w:lang w:val="en-GB"/>
        </w:rPr>
        <w:t xml:space="preserve"> manner </w:t>
      </w:r>
      <w:r w:rsidRPr="00A2269A" w:rsidR="009D19DE">
        <w:rPr>
          <w:lang w:val="en-GB"/>
        </w:rPr>
        <w:t>on both the applicant</w:t>
      </w:r>
      <w:r w:rsidRPr="00A2269A" w:rsidR="00A2269A">
        <w:rPr>
          <w:lang w:val="en-GB"/>
        </w:rPr>
        <w:t>’</w:t>
      </w:r>
      <w:r w:rsidRPr="00A2269A" w:rsidR="009D19DE">
        <w:rPr>
          <w:lang w:val="en-GB"/>
        </w:rPr>
        <w:t>s and the injured party</w:t>
      </w:r>
      <w:r w:rsidRPr="00A2269A" w:rsidR="00A2269A">
        <w:rPr>
          <w:lang w:val="en-GB"/>
        </w:rPr>
        <w:t>’</w:t>
      </w:r>
      <w:r w:rsidRPr="00A2269A" w:rsidR="009D19DE">
        <w:rPr>
          <w:lang w:val="en-GB"/>
        </w:rPr>
        <w:t>s</w:t>
      </w:r>
      <w:r w:rsidRPr="00A2269A" w:rsidR="00A22199">
        <w:rPr>
          <w:lang w:val="en-GB"/>
        </w:rPr>
        <w:t xml:space="preserve"> land</w:t>
      </w:r>
      <w:r w:rsidRPr="00A2269A" w:rsidR="001F5D3E">
        <w:rPr>
          <w:lang w:val="en-GB"/>
        </w:rPr>
        <w:t xml:space="preserve">, and that the first applicant and B.K. had been seen transporting trees over the </w:t>
      </w:r>
      <w:r w:rsidRPr="00A2269A" w:rsidR="00396A79">
        <w:rPr>
          <w:lang w:val="en-GB"/>
        </w:rPr>
        <w:t xml:space="preserve">injured </w:t>
      </w:r>
      <w:r w:rsidRPr="00A2269A" w:rsidR="000812E4">
        <w:rPr>
          <w:lang w:val="en-GB"/>
        </w:rPr>
        <w:t>party</w:t>
      </w:r>
      <w:r w:rsidRPr="00A2269A" w:rsidR="00A2269A">
        <w:rPr>
          <w:lang w:val="en-GB"/>
        </w:rPr>
        <w:t>’</w:t>
      </w:r>
      <w:r w:rsidRPr="00A2269A" w:rsidR="001F5D3E">
        <w:rPr>
          <w:lang w:val="en-GB"/>
        </w:rPr>
        <w:t>s land.</w:t>
      </w:r>
    </w:p>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15</w:t>
      </w:r>
      <w:r w:rsidRPr="00A2269A">
        <w:rPr>
          <w:lang w:val="en-GB"/>
        </w:rPr>
        <w:fldChar w:fldCharType="end"/>
      </w:r>
      <w:r w:rsidRPr="00A2269A">
        <w:rPr>
          <w:lang w:val="en-GB"/>
        </w:rPr>
        <w:t>.  </w:t>
      </w:r>
      <w:r w:rsidRPr="00A2269A" w:rsidR="00A22199">
        <w:rPr>
          <w:lang w:val="en-GB"/>
        </w:rPr>
        <w:t>The written grounds in the second applicant</w:t>
      </w:r>
      <w:r w:rsidRPr="00A2269A" w:rsidR="00A2269A">
        <w:rPr>
          <w:lang w:val="en-GB"/>
        </w:rPr>
        <w:t>’</w:t>
      </w:r>
      <w:r w:rsidRPr="00A2269A" w:rsidR="00A22199">
        <w:rPr>
          <w:lang w:val="en-GB"/>
        </w:rPr>
        <w:t>s case</w:t>
      </w:r>
      <w:r w:rsidRPr="00A2269A" w:rsidR="001406B0">
        <w:rPr>
          <w:lang w:val="en-GB"/>
        </w:rPr>
        <w:t xml:space="preserve"> (see paragraph </w:t>
      </w:r>
      <w:r w:rsidRPr="00A2269A" w:rsidR="00B63815">
        <w:rPr>
          <w:noProof/>
          <w:lang w:val="en-GB"/>
        </w:rPr>
        <w:t>10</w:t>
      </w:r>
      <w:r w:rsidRPr="00A2269A" w:rsidR="001406B0">
        <w:rPr>
          <w:lang w:val="en-GB"/>
        </w:rPr>
        <w:t xml:space="preserve"> above) </w:t>
      </w:r>
      <w:r w:rsidRPr="00A2269A" w:rsidR="00A22199">
        <w:rPr>
          <w:lang w:val="en-GB"/>
        </w:rPr>
        <w:t>were delivered by Judge M.B., who a</w:t>
      </w:r>
      <w:r w:rsidRPr="00A2269A" w:rsidR="008463E6">
        <w:rPr>
          <w:lang w:val="en-GB"/>
        </w:rPr>
        <w:t xml:space="preserve">lso based </w:t>
      </w:r>
      <w:r w:rsidRPr="00A2269A" w:rsidR="00A22199">
        <w:rPr>
          <w:lang w:val="en-GB"/>
        </w:rPr>
        <w:t xml:space="preserve">them </w:t>
      </w:r>
      <w:r w:rsidRPr="00A2269A" w:rsidR="008463E6">
        <w:rPr>
          <w:lang w:val="en-GB"/>
        </w:rPr>
        <w:t xml:space="preserve">on the </w:t>
      </w:r>
      <w:r w:rsidRPr="00A2269A" w:rsidR="00DC3CA6">
        <w:rPr>
          <w:lang w:val="en-GB"/>
        </w:rPr>
        <w:t xml:space="preserve">documents </w:t>
      </w:r>
      <w:r w:rsidRPr="00A2269A" w:rsidR="008463E6">
        <w:rPr>
          <w:lang w:val="en-GB"/>
        </w:rPr>
        <w:t>contained in the restored case</w:t>
      </w:r>
      <w:r w:rsidRPr="00A2269A" w:rsidR="00A22199">
        <w:rPr>
          <w:lang w:val="en-GB"/>
        </w:rPr>
        <w:t xml:space="preserve"> </w:t>
      </w:r>
      <w:r w:rsidRPr="00A2269A" w:rsidR="008463E6">
        <w:rPr>
          <w:lang w:val="en-GB"/>
        </w:rPr>
        <w:t>file</w:t>
      </w:r>
      <w:r w:rsidRPr="00A2269A" w:rsidR="00A22199">
        <w:rPr>
          <w:lang w:val="en-GB"/>
        </w:rPr>
        <w:t xml:space="preserve">. They </w:t>
      </w:r>
      <w:r w:rsidRPr="00A2269A" w:rsidR="008463E6">
        <w:rPr>
          <w:lang w:val="en-GB"/>
        </w:rPr>
        <w:t>w</w:t>
      </w:r>
      <w:r w:rsidRPr="00A2269A" w:rsidR="003700B7">
        <w:rPr>
          <w:lang w:val="en-GB"/>
        </w:rPr>
        <w:t>ere</w:t>
      </w:r>
      <w:r w:rsidRPr="00A2269A" w:rsidR="008463E6">
        <w:rPr>
          <w:lang w:val="en-GB"/>
        </w:rPr>
        <w:t xml:space="preserve"> served on his counsel on 17</w:t>
      </w:r>
      <w:r w:rsidRPr="00A2269A" w:rsidR="00C92246">
        <w:rPr>
          <w:lang w:val="en-GB"/>
        </w:rPr>
        <w:t> </w:t>
      </w:r>
      <w:r w:rsidRPr="00A2269A" w:rsidR="008463E6">
        <w:rPr>
          <w:lang w:val="en-GB"/>
        </w:rPr>
        <w:t xml:space="preserve">June 2010. As to the first charge, the judge </w:t>
      </w:r>
      <w:r w:rsidRPr="00A2269A" w:rsidR="00A22199">
        <w:rPr>
          <w:lang w:val="en-GB"/>
        </w:rPr>
        <w:t xml:space="preserve">found </w:t>
      </w:r>
      <w:r w:rsidRPr="00A2269A" w:rsidR="008463E6">
        <w:rPr>
          <w:lang w:val="en-GB"/>
        </w:rPr>
        <w:t>that the second applicant</w:t>
      </w:r>
      <w:r w:rsidRPr="00A2269A" w:rsidR="00A2269A">
        <w:rPr>
          <w:lang w:val="en-GB"/>
        </w:rPr>
        <w:t>’</w:t>
      </w:r>
      <w:r w:rsidRPr="00A2269A" w:rsidR="008463E6">
        <w:rPr>
          <w:lang w:val="en-GB"/>
        </w:rPr>
        <w:t>s defence had not been convincing</w:t>
      </w:r>
      <w:r w:rsidRPr="00A2269A" w:rsidR="003700B7">
        <w:rPr>
          <w:lang w:val="en-GB"/>
        </w:rPr>
        <w:t>.</w:t>
      </w:r>
      <w:r w:rsidRPr="00A2269A" w:rsidR="008463E6">
        <w:rPr>
          <w:lang w:val="en-GB"/>
        </w:rPr>
        <w:t xml:space="preserve"> </w:t>
      </w:r>
      <w:r w:rsidRPr="00A2269A" w:rsidR="003700B7">
        <w:rPr>
          <w:lang w:val="en-GB"/>
        </w:rPr>
        <w:t>I</w:t>
      </w:r>
      <w:r w:rsidRPr="00A2269A" w:rsidR="008463E6">
        <w:rPr>
          <w:lang w:val="en-GB"/>
        </w:rPr>
        <w:t>n particular</w:t>
      </w:r>
      <w:r w:rsidRPr="00A2269A" w:rsidR="003700B7">
        <w:rPr>
          <w:lang w:val="en-GB"/>
        </w:rPr>
        <w:t xml:space="preserve">, </w:t>
      </w:r>
      <w:r w:rsidRPr="00A2269A" w:rsidR="008463E6">
        <w:rPr>
          <w:lang w:val="en-GB"/>
        </w:rPr>
        <w:t xml:space="preserve">the judge </w:t>
      </w:r>
      <w:r w:rsidRPr="00A2269A" w:rsidR="003700B7">
        <w:rPr>
          <w:lang w:val="en-GB"/>
        </w:rPr>
        <w:t xml:space="preserve">considered </w:t>
      </w:r>
      <w:r w:rsidRPr="00A2269A" w:rsidR="008463E6">
        <w:rPr>
          <w:lang w:val="en-GB"/>
        </w:rPr>
        <w:t xml:space="preserve">the statements of </w:t>
      </w:r>
      <w:r w:rsidRPr="00A2269A" w:rsidR="00A22199">
        <w:rPr>
          <w:lang w:val="en-GB"/>
        </w:rPr>
        <w:t xml:space="preserve">two </w:t>
      </w:r>
      <w:r w:rsidRPr="00A2269A" w:rsidR="008463E6">
        <w:rPr>
          <w:lang w:val="en-GB"/>
        </w:rPr>
        <w:t>witnesses</w:t>
      </w:r>
      <w:r w:rsidRPr="00A2269A" w:rsidR="00A22199">
        <w:rPr>
          <w:lang w:val="en-GB"/>
        </w:rPr>
        <w:t>,</w:t>
      </w:r>
      <w:r w:rsidRPr="00A2269A" w:rsidR="008463E6">
        <w:rPr>
          <w:lang w:val="en-GB"/>
        </w:rPr>
        <w:t xml:space="preserve"> F.H. and J.H.</w:t>
      </w:r>
      <w:r w:rsidRPr="00A2269A" w:rsidR="00A22199">
        <w:rPr>
          <w:lang w:val="en-GB"/>
        </w:rPr>
        <w:t>,</w:t>
      </w:r>
      <w:r w:rsidRPr="00A2269A" w:rsidR="008463E6">
        <w:rPr>
          <w:lang w:val="en-GB"/>
        </w:rPr>
        <w:t xml:space="preserve"> </w:t>
      </w:r>
      <w:r w:rsidRPr="00A2269A" w:rsidR="00A22199">
        <w:rPr>
          <w:lang w:val="en-GB"/>
        </w:rPr>
        <w:t xml:space="preserve">to be </w:t>
      </w:r>
      <w:r w:rsidRPr="00A2269A" w:rsidR="003700B7">
        <w:rPr>
          <w:lang w:val="en-GB"/>
        </w:rPr>
        <w:t>unpersuasive.</w:t>
      </w:r>
      <w:r w:rsidRPr="00A2269A" w:rsidR="008463E6">
        <w:rPr>
          <w:lang w:val="en-GB"/>
        </w:rPr>
        <w:t xml:space="preserve"> On the other hand, the judge</w:t>
      </w:r>
      <w:r w:rsidRPr="00A2269A" w:rsidR="003700B7">
        <w:rPr>
          <w:lang w:val="en-GB"/>
        </w:rPr>
        <w:t xml:space="preserve"> relied on the</w:t>
      </w:r>
      <w:r w:rsidRPr="00A2269A" w:rsidR="008463E6">
        <w:rPr>
          <w:lang w:val="en-GB"/>
        </w:rPr>
        <w:t xml:space="preserve"> statements of the injured party and her husband, supported by other evidence, for example</w:t>
      </w:r>
      <w:r w:rsidRPr="00A2269A" w:rsidR="002A5048">
        <w:rPr>
          <w:lang w:val="en-GB"/>
        </w:rPr>
        <w:t>,</w:t>
      </w:r>
      <w:r w:rsidRPr="00A2269A" w:rsidR="008463E6">
        <w:rPr>
          <w:lang w:val="en-GB"/>
        </w:rPr>
        <w:t xml:space="preserve"> the expert</w:t>
      </w:r>
      <w:r w:rsidRPr="00A2269A" w:rsidR="00A2269A">
        <w:rPr>
          <w:lang w:val="en-GB"/>
        </w:rPr>
        <w:t>’</w:t>
      </w:r>
      <w:r w:rsidRPr="00A2269A" w:rsidR="008463E6">
        <w:rPr>
          <w:lang w:val="en-GB"/>
        </w:rPr>
        <w:t xml:space="preserve">s opinion, </w:t>
      </w:r>
      <w:r w:rsidRPr="00A2269A" w:rsidR="00A22199">
        <w:rPr>
          <w:lang w:val="en-GB"/>
        </w:rPr>
        <w:t xml:space="preserve">the </w:t>
      </w:r>
      <w:r w:rsidRPr="00A2269A" w:rsidR="008463E6">
        <w:rPr>
          <w:lang w:val="en-GB"/>
        </w:rPr>
        <w:t xml:space="preserve">statements of </w:t>
      </w:r>
      <w:r w:rsidRPr="00A2269A" w:rsidR="00A22199">
        <w:rPr>
          <w:lang w:val="en-GB"/>
        </w:rPr>
        <w:t xml:space="preserve">the </w:t>
      </w:r>
      <w:r w:rsidRPr="00A2269A" w:rsidR="008463E6">
        <w:rPr>
          <w:lang w:val="en-GB"/>
        </w:rPr>
        <w:t xml:space="preserve">witnesses S.P. and I.T and the copy of the </w:t>
      </w:r>
      <w:r w:rsidRPr="00A2269A" w:rsidR="00A22199">
        <w:rPr>
          <w:lang w:val="en-GB"/>
        </w:rPr>
        <w:t xml:space="preserve">land register </w:t>
      </w:r>
      <w:r w:rsidRPr="00A2269A" w:rsidR="008463E6">
        <w:rPr>
          <w:lang w:val="en-GB"/>
        </w:rPr>
        <w:t>map showing that M.P.</w:t>
      </w:r>
      <w:r w:rsidRPr="00A2269A" w:rsidR="00A2269A">
        <w:rPr>
          <w:lang w:val="en-GB"/>
        </w:rPr>
        <w:t>’</w:t>
      </w:r>
      <w:r w:rsidRPr="00A2269A" w:rsidR="008463E6">
        <w:rPr>
          <w:lang w:val="en-GB"/>
        </w:rPr>
        <w:t xml:space="preserve">s land </w:t>
      </w:r>
      <w:r w:rsidRPr="00A2269A" w:rsidR="003700B7">
        <w:rPr>
          <w:lang w:val="en-GB"/>
        </w:rPr>
        <w:t xml:space="preserve">did </w:t>
      </w:r>
      <w:r w:rsidRPr="00A2269A" w:rsidR="008463E6">
        <w:rPr>
          <w:lang w:val="en-GB"/>
        </w:rPr>
        <w:t>not border on the second applicant</w:t>
      </w:r>
      <w:r w:rsidRPr="00A2269A" w:rsidR="00A2269A">
        <w:rPr>
          <w:lang w:val="en-GB"/>
        </w:rPr>
        <w:t>’</w:t>
      </w:r>
      <w:r w:rsidRPr="00A2269A" w:rsidR="008463E6">
        <w:rPr>
          <w:lang w:val="en-GB"/>
        </w:rPr>
        <w:t xml:space="preserve">s. As to the second charge, the court relied </w:t>
      </w:r>
      <w:r w:rsidRPr="00A2269A" w:rsidR="003700B7">
        <w:rPr>
          <w:lang w:val="en-GB"/>
        </w:rPr>
        <w:t>predominantly</w:t>
      </w:r>
      <w:r w:rsidRPr="00A2269A" w:rsidR="008463E6">
        <w:rPr>
          <w:lang w:val="en-GB"/>
        </w:rPr>
        <w:t xml:space="preserve"> on the statement of the </w:t>
      </w:r>
      <w:r w:rsidRPr="00A2269A" w:rsidR="007F60A0">
        <w:rPr>
          <w:lang w:val="en-GB"/>
        </w:rPr>
        <w:t xml:space="preserve">injured </w:t>
      </w:r>
      <w:r w:rsidRPr="00A2269A" w:rsidR="000812E4">
        <w:rPr>
          <w:lang w:val="en-GB"/>
        </w:rPr>
        <w:t>party</w:t>
      </w:r>
      <w:r w:rsidRPr="00A2269A" w:rsidR="006B5F3E">
        <w:rPr>
          <w:lang w:val="en-GB"/>
        </w:rPr>
        <w:t xml:space="preserve">, </w:t>
      </w:r>
      <w:r w:rsidRPr="00A2269A" w:rsidR="008463E6">
        <w:rPr>
          <w:lang w:val="en-GB"/>
        </w:rPr>
        <w:t xml:space="preserve">F.B., who denied that he had </w:t>
      </w:r>
      <w:r w:rsidRPr="00A2269A" w:rsidR="00A22199">
        <w:rPr>
          <w:lang w:val="en-GB"/>
        </w:rPr>
        <w:t xml:space="preserve">had </w:t>
      </w:r>
      <w:r w:rsidRPr="00A2269A" w:rsidR="008463E6">
        <w:rPr>
          <w:lang w:val="en-GB"/>
        </w:rPr>
        <w:t xml:space="preserve">an agreement with the second applicant. </w:t>
      </w:r>
      <w:r w:rsidRPr="00A2269A" w:rsidR="00A22199">
        <w:rPr>
          <w:lang w:val="en-GB"/>
        </w:rPr>
        <w:t>O</w:t>
      </w:r>
      <w:r w:rsidRPr="00A2269A" w:rsidR="008463E6">
        <w:rPr>
          <w:lang w:val="en-GB"/>
        </w:rPr>
        <w:t>ther evidence, such as the expert</w:t>
      </w:r>
      <w:r w:rsidRPr="00A2269A" w:rsidR="00A2269A">
        <w:rPr>
          <w:lang w:val="en-GB"/>
        </w:rPr>
        <w:t>’</w:t>
      </w:r>
      <w:r w:rsidRPr="00A2269A" w:rsidR="00A22199">
        <w:rPr>
          <w:lang w:val="en-GB"/>
        </w:rPr>
        <w:t>s</w:t>
      </w:r>
      <w:r w:rsidRPr="00A2269A" w:rsidR="008463E6">
        <w:rPr>
          <w:lang w:val="en-GB"/>
        </w:rPr>
        <w:t xml:space="preserve"> opinion and photographs, confirmed that </w:t>
      </w:r>
      <w:r w:rsidRPr="00A2269A" w:rsidR="00A22199">
        <w:rPr>
          <w:lang w:val="en-GB"/>
        </w:rPr>
        <w:t xml:space="preserve">F.B. was indeed </w:t>
      </w:r>
      <w:r w:rsidRPr="00A2269A" w:rsidR="008463E6">
        <w:rPr>
          <w:lang w:val="en-GB"/>
        </w:rPr>
        <w:t xml:space="preserve">the owner of the land and </w:t>
      </w:r>
      <w:r w:rsidRPr="00A2269A" w:rsidR="00DC3CA6">
        <w:rPr>
          <w:lang w:val="en-GB"/>
        </w:rPr>
        <w:t xml:space="preserve">indicated </w:t>
      </w:r>
      <w:r w:rsidRPr="00A2269A" w:rsidR="008463E6">
        <w:rPr>
          <w:lang w:val="en-GB"/>
        </w:rPr>
        <w:t xml:space="preserve">the </w:t>
      </w:r>
      <w:r w:rsidRPr="00A2269A" w:rsidR="00A22199">
        <w:rPr>
          <w:lang w:val="en-GB"/>
        </w:rPr>
        <w:t xml:space="preserve">number </w:t>
      </w:r>
      <w:r w:rsidRPr="00A2269A" w:rsidR="008463E6">
        <w:rPr>
          <w:lang w:val="en-GB"/>
        </w:rPr>
        <w:t>of trees that had been cut</w:t>
      </w:r>
      <w:r w:rsidRPr="00A2269A" w:rsidR="00A22199">
        <w:rPr>
          <w:lang w:val="en-GB"/>
        </w:rPr>
        <w:t xml:space="preserve"> down</w:t>
      </w:r>
      <w:r w:rsidRPr="00A2269A" w:rsidR="008463E6">
        <w:rPr>
          <w:lang w:val="en-GB"/>
        </w:rPr>
        <w:t>.</w:t>
      </w:r>
    </w:p>
    <w:bookmarkStart w:name="applicantsappealed" w:id="4"/>
    <w:p w:rsidRPr="00A2269A" w:rsidR="008463E6"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16</w:t>
      </w:r>
      <w:r w:rsidRPr="00A2269A">
        <w:rPr>
          <w:lang w:val="en-GB"/>
        </w:rPr>
        <w:fldChar w:fldCharType="end"/>
      </w:r>
      <w:bookmarkEnd w:id="4"/>
      <w:r w:rsidRPr="00A2269A">
        <w:rPr>
          <w:lang w:val="en-GB"/>
        </w:rPr>
        <w:t>.  </w:t>
      </w:r>
      <w:r w:rsidRPr="00A2269A" w:rsidR="008463E6">
        <w:rPr>
          <w:lang w:val="en-GB"/>
        </w:rPr>
        <w:t xml:space="preserve">Both applicants appealed </w:t>
      </w:r>
      <w:r w:rsidRPr="00A2269A" w:rsidR="00D5172C">
        <w:rPr>
          <w:lang w:val="en-GB"/>
        </w:rPr>
        <w:t xml:space="preserve">against </w:t>
      </w:r>
      <w:r w:rsidRPr="00A2269A" w:rsidR="008463E6">
        <w:rPr>
          <w:lang w:val="en-GB"/>
        </w:rPr>
        <w:t>the judgments</w:t>
      </w:r>
      <w:r w:rsidRPr="00A2269A" w:rsidR="00A22199">
        <w:rPr>
          <w:lang w:val="en-GB"/>
        </w:rPr>
        <w:t xml:space="preserve">, </w:t>
      </w:r>
      <w:r w:rsidRPr="00A2269A" w:rsidR="001406B0">
        <w:rPr>
          <w:lang w:val="en-GB"/>
        </w:rPr>
        <w:t xml:space="preserve">raising </w:t>
      </w:r>
      <w:r w:rsidRPr="00A2269A" w:rsidR="00CE1AE7">
        <w:rPr>
          <w:lang w:val="en-GB"/>
        </w:rPr>
        <w:t>similar</w:t>
      </w:r>
      <w:r w:rsidRPr="00A2269A" w:rsidR="001406B0">
        <w:rPr>
          <w:lang w:val="en-GB"/>
        </w:rPr>
        <w:t xml:space="preserve"> arguments as those submitted to the Court</w:t>
      </w:r>
      <w:r w:rsidRPr="00A2269A" w:rsidR="00A90A3B">
        <w:rPr>
          <w:lang w:val="en-GB"/>
        </w:rPr>
        <w:t xml:space="preserve"> (see paragraph </w:t>
      </w:r>
      <w:r w:rsidRPr="00A2269A" w:rsidR="00B63815">
        <w:rPr>
          <w:noProof/>
        </w:rPr>
        <w:t>32</w:t>
      </w:r>
      <w:r w:rsidRPr="00A2269A" w:rsidR="00A90A3B">
        <w:rPr>
          <w:lang w:val="en-GB"/>
        </w:rPr>
        <w:t xml:space="preserve"> below)</w:t>
      </w:r>
      <w:r w:rsidRPr="00A2269A" w:rsidR="001406B0">
        <w:rPr>
          <w:lang w:val="en-GB"/>
        </w:rPr>
        <w:t xml:space="preserve">. They further </w:t>
      </w:r>
      <w:r w:rsidRPr="00A2269A" w:rsidR="008463E6">
        <w:rPr>
          <w:lang w:val="en-GB"/>
        </w:rPr>
        <w:t xml:space="preserve">alleged that the judgments should have been set aside and remitted to the first-instance court for fresh consideration. Furthermore, both applicants also appealed </w:t>
      </w:r>
      <w:r w:rsidRPr="00A2269A" w:rsidR="000F48F3">
        <w:rPr>
          <w:lang w:val="en-GB"/>
        </w:rPr>
        <w:t xml:space="preserve">against </w:t>
      </w:r>
      <w:r w:rsidRPr="00A2269A" w:rsidR="008463E6">
        <w:rPr>
          <w:lang w:val="en-GB"/>
        </w:rPr>
        <w:t xml:space="preserve">the factual findings on which their convictions </w:t>
      </w:r>
      <w:r w:rsidRPr="00A2269A" w:rsidR="000F48F3">
        <w:rPr>
          <w:lang w:val="en-GB"/>
        </w:rPr>
        <w:t xml:space="preserve">had been </w:t>
      </w:r>
      <w:r w:rsidRPr="00A2269A" w:rsidR="008463E6">
        <w:rPr>
          <w:lang w:val="en-GB"/>
        </w:rPr>
        <w:t xml:space="preserve">based, including the assessment of </w:t>
      </w:r>
      <w:r w:rsidRPr="00A2269A" w:rsidR="000F48F3">
        <w:rPr>
          <w:lang w:val="en-GB"/>
        </w:rPr>
        <w:t xml:space="preserve">the </w:t>
      </w:r>
      <w:r w:rsidRPr="00A2269A" w:rsidR="008463E6">
        <w:rPr>
          <w:lang w:val="en-GB"/>
        </w:rPr>
        <w:t xml:space="preserve">credibility of a number of witnesses. The second applicant also complained about the assessment of the existence of intent </w:t>
      </w:r>
      <w:r w:rsidRPr="00A2269A" w:rsidR="008D3D90">
        <w:rPr>
          <w:lang w:val="en-GB"/>
        </w:rPr>
        <w:t xml:space="preserve">on his part </w:t>
      </w:r>
      <w:r w:rsidRPr="00A2269A" w:rsidR="008463E6">
        <w:rPr>
          <w:lang w:val="en-GB"/>
        </w:rPr>
        <w:t xml:space="preserve">to commit the </w:t>
      </w:r>
      <w:r w:rsidRPr="00A2269A" w:rsidR="008D3D90">
        <w:rPr>
          <w:lang w:val="en-GB"/>
        </w:rPr>
        <w:t xml:space="preserve">second </w:t>
      </w:r>
      <w:r w:rsidRPr="00A2269A" w:rsidR="001406B0">
        <w:rPr>
          <w:lang w:val="en-GB"/>
        </w:rPr>
        <w:t>count of theft</w:t>
      </w:r>
      <w:r w:rsidRPr="00A2269A" w:rsidR="008463E6">
        <w:rPr>
          <w:lang w:val="en-GB"/>
        </w:rPr>
        <w:t>.</w:t>
      </w:r>
    </w:p>
    <w:p w:rsidRPr="00A2269A" w:rsidR="008463E6"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17</w:t>
      </w:r>
      <w:r w:rsidRPr="00A2269A">
        <w:rPr>
          <w:lang w:val="en-GB"/>
        </w:rPr>
        <w:fldChar w:fldCharType="end"/>
      </w:r>
      <w:r w:rsidRPr="00A2269A">
        <w:rPr>
          <w:lang w:val="en-GB"/>
        </w:rPr>
        <w:t>.  </w:t>
      </w:r>
      <w:r w:rsidRPr="00A2269A" w:rsidR="008463E6">
        <w:rPr>
          <w:lang w:val="en-GB"/>
        </w:rPr>
        <w:t>On 26 August and 25 November 2010 respectively, the Ljubljana Higher Court dismissed the applicants</w:t>
      </w:r>
      <w:r w:rsidRPr="00A2269A" w:rsidR="00A2269A">
        <w:rPr>
          <w:lang w:val="en-GB"/>
        </w:rPr>
        <w:t>’</w:t>
      </w:r>
      <w:r w:rsidRPr="00A2269A" w:rsidR="008463E6">
        <w:rPr>
          <w:lang w:val="en-GB"/>
        </w:rPr>
        <w:t xml:space="preserve"> appeals, holding that the fact that the written grounds of the impugned judgments had been given a few years after they had been </w:t>
      </w:r>
      <w:r w:rsidRPr="00A2269A" w:rsidR="000F48F3">
        <w:rPr>
          <w:lang w:val="en-GB"/>
        </w:rPr>
        <w:t xml:space="preserve">delivered </w:t>
      </w:r>
      <w:r w:rsidRPr="00A2269A" w:rsidR="008463E6">
        <w:rPr>
          <w:lang w:val="en-GB"/>
        </w:rPr>
        <w:t xml:space="preserve">orally </w:t>
      </w:r>
      <w:r w:rsidRPr="00A2269A" w:rsidR="008D3D90">
        <w:rPr>
          <w:lang w:val="en-GB"/>
        </w:rPr>
        <w:t xml:space="preserve">had </w:t>
      </w:r>
      <w:r w:rsidRPr="00A2269A" w:rsidR="008463E6">
        <w:rPr>
          <w:lang w:val="en-GB"/>
        </w:rPr>
        <w:t>not render</w:t>
      </w:r>
      <w:r w:rsidRPr="00A2269A" w:rsidR="008D3D90">
        <w:rPr>
          <w:lang w:val="en-GB"/>
        </w:rPr>
        <w:t>ed</w:t>
      </w:r>
      <w:r w:rsidRPr="00A2269A" w:rsidR="008463E6">
        <w:rPr>
          <w:lang w:val="en-GB"/>
        </w:rPr>
        <w:t xml:space="preserve"> the judgments unlawful. The higher court emphasised that the impugned judgments </w:t>
      </w:r>
      <w:r w:rsidRPr="00A2269A" w:rsidR="000F48F3">
        <w:rPr>
          <w:lang w:val="en-GB"/>
        </w:rPr>
        <w:t xml:space="preserve">had been </w:t>
      </w:r>
      <w:r w:rsidRPr="00A2269A" w:rsidR="008463E6">
        <w:rPr>
          <w:lang w:val="en-GB"/>
        </w:rPr>
        <w:t>based on facts established in adversar</w:t>
      </w:r>
      <w:r w:rsidRPr="00A2269A" w:rsidR="000F48F3">
        <w:rPr>
          <w:lang w:val="en-GB"/>
        </w:rPr>
        <w:t xml:space="preserve">ial </w:t>
      </w:r>
      <w:r w:rsidRPr="00A2269A" w:rsidR="008463E6">
        <w:rPr>
          <w:lang w:val="en-GB"/>
        </w:rPr>
        <w:t xml:space="preserve">proceedings and on evidence given at hearings which the applicants had been able to challenge by presenting their own versions of the events at issue. The first-instance judgments had been </w:t>
      </w:r>
      <w:r w:rsidRPr="00A2269A" w:rsidR="000F48F3">
        <w:rPr>
          <w:lang w:val="en-GB"/>
        </w:rPr>
        <w:t xml:space="preserve">given </w:t>
      </w:r>
      <w:r w:rsidRPr="00A2269A" w:rsidR="008463E6">
        <w:rPr>
          <w:lang w:val="en-GB"/>
        </w:rPr>
        <w:t xml:space="preserve">orally by </w:t>
      </w:r>
      <w:r w:rsidRPr="00A2269A" w:rsidR="000F48F3">
        <w:rPr>
          <w:lang w:val="en-GB"/>
        </w:rPr>
        <w:t>J</w:t>
      </w:r>
      <w:r w:rsidRPr="00A2269A" w:rsidR="008463E6">
        <w:rPr>
          <w:lang w:val="en-GB"/>
        </w:rPr>
        <w:t xml:space="preserve">udge A.K. who had </w:t>
      </w:r>
      <w:r w:rsidRPr="00A2269A" w:rsidR="001D3361">
        <w:rPr>
          <w:lang w:val="en-GB"/>
        </w:rPr>
        <w:t xml:space="preserve">presided </w:t>
      </w:r>
      <w:r w:rsidRPr="00A2269A" w:rsidR="000F48F3">
        <w:rPr>
          <w:lang w:val="en-GB"/>
        </w:rPr>
        <w:t xml:space="preserve">over </w:t>
      </w:r>
      <w:r w:rsidRPr="00A2269A" w:rsidR="008463E6">
        <w:rPr>
          <w:lang w:val="en-GB"/>
        </w:rPr>
        <w:t>both applicants</w:t>
      </w:r>
      <w:r w:rsidRPr="00A2269A" w:rsidR="00A2269A">
        <w:rPr>
          <w:lang w:val="en-GB"/>
        </w:rPr>
        <w:t>’</w:t>
      </w:r>
      <w:r w:rsidRPr="00A2269A" w:rsidR="008463E6">
        <w:rPr>
          <w:lang w:val="en-GB"/>
        </w:rPr>
        <w:t xml:space="preserve"> hearings, </w:t>
      </w:r>
      <w:r w:rsidRPr="00A2269A" w:rsidR="000F48F3">
        <w:rPr>
          <w:lang w:val="en-GB"/>
        </w:rPr>
        <w:t xml:space="preserve">had </w:t>
      </w:r>
      <w:r w:rsidRPr="00A2269A" w:rsidR="008463E6">
        <w:rPr>
          <w:lang w:val="en-GB"/>
        </w:rPr>
        <w:t xml:space="preserve">questioned the applicants and heard </w:t>
      </w:r>
      <w:r w:rsidRPr="00A2269A" w:rsidR="001265B2">
        <w:rPr>
          <w:lang w:val="en-GB"/>
        </w:rPr>
        <w:t>the witnesses</w:t>
      </w:r>
      <w:r w:rsidRPr="00A2269A" w:rsidR="008463E6">
        <w:rPr>
          <w:lang w:val="en-GB"/>
        </w:rPr>
        <w:t xml:space="preserve">. Moreover, </w:t>
      </w:r>
      <w:r w:rsidRPr="00A2269A" w:rsidR="001D3361">
        <w:rPr>
          <w:lang w:val="en-GB"/>
        </w:rPr>
        <w:t xml:space="preserve">the written grounds </w:t>
      </w:r>
      <w:r w:rsidRPr="00A2269A" w:rsidR="000F48F3">
        <w:rPr>
          <w:lang w:val="en-GB"/>
        </w:rPr>
        <w:t xml:space="preserve">had </w:t>
      </w:r>
      <w:r w:rsidRPr="00A2269A" w:rsidR="001D3361">
        <w:rPr>
          <w:lang w:val="en-GB"/>
        </w:rPr>
        <w:t>disclosed</w:t>
      </w:r>
      <w:r w:rsidRPr="00A2269A" w:rsidR="008463E6">
        <w:rPr>
          <w:lang w:val="en-GB"/>
        </w:rPr>
        <w:t xml:space="preserve"> on what evidence the</w:t>
      </w:r>
      <w:r w:rsidRPr="00A2269A" w:rsidR="001D3361">
        <w:rPr>
          <w:lang w:val="en-GB"/>
        </w:rPr>
        <w:t xml:space="preserve"> judges providing them had </w:t>
      </w:r>
      <w:r w:rsidRPr="00A2269A" w:rsidR="008463E6">
        <w:rPr>
          <w:lang w:val="en-GB"/>
        </w:rPr>
        <w:t xml:space="preserve">relied and how </w:t>
      </w:r>
      <w:r w:rsidRPr="00A2269A" w:rsidR="001D3361">
        <w:rPr>
          <w:lang w:val="en-GB"/>
        </w:rPr>
        <w:t>they</w:t>
      </w:r>
      <w:r w:rsidRPr="00A2269A" w:rsidR="008463E6">
        <w:rPr>
          <w:lang w:val="en-GB"/>
        </w:rPr>
        <w:t xml:space="preserve"> had assessed the reliability of the applicants</w:t>
      </w:r>
      <w:r w:rsidRPr="00A2269A" w:rsidR="00A2269A">
        <w:rPr>
          <w:lang w:val="en-GB"/>
        </w:rPr>
        <w:t>’</w:t>
      </w:r>
      <w:r w:rsidRPr="00A2269A" w:rsidR="008463E6">
        <w:rPr>
          <w:lang w:val="en-GB"/>
        </w:rPr>
        <w:t xml:space="preserve"> statements. In the higher court</w:t>
      </w:r>
      <w:r w:rsidRPr="00A2269A" w:rsidR="00A2269A">
        <w:rPr>
          <w:lang w:val="en-GB"/>
        </w:rPr>
        <w:t>’</w:t>
      </w:r>
      <w:r w:rsidRPr="00A2269A" w:rsidR="008463E6">
        <w:rPr>
          <w:lang w:val="en-GB"/>
        </w:rPr>
        <w:t>s opinion, the</w:t>
      </w:r>
      <w:r w:rsidRPr="00A2269A" w:rsidR="001D3361">
        <w:rPr>
          <w:lang w:val="en-GB"/>
        </w:rPr>
        <w:t xml:space="preserve"> written</w:t>
      </w:r>
      <w:r w:rsidRPr="00A2269A" w:rsidR="008463E6">
        <w:rPr>
          <w:lang w:val="en-GB"/>
        </w:rPr>
        <w:t xml:space="preserve"> grounds </w:t>
      </w:r>
      <w:r w:rsidRPr="00A2269A" w:rsidR="000F48F3">
        <w:rPr>
          <w:lang w:val="en-GB"/>
        </w:rPr>
        <w:t xml:space="preserve">had been </w:t>
      </w:r>
      <w:r w:rsidRPr="00A2269A" w:rsidR="00671426">
        <w:rPr>
          <w:lang w:val="en-GB"/>
        </w:rPr>
        <w:t>clear</w:t>
      </w:r>
      <w:r w:rsidRPr="00A2269A" w:rsidR="008463E6">
        <w:rPr>
          <w:lang w:val="en-GB"/>
        </w:rPr>
        <w:t xml:space="preserve"> and reasonable. As regards the first applicant, the higher court reassessed the evidence, including the</w:t>
      </w:r>
      <w:r w:rsidRPr="00A2269A" w:rsidR="001D3361">
        <w:rPr>
          <w:lang w:val="en-GB"/>
        </w:rPr>
        <w:t xml:space="preserve"> witness</w:t>
      </w:r>
      <w:r w:rsidRPr="00A2269A" w:rsidR="008463E6">
        <w:rPr>
          <w:lang w:val="en-GB"/>
        </w:rPr>
        <w:t xml:space="preserve"> statements</w:t>
      </w:r>
      <w:r w:rsidRPr="00A2269A" w:rsidR="001D3361">
        <w:rPr>
          <w:lang w:val="en-GB"/>
        </w:rPr>
        <w:t xml:space="preserve">, </w:t>
      </w:r>
      <w:r w:rsidRPr="00A2269A" w:rsidR="008463E6">
        <w:rPr>
          <w:lang w:val="en-GB"/>
        </w:rPr>
        <w:t>and came to the same conclusion as the first</w:t>
      </w:r>
      <w:r w:rsidRPr="00A2269A" w:rsidR="000F48F3">
        <w:rPr>
          <w:lang w:val="en-GB"/>
        </w:rPr>
        <w:t>-</w:t>
      </w:r>
      <w:r w:rsidRPr="00A2269A" w:rsidR="008463E6">
        <w:rPr>
          <w:lang w:val="en-GB"/>
        </w:rPr>
        <w:t xml:space="preserve">instance court. As to the second applicant, the higher court </w:t>
      </w:r>
      <w:r w:rsidRPr="00A2269A" w:rsidR="000F48F3">
        <w:rPr>
          <w:lang w:val="en-GB"/>
        </w:rPr>
        <w:t xml:space="preserve">noted </w:t>
      </w:r>
      <w:r w:rsidRPr="00A2269A" w:rsidR="008463E6">
        <w:rPr>
          <w:lang w:val="en-GB"/>
        </w:rPr>
        <w:t xml:space="preserve">that the </w:t>
      </w:r>
      <w:r w:rsidRPr="00A2269A" w:rsidR="00B900C3">
        <w:rPr>
          <w:lang w:val="en-GB"/>
        </w:rPr>
        <w:t>first</w:t>
      </w:r>
      <w:r w:rsidRPr="00A2269A" w:rsidR="000F48F3">
        <w:rPr>
          <w:lang w:val="en-GB"/>
        </w:rPr>
        <w:t>-</w:t>
      </w:r>
      <w:r w:rsidRPr="00A2269A" w:rsidR="00B900C3">
        <w:rPr>
          <w:lang w:val="en-GB"/>
        </w:rPr>
        <w:t xml:space="preserve">instance </w:t>
      </w:r>
      <w:r w:rsidRPr="00A2269A" w:rsidR="008463E6">
        <w:rPr>
          <w:lang w:val="en-GB"/>
        </w:rPr>
        <w:t xml:space="preserve">court had truthfully and accurately established all the relevant facts of the case, </w:t>
      </w:r>
      <w:r w:rsidRPr="00A2269A" w:rsidR="000F48F3">
        <w:rPr>
          <w:lang w:val="en-GB"/>
        </w:rPr>
        <w:t xml:space="preserve">and </w:t>
      </w:r>
      <w:r w:rsidRPr="00A2269A" w:rsidR="008463E6">
        <w:rPr>
          <w:lang w:val="en-GB"/>
        </w:rPr>
        <w:t>that it had been proven that the second applicant had</w:t>
      </w:r>
      <w:r w:rsidRPr="00A2269A" w:rsidR="00B900C3">
        <w:rPr>
          <w:lang w:val="en-GB"/>
        </w:rPr>
        <w:t xml:space="preserve"> </w:t>
      </w:r>
      <w:r w:rsidRPr="00A2269A" w:rsidR="008463E6">
        <w:rPr>
          <w:lang w:val="en-GB"/>
        </w:rPr>
        <w:t>inten</w:t>
      </w:r>
      <w:r w:rsidRPr="00A2269A" w:rsidR="000F48F3">
        <w:rPr>
          <w:lang w:val="en-GB"/>
        </w:rPr>
        <w:t xml:space="preserve">ded </w:t>
      </w:r>
      <w:r w:rsidRPr="00A2269A" w:rsidR="008463E6">
        <w:rPr>
          <w:lang w:val="en-GB"/>
        </w:rPr>
        <w:t xml:space="preserve">to commit the </w:t>
      </w:r>
      <w:r w:rsidRPr="00A2269A" w:rsidR="000F48F3">
        <w:rPr>
          <w:lang w:val="en-GB"/>
        </w:rPr>
        <w:t xml:space="preserve">second </w:t>
      </w:r>
      <w:r w:rsidRPr="00A2269A" w:rsidR="008463E6">
        <w:rPr>
          <w:lang w:val="en-GB"/>
        </w:rPr>
        <w:t>offence.</w:t>
      </w:r>
    </w:p>
    <w:bookmarkStart w:name="ZVZ" w:id="5"/>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18</w:t>
      </w:r>
      <w:r w:rsidRPr="00A2269A">
        <w:rPr>
          <w:lang w:val="en-GB"/>
        </w:rPr>
        <w:fldChar w:fldCharType="end"/>
      </w:r>
      <w:bookmarkEnd w:id="5"/>
      <w:r w:rsidRPr="00A2269A">
        <w:rPr>
          <w:lang w:val="en-GB"/>
        </w:rPr>
        <w:t>.  </w:t>
      </w:r>
      <w:r w:rsidRPr="00A2269A" w:rsidR="008463E6">
        <w:rPr>
          <w:lang w:val="en-GB"/>
        </w:rPr>
        <w:t xml:space="preserve">On 13 October 2010 and 20 January 2011 respectively, the applicants lodged </w:t>
      </w:r>
      <w:r w:rsidRPr="00A2269A" w:rsidR="000F48F3">
        <w:rPr>
          <w:lang w:val="en-GB"/>
        </w:rPr>
        <w:t xml:space="preserve">applications </w:t>
      </w:r>
      <w:r w:rsidRPr="00A2269A" w:rsidR="008463E6">
        <w:rPr>
          <w:lang w:val="en-GB"/>
        </w:rPr>
        <w:t>for the protection of legality (</w:t>
      </w:r>
      <w:r w:rsidRPr="00A2269A" w:rsidR="007F60A0">
        <w:rPr>
          <w:i/>
          <w:lang w:val="en-GB"/>
        </w:rPr>
        <w:t>zahteva za varstvo zakonitosti)</w:t>
      </w:r>
      <w:r w:rsidRPr="00A2269A" w:rsidR="008463E6">
        <w:rPr>
          <w:lang w:val="en-GB"/>
        </w:rPr>
        <w:t xml:space="preserve"> </w:t>
      </w:r>
      <w:r w:rsidRPr="00A2269A" w:rsidR="000F48F3">
        <w:rPr>
          <w:lang w:val="en-GB"/>
        </w:rPr>
        <w:t xml:space="preserve">with </w:t>
      </w:r>
      <w:r w:rsidRPr="00A2269A" w:rsidR="008463E6">
        <w:rPr>
          <w:lang w:val="en-GB"/>
        </w:rPr>
        <w:t xml:space="preserve">the Supreme Court, </w:t>
      </w:r>
      <w:r w:rsidRPr="00A2269A" w:rsidR="00CE1AE7">
        <w:rPr>
          <w:lang w:val="en-GB"/>
        </w:rPr>
        <w:t>raising similar</w:t>
      </w:r>
      <w:r w:rsidRPr="00A2269A" w:rsidR="001406B0">
        <w:rPr>
          <w:lang w:val="en-GB"/>
        </w:rPr>
        <w:t xml:space="preserve"> arguments as those submitted to the Court </w:t>
      </w:r>
      <w:r w:rsidRPr="00A2269A" w:rsidR="00A90A3B">
        <w:rPr>
          <w:lang w:val="en-GB"/>
        </w:rPr>
        <w:t xml:space="preserve">(see paragraph </w:t>
      </w:r>
      <w:r w:rsidRPr="00A2269A" w:rsidR="00B63815">
        <w:rPr>
          <w:noProof/>
        </w:rPr>
        <w:t>32</w:t>
      </w:r>
      <w:r w:rsidRPr="00A2269A" w:rsidR="00A90A3B">
        <w:rPr>
          <w:lang w:val="en-GB"/>
        </w:rPr>
        <w:t xml:space="preserve"> below) </w:t>
      </w:r>
      <w:r w:rsidRPr="00A2269A" w:rsidR="001406B0">
        <w:rPr>
          <w:lang w:val="en-GB"/>
        </w:rPr>
        <w:t xml:space="preserve">and referring to the </w:t>
      </w:r>
      <w:r w:rsidRPr="00A2269A" w:rsidR="008463E6">
        <w:rPr>
          <w:lang w:val="en-GB"/>
        </w:rPr>
        <w:t>Constitutional Court</w:t>
      </w:r>
      <w:r w:rsidRPr="00A2269A" w:rsidR="00A2269A">
        <w:rPr>
          <w:lang w:val="en-GB"/>
        </w:rPr>
        <w:t>’</w:t>
      </w:r>
      <w:r w:rsidRPr="00A2269A" w:rsidR="001406B0">
        <w:rPr>
          <w:lang w:val="en-GB"/>
        </w:rPr>
        <w:t>s decision of</w:t>
      </w:r>
      <w:r w:rsidRPr="00A2269A" w:rsidR="00B900C3">
        <w:rPr>
          <w:lang w:val="en-GB"/>
        </w:rPr>
        <w:t xml:space="preserve"> </w:t>
      </w:r>
      <w:r w:rsidRPr="00A2269A" w:rsidR="001406B0">
        <w:t xml:space="preserve">11 October 2006 </w:t>
      </w:r>
      <w:r w:rsidRPr="00A2269A" w:rsidR="00B900C3">
        <w:rPr>
          <w:lang w:val="en-GB"/>
        </w:rPr>
        <w:t xml:space="preserve">(see paragraph </w:t>
      </w:r>
      <w:r w:rsidRPr="00A2269A" w:rsidR="00B63815">
        <w:rPr>
          <w:noProof/>
        </w:rPr>
        <w:t>28</w:t>
      </w:r>
      <w:r w:rsidRPr="00A2269A" w:rsidR="00B900C3">
        <w:rPr>
          <w:lang w:val="en-GB"/>
        </w:rPr>
        <w:t xml:space="preserve"> below)</w:t>
      </w:r>
      <w:r w:rsidRPr="00A2269A" w:rsidR="008463E6">
        <w:rPr>
          <w:lang w:val="en-GB"/>
        </w:rPr>
        <w:t>.</w:t>
      </w:r>
    </w:p>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19</w:t>
      </w:r>
      <w:r w:rsidRPr="00A2269A">
        <w:rPr>
          <w:lang w:val="en-GB"/>
        </w:rPr>
        <w:fldChar w:fldCharType="end"/>
      </w:r>
      <w:r w:rsidRPr="00A2269A">
        <w:rPr>
          <w:lang w:val="en-GB"/>
        </w:rPr>
        <w:t>.  </w:t>
      </w:r>
      <w:r w:rsidRPr="00A2269A" w:rsidR="008463E6">
        <w:rPr>
          <w:lang w:val="en-GB"/>
        </w:rPr>
        <w:t>On 6 January and 1 September 2011 respectively, the Supreme Court dismissed the applicants</w:t>
      </w:r>
      <w:r w:rsidRPr="00A2269A" w:rsidR="00A2269A">
        <w:rPr>
          <w:lang w:val="en-GB"/>
        </w:rPr>
        <w:t>’</w:t>
      </w:r>
      <w:r w:rsidRPr="00A2269A" w:rsidR="008463E6">
        <w:rPr>
          <w:lang w:val="en-GB"/>
        </w:rPr>
        <w:t xml:space="preserve"> </w:t>
      </w:r>
      <w:r w:rsidRPr="00A2269A" w:rsidR="000F48F3">
        <w:rPr>
          <w:lang w:val="en-GB"/>
        </w:rPr>
        <w:t xml:space="preserve">applications </w:t>
      </w:r>
      <w:r w:rsidRPr="00A2269A" w:rsidR="008463E6">
        <w:rPr>
          <w:lang w:val="en-GB"/>
        </w:rPr>
        <w:t xml:space="preserve">for the protection of legality, holding that only </w:t>
      </w:r>
      <w:r w:rsidRPr="00A2269A" w:rsidR="001265B2">
        <w:rPr>
          <w:lang w:val="en-GB"/>
        </w:rPr>
        <w:t xml:space="preserve">the </w:t>
      </w:r>
      <w:r w:rsidRPr="00A2269A" w:rsidR="008463E6">
        <w:rPr>
          <w:lang w:val="en-GB"/>
        </w:rPr>
        <w:t>operative part of the judgment</w:t>
      </w:r>
      <w:r w:rsidRPr="00A2269A" w:rsidR="00DC3CA6">
        <w:rPr>
          <w:lang w:val="en-GB"/>
        </w:rPr>
        <w:t xml:space="preserve">, namely the </w:t>
      </w:r>
      <w:r w:rsidRPr="00A2269A" w:rsidR="00764C27">
        <w:t>verdic</w:t>
      </w:r>
      <w:r w:rsidRPr="00A2269A" w:rsidR="00371561">
        <w:t>t</w:t>
      </w:r>
      <w:r w:rsidRPr="00A2269A" w:rsidR="00DC3CA6">
        <w:rPr>
          <w:lang w:val="en-GB"/>
        </w:rPr>
        <w:t xml:space="preserve">, </w:t>
      </w:r>
      <w:r w:rsidRPr="00A2269A" w:rsidR="001D3361">
        <w:rPr>
          <w:lang w:val="en-GB"/>
        </w:rPr>
        <w:t>could have</w:t>
      </w:r>
      <w:r w:rsidRPr="00A2269A" w:rsidR="008463E6">
        <w:rPr>
          <w:lang w:val="en-GB"/>
        </w:rPr>
        <w:t xml:space="preserve"> interfered with the rights of the parties, while the purpose of </w:t>
      </w:r>
      <w:r w:rsidRPr="00A2269A" w:rsidR="00B531DE">
        <w:rPr>
          <w:lang w:val="en-GB"/>
        </w:rPr>
        <w:t>written grounds</w:t>
      </w:r>
      <w:r w:rsidRPr="00A2269A" w:rsidR="008D3D90">
        <w:rPr>
          <w:lang w:val="en-GB"/>
        </w:rPr>
        <w:t xml:space="preserve"> </w:t>
      </w:r>
      <w:r w:rsidRPr="00A2269A" w:rsidR="008463E6">
        <w:rPr>
          <w:lang w:val="en-GB"/>
        </w:rPr>
        <w:t xml:space="preserve">was to enable a decision to be reviewed by higher instances. As a rule, the written grounds of </w:t>
      </w:r>
      <w:r w:rsidRPr="00A2269A" w:rsidR="000F48F3">
        <w:rPr>
          <w:lang w:val="en-GB"/>
        </w:rPr>
        <w:t>a</w:t>
      </w:r>
      <w:r w:rsidRPr="00A2269A" w:rsidR="008463E6">
        <w:rPr>
          <w:lang w:val="en-GB"/>
        </w:rPr>
        <w:t xml:space="preserve"> judgment were given by the judge who </w:t>
      </w:r>
      <w:r w:rsidRPr="00A2269A" w:rsidR="000F48F3">
        <w:rPr>
          <w:lang w:val="en-GB"/>
        </w:rPr>
        <w:t xml:space="preserve">had </w:t>
      </w:r>
      <w:r w:rsidRPr="00A2269A" w:rsidR="008463E6">
        <w:rPr>
          <w:lang w:val="en-GB"/>
        </w:rPr>
        <w:t xml:space="preserve">conducted the trial and pronounced the verdict. However, in certain situations, such as </w:t>
      </w:r>
      <w:r w:rsidRPr="00A2269A" w:rsidR="000F48F3">
        <w:rPr>
          <w:lang w:val="en-GB"/>
        </w:rPr>
        <w:t xml:space="preserve">when a </w:t>
      </w:r>
      <w:r w:rsidRPr="00A2269A" w:rsidR="008463E6">
        <w:rPr>
          <w:lang w:val="en-GB"/>
        </w:rPr>
        <w:t>judge</w:t>
      </w:r>
      <w:r w:rsidRPr="00A2269A" w:rsidR="000F48F3">
        <w:rPr>
          <w:lang w:val="en-GB"/>
        </w:rPr>
        <w:t xml:space="preserve"> was absent for a </w:t>
      </w:r>
      <w:r w:rsidRPr="00A2269A" w:rsidR="008463E6">
        <w:rPr>
          <w:lang w:val="en-GB"/>
        </w:rPr>
        <w:t>long</w:t>
      </w:r>
      <w:r w:rsidRPr="00A2269A" w:rsidR="000F48F3">
        <w:rPr>
          <w:lang w:val="en-GB"/>
        </w:rPr>
        <w:t xml:space="preserve"> time </w:t>
      </w:r>
      <w:r w:rsidRPr="00A2269A" w:rsidR="008463E6">
        <w:rPr>
          <w:lang w:val="en-GB"/>
        </w:rPr>
        <w:t>or d</w:t>
      </w:r>
      <w:r w:rsidRPr="00A2269A" w:rsidR="000F48F3">
        <w:rPr>
          <w:lang w:val="en-GB"/>
        </w:rPr>
        <w:t>ied</w:t>
      </w:r>
      <w:r w:rsidRPr="00A2269A" w:rsidR="008463E6">
        <w:rPr>
          <w:lang w:val="en-GB"/>
        </w:rPr>
        <w:t xml:space="preserve">, the law had to be interpreted as permitting another judge to give </w:t>
      </w:r>
      <w:r w:rsidRPr="00A2269A" w:rsidR="008D3D90">
        <w:rPr>
          <w:lang w:val="en-GB"/>
        </w:rPr>
        <w:t xml:space="preserve">the </w:t>
      </w:r>
      <w:r w:rsidRPr="00A2269A" w:rsidR="008463E6">
        <w:rPr>
          <w:lang w:val="en-GB"/>
        </w:rPr>
        <w:t>written grounds. In such cases, the judge who wrote the judgment based it on logical reasoning and the evidence</w:t>
      </w:r>
      <w:r w:rsidRPr="00A2269A" w:rsidR="001265B2">
        <w:rPr>
          <w:lang w:val="en-GB"/>
        </w:rPr>
        <w:t xml:space="preserve"> in the file</w:t>
      </w:r>
      <w:r w:rsidRPr="00A2269A" w:rsidR="008463E6">
        <w:rPr>
          <w:lang w:val="en-GB"/>
        </w:rPr>
        <w:t xml:space="preserve">. </w:t>
      </w:r>
      <w:r w:rsidRPr="00A2269A" w:rsidR="001265B2">
        <w:rPr>
          <w:lang w:val="en-GB"/>
        </w:rPr>
        <w:t>The Supreme Court found that while</w:t>
      </w:r>
      <w:r w:rsidRPr="00A2269A" w:rsidR="008463E6">
        <w:rPr>
          <w:lang w:val="en-GB"/>
        </w:rPr>
        <w:t xml:space="preserve"> the principle of immediacy required that </w:t>
      </w:r>
      <w:r w:rsidRPr="00A2269A" w:rsidR="000F48F3">
        <w:rPr>
          <w:lang w:val="en-GB"/>
        </w:rPr>
        <w:t>a</w:t>
      </w:r>
      <w:r w:rsidRPr="00A2269A" w:rsidR="008463E6">
        <w:rPr>
          <w:lang w:val="en-GB"/>
        </w:rPr>
        <w:t xml:space="preserve"> verdict </w:t>
      </w:r>
      <w:r w:rsidRPr="00A2269A" w:rsidR="000F48F3">
        <w:rPr>
          <w:lang w:val="en-GB"/>
        </w:rPr>
        <w:t xml:space="preserve">should be </w:t>
      </w:r>
      <w:r w:rsidRPr="00A2269A" w:rsidR="008463E6">
        <w:rPr>
          <w:lang w:val="en-GB"/>
        </w:rPr>
        <w:t xml:space="preserve">given by </w:t>
      </w:r>
      <w:r w:rsidRPr="00A2269A" w:rsidR="008D3D90">
        <w:rPr>
          <w:lang w:val="en-GB"/>
        </w:rPr>
        <w:t xml:space="preserve">the </w:t>
      </w:r>
      <w:r w:rsidRPr="00A2269A" w:rsidR="008463E6">
        <w:rPr>
          <w:lang w:val="en-GB"/>
        </w:rPr>
        <w:t xml:space="preserve">judge who </w:t>
      </w:r>
      <w:r w:rsidRPr="00A2269A" w:rsidR="000F48F3">
        <w:rPr>
          <w:lang w:val="en-GB"/>
        </w:rPr>
        <w:t xml:space="preserve">had </w:t>
      </w:r>
      <w:r w:rsidRPr="00A2269A" w:rsidR="008463E6">
        <w:rPr>
          <w:lang w:val="en-GB"/>
        </w:rPr>
        <w:t xml:space="preserve">participated </w:t>
      </w:r>
      <w:r w:rsidRPr="00A2269A" w:rsidR="000F48F3">
        <w:rPr>
          <w:lang w:val="en-GB"/>
        </w:rPr>
        <w:t xml:space="preserve">in </w:t>
      </w:r>
      <w:r w:rsidRPr="00A2269A" w:rsidR="008463E6">
        <w:rPr>
          <w:lang w:val="en-GB"/>
        </w:rPr>
        <w:t>the trial</w:t>
      </w:r>
      <w:r w:rsidRPr="00A2269A" w:rsidR="001265B2">
        <w:rPr>
          <w:lang w:val="en-GB"/>
        </w:rPr>
        <w:t xml:space="preserve">, </w:t>
      </w:r>
      <w:r w:rsidRPr="00A2269A" w:rsidR="008463E6">
        <w:rPr>
          <w:lang w:val="en-GB"/>
        </w:rPr>
        <w:t>the act of writing a judgment, w</w:t>
      </w:r>
      <w:r w:rsidRPr="00A2269A" w:rsidR="001265B2">
        <w:rPr>
          <w:lang w:val="en-GB"/>
        </w:rPr>
        <w:t>as not</w:t>
      </w:r>
      <w:r w:rsidRPr="00A2269A" w:rsidR="008463E6">
        <w:rPr>
          <w:lang w:val="en-GB"/>
        </w:rPr>
        <w:t>, strict</w:t>
      </w:r>
      <w:r w:rsidRPr="00A2269A" w:rsidR="000F48F3">
        <w:rPr>
          <w:lang w:val="en-GB"/>
        </w:rPr>
        <w:t>ly speaking</w:t>
      </w:r>
      <w:r w:rsidRPr="00A2269A" w:rsidR="008463E6">
        <w:rPr>
          <w:lang w:val="en-GB"/>
        </w:rPr>
        <w:t>, part of the trial</w:t>
      </w:r>
      <w:r w:rsidRPr="00A2269A" w:rsidR="001265B2">
        <w:rPr>
          <w:lang w:val="en-GB"/>
        </w:rPr>
        <w:t xml:space="preserve">. </w:t>
      </w:r>
      <w:r w:rsidRPr="00A2269A" w:rsidR="008463E6">
        <w:rPr>
          <w:lang w:val="en-GB"/>
        </w:rPr>
        <w:t xml:space="preserve">Moreover, if the </w:t>
      </w:r>
      <w:r w:rsidRPr="00A2269A" w:rsidR="00B531DE">
        <w:rPr>
          <w:lang w:val="en-GB"/>
        </w:rPr>
        <w:t>written grounds for</w:t>
      </w:r>
      <w:r w:rsidRPr="00A2269A" w:rsidR="008463E6">
        <w:rPr>
          <w:lang w:val="en-GB"/>
        </w:rPr>
        <w:t xml:space="preserve"> </w:t>
      </w:r>
      <w:r w:rsidRPr="00A2269A" w:rsidR="000F48F3">
        <w:rPr>
          <w:lang w:val="en-GB"/>
        </w:rPr>
        <w:t>a</w:t>
      </w:r>
      <w:r w:rsidRPr="00A2269A" w:rsidR="008463E6">
        <w:rPr>
          <w:lang w:val="en-GB"/>
        </w:rPr>
        <w:t xml:space="preserve"> judgment w</w:t>
      </w:r>
      <w:r w:rsidRPr="00A2269A" w:rsidR="00B531DE">
        <w:rPr>
          <w:lang w:val="en-GB"/>
        </w:rPr>
        <w:t>ere</w:t>
      </w:r>
      <w:r w:rsidRPr="00A2269A" w:rsidR="008463E6">
        <w:rPr>
          <w:lang w:val="en-GB"/>
        </w:rPr>
        <w:t xml:space="preserve"> not convincing, </w:t>
      </w:r>
      <w:r w:rsidRPr="00A2269A" w:rsidR="000F48F3">
        <w:rPr>
          <w:lang w:val="en-GB"/>
        </w:rPr>
        <w:t>a</w:t>
      </w:r>
      <w:r w:rsidRPr="00A2269A" w:rsidR="008463E6">
        <w:rPr>
          <w:lang w:val="en-GB"/>
        </w:rPr>
        <w:t xml:space="preserve"> defendant had </w:t>
      </w:r>
      <w:r w:rsidRPr="00A2269A" w:rsidR="008D3D90">
        <w:rPr>
          <w:lang w:val="en-GB"/>
        </w:rPr>
        <w:t xml:space="preserve">a </w:t>
      </w:r>
      <w:r w:rsidRPr="00A2269A" w:rsidR="008463E6">
        <w:rPr>
          <w:lang w:val="en-GB"/>
        </w:rPr>
        <w:t>better chance of succeeding with his or her appeal. Having regard to th</w:t>
      </w:r>
      <w:r w:rsidRPr="00A2269A" w:rsidR="000F48F3">
        <w:rPr>
          <w:lang w:val="en-GB"/>
        </w:rPr>
        <w:t>o</w:t>
      </w:r>
      <w:r w:rsidRPr="00A2269A" w:rsidR="008463E6">
        <w:rPr>
          <w:lang w:val="en-GB"/>
        </w:rPr>
        <w:t>se considerations, the Supreme Court took the view that the applicants</w:t>
      </w:r>
      <w:r w:rsidRPr="00A2269A" w:rsidR="00A2269A">
        <w:rPr>
          <w:lang w:val="en-GB"/>
        </w:rPr>
        <w:t>’</w:t>
      </w:r>
      <w:r w:rsidRPr="00A2269A" w:rsidR="008463E6">
        <w:rPr>
          <w:lang w:val="en-GB"/>
        </w:rPr>
        <w:t xml:space="preserve"> rights of defence had not been violated.</w:t>
      </w:r>
    </w:p>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20</w:t>
      </w:r>
      <w:r w:rsidRPr="00A2269A">
        <w:rPr>
          <w:lang w:val="en-GB"/>
        </w:rPr>
        <w:fldChar w:fldCharType="end"/>
      </w:r>
      <w:r w:rsidRPr="00A2269A">
        <w:rPr>
          <w:lang w:val="en-GB"/>
        </w:rPr>
        <w:t>.  </w:t>
      </w:r>
      <w:r w:rsidRPr="00A2269A" w:rsidR="008463E6">
        <w:rPr>
          <w:lang w:val="en-GB"/>
        </w:rPr>
        <w:t xml:space="preserve">On 1 April and 2 December 2011 respectively, the applicants lodged constitutional complaints, reiterating the arguments they had </w:t>
      </w:r>
      <w:r w:rsidRPr="00A2269A" w:rsidR="000F48F3">
        <w:rPr>
          <w:lang w:val="en-GB"/>
        </w:rPr>
        <w:t xml:space="preserve">made </w:t>
      </w:r>
      <w:r w:rsidRPr="00A2269A" w:rsidR="008463E6">
        <w:rPr>
          <w:lang w:val="en-GB"/>
        </w:rPr>
        <w:t xml:space="preserve">before the </w:t>
      </w:r>
      <w:r w:rsidRPr="00A2269A" w:rsidR="001265B2">
        <w:rPr>
          <w:lang w:val="en-GB"/>
        </w:rPr>
        <w:t>lower</w:t>
      </w:r>
      <w:r w:rsidRPr="00A2269A" w:rsidR="008463E6">
        <w:rPr>
          <w:lang w:val="en-GB"/>
        </w:rPr>
        <w:t xml:space="preserve"> courts.</w:t>
      </w:r>
    </w:p>
    <w:p w:rsidRPr="00A2269A" w:rsidR="00F83488" w:rsidP="00A2269A" w:rsidRDefault="00D46521">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21</w:t>
      </w:r>
      <w:r w:rsidRPr="00A2269A">
        <w:rPr>
          <w:lang w:val="en-GB"/>
        </w:rPr>
        <w:fldChar w:fldCharType="end"/>
      </w:r>
      <w:r w:rsidRPr="00A2269A">
        <w:rPr>
          <w:lang w:val="en-GB"/>
        </w:rPr>
        <w:t>.  </w:t>
      </w:r>
      <w:r w:rsidRPr="00A2269A" w:rsidR="008463E6">
        <w:rPr>
          <w:lang w:val="en-GB"/>
        </w:rPr>
        <w:t xml:space="preserve">On 3 April 2012 the Constitutional Court </w:t>
      </w:r>
      <w:r w:rsidRPr="00A2269A" w:rsidR="00A90A3B">
        <w:rPr>
          <w:lang w:val="en-GB"/>
        </w:rPr>
        <w:t xml:space="preserve">refused to admit </w:t>
      </w:r>
      <w:r w:rsidRPr="00A2269A" w:rsidR="008463E6">
        <w:rPr>
          <w:lang w:val="en-GB"/>
        </w:rPr>
        <w:t>the applicants</w:t>
      </w:r>
      <w:r w:rsidRPr="00A2269A" w:rsidR="00A2269A">
        <w:rPr>
          <w:lang w:val="en-GB"/>
        </w:rPr>
        <w:t>’</w:t>
      </w:r>
      <w:r w:rsidRPr="00A2269A" w:rsidR="008463E6">
        <w:rPr>
          <w:lang w:val="en-GB"/>
        </w:rPr>
        <w:t xml:space="preserve"> constitutional complaints, holding that their cases </w:t>
      </w:r>
      <w:r w:rsidRPr="00A2269A" w:rsidR="0049472B">
        <w:rPr>
          <w:lang w:val="en-GB"/>
        </w:rPr>
        <w:t xml:space="preserve">concerned </w:t>
      </w:r>
      <w:r w:rsidRPr="00A2269A" w:rsidR="008463E6">
        <w:rPr>
          <w:lang w:val="en-GB"/>
        </w:rPr>
        <w:t>neither a violation of human rights having serious consequences for them nor an important constitutional question.</w:t>
      </w:r>
    </w:p>
    <w:p w:rsidRPr="00A2269A" w:rsidR="00014566" w:rsidP="00A2269A" w:rsidRDefault="00014566">
      <w:pPr>
        <w:pStyle w:val="ECHRHeading1"/>
        <w:rPr>
          <w:lang w:val="en-GB"/>
        </w:rPr>
      </w:pPr>
      <w:r w:rsidRPr="00A2269A">
        <w:rPr>
          <w:lang w:val="en-GB"/>
        </w:rPr>
        <w:t>II.  RELEVANT DOMESTIC LAW AND PRACTICE</w:t>
      </w:r>
    </w:p>
    <w:p w:rsidRPr="00A2269A" w:rsidR="00E16D50" w:rsidP="00A2269A" w:rsidRDefault="00E16D50">
      <w:pPr>
        <w:pStyle w:val="ECHRHeading2"/>
        <w:rPr>
          <w:lang w:val="en-GB"/>
        </w:rPr>
      </w:pPr>
      <w:r w:rsidRPr="00A2269A">
        <w:rPr>
          <w:lang w:val="en-GB"/>
        </w:rPr>
        <w:t>A.  The Criminal Procedure Act</w:t>
      </w:r>
    </w:p>
    <w:p w:rsidRPr="00A2269A" w:rsidR="00F83488" w:rsidP="00A2269A" w:rsidRDefault="00881803">
      <w:pPr>
        <w:pStyle w:val="ECHRPara"/>
      </w:pPr>
      <w:r>
        <w:fldChar w:fldCharType="begin"/>
      </w:r>
      <w:r>
        <w:instrText xml:space="preserve"> SEQ level0 \*arabic </w:instrText>
      </w:r>
      <w:r>
        <w:fldChar w:fldCharType="separate"/>
      </w:r>
      <w:r w:rsidRPr="00A2269A" w:rsidR="00A2269A">
        <w:rPr>
          <w:noProof/>
        </w:rPr>
        <w:t>22</w:t>
      </w:r>
      <w:r>
        <w:rPr>
          <w:noProof/>
        </w:rPr>
        <w:fldChar w:fldCharType="end"/>
      </w:r>
      <w:r w:rsidRPr="00A2269A" w:rsidR="001D3361">
        <w:t>.  </w:t>
      </w:r>
      <w:r w:rsidRPr="00A2269A" w:rsidR="00334773">
        <w:t xml:space="preserve">In accordance with </w:t>
      </w:r>
      <w:r w:rsidRPr="00A2269A" w:rsidR="00E16D50">
        <w:t>section 360 of the Criminal Procedure Act</w:t>
      </w:r>
      <w:r w:rsidRPr="00A2269A" w:rsidR="009262D8">
        <w:t xml:space="preserve"> (Official Gazette no. 63</w:t>
      </w:r>
      <w:r w:rsidRPr="00A2269A" w:rsidR="002F6BF0">
        <w:rPr>
          <w:rFonts w:cstheme="minorHAnsi"/>
        </w:rPr>
        <w:t>⁄</w:t>
      </w:r>
      <w:r w:rsidRPr="00A2269A" w:rsidR="009262D8">
        <w:t>94 with the relevant amendments)</w:t>
      </w:r>
      <w:r w:rsidRPr="00A2269A" w:rsidR="00E16D50">
        <w:t xml:space="preserve">, </w:t>
      </w:r>
      <w:r w:rsidRPr="00A2269A" w:rsidR="0049472B">
        <w:t>a</w:t>
      </w:r>
      <w:r w:rsidRPr="00A2269A" w:rsidR="00E16D50">
        <w:t xml:space="preserve"> presiding judge pronounces the </w:t>
      </w:r>
      <w:r w:rsidRPr="00A2269A" w:rsidR="00564FD1">
        <w:t xml:space="preserve">verdict </w:t>
      </w:r>
      <w:r w:rsidRPr="00A2269A" w:rsidR="00E16D50">
        <w:t xml:space="preserve">immediately after the court has passed it. If, however, the court is unable to pass </w:t>
      </w:r>
      <w:r w:rsidRPr="00A2269A" w:rsidR="001E7B11">
        <w:t>a verdict</w:t>
      </w:r>
      <w:r w:rsidRPr="00A2269A" w:rsidR="00E16D50">
        <w:t xml:space="preserve"> on the day of the trial, pronouncement can be postponed by a maximum of three days. The </w:t>
      </w:r>
      <w:r w:rsidRPr="00A2269A" w:rsidR="001E7B11">
        <w:t xml:space="preserve">verdict </w:t>
      </w:r>
      <w:r w:rsidRPr="00A2269A" w:rsidR="00E16D50">
        <w:t xml:space="preserve">is pronounced by reading </w:t>
      </w:r>
      <w:r w:rsidRPr="00A2269A" w:rsidR="001E7B11">
        <w:t xml:space="preserve">the </w:t>
      </w:r>
      <w:r w:rsidRPr="00A2269A" w:rsidR="00E16D50">
        <w:t xml:space="preserve">operative part </w:t>
      </w:r>
      <w:r w:rsidRPr="00A2269A" w:rsidR="0049472B">
        <w:t xml:space="preserve">of the judgment </w:t>
      </w:r>
      <w:r w:rsidRPr="00A2269A" w:rsidR="00E16D50">
        <w:t xml:space="preserve">in open court and in the presence of the parties and counsel, whereupon the presiding judge gives a brief </w:t>
      </w:r>
      <w:r w:rsidRPr="00A2269A" w:rsidR="00334773">
        <w:t xml:space="preserve">statement about </w:t>
      </w:r>
      <w:r w:rsidRPr="00A2269A" w:rsidR="00E16D50">
        <w:t xml:space="preserve">the grounds </w:t>
      </w:r>
      <w:r w:rsidRPr="00A2269A" w:rsidR="00880B07">
        <w:t xml:space="preserve">for </w:t>
      </w:r>
      <w:r w:rsidRPr="00A2269A" w:rsidR="00E16D50">
        <w:t xml:space="preserve">the </w:t>
      </w:r>
      <w:r w:rsidRPr="00A2269A" w:rsidR="001E7B11">
        <w:t>verdict</w:t>
      </w:r>
      <w:r w:rsidRPr="00A2269A" w:rsidR="00E16D50">
        <w:t>.</w:t>
      </w:r>
    </w:p>
    <w:p w:rsidRPr="00A2269A" w:rsidR="001E7B11" w:rsidP="00A2269A" w:rsidRDefault="00881803">
      <w:pPr>
        <w:pStyle w:val="ECHRPara"/>
        <w:rPr>
          <w:rStyle w:val="ECHRParaChar"/>
        </w:rPr>
      </w:pPr>
      <w:r>
        <w:fldChar w:fldCharType="begin"/>
      </w:r>
      <w:r>
        <w:instrText xml:space="preserve"> SEQ level0 \*arabic </w:instrText>
      </w:r>
      <w:r>
        <w:fldChar w:fldCharType="separate"/>
      </w:r>
      <w:r w:rsidRPr="00A2269A" w:rsidR="00A2269A">
        <w:rPr>
          <w:noProof/>
        </w:rPr>
        <w:t>23</w:t>
      </w:r>
      <w:r>
        <w:rPr>
          <w:noProof/>
        </w:rPr>
        <w:fldChar w:fldCharType="end"/>
      </w:r>
      <w:r w:rsidRPr="00A2269A" w:rsidR="00E16D50">
        <w:t>.  </w:t>
      </w:r>
      <w:r w:rsidRPr="00A2269A" w:rsidR="00334773">
        <w:t xml:space="preserve">In accordance with </w:t>
      </w:r>
      <w:r w:rsidRPr="00A2269A" w:rsidR="00880B07">
        <w:rPr>
          <w:rStyle w:val="ECHRParaChar"/>
        </w:rPr>
        <w:t>section 368 of the Criminal Procedure Act</w:t>
      </w:r>
      <w:r w:rsidRPr="00A2269A" w:rsidR="00334773">
        <w:rPr>
          <w:rStyle w:val="ECHRParaChar"/>
        </w:rPr>
        <w:t>,</w:t>
      </w:r>
      <w:r w:rsidRPr="00A2269A" w:rsidR="00880B07">
        <w:rPr>
          <w:rStyle w:val="ECHRParaChar"/>
        </w:rPr>
        <w:t xml:space="preserve"> the written grounds for </w:t>
      </w:r>
      <w:r w:rsidRPr="00A2269A" w:rsidR="0049472B">
        <w:rPr>
          <w:rStyle w:val="ECHRParaChar"/>
        </w:rPr>
        <w:t>a</w:t>
      </w:r>
      <w:r w:rsidRPr="00A2269A" w:rsidR="00880B07">
        <w:rPr>
          <w:rStyle w:val="ECHRParaChar"/>
        </w:rPr>
        <w:t xml:space="preserve"> judgment must be provided when </w:t>
      </w:r>
      <w:r w:rsidRPr="00A2269A" w:rsidR="00334773">
        <w:rPr>
          <w:rStyle w:val="ECHRParaChar"/>
        </w:rPr>
        <w:t>a</w:t>
      </w:r>
      <w:r w:rsidRPr="00A2269A" w:rsidR="00880B07">
        <w:rPr>
          <w:rStyle w:val="ECHRParaChar"/>
        </w:rPr>
        <w:t xml:space="preserve"> term of imprisonment is imposed or</w:t>
      </w:r>
      <w:r w:rsidRPr="00A2269A" w:rsidR="00334773">
        <w:rPr>
          <w:rStyle w:val="ECHRParaChar"/>
        </w:rPr>
        <w:t xml:space="preserve"> </w:t>
      </w:r>
      <w:r w:rsidRPr="00A2269A" w:rsidR="00880B07">
        <w:rPr>
          <w:rStyle w:val="ECHRParaChar"/>
        </w:rPr>
        <w:t xml:space="preserve">when those entitled to appeal against the judgment give notice of appeal within the given deadline. </w:t>
      </w:r>
      <w:r w:rsidRPr="00A2269A" w:rsidR="00E16D50">
        <w:t xml:space="preserve">Section 363 of the Act provides that a judgment is drawn up in writing within </w:t>
      </w:r>
      <w:r w:rsidRPr="00A2269A" w:rsidR="00880B07">
        <w:t>thirty</w:t>
      </w:r>
      <w:r w:rsidRPr="00A2269A" w:rsidR="00E16D50">
        <w:t xml:space="preserve"> days of its pronouncement</w:t>
      </w:r>
      <w:r w:rsidRPr="00A2269A" w:rsidR="0049472B">
        <w:t>,</w:t>
      </w:r>
      <w:r w:rsidRPr="00A2269A" w:rsidR="00E16D50">
        <w:t xml:space="preserve"> </w:t>
      </w:r>
      <w:r w:rsidRPr="00A2269A" w:rsidR="00880B07">
        <w:t xml:space="preserve">unless the </w:t>
      </w:r>
      <w:r w:rsidRPr="00A2269A" w:rsidR="00E16D50">
        <w:t>defendant is in detention</w:t>
      </w:r>
      <w:r w:rsidRPr="00A2269A" w:rsidR="00880B07">
        <w:t xml:space="preserve">. </w:t>
      </w:r>
      <w:r w:rsidRPr="00A2269A" w:rsidR="00E16D50">
        <w:t>If a judgment is not drawn up within that time, the presiding judge informs the president of the court of the reasons</w:t>
      </w:r>
      <w:r w:rsidRPr="00A2269A" w:rsidR="0049472B">
        <w:t xml:space="preserve"> for that delay</w:t>
      </w:r>
      <w:r w:rsidRPr="00A2269A" w:rsidR="00E16D50">
        <w:t xml:space="preserve">. The president of the court is then required to take the necessary steps </w:t>
      </w:r>
      <w:r w:rsidRPr="00A2269A" w:rsidR="0049472B">
        <w:t xml:space="preserve">to have </w:t>
      </w:r>
      <w:r w:rsidRPr="00A2269A" w:rsidR="00E16D50">
        <w:t xml:space="preserve">the judgment drawn up as soon as </w:t>
      </w:r>
      <w:r w:rsidRPr="00A2269A" w:rsidR="00E16D50">
        <w:rPr>
          <w:rStyle w:val="ECHRParaChar"/>
        </w:rPr>
        <w:t>possible</w:t>
      </w:r>
      <w:r w:rsidRPr="00A2269A" w:rsidR="00334773">
        <w:rPr>
          <w:rStyle w:val="ECHRParaChar"/>
        </w:rPr>
        <w:t>.</w:t>
      </w:r>
    </w:p>
    <w:p w:rsidRPr="00A2269A" w:rsidR="008463E6" w:rsidP="00A2269A" w:rsidRDefault="00E501B7">
      <w:pPr>
        <w:pStyle w:val="ECHRPara"/>
        <w:rPr>
          <w:rFonts w:cstheme="minorHAnsi"/>
          <w:szCs w:val="24"/>
        </w:rPr>
      </w:pPr>
      <w:r w:rsidRPr="00A2269A">
        <w:rPr>
          <w:rFonts w:cstheme="minorHAnsi"/>
          <w:szCs w:val="24"/>
        </w:rPr>
        <w:fldChar w:fldCharType="begin"/>
      </w:r>
      <w:r w:rsidRPr="00A2269A">
        <w:rPr>
          <w:rFonts w:cstheme="minorHAnsi"/>
          <w:szCs w:val="24"/>
        </w:rPr>
        <w:instrText xml:space="preserve"> SEQ level0 \*arabic </w:instrText>
      </w:r>
      <w:r w:rsidRPr="00A2269A">
        <w:rPr>
          <w:rFonts w:cstheme="minorHAnsi"/>
          <w:szCs w:val="24"/>
        </w:rPr>
        <w:fldChar w:fldCharType="separate"/>
      </w:r>
      <w:r w:rsidRPr="00A2269A" w:rsidR="00A2269A">
        <w:rPr>
          <w:rFonts w:cstheme="minorHAnsi"/>
          <w:noProof/>
          <w:szCs w:val="24"/>
        </w:rPr>
        <w:t>24</w:t>
      </w:r>
      <w:r w:rsidRPr="00A2269A">
        <w:rPr>
          <w:rFonts w:cstheme="minorHAnsi"/>
          <w:szCs w:val="24"/>
        </w:rPr>
        <w:fldChar w:fldCharType="end"/>
      </w:r>
      <w:r w:rsidRPr="00A2269A">
        <w:rPr>
          <w:rFonts w:cstheme="minorHAnsi"/>
          <w:szCs w:val="24"/>
        </w:rPr>
        <w:t>.  </w:t>
      </w:r>
      <w:r w:rsidRPr="00A2269A" w:rsidR="008463E6">
        <w:rPr>
          <w:rFonts w:cstheme="minorHAnsi"/>
          <w:szCs w:val="24"/>
        </w:rPr>
        <w:t xml:space="preserve">The relevant provision </w:t>
      </w:r>
      <w:r w:rsidRPr="00A2269A" w:rsidR="001E7B11">
        <w:rPr>
          <w:rFonts w:cstheme="minorHAnsi"/>
          <w:szCs w:val="24"/>
        </w:rPr>
        <w:t xml:space="preserve">concerning the content of </w:t>
      </w:r>
      <w:r w:rsidRPr="00A2269A" w:rsidR="00334773">
        <w:rPr>
          <w:rFonts w:cstheme="minorHAnsi"/>
          <w:szCs w:val="24"/>
        </w:rPr>
        <w:t>a</w:t>
      </w:r>
      <w:r w:rsidRPr="00A2269A" w:rsidR="00880B07">
        <w:rPr>
          <w:rFonts w:cstheme="minorHAnsi"/>
          <w:szCs w:val="24"/>
        </w:rPr>
        <w:t xml:space="preserve"> written</w:t>
      </w:r>
      <w:r w:rsidRPr="00A2269A" w:rsidR="001E7B11">
        <w:rPr>
          <w:rFonts w:cstheme="minorHAnsi"/>
          <w:szCs w:val="24"/>
        </w:rPr>
        <w:t xml:space="preserve"> judgment </w:t>
      </w:r>
      <w:r w:rsidRPr="00A2269A" w:rsidR="008463E6">
        <w:rPr>
          <w:rFonts w:cstheme="minorHAnsi"/>
          <w:szCs w:val="24"/>
        </w:rPr>
        <w:t>reads as follows:</w:t>
      </w:r>
    </w:p>
    <w:p w:rsidRPr="00A2269A" w:rsidR="008463E6" w:rsidP="00A2269A" w:rsidRDefault="008463E6">
      <w:pPr>
        <w:pStyle w:val="ECHRParaQuote"/>
        <w:jc w:val="center"/>
        <w:rPr>
          <w:rFonts w:eastAsiaTheme="minorHAnsi"/>
          <w:b/>
        </w:rPr>
      </w:pPr>
      <w:r w:rsidRPr="00A2269A">
        <w:rPr>
          <w:rFonts w:eastAsiaTheme="minorHAnsi"/>
          <w:b/>
        </w:rPr>
        <w:t>Section 364</w:t>
      </w:r>
    </w:p>
    <w:p w:rsidRPr="00A2269A" w:rsidR="008463E6" w:rsidP="00A2269A" w:rsidRDefault="008463E6">
      <w:pPr>
        <w:pStyle w:val="ECHRParaQuote"/>
        <w:rPr>
          <w:rFonts w:eastAsiaTheme="minorHAnsi"/>
        </w:rPr>
      </w:pPr>
      <w:r w:rsidRPr="00A2269A">
        <w:rPr>
          <w:rFonts w:eastAsiaTheme="minorHAnsi"/>
        </w:rPr>
        <w:t xml:space="preserve">“(1) </w:t>
      </w:r>
      <w:r w:rsidRPr="00A2269A" w:rsidR="00334773">
        <w:rPr>
          <w:rFonts w:eastAsiaTheme="minorHAnsi"/>
        </w:rPr>
        <w:t>A</w:t>
      </w:r>
      <w:r w:rsidRPr="00A2269A">
        <w:rPr>
          <w:rFonts w:eastAsiaTheme="minorHAnsi"/>
        </w:rPr>
        <w:t xml:space="preserve"> judgment </w:t>
      </w:r>
      <w:r w:rsidRPr="00A2269A" w:rsidR="00334773">
        <w:rPr>
          <w:rFonts w:eastAsiaTheme="minorHAnsi"/>
        </w:rPr>
        <w:t xml:space="preserve">set down </w:t>
      </w:r>
      <w:r w:rsidRPr="00A2269A">
        <w:rPr>
          <w:rFonts w:eastAsiaTheme="minorHAnsi"/>
        </w:rPr>
        <w:t xml:space="preserve">in writing shall be in full accord with the judgment </w:t>
      </w:r>
      <w:r w:rsidRPr="00A2269A" w:rsidR="00334773">
        <w:rPr>
          <w:rFonts w:eastAsiaTheme="minorHAnsi"/>
        </w:rPr>
        <w:t xml:space="preserve">that was </w:t>
      </w:r>
      <w:r w:rsidRPr="00A2269A" w:rsidR="0049472B">
        <w:rPr>
          <w:rFonts w:eastAsiaTheme="minorHAnsi"/>
        </w:rPr>
        <w:t>given orally</w:t>
      </w:r>
      <w:r w:rsidRPr="00A2269A">
        <w:rPr>
          <w:rFonts w:eastAsiaTheme="minorHAnsi"/>
        </w:rPr>
        <w:t xml:space="preserve">. It shall have an introductory part, </w:t>
      </w:r>
      <w:r w:rsidRPr="00A2269A" w:rsidR="00334773">
        <w:rPr>
          <w:rFonts w:eastAsiaTheme="minorHAnsi"/>
        </w:rPr>
        <w:t>an</w:t>
      </w:r>
      <w:r w:rsidRPr="00A2269A">
        <w:rPr>
          <w:rFonts w:eastAsiaTheme="minorHAnsi"/>
        </w:rPr>
        <w:t xml:space="preserve"> operative part and a statement of grounds.</w:t>
      </w:r>
    </w:p>
    <w:p w:rsidRPr="00A2269A" w:rsidR="008463E6" w:rsidP="00A2269A" w:rsidRDefault="000E5A99">
      <w:pPr>
        <w:pStyle w:val="ECHRParaQuote"/>
        <w:rPr>
          <w:rFonts w:eastAsiaTheme="minorHAnsi"/>
        </w:rPr>
      </w:pPr>
      <w:r w:rsidRPr="00A2269A">
        <w:rPr>
          <w:rFonts w:eastAsiaTheme="minorHAnsi"/>
        </w:rPr>
        <w:t>...</w:t>
      </w:r>
    </w:p>
    <w:p w:rsidRPr="00A2269A" w:rsidR="008463E6" w:rsidP="00A2269A" w:rsidRDefault="008463E6">
      <w:pPr>
        <w:pStyle w:val="ECHRParaQuote"/>
        <w:rPr>
          <w:rFonts w:eastAsiaTheme="minorHAnsi"/>
        </w:rPr>
      </w:pPr>
      <w:r w:rsidRPr="00A2269A">
        <w:rPr>
          <w:rFonts w:eastAsiaTheme="minorHAnsi"/>
        </w:rPr>
        <w:t>(6) In the statement of grounds the court shall indicate the reasons for each individual point of the judgment.</w:t>
      </w:r>
    </w:p>
    <w:p w:rsidRPr="00A2269A" w:rsidR="008463E6" w:rsidP="00A2269A" w:rsidRDefault="008463E6">
      <w:pPr>
        <w:pStyle w:val="ECHRParaQuote"/>
        <w:rPr>
          <w:rFonts w:eastAsiaTheme="minorHAnsi"/>
        </w:rPr>
      </w:pPr>
      <w:r w:rsidRPr="00A2269A">
        <w:rPr>
          <w:rFonts w:eastAsiaTheme="minorHAnsi"/>
        </w:rPr>
        <w:t>(7) The court shall indicate clearly and exhaustively which facts it consider</w:t>
      </w:r>
      <w:r w:rsidRPr="00A2269A" w:rsidR="00893571">
        <w:rPr>
          <w:rFonts w:eastAsiaTheme="minorHAnsi"/>
        </w:rPr>
        <w:t>ed</w:t>
      </w:r>
      <w:r w:rsidRPr="00A2269A">
        <w:rPr>
          <w:rFonts w:eastAsiaTheme="minorHAnsi"/>
        </w:rPr>
        <w:t xml:space="preserve"> prove</w:t>
      </w:r>
      <w:r w:rsidRPr="00A2269A" w:rsidR="00893571">
        <w:rPr>
          <w:rFonts w:eastAsiaTheme="minorHAnsi"/>
        </w:rPr>
        <w:t>n</w:t>
      </w:r>
      <w:r w:rsidRPr="00A2269A">
        <w:rPr>
          <w:rFonts w:eastAsiaTheme="minorHAnsi"/>
        </w:rPr>
        <w:t xml:space="preserve"> or not prove</w:t>
      </w:r>
      <w:r w:rsidRPr="00A2269A" w:rsidR="00893571">
        <w:rPr>
          <w:rFonts w:eastAsiaTheme="minorHAnsi"/>
        </w:rPr>
        <w:t>n</w:t>
      </w:r>
      <w:r w:rsidRPr="00A2269A">
        <w:rPr>
          <w:rFonts w:eastAsiaTheme="minorHAnsi"/>
        </w:rPr>
        <w:t xml:space="preserve">, as well as the reasons </w:t>
      </w:r>
      <w:r w:rsidRPr="00A2269A" w:rsidR="00893571">
        <w:rPr>
          <w:rFonts w:eastAsiaTheme="minorHAnsi"/>
        </w:rPr>
        <w:t>there</w:t>
      </w:r>
      <w:r w:rsidRPr="00A2269A" w:rsidR="00334773">
        <w:rPr>
          <w:rFonts w:eastAsiaTheme="minorHAnsi"/>
        </w:rPr>
        <w:t>o</w:t>
      </w:r>
      <w:r w:rsidRPr="00A2269A" w:rsidR="00893571">
        <w:rPr>
          <w:rFonts w:eastAsiaTheme="minorHAnsi"/>
        </w:rPr>
        <w:t>f.</w:t>
      </w:r>
      <w:r w:rsidRPr="00A2269A">
        <w:rPr>
          <w:rFonts w:eastAsiaTheme="minorHAnsi"/>
        </w:rPr>
        <w:t xml:space="preserve"> The court shall indicate in particular how it </w:t>
      </w:r>
      <w:r w:rsidRPr="00A2269A" w:rsidR="00334773">
        <w:rPr>
          <w:rFonts w:eastAsiaTheme="minorHAnsi"/>
        </w:rPr>
        <w:t xml:space="preserve">assessed </w:t>
      </w:r>
      <w:r w:rsidRPr="00A2269A">
        <w:rPr>
          <w:rFonts w:eastAsiaTheme="minorHAnsi"/>
        </w:rPr>
        <w:t xml:space="preserve">the credibility of conflicting evidence, its reasons for denying certain motions </w:t>
      </w:r>
      <w:r w:rsidRPr="00A2269A" w:rsidR="00334773">
        <w:rPr>
          <w:rFonts w:eastAsiaTheme="minorHAnsi"/>
        </w:rPr>
        <w:t xml:space="preserve">by </w:t>
      </w:r>
      <w:r w:rsidRPr="00A2269A">
        <w:rPr>
          <w:rFonts w:eastAsiaTheme="minorHAnsi"/>
        </w:rPr>
        <w:t xml:space="preserve">the parties, and the key considerations which </w:t>
      </w:r>
      <w:r w:rsidRPr="00A2269A" w:rsidR="00334773">
        <w:rPr>
          <w:rFonts w:eastAsiaTheme="minorHAnsi"/>
        </w:rPr>
        <w:t xml:space="preserve">guided </w:t>
      </w:r>
      <w:r w:rsidRPr="00A2269A">
        <w:rPr>
          <w:rFonts w:eastAsiaTheme="minorHAnsi"/>
        </w:rPr>
        <w:t xml:space="preserve">the court in settling points of law and, in particular, in establishing whether a criminal offence and criminal liability </w:t>
      </w:r>
      <w:r w:rsidRPr="00A2269A" w:rsidR="00334773">
        <w:rPr>
          <w:rFonts w:eastAsiaTheme="minorHAnsi"/>
        </w:rPr>
        <w:t xml:space="preserve">existed </w:t>
      </w:r>
      <w:r w:rsidRPr="00A2269A">
        <w:rPr>
          <w:rFonts w:eastAsiaTheme="minorHAnsi"/>
        </w:rPr>
        <w:t>o</w:t>
      </w:r>
      <w:r w:rsidRPr="00A2269A" w:rsidR="00334773">
        <w:rPr>
          <w:rFonts w:eastAsiaTheme="minorHAnsi"/>
        </w:rPr>
        <w:t xml:space="preserve">n </w:t>
      </w:r>
      <w:r w:rsidRPr="00A2269A">
        <w:rPr>
          <w:rFonts w:eastAsiaTheme="minorHAnsi"/>
        </w:rPr>
        <w:t xml:space="preserve">the </w:t>
      </w:r>
      <w:r w:rsidRPr="00A2269A" w:rsidR="00334773">
        <w:rPr>
          <w:rFonts w:eastAsiaTheme="minorHAnsi"/>
        </w:rPr>
        <w:t xml:space="preserve">part of the </w:t>
      </w:r>
      <w:r w:rsidRPr="00A2269A">
        <w:rPr>
          <w:rFonts w:eastAsiaTheme="minorHAnsi"/>
        </w:rPr>
        <w:t>defendant, as well as in applying specific provisions of criminal law to the defendant and his act.</w:t>
      </w:r>
    </w:p>
    <w:p w:rsidRPr="00A2269A" w:rsidR="008463E6" w:rsidP="00A2269A" w:rsidRDefault="008463E6">
      <w:pPr>
        <w:pStyle w:val="ECHRParaQuote"/>
        <w:rPr>
          <w:rFonts w:eastAsiaTheme="minorHAnsi"/>
        </w:rPr>
      </w:pPr>
      <w:r w:rsidRPr="00A2269A">
        <w:rPr>
          <w:rFonts w:eastAsiaTheme="minorHAnsi"/>
        </w:rPr>
        <w:t xml:space="preserve">(8) If </w:t>
      </w:r>
      <w:r w:rsidRPr="00A2269A" w:rsidR="00334773">
        <w:rPr>
          <w:rFonts w:eastAsiaTheme="minorHAnsi"/>
        </w:rPr>
        <w:t xml:space="preserve">a sentence for criminal liability has been imposed on </w:t>
      </w:r>
      <w:r w:rsidRPr="00A2269A">
        <w:rPr>
          <w:rFonts w:eastAsiaTheme="minorHAnsi"/>
        </w:rPr>
        <w:t xml:space="preserve">the defendant, the statement of grounds should show which circumstances the court took into consideration in </w:t>
      </w:r>
      <w:r w:rsidRPr="00A2269A" w:rsidR="00893571">
        <w:rPr>
          <w:rFonts w:eastAsiaTheme="minorHAnsi"/>
        </w:rPr>
        <w:t>determining the</w:t>
      </w:r>
      <w:r w:rsidRPr="00A2269A">
        <w:rPr>
          <w:rFonts w:eastAsiaTheme="minorHAnsi"/>
        </w:rPr>
        <w:t xml:space="preserve"> punishment. The court shall </w:t>
      </w:r>
      <w:r w:rsidRPr="00A2269A" w:rsidR="00334773">
        <w:rPr>
          <w:rFonts w:eastAsiaTheme="minorHAnsi"/>
        </w:rPr>
        <w:t xml:space="preserve">in particular </w:t>
      </w:r>
      <w:r w:rsidRPr="00A2269A">
        <w:rPr>
          <w:rFonts w:eastAsiaTheme="minorHAnsi"/>
        </w:rPr>
        <w:t xml:space="preserve">indicate which reasons were decisive in its decision to impose a </w:t>
      </w:r>
      <w:r w:rsidRPr="00A2269A" w:rsidR="00334773">
        <w:rPr>
          <w:rFonts w:eastAsiaTheme="minorHAnsi"/>
        </w:rPr>
        <w:t xml:space="preserve">heavier </w:t>
      </w:r>
      <w:r w:rsidRPr="00A2269A">
        <w:rPr>
          <w:rFonts w:eastAsiaTheme="minorHAnsi"/>
        </w:rPr>
        <w:t>sentence</w:t>
      </w:r>
      <w:r w:rsidRPr="00A2269A" w:rsidR="00893571">
        <w:rPr>
          <w:rFonts w:eastAsiaTheme="minorHAnsi"/>
        </w:rPr>
        <w:t xml:space="preserve"> </w:t>
      </w:r>
      <w:r w:rsidRPr="00A2269A">
        <w:rPr>
          <w:rFonts w:eastAsiaTheme="minorHAnsi"/>
        </w:rPr>
        <w:t>than that prescribed (Article 46 of the Penal Code), or to reduce or remit the sentence, or to impose a suspended sentence or pronounce a security measure or confiscation of proceeds.</w:t>
      </w:r>
    </w:p>
    <w:p w:rsidRPr="00A2269A" w:rsidR="008463E6" w:rsidP="00A2269A" w:rsidRDefault="000E5A99">
      <w:pPr>
        <w:pStyle w:val="ECHRParaQuote"/>
        <w:rPr>
          <w:rFonts w:eastAsiaTheme="minorHAnsi"/>
        </w:rPr>
      </w:pPr>
      <w:r w:rsidRPr="00A2269A">
        <w:rPr>
          <w:rFonts w:eastAsiaTheme="minorHAnsi"/>
        </w:rPr>
        <w:t>...</w:t>
      </w:r>
      <w:r w:rsidRPr="00A2269A" w:rsidR="008463E6">
        <w:rPr>
          <w:rFonts w:eastAsiaTheme="minorHAnsi"/>
        </w:rPr>
        <w:t>.”</w:t>
      </w:r>
    </w:p>
    <w:p w:rsidRPr="00A2269A" w:rsidR="008463E6" w:rsidP="00A2269A" w:rsidRDefault="00881803">
      <w:pPr>
        <w:pStyle w:val="ECHRPara"/>
      </w:pPr>
      <w:r>
        <w:fldChar w:fldCharType="begin"/>
      </w:r>
      <w:r>
        <w:instrText xml:space="preserve"> SEQ level0 \*arabic </w:instrText>
      </w:r>
      <w:r>
        <w:fldChar w:fldCharType="separate"/>
      </w:r>
      <w:r w:rsidRPr="00A2269A" w:rsidR="00A2269A">
        <w:rPr>
          <w:noProof/>
        </w:rPr>
        <w:t>25</w:t>
      </w:r>
      <w:r>
        <w:rPr>
          <w:noProof/>
        </w:rPr>
        <w:fldChar w:fldCharType="end"/>
      </w:r>
      <w:r w:rsidRPr="00A2269A" w:rsidR="001E7B11">
        <w:t>.  </w:t>
      </w:r>
      <w:r w:rsidRPr="00A2269A" w:rsidR="008463E6">
        <w:t xml:space="preserve">The relevant provisions </w:t>
      </w:r>
      <w:r w:rsidRPr="00A2269A" w:rsidR="00880B07">
        <w:t>setting out</w:t>
      </w:r>
      <w:r w:rsidRPr="00A2269A" w:rsidR="008463E6">
        <w:t xml:space="preserve"> the grounds on which a judgment </w:t>
      </w:r>
      <w:r w:rsidRPr="00A2269A" w:rsidR="004F6E76">
        <w:t xml:space="preserve">can </w:t>
      </w:r>
      <w:r w:rsidRPr="00A2269A" w:rsidR="008463E6">
        <w:t>be challenged</w:t>
      </w:r>
      <w:r w:rsidRPr="00A2269A" w:rsidR="004F6E76">
        <w:t xml:space="preserve"> on appeal</w:t>
      </w:r>
      <w:r w:rsidRPr="00A2269A" w:rsidR="008463E6">
        <w:t xml:space="preserve"> read as follows:</w:t>
      </w:r>
    </w:p>
    <w:p w:rsidRPr="00A2269A" w:rsidR="008463E6" w:rsidP="00A2269A" w:rsidRDefault="008463E6">
      <w:pPr>
        <w:pStyle w:val="ECHRParaQuote"/>
        <w:jc w:val="center"/>
        <w:rPr>
          <w:rFonts w:eastAsiaTheme="minorHAnsi"/>
          <w:b/>
        </w:rPr>
      </w:pPr>
      <w:r w:rsidRPr="00A2269A">
        <w:rPr>
          <w:rFonts w:eastAsiaTheme="minorHAnsi"/>
          <w:b/>
        </w:rPr>
        <w:t>Section 370</w:t>
      </w:r>
    </w:p>
    <w:p w:rsidRPr="00A2269A" w:rsidR="008463E6" w:rsidP="00A2269A" w:rsidRDefault="008463E6">
      <w:pPr>
        <w:pStyle w:val="ECHRParaQuote"/>
        <w:rPr>
          <w:rFonts w:eastAsiaTheme="minorHAnsi"/>
        </w:rPr>
      </w:pPr>
      <w:r w:rsidRPr="00A2269A">
        <w:rPr>
          <w:rFonts w:eastAsiaTheme="minorHAnsi"/>
        </w:rPr>
        <w:t>“A judgment may be challenged:</w:t>
      </w:r>
    </w:p>
    <w:p w:rsidRPr="00A2269A" w:rsidR="008463E6" w:rsidP="00A2269A" w:rsidRDefault="008463E6">
      <w:pPr>
        <w:pStyle w:val="ECHRParaQuote"/>
        <w:rPr>
          <w:rFonts w:eastAsiaTheme="minorHAnsi"/>
        </w:rPr>
      </w:pPr>
      <w:r w:rsidRPr="00A2269A">
        <w:rPr>
          <w:rFonts w:eastAsiaTheme="minorHAnsi"/>
        </w:rPr>
        <w:t>1) on the ground</w:t>
      </w:r>
      <w:r w:rsidRPr="00A2269A" w:rsidR="00334773">
        <w:rPr>
          <w:rFonts w:eastAsiaTheme="minorHAnsi"/>
        </w:rPr>
        <w:t>s</w:t>
      </w:r>
      <w:r w:rsidRPr="00A2269A">
        <w:rPr>
          <w:rFonts w:eastAsiaTheme="minorHAnsi"/>
        </w:rPr>
        <w:t xml:space="preserve"> of </w:t>
      </w:r>
      <w:r w:rsidRPr="00A2269A" w:rsidR="00334773">
        <w:rPr>
          <w:rFonts w:eastAsiaTheme="minorHAnsi"/>
        </w:rPr>
        <w:t xml:space="preserve">a </w:t>
      </w:r>
      <w:r w:rsidRPr="00A2269A">
        <w:rPr>
          <w:rFonts w:eastAsiaTheme="minorHAnsi"/>
        </w:rPr>
        <w:t xml:space="preserve">substantial violation of </w:t>
      </w:r>
      <w:r w:rsidRPr="00A2269A" w:rsidR="00334773">
        <w:rPr>
          <w:rFonts w:eastAsiaTheme="minorHAnsi"/>
        </w:rPr>
        <w:t xml:space="preserve">the </w:t>
      </w:r>
      <w:r w:rsidRPr="00A2269A">
        <w:rPr>
          <w:rFonts w:eastAsiaTheme="minorHAnsi"/>
        </w:rPr>
        <w:t>provisions of criminal procedure;</w:t>
      </w:r>
    </w:p>
    <w:p w:rsidRPr="00A2269A" w:rsidR="008463E6" w:rsidP="00A2269A" w:rsidRDefault="008463E6">
      <w:pPr>
        <w:pStyle w:val="ECHRParaQuote"/>
        <w:rPr>
          <w:rFonts w:eastAsiaTheme="minorHAnsi"/>
        </w:rPr>
      </w:pPr>
      <w:r w:rsidRPr="00A2269A">
        <w:rPr>
          <w:rFonts w:eastAsiaTheme="minorHAnsi"/>
        </w:rPr>
        <w:t xml:space="preserve">2) on </w:t>
      </w:r>
      <w:r w:rsidRPr="00A2269A" w:rsidR="00334773">
        <w:rPr>
          <w:rFonts w:eastAsiaTheme="minorHAnsi"/>
        </w:rPr>
        <w:t xml:space="preserve">the </w:t>
      </w:r>
      <w:r w:rsidRPr="00A2269A">
        <w:rPr>
          <w:rFonts w:eastAsiaTheme="minorHAnsi"/>
        </w:rPr>
        <w:t xml:space="preserve">grounds of </w:t>
      </w:r>
      <w:r w:rsidRPr="00A2269A" w:rsidR="00334773">
        <w:rPr>
          <w:rFonts w:eastAsiaTheme="minorHAnsi"/>
        </w:rPr>
        <w:t xml:space="preserve">a </w:t>
      </w:r>
      <w:r w:rsidRPr="00A2269A">
        <w:rPr>
          <w:rFonts w:eastAsiaTheme="minorHAnsi"/>
        </w:rPr>
        <w:t>violation of criminal law;</w:t>
      </w:r>
    </w:p>
    <w:p w:rsidRPr="00A2269A" w:rsidR="008463E6" w:rsidP="00A2269A" w:rsidRDefault="008463E6">
      <w:pPr>
        <w:pStyle w:val="ECHRParaQuote"/>
        <w:rPr>
          <w:rFonts w:eastAsiaTheme="minorHAnsi"/>
        </w:rPr>
      </w:pPr>
      <w:r w:rsidRPr="00A2269A">
        <w:rPr>
          <w:rFonts w:eastAsiaTheme="minorHAnsi"/>
        </w:rPr>
        <w:t>3) on the ground</w:t>
      </w:r>
      <w:r w:rsidRPr="00A2269A" w:rsidR="00334773">
        <w:rPr>
          <w:rFonts w:eastAsiaTheme="minorHAnsi"/>
        </w:rPr>
        <w:t>s</w:t>
      </w:r>
      <w:r w:rsidRPr="00A2269A">
        <w:rPr>
          <w:rFonts w:eastAsiaTheme="minorHAnsi"/>
        </w:rPr>
        <w:t xml:space="preserve"> of </w:t>
      </w:r>
      <w:r w:rsidRPr="00A2269A" w:rsidR="00334773">
        <w:rPr>
          <w:rFonts w:eastAsiaTheme="minorHAnsi"/>
        </w:rPr>
        <w:t xml:space="preserve">an </w:t>
      </w:r>
      <w:r w:rsidRPr="00A2269A">
        <w:rPr>
          <w:rFonts w:eastAsiaTheme="minorHAnsi"/>
        </w:rPr>
        <w:t xml:space="preserve">erroneous or incomplete determination of the </w:t>
      </w:r>
      <w:r w:rsidRPr="00A2269A" w:rsidR="004F6E76">
        <w:rPr>
          <w:rFonts w:eastAsiaTheme="minorHAnsi"/>
        </w:rPr>
        <w:t>facts</w:t>
      </w:r>
      <w:r w:rsidRPr="00A2269A">
        <w:rPr>
          <w:rFonts w:eastAsiaTheme="minorHAnsi"/>
        </w:rPr>
        <w:t>;</w:t>
      </w:r>
    </w:p>
    <w:p w:rsidRPr="00A2269A" w:rsidR="008463E6" w:rsidP="00A2269A" w:rsidRDefault="000E5A99">
      <w:pPr>
        <w:pStyle w:val="ECHRParaQuote"/>
        <w:rPr>
          <w:rFonts w:eastAsiaTheme="minorHAnsi"/>
        </w:rPr>
      </w:pPr>
      <w:r w:rsidRPr="00A2269A">
        <w:rPr>
          <w:rFonts w:eastAsiaTheme="minorHAnsi"/>
        </w:rPr>
        <w:t>...</w:t>
      </w:r>
      <w:r w:rsidRPr="00A2269A" w:rsidR="008463E6">
        <w:rPr>
          <w:rFonts w:eastAsiaTheme="minorHAnsi"/>
        </w:rPr>
        <w:t>.”</w:t>
      </w:r>
    </w:p>
    <w:p w:rsidRPr="00A2269A" w:rsidR="008463E6" w:rsidP="00A2269A" w:rsidRDefault="008463E6">
      <w:pPr>
        <w:pStyle w:val="ECHRParaQuote"/>
        <w:jc w:val="center"/>
        <w:rPr>
          <w:rFonts w:eastAsiaTheme="minorHAnsi"/>
          <w:b/>
        </w:rPr>
      </w:pPr>
      <w:r w:rsidRPr="00A2269A">
        <w:rPr>
          <w:rFonts w:eastAsiaTheme="minorHAnsi"/>
          <w:b/>
        </w:rPr>
        <w:t>Section 371</w:t>
      </w:r>
    </w:p>
    <w:p w:rsidRPr="00A2269A" w:rsidR="008463E6" w:rsidP="00A2269A" w:rsidRDefault="008463E6">
      <w:pPr>
        <w:pStyle w:val="ECHRParaQuote"/>
        <w:rPr>
          <w:rFonts w:eastAsiaTheme="minorHAnsi"/>
        </w:rPr>
      </w:pPr>
      <w:r w:rsidRPr="00A2269A">
        <w:rPr>
          <w:rFonts w:eastAsiaTheme="minorHAnsi"/>
        </w:rPr>
        <w:t xml:space="preserve">“(1) A </w:t>
      </w:r>
      <w:r w:rsidRPr="00A2269A" w:rsidR="00224B6D">
        <w:rPr>
          <w:rFonts w:eastAsiaTheme="minorHAnsi"/>
        </w:rPr>
        <w:t xml:space="preserve">substantial </w:t>
      </w:r>
      <w:r w:rsidRPr="00A2269A">
        <w:rPr>
          <w:rFonts w:eastAsiaTheme="minorHAnsi"/>
        </w:rPr>
        <w:t xml:space="preserve">violation of </w:t>
      </w:r>
      <w:r w:rsidRPr="00A2269A" w:rsidR="00334773">
        <w:rPr>
          <w:rFonts w:eastAsiaTheme="minorHAnsi"/>
        </w:rPr>
        <w:t xml:space="preserve">the </w:t>
      </w:r>
      <w:r w:rsidRPr="00A2269A">
        <w:rPr>
          <w:rFonts w:eastAsiaTheme="minorHAnsi"/>
        </w:rPr>
        <w:t>provisions of criminal procedure shall be deemed to exist:</w:t>
      </w:r>
    </w:p>
    <w:p w:rsidRPr="00A2269A" w:rsidR="008463E6" w:rsidP="00A2269A" w:rsidRDefault="008463E6">
      <w:pPr>
        <w:pStyle w:val="ECHRParaQuote"/>
        <w:rPr>
          <w:rFonts w:eastAsiaTheme="minorHAnsi"/>
        </w:rPr>
      </w:pPr>
      <w:r w:rsidRPr="00A2269A">
        <w:rPr>
          <w:rFonts w:eastAsiaTheme="minorHAnsi"/>
        </w:rPr>
        <w:t xml:space="preserve">1) where the court was not properly constituted or </w:t>
      </w:r>
      <w:r w:rsidRPr="00A2269A" w:rsidR="00880B07">
        <w:rPr>
          <w:rFonts w:eastAsiaTheme="minorHAnsi"/>
        </w:rPr>
        <w:t xml:space="preserve">those reaching the judgment </w:t>
      </w:r>
      <w:r w:rsidRPr="00A2269A">
        <w:rPr>
          <w:rFonts w:eastAsiaTheme="minorHAnsi"/>
        </w:rPr>
        <w:t xml:space="preserve">included a judge or a </w:t>
      </w:r>
      <w:r w:rsidRPr="00A2269A" w:rsidR="006D48E6">
        <w:rPr>
          <w:rFonts w:eastAsiaTheme="minorHAnsi"/>
        </w:rPr>
        <w:t xml:space="preserve">lay </w:t>
      </w:r>
      <w:r w:rsidRPr="00A2269A">
        <w:rPr>
          <w:rFonts w:eastAsiaTheme="minorHAnsi"/>
        </w:rPr>
        <w:t>judge who di</w:t>
      </w:r>
      <w:r w:rsidRPr="00A2269A" w:rsidR="004F6E76">
        <w:rPr>
          <w:rFonts w:eastAsiaTheme="minorHAnsi"/>
        </w:rPr>
        <w:t>d</w:t>
      </w:r>
      <w:r w:rsidRPr="00A2269A">
        <w:rPr>
          <w:rFonts w:eastAsiaTheme="minorHAnsi"/>
        </w:rPr>
        <w:t xml:space="preserve"> not attend the main hearing or was excluded from adjudication under a final decision;</w:t>
      </w:r>
    </w:p>
    <w:p w:rsidRPr="00A2269A" w:rsidR="008463E6" w:rsidP="00A2269A" w:rsidRDefault="000E5A99">
      <w:pPr>
        <w:pStyle w:val="ECHRParaQuote"/>
        <w:rPr>
          <w:rFonts w:eastAsiaTheme="minorHAnsi"/>
        </w:rPr>
      </w:pPr>
      <w:r w:rsidRPr="00A2269A">
        <w:rPr>
          <w:rFonts w:eastAsiaTheme="minorHAnsi"/>
        </w:rPr>
        <w:t>...</w:t>
      </w:r>
    </w:p>
    <w:p w:rsidRPr="00A2269A" w:rsidR="008463E6" w:rsidP="00A2269A" w:rsidRDefault="008463E6">
      <w:pPr>
        <w:pStyle w:val="ECHRParaQuote"/>
        <w:rPr>
          <w:rFonts w:eastAsiaTheme="minorHAnsi"/>
        </w:rPr>
      </w:pPr>
      <w:r w:rsidRPr="00A2269A">
        <w:rPr>
          <w:rFonts w:eastAsiaTheme="minorHAnsi"/>
        </w:rPr>
        <w:t>11) where the operative part of the judgment is incomprehensible or contradictory or contradict</w:t>
      </w:r>
      <w:r w:rsidRPr="00A2269A" w:rsidR="00334773">
        <w:rPr>
          <w:rFonts w:eastAsiaTheme="minorHAnsi"/>
        </w:rPr>
        <w:t xml:space="preserve">s </w:t>
      </w:r>
      <w:r w:rsidRPr="00A2269A">
        <w:rPr>
          <w:rFonts w:eastAsiaTheme="minorHAnsi"/>
        </w:rPr>
        <w:t>the reason</w:t>
      </w:r>
      <w:r w:rsidRPr="00A2269A" w:rsidR="00334773">
        <w:rPr>
          <w:rFonts w:eastAsiaTheme="minorHAnsi"/>
        </w:rPr>
        <w:t xml:space="preserve">ing </w:t>
      </w:r>
      <w:r w:rsidRPr="00A2269A">
        <w:rPr>
          <w:rFonts w:eastAsiaTheme="minorHAnsi"/>
        </w:rPr>
        <w:t xml:space="preserve">of the judgment; where the judgment lacks grounds altogether or reasons relating to crucial facts are not </w:t>
      </w:r>
      <w:r w:rsidRPr="00A2269A" w:rsidR="00334773">
        <w:rPr>
          <w:rFonts w:eastAsiaTheme="minorHAnsi"/>
        </w:rPr>
        <w:t xml:space="preserve">given </w:t>
      </w:r>
      <w:r w:rsidRPr="00A2269A">
        <w:rPr>
          <w:rFonts w:eastAsiaTheme="minorHAnsi"/>
        </w:rPr>
        <w:t xml:space="preserve">or are completely vague or </w:t>
      </w:r>
      <w:r w:rsidRPr="00A2269A" w:rsidR="006D48E6">
        <w:rPr>
          <w:rFonts w:eastAsiaTheme="minorHAnsi"/>
        </w:rPr>
        <w:t xml:space="preserve">largely </w:t>
      </w:r>
      <w:r w:rsidRPr="00A2269A" w:rsidR="00880B07">
        <w:rPr>
          <w:rFonts w:eastAsiaTheme="minorHAnsi"/>
        </w:rPr>
        <w:t>contradictory</w:t>
      </w:r>
      <w:r w:rsidRPr="00A2269A">
        <w:rPr>
          <w:rFonts w:eastAsiaTheme="minorHAnsi"/>
        </w:rPr>
        <w:t xml:space="preserve">; or where there is </w:t>
      </w:r>
      <w:r w:rsidRPr="00A2269A" w:rsidR="002F219C">
        <w:rPr>
          <w:rFonts w:eastAsiaTheme="minorHAnsi"/>
        </w:rPr>
        <w:t xml:space="preserve">a </w:t>
      </w:r>
      <w:r w:rsidRPr="00A2269A">
        <w:rPr>
          <w:rFonts w:eastAsiaTheme="minorHAnsi"/>
        </w:rPr>
        <w:t xml:space="preserve">considerable discrepancy between the statement of grounds </w:t>
      </w:r>
      <w:r w:rsidRPr="00A2269A" w:rsidR="00880B07">
        <w:rPr>
          <w:rFonts w:eastAsiaTheme="minorHAnsi"/>
        </w:rPr>
        <w:t xml:space="preserve">referring to </w:t>
      </w:r>
      <w:r w:rsidRPr="00A2269A">
        <w:rPr>
          <w:rFonts w:eastAsiaTheme="minorHAnsi"/>
        </w:rPr>
        <w:t>documents or the records of statements given in the course of proceedings on the one hand</w:t>
      </w:r>
      <w:r w:rsidRPr="00A2269A" w:rsidR="002F219C">
        <w:rPr>
          <w:rFonts w:eastAsiaTheme="minorHAnsi"/>
        </w:rPr>
        <w:t>,</w:t>
      </w:r>
      <w:r w:rsidRPr="00A2269A">
        <w:rPr>
          <w:rFonts w:eastAsiaTheme="minorHAnsi"/>
        </w:rPr>
        <w:t xml:space="preserve"> and the</w:t>
      </w:r>
      <w:r w:rsidRPr="00A2269A" w:rsidR="00880B07">
        <w:rPr>
          <w:rFonts w:eastAsiaTheme="minorHAnsi"/>
        </w:rPr>
        <w:t xml:space="preserve"> content of th</w:t>
      </w:r>
      <w:r w:rsidRPr="00A2269A" w:rsidR="002F219C">
        <w:rPr>
          <w:rFonts w:eastAsiaTheme="minorHAnsi"/>
        </w:rPr>
        <w:t>o</w:t>
      </w:r>
      <w:r w:rsidRPr="00A2269A" w:rsidR="00880B07">
        <w:rPr>
          <w:rFonts w:eastAsiaTheme="minorHAnsi"/>
        </w:rPr>
        <w:t xml:space="preserve">se </w:t>
      </w:r>
      <w:r w:rsidRPr="00A2269A">
        <w:rPr>
          <w:rFonts w:eastAsiaTheme="minorHAnsi"/>
        </w:rPr>
        <w:t>documents or records on the other.</w:t>
      </w:r>
    </w:p>
    <w:p w:rsidRPr="00A2269A" w:rsidR="008463E6" w:rsidP="00A2269A" w:rsidRDefault="000E5A99">
      <w:pPr>
        <w:pStyle w:val="ECHRParaQuote"/>
        <w:rPr>
          <w:rFonts w:eastAsiaTheme="minorHAnsi"/>
        </w:rPr>
      </w:pPr>
      <w:r w:rsidRPr="00A2269A">
        <w:rPr>
          <w:rFonts w:eastAsiaTheme="minorHAnsi"/>
        </w:rPr>
        <w:t>...</w:t>
      </w:r>
      <w:r w:rsidRPr="00A2269A" w:rsidR="00880B07">
        <w:rPr>
          <w:rFonts w:eastAsiaTheme="minorHAnsi"/>
        </w:rPr>
        <w:t>”</w:t>
      </w:r>
    </w:p>
    <w:p w:rsidRPr="00A2269A" w:rsidR="008463E6" w:rsidP="00A2269A" w:rsidRDefault="008463E6">
      <w:pPr>
        <w:pStyle w:val="ECHRParaQuote"/>
        <w:jc w:val="center"/>
        <w:rPr>
          <w:rFonts w:eastAsiaTheme="minorHAnsi"/>
          <w:b/>
        </w:rPr>
      </w:pPr>
      <w:r w:rsidRPr="00A2269A">
        <w:rPr>
          <w:rFonts w:eastAsiaTheme="minorHAnsi"/>
          <w:b/>
        </w:rPr>
        <w:t>Section 373</w:t>
      </w:r>
    </w:p>
    <w:p w:rsidRPr="00A2269A" w:rsidR="00DC3CA6" w:rsidP="00A2269A" w:rsidRDefault="008463E6">
      <w:pPr>
        <w:pStyle w:val="ECHRParaQuote"/>
        <w:rPr>
          <w:rFonts w:eastAsiaTheme="minorHAnsi"/>
        </w:rPr>
      </w:pPr>
      <w:r w:rsidRPr="00A2269A">
        <w:rPr>
          <w:rFonts w:eastAsiaTheme="minorHAnsi"/>
        </w:rPr>
        <w:t xml:space="preserve">“(1) A judgment may be challenged on </w:t>
      </w:r>
      <w:r w:rsidRPr="00A2269A" w:rsidR="002F219C">
        <w:rPr>
          <w:rFonts w:eastAsiaTheme="minorHAnsi"/>
        </w:rPr>
        <w:t xml:space="preserve">the </w:t>
      </w:r>
      <w:r w:rsidRPr="00A2269A">
        <w:rPr>
          <w:rFonts w:eastAsiaTheme="minorHAnsi"/>
        </w:rPr>
        <w:t xml:space="preserve">grounds of an erroneous or incomplete determination of the </w:t>
      </w:r>
      <w:r w:rsidRPr="00A2269A" w:rsidR="00880B07">
        <w:rPr>
          <w:rFonts w:eastAsiaTheme="minorHAnsi"/>
        </w:rPr>
        <w:t>facts</w:t>
      </w:r>
      <w:r w:rsidRPr="00A2269A">
        <w:rPr>
          <w:rFonts w:eastAsiaTheme="minorHAnsi"/>
        </w:rPr>
        <w:t xml:space="preserve"> where the court erroneously determined a </w:t>
      </w:r>
      <w:r w:rsidRPr="00A2269A" w:rsidR="00880B07">
        <w:rPr>
          <w:rFonts w:eastAsiaTheme="minorHAnsi"/>
        </w:rPr>
        <w:t>decisive</w:t>
      </w:r>
      <w:r w:rsidRPr="00A2269A">
        <w:rPr>
          <w:rFonts w:eastAsiaTheme="minorHAnsi"/>
        </w:rPr>
        <w:t xml:space="preserve"> fact or omitted to determine it altogether.</w:t>
      </w:r>
    </w:p>
    <w:p w:rsidRPr="00A2269A" w:rsidR="008463E6" w:rsidP="00A2269A" w:rsidRDefault="000E5A99">
      <w:pPr>
        <w:pStyle w:val="ECHRParaQuote"/>
        <w:rPr>
          <w:rFonts w:eastAsiaTheme="minorHAnsi"/>
        </w:rPr>
      </w:pPr>
      <w:r w:rsidRPr="00A2269A">
        <w:rPr>
          <w:rFonts w:eastAsiaTheme="minorHAnsi"/>
        </w:rPr>
        <w:t>...</w:t>
      </w:r>
      <w:r w:rsidRPr="00A2269A" w:rsidR="00DC3CA6">
        <w:rPr>
          <w:rFonts w:eastAsiaTheme="minorHAnsi"/>
        </w:rPr>
        <w:t>”</w:t>
      </w:r>
    </w:p>
    <w:p w:rsidRPr="00A2269A" w:rsidR="004F6E76" w:rsidP="00A2269A" w:rsidRDefault="002E27D8">
      <w:pPr>
        <w:pStyle w:val="ECHRParaQuote"/>
        <w:jc w:val="center"/>
        <w:rPr>
          <w:b/>
        </w:rPr>
      </w:pPr>
      <w:r w:rsidRPr="00A2269A">
        <w:rPr>
          <w:b/>
        </w:rPr>
        <w:t>Section 383</w:t>
      </w:r>
    </w:p>
    <w:p w:rsidRPr="00A2269A" w:rsidR="004F6E76" w:rsidP="00A2269A" w:rsidRDefault="004F6E76">
      <w:pPr>
        <w:pStyle w:val="ECHRParaQuote"/>
      </w:pPr>
    </w:p>
    <w:p w:rsidRPr="00A2269A" w:rsidR="004F6E76" w:rsidP="00A2269A" w:rsidRDefault="00512B01">
      <w:pPr>
        <w:pStyle w:val="ECHRParaQuote"/>
      </w:pPr>
      <w:r w:rsidRPr="00A2269A">
        <w:t>“</w:t>
      </w:r>
      <w:r w:rsidRPr="00A2269A" w:rsidR="002E27D8">
        <w:t>(1) The second</w:t>
      </w:r>
      <w:r w:rsidRPr="00A2269A" w:rsidR="002F219C">
        <w:t>-</w:t>
      </w:r>
      <w:r w:rsidRPr="00A2269A" w:rsidR="002E27D8">
        <w:t xml:space="preserve">instance court reviews the </w:t>
      </w:r>
      <w:r w:rsidRPr="00A2269A" w:rsidR="002F219C">
        <w:t xml:space="preserve">part of the </w:t>
      </w:r>
      <w:r w:rsidRPr="00A2269A" w:rsidR="002E27D8">
        <w:t xml:space="preserve">judgment that </w:t>
      </w:r>
      <w:r w:rsidRPr="00A2269A" w:rsidR="002F219C">
        <w:t xml:space="preserve">has </w:t>
      </w:r>
      <w:r w:rsidRPr="00A2269A" w:rsidR="002E27D8">
        <w:t>be</w:t>
      </w:r>
      <w:r w:rsidRPr="00A2269A" w:rsidR="002F219C">
        <w:t>e</w:t>
      </w:r>
      <w:r w:rsidRPr="00A2269A" w:rsidR="002E27D8">
        <w:t>n</w:t>
      </w:r>
      <w:r w:rsidRPr="00A2269A" w:rsidR="002F219C">
        <w:t xml:space="preserve"> </w:t>
      </w:r>
      <w:r w:rsidRPr="00A2269A" w:rsidR="002E27D8">
        <w:t xml:space="preserve">challenged </w:t>
      </w:r>
      <w:r w:rsidRPr="00A2269A" w:rsidR="00893571">
        <w:t>on</w:t>
      </w:r>
      <w:r w:rsidRPr="00A2269A" w:rsidR="002E27D8">
        <w:t xml:space="preserve"> appeal. However</w:t>
      </w:r>
      <w:r w:rsidRPr="00A2269A" w:rsidR="002F219C">
        <w:t>,</w:t>
      </w:r>
      <w:r w:rsidRPr="00A2269A" w:rsidR="002E27D8">
        <w:t xml:space="preserve"> it should always review</w:t>
      </w:r>
      <w:r w:rsidRPr="00A2269A" w:rsidR="002F219C">
        <w:t xml:space="preserve"> of its own motion</w:t>
      </w:r>
      <w:r w:rsidRPr="00A2269A" w:rsidR="002E27D8">
        <w:t>:</w:t>
      </w:r>
    </w:p>
    <w:p w:rsidRPr="00A2269A" w:rsidR="004F6E76" w:rsidP="00A2269A" w:rsidRDefault="002E27D8">
      <w:pPr>
        <w:pStyle w:val="ECHRParaQuote"/>
      </w:pPr>
      <w:r w:rsidRPr="00A2269A">
        <w:t>1) whether criminal procedure rules have been breached</w:t>
      </w:r>
      <w:r w:rsidRPr="00A2269A" w:rsidR="002F219C">
        <w:t>,</w:t>
      </w:r>
      <w:r w:rsidRPr="00A2269A">
        <w:t xml:space="preserve"> as s</w:t>
      </w:r>
      <w:r w:rsidRPr="00A2269A" w:rsidR="002F219C">
        <w:t>e</w:t>
      </w:r>
      <w:r w:rsidRPr="00A2269A">
        <w:t>t</w:t>
      </w:r>
      <w:r w:rsidRPr="00A2269A" w:rsidR="002F219C">
        <w:t xml:space="preserve"> out </w:t>
      </w:r>
      <w:r w:rsidRPr="00A2269A">
        <w:t>in point</w:t>
      </w:r>
      <w:r w:rsidRPr="00A2269A" w:rsidR="00893571">
        <w:t>s</w:t>
      </w:r>
      <w:r w:rsidRPr="00A2269A">
        <w:t xml:space="preserve"> 1, 5, </w:t>
      </w:r>
      <w:r w:rsidRPr="00A2269A" w:rsidR="00893571">
        <w:t xml:space="preserve">6 and 8 to 11 of </w:t>
      </w:r>
      <w:r w:rsidRPr="00A2269A" w:rsidR="002F219C">
        <w:t xml:space="preserve">the </w:t>
      </w:r>
      <w:r w:rsidRPr="00A2269A" w:rsidR="00893571">
        <w:t xml:space="preserve">first paragraph </w:t>
      </w:r>
      <w:r w:rsidRPr="00A2269A">
        <w:t xml:space="preserve">of section 371 of this </w:t>
      </w:r>
      <w:r w:rsidRPr="00A2269A" w:rsidR="00FC4091">
        <w:t>A</w:t>
      </w:r>
      <w:r w:rsidRPr="00A2269A">
        <w:t>ct</w:t>
      </w:r>
      <w:r w:rsidRPr="00A2269A" w:rsidR="002F219C">
        <w:t>,</w:t>
      </w:r>
      <w:r w:rsidRPr="00A2269A">
        <w:t xml:space="preserve"> or </w:t>
      </w:r>
      <w:r w:rsidRPr="00A2269A" w:rsidR="002F219C">
        <w:t xml:space="preserve">where </w:t>
      </w:r>
      <w:r w:rsidRPr="00A2269A">
        <w:t xml:space="preserve">the main hearing was conducted in the absence of the accused person </w:t>
      </w:r>
      <w:r w:rsidRPr="00A2269A" w:rsidR="000E5A99">
        <w:t>...</w:t>
      </w:r>
    </w:p>
    <w:p w:rsidRPr="00A2269A" w:rsidR="002E27D8" w:rsidP="00A2269A" w:rsidRDefault="002E27D8">
      <w:pPr>
        <w:pStyle w:val="ECHRParaQuote"/>
      </w:pPr>
      <w:r w:rsidRPr="00A2269A">
        <w:t xml:space="preserve">2) whether the criminal law has been breached </w:t>
      </w:r>
      <w:r w:rsidRPr="00A2269A" w:rsidR="002F219C">
        <w:t xml:space="preserve">to </w:t>
      </w:r>
      <w:r w:rsidRPr="00A2269A">
        <w:t xml:space="preserve">the </w:t>
      </w:r>
      <w:r w:rsidRPr="00A2269A" w:rsidR="00893571">
        <w:t>detriment</w:t>
      </w:r>
      <w:r w:rsidRPr="00A2269A">
        <w:t xml:space="preserve"> of the accused person (section 372).</w:t>
      </w:r>
    </w:p>
    <w:p w:rsidRPr="00A2269A" w:rsidR="002E27D8" w:rsidP="00A2269A" w:rsidRDefault="000E5A99">
      <w:pPr>
        <w:pStyle w:val="ECHRParaQuote"/>
      </w:pPr>
      <w:r w:rsidRPr="00A2269A">
        <w:t>...</w:t>
      </w:r>
      <w:r w:rsidRPr="00A2269A" w:rsidR="00512B01">
        <w:t>”</w:t>
      </w:r>
    </w:p>
    <w:bookmarkStart w:name="zkpremittal1" w:id="6"/>
    <w:p w:rsidRPr="00A2269A" w:rsidR="008E6F59" w:rsidP="00A2269A" w:rsidRDefault="00AC206D">
      <w:pPr>
        <w:pStyle w:val="ECHRPara"/>
      </w:pPr>
      <w:r w:rsidRPr="00A2269A">
        <w:fldChar w:fldCharType="begin"/>
      </w:r>
      <w:r w:rsidRPr="00A2269A">
        <w:instrText xml:space="preserve"> SEQ level0 \*arabic </w:instrText>
      </w:r>
      <w:r w:rsidRPr="00A2269A">
        <w:fldChar w:fldCharType="separate"/>
      </w:r>
      <w:r w:rsidRPr="00A2269A" w:rsidR="00A2269A">
        <w:rPr>
          <w:noProof/>
        </w:rPr>
        <w:t>26</w:t>
      </w:r>
      <w:r w:rsidRPr="00A2269A">
        <w:fldChar w:fldCharType="end"/>
      </w:r>
      <w:bookmarkEnd w:id="6"/>
      <w:r w:rsidRPr="00A2269A">
        <w:t>.  </w:t>
      </w:r>
      <w:bookmarkStart w:name="ZKPhearingappeal" w:id="7"/>
      <w:r w:rsidRPr="00A2269A" w:rsidR="008E6F59">
        <w:t>Under section 392</w:t>
      </w:r>
      <w:r w:rsidRPr="00A2269A" w:rsidR="008E6F59">
        <w:rPr>
          <w:rStyle w:val="ECHRParaChar"/>
        </w:rPr>
        <w:t xml:space="preserve"> of the Criminal Procedure Act</w:t>
      </w:r>
      <w:r w:rsidRPr="00A2269A" w:rsidR="008E6F59">
        <w:t>, in cases where a substantial violation of the provisions of criminal procedure has been found or where the facts of the case need to be properly established at a new hearing before the first-instance court, the second-instance court may revoke the first-instance court</w:t>
      </w:r>
      <w:r w:rsidRPr="00A2269A" w:rsidR="00A2269A">
        <w:t>’</w:t>
      </w:r>
      <w:r w:rsidRPr="00A2269A" w:rsidR="008E6F59">
        <w:t>s judgment and remit the case for re-examination to the same or a different first-instance panel. If during an appeal considerable doubts arise as to the veracity of the decisive fact and, as a result, the second-instance court considers that the circumstances of the case have been wrongly or insufficiently established to the detriment of the accused, the second-instance court may revoke the first-instance judgment even if the appellant does not challenge the establishment of the facts.</w:t>
      </w:r>
    </w:p>
    <w:p w:rsidRPr="00A2269A" w:rsidR="00F83488" w:rsidP="00A2269A" w:rsidRDefault="00881803">
      <w:pPr>
        <w:pStyle w:val="ECHRPara"/>
      </w:pPr>
      <w:r>
        <w:fldChar w:fldCharType="begin"/>
      </w:r>
      <w:r>
        <w:instrText xml:space="preserve"> SEQ level0 \*arabic </w:instrText>
      </w:r>
      <w:r>
        <w:fldChar w:fldCharType="separate"/>
      </w:r>
      <w:r w:rsidRPr="00A2269A" w:rsidR="00A2269A">
        <w:rPr>
          <w:noProof/>
        </w:rPr>
        <w:t>27</w:t>
      </w:r>
      <w:r>
        <w:rPr>
          <w:noProof/>
        </w:rPr>
        <w:fldChar w:fldCharType="end"/>
      </w:r>
      <w:bookmarkEnd w:id="7"/>
      <w:r w:rsidRPr="00A2269A" w:rsidR="00A86CC9">
        <w:t>.  </w:t>
      </w:r>
      <w:r w:rsidRPr="00A2269A" w:rsidR="008E6F59">
        <w:t>Under section 379</w:t>
      </w:r>
      <w:r w:rsidRPr="00A2269A" w:rsidR="008E6F59">
        <w:rPr>
          <w:rStyle w:val="ECHRParaChar"/>
        </w:rPr>
        <w:t xml:space="preserve"> of the Criminal Procedure Act</w:t>
      </w:r>
      <w:r w:rsidRPr="00A2269A" w:rsidR="008E6F59">
        <w:t xml:space="preserve">, a second-instance court may decide on an appeal during a session or it may decide to hold a hearing in the matter. It holds a hearing when the facts of the case need to be established again and there are good reasons for not remitting the case to the first-instance court for re-examination (section 380 </w:t>
      </w:r>
      <w:r w:rsidRPr="00A2269A" w:rsidR="008E6F59">
        <w:rPr>
          <w:rStyle w:val="ECHRParaChar"/>
        </w:rPr>
        <w:t>of the Criminal Procedure Act</w:t>
      </w:r>
      <w:r w:rsidRPr="00A2269A" w:rsidR="008E6F59">
        <w:t>).</w:t>
      </w:r>
    </w:p>
    <w:p w:rsidRPr="00A2269A" w:rsidR="00E16D50" w:rsidP="00A2269A" w:rsidRDefault="00E16D50">
      <w:pPr>
        <w:pStyle w:val="ECHRHeading2"/>
        <w:rPr>
          <w:lang w:val="en-GB"/>
        </w:rPr>
      </w:pPr>
      <w:r w:rsidRPr="00A2269A">
        <w:rPr>
          <w:lang w:val="en-GB"/>
        </w:rPr>
        <w:t>B.  Decision no. Up-309</w:t>
      </w:r>
      <w:r w:rsidRPr="00A2269A" w:rsidR="002F6BF0">
        <w:rPr>
          <w:rFonts w:cstheme="majorHAnsi"/>
          <w:lang w:val="en-GB"/>
        </w:rPr>
        <w:t>⁄</w:t>
      </w:r>
      <w:r w:rsidRPr="00A2269A">
        <w:rPr>
          <w:lang w:val="en-GB"/>
        </w:rPr>
        <w:t>04 of the Constitutional Court</w:t>
      </w:r>
    </w:p>
    <w:p w:rsidRPr="00A2269A" w:rsidR="00F83488" w:rsidP="00A2269A" w:rsidRDefault="00881803">
      <w:pPr>
        <w:pStyle w:val="ECHRPara"/>
        <w:rPr>
          <w:lang w:val="en-GB"/>
        </w:rPr>
      </w:pPr>
      <w:r>
        <w:fldChar w:fldCharType="begin"/>
      </w:r>
      <w:r>
        <w:instrText xml:space="preserve"> SEQ level0 \*arabic </w:instrText>
      </w:r>
      <w:r>
        <w:fldChar w:fldCharType="separate"/>
      </w:r>
      <w:r w:rsidRPr="00A2269A" w:rsidR="00A2269A">
        <w:rPr>
          <w:noProof/>
        </w:rPr>
        <w:t>28</w:t>
      </w:r>
      <w:r>
        <w:rPr>
          <w:noProof/>
        </w:rPr>
        <w:fldChar w:fldCharType="end"/>
      </w:r>
      <w:r w:rsidRPr="00A2269A" w:rsidR="00E16D50">
        <w:t>.  In decision no. Up-309</w:t>
      </w:r>
      <w:r w:rsidRPr="00A2269A" w:rsidR="002F6BF0">
        <w:rPr>
          <w:rFonts w:cstheme="minorHAnsi"/>
        </w:rPr>
        <w:t>⁄</w:t>
      </w:r>
      <w:r w:rsidRPr="00A2269A" w:rsidR="00E16D50">
        <w:t xml:space="preserve">04 of 11 October 2006 the Constitutional Court held that the essence of the principle of immediacy was that a judicial decision </w:t>
      </w:r>
      <w:r w:rsidRPr="00A2269A" w:rsidR="00F82283">
        <w:t xml:space="preserve">should be </w:t>
      </w:r>
      <w:r w:rsidRPr="00A2269A" w:rsidR="00E16D50">
        <w:t xml:space="preserve">issued by the judges who participated in the hearing </w:t>
      </w:r>
      <w:r w:rsidRPr="00A2269A" w:rsidR="002F219C">
        <w:t xml:space="preserve">where </w:t>
      </w:r>
      <w:r w:rsidRPr="00A2269A" w:rsidR="00E16D50">
        <w:t xml:space="preserve">the parties made their statements and at which the court </w:t>
      </w:r>
      <w:r w:rsidRPr="00A2269A" w:rsidR="00E16D50">
        <w:rPr>
          <w:lang w:val="en-GB"/>
        </w:rPr>
        <w:t xml:space="preserve">examined all </w:t>
      </w:r>
      <w:r w:rsidRPr="00A2269A" w:rsidR="002F219C">
        <w:rPr>
          <w:lang w:val="en-GB"/>
        </w:rPr>
        <w:t xml:space="preserve">the </w:t>
      </w:r>
      <w:r w:rsidRPr="00A2269A" w:rsidR="00E16D50">
        <w:rPr>
          <w:lang w:val="en-GB"/>
        </w:rPr>
        <w:t xml:space="preserve">evidence. According to the court, judges could gain insight into the characteristics or particularities of an individual piece of evidence </w:t>
      </w:r>
      <w:r w:rsidRPr="00A2269A" w:rsidR="002F219C">
        <w:rPr>
          <w:lang w:val="en-GB"/>
        </w:rPr>
        <w:t xml:space="preserve">and </w:t>
      </w:r>
      <w:r w:rsidRPr="00A2269A" w:rsidR="00E16D50">
        <w:rPr>
          <w:lang w:val="en-GB"/>
        </w:rPr>
        <w:t xml:space="preserve">form </w:t>
      </w:r>
      <w:r w:rsidRPr="00A2269A" w:rsidR="002F219C">
        <w:rPr>
          <w:lang w:val="en-GB"/>
        </w:rPr>
        <w:t xml:space="preserve">a </w:t>
      </w:r>
      <w:r w:rsidRPr="00A2269A" w:rsidR="00E16D50">
        <w:rPr>
          <w:lang w:val="en-GB"/>
        </w:rPr>
        <w:t xml:space="preserve">subjective opinion on the credibility of witnesses only if they directly participated in the examination of evidence so that they, through their </w:t>
      </w:r>
      <w:r w:rsidRPr="00A2269A" w:rsidR="002F219C">
        <w:rPr>
          <w:lang w:val="en-GB"/>
        </w:rPr>
        <w:t xml:space="preserve">own </w:t>
      </w:r>
      <w:r w:rsidRPr="00A2269A" w:rsidR="00E16D50">
        <w:rPr>
          <w:lang w:val="en-GB"/>
        </w:rPr>
        <w:t>senses (and not through a</w:t>
      </w:r>
      <w:r w:rsidRPr="00A2269A" w:rsidR="002F219C">
        <w:rPr>
          <w:lang w:val="en-GB"/>
        </w:rPr>
        <w:t>n</w:t>
      </w:r>
      <w:r w:rsidRPr="00A2269A" w:rsidR="00E16D50">
        <w:rPr>
          <w:lang w:val="en-GB"/>
        </w:rPr>
        <w:t xml:space="preserve"> </w:t>
      </w:r>
      <w:r w:rsidRPr="00A2269A" w:rsidR="002F219C">
        <w:rPr>
          <w:lang w:val="en-GB"/>
        </w:rPr>
        <w:t>inter</w:t>
      </w:r>
      <w:r w:rsidRPr="00A2269A" w:rsidR="00E16D50">
        <w:rPr>
          <w:lang w:val="en-GB"/>
        </w:rPr>
        <w:t>mediar</w:t>
      </w:r>
      <w:r w:rsidRPr="00A2269A" w:rsidR="002F219C">
        <w:rPr>
          <w:lang w:val="en-GB"/>
        </w:rPr>
        <w:t>y</w:t>
      </w:r>
      <w:r w:rsidRPr="00A2269A" w:rsidR="00E16D50">
        <w:rPr>
          <w:lang w:val="en-GB"/>
        </w:rPr>
        <w:t xml:space="preserve">), perceived the nature and the contents of individual </w:t>
      </w:r>
      <w:r w:rsidRPr="00A2269A" w:rsidR="002F219C">
        <w:rPr>
          <w:lang w:val="en-GB"/>
        </w:rPr>
        <w:t xml:space="preserve">items </w:t>
      </w:r>
      <w:r w:rsidRPr="00A2269A" w:rsidR="00E16D50">
        <w:rPr>
          <w:lang w:val="en-GB"/>
        </w:rPr>
        <w:t>of evidence.</w:t>
      </w:r>
    </w:p>
    <w:p w:rsidRPr="00A2269A" w:rsidR="00014566" w:rsidP="00A2269A" w:rsidRDefault="00014566">
      <w:pPr>
        <w:pStyle w:val="ECHRTitle1"/>
        <w:rPr>
          <w:lang w:val="en-GB"/>
        </w:rPr>
      </w:pPr>
      <w:r w:rsidRPr="00A2269A">
        <w:rPr>
          <w:lang w:val="en-GB"/>
        </w:rPr>
        <w:t>THE LAW</w:t>
      </w:r>
    </w:p>
    <w:p w:rsidRPr="00A2269A" w:rsidR="00AA3713" w:rsidP="00A2269A" w:rsidRDefault="00AA3713">
      <w:pPr>
        <w:pStyle w:val="ECHRHeading1"/>
      </w:pPr>
      <w:r w:rsidRPr="00A2269A">
        <w:rPr>
          <w:lang w:val="en-GB"/>
        </w:rPr>
        <w:t>I.</w:t>
      </w:r>
      <w:r w:rsidRPr="00A2269A">
        <w:t> JOINDER OF THE APPLICATIONS</w:t>
      </w:r>
    </w:p>
    <w:p w:rsidRPr="00A2269A" w:rsidR="00AA3713" w:rsidP="00A2269A" w:rsidRDefault="00881803">
      <w:pPr>
        <w:pStyle w:val="ECHRPara"/>
        <w:rPr>
          <w:rFonts w:eastAsiaTheme="majorEastAsia"/>
        </w:rPr>
      </w:pPr>
      <w:r>
        <w:fldChar w:fldCharType="begin"/>
      </w:r>
      <w:r>
        <w:instrText xml:space="preserve"> SEQ level0 \*arabic </w:instrText>
      </w:r>
      <w:r>
        <w:fldChar w:fldCharType="separate"/>
      </w:r>
      <w:r w:rsidRPr="00A2269A" w:rsidR="00A2269A">
        <w:rPr>
          <w:noProof/>
        </w:rPr>
        <w:t>29</w:t>
      </w:r>
      <w:r>
        <w:rPr>
          <w:noProof/>
        </w:rPr>
        <w:fldChar w:fldCharType="end"/>
      </w:r>
      <w:r w:rsidRPr="00A2269A" w:rsidR="00AA3713">
        <w:t xml:space="preserve">.  The </w:t>
      </w:r>
      <w:r w:rsidRPr="00A2269A" w:rsidR="00AA3713">
        <w:rPr>
          <w:rFonts w:eastAsiaTheme="majorEastAsia"/>
        </w:rPr>
        <w:t>Court considers that in accordance with Rule 42 § 1 of the Rules of Court the applications should be joined, given their similar factual and legal background.</w:t>
      </w:r>
    </w:p>
    <w:p w:rsidRPr="00A2269A" w:rsidR="00014566" w:rsidP="00A2269A" w:rsidRDefault="00AA3713">
      <w:pPr>
        <w:pStyle w:val="ECHRHeading1"/>
        <w:rPr>
          <w:lang w:val="en-GB"/>
        </w:rPr>
      </w:pPr>
      <w:r w:rsidRPr="00A2269A">
        <w:rPr>
          <w:lang w:val="en-GB"/>
        </w:rPr>
        <w:t>I</w:t>
      </w:r>
      <w:r w:rsidRPr="00A2269A" w:rsidR="00014566">
        <w:rPr>
          <w:lang w:val="en-GB"/>
        </w:rPr>
        <w:t xml:space="preserve">I.  ALLEGED VIOLATION OF ARTICLE </w:t>
      </w:r>
      <w:r w:rsidRPr="00A2269A" w:rsidR="00E54957">
        <w:rPr>
          <w:lang w:val="en-GB"/>
        </w:rPr>
        <w:t>6</w:t>
      </w:r>
      <w:r w:rsidRPr="00A2269A" w:rsidR="00014566">
        <w:rPr>
          <w:lang w:val="en-GB"/>
        </w:rPr>
        <w:t xml:space="preserve"> </w:t>
      </w:r>
      <w:r w:rsidRPr="00A2269A" w:rsidR="00E54957">
        <w:rPr>
          <w:lang w:val="en-GB"/>
        </w:rPr>
        <w:t xml:space="preserve">§ 1 </w:t>
      </w:r>
      <w:r w:rsidRPr="00A2269A" w:rsidR="00014566">
        <w:rPr>
          <w:lang w:val="en-GB"/>
        </w:rPr>
        <w:t>OF THE CONVENTION</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30</w:t>
      </w:r>
      <w:r w:rsidRPr="00A2269A">
        <w:rPr>
          <w:lang w:val="en-GB"/>
        </w:rPr>
        <w:fldChar w:fldCharType="end"/>
      </w:r>
      <w:r w:rsidRPr="00A2269A" w:rsidR="00014566">
        <w:rPr>
          <w:lang w:val="en-GB"/>
        </w:rPr>
        <w:t>.  The applicant</w:t>
      </w:r>
      <w:r w:rsidRPr="00A2269A">
        <w:rPr>
          <w:lang w:val="en-GB"/>
        </w:rPr>
        <w:t>s</w:t>
      </w:r>
      <w:r w:rsidRPr="00A2269A" w:rsidR="00014566">
        <w:rPr>
          <w:lang w:val="en-GB"/>
        </w:rPr>
        <w:t xml:space="preserve"> co</w:t>
      </w:r>
      <w:r w:rsidRPr="00A2269A" w:rsidR="00E54957">
        <w:rPr>
          <w:lang w:val="en-GB"/>
        </w:rPr>
        <w:t xml:space="preserve">mplained </w:t>
      </w:r>
      <w:r w:rsidRPr="00A2269A" w:rsidR="002F219C">
        <w:rPr>
          <w:lang w:val="en-GB"/>
        </w:rPr>
        <w:t xml:space="preserve">that </w:t>
      </w:r>
      <w:r w:rsidRPr="00A2269A" w:rsidR="00E54957">
        <w:rPr>
          <w:lang w:val="en-GB"/>
        </w:rPr>
        <w:t>their right to a fair trial had been violated because the reasons for their conviction had been given by judge</w:t>
      </w:r>
      <w:r w:rsidRPr="00A2269A" w:rsidR="00F32D49">
        <w:rPr>
          <w:lang w:val="en-GB"/>
        </w:rPr>
        <w:t>s</w:t>
      </w:r>
      <w:r w:rsidRPr="00A2269A" w:rsidR="00E54957">
        <w:rPr>
          <w:lang w:val="en-GB"/>
        </w:rPr>
        <w:t xml:space="preserve"> who had not reached the verdict and had not participated in the trial. </w:t>
      </w:r>
      <w:r w:rsidRPr="00A2269A" w:rsidR="003175F1">
        <w:rPr>
          <w:lang w:val="en-GB"/>
        </w:rPr>
        <w:t xml:space="preserve">They relied on </w:t>
      </w:r>
      <w:r w:rsidRPr="00A2269A" w:rsidR="00014566">
        <w:rPr>
          <w:lang w:val="en-GB"/>
        </w:rPr>
        <w:t xml:space="preserve">Article </w:t>
      </w:r>
      <w:r w:rsidRPr="00A2269A" w:rsidR="00E54957">
        <w:rPr>
          <w:lang w:val="en-GB"/>
        </w:rPr>
        <w:t>6 § 1</w:t>
      </w:r>
      <w:r w:rsidRPr="00A2269A" w:rsidR="00014566">
        <w:rPr>
          <w:lang w:val="en-GB"/>
        </w:rPr>
        <w:t xml:space="preserve"> of the Convention</w:t>
      </w:r>
      <w:r w:rsidRPr="00A2269A" w:rsidR="003175F1">
        <w:rPr>
          <w:lang w:val="en-GB"/>
        </w:rPr>
        <w:t xml:space="preserve"> which, in so far as relevant,</w:t>
      </w:r>
      <w:r w:rsidRPr="00A2269A" w:rsidR="00E54957">
        <w:rPr>
          <w:lang w:val="en-GB"/>
        </w:rPr>
        <w:t xml:space="preserve"> </w:t>
      </w:r>
      <w:r w:rsidRPr="00A2269A" w:rsidR="00014566">
        <w:rPr>
          <w:lang w:val="en-GB"/>
        </w:rPr>
        <w:t>reads as follows:</w:t>
      </w:r>
    </w:p>
    <w:p w:rsidRPr="00A2269A" w:rsidR="00014566" w:rsidP="00A2269A" w:rsidRDefault="00E54957">
      <w:pPr>
        <w:pStyle w:val="ECHRParaQuote"/>
        <w:rPr>
          <w:lang w:val="en-GB"/>
        </w:rPr>
      </w:pPr>
      <w:r w:rsidRPr="00A2269A">
        <w:t>“In the determination of ... any criminal charge against him, everyone is entitled to a fair ... hearing ... by [a] ... tribunal ...”</w:t>
      </w:r>
      <w:r w:rsidRPr="00A2269A">
        <w:rPr>
          <w:lang w:val="en-GB"/>
        </w:rPr>
        <w:tab/>
      </w:r>
    </w:p>
    <w:p w:rsidRPr="00A2269A" w:rsidR="00014566" w:rsidP="00A2269A" w:rsidRDefault="00014566">
      <w:pPr>
        <w:pStyle w:val="ECHRHeading2"/>
        <w:rPr>
          <w:lang w:val="en-GB"/>
        </w:rPr>
      </w:pPr>
      <w:r w:rsidRPr="00A2269A">
        <w:rPr>
          <w:lang w:val="en-GB"/>
        </w:rPr>
        <w:t>A.  Admissibility</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31</w:t>
      </w:r>
      <w:r w:rsidRPr="00A2269A">
        <w:rPr>
          <w:lang w:val="en-GB"/>
        </w:rPr>
        <w:fldChar w:fldCharType="end"/>
      </w:r>
      <w:r w:rsidRPr="00A2269A" w:rsidR="00014566">
        <w:rPr>
          <w:lang w:val="en-GB"/>
        </w:rPr>
        <w:t xml:space="preserve">.  The </w:t>
      </w:r>
      <w:r w:rsidRPr="00A2269A" w:rsidR="00E54957">
        <w:rPr>
          <w:lang w:val="en-GB"/>
        </w:rPr>
        <w:t xml:space="preserve">Court notes that </w:t>
      </w:r>
      <w:r w:rsidRPr="00A2269A" w:rsidR="00014566">
        <w:rPr>
          <w:lang w:val="en-GB"/>
        </w:rPr>
        <w:t>this complaint is not manifestly ill-founded within the meaning of Article 35 § 3 (a) of the Convention. It further notes that it is not inadmissible on any other grounds. It must therefore be declared admissible.</w:t>
      </w:r>
    </w:p>
    <w:p w:rsidRPr="00A2269A" w:rsidR="00014566" w:rsidP="00A2269A" w:rsidRDefault="00014566">
      <w:pPr>
        <w:pStyle w:val="ECHRHeading2"/>
        <w:rPr>
          <w:lang w:val="en-GB"/>
        </w:rPr>
      </w:pPr>
      <w:r w:rsidRPr="00A2269A">
        <w:rPr>
          <w:lang w:val="en-GB"/>
        </w:rPr>
        <w:t>B.  Merits</w:t>
      </w:r>
    </w:p>
    <w:p w:rsidRPr="00A2269A" w:rsidR="00F83488" w:rsidP="00A2269A" w:rsidRDefault="00C92246">
      <w:pPr>
        <w:pStyle w:val="ECHRHeading3"/>
        <w:rPr>
          <w:rFonts w:eastAsiaTheme="minorHAnsi"/>
          <w:lang w:val="en-GB"/>
        </w:rPr>
      </w:pPr>
      <w:r w:rsidRPr="00A2269A">
        <w:rPr>
          <w:rFonts w:eastAsiaTheme="minorHAnsi"/>
          <w:lang w:val="en-GB"/>
        </w:rPr>
        <w:t>1</w:t>
      </w:r>
      <w:r w:rsidRPr="00A2269A" w:rsidR="00E54957">
        <w:rPr>
          <w:rFonts w:eastAsiaTheme="minorHAnsi"/>
          <w:lang w:val="en-GB"/>
        </w:rPr>
        <w:t xml:space="preserve">.  The </w:t>
      </w:r>
      <w:r w:rsidRPr="00A2269A" w:rsidR="00931946">
        <w:rPr>
          <w:rFonts w:eastAsiaTheme="minorHAnsi"/>
          <w:lang w:val="en-GB"/>
        </w:rPr>
        <w:t>parties</w:t>
      </w:r>
      <w:r w:rsidRPr="00A2269A" w:rsidR="00A2269A">
        <w:rPr>
          <w:rFonts w:eastAsiaTheme="minorHAnsi"/>
          <w:lang w:val="en-GB"/>
        </w:rPr>
        <w:t>’</w:t>
      </w:r>
      <w:r w:rsidRPr="00A2269A" w:rsidR="00931946">
        <w:rPr>
          <w:rFonts w:eastAsiaTheme="minorHAnsi"/>
          <w:lang w:val="en-GB"/>
        </w:rPr>
        <w:t xml:space="preserve"> arguments</w:t>
      </w:r>
    </w:p>
    <w:p w:rsidRPr="00A2269A" w:rsidR="00F83488" w:rsidP="00A2269A" w:rsidRDefault="00881803">
      <w:pPr>
        <w:pStyle w:val="ECHRPara"/>
      </w:pPr>
      <w:r>
        <w:fldChar w:fldCharType="begin"/>
      </w:r>
      <w:r>
        <w:instrText xml:space="preserve"> SEQ level0 \*arabic </w:instrText>
      </w:r>
      <w:r>
        <w:fldChar w:fldCharType="separate"/>
      </w:r>
      <w:r w:rsidRPr="00A2269A" w:rsidR="00A2269A">
        <w:rPr>
          <w:noProof/>
        </w:rPr>
        <w:t>32</w:t>
      </w:r>
      <w:r>
        <w:rPr>
          <w:noProof/>
        </w:rPr>
        <w:fldChar w:fldCharType="end"/>
      </w:r>
      <w:r w:rsidRPr="00A2269A" w:rsidR="00931946">
        <w:t xml:space="preserve">.  The applicants </w:t>
      </w:r>
      <w:r w:rsidRPr="00A2269A" w:rsidR="00C14D49">
        <w:t>argued</w:t>
      </w:r>
      <w:r w:rsidRPr="00A2269A" w:rsidR="00931946">
        <w:t xml:space="preserve"> that the criminal proceedings against them </w:t>
      </w:r>
      <w:r w:rsidRPr="00A2269A" w:rsidR="00B6564B">
        <w:t>had been</w:t>
      </w:r>
      <w:r w:rsidRPr="00A2269A" w:rsidR="00931946">
        <w:t xml:space="preserve"> </w:t>
      </w:r>
      <w:r w:rsidRPr="00A2269A" w:rsidR="00B6564B">
        <w:t xml:space="preserve">unfair </w:t>
      </w:r>
      <w:r w:rsidRPr="00A2269A" w:rsidR="0057759C">
        <w:t xml:space="preserve">owing </w:t>
      </w:r>
      <w:r w:rsidRPr="00A2269A" w:rsidR="00931946">
        <w:t>to the fact that the</w:t>
      </w:r>
      <w:r w:rsidRPr="00A2269A" w:rsidR="00A51197">
        <w:t xml:space="preserve"> judge who had conducted the trial and had convicted them had not given reasons for her decision. Instead, written </w:t>
      </w:r>
      <w:r w:rsidRPr="00A2269A" w:rsidR="00931946">
        <w:t xml:space="preserve">judgments </w:t>
      </w:r>
      <w:r w:rsidRPr="00A2269A" w:rsidR="00D5172C">
        <w:t xml:space="preserve">had been </w:t>
      </w:r>
      <w:r w:rsidRPr="00A2269A" w:rsidR="00931946">
        <w:t>given</w:t>
      </w:r>
      <w:r w:rsidRPr="00A2269A" w:rsidR="00A51197">
        <w:t>,</w:t>
      </w:r>
      <w:r w:rsidRPr="00A2269A" w:rsidR="00931946">
        <w:t xml:space="preserve"> </w:t>
      </w:r>
      <w:r w:rsidRPr="00A2269A" w:rsidR="00A51197">
        <w:t xml:space="preserve">three years later, by judges who had not participated in the </w:t>
      </w:r>
      <w:r w:rsidRPr="00A2269A" w:rsidR="00512B01">
        <w:t>applicants</w:t>
      </w:r>
      <w:r w:rsidRPr="00A2269A" w:rsidR="00A2269A">
        <w:t>’</w:t>
      </w:r>
      <w:r w:rsidRPr="00A2269A" w:rsidR="00D5172C">
        <w:t xml:space="preserve"> </w:t>
      </w:r>
      <w:r w:rsidRPr="00A2269A" w:rsidR="00A51197">
        <w:t>trials.</w:t>
      </w:r>
      <w:r w:rsidRPr="00A2269A" w:rsidR="00931946">
        <w:t xml:space="preserve"> </w:t>
      </w:r>
      <w:r w:rsidRPr="00A2269A" w:rsidR="00CE1AE7">
        <w:t xml:space="preserve">Those judges </w:t>
      </w:r>
      <w:r w:rsidRPr="00A2269A" w:rsidR="00D5172C">
        <w:t xml:space="preserve">had </w:t>
      </w:r>
      <w:r w:rsidRPr="00A2269A" w:rsidR="00CE1AE7">
        <w:t xml:space="preserve">had to justify a decision which </w:t>
      </w:r>
      <w:r w:rsidRPr="00A2269A" w:rsidR="00D5172C">
        <w:t xml:space="preserve">had not been </w:t>
      </w:r>
      <w:r w:rsidRPr="00A2269A" w:rsidR="00CE1AE7">
        <w:t xml:space="preserve">theirs and </w:t>
      </w:r>
      <w:r w:rsidRPr="00A2269A" w:rsidR="00D5172C">
        <w:t xml:space="preserve">had </w:t>
      </w:r>
      <w:r w:rsidRPr="00A2269A" w:rsidR="00CE1AE7">
        <w:t xml:space="preserve">therefore not </w:t>
      </w:r>
      <w:r w:rsidRPr="00A2269A" w:rsidR="00FC6275">
        <w:t xml:space="preserve">had freedom of </w:t>
      </w:r>
      <w:r w:rsidRPr="00A2269A" w:rsidR="00CE1AE7">
        <w:t>act</w:t>
      </w:r>
      <w:r w:rsidRPr="00A2269A" w:rsidR="00FC6275">
        <w:t>ion</w:t>
      </w:r>
      <w:r w:rsidRPr="00A2269A" w:rsidR="00CE1AE7">
        <w:t xml:space="preserve">. </w:t>
      </w:r>
      <w:r w:rsidRPr="00A2269A" w:rsidR="00931946">
        <w:t xml:space="preserve">The applicants </w:t>
      </w:r>
      <w:r w:rsidRPr="00A2269A" w:rsidR="00512B01">
        <w:t xml:space="preserve">argued </w:t>
      </w:r>
      <w:r w:rsidRPr="00A2269A" w:rsidR="00931946">
        <w:t xml:space="preserve">that the separation of the roles of </w:t>
      </w:r>
      <w:r w:rsidRPr="00A2269A" w:rsidR="00764C27">
        <w:rPr>
          <w:lang w:val="en-GB"/>
        </w:rPr>
        <w:t>the judge who had conducted the trial and</w:t>
      </w:r>
      <w:r w:rsidRPr="00A2269A" w:rsidR="00931946">
        <w:t xml:space="preserve"> pronounced the verdicts </w:t>
      </w:r>
      <w:r w:rsidRPr="00A2269A" w:rsidR="002F2C99">
        <w:t>in th</w:t>
      </w:r>
      <w:r w:rsidRPr="00A2269A" w:rsidR="00D44694">
        <w:t>eir</w:t>
      </w:r>
      <w:r w:rsidRPr="00A2269A" w:rsidR="002F2C99">
        <w:t xml:space="preserve"> case </w:t>
      </w:r>
      <w:r w:rsidRPr="00A2269A" w:rsidR="00931946">
        <w:t>and the ju</w:t>
      </w:r>
      <w:r w:rsidRPr="00A2269A" w:rsidR="00B6564B">
        <w:t xml:space="preserve">dges who </w:t>
      </w:r>
      <w:r w:rsidRPr="00A2269A" w:rsidR="002946CB">
        <w:t xml:space="preserve">had </w:t>
      </w:r>
      <w:r w:rsidRPr="00A2269A" w:rsidR="002F2C99">
        <w:t xml:space="preserve">then </w:t>
      </w:r>
      <w:r w:rsidRPr="00A2269A" w:rsidR="00B6564B">
        <w:t>wr</w:t>
      </w:r>
      <w:r w:rsidRPr="00A2269A" w:rsidR="002946CB">
        <w:t>itten</w:t>
      </w:r>
      <w:r w:rsidRPr="00A2269A" w:rsidR="00B6564B">
        <w:t xml:space="preserve"> the judgments</w:t>
      </w:r>
      <w:r w:rsidRPr="00A2269A" w:rsidR="00A51197">
        <w:t xml:space="preserve"> had not been envisaged in the </w:t>
      </w:r>
      <w:r w:rsidRPr="00A2269A" w:rsidR="00FC6275">
        <w:t xml:space="preserve">relevant </w:t>
      </w:r>
      <w:r w:rsidRPr="00A2269A" w:rsidR="00A51197">
        <w:t>legislation</w:t>
      </w:r>
      <w:r w:rsidRPr="00A2269A" w:rsidR="00CE1AE7">
        <w:t xml:space="preserve"> and </w:t>
      </w:r>
      <w:r w:rsidRPr="00A2269A" w:rsidR="002F2C99">
        <w:t xml:space="preserve">had </w:t>
      </w:r>
      <w:r w:rsidRPr="00A2269A" w:rsidR="00931946">
        <w:t xml:space="preserve">not </w:t>
      </w:r>
      <w:r w:rsidRPr="00A2269A" w:rsidR="002F2C99">
        <w:t xml:space="preserve">been </w:t>
      </w:r>
      <w:r w:rsidRPr="00A2269A" w:rsidR="00931946">
        <w:t>consistent</w:t>
      </w:r>
      <w:r w:rsidRPr="00A2269A" w:rsidR="00A51197">
        <w:t xml:space="preserve"> with the principle of immediacy. </w:t>
      </w:r>
      <w:r w:rsidRPr="00A2269A" w:rsidR="00931946">
        <w:t>They allege</w:t>
      </w:r>
      <w:r w:rsidRPr="00A2269A" w:rsidR="00B6564B">
        <w:t>d</w:t>
      </w:r>
      <w:r w:rsidRPr="00A2269A" w:rsidR="00CE1AE7">
        <w:t xml:space="preserve"> in this connection</w:t>
      </w:r>
      <w:r w:rsidRPr="00A2269A" w:rsidR="00931946">
        <w:t xml:space="preserve"> that the credibility of their defence and the witnesses</w:t>
      </w:r>
      <w:r w:rsidRPr="00A2269A" w:rsidR="00A2269A">
        <w:t>’</w:t>
      </w:r>
      <w:r w:rsidRPr="00A2269A" w:rsidR="00931946">
        <w:t xml:space="preserve"> statements </w:t>
      </w:r>
      <w:r w:rsidRPr="00A2269A" w:rsidR="00B6564B">
        <w:t>had been</w:t>
      </w:r>
      <w:r w:rsidRPr="00A2269A" w:rsidR="00931946">
        <w:t xml:space="preserve"> decided by judge</w:t>
      </w:r>
      <w:r w:rsidRPr="00A2269A" w:rsidR="00B6564B">
        <w:t>s</w:t>
      </w:r>
      <w:r w:rsidRPr="00A2269A" w:rsidR="00931946">
        <w:t xml:space="preserve"> who </w:t>
      </w:r>
      <w:r w:rsidRPr="00A2269A" w:rsidR="00B6564B">
        <w:t>had</w:t>
      </w:r>
      <w:r w:rsidRPr="00A2269A" w:rsidR="00931946">
        <w:t xml:space="preserve"> not</w:t>
      </w:r>
      <w:r w:rsidRPr="00A2269A" w:rsidR="00B6564B">
        <w:t xml:space="preserve"> been</w:t>
      </w:r>
      <w:r w:rsidRPr="00A2269A" w:rsidR="00931946">
        <w:t xml:space="preserve"> able to make any direct assessment of those statements and arguments</w:t>
      </w:r>
      <w:r w:rsidRPr="00A2269A" w:rsidR="00B6564B">
        <w:t>.</w:t>
      </w:r>
    </w:p>
    <w:bookmarkStart w:name="APPhighercourtnotremedy" w:id="8"/>
    <w:p w:rsidRPr="00A2269A" w:rsidR="002946CB" w:rsidP="00A2269A" w:rsidRDefault="00783D95">
      <w:pPr>
        <w:pStyle w:val="ECHRPara"/>
      </w:pPr>
      <w:r w:rsidRPr="00A2269A">
        <w:fldChar w:fldCharType="begin"/>
      </w:r>
      <w:r w:rsidRPr="00A2269A">
        <w:instrText xml:space="preserve"> SEQ level0 \*arabic </w:instrText>
      </w:r>
      <w:r w:rsidRPr="00A2269A">
        <w:fldChar w:fldCharType="separate"/>
      </w:r>
      <w:r w:rsidRPr="00A2269A" w:rsidR="00A2269A">
        <w:rPr>
          <w:noProof/>
        </w:rPr>
        <w:t>33</w:t>
      </w:r>
      <w:r w:rsidRPr="00A2269A">
        <w:rPr>
          <w:noProof/>
        </w:rPr>
        <w:fldChar w:fldCharType="end"/>
      </w:r>
      <w:bookmarkEnd w:id="8"/>
      <w:r w:rsidRPr="00A2269A" w:rsidR="002946CB">
        <w:t>.  The applicant</w:t>
      </w:r>
      <w:r w:rsidRPr="00A2269A" w:rsidR="0057759C">
        <w:t>s</w:t>
      </w:r>
      <w:r w:rsidRPr="00A2269A" w:rsidR="006D6BBF">
        <w:t>,</w:t>
      </w:r>
      <w:r w:rsidRPr="00A2269A" w:rsidR="002946CB">
        <w:t xml:space="preserve"> moreover</w:t>
      </w:r>
      <w:r w:rsidRPr="00A2269A" w:rsidR="006D6BBF">
        <w:t>,</w:t>
      </w:r>
      <w:r w:rsidRPr="00A2269A" w:rsidR="002946CB">
        <w:t xml:space="preserve"> argued that </w:t>
      </w:r>
      <w:r w:rsidRPr="00A2269A" w:rsidR="0038686C">
        <w:t>the breach of their right to a fair trial had not been remedied by the higher court</w:t>
      </w:r>
      <w:r w:rsidRPr="00A2269A" w:rsidR="00F32D49">
        <w:t>s</w:t>
      </w:r>
      <w:r w:rsidRPr="00A2269A" w:rsidR="0038686C">
        <w:t>.</w:t>
      </w:r>
    </w:p>
    <w:p w:rsidRPr="00A2269A" w:rsidR="00C565B5" w:rsidP="00A2269A" w:rsidRDefault="00881803">
      <w:pPr>
        <w:pStyle w:val="ECHRPara"/>
        <w:rPr>
          <w:rFonts w:ascii="TimesNewRomanPS-ItalicMT" w:hAnsi="TimesNewRomanPS-ItalicMT" w:cs="TimesNewRomanPS-ItalicMT" w:eastAsiaTheme="minorHAnsi"/>
          <w:iCs/>
          <w:color w:val="000000"/>
          <w:szCs w:val="24"/>
        </w:rPr>
      </w:pPr>
      <w:r>
        <w:fldChar w:fldCharType="begin"/>
      </w:r>
      <w:r>
        <w:instrText xml:space="preserve"> SEQ level0 \*arabic </w:instrText>
      </w:r>
      <w:r>
        <w:fldChar w:fldCharType="separate"/>
      </w:r>
      <w:r w:rsidRPr="00A2269A" w:rsidR="00A2269A">
        <w:rPr>
          <w:noProof/>
        </w:rPr>
        <w:t>34</w:t>
      </w:r>
      <w:r>
        <w:rPr>
          <w:noProof/>
        </w:rPr>
        <w:fldChar w:fldCharType="end"/>
      </w:r>
      <w:r w:rsidRPr="00A2269A" w:rsidR="00931946">
        <w:t>.  The Government asserted that the proceedings against the applicants had been fair. In particular</w:t>
      </w:r>
      <w:r w:rsidRPr="00A2269A" w:rsidR="006D6BBF">
        <w:t>,</w:t>
      </w:r>
      <w:r w:rsidRPr="00A2269A" w:rsidR="00931946">
        <w:t xml:space="preserve"> the applicant</w:t>
      </w:r>
      <w:r w:rsidRPr="00A2269A" w:rsidR="006D6BBF">
        <w:t>s</w:t>
      </w:r>
      <w:r w:rsidRPr="00A2269A" w:rsidR="00931946">
        <w:t xml:space="preserve"> had not shown that the reason</w:t>
      </w:r>
      <w:r w:rsidRPr="00A2269A" w:rsidR="0057759C">
        <w:t xml:space="preserve">ing in the written </w:t>
      </w:r>
      <w:r w:rsidRPr="00A2269A" w:rsidR="00931946">
        <w:t>judgment</w:t>
      </w:r>
      <w:r w:rsidRPr="00A2269A" w:rsidR="006D6BBF">
        <w:t>s</w:t>
      </w:r>
      <w:r w:rsidRPr="00A2269A" w:rsidR="00931946">
        <w:t xml:space="preserve"> had been incorrect or deficient. Referring to the Supreme Court</w:t>
      </w:r>
      <w:r w:rsidRPr="00A2269A" w:rsidR="00A2269A">
        <w:t>’</w:t>
      </w:r>
      <w:r w:rsidRPr="00A2269A" w:rsidR="00931946">
        <w:t xml:space="preserve">s view (see paragraph </w:t>
      </w:r>
      <w:r w:rsidRPr="00A2269A" w:rsidR="00B63815">
        <w:rPr>
          <w:noProof/>
          <w:lang w:val="en-GB"/>
        </w:rPr>
        <w:t>19</w:t>
      </w:r>
      <w:r w:rsidRPr="00A2269A" w:rsidR="00931946">
        <w:t xml:space="preserve"> above), they argued that the principle of immediacy had been respected because the verdict had been given by </w:t>
      </w:r>
      <w:r w:rsidRPr="00A2269A" w:rsidR="006D6BBF">
        <w:t>J</w:t>
      </w:r>
      <w:r w:rsidRPr="00A2269A" w:rsidR="00931946">
        <w:t>udge</w:t>
      </w:r>
      <w:r w:rsidRPr="00A2269A" w:rsidR="00E16D50">
        <w:t xml:space="preserve"> A.K.</w:t>
      </w:r>
      <w:r w:rsidRPr="00A2269A" w:rsidR="0057759C">
        <w:t>,</w:t>
      </w:r>
      <w:r w:rsidRPr="00A2269A" w:rsidR="00931946">
        <w:t xml:space="preserve"> who had </w:t>
      </w:r>
      <w:r w:rsidRPr="00A2269A" w:rsidR="00E16D50">
        <w:t>directly observed and examined the evidence. All the evidence in the present case had been pr</w:t>
      </w:r>
      <w:r w:rsidRPr="00A2269A" w:rsidR="00014F7D">
        <w:t>esented</w:t>
      </w:r>
      <w:r w:rsidRPr="00A2269A" w:rsidR="00E16D50">
        <w:t xml:space="preserve"> at the main hearing</w:t>
      </w:r>
      <w:r w:rsidRPr="00A2269A" w:rsidR="006D6BBF">
        <w:t>,</w:t>
      </w:r>
      <w:r w:rsidRPr="00A2269A" w:rsidR="00E16D50">
        <w:t xml:space="preserve"> which had been presided </w:t>
      </w:r>
      <w:r w:rsidRPr="00A2269A" w:rsidR="006D6BBF">
        <w:t xml:space="preserve">over </w:t>
      </w:r>
      <w:r w:rsidRPr="00A2269A" w:rsidR="00E16D50">
        <w:t xml:space="preserve">by A.K. </w:t>
      </w:r>
      <w:r w:rsidRPr="00A2269A" w:rsidR="00311D9E">
        <w:t xml:space="preserve">The latter </w:t>
      </w:r>
      <w:r w:rsidRPr="00A2269A" w:rsidR="006D6BBF">
        <w:t xml:space="preserve">had </w:t>
      </w:r>
      <w:r w:rsidRPr="00A2269A" w:rsidR="00E16D50">
        <w:t>pronounced her verdict and had given brief reasons for it</w:t>
      </w:r>
      <w:r w:rsidRPr="00A2269A" w:rsidR="006D6BBF">
        <w:t xml:space="preserve"> orally</w:t>
      </w:r>
      <w:r w:rsidRPr="00A2269A" w:rsidR="00E16D50">
        <w:t>, as required by the procedural law</w:t>
      </w:r>
      <w:r w:rsidRPr="00A2269A" w:rsidR="006702E2">
        <w:t xml:space="preserve"> (see paragraph</w:t>
      </w:r>
      <w:r w:rsidRPr="00A2269A" w:rsidR="00F32D49">
        <w:t xml:space="preserve"> </w:t>
      </w:r>
      <w:r w:rsidRPr="00A2269A" w:rsidR="00B63815">
        <w:rPr>
          <w:noProof/>
        </w:rPr>
        <w:t>22</w:t>
      </w:r>
      <w:r w:rsidRPr="00A2269A" w:rsidR="00F32D49">
        <w:t xml:space="preserve"> </w:t>
      </w:r>
      <w:r w:rsidRPr="00A2269A" w:rsidR="006702E2">
        <w:t>above.)</w:t>
      </w:r>
      <w:r w:rsidRPr="00A2269A" w:rsidR="00E16D50">
        <w:t xml:space="preserve"> </w:t>
      </w:r>
      <w:r w:rsidRPr="00A2269A" w:rsidR="00790B66">
        <w:t>Th</w:t>
      </w:r>
      <w:r w:rsidRPr="00A2269A" w:rsidR="006D6BBF">
        <w:t>e</w:t>
      </w:r>
      <w:r w:rsidRPr="00A2269A" w:rsidR="00790B66">
        <w:t xml:space="preserve"> verdict </w:t>
      </w:r>
      <w:r w:rsidRPr="00A2269A" w:rsidR="006D6BBF">
        <w:t xml:space="preserve">had been </w:t>
      </w:r>
      <w:r w:rsidRPr="00A2269A" w:rsidR="00790B66">
        <w:t xml:space="preserve">binding and could </w:t>
      </w:r>
      <w:r w:rsidRPr="00A2269A" w:rsidR="006D6BBF">
        <w:t xml:space="preserve">only </w:t>
      </w:r>
      <w:r w:rsidRPr="00A2269A" w:rsidR="00790B66">
        <w:t>have</w:t>
      </w:r>
      <w:r w:rsidRPr="00A2269A" w:rsidR="00C565B5">
        <w:t xml:space="preserve"> been overturned on appeal. </w:t>
      </w:r>
      <w:r w:rsidRPr="00A2269A" w:rsidR="00C565B5">
        <w:rPr>
          <w:rFonts w:ascii="TimesNewRomanPS-ItalicMT" w:hAnsi="TimesNewRomanPS-ItalicMT" w:cs="TimesNewRomanPS-ItalicMT" w:eastAsiaTheme="minorHAnsi"/>
          <w:iCs/>
          <w:color w:val="000000"/>
          <w:szCs w:val="24"/>
        </w:rPr>
        <w:t xml:space="preserve">The </w:t>
      </w:r>
      <w:r w:rsidRPr="00A2269A" w:rsidR="00DC3CA6">
        <w:rPr>
          <w:rFonts w:ascii="TimesNewRomanPS-ItalicMT" w:hAnsi="TimesNewRomanPS-ItalicMT" w:cs="TimesNewRomanPS-ItalicMT" w:eastAsiaTheme="minorHAnsi"/>
          <w:iCs/>
          <w:color w:val="000000"/>
          <w:szCs w:val="24"/>
        </w:rPr>
        <w:t>G</w:t>
      </w:r>
      <w:r w:rsidRPr="00A2269A" w:rsidR="00C565B5">
        <w:rPr>
          <w:rFonts w:ascii="TimesNewRomanPS-ItalicMT" w:hAnsi="TimesNewRomanPS-ItalicMT" w:cs="TimesNewRomanPS-ItalicMT" w:eastAsiaTheme="minorHAnsi"/>
          <w:iCs/>
          <w:color w:val="000000"/>
          <w:szCs w:val="24"/>
        </w:rPr>
        <w:t xml:space="preserve">overnment further submitted that </w:t>
      </w:r>
      <w:r w:rsidRPr="00A2269A" w:rsidR="006D6BBF">
        <w:rPr>
          <w:rFonts w:ascii="TimesNewRomanPS-ItalicMT" w:hAnsi="TimesNewRomanPS-ItalicMT" w:cs="TimesNewRomanPS-ItalicMT" w:eastAsiaTheme="minorHAnsi"/>
          <w:iCs/>
          <w:color w:val="000000"/>
          <w:szCs w:val="24"/>
        </w:rPr>
        <w:t xml:space="preserve">it was </w:t>
      </w:r>
      <w:r w:rsidRPr="00A2269A" w:rsidR="00C565B5">
        <w:rPr>
          <w:rFonts w:ascii="TimesNewRomanPS-ItalicMT" w:hAnsi="TimesNewRomanPS-ItalicMT" w:cs="TimesNewRomanPS-ItalicMT" w:eastAsiaTheme="minorHAnsi"/>
          <w:iCs/>
          <w:color w:val="000000"/>
          <w:szCs w:val="24"/>
        </w:rPr>
        <w:t>only the verdict</w:t>
      </w:r>
      <w:r w:rsidRPr="00A2269A" w:rsidR="00F32D49">
        <w:rPr>
          <w:rFonts w:ascii="TimesNewRomanPS-ItalicMT" w:hAnsi="TimesNewRomanPS-ItalicMT" w:cs="TimesNewRomanPS-ItalicMT" w:eastAsiaTheme="minorHAnsi"/>
          <w:iCs/>
          <w:color w:val="000000"/>
          <w:szCs w:val="24"/>
        </w:rPr>
        <w:t xml:space="preserve"> </w:t>
      </w:r>
      <w:r w:rsidRPr="00A2269A" w:rsidR="006D6BBF">
        <w:rPr>
          <w:rFonts w:ascii="TimesNewRomanPS-ItalicMT" w:hAnsi="TimesNewRomanPS-ItalicMT" w:cs="TimesNewRomanPS-ItalicMT" w:eastAsiaTheme="minorHAnsi"/>
          <w:iCs/>
          <w:color w:val="000000"/>
          <w:szCs w:val="24"/>
        </w:rPr>
        <w:t xml:space="preserve">that </w:t>
      </w:r>
      <w:r w:rsidRPr="00A2269A" w:rsidR="00F32D49">
        <w:rPr>
          <w:rFonts w:ascii="TimesNewRomanPS-ItalicMT" w:hAnsi="TimesNewRomanPS-ItalicMT" w:cs="TimesNewRomanPS-ItalicMT" w:eastAsiaTheme="minorHAnsi"/>
          <w:iCs/>
          <w:color w:val="000000"/>
          <w:szCs w:val="24"/>
        </w:rPr>
        <w:t>had</w:t>
      </w:r>
      <w:r w:rsidRPr="00A2269A" w:rsidR="00C565B5">
        <w:rPr>
          <w:rFonts w:ascii="TimesNewRomanPS-ItalicMT" w:hAnsi="TimesNewRomanPS-ItalicMT" w:cs="TimesNewRomanPS-ItalicMT" w:eastAsiaTheme="minorHAnsi"/>
          <w:iCs/>
          <w:color w:val="000000"/>
          <w:szCs w:val="24"/>
        </w:rPr>
        <w:t xml:space="preserve"> </w:t>
      </w:r>
      <w:r w:rsidRPr="00A2269A" w:rsidR="00F32D49">
        <w:rPr>
          <w:rFonts w:ascii="TimesNewRomanPS-ItalicMT" w:hAnsi="TimesNewRomanPS-ItalicMT" w:cs="TimesNewRomanPS-ItalicMT" w:eastAsiaTheme="minorHAnsi"/>
          <w:iCs/>
          <w:color w:val="000000"/>
          <w:szCs w:val="24"/>
        </w:rPr>
        <w:t>become</w:t>
      </w:r>
      <w:r w:rsidRPr="00A2269A" w:rsidR="00C565B5">
        <w:rPr>
          <w:rFonts w:ascii="TimesNewRomanPS-ItalicMT" w:hAnsi="TimesNewRomanPS-ItalicMT" w:cs="TimesNewRomanPS-ItalicMT" w:eastAsiaTheme="minorHAnsi"/>
          <w:iCs/>
          <w:color w:val="000000"/>
          <w:szCs w:val="24"/>
        </w:rPr>
        <w:t xml:space="preserve"> final and that the reasoning had served </w:t>
      </w:r>
      <w:r w:rsidRPr="00A2269A" w:rsidR="00F32D49">
        <w:rPr>
          <w:rFonts w:ascii="TimesNewRomanPS-ItalicMT" w:hAnsi="TimesNewRomanPS-ItalicMT" w:cs="TimesNewRomanPS-ItalicMT" w:eastAsiaTheme="minorHAnsi"/>
          <w:iCs/>
          <w:color w:val="000000"/>
          <w:szCs w:val="24"/>
        </w:rPr>
        <w:t xml:space="preserve">merely to </w:t>
      </w:r>
      <w:r w:rsidRPr="00A2269A" w:rsidR="00C565B5">
        <w:rPr>
          <w:rFonts w:ascii="TimesNewRomanPS-ItalicMT" w:hAnsi="TimesNewRomanPS-ItalicMT" w:cs="TimesNewRomanPS-ItalicMT" w:eastAsiaTheme="minorHAnsi"/>
          <w:iCs/>
          <w:color w:val="000000"/>
          <w:szCs w:val="24"/>
        </w:rPr>
        <w:t xml:space="preserve">control </w:t>
      </w:r>
      <w:r w:rsidRPr="00A2269A" w:rsidR="00F32D49">
        <w:rPr>
          <w:rFonts w:ascii="TimesNewRomanPS-ItalicMT" w:hAnsi="TimesNewRomanPS-ItalicMT" w:cs="TimesNewRomanPS-ItalicMT" w:eastAsiaTheme="minorHAnsi"/>
          <w:iCs/>
          <w:color w:val="000000"/>
          <w:szCs w:val="24"/>
        </w:rPr>
        <w:t>the</w:t>
      </w:r>
      <w:r w:rsidRPr="00A2269A" w:rsidR="00C565B5">
        <w:rPr>
          <w:rFonts w:ascii="TimesNewRomanPS-ItalicMT" w:hAnsi="TimesNewRomanPS-ItalicMT" w:cs="TimesNewRomanPS-ItalicMT" w:eastAsiaTheme="minorHAnsi"/>
          <w:iCs/>
          <w:color w:val="000000"/>
          <w:szCs w:val="24"/>
        </w:rPr>
        <w:t xml:space="preserve"> correctness of the verdict</w:t>
      </w:r>
      <w:r w:rsidRPr="00A2269A" w:rsidR="000044FB">
        <w:rPr>
          <w:rFonts w:ascii="TimesNewRomanPS-ItalicMT" w:hAnsi="TimesNewRomanPS-ItalicMT" w:cs="TimesNewRomanPS-ItalicMT" w:eastAsiaTheme="minorHAnsi"/>
          <w:iCs/>
          <w:color w:val="000000"/>
          <w:szCs w:val="24"/>
        </w:rPr>
        <w:t xml:space="preserve"> by way of appeal.</w:t>
      </w:r>
    </w:p>
    <w:p w:rsidRPr="00A2269A" w:rsidR="00F83488" w:rsidP="00A2269A" w:rsidRDefault="00881803">
      <w:pPr>
        <w:pStyle w:val="ECHRPara"/>
      </w:pPr>
      <w:r>
        <w:fldChar w:fldCharType="begin"/>
      </w:r>
      <w:r>
        <w:instrText xml:space="preserve"> SEQ level0 \*arabic </w:instrText>
      </w:r>
      <w:r>
        <w:fldChar w:fldCharType="separate"/>
      </w:r>
      <w:r w:rsidRPr="00A2269A" w:rsidR="00A2269A">
        <w:rPr>
          <w:noProof/>
        </w:rPr>
        <w:t>35</w:t>
      </w:r>
      <w:r>
        <w:rPr>
          <w:noProof/>
        </w:rPr>
        <w:fldChar w:fldCharType="end"/>
      </w:r>
      <w:r w:rsidRPr="00A2269A" w:rsidR="00C565B5">
        <w:t>.  The Government further</w:t>
      </w:r>
      <w:r w:rsidRPr="00A2269A" w:rsidR="00C14D49">
        <w:t xml:space="preserve"> argued that although</w:t>
      </w:r>
      <w:r w:rsidRPr="00A2269A" w:rsidR="006D6BBF">
        <w:t>,</w:t>
      </w:r>
      <w:r w:rsidRPr="00A2269A" w:rsidR="00C14D49">
        <w:t xml:space="preserve"> as a rule</w:t>
      </w:r>
      <w:r w:rsidRPr="00A2269A" w:rsidR="006D6BBF">
        <w:t>,</w:t>
      </w:r>
      <w:r w:rsidRPr="00A2269A" w:rsidR="00C14D49">
        <w:t xml:space="preserve"> the same judge that reached the verdict </w:t>
      </w:r>
      <w:r w:rsidRPr="00A2269A" w:rsidR="00F32D49">
        <w:t xml:space="preserve">should </w:t>
      </w:r>
      <w:r w:rsidRPr="00A2269A" w:rsidR="00C14D49">
        <w:t xml:space="preserve">also </w:t>
      </w:r>
      <w:r w:rsidRPr="00A2269A" w:rsidR="00F32D49">
        <w:t xml:space="preserve">give </w:t>
      </w:r>
      <w:r w:rsidRPr="00A2269A" w:rsidR="00C14D49">
        <w:t xml:space="preserve">the written grounds for it, there could always be </w:t>
      </w:r>
      <w:r w:rsidRPr="00A2269A" w:rsidR="00742E1E">
        <w:t xml:space="preserve">exceptional </w:t>
      </w:r>
      <w:r w:rsidRPr="00A2269A" w:rsidR="00C14D49">
        <w:t>circumstances that prevented this from happening, such as death, sickness or other events leading to the suspension of the judicial function. Such circumstances were not explicitly regulated in the legislation</w:t>
      </w:r>
      <w:r w:rsidRPr="00A2269A" w:rsidR="00F32D49">
        <w:t xml:space="preserve">, but </w:t>
      </w:r>
      <w:r w:rsidRPr="00A2269A" w:rsidR="00C14D49">
        <w:t xml:space="preserve">it was reasonable to assume that </w:t>
      </w:r>
      <w:r w:rsidRPr="00A2269A" w:rsidR="00F32D49">
        <w:t xml:space="preserve">when they </w:t>
      </w:r>
      <w:r w:rsidRPr="00A2269A" w:rsidR="006D6BBF">
        <w:t xml:space="preserve">came about </w:t>
      </w:r>
      <w:r w:rsidRPr="00A2269A" w:rsidR="00C14D49">
        <w:t>the written ground</w:t>
      </w:r>
      <w:r w:rsidRPr="00A2269A" w:rsidR="00F32D49">
        <w:t>s</w:t>
      </w:r>
      <w:r w:rsidRPr="00A2269A" w:rsidR="00C14D49">
        <w:t xml:space="preserve"> were to be prepared by another judge</w:t>
      </w:r>
      <w:r w:rsidRPr="00A2269A" w:rsidR="006D6BBF">
        <w:t>, o</w:t>
      </w:r>
      <w:r w:rsidRPr="00A2269A" w:rsidR="00301E62">
        <w:t xml:space="preserve">therwise the case could become time-barred. A judge asked </w:t>
      </w:r>
      <w:r w:rsidRPr="00A2269A" w:rsidR="00F32D49">
        <w:t>to draft the</w:t>
      </w:r>
      <w:r w:rsidRPr="00A2269A" w:rsidR="00301E62">
        <w:t xml:space="preserve"> written grounds in such exceptional circumstances </w:t>
      </w:r>
      <w:r w:rsidRPr="00A2269A" w:rsidR="00C14D49">
        <w:t>bas</w:t>
      </w:r>
      <w:r w:rsidRPr="00A2269A" w:rsidR="00F32D49">
        <w:t>ed them</w:t>
      </w:r>
      <w:r w:rsidRPr="00A2269A" w:rsidR="00C14D49">
        <w:t xml:space="preserve"> </w:t>
      </w:r>
      <w:r w:rsidRPr="00A2269A" w:rsidR="00F32D49">
        <w:t xml:space="preserve">on </w:t>
      </w:r>
      <w:r w:rsidRPr="00A2269A" w:rsidR="00C14D49">
        <w:t xml:space="preserve">documents, including </w:t>
      </w:r>
      <w:r w:rsidRPr="00A2269A" w:rsidR="006D6BBF">
        <w:t xml:space="preserve">the </w:t>
      </w:r>
      <w:r w:rsidRPr="00A2269A" w:rsidR="00C14D49">
        <w:t xml:space="preserve">records of hearings, and not on </w:t>
      </w:r>
      <w:r w:rsidRPr="00A2269A" w:rsidR="006D6BBF">
        <w:t>a</w:t>
      </w:r>
      <w:r w:rsidRPr="00A2269A" w:rsidR="00C14D49">
        <w:t xml:space="preserve"> direct assessment of witnesses</w:t>
      </w:r>
      <w:r w:rsidRPr="00A2269A" w:rsidR="00A2269A">
        <w:t>’</w:t>
      </w:r>
      <w:r w:rsidRPr="00A2269A" w:rsidR="00C14D49">
        <w:t xml:space="preserve"> credibility. In th</w:t>
      </w:r>
      <w:r w:rsidRPr="00A2269A" w:rsidR="006D6BBF">
        <w:t>at</w:t>
      </w:r>
      <w:r w:rsidRPr="00A2269A" w:rsidR="00C14D49">
        <w:t xml:space="preserve"> connection, the Government pointed out that neither of the applicants </w:t>
      </w:r>
      <w:r w:rsidRPr="00A2269A" w:rsidR="006D6BBF">
        <w:t xml:space="preserve">had </w:t>
      </w:r>
      <w:r w:rsidRPr="00A2269A" w:rsidR="00C14D49">
        <w:t xml:space="preserve">disputed the exactness of the </w:t>
      </w:r>
      <w:r w:rsidRPr="00A2269A" w:rsidR="006D6BBF">
        <w:t>court transcripts</w:t>
      </w:r>
      <w:r w:rsidRPr="00A2269A" w:rsidR="00C14D49">
        <w:t>.</w:t>
      </w:r>
    </w:p>
    <w:bookmarkStart w:name="GOVhighrecourtsrejectedappeal" w:id="9"/>
    <w:p w:rsidRPr="00A2269A" w:rsidR="00F83488" w:rsidP="00A2269A" w:rsidRDefault="00783D95">
      <w:pPr>
        <w:pStyle w:val="ECHRPara"/>
      </w:pPr>
      <w:r w:rsidRPr="00A2269A">
        <w:fldChar w:fldCharType="begin"/>
      </w:r>
      <w:r w:rsidRPr="00A2269A">
        <w:instrText xml:space="preserve"> SEQ level0 \*arabic </w:instrText>
      </w:r>
      <w:r w:rsidRPr="00A2269A">
        <w:fldChar w:fldCharType="separate"/>
      </w:r>
      <w:r w:rsidRPr="00A2269A" w:rsidR="00A2269A">
        <w:rPr>
          <w:noProof/>
        </w:rPr>
        <w:t>36</w:t>
      </w:r>
      <w:r w:rsidRPr="00A2269A">
        <w:rPr>
          <w:noProof/>
        </w:rPr>
        <w:fldChar w:fldCharType="end"/>
      </w:r>
      <w:bookmarkEnd w:id="9"/>
      <w:r w:rsidRPr="00A2269A" w:rsidR="00C14D49">
        <w:t xml:space="preserve">.  Lastly, the Government argued that the higher court </w:t>
      </w:r>
      <w:r w:rsidRPr="00A2269A" w:rsidR="006D6BBF">
        <w:t xml:space="preserve">had </w:t>
      </w:r>
      <w:r w:rsidRPr="00A2269A" w:rsidR="003A0350">
        <w:t xml:space="preserve">examined the written grounds in both cases and </w:t>
      </w:r>
      <w:r w:rsidRPr="00A2269A" w:rsidR="006D6BBF">
        <w:t xml:space="preserve">had </w:t>
      </w:r>
      <w:r w:rsidRPr="00A2269A" w:rsidR="003A0350">
        <w:t xml:space="preserve">found </w:t>
      </w:r>
      <w:r w:rsidRPr="00A2269A" w:rsidR="006D6BBF">
        <w:t xml:space="preserve">that they </w:t>
      </w:r>
      <w:r w:rsidRPr="00A2269A" w:rsidR="003A0350">
        <w:t>compl</w:t>
      </w:r>
      <w:r w:rsidRPr="00A2269A" w:rsidR="006D6BBF">
        <w:t xml:space="preserve">ied </w:t>
      </w:r>
      <w:r w:rsidRPr="00A2269A" w:rsidR="003A0350">
        <w:t>with the requirements set out in law (</w:t>
      </w:r>
      <w:r w:rsidRPr="00A2269A" w:rsidR="00F32D49">
        <w:t xml:space="preserve">see paragraph </w:t>
      </w:r>
      <w:r w:rsidRPr="00A2269A" w:rsidR="00B63815">
        <w:rPr>
          <w:noProof/>
        </w:rPr>
        <w:t>25</w:t>
      </w:r>
      <w:r w:rsidRPr="00A2269A" w:rsidR="00F32D49">
        <w:t xml:space="preserve"> above</w:t>
      </w:r>
      <w:r w:rsidRPr="00A2269A" w:rsidR="003A0350">
        <w:t>)</w:t>
      </w:r>
      <w:r w:rsidRPr="00A2269A" w:rsidR="00F32D49">
        <w:t>.</w:t>
      </w:r>
    </w:p>
    <w:p w:rsidRPr="00A2269A" w:rsidR="008C089C" w:rsidP="00A2269A" w:rsidRDefault="007041FD">
      <w:pPr>
        <w:pStyle w:val="ECHRHeading3"/>
        <w:rPr>
          <w:rFonts w:eastAsiaTheme="minorHAnsi"/>
          <w:lang w:val="en-GB"/>
        </w:rPr>
      </w:pPr>
      <w:r w:rsidRPr="00A2269A">
        <w:rPr>
          <w:rFonts w:eastAsiaTheme="minorHAnsi"/>
          <w:lang w:val="en-GB"/>
        </w:rPr>
        <w:t>2.  The Court</w:t>
      </w:r>
      <w:r w:rsidRPr="00A2269A" w:rsidR="00A2269A">
        <w:rPr>
          <w:rFonts w:eastAsiaTheme="minorHAnsi"/>
          <w:lang w:val="en-GB"/>
        </w:rPr>
        <w:t>’</w:t>
      </w:r>
      <w:r w:rsidRPr="00A2269A">
        <w:rPr>
          <w:rFonts w:eastAsiaTheme="minorHAnsi"/>
          <w:lang w:val="en-GB"/>
        </w:rPr>
        <w:t>s assessment</w:t>
      </w:r>
    </w:p>
    <w:bookmarkStart w:name="GPwhole" w:id="10"/>
    <w:p w:rsidRPr="00A2269A" w:rsidR="00B531DE" w:rsidP="00A2269A" w:rsidRDefault="000E07EA">
      <w:pPr>
        <w:pStyle w:val="ECHRPara"/>
      </w:pPr>
      <w:r w:rsidRPr="00A2269A">
        <w:rPr>
          <w:rFonts w:eastAsiaTheme="minorHAnsi"/>
          <w:u w:color="000000"/>
          <w:lang w:val="en-GB"/>
        </w:rPr>
        <w:fldChar w:fldCharType="begin"/>
      </w:r>
      <w:r w:rsidRPr="00A2269A">
        <w:rPr>
          <w:rFonts w:eastAsiaTheme="minorHAnsi"/>
          <w:u w:color="000000"/>
          <w:lang w:val="en-GB"/>
        </w:rPr>
        <w:instrText xml:space="preserve"> SEQ level0 \*arabic </w:instrText>
      </w:r>
      <w:r w:rsidRPr="00A2269A">
        <w:rPr>
          <w:rFonts w:eastAsiaTheme="minorHAnsi"/>
          <w:u w:color="000000"/>
          <w:lang w:val="en-GB"/>
        </w:rPr>
        <w:fldChar w:fldCharType="separate"/>
      </w:r>
      <w:r w:rsidRPr="00A2269A" w:rsidR="00A2269A">
        <w:rPr>
          <w:rFonts w:eastAsiaTheme="minorHAnsi"/>
          <w:noProof/>
          <w:u w:color="000000"/>
          <w:lang w:val="en-GB"/>
        </w:rPr>
        <w:t>37</w:t>
      </w:r>
      <w:r w:rsidRPr="00A2269A">
        <w:rPr>
          <w:rFonts w:eastAsiaTheme="minorHAnsi"/>
          <w:u w:color="000000"/>
          <w:lang w:val="en-GB"/>
        </w:rPr>
        <w:fldChar w:fldCharType="end"/>
      </w:r>
      <w:r w:rsidRPr="00A2269A">
        <w:rPr>
          <w:rFonts w:eastAsiaTheme="minorHAnsi"/>
          <w:u w:color="000000"/>
          <w:lang w:val="en-GB"/>
        </w:rPr>
        <w:t>.  </w:t>
      </w:r>
      <w:bookmarkEnd w:id="10"/>
      <w:r w:rsidRPr="00A2269A" w:rsidR="007041FD">
        <w:rPr>
          <w:rFonts w:eastAsiaTheme="minorHAnsi"/>
          <w:u w:color="000000"/>
          <w:lang w:val="en-GB"/>
        </w:rPr>
        <w:t xml:space="preserve">The Court reiterates that in determining issues of </w:t>
      </w:r>
      <w:r w:rsidRPr="00A2269A" w:rsidR="006D6BBF">
        <w:rPr>
          <w:rFonts w:eastAsiaTheme="minorHAnsi"/>
          <w:u w:color="000000"/>
          <w:lang w:val="en-GB"/>
        </w:rPr>
        <w:t xml:space="preserve">the </w:t>
      </w:r>
      <w:r w:rsidRPr="00A2269A" w:rsidR="007041FD">
        <w:rPr>
          <w:rFonts w:eastAsiaTheme="minorHAnsi"/>
          <w:u w:color="000000"/>
          <w:lang w:val="en-GB"/>
        </w:rPr>
        <w:t>fairness of proceedings for the purposes of Article 6 of the Convention, it must consider the proceedings as a whole, including the decision</w:t>
      </w:r>
      <w:r w:rsidRPr="00A2269A" w:rsidR="0021366D">
        <w:rPr>
          <w:rFonts w:eastAsiaTheme="minorHAnsi"/>
          <w:u w:color="000000"/>
          <w:lang w:val="en-GB"/>
        </w:rPr>
        <w:t>s</w:t>
      </w:r>
      <w:r w:rsidRPr="00A2269A" w:rsidR="007041FD">
        <w:rPr>
          <w:rFonts w:eastAsiaTheme="minorHAnsi"/>
          <w:u w:color="000000"/>
          <w:lang w:val="en-GB"/>
        </w:rPr>
        <w:t xml:space="preserve"> of the appellate court</w:t>
      </w:r>
      <w:r w:rsidRPr="00A2269A" w:rsidR="0021366D">
        <w:rPr>
          <w:rFonts w:eastAsiaTheme="minorHAnsi"/>
          <w:u w:color="000000"/>
          <w:lang w:val="en-GB"/>
        </w:rPr>
        <w:t xml:space="preserve">s. </w:t>
      </w:r>
      <w:r w:rsidRPr="00A2269A" w:rsidR="0021366D">
        <w:t>Moreover</w:t>
      </w:r>
      <w:r w:rsidRPr="00A2269A" w:rsidR="006D6BBF">
        <w:t>,</w:t>
      </w:r>
      <w:r w:rsidRPr="00A2269A" w:rsidR="0021366D">
        <w:t xml:space="preserve"> it is not its function to substitute its own assessment of the facts for that of the domestic courts and, as a general rule, it is for th</w:t>
      </w:r>
      <w:r w:rsidRPr="00A2269A" w:rsidR="006D6BBF">
        <w:t>o</w:t>
      </w:r>
      <w:r w:rsidRPr="00A2269A" w:rsidR="0021366D">
        <w:t>se courts to assess the evidence before them. The Court</w:t>
      </w:r>
      <w:r w:rsidRPr="00A2269A" w:rsidR="00A2269A">
        <w:t>’</w:t>
      </w:r>
      <w:r w:rsidRPr="00A2269A" w:rsidR="0021366D">
        <w:t>s task is to ascertain whether the proceedings in their entirety were fair (</w:t>
      </w:r>
      <w:r w:rsidRPr="00A2269A" w:rsidR="007F60A0">
        <w:t xml:space="preserve">see </w:t>
      </w:r>
      <w:r w:rsidRPr="00A2269A" w:rsidR="0021366D">
        <w:rPr>
          <w:rFonts w:ascii="TimesNewRomanPS-ItalicMT" w:hAnsi="TimesNewRomanPS-ItalicMT" w:cs="TimesNewRomanPS-ItalicMT" w:eastAsiaTheme="minorHAnsi"/>
          <w:i/>
          <w:iCs/>
          <w:u w:color="000000"/>
          <w:lang w:val="en-GB"/>
        </w:rPr>
        <w:t>Edwards v. the United Kingdom</w:t>
      </w:r>
      <w:r w:rsidRPr="00A2269A" w:rsidR="0021366D">
        <w:rPr>
          <w:rFonts w:eastAsiaTheme="minorHAnsi"/>
          <w:u w:color="000000"/>
          <w:lang w:val="en-GB"/>
        </w:rPr>
        <w:t>, judgment of 16 December 1992, Series A no. 247-B, § 34</w:t>
      </w:r>
      <w:r w:rsidRPr="00A2269A" w:rsidR="00605693">
        <w:t xml:space="preserve">; </w:t>
      </w:r>
      <w:r w:rsidRPr="00A2269A" w:rsidR="00605693">
        <w:rPr>
          <w:i/>
          <w:lang w:val="en-GB"/>
        </w:rPr>
        <w:t>Mishgjoni v. Albania</w:t>
      </w:r>
      <w:r w:rsidRPr="00A2269A" w:rsidR="00605693">
        <w:rPr>
          <w:lang w:val="en-GB"/>
        </w:rPr>
        <w:t>, no. 18381/05</w:t>
      </w:r>
      <w:r w:rsidRPr="00A2269A" w:rsidR="00605693">
        <w:rPr>
          <w:snapToGrid w:val="0"/>
          <w:szCs w:val="24"/>
          <w:lang w:val="en-GB"/>
        </w:rPr>
        <w:t xml:space="preserve">, § 49, 7 December 2010; and </w:t>
      </w:r>
      <w:r w:rsidRPr="00A2269A" w:rsidR="00605693">
        <w:rPr>
          <w:i/>
        </w:rPr>
        <w:t xml:space="preserve">Saranchov </w:t>
      </w:r>
      <w:r w:rsidRPr="00A2269A" w:rsidR="00605693">
        <w:rPr>
          <w:i/>
          <w:lang w:val="en-GB"/>
        </w:rPr>
        <w:t>v. Ukraine,</w:t>
      </w:r>
      <w:r w:rsidRPr="00A2269A" w:rsidR="00605693">
        <w:rPr>
          <w:lang w:val="en-GB"/>
        </w:rPr>
        <w:t xml:space="preserve"> no. 2308/06</w:t>
      </w:r>
      <w:r w:rsidRPr="00A2269A" w:rsidR="00605693">
        <w:t>, § 45, 9 June 2016</w:t>
      </w:r>
      <w:r w:rsidRPr="00A2269A" w:rsidR="0021366D">
        <w:rPr>
          <w:rFonts w:eastAsiaTheme="minorHAnsi"/>
          <w:u w:color="000000"/>
          <w:lang w:val="en-GB"/>
        </w:rPr>
        <w:t>).</w:t>
      </w:r>
    </w:p>
    <w:p w:rsidRPr="00A2269A" w:rsidR="00B531DE" w:rsidP="00A2269A" w:rsidRDefault="00881803">
      <w:pPr>
        <w:pStyle w:val="ECHRPara"/>
        <w:rPr>
          <w:lang w:val="en-GB"/>
        </w:rPr>
      </w:pPr>
      <w:r>
        <w:fldChar w:fldCharType="begin"/>
      </w:r>
      <w:r>
        <w:instrText xml:space="preserve"> SEQ level0 \*arabic </w:instrText>
      </w:r>
      <w:r>
        <w:fldChar w:fldCharType="separate"/>
      </w:r>
      <w:r w:rsidRPr="00A2269A" w:rsidR="00A2269A">
        <w:rPr>
          <w:noProof/>
        </w:rPr>
        <w:t>38</w:t>
      </w:r>
      <w:r>
        <w:rPr>
          <w:noProof/>
        </w:rPr>
        <w:fldChar w:fldCharType="end"/>
      </w:r>
      <w:r w:rsidRPr="00A2269A" w:rsidR="00E033C7">
        <w:t>. </w:t>
      </w:r>
      <w:r w:rsidRPr="00A2269A" w:rsidR="00C528B5">
        <w:t> </w:t>
      </w:r>
      <w:r w:rsidRPr="00A2269A" w:rsidR="005C14B6">
        <w:t>In the present case, t</w:t>
      </w:r>
      <w:r w:rsidRPr="00A2269A" w:rsidR="00C528B5">
        <w:t xml:space="preserve">he Court is called </w:t>
      </w:r>
      <w:r w:rsidRPr="00A2269A" w:rsidR="00FC6275">
        <w:t xml:space="preserve">upon </w:t>
      </w:r>
      <w:r w:rsidRPr="00A2269A" w:rsidR="00C528B5">
        <w:t>to determine whether</w:t>
      </w:r>
      <w:r w:rsidRPr="00A2269A" w:rsidR="003E28FF">
        <w:t xml:space="preserve"> </w:t>
      </w:r>
      <w:r w:rsidRPr="00A2269A" w:rsidR="00C528B5">
        <w:t xml:space="preserve">the applicants </w:t>
      </w:r>
      <w:r w:rsidRPr="00A2269A" w:rsidR="00FC6275">
        <w:t xml:space="preserve">had a </w:t>
      </w:r>
      <w:r w:rsidRPr="00A2269A" w:rsidR="00C528B5">
        <w:t>fair tri</w:t>
      </w:r>
      <w:r w:rsidRPr="00A2269A" w:rsidR="00030504">
        <w:t>a</w:t>
      </w:r>
      <w:r w:rsidRPr="00A2269A" w:rsidR="00C528B5">
        <w:t>l despite the fact that the reasons for the</w:t>
      </w:r>
      <w:r w:rsidRPr="00A2269A" w:rsidR="009A0347">
        <w:t xml:space="preserve"> verdicts, that is their </w:t>
      </w:r>
      <w:r w:rsidRPr="00A2269A" w:rsidR="00EC7470">
        <w:t>conviction and sentence</w:t>
      </w:r>
      <w:r w:rsidRPr="00A2269A" w:rsidR="009A0347">
        <w:t>,</w:t>
      </w:r>
      <w:r w:rsidRPr="00A2269A" w:rsidR="009D6056">
        <w:t xml:space="preserve"> </w:t>
      </w:r>
      <w:r w:rsidRPr="00A2269A" w:rsidR="00EC7470">
        <w:t>were not</w:t>
      </w:r>
      <w:r w:rsidRPr="00A2269A" w:rsidR="00C528B5">
        <w:rPr>
          <w:lang w:val="en-GB"/>
        </w:rPr>
        <w:t xml:space="preserve"> given by the judge who </w:t>
      </w:r>
      <w:r w:rsidRPr="00A2269A" w:rsidR="00EC7470">
        <w:rPr>
          <w:lang w:val="en-GB"/>
        </w:rPr>
        <w:t xml:space="preserve">had </w:t>
      </w:r>
      <w:r w:rsidRPr="00A2269A" w:rsidR="00033A2F">
        <w:rPr>
          <w:lang w:val="en-GB"/>
        </w:rPr>
        <w:t xml:space="preserve">pronounced them </w:t>
      </w:r>
      <w:r w:rsidRPr="00A2269A" w:rsidR="00C528B5">
        <w:rPr>
          <w:lang w:val="en-GB"/>
        </w:rPr>
        <w:t xml:space="preserve">but by </w:t>
      </w:r>
      <w:r w:rsidRPr="00A2269A" w:rsidR="00552190">
        <w:rPr>
          <w:lang w:val="en-GB"/>
        </w:rPr>
        <w:t xml:space="preserve">other </w:t>
      </w:r>
      <w:r w:rsidRPr="00A2269A" w:rsidR="00C528B5">
        <w:rPr>
          <w:lang w:val="en-GB"/>
        </w:rPr>
        <w:t>judges</w:t>
      </w:r>
      <w:r w:rsidRPr="00A2269A" w:rsidR="00D948DC">
        <w:rPr>
          <w:lang w:val="en-GB"/>
        </w:rPr>
        <w:t>,</w:t>
      </w:r>
      <w:r w:rsidRPr="00A2269A" w:rsidR="00C528B5">
        <w:rPr>
          <w:lang w:val="en-GB"/>
        </w:rPr>
        <w:t xml:space="preserve"> who had not participated in the trial.</w:t>
      </w:r>
    </w:p>
    <w:p w:rsidRPr="00A2269A" w:rsidR="00106331" w:rsidP="00A2269A" w:rsidRDefault="00A2269A">
      <w:pPr>
        <w:pStyle w:val="ECHRPara"/>
      </w:pPr>
      <w:fldSimple w:instr=" SEQ level0 \*arabic ">
        <w:r w:rsidRPr="00A2269A">
          <w:rPr>
            <w:noProof/>
          </w:rPr>
          <w:t>39</w:t>
        </w:r>
      </w:fldSimple>
      <w:r w:rsidRPr="00A2269A" w:rsidR="00106331">
        <w:t>.  </w:t>
      </w:r>
      <w:r w:rsidRPr="00A2269A" w:rsidR="00C528B5">
        <w:t xml:space="preserve">The Court </w:t>
      </w:r>
      <w:r w:rsidRPr="00A2269A" w:rsidR="00EC7470">
        <w:t>begins by noting that the present case concerns a trial before a professional judge</w:t>
      </w:r>
      <w:r w:rsidRPr="00A2269A" w:rsidR="00B531DE">
        <w:t xml:space="preserve"> sitting </w:t>
      </w:r>
      <w:r w:rsidRPr="00A2269A" w:rsidR="00D44694">
        <w:t>as a single judge</w:t>
      </w:r>
      <w:r w:rsidRPr="00A2269A" w:rsidR="00B531DE">
        <w:t xml:space="preserve"> (see paragraph </w:t>
      </w:r>
      <w:r w:rsidRPr="00A2269A" w:rsidR="00B63815">
        <w:t>6</w:t>
      </w:r>
      <w:r w:rsidRPr="00A2269A" w:rsidR="00B531DE">
        <w:t xml:space="preserve"> above) </w:t>
      </w:r>
      <w:r w:rsidRPr="00A2269A" w:rsidR="00EC7470">
        <w:t>and, second</w:t>
      </w:r>
      <w:r w:rsidRPr="00A2269A" w:rsidR="006F4F4F">
        <w:t>ly</w:t>
      </w:r>
      <w:r w:rsidRPr="00A2269A" w:rsidR="00EC7470">
        <w:t>, that</w:t>
      </w:r>
      <w:r w:rsidRPr="00A2269A" w:rsidR="00E40506">
        <w:t xml:space="preserve"> the applicants</w:t>
      </w:r>
      <w:r w:rsidRPr="00A2269A">
        <w:t>’</w:t>
      </w:r>
      <w:r w:rsidRPr="00A2269A" w:rsidR="00E40506">
        <w:t xml:space="preserve"> situation </w:t>
      </w:r>
      <w:r w:rsidRPr="00A2269A" w:rsidR="006F4F4F">
        <w:t xml:space="preserve">was </w:t>
      </w:r>
      <w:r w:rsidRPr="00A2269A" w:rsidR="00E40506">
        <w:t xml:space="preserve">a departure from the procedure </w:t>
      </w:r>
      <w:r w:rsidRPr="00A2269A" w:rsidR="00EC7470">
        <w:t>envisaged in</w:t>
      </w:r>
      <w:r w:rsidRPr="00A2269A" w:rsidR="00E40506">
        <w:t xml:space="preserve"> </w:t>
      </w:r>
      <w:r w:rsidRPr="00A2269A" w:rsidR="006F4F4F">
        <w:t xml:space="preserve">the </w:t>
      </w:r>
      <w:r w:rsidRPr="00A2269A" w:rsidR="00E40506">
        <w:t>Slovenia</w:t>
      </w:r>
      <w:r w:rsidRPr="00A2269A" w:rsidR="00EC7470">
        <w:t>n Criminal Procedure Act</w:t>
      </w:r>
      <w:r w:rsidRPr="00A2269A" w:rsidR="005C351C">
        <w:t xml:space="preserve">. </w:t>
      </w:r>
      <w:r w:rsidRPr="00A2269A" w:rsidR="00D44694">
        <w:t>Indeed, p</w:t>
      </w:r>
      <w:r w:rsidRPr="00A2269A" w:rsidR="005C351C">
        <w:t>ursuant to th</w:t>
      </w:r>
      <w:r w:rsidRPr="00A2269A" w:rsidR="006F4F4F">
        <w:t>at Act</w:t>
      </w:r>
      <w:r w:rsidRPr="00A2269A" w:rsidR="005C351C">
        <w:t xml:space="preserve">, </w:t>
      </w:r>
      <w:r w:rsidRPr="00A2269A" w:rsidR="00764C27">
        <w:rPr>
          <w:lang w:val="en-GB"/>
        </w:rPr>
        <w:t xml:space="preserve">the judge who conducts the trial and </w:t>
      </w:r>
      <w:r w:rsidRPr="00A2269A" w:rsidR="00E40506">
        <w:t>who deal</w:t>
      </w:r>
      <w:r w:rsidRPr="00A2269A" w:rsidR="00D44694">
        <w:t>s</w:t>
      </w:r>
      <w:r w:rsidRPr="00A2269A" w:rsidR="00E40506">
        <w:t xml:space="preserve"> directly with the evidence </w:t>
      </w:r>
      <w:r w:rsidRPr="00A2269A" w:rsidR="00D44694">
        <w:t xml:space="preserve">is </w:t>
      </w:r>
      <w:r w:rsidRPr="00A2269A" w:rsidR="006F4F4F">
        <w:t xml:space="preserve">supposed to </w:t>
      </w:r>
      <w:r w:rsidRPr="00A2269A" w:rsidR="00E40506">
        <w:t xml:space="preserve">give the verdict and provide written reasons relating to the relevant factual and legal aspects of it, if so requested by the parties (see paragraphs </w:t>
      </w:r>
      <w:r w:rsidRPr="00A2269A" w:rsidR="00B63815">
        <w:t>22</w:t>
      </w:r>
      <w:r w:rsidRPr="00A2269A" w:rsidR="00EC7470">
        <w:t xml:space="preserve"> to </w:t>
      </w:r>
      <w:r w:rsidRPr="00A2269A" w:rsidR="00B63815">
        <w:t>24</w:t>
      </w:r>
      <w:r w:rsidRPr="00A2269A" w:rsidR="00E40506">
        <w:t xml:space="preserve"> above). T</w:t>
      </w:r>
      <w:r w:rsidRPr="00A2269A" w:rsidR="00742E1E">
        <w:t xml:space="preserve">he situation in the present case, referred to by the Government as being of </w:t>
      </w:r>
      <w:r w:rsidRPr="00A2269A" w:rsidR="00C12B22">
        <w:t xml:space="preserve">an </w:t>
      </w:r>
      <w:r w:rsidRPr="00A2269A" w:rsidR="00742E1E">
        <w:t>exceptional nature</w:t>
      </w:r>
      <w:r w:rsidRPr="00A2269A" w:rsidR="00EC7470">
        <w:t xml:space="preserve"> (see paragraph </w:t>
      </w:r>
      <w:r w:rsidRPr="00A2269A" w:rsidR="00B63815">
        <w:t>35</w:t>
      </w:r>
      <w:r w:rsidRPr="00A2269A" w:rsidR="00EC7470">
        <w:t xml:space="preserve"> above)</w:t>
      </w:r>
      <w:r w:rsidRPr="00A2269A" w:rsidR="00742E1E">
        <w:t xml:space="preserve">, arose because </w:t>
      </w:r>
      <w:r w:rsidRPr="00A2269A" w:rsidR="005C351C">
        <w:t xml:space="preserve">the judge </w:t>
      </w:r>
      <w:r w:rsidRPr="00A2269A" w:rsidR="0090064A">
        <w:t>who had examined all the evidence produced during the trial</w:t>
      </w:r>
      <w:r w:rsidRPr="00A2269A" w:rsidR="00C12B22">
        <w:t xml:space="preserve"> had </w:t>
      </w:r>
      <w:r w:rsidRPr="00A2269A" w:rsidR="0090064A">
        <w:t xml:space="preserve">retired </w:t>
      </w:r>
      <w:r w:rsidRPr="00A2269A" w:rsidR="000044FB">
        <w:t xml:space="preserve">after pronouncing </w:t>
      </w:r>
      <w:r w:rsidRPr="00A2269A" w:rsidR="0090064A">
        <w:t>her verdict</w:t>
      </w:r>
      <w:r w:rsidRPr="00A2269A" w:rsidR="006F4F4F">
        <w:t xml:space="preserve">, </w:t>
      </w:r>
      <w:r w:rsidRPr="00A2269A" w:rsidR="0090064A">
        <w:t>without providing written grounds.</w:t>
      </w:r>
      <w:bookmarkStart w:name="reasoningrejectgov" w:id="11"/>
    </w:p>
    <w:p w:rsidRPr="00A2269A" w:rsidR="009D6056" w:rsidP="00A2269A" w:rsidRDefault="00881803">
      <w:pPr>
        <w:pStyle w:val="ECHRPara"/>
        <w:rPr>
          <w:lang w:val="en-GB"/>
        </w:rPr>
      </w:pPr>
      <w:r>
        <w:fldChar w:fldCharType="begin"/>
      </w:r>
      <w:r>
        <w:instrText xml:space="preserve"> SEQ level0 \*arabic </w:instrText>
      </w:r>
      <w:r>
        <w:fldChar w:fldCharType="separate"/>
      </w:r>
      <w:r w:rsidRPr="00A2269A" w:rsidR="00A2269A">
        <w:rPr>
          <w:noProof/>
        </w:rPr>
        <w:t>40</w:t>
      </w:r>
      <w:r>
        <w:rPr>
          <w:noProof/>
        </w:rPr>
        <w:fldChar w:fldCharType="end"/>
      </w:r>
      <w:bookmarkEnd w:id="11"/>
      <w:r w:rsidRPr="00A2269A" w:rsidR="00E033C7">
        <w:t>.  </w:t>
      </w:r>
      <w:r w:rsidRPr="00A2269A" w:rsidR="0037088E">
        <w:t>T</w:t>
      </w:r>
      <w:r w:rsidRPr="00A2269A" w:rsidR="00E033C7">
        <w:t>he Court</w:t>
      </w:r>
      <w:r w:rsidRPr="00A2269A" w:rsidR="00C528B5">
        <w:t xml:space="preserve"> </w:t>
      </w:r>
      <w:r w:rsidRPr="00A2269A" w:rsidR="000044FB">
        <w:t xml:space="preserve">takes note of </w:t>
      </w:r>
      <w:r w:rsidRPr="00A2269A" w:rsidR="00E033C7">
        <w:t>the Government</w:t>
      </w:r>
      <w:r w:rsidRPr="00A2269A" w:rsidR="00A2269A">
        <w:t>’</w:t>
      </w:r>
      <w:r w:rsidRPr="00A2269A" w:rsidR="00E033C7">
        <w:t xml:space="preserve">s </w:t>
      </w:r>
      <w:r w:rsidRPr="00A2269A" w:rsidR="00C528B5">
        <w:t>position</w:t>
      </w:r>
      <w:r w:rsidRPr="00A2269A" w:rsidR="00E033C7">
        <w:t xml:space="preserve">, which is a reiteration of the </w:t>
      </w:r>
      <w:r w:rsidRPr="00A2269A" w:rsidR="00F82283">
        <w:t xml:space="preserve">view of the </w:t>
      </w:r>
      <w:r w:rsidRPr="00A2269A" w:rsidR="00E033C7">
        <w:t xml:space="preserve">Supreme Court, </w:t>
      </w:r>
      <w:r w:rsidRPr="00A2269A" w:rsidR="006F4F4F">
        <w:t xml:space="preserve">that </w:t>
      </w:r>
      <w:r w:rsidRPr="00A2269A" w:rsidR="00C528B5">
        <w:t xml:space="preserve">the failure of </w:t>
      </w:r>
      <w:r w:rsidRPr="00A2269A" w:rsidR="00764C27">
        <w:rPr>
          <w:lang w:val="en-GB"/>
        </w:rPr>
        <w:t xml:space="preserve">the judge who had conducted the trial </w:t>
      </w:r>
      <w:r w:rsidRPr="00A2269A" w:rsidR="00C528B5">
        <w:t xml:space="preserve">to issue written grounds </w:t>
      </w:r>
      <w:r w:rsidRPr="00A2269A" w:rsidR="00F850E2">
        <w:t xml:space="preserve">could have </w:t>
      </w:r>
      <w:r w:rsidRPr="00A2269A" w:rsidR="0025520A">
        <w:t xml:space="preserve">had </w:t>
      </w:r>
      <w:r w:rsidRPr="00A2269A" w:rsidR="00F850E2">
        <w:t>no impact on the</w:t>
      </w:r>
      <w:r w:rsidRPr="00A2269A" w:rsidR="00C528B5">
        <w:t xml:space="preserve"> fairness of </w:t>
      </w:r>
      <w:r w:rsidRPr="00A2269A" w:rsidR="00227EFA">
        <w:t>the</w:t>
      </w:r>
      <w:r w:rsidRPr="00A2269A" w:rsidR="00C528B5">
        <w:t xml:space="preserve"> </w:t>
      </w:r>
      <w:r w:rsidRPr="00A2269A" w:rsidR="00F850E2">
        <w:t xml:space="preserve">trial </w:t>
      </w:r>
      <w:r w:rsidRPr="00A2269A" w:rsidR="005C351C">
        <w:t xml:space="preserve">because </w:t>
      </w:r>
      <w:r w:rsidRPr="00A2269A" w:rsidR="002031D1">
        <w:t xml:space="preserve">the primary purpose of </w:t>
      </w:r>
      <w:r w:rsidRPr="00A2269A" w:rsidR="00DC7832">
        <w:t>such grounds</w:t>
      </w:r>
      <w:r w:rsidRPr="00A2269A" w:rsidR="002031D1">
        <w:t xml:space="preserve"> </w:t>
      </w:r>
      <w:r w:rsidRPr="00A2269A" w:rsidR="00DC7832">
        <w:t>wa</w:t>
      </w:r>
      <w:r w:rsidRPr="00A2269A" w:rsidR="002031D1">
        <w:t xml:space="preserve">s to allow for review of the </w:t>
      </w:r>
      <w:r w:rsidRPr="00A2269A" w:rsidR="00326577">
        <w:t>verdict</w:t>
      </w:r>
      <w:r w:rsidRPr="00A2269A" w:rsidR="002031D1">
        <w:t xml:space="preserve"> </w:t>
      </w:r>
      <w:r w:rsidRPr="00A2269A" w:rsidR="00F850E2">
        <w:t xml:space="preserve">by way of appeal </w:t>
      </w:r>
      <w:r w:rsidRPr="00A2269A" w:rsidR="00C528B5">
        <w:t xml:space="preserve">(see paragraphs </w:t>
      </w:r>
      <w:r w:rsidRPr="00A2269A" w:rsidR="00B63815">
        <w:rPr>
          <w:noProof/>
          <w:lang w:val="en-GB"/>
        </w:rPr>
        <w:t>19</w:t>
      </w:r>
      <w:r w:rsidRPr="00A2269A" w:rsidR="00326577">
        <w:t xml:space="preserve"> and </w:t>
      </w:r>
      <w:r w:rsidRPr="00A2269A" w:rsidR="00B63815">
        <w:rPr>
          <w:noProof/>
        </w:rPr>
        <w:t>34</w:t>
      </w:r>
      <w:r w:rsidRPr="00A2269A" w:rsidR="00326577">
        <w:t xml:space="preserve"> above</w:t>
      </w:r>
      <w:r w:rsidRPr="00A2269A" w:rsidR="00C528B5">
        <w:t>).</w:t>
      </w:r>
      <w:r w:rsidRPr="00A2269A" w:rsidR="00326577">
        <w:t xml:space="preserve"> However, it cannot agree with </w:t>
      </w:r>
      <w:r w:rsidRPr="00A2269A" w:rsidR="006F4F4F">
        <w:t>that assertion</w:t>
      </w:r>
      <w:r w:rsidRPr="00A2269A" w:rsidR="00326577">
        <w:t>. It</w:t>
      </w:r>
      <w:r w:rsidRPr="00A2269A" w:rsidR="00DC7832">
        <w:t xml:space="preserve"> reiterates that</w:t>
      </w:r>
      <w:r w:rsidRPr="00A2269A" w:rsidR="00E033C7">
        <w:t xml:space="preserve"> </w:t>
      </w:r>
      <w:r w:rsidRPr="00A2269A" w:rsidR="003E28FF">
        <w:t xml:space="preserve">although </w:t>
      </w:r>
      <w:r w:rsidRPr="00A2269A" w:rsidR="00C04D35">
        <w:t>the</w:t>
      </w:r>
      <w:r w:rsidRPr="00A2269A" w:rsidR="003E28FF">
        <w:t xml:space="preserve"> grounds for </w:t>
      </w:r>
      <w:r w:rsidRPr="00A2269A" w:rsidR="00C04D35">
        <w:t>the</w:t>
      </w:r>
      <w:r w:rsidRPr="00A2269A" w:rsidR="003E28FF">
        <w:t xml:space="preserve"> decision </w:t>
      </w:r>
      <w:r w:rsidRPr="00A2269A" w:rsidR="00C04D35">
        <w:t>are</w:t>
      </w:r>
      <w:r w:rsidRPr="00A2269A" w:rsidR="003E28FF">
        <w:t xml:space="preserve"> </w:t>
      </w:r>
      <w:r w:rsidRPr="00A2269A" w:rsidR="00AC41E8">
        <w:t>indeed relevant</w:t>
      </w:r>
      <w:r w:rsidRPr="00A2269A" w:rsidR="003E28FF">
        <w:t xml:space="preserve"> in that </w:t>
      </w:r>
      <w:r w:rsidRPr="00A2269A" w:rsidR="00C04D35">
        <w:t>they</w:t>
      </w:r>
      <w:r w:rsidRPr="00A2269A" w:rsidR="003E28FF">
        <w:t xml:space="preserve"> make it possible for the accused to exercise usefully the right of appeal (see </w:t>
      </w:r>
      <w:r w:rsidRPr="00A2269A" w:rsidR="003E28FF">
        <w:rPr>
          <w:i/>
        </w:rPr>
        <w:t>Hadjianastassiou v. Greece</w:t>
      </w:r>
      <w:r w:rsidRPr="00A2269A" w:rsidR="003E28FF">
        <w:t>, no.</w:t>
      </w:r>
      <w:r w:rsidRPr="00A2269A" w:rsidR="00096A48">
        <w:t> </w:t>
      </w:r>
      <w:r w:rsidRPr="00A2269A" w:rsidR="003E28FF">
        <w:t>12945/87, 16 December 1992, § 33, Series A no. 252)</w:t>
      </w:r>
      <w:r w:rsidRPr="00A2269A" w:rsidR="0053109D">
        <w:t>,</w:t>
      </w:r>
      <w:r w:rsidRPr="00A2269A" w:rsidR="008F1157">
        <w:t xml:space="preserve"> that is to make full and proper use of that right</w:t>
      </w:r>
      <w:r w:rsidRPr="00A2269A" w:rsidR="003E28FF">
        <w:t xml:space="preserve">, </w:t>
      </w:r>
      <w:r w:rsidRPr="00A2269A" w:rsidR="00C04D35">
        <w:t xml:space="preserve">they are also important </w:t>
      </w:r>
      <w:r w:rsidRPr="00A2269A" w:rsidR="00D65341">
        <w:t xml:space="preserve">in </w:t>
      </w:r>
      <w:r w:rsidRPr="00A2269A" w:rsidR="00F249A6">
        <w:t xml:space="preserve">a </w:t>
      </w:r>
      <w:r w:rsidRPr="00A2269A" w:rsidR="00D65341">
        <w:t xml:space="preserve">more general sense </w:t>
      </w:r>
      <w:r w:rsidRPr="00A2269A" w:rsidR="00C04D35">
        <w:t xml:space="preserve">in that they </w:t>
      </w:r>
      <w:r w:rsidRPr="00A2269A" w:rsidR="00E033C7">
        <w:t xml:space="preserve">ensure </w:t>
      </w:r>
      <w:r w:rsidRPr="00A2269A" w:rsidR="00C12B22">
        <w:t xml:space="preserve">the </w:t>
      </w:r>
      <w:r w:rsidRPr="00A2269A" w:rsidR="00E033C7">
        <w:t xml:space="preserve">proper administration of justice and </w:t>
      </w:r>
      <w:r w:rsidRPr="00A2269A" w:rsidR="00C04D35">
        <w:t>prevent</w:t>
      </w:r>
      <w:r w:rsidRPr="00A2269A" w:rsidR="00E033C7">
        <w:t xml:space="preserve"> arbitrariness </w:t>
      </w:r>
      <w:r w:rsidRPr="00A2269A" w:rsidR="00C04D35">
        <w:t xml:space="preserve">(see, </w:t>
      </w:r>
      <w:r w:rsidRPr="00A2269A" w:rsidR="00DF4EC4">
        <w:rPr>
          <w:i/>
        </w:rPr>
        <w:t>mutatis mutandis</w:t>
      </w:r>
      <w:r w:rsidRPr="00A2269A" w:rsidR="00C04D35">
        <w:t xml:space="preserve">, </w:t>
      </w:r>
      <w:r w:rsidRPr="00A2269A" w:rsidR="00C04D35">
        <w:rPr>
          <w:i/>
        </w:rPr>
        <w:t>Lhermitte v. Belgium</w:t>
      </w:r>
      <w:r w:rsidRPr="00A2269A" w:rsidR="00C04D35">
        <w:t xml:space="preserve"> [GC], no. 34238/09, § 67, 29 November 2016).</w:t>
      </w:r>
      <w:r w:rsidRPr="00A2269A" w:rsidR="00DF4EC4">
        <w:t xml:space="preserve"> </w:t>
      </w:r>
      <w:r w:rsidRPr="00A2269A" w:rsidR="000E07EA">
        <w:t xml:space="preserve">In particular, </w:t>
      </w:r>
      <w:r w:rsidRPr="00A2269A" w:rsidR="00D65341">
        <w:t xml:space="preserve">the Court notes that </w:t>
      </w:r>
      <w:r w:rsidRPr="00A2269A" w:rsidR="00D948DC">
        <w:t>a judge</w:t>
      </w:r>
      <w:r w:rsidRPr="00A2269A" w:rsidR="00A2269A">
        <w:t>’</w:t>
      </w:r>
      <w:r w:rsidRPr="00A2269A" w:rsidR="00D948DC">
        <w:t xml:space="preserve">s </w:t>
      </w:r>
      <w:r w:rsidRPr="00A2269A" w:rsidR="00D65341">
        <w:t xml:space="preserve">awareness that he or she </w:t>
      </w:r>
      <w:r w:rsidRPr="00A2269A" w:rsidR="00505CCC">
        <w:t xml:space="preserve">has </w:t>
      </w:r>
      <w:r w:rsidRPr="00A2269A" w:rsidR="00D65341">
        <w:t xml:space="preserve">to </w:t>
      </w:r>
      <w:r w:rsidRPr="00A2269A" w:rsidR="00E033C7">
        <w:t xml:space="preserve">justify </w:t>
      </w:r>
      <w:r w:rsidRPr="00A2269A" w:rsidR="00D65341">
        <w:t xml:space="preserve">his or her </w:t>
      </w:r>
      <w:r w:rsidRPr="00A2269A" w:rsidR="00E033C7">
        <w:t>decision on objective grounds</w:t>
      </w:r>
      <w:r w:rsidRPr="00A2269A" w:rsidR="00AC41E8">
        <w:t xml:space="preserve"> provides one of the </w:t>
      </w:r>
      <w:r w:rsidRPr="00A2269A" w:rsidR="00D65341">
        <w:t>safeguard</w:t>
      </w:r>
      <w:r w:rsidRPr="00A2269A" w:rsidR="00AC41E8">
        <w:t>s</w:t>
      </w:r>
      <w:r w:rsidRPr="00A2269A" w:rsidR="00D65341">
        <w:t xml:space="preserve"> against arbitrariness</w:t>
      </w:r>
      <w:r w:rsidRPr="00A2269A" w:rsidR="004D3729">
        <w:t xml:space="preserve">. </w:t>
      </w:r>
      <w:r w:rsidRPr="00A2269A" w:rsidR="00F249A6">
        <w:t>Th</w:t>
      </w:r>
      <w:r w:rsidRPr="00A2269A" w:rsidR="00D948DC">
        <w:t>e</w:t>
      </w:r>
      <w:r w:rsidRPr="00A2269A" w:rsidR="00F249A6">
        <w:t xml:space="preserve"> duty</w:t>
      </w:r>
      <w:r w:rsidRPr="00A2269A" w:rsidR="00EB45D3">
        <w:t xml:space="preserve"> to give reasons</w:t>
      </w:r>
      <w:r w:rsidRPr="00A2269A" w:rsidR="00D65341">
        <w:t xml:space="preserve"> also contribute</w:t>
      </w:r>
      <w:r w:rsidRPr="00A2269A" w:rsidR="00EB45D3">
        <w:t>s</w:t>
      </w:r>
      <w:r w:rsidRPr="00A2269A" w:rsidR="00D65341">
        <w:t xml:space="preserve"> to the confidence of the public and the accused in the decision reached</w:t>
      </w:r>
      <w:r w:rsidRPr="00A2269A" w:rsidR="004D3729">
        <w:t xml:space="preserve"> </w:t>
      </w:r>
      <w:r w:rsidRPr="00A2269A" w:rsidR="000E07EA">
        <w:t xml:space="preserve">(see, </w:t>
      </w:r>
      <w:r w:rsidRPr="00A2269A" w:rsidR="000E07EA">
        <w:rPr>
          <w:i/>
        </w:rPr>
        <w:t>mutatis mutandis,</w:t>
      </w:r>
      <w:r w:rsidRPr="00A2269A" w:rsidR="00843462">
        <w:rPr>
          <w:i/>
          <w:lang w:val="en-GB"/>
        </w:rPr>
        <w:t xml:space="preserve"> Taxquet v. Belgium</w:t>
      </w:r>
      <w:r w:rsidRPr="00A2269A" w:rsidR="00843462">
        <w:rPr>
          <w:lang w:val="en-GB"/>
        </w:rPr>
        <w:t xml:space="preserve"> [GC], no. 926/05, § 91, ECHR 2010</w:t>
      </w:r>
      <w:r w:rsidRPr="00A2269A" w:rsidR="000E07EA">
        <w:t>,</w:t>
      </w:r>
      <w:r w:rsidRPr="00A2269A" w:rsidR="00404531">
        <w:t xml:space="preserve"> </w:t>
      </w:r>
      <w:r w:rsidRPr="00A2269A" w:rsidR="00843462">
        <w:t xml:space="preserve">and </w:t>
      </w:r>
      <w:r w:rsidRPr="00A2269A" w:rsidR="004D3729">
        <w:rPr>
          <w:i/>
        </w:rPr>
        <w:t>Lhermitte</w:t>
      </w:r>
      <w:r w:rsidRPr="00A2269A" w:rsidR="00843462">
        <w:t xml:space="preserve">, cited above, </w:t>
      </w:r>
      <w:r w:rsidRPr="00A2269A" w:rsidR="00843462">
        <w:rPr>
          <w:lang w:val="en-GB"/>
        </w:rPr>
        <w:t>§</w:t>
      </w:r>
      <w:r w:rsidRPr="00A2269A" w:rsidR="004D3729">
        <w:t xml:space="preserve"> 67</w:t>
      </w:r>
      <w:r w:rsidRPr="00A2269A" w:rsidR="000E07EA">
        <w:t>)</w:t>
      </w:r>
      <w:r w:rsidRPr="00A2269A" w:rsidR="00F249A6">
        <w:t xml:space="preserve"> and </w:t>
      </w:r>
      <w:r w:rsidRPr="00A2269A" w:rsidR="00E033C7">
        <w:t>allows for possible bias on the part of the judge to be discern</w:t>
      </w:r>
      <w:r w:rsidRPr="00A2269A" w:rsidR="00C12B22">
        <w:t>ed</w:t>
      </w:r>
      <w:r w:rsidRPr="00A2269A" w:rsidR="00E033C7">
        <w:t xml:space="preserve"> </w:t>
      </w:r>
      <w:r w:rsidRPr="00A2269A" w:rsidR="004D3729">
        <w:t>(</w:t>
      </w:r>
      <w:r w:rsidRPr="00A2269A" w:rsidR="00843462">
        <w:t xml:space="preserve">see, for instance, </w:t>
      </w:r>
      <w:r w:rsidRPr="00A2269A" w:rsidR="00843462">
        <w:rPr>
          <w:i/>
          <w:lang w:val="en-GB"/>
        </w:rPr>
        <w:t xml:space="preserve">Kyprianou v. Cyprus </w:t>
      </w:r>
      <w:r w:rsidRPr="00A2269A" w:rsidR="00843462">
        <w:rPr>
          <w:lang w:val="en-GB"/>
        </w:rPr>
        <w:t>[GC], no.</w:t>
      </w:r>
      <w:r w:rsidRPr="00A2269A" w:rsidR="00096A48">
        <w:rPr>
          <w:lang w:val="en-GB"/>
        </w:rPr>
        <w:t> </w:t>
      </w:r>
      <w:r w:rsidRPr="00A2269A" w:rsidR="00843462">
        <w:rPr>
          <w:lang w:val="en-GB"/>
        </w:rPr>
        <w:t>73797/01, §§</w:t>
      </w:r>
      <w:r w:rsidRPr="00A2269A" w:rsidR="00552190">
        <w:rPr>
          <w:lang w:val="en-GB"/>
        </w:rPr>
        <w:t xml:space="preserve"> 119 and 130</w:t>
      </w:r>
      <w:r w:rsidRPr="00A2269A" w:rsidR="00843462">
        <w:rPr>
          <w:lang w:val="en-GB"/>
        </w:rPr>
        <w:t>-133, ECHR 2005</w:t>
      </w:r>
      <w:r w:rsidRPr="00A2269A" w:rsidR="00843462">
        <w:rPr>
          <w:lang w:val="en-GB"/>
        </w:rPr>
        <w:noBreakHyphen/>
        <w:t>XIII</w:t>
      </w:r>
      <w:r w:rsidRPr="00A2269A" w:rsidR="004D3729">
        <w:t>)</w:t>
      </w:r>
      <w:r w:rsidRPr="00A2269A" w:rsidR="00552190">
        <w:t>, and remedied by, for instance, a rehearing before another judge</w:t>
      </w:r>
      <w:r w:rsidRPr="00A2269A" w:rsidR="008F1157">
        <w:t xml:space="preserve"> or judges</w:t>
      </w:r>
      <w:r w:rsidRPr="00A2269A" w:rsidR="00552190">
        <w:t>.</w:t>
      </w:r>
    </w:p>
    <w:bookmarkStart w:name="echrfirstconlcusion" w:id="12"/>
    <w:p w:rsidRPr="00A2269A" w:rsidR="00EB45D3" w:rsidP="00A2269A" w:rsidRDefault="00EB5EED">
      <w:pPr>
        <w:pStyle w:val="ECHRPara"/>
      </w:pPr>
      <w:r w:rsidRPr="00A2269A">
        <w:fldChar w:fldCharType="begin"/>
      </w:r>
      <w:r w:rsidRPr="00A2269A">
        <w:instrText xml:space="preserve"> SEQ level0 \*arabic </w:instrText>
      </w:r>
      <w:r w:rsidRPr="00A2269A">
        <w:fldChar w:fldCharType="separate"/>
      </w:r>
      <w:r w:rsidRPr="00A2269A" w:rsidR="00A2269A">
        <w:rPr>
          <w:noProof/>
        </w:rPr>
        <w:t>41</w:t>
      </w:r>
      <w:r w:rsidRPr="00A2269A">
        <w:rPr>
          <w:noProof/>
        </w:rPr>
        <w:fldChar w:fldCharType="end"/>
      </w:r>
      <w:bookmarkEnd w:id="12"/>
      <w:r w:rsidRPr="00A2269A" w:rsidR="00DC7832">
        <w:t>.  In the present case</w:t>
      </w:r>
      <w:r w:rsidRPr="00A2269A" w:rsidR="00D948DC">
        <w:t>,</w:t>
      </w:r>
      <w:r w:rsidRPr="00A2269A" w:rsidR="00DC7832">
        <w:t xml:space="preserve"> the aforementioned purpose of the </w:t>
      </w:r>
      <w:r w:rsidRPr="00A2269A" w:rsidR="000E07EA">
        <w:t xml:space="preserve">requirement </w:t>
      </w:r>
      <w:r w:rsidRPr="00A2269A" w:rsidR="00DC7832">
        <w:t xml:space="preserve">to give reasons </w:t>
      </w:r>
      <w:r w:rsidRPr="00A2269A" w:rsidR="00CA2F5D">
        <w:t xml:space="preserve">could not be </w:t>
      </w:r>
      <w:r w:rsidRPr="00A2269A" w:rsidR="00DC7832">
        <w:t xml:space="preserve">achieved </w:t>
      </w:r>
      <w:r w:rsidRPr="00A2269A" w:rsidR="00CA2F5D">
        <w:t xml:space="preserve">since </w:t>
      </w:r>
      <w:r w:rsidRPr="00A2269A" w:rsidR="00764C27">
        <w:rPr>
          <w:lang w:val="en-GB"/>
        </w:rPr>
        <w:t>the judge who conducted the trial</w:t>
      </w:r>
      <w:r w:rsidRPr="00A2269A" w:rsidR="00D032E3">
        <w:t>, A.K.,</w:t>
      </w:r>
      <w:r w:rsidRPr="00A2269A" w:rsidR="00CA2F5D">
        <w:t xml:space="preserve"> </w:t>
      </w:r>
      <w:r w:rsidRPr="00A2269A" w:rsidR="0025520A">
        <w:t xml:space="preserve">did </w:t>
      </w:r>
      <w:r w:rsidRPr="00A2269A" w:rsidR="00CA2F5D">
        <w:t xml:space="preserve">not </w:t>
      </w:r>
      <w:r w:rsidRPr="00A2269A" w:rsidR="00512B01">
        <w:t xml:space="preserve">set down </w:t>
      </w:r>
      <w:r w:rsidRPr="00A2269A" w:rsidR="005C351C">
        <w:t>the reasons</w:t>
      </w:r>
      <w:r w:rsidRPr="00A2269A" w:rsidR="00326577">
        <w:t xml:space="preserve"> that </w:t>
      </w:r>
      <w:r w:rsidRPr="00A2269A" w:rsidR="008B7153">
        <w:t xml:space="preserve">had </w:t>
      </w:r>
      <w:r w:rsidRPr="00A2269A" w:rsidR="00326577">
        <w:t xml:space="preserve">persuaded her to reach </w:t>
      </w:r>
      <w:r w:rsidRPr="00A2269A" w:rsidR="00512B01">
        <w:t xml:space="preserve">her </w:t>
      </w:r>
      <w:r w:rsidRPr="00A2269A" w:rsidR="00326577">
        <w:t>decision on the issue of the applicants</w:t>
      </w:r>
      <w:r w:rsidRPr="00A2269A" w:rsidR="00A2269A">
        <w:t>’</w:t>
      </w:r>
      <w:r w:rsidRPr="00A2269A" w:rsidR="00326577">
        <w:t xml:space="preserve"> guilt and </w:t>
      </w:r>
      <w:r w:rsidRPr="00A2269A" w:rsidR="0025520A">
        <w:t xml:space="preserve">their </w:t>
      </w:r>
      <w:r w:rsidRPr="00A2269A" w:rsidR="00326577">
        <w:t>sentence</w:t>
      </w:r>
      <w:r w:rsidRPr="00A2269A" w:rsidR="00552190">
        <w:t xml:space="preserve">. </w:t>
      </w:r>
      <w:r w:rsidRPr="00A2269A" w:rsidR="00121CFD">
        <w:t>Furthermore</w:t>
      </w:r>
      <w:r w:rsidRPr="00A2269A" w:rsidR="00724997">
        <w:t>, the</w:t>
      </w:r>
      <w:r w:rsidRPr="00A2269A" w:rsidR="00121CFD">
        <w:t>re is no indication in the</w:t>
      </w:r>
      <w:r w:rsidRPr="00A2269A" w:rsidR="00724997">
        <w:t xml:space="preserve"> records of the hearing that </w:t>
      </w:r>
      <w:r w:rsidRPr="00A2269A" w:rsidR="00121CFD">
        <w:t xml:space="preserve">she gave </w:t>
      </w:r>
      <w:r w:rsidRPr="00A2269A" w:rsidR="00724997">
        <w:t>any reasons orally (see paragraph</w:t>
      </w:r>
      <w:r w:rsidRPr="00A2269A" w:rsidR="008024C5">
        <w:t xml:space="preserve"> </w:t>
      </w:r>
      <w:r w:rsidRPr="00A2269A" w:rsidR="00B63815">
        <w:rPr>
          <w:noProof/>
          <w:lang w:val="en-GB"/>
        </w:rPr>
        <w:t>11</w:t>
      </w:r>
      <w:r w:rsidRPr="00A2269A" w:rsidR="008024C5">
        <w:t xml:space="preserve"> above)</w:t>
      </w:r>
      <w:r w:rsidRPr="00A2269A" w:rsidR="00724997">
        <w:t xml:space="preserve">. </w:t>
      </w:r>
      <w:r w:rsidRPr="00A2269A" w:rsidR="00D948DC">
        <w:t xml:space="preserve">The written grounds given by </w:t>
      </w:r>
      <w:r w:rsidRPr="00A2269A" w:rsidR="00482C76">
        <w:t>Judges D.K.M and M.B.</w:t>
      </w:r>
      <w:r w:rsidRPr="00A2269A" w:rsidR="00D51F50">
        <w:t xml:space="preserve"> (see paragraphs </w:t>
      </w:r>
      <w:r w:rsidRPr="00A2269A" w:rsidR="00B63815">
        <w:rPr>
          <w:noProof/>
          <w:lang w:val="en-GB"/>
        </w:rPr>
        <w:t>14</w:t>
      </w:r>
      <w:r w:rsidRPr="00A2269A" w:rsidR="00D51F50">
        <w:t xml:space="preserve"> and </w:t>
      </w:r>
      <w:r w:rsidRPr="00A2269A" w:rsidR="00B63815">
        <w:rPr>
          <w:noProof/>
          <w:lang w:val="en-GB"/>
        </w:rPr>
        <w:t>15</w:t>
      </w:r>
      <w:r w:rsidRPr="00A2269A" w:rsidR="002A2C37">
        <w:t xml:space="preserve"> above)</w:t>
      </w:r>
      <w:r w:rsidRPr="00A2269A" w:rsidR="00D948DC">
        <w:t>,</w:t>
      </w:r>
      <w:r w:rsidRPr="00A2269A" w:rsidR="00482C76">
        <w:t xml:space="preserve"> which were put together </w:t>
      </w:r>
      <w:r w:rsidRPr="00A2269A" w:rsidR="00482C76">
        <w:rPr>
          <w:i/>
        </w:rPr>
        <w:t>post hoc</w:t>
      </w:r>
      <w:r w:rsidRPr="00A2269A" w:rsidR="00552190">
        <w:t xml:space="preserve"> </w:t>
      </w:r>
      <w:r w:rsidRPr="00A2269A" w:rsidR="00764C27">
        <w:t xml:space="preserve">some three years later, </w:t>
      </w:r>
      <w:r w:rsidRPr="00A2269A" w:rsidR="00552190">
        <w:t xml:space="preserve">and, as appears from the </w:t>
      </w:r>
      <w:r w:rsidRPr="00A2269A" w:rsidR="00BB7E0B">
        <w:t>evidence before the Court</w:t>
      </w:r>
      <w:r w:rsidRPr="00A2269A" w:rsidR="00552190">
        <w:t>,</w:t>
      </w:r>
      <w:r w:rsidRPr="00A2269A" w:rsidR="00EB45D3">
        <w:t xml:space="preserve"> </w:t>
      </w:r>
      <w:r w:rsidRPr="00A2269A" w:rsidR="00505CCC">
        <w:t xml:space="preserve">had no </w:t>
      </w:r>
      <w:r w:rsidRPr="00A2269A" w:rsidR="00EB45D3">
        <w:t>in</w:t>
      </w:r>
      <w:r w:rsidRPr="00A2269A" w:rsidR="00D948DC">
        <w:t xml:space="preserve">put </w:t>
      </w:r>
      <w:r w:rsidRPr="00A2269A" w:rsidR="00106331">
        <w:t>from</w:t>
      </w:r>
      <w:r w:rsidRPr="00A2269A" w:rsidR="00EB45D3">
        <w:t xml:space="preserve"> J</w:t>
      </w:r>
      <w:r w:rsidRPr="00A2269A" w:rsidR="00482C76">
        <w:t>udge A.K.</w:t>
      </w:r>
      <w:r w:rsidRPr="00A2269A" w:rsidR="00EB45D3">
        <w:t>,</w:t>
      </w:r>
      <w:r w:rsidRPr="00A2269A" w:rsidR="00482C76">
        <w:t xml:space="preserve"> </w:t>
      </w:r>
      <w:r w:rsidRPr="00A2269A" w:rsidR="00D51F50">
        <w:t xml:space="preserve">could not </w:t>
      </w:r>
      <w:r w:rsidRPr="00A2269A" w:rsidR="002A2C37">
        <w:t xml:space="preserve">compensate for </w:t>
      </w:r>
      <w:r w:rsidRPr="00A2269A" w:rsidR="00482C76">
        <w:t>th</w:t>
      </w:r>
      <w:r w:rsidRPr="00A2269A" w:rsidR="00D948DC">
        <w:t xml:space="preserve">at </w:t>
      </w:r>
      <w:r w:rsidRPr="00A2269A" w:rsidR="00482C76">
        <w:t>deficiency.</w:t>
      </w:r>
    </w:p>
    <w:p w:rsidRPr="00A2269A" w:rsidR="002020F3" w:rsidP="00A2269A" w:rsidRDefault="00881803">
      <w:pPr>
        <w:pStyle w:val="ECHRPara"/>
      </w:pPr>
      <w:r>
        <w:fldChar w:fldCharType="begin"/>
      </w:r>
      <w:r>
        <w:instrText xml:space="preserve"> SEQ level0 \*arabic </w:instrText>
      </w:r>
      <w:r>
        <w:fldChar w:fldCharType="separate"/>
      </w:r>
      <w:r w:rsidRPr="00A2269A" w:rsidR="00A2269A">
        <w:rPr>
          <w:noProof/>
        </w:rPr>
        <w:t>42</w:t>
      </w:r>
      <w:r>
        <w:rPr>
          <w:noProof/>
        </w:rPr>
        <w:fldChar w:fldCharType="end"/>
      </w:r>
      <w:r w:rsidRPr="00A2269A" w:rsidR="00482C76">
        <w:t>. </w:t>
      </w:r>
      <w:r w:rsidRPr="00A2269A" w:rsidR="00EB45D3">
        <w:t>In addition</w:t>
      </w:r>
      <w:r w:rsidRPr="00A2269A" w:rsidR="00D44694">
        <w:t>,</w:t>
      </w:r>
      <w:r w:rsidRPr="00A2269A" w:rsidR="00EB45D3">
        <w:t xml:space="preserve"> the Court </w:t>
      </w:r>
      <w:r w:rsidRPr="00A2269A" w:rsidR="00D44694">
        <w:t xml:space="preserve">is mindful of </w:t>
      </w:r>
      <w:r w:rsidRPr="00A2269A" w:rsidR="00D948DC">
        <w:t>the two j</w:t>
      </w:r>
      <w:r w:rsidRPr="00A2269A" w:rsidR="00482C76">
        <w:t>udges</w:t>
      </w:r>
      <w:r w:rsidRPr="00A2269A" w:rsidR="00A2269A">
        <w:t>’</w:t>
      </w:r>
      <w:r w:rsidRPr="00A2269A" w:rsidR="00D948DC">
        <w:t xml:space="preserve"> </w:t>
      </w:r>
      <w:r w:rsidRPr="00A2269A" w:rsidR="00FC3B86">
        <w:t xml:space="preserve">lack </w:t>
      </w:r>
      <w:r w:rsidRPr="00A2269A" w:rsidR="00252EAB">
        <w:t xml:space="preserve">of involvement in the evidence-gathering process. It observes that Judges D.K.M and M.B. </w:t>
      </w:r>
      <w:r w:rsidRPr="00A2269A" w:rsidR="005616EF">
        <w:t xml:space="preserve">did not participate in </w:t>
      </w:r>
      <w:r w:rsidRPr="00A2269A" w:rsidR="0098009D">
        <w:t xml:space="preserve">the </w:t>
      </w:r>
      <w:r w:rsidRPr="00A2269A" w:rsidR="005616EF">
        <w:t>trials in any way</w:t>
      </w:r>
      <w:r w:rsidRPr="00A2269A" w:rsidR="00252EAB">
        <w:t xml:space="preserve"> and</w:t>
      </w:r>
      <w:r w:rsidRPr="00A2269A" w:rsidR="0098009D">
        <w:t xml:space="preserve"> dre</w:t>
      </w:r>
      <w:r w:rsidRPr="00A2269A" w:rsidR="00482C76">
        <w:t>w up the</w:t>
      </w:r>
      <w:r w:rsidRPr="00A2269A" w:rsidR="00D948DC">
        <w:t>ir</w:t>
      </w:r>
      <w:r w:rsidRPr="00A2269A" w:rsidR="00252EAB">
        <w:t xml:space="preserve"> </w:t>
      </w:r>
      <w:r w:rsidRPr="00A2269A" w:rsidR="00482C76">
        <w:t xml:space="preserve">grounds </w:t>
      </w:r>
      <w:r w:rsidRPr="00A2269A" w:rsidR="002356B6">
        <w:t xml:space="preserve">solely </w:t>
      </w:r>
      <w:r w:rsidRPr="00A2269A" w:rsidR="0098009D">
        <w:t>on the basis of</w:t>
      </w:r>
      <w:r w:rsidRPr="00A2269A" w:rsidR="00482C76">
        <w:t xml:space="preserve"> the written </w:t>
      </w:r>
      <w:r w:rsidRPr="00A2269A" w:rsidR="00D948DC">
        <w:t xml:space="preserve">case </w:t>
      </w:r>
      <w:r w:rsidRPr="00A2269A" w:rsidR="00482C76">
        <w:t>file</w:t>
      </w:r>
      <w:r w:rsidRPr="00A2269A" w:rsidR="00FC3B86">
        <w:t>s</w:t>
      </w:r>
      <w:r w:rsidRPr="00A2269A" w:rsidR="00780707">
        <w:t xml:space="preserve">. By contrast, </w:t>
      </w:r>
      <w:r w:rsidRPr="00A2269A" w:rsidR="005616EF">
        <w:t>Judge A.K.</w:t>
      </w:r>
      <w:r w:rsidRPr="00A2269A" w:rsidR="00A2269A">
        <w:t>’</w:t>
      </w:r>
      <w:r w:rsidRPr="00A2269A" w:rsidR="005616EF">
        <w:t xml:space="preserve">s verdict was not based on </w:t>
      </w:r>
      <w:r w:rsidRPr="00A2269A" w:rsidR="00EF0C06">
        <w:t>documents</w:t>
      </w:r>
      <w:r w:rsidRPr="00A2269A" w:rsidR="005616EF">
        <w:t xml:space="preserve"> only. </w:t>
      </w:r>
      <w:r w:rsidRPr="00A2269A" w:rsidR="00FC3B86">
        <w:t xml:space="preserve">In particular, </w:t>
      </w:r>
      <w:r w:rsidRPr="00A2269A" w:rsidR="0098009D">
        <w:t xml:space="preserve">Judge A.K. </w:t>
      </w:r>
      <w:r w:rsidRPr="00A2269A" w:rsidR="00431170">
        <w:t>heard the applicants</w:t>
      </w:r>
      <w:r w:rsidRPr="00A2269A" w:rsidR="00D948DC">
        <w:t xml:space="preserve"> during the trial</w:t>
      </w:r>
      <w:r w:rsidRPr="00A2269A" w:rsidR="00431170">
        <w:t xml:space="preserve">, examined a number of witnesses and must have formed an opinion as to their credibility. She must </w:t>
      </w:r>
      <w:r w:rsidRPr="00A2269A" w:rsidR="00D948DC">
        <w:t xml:space="preserve">also </w:t>
      </w:r>
      <w:r w:rsidRPr="00A2269A" w:rsidR="00431170">
        <w:t>have made an assessment of the elements of the alleged offences, including the subjective element, namely the applicants</w:t>
      </w:r>
      <w:r w:rsidRPr="00A2269A" w:rsidR="00A2269A">
        <w:t>’</w:t>
      </w:r>
      <w:r w:rsidRPr="00A2269A" w:rsidR="00431170">
        <w:t xml:space="preserve"> intention to commit them, for which the direct hearing of the applicants was particularly relevant (see paragraphs </w:t>
      </w:r>
      <w:r w:rsidRPr="00A2269A" w:rsidR="00B63815">
        <w:rPr>
          <w:noProof/>
          <w:lang w:val="en-GB"/>
        </w:rPr>
        <w:t>7</w:t>
      </w:r>
      <w:r w:rsidRPr="00A2269A" w:rsidR="00431170">
        <w:t xml:space="preserve"> and </w:t>
      </w:r>
      <w:r w:rsidRPr="00A2269A" w:rsidR="00B63815">
        <w:rPr>
          <w:noProof/>
          <w:lang w:val="en-GB"/>
        </w:rPr>
        <w:t>8</w:t>
      </w:r>
      <w:r w:rsidRPr="00A2269A" w:rsidR="00431170">
        <w:t xml:space="preserve"> above, and </w:t>
      </w:r>
      <w:r w:rsidRPr="00A2269A" w:rsidR="00431170">
        <w:rPr>
          <w:i/>
        </w:rPr>
        <w:t>Cutean v. Romania</w:t>
      </w:r>
      <w:r w:rsidRPr="00A2269A" w:rsidR="00431170">
        <w:t>, no. 53150/12, § 66, 5</w:t>
      </w:r>
      <w:r w:rsidRPr="00A2269A" w:rsidR="00A05F54">
        <w:t> </w:t>
      </w:r>
      <w:r w:rsidRPr="00A2269A" w:rsidR="00431170">
        <w:t>February 2014).</w:t>
      </w:r>
    </w:p>
    <w:p w:rsidRPr="00A2269A" w:rsidR="00F83488" w:rsidP="00A2269A" w:rsidRDefault="00881803">
      <w:pPr>
        <w:pStyle w:val="ECHRPara"/>
      </w:pPr>
      <w:r>
        <w:fldChar w:fldCharType="begin"/>
      </w:r>
      <w:r>
        <w:instrText xml:space="preserve"> SEQ level0 \*arabic </w:instrText>
      </w:r>
      <w:r>
        <w:fldChar w:fldCharType="separate"/>
      </w:r>
      <w:r w:rsidRPr="00A2269A" w:rsidR="00A2269A">
        <w:rPr>
          <w:noProof/>
        </w:rPr>
        <w:t>43</w:t>
      </w:r>
      <w:r>
        <w:rPr>
          <w:noProof/>
        </w:rPr>
        <w:fldChar w:fldCharType="end"/>
      </w:r>
      <w:r w:rsidRPr="00A2269A" w:rsidR="002020F3">
        <w:t>.  </w:t>
      </w:r>
      <w:r w:rsidRPr="00A2269A" w:rsidR="0033748F">
        <w:t>Therefore, a</w:t>
      </w:r>
      <w:r w:rsidRPr="00A2269A" w:rsidR="009B3817">
        <w:t>s</w:t>
      </w:r>
      <w:r w:rsidRPr="00A2269A" w:rsidR="00780707">
        <w:t xml:space="preserve"> recogni</w:t>
      </w:r>
      <w:r w:rsidRPr="00A2269A" w:rsidR="00D948DC">
        <w:t>s</w:t>
      </w:r>
      <w:r w:rsidRPr="00A2269A" w:rsidR="00780707">
        <w:t xml:space="preserve">ed through the principle of </w:t>
      </w:r>
      <w:r w:rsidRPr="00A2269A" w:rsidR="00D948DC">
        <w:t xml:space="preserve">the </w:t>
      </w:r>
      <w:r w:rsidRPr="00A2269A" w:rsidR="00780707">
        <w:t xml:space="preserve">immediacy </w:t>
      </w:r>
      <w:r w:rsidRPr="00A2269A" w:rsidR="00764C27">
        <w:t xml:space="preserve">in criminal </w:t>
      </w:r>
      <w:r w:rsidRPr="00A2269A" w:rsidR="00780707">
        <w:t>proceedings</w:t>
      </w:r>
      <w:r w:rsidRPr="00A2269A" w:rsidR="008A285C">
        <w:t xml:space="preserve"> (see </w:t>
      </w:r>
      <w:r w:rsidRPr="00A2269A" w:rsidR="008A285C">
        <w:rPr>
          <w:i/>
        </w:rPr>
        <w:t>Cutean</w:t>
      </w:r>
      <w:r w:rsidRPr="00A2269A" w:rsidR="008A285C">
        <w:t>, cited above, §§ 60 and 61</w:t>
      </w:r>
      <w:r w:rsidRPr="00A2269A" w:rsidR="0062557D">
        <w:t>, and</w:t>
      </w:r>
      <w:r w:rsidRPr="00A2269A" w:rsidR="008A285C">
        <w:t xml:space="preserve"> </w:t>
      </w:r>
      <w:r w:rsidRPr="00A2269A" w:rsidR="008A285C">
        <w:rPr>
          <w:rStyle w:val="ECHRParaChar"/>
          <w:i/>
        </w:rPr>
        <w:t>P.K. v.</w:t>
      </w:r>
      <w:r w:rsidRPr="00A2269A" w:rsidR="000E5A99">
        <w:rPr>
          <w:rStyle w:val="ECHRParaChar"/>
          <w:i/>
        </w:rPr>
        <w:t> </w:t>
      </w:r>
      <w:r w:rsidRPr="00A2269A" w:rsidR="008A285C">
        <w:rPr>
          <w:rStyle w:val="ECHRParaChar"/>
          <w:i/>
        </w:rPr>
        <w:t>Finland</w:t>
      </w:r>
      <w:r w:rsidRPr="00A2269A" w:rsidR="008A285C">
        <w:rPr>
          <w:rStyle w:val="ECHRParaChar"/>
        </w:rPr>
        <w:t xml:space="preserve"> (dec.)</w:t>
      </w:r>
      <w:r w:rsidRPr="00A2269A" w:rsidR="0062557D">
        <w:rPr>
          <w:rStyle w:val="ECHRParaChar"/>
        </w:rPr>
        <w:t>, no. 37442/97, 9 July 2002;</w:t>
      </w:r>
      <w:r w:rsidRPr="00A2269A" w:rsidR="00DC3CA6">
        <w:t xml:space="preserve"> see also the Slovenian Constitutional Court</w:t>
      </w:r>
      <w:r w:rsidRPr="00A2269A" w:rsidR="00A2269A">
        <w:t>’</w:t>
      </w:r>
      <w:r w:rsidRPr="00A2269A" w:rsidR="00DC3CA6">
        <w:t xml:space="preserve">s decision of 11 October 2006 cited in paragraph </w:t>
      </w:r>
      <w:r w:rsidRPr="00A2269A" w:rsidR="00B63815">
        <w:rPr>
          <w:noProof/>
        </w:rPr>
        <w:t>28</w:t>
      </w:r>
      <w:r w:rsidRPr="00A2269A" w:rsidR="00065014">
        <w:t xml:space="preserve"> above</w:t>
      </w:r>
      <w:r w:rsidRPr="00A2269A" w:rsidR="008A285C">
        <w:t>)</w:t>
      </w:r>
      <w:r w:rsidRPr="00A2269A" w:rsidR="00780707">
        <w:t>,</w:t>
      </w:r>
      <w:r w:rsidRPr="00A2269A" w:rsidR="00FC3B86">
        <w:t xml:space="preserve"> </w:t>
      </w:r>
      <w:r w:rsidRPr="00A2269A" w:rsidR="00FE1982">
        <w:t>Judge</w:t>
      </w:r>
      <w:r w:rsidRPr="00A2269A" w:rsidR="00FC3B86">
        <w:t xml:space="preserve"> A.K.</w:t>
      </w:r>
      <w:r w:rsidRPr="00A2269A" w:rsidR="00A2269A">
        <w:t>’</w:t>
      </w:r>
      <w:r w:rsidRPr="00A2269A" w:rsidR="00F566B9">
        <w:t>s</w:t>
      </w:r>
      <w:r w:rsidRPr="00A2269A" w:rsidR="009B3817">
        <w:t xml:space="preserve"> observation</w:t>
      </w:r>
      <w:r w:rsidRPr="00A2269A" w:rsidR="00D948DC">
        <w:t xml:space="preserve"> of </w:t>
      </w:r>
      <w:r w:rsidRPr="00A2269A" w:rsidR="009B3817">
        <w:t>the demeanour of</w:t>
      </w:r>
      <w:r w:rsidRPr="00A2269A" w:rsidR="00404531">
        <w:t xml:space="preserve"> the</w:t>
      </w:r>
      <w:r w:rsidRPr="00A2269A" w:rsidR="009B3817">
        <w:t xml:space="preserve"> witnesse</w:t>
      </w:r>
      <w:r w:rsidRPr="00A2269A" w:rsidR="00404531">
        <w:t>s</w:t>
      </w:r>
      <w:r w:rsidRPr="00A2269A" w:rsidR="009B3817">
        <w:t xml:space="preserve"> and the applicants</w:t>
      </w:r>
      <w:r w:rsidRPr="00A2269A" w:rsidR="00AC41E8">
        <w:t xml:space="preserve"> </w:t>
      </w:r>
      <w:r w:rsidRPr="00A2269A" w:rsidR="00D948DC">
        <w:t xml:space="preserve">and her assessment of their credibility </w:t>
      </w:r>
      <w:r w:rsidRPr="00A2269A" w:rsidR="00AC41E8">
        <w:t>must have constituted a</w:t>
      </w:r>
      <w:r w:rsidRPr="00A2269A" w:rsidR="00667DFE">
        <w:t>n important, if not decisive,</w:t>
      </w:r>
      <w:r w:rsidRPr="00A2269A" w:rsidR="009B3817">
        <w:t xml:space="preserve"> element </w:t>
      </w:r>
      <w:r w:rsidRPr="00A2269A" w:rsidR="00AC41E8">
        <w:t xml:space="preserve">in the establishment of </w:t>
      </w:r>
      <w:r w:rsidRPr="00A2269A" w:rsidR="00D948DC">
        <w:t xml:space="preserve">the </w:t>
      </w:r>
      <w:r w:rsidRPr="00A2269A" w:rsidR="00AC41E8">
        <w:t>facts on which the applicants</w:t>
      </w:r>
      <w:r w:rsidRPr="00A2269A" w:rsidR="00A2269A">
        <w:t>’</w:t>
      </w:r>
      <w:r w:rsidRPr="00A2269A" w:rsidR="00AC41E8">
        <w:t xml:space="preserve"> convictions were based</w:t>
      </w:r>
      <w:r w:rsidRPr="00A2269A" w:rsidR="00065014">
        <w:t>. In the Court</w:t>
      </w:r>
      <w:r w:rsidRPr="00A2269A" w:rsidR="00A2269A">
        <w:t>’</w:t>
      </w:r>
      <w:r w:rsidRPr="00A2269A" w:rsidR="00065014">
        <w:t>s view, she should, for precisely that reason, address her observations</w:t>
      </w:r>
      <w:r w:rsidRPr="00A2269A" w:rsidR="00AC41E8">
        <w:t xml:space="preserve"> in</w:t>
      </w:r>
      <w:r w:rsidRPr="00A2269A" w:rsidR="001C60EA">
        <w:t xml:space="preserve"> the </w:t>
      </w:r>
      <w:r w:rsidRPr="00A2269A" w:rsidR="00065014">
        <w:t>written grounds</w:t>
      </w:r>
      <w:r w:rsidRPr="00A2269A" w:rsidR="001C60EA">
        <w:t xml:space="preserve"> justifying </w:t>
      </w:r>
      <w:r w:rsidRPr="00A2269A" w:rsidR="00065014">
        <w:t>the</w:t>
      </w:r>
      <w:r w:rsidRPr="00A2269A" w:rsidR="00AC41E8">
        <w:t xml:space="preserve"> verdicts</w:t>
      </w:r>
      <w:r w:rsidRPr="00A2269A" w:rsidR="001C60EA">
        <w:t xml:space="preserve">. </w:t>
      </w:r>
      <w:r w:rsidRPr="00A2269A" w:rsidR="0033748F">
        <w:t xml:space="preserve">Indeed, </w:t>
      </w:r>
      <w:r w:rsidRPr="00A2269A" w:rsidR="00D948DC">
        <w:t>under</w:t>
      </w:r>
      <w:r w:rsidRPr="00A2269A" w:rsidR="00065014">
        <w:t> </w:t>
      </w:r>
      <w:r w:rsidRPr="00A2269A" w:rsidR="003146BC">
        <w:t>domestic law</w:t>
      </w:r>
      <w:r w:rsidRPr="00A2269A" w:rsidR="00DF53BC">
        <w:t>,</w:t>
      </w:r>
      <w:r w:rsidRPr="00A2269A" w:rsidR="003146BC">
        <w:t xml:space="preserve"> </w:t>
      </w:r>
      <w:r w:rsidRPr="00A2269A" w:rsidR="0037088E">
        <w:t>such observation</w:t>
      </w:r>
      <w:r w:rsidRPr="00A2269A" w:rsidR="008A285C">
        <w:t>s</w:t>
      </w:r>
      <w:r w:rsidRPr="00A2269A" w:rsidR="0037088E">
        <w:t xml:space="preserve"> </w:t>
      </w:r>
      <w:r w:rsidRPr="00A2269A" w:rsidR="0033748F">
        <w:t xml:space="preserve">should </w:t>
      </w:r>
      <w:r w:rsidRPr="00A2269A" w:rsidR="00780707">
        <w:t>form</w:t>
      </w:r>
      <w:r w:rsidRPr="00A2269A" w:rsidR="0033748F">
        <w:t xml:space="preserve"> one of </w:t>
      </w:r>
      <w:r w:rsidRPr="00A2269A" w:rsidR="00D948DC">
        <w:t xml:space="preserve">the </w:t>
      </w:r>
      <w:r w:rsidRPr="00A2269A" w:rsidR="003C332A">
        <w:t xml:space="preserve">essential </w:t>
      </w:r>
      <w:r w:rsidRPr="00A2269A" w:rsidR="0033748F">
        <w:t>components</w:t>
      </w:r>
      <w:r w:rsidRPr="00A2269A" w:rsidR="003C332A">
        <w:t xml:space="preserve"> of written </w:t>
      </w:r>
      <w:r w:rsidRPr="00A2269A" w:rsidR="0033748F">
        <w:t>judgment</w:t>
      </w:r>
      <w:r w:rsidRPr="00A2269A" w:rsidR="00D948DC">
        <w:t>s</w:t>
      </w:r>
      <w:r w:rsidRPr="00A2269A" w:rsidR="003C332A">
        <w:t xml:space="preserve"> (see section 364</w:t>
      </w:r>
      <w:r w:rsidRPr="00A2269A" w:rsidR="00D948DC">
        <w:t>(</w:t>
      </w:r>
      <w:r w:rsidRPr="00A2269A" w:rsidR="003C332A">
        <w:t>7</w:t>
      </w:r>
      <w:r w:rsidRPr="00A2269A" w:rsidR="00D948DC">
        <w:t>)</w:t>
      </w:r>
      <w:r w:rsidRPr="00A2269A" w:rsidR="003C332A">
        <w:t xml:space="preserve"> of </w:t>
      </w:r>
      <w:r w:rsidRPr="00A2269A" w:rsidR="00D948DC">
        <w:t xml:space="preserve">the </w:t>
      </w:r>
      <w:r w:rsidRPr="00A2269A" w:rsidR="003C332A">
        <w:t>Criminal Procedure Act, cite</w:t>
      </w:r>
      <w:r w:rsidRPr="00A2269A" w:rsidR="00D948DC">
        <w:t>d</w:t>
      </w:r>
      <w:r w:rsidRPr="00A2269A" w:rsidR="003C332A">
        <w:t xml:space="preserve"> in paragraph </w:t>
      </w:r>
      <w:r w:rsidRPr="00A2269A" w:rsidR="00B63815">
        <w:t>24</w:t>
      </w:r>
      <w:r w:rsidRPr="00A2269A" w:rsidR="008A285C">
        <w:t xml:space="preserve"> above)</w:t>
      </w:r>
      <w:r w:rsidRPr="00A2269A" w:rsidR="00D948DC">
        <w:t>.</w:t>
      </w:r>
    </w:p>
    <w:p w:rsidRPr="00A2269A" w:rsidR="00F83488" w:rsidP="00A2269A" w:rsidRDefault="00881803">
      <w:pPr>
        <w:pStyle w:val="ECHRPara"/>
      </w:pPr>
      <w:r>
        <w:fldChar w:fldCharType="begin"/>
      </w:r>
      <w:r>
        <w:instrText xml:space="preserve"> SEQ level0 \*arabic </w:instrText>
      </w:r>
      <w:r>
        <w:fldChar w:fldCharType="separate"/>
      </w:r>
      <w:r w:rsidRPr="00A2269A" w:rsidR="00A2269A">
        <w:rPr>
          <w:noProof/>
        </w:rPr>
        <w:t>44</w:t>
      </w:r>
      <w:r>
        <w:rPr>
          <w:noProof/>
        </w:rPr>
        <w:fldChar w:fldCharType="end"/>
      </w:r>
      <w:r w:rsidRPr="00A2269A" w:rsidR="00F249A6">
        <w:t>.  </w:t>
      </w:r>
      <w:r w:rsidRPr="00A2269A" w:rsidR="00D44694">
        <w:t xml:space="preserve">As to the question whether </w:t>
      </w:r>
      <w:r w:rsidRPr="00A2269A" w:rsidR="00780707">
        <w:t>Judge A.K.</w:t>
      </w:r>
      <w:r w:rsidRPr="00A2269A" w:rsidR="00A2269A">
        <w:t>’</w:t>
      </w:r>
      <w:r w:rsidRPr="00A2269A" w:rsidR="00780707">
        <w:t>s retirement, which was allegedly the reason for her failure to pro</w:t>
      </w:r>
      <w:r w:rsidRPr="00A2269A" w:rsidR="00D948DC">
        <w:t xml:space="preserve">vide </w:t>
      </w:r>
      <w:r w:rsidRPr="00A2269A" w:rsidR="00780707">
        <w:t xml:space="preserve">written grounds, gave rise to exceptional circumstances which justified a departure from </w:t>
      </w:r>
      <w:r w:rsidRPr="00A2269A" w:rsidR="00BA3304">
        <w:t xml:space="preserve">the </w:t>
      </w:r>
      <w:r w:rsidRPr="00A2269A" w:rsidR="00780707">
        <w:t>standard domestic procedure</w:t>
      </w:r>
      <w:r w:rsidRPr="00A2269A" w:rsidR="00D44694">
        <w:t xml:space="preserve"> (see paragraph </w:t>
      </w:r>
      <w:r w:rsidRPr="00A2269A" w:rsidR="00B63815">
        <w:rPr>
          <w:noProof/>
        </w:rPr>
        <w:t>35</w:t>
      </w:r>
      <w:r w:rsidRPr="00A2269A" w:rsidR="00D44694">
        <w:t xml:space="preserve"> above), t</w:t>
      </w:r>
      <w:r w:rsidRPr="00A2269A" w:rsidR="00780707">
        <w:t xml:space="preserve">he Court observes that the date of </w:t>
      </w:r>
      <w:r w:rsidRPr="00A2269A" w:rsidR="00FE679A">
        <w:t xml:space="preserve">her </w:t>
      </w:r>
      <w:r w:rsidRPr="00A2269A" w:rsidR="00780707">
        <w:t xml:space="preserve">retirement </w:t>
      </w:r>
      <w:r w:rsidRPr="00A2269A" w:rsidR="00DF53BC">
        <w:t xml:space="preserve">must </w:t>
      </w:r>
      <w:r w:rsidRPr="00A2269A" w:rsidR="00780707">
        <w:t>have been known to Judge A.K. in advance</w:t>
      </w:r>
      <w:r w:rsidRPr="00A2269A" w:rsidR="00952E75">
        <w:t xml:space="preserve">. </w:t>
      </w:r>
      <w:r w:rsidRPr="00A2269A" w:rsidR="002356B6">
        <w:t>I</w:t>
      </w:r>
      <w:r w:rsidRPr="00A2269A" w:rsidR="00780707">
        <w:t xml:space="preserve">t </w:t>
      </w:r>
      <w:r w:rsidRPr="00A2269A" w:rsidR="00952E75">
        <w:t xml:space="preserve">should </w:t>
      </w:r>
      <w:r w:rsidRPr="00A2269A" w:rsidR="002356B6">
        <w:t xml:space="preserve">therefore </w:t>
      </w:r>
      <w:r w:rsidRPr="00A2269A" w:rsidR="00780707">
        <w:t xml:space="preserve">in principle </w:t>
      </w:r>
      <w:r w:rsidRPr="00A2269A" w:rsidR="00FE679A">
        <w:t xml:space="preserve">have </w:t>
      </w:r>
      <w:r w:rsidRPr="00A2269A" w:rsidR="00780707">
        <w:t>be</w:t>
      </w:r>
      <w:r w:rsidRPr="00A2269A" w:rsidR="00FE679A">
        <w:t>en</w:t>
      </w:r>
      <w:r w:rsidRPr="00A2269A" w:rsidR="00780707">
        <w:t xml:space="preserve"> possible to take measures either for </w:t>
      </w:r>
      <w:r w:rsidRPr="00A2269A" w:rsidR="00FE679A">
        <w:t xml:space="preserve">her </w:t>
      </w:r>
      <w:r w:rsidRPr="00A2269A" w:rsidR="00780707">
        <w:t>to finish the applicants</w:t>
      </w:r>
      <w:r w:rsidRPr="00A2269A" w:rsidR="00A2269A">
        <w:t>’</w:t>
      </w:r>
      <w:r w:rsidRPr="00A2269A" w:rsidR="00780707">
        <w:t xml:space="preserve"> case</w:t>
      </w:r>
      <w:r w:rsidRPr="00A2269A" w:rsidR="00224B6D">
        <w:t>s</w:t>
      </w:r>
      <w:r w:rsidRPr="00A2269A" w:rsidR="00780707">
        <w:t xml:space="preserve"> alone or to involve another judge at an early stage in the proceedings.</w:t>
      </w:r>
      <w:r w:rsidRPr="00A2269A" w:rsidR="001C60EA">
        <w:t xml:space="preserve"> </w:t>
      </w:r>
      <w:r w:rsidRPr="00A2269A" w:rsidR="00FE679A">
        <w:t>M</w:t>
      </w:r>
      <w:r w:rsidRPr="00A2269A" w:rsidR="00780707">
        <w:t>oreover</w:t>
      </w:r>
      <w:r w:rsidRPr="00A2269A" w:rsidR="00FE679A">
        <w:t>,</w:t>
      </w:r>
      <w:r w:rsidRPr="00A2269A" w:rsidR="00780707">
        <w:t xml:space="preserve"> </w:t>
      </w:r>
      <w:r w:rsidRPr="00A2269A" w:rsidR="00FE679A">
        <w:t xml:space="preserve">it </w:t>
      </w:r>
      <w:r w:rsidRPr="00A2269A" w:rsidR="00780707">
        <w:t>notes that the case was no</w:t>
      </w:r>
      <w:r w:rsidRPr="00A2269A" w:rsidR="00FE679A">
        <w:t>t</w:t>
      </w:r>
      <w:r w:rsidRPr="00A2269A" w:rsidR="00780707">
        <w:t xml:space="preserve"> </w:t>
      </w:r>
      <w:r w:rsidRPr="00A2269A" w:rsidR="00FE679A">
        <w:t xml:space="preserve">a </w:t>
      </w:r>
      <w:r w:rsidRPr="00A2269A" w:rsidR="00780707">
        <w:t>particularly complex</w:t>
      </w:r>
      <w:r w:rsidRPr="00A2269A" w:rsidR="00FE679A">
        <w:t xml:space="preserve"> one </w:t>
      </w:r>
      <w:r w:rsidRPr="00A2269A" w:rsidR="00780707">
        <w:t xml:space="preserve">and that the </w:t>
      </w:r>
      <w:r w:rsidRPr="00A2269A" w:rsidR="00065014">
        <w:t>applicants</w:t>
      </w:r>
      <w:r w:rsidRPr="00A2269A" w:rsidR="00780707">
        <w:t xml:space="preserve"> gave </w:t>
      </w:r>
      <w:r w:rsidRPr="00A2269A" w:rsidR="00FE679A">
        <w:t xml:space="preserve">notice of </w:t>
      </w:r>
      <w:r w:rsidRPr="00A2269A" w:rsidR="00780707">
        <w:t xml:space="preserve">their intention to appeal </w:t>
      </w:r>
      <w:r w:rsidRPr="00A2269A" w:rsidR="00FE679A">
        <w:t xml:space="preserve">as soon as </w:t>
      </w:r>
      <w:r w:rsidRPr="00A2269A" w:rsidR="00780707">
        <w:t>the verdict was pronounced</w:t>
      </w:r>
      <w:r w:rsidRPr="00A2269A" w:rsidR="00065014">
        <w:t xml:space="preserve"> (see paragraph</w:t>
      </w:r>
      <w:r w:rsidRPr="00A2269A" w:rsidR="000D1A1C">
        <w:t xml:space="preserve"> </w:t>
      </w:r>
      <w:r w:rsidRPr="00A2269A" w:rsidR="00B63815">
        <w:rPr>
          <w:noProof/>
          <w:lang w:val="en-GB"/>
        </w:rPr>
        <w:t>12</w:t>
      </w:r>
      <w:r w:rsidRPr="00A2269A" w:rsidR="000D1A1C">
        <w:t xml:space="preserve"> above)</w:t>
      </w:r>
      <w:r w:rsidRPr="00A2269A" w:rsidR="00FE679A">
        <w:t xml:space="preserve">. That </w:t>
      </w:r>
      <w:r w:rsidRPr="00A2269A" w:rsidR="00780707">
        <w:t>mean</w:t>
      </w:r>
      <w:r w:rsidRPr="00A2269A" w:rsidR="00FE679A">
        <w:t>s</w:t>
      </w:r>
      <w:r w:rsidRPr="00A2269A" w:rsidR="00780707">
        <w:t xml:space="preserve"> </w:t>
      </w:r>
      <w:r w:rsidRPr="00A2269A" w:rsidR="00C3108F">
        <w:t xml:space="preserve">that </w:t>
      </w:r>
      <w:r w:rsidRPr="00A2269A" w:rsidR="00780707">
        <w:t xml:space="preserve">Judge A.K. was immediately aware that she would have to </w:t>
      </w:r>
      <w:r w:rsidRPr="00A2269A" w:rsidR="00FE679A">
        <w:t xml:space="preserve">provide </w:t>
      </w:r>
      <w:r w:rsidRPr="00A2269A" w:rsidR="00780707">
        <w:t xml:space="preserve">written grounds. The Court therefore cannot agree with the Government that there </w:t>
      </w:r>
      <w:r w:rsidRPr="00A2269A" w:rsidR="00FE679A">
        <w:t xml:space="preserve">were </w:t>
      </w:r>
      <w:r w:rsidRPr="00A2269A" w:rsidR="00780707">
        <w:t xml:space="preserve">good reasons </w:t>
      </w:r>
      <w:r w:rsidRPr="00A2269A" w:rsidR="00DF53BC">
        <w:t xml:space="preserve">to </w:t>
      </w:r>
      <w:r w:rsidRPr="00A2269A" w:rsidR="00780707">
        <w:t xml:space="preserve">depart from the procedure to which the accused were entitled under domestic law. </w:t>
      </w:r>
      <w:r w:rsidRPr="00A2269A" w:rsidR="00FE679A">
        <w:t>Furthermore, i</w:t>
      </w:r>
      <w:r w:rsidRPr="00A2269A" w:rsidR="00780707">
        <w:t xml:space="preserve">t </w:t>
      </w:r>
      <w:r w:rsidRPr="00A2269A" w:rsidR="00FE679A">
        <w:t xml:space="preserve">is </w:t>
      </w:r>
      <w:r w:rsidRPr="00A2269A" w:rsidR="00780707">
        <w:t xml:space="preserve">particularly striking that despite </w:t>
      </w:r>
      <w:r w:rsidRPr="00A2269A" w:rsidR="00FE679A">
        <w:t>a</w:t>
      </w:r>
      <w:r w:rsidRPr="00A2269A" w:rsidR="00780707">
        <w:t xml:space="preserve"> statutory time</w:t>
      </w:r>
      <w:r w:rsidRPr="00A2269A" w:rsidR="00FE679A">
        <w:t>-</w:t>
      </w:r>
      <w:r w:rsidRPr="00A2269A" w:rsidR="00780707">
        <w:t xml:space="preserve">limit of thirty days, the written grounds were </w:t>
      </w:r>
      <w:r w:rsidRPr="00A2269A" w:rsidR="00FE679A">
        <w:t xml:space="preserve">not provided for </w:t>
      </w:r>
      <w:r w:rsidRPr="00A2269A" w:rsidR="00780707">
        <w:t>about three years after the pronouncement of the verdicts</w:t>
      </w:r>
      <w:r w:rsidRPr="00A2269A" w:rsidR="00C3108F">
        <w:t xml:space="preserve">, during which time </w:t>
      </w:r>
      <w:r w:rsidRPr="00A2269A" w:rsidR="00780707">
        <w:t>the case</w:t>
      </w:r>
      <w:r w:rsidRPr="00A2269A" w:rsidR="00FE679A">
        <w:t xml:space="preserve"> </w:t>
      </w:r>
      <w:r w:rsidRPr="00A2269A" w:rsidR="00780707">
        <w:t xml:space="preserve">files </w:t>
      </w:r>
      <w:r w:rsidRPr="00A2269A" w:rsidR="002356B6">
        <w:t>were</w:t>
      </w:r>
      <w:r w:rsidRPr="00A2269A" w:rsidR="00FE679A">
        <w:t xml:space="preserve"> lost </w:t>
      </w:r>
      <w:r w:rsidRPr="00A2269A" w:rsidR="00780707">
        <w:t>and had to be reconstituted</w:t>
      </w:r>
      <w:r w:rsidRPr="00A2269A" w:rsidR="000D1A1C">
        <w:t xml:space="preserve"> </w:t>
      </w:r>
      <w:r w:rsidRPr="00A2269A" w:rsidR="000724DD">
        <w:t xml:space="preserve">(see paragraphs </w:t>
      </w:r>
      <w:r w:rsidRPr="00A2269A" w:rsidR="00B63815">
        <w:rPr>
          <w:noProof/>
          <w:lang w:val="en-GB"/>
        </w:rPr>
        <w:t>13</w:t>
      </w:r>
      <w:r w:rsidRPr="00A2269A" w:rsidR="000724DD">
        <w:t xml:space="preserve"> and </w:t>
      </w:r>
      <w:r w:rsidRPr="00A2269A" w:rsidR="00B63815">
        <w:rPr>
          <w:noProof/>
        </w:rPr>
        <w:t>23</w:t>
      </w:r>
      <w:r w:rsidRPr="00A2269A" w:rsidR="000724DD">
        <w:t xml:space="preserve"> above)</w:t>
      </w:r>
      <w:r w:rsidRPr="00A2269A" w:rsidR="00FE679A">
        <w:t xml:space="preserve">. </w:t>
      </w:r>
      <w:r w:rsidRPr="00A2269A" w:rsidR="00C3108F">
        <w:t>Those factors raise further concerns about the way the applicants</w:t>
      </w:r>
      <w:r w:rsidRPr="00A2269A" w:rsidR="00A2269A">
        <w:t>’</w:t>
      </w:r>
      <w:r w:rsidRPr="00A2269A" w:rsidR="00C3108F">
        <w:t xml:space="preserve"> cases were handled by the domestic courts</w:t>
      </w:r>
      <w:r w:rsidRPr="00A2269A" w:rsidR="00780707">
        <w:t>.</w:t>
      </w:r>
    </w:p>
    <w:p w:rsidRPr="00A2269A" w:rsidR="00DD7837" w:rsidP="00A2269A" w:rsidRDefault="00A2269A">
      <w:pPr>
        <w:pStyle w:val="ECHRPara"/>
        <w:rPr>
          <w:lang w:val="en-GB"/>
        </w:rPr>
      </w:pPr>
      <w:fldSimple w:instr=" SEQ level0 \*arabic ">
        <w:r w:rsidRPr="00A2269A">
          <w:rPr>
            <w:noProof/>
          </w:rPr>
          <w:t>45</w:t>
        </w:r>
      </w:fldSimple>
      <w:r w:rsidRPr="00A2269A" w:rsidR="009624F5">
        <w:t>.  </w:t>
      </w:r>
      <w:r w:rsidRPr="00A2269A" w:rsidR="00672115">
        <w:t>The</w:t>
      </w:r>
      <w:r w:rsidRPr="00A2269A" w:rsidR="00780707">
        <w:t xml:space="preserve"> Court </w:t>
      </w:r>
      <w:r w:rsidRPr="00A2269A" w:rsidR="009624F5">
        <w:t>appreciates that in some cases there might be administrative or procedural factors that render a judge</w:t>
      </w:r>
      <w:r w:rsidRPr="00A2269A">
        <w:t>’</w:t>
      </w:r>
      <w:r w:rsidRPr="00A2269A" w:rsidR="00672115">
        <w:t>s</w:t>
      </w:r>
      <w:r w:rsidRPr="00A2269A" w:rsidR="009624F5">
        <w:t xml:space="preserve"> continued participation in the case impossible (see</w:t>
      </w:r>
      <w:r w:rsidRPr="00A2269A" w:rsidR="009624F5">
        <w:rPr>
          <w:lang w:val="en-GB"/>
        </w:rPr>
        <w:t xml:space="preserve"> </w:t>
      </w:r>
      <w:r w:rsidRPr="00A2269A" w:rsidR="009624F5">
        <w:rPr>
          <w:i/>
        </w:rPr>
        <w:t>Cutean</w:t>
      </w:r>
      <w:r w:rsidRPr="00A2269A" w:rsidR="009624F5">
        <w:t>, cited above,</w:t>
      </w:r>
      <w:r w:rsidRPr="00A2269A" w:rsidR="009624F5">
        <w:rPr>
          <w:i/>
        </w:rPr>
        <w:t xml:space="preserve"> </w:t>
      </w:r>
      <w:r w:rsidRPr="00A2269A" w:rsidR="009624F5">
        <w:t xml:space="preserve">§ 61, and </w:t>
      </w:r>
      <w:r w:rsidRPr="00A2269A" w:rsidR="009624F5">
        <w:rPr>
          <w:i/>
          <w:lang w:val="en-GB"/>
        </w:rPr>
        <w:t xml:space="preserve">Mellors v. the United Kingdom </w:t>
      </w:r>
      <w:r w:rsidRPr="00A2269A" w:rsidR="009624F5">
        <w:rPr>
          <w:lang w:val="en-GB"/>
        </w:rPr>
        <w:t>(dec.),</w:t>
      </w:r>
      <w:r w:rsidRPr="00A2269A" w:rsidR="009624F5">
        <w:rPr>
          <w:i/>
          <w:lang w:val="en-GB"/>
        </w:rPr>
        <w:t xml:space="preserve"> </w:t>
      </w:r>
      <w:r w:rsidRPr="00A2269A" w:rsidR="009624F5">
        <w:rPr>
          <w:lang w:val="en-GB"/>
        </w:rPr>
        <w:t>no. 57836/00, 30 January 2003</w:t>
      </w:r>
      <w:r w:rsidRPr="00A2269A" w:rsidR="009624F5">
        <w:t xml:space="preserve">). </w:t>
      </w:r>
      <w:r w:rsidRPr="00A2269A" w:rsidR="00672115">
        <w:t>However,</w:t>
      </w:r>
      <w:r w:rsidRPr="00A2269A" w:rsidR="002C6FB0">
        <w:t xml:space="preserve"> it notes, first, that it follows from the considerations in </w:t>
      </w:r>
      <w:r w:rsidRPr="00A2269A" w:rsidR="00563779">
        <w:t xml:space="preserve">the </w:t>
      </w:r>
      <w:r w:rsidRPr="00A2269A" w:rsidR="002C6FB0">
        <w:t>above paragraph that no such factors arose in the present case. Second</w:t>
      </w:r>
      <w:r w:rsidRPr="00A2269A" w:rsidR="00563779">
        <w:t>ly</w:t>
      </w:r>
      <w:r w:rsidRPr="00A2269A" w:rsidR="002C6FB0">
        <w:t>, even if they had arisen, the only way to compensate for Judge A.K.</w:t>
      </w:r>
      <w:r w:rsidRPr="00A2269A">
        <w:t>’</w:t>
      </w:r>
      <w:r w:rsidRPr="00A2269A" w:rsidR="002C6FB0">
        <w:t>s inability to produce reasons justifying the applicants</w:t>
      </w:r>
      <w:r w:rsidRPr="00A2269A">
        <w:t>’</w:t>
      </w:r>
      <w:r w:rsidRPr="00A2269A" w:rsidR="002C6FB0">
        <w:t xml:space="preserve"> conviction would have been to order a retrial</w:t>
      </w:r>
      <w:r w:rsidRPr="00A2269A" w:rsidR="00224B6D">
        <w:t>, by, for instance, the second-instance court remitting the cases</w:t>
      </w:r>
      <w:r w:rsidRPr="00A2269A" w:rsidR="00A86CC9">
        <w:t xml:space="preserve"> to the first-</w:t>
      </w:r>
      <w:r w:rsidRPr="00A2269A" w:rsidR="00224B6D">
        <w:t xml:space="preserve">instance </w:t>
      </w:r>
      <w:r w:rsidRPr="00A2269A" w:rsidR="00A86CC9">
        <w:t xml:space="preserve">court </w:t>
      </w:r>
      <w:r w:rsidRPr="00A2269A" w:rsidR="00224B6D">
        <w:t xml:space="preserve">for a new hearing (see paragraph </w:t>
      </w:r>
      <w:r w:rsidRPr="00A2269A" w:rsidR="00B63815">
        <w:rPr>
          <w:noProof/>
        </w:rPr>
        <w:t>26</w:t>
      </w:r>
      <w:r w:rsidRPr="00A2269A" w:rsidR="00AC206D">
        <w:t xml:space="preserve"> </w:t>
      </w:r>
      <w:r w:rsidRPr="00A2269A" w:rsidR="00224B6D">
        <w:t>above)</w:t>
      </w:r>
      <w:r w:rsidRPr="00A2269A" w:rsidR="002356B6">
        <w:t xml:space="preserve">. The reason for that is </w:t>
      </w:r>
      <w:r w:rsidRPr="00A2269A" w:rsidR="002C6FB0">
        <w:t xml:space="preserve">because </w:t>
      </w:r>
      <w:r w:rsidRPr="00A2269A" w:rsidR="002356B6">
        <w:t xml:space="preserve">when </w:t>
      </w:r>
      <w:r w:rsidRPr="00A2269A" w:rsidR="00C3108F">
        <w:t>J</w:t>
      </w:r>
      <w:r w:rsidRPr="00A2269A" w:rsidR="009624F5">
        <w:t xml:space="preserve">udge A.K. </w:t>
      </w:r>
      <w:r w:rsidRPr="00A2269A" w:rsidR="00563779">
        <w:t>retire</w:t>
      </w:r>
      <w:r w:rsidRPr="00A2269A" w:rsidR="002356B6">
        <w:t>d</w:t>
      </w:r>
      <w:r w:rsidRPr="00A2269A" w:rsidR="009624F5">
        <w:t xml:space="preserve"> the verdicts had already been pronounced and the applicants</w:t>
      </w:r>
      <w:r w:rsidRPr="00A2269A">
        <w:t>’</w:t>
      </w:r>
      <w:r w:rsidRPr="00A2269A" w:rsidR="009624F5">
        <w:t xml:space="preserve"> statements and witness testimony constituted relevant evidence for them </w:t>
      </w:r>
      <w:r w:rsidRPr="00A2269A" w:rsidR="002C6FB0">
        <w:t>(see paragraphs</w:t>
      </w:r>
      <w:r w:rsidRPr="00A2269A" w:rsidR="009624F5">
        <w:t xml:space="preserve"> </w:t>
      </w:r>
      <w:r w:rsidRPr="00A2269A" w:rsidR="00B63815">
        <w:rPr>
          <w:noProof/>
        </w:rPr>
        <w:t>40</w:t>
      </w:r>
      <w:r w:rsidRPr="00A2269A" w:rsidR="002C6FB0">
        <w:t xml:space="preserve"> to </w:t>
      </w:r>
      <w:r w:rsidRPr="00A2269A" w:rsidR="00B63815">
        <w:rPr>
          <w:noProof/>
        </w:rPr>
        <w:t>43</w:t>
      </w:r>
      <w:r w:rsidRPr="00A2269A" w:rsidR="002C6FB0">
        <w:t xml:space="preserve"> </w:t>
      </w:r>
      <w:r w:rsidRPr="00A2269A" w:rsidR="009624F5">
        <w:t>above).</w:t>
      </w:r>
    </w:p>
    <w:p w:rsidRPr="00A2269A" w:rsidR="00E033C7" w:rsidP="00A2269A" w:rsidRDefault="00A2269A">
      <w:pPr>
        <w:pStyle w:val="ECHRPara"/>
        <w:rPr>
          <w:lang w:val="en-GB"/>
        </w:rPr>
      </w:pPr>
      <w:fldSimple w:instr=" SEQ level0 \*arabic ">
        <w:r w:rsidRPr="00A2269A">
          <w:rPr>
            <w:noProof/>
          </w:rPr>
          <w:t>46</w:t>
        </w:r>
      </w:fldSimple>
      <w:r w:rsidRPr="00A2269A" w:rsidR="00DD7837">
        <w:t>.  </w:t>
      </w:r>
      <w:r w:rsidRPr="00A2269A" w:rsidR="00E033C7">
        <w:t>Lastly, the Court is aware that the</w:t>
      </w:r>
      <w:r w:rsidRPr="00A2269A" w:rsidR="002356B6">
        <w:t>re is a</w:t>
      </w:r>
      <w:r w:rsidRPr="00A2269A" w:rsidR="00E033C7">
        <w:t xml:space="preserve"> possibility that a higher or the highest court might, in some circumstances, make reparation for defects in first-instance proceedings (see </w:t>
      </w:r>
      <w:r w:rsidRPr="00A2269A" w:rsidR="000D1A1C">
        <w:rPr>
          <w:i/>
          <w:lang w:val="en-GB"/>
        </w:rPr>
        <w:t>De Cubber v. Belgium</w:t>
      </w:r>
      <w:r w:rsidRPr="00A2269A" w:rsidR="000D1A1C">
        <w:rPr>
          <w:lang w:val="en-GB"/>
        </w:rPr>
        <w:t>, 26 October 1984, § 33, Series A no. 86</w:t>
      </w:r>
      <w:r w:rsidRPr="00A2269A" w:rsidR="00D37466">
        <w:rPr>
          <w:lang w:val="en-GB"/>
        </w:rPr>
        <w:t>)</w:t>
      </w:r>
      <w:r w:rsidRPr="00A2269A" w:rsidR="00E033C7">
        <w:t xml:space="preserve">. </w:t>
      </w:r>
      <w:r w:rsidRPr="00A2269A" w:rsidR="00900E82">
        <w:t xml:space="preserve">However, </w:t>
      </w:r>
      <w:r w:rsidRPr="00A2269A" w:rsidR="0062557D">
        <w:t>it</w:t>
      </w:r>
      <w:r w:rsidRPr="00A2269A" w:rsidR="00E033C7">
        <w:t xml:space="preserve"> notes that </w:t>
      </w:r>
      <w:r w:rsidRPr="00A2269A" w:rsidR="00DB7B5B">
        <w:t xml:space="preserve">in the present case </w:t>
      </w:r>
      <w:r w:rsidRPr="00A2269A" w:rsidR="004037C1">
        <w:t>t</w:t>
      </w:r>
      <w:r w:rsidRPr="00A2269A" w:rsidR="00DB7B5B">
        <w:t xml:space="preserve">he </w:t>
      </w:r>
      <w:r w:rsidRPr="00A2269A" w:rsidR="00CA2F5D">
        <w:t>courts</w:t>
      </w:r>
      <w:r w:rsidRPr="00A2269A" w:rsidR="00DB7B5B">
        <w:t xml:space="preserve"> at higher </w:t>
      </w:r>
      <w:r w:rsidRPr="00A2269A" w:rsidR="00512B01">
        <w:t xml:space="preserve">levels of jurisdiction </w:t>
      </w:r>
      <w:r w:rsidRPr="00A2269A" w:rsidR="00E033C7">
        <w:t>upheld the first</w:t>
      </w:r>
      <w:r w:rsidRPr="00A2269A" w:rsidR="00900E82">
        <w:noBreakHyphen/>
      </w:r>
      <w:r w:rsidRPr="00A2269A" w:rsidR="00E033C7">
        <w:t>instance court</w:t>
      </w:r>
      <w:r w:rsidRPr="00A2269A">
        <w:t>’</w:t>
      </w:r>
      <w:r w:rsidRPr="00A2269A" w:rsidR="00900E82">
        <w:t>s</w:t>
      </w:r>
      <w:r w:rsidRPr="00A2269A" w:rsidR="00CA2F5D">
        <w:t xml:space="preserve"> </w:t>
      </w:r>
      <w:r w:rsidRPr="00A2269A" w:rsidR="00900E82">
        <w:t xml:space="preserve">judgment </w:t>
      </w:r>
      <w:r w:rsidRPr="00A2269A" w:rsidR="000250C7">
        <w:t xml:space="preserve">without directly hearing any of the evidence </w:t>
      </w:r>
      <w:r w:rsidRPr="00A2269A" w:rsidR="00E033C7">
        <w:t>(</w:t>
      </w:r>
      <w:r w:rsidRPr="00A2269A" w:rsidR="008F274C">
        <w:t>see paragraph</w:t>
      </w:r>
      <w:r w:rsidRPr="00A2269A" w:rsidR="00DB7B5B">
        <w:t>s</w:t>
      </w:r>
      <w:r w:rsidRPr="00A2269A" w:rsidR="008F274C">
        <w:t xml:space="preserve"> </w:t>
      </w:r>
      <w:r w:rsidRPr="00A2269A" w:rsidR="00B63815">
        <w:rPr>
          <w:noProof/>
          <w:lang w:val="en-GB"/>
        </w:rPr>
        <w:t>17</w:t>
      </w:r>
      <w:r w:rsidRPr="00A2269A" w:rsidR="00DB7B5B">
        <w:t xml:space="preserve">, </w:t>
      </w:r>
      <w:r w:rsidRPr="00A2269A" w:rsidR="00B63815">
        <w:rPr>
          <w:noProof/>
          <w:lang w:val="en-GB"/>
        </w:rPr>
        <w:t>19</w:t>
      </w:r>
      <w:r w:rsidRPr="00A2269A" w:rsidR="000250C7">
        <w:t>,</w:t>
      </w:r>
      <w:r w:rsidRPr="00A2269A" w:rsidR="00DB7B5B">
        <w:t xml:space="preserve"> </w:t>
      </w:r>
      <w:r w:rsidRPr="00A2269A" w:rsidR="00B63815">
        <w:rPr>
          <w:noProof/>
          <w:lang w:val="en-GB"/>
        </w:rPr>
        <w:t>21</w:t>
      </w:r>
      <w:r w:rsidRPr="00A2269A" w:rsidR="00465806">
        <w:t xml:space="preserve">, </w:t>
      </w:r>
      <w:r w:rsidRPr="00A2269A" w:rsidR="00B63815">
        <w:rPr>
          <w:noProof/>
        </w:rPr>
        <w:t>27</w:t>
      </w:r>
      <w:r w:rsidRPr="00A2269A" w:rsidR="007167BF">
        <w:t xml:space="preserve"> </w:t>
      </w:r>
      <w:r w:rsidRPr="00A2269A" w:rsidR="000250C7">
        <w:t xml:space="preserve">and </w:t>
      </w:r>
      <w:r w:rsidRPr="00A2269A" w:rsidR="00B63815">
        <w:rPr>
          <w:noProof/>
        </w:rPr>
        <w:t>42</w:t>
      </w:r>
      <w:r w:rsidRPr="00A2269A" w:rsidR="008F274C">
        <w:t xml:space="preserve"> above</w:t>
      </w:r>
      <w:r w:rsidRPr="00A2269A" w:rsidR="00293A81">
        <w:t>,</w:t>
      </w:r>
      <w:r w:rsidRPr="00A2269A" w:rsidR="008F274C">
        <w:t xml:space="preserve"> and</w:t>
      </w:r>
      <w:r w:rsidRPr="00A2269A" w:rsidR="00CA2F5D">
        <w:t xml:space="preserve">, </w:t>
      </w:r>
      <w:r w:rsidRPr="00A2269A" w:rsidR="00CA2F5D">
        <w:rPr>
          <w:i/>
        </w:rPr>
        <w:t>mutatis muta</w:t>
      </w:r>
      <w:r w:rsidRPr="00A2269A" w:rsidR="002356B6">
        <w:rPr>
          <w:i/>
        </w:rPr>
        <w:t>n</w:t>
      </w:r>
      <w:r w:rsidRPr="00A2269A" w:rsidR="00CA2F5D">
        <w:rPr>
          <w:i/>
        </w:rPr>
        <w:t>dis</w:t>
      </w:r>
      <w:r w:rsidRPr="00A2269A" w:rsidR="00CA2F5D">
        <w:t>,</w:t>
      </w:r>
      <w:r w:rsidRPr="00A2269A" w:rsidR="008F274C">
        <w:t xml:space="preserve"> </w:t>
      </w:r>
      <w:r w:rsidRPr="00A2269A" w:rsidR="0062557D">
        <w:rPr>
          <w:i/>
        </w:rPr>
        <w:t>Beraru v. Romania</w:t>
      </w:r>
      <w:r w:rsidRPr="00A2269A" w:rsidR="0062557D">
        <w:t>, no. 40107/04, § 71, 18 March 2014</w:t>
      </w:r>
      <w:r w:rsidRPr="00A2269A" w:rsidR="00E033C7">
        <w:t>).</w:t>
      </w:r>
      <w:r w:rsidRPr="00A2269A" w:rsidR="00CA2F5D">
        <w:t xml:space="preserve"> It therefore cannot be said that the deficiency at issue in the present case was remedied </w:t>
      </w:r>
      <w:r w:rsidRPr="00A2269A" w:rsidR="00512B01">
        <w:t xml:space="preserve">by the </w:t>
      </w:r>
      <w:r w:rsidRPr="00A2269A" w:rsidR="00CA2F5D">
        <w:t>appel</w:t>
      </w:r>
      <w:r w:rsidRPr="00A2269A" w:rsidR="00512B01">
        <w:t>late courts</w:t>
      </w:r>
      <w:r w:rsidRPr="00A2269A" w:rsidR="00CA2F5D">
        <w:t>.</w:t>
      </w:r>
    </w:p>
    <w:p w:rsidRPr="00A2269A" w:rsidR="00E033C7" w:rsidP="00A2269A" w:rsidRDefault="00881803">
      <w:pPr>
        <w:pStyle w:val="ECHRPara"/>
      </w:pPr>
      <w:r>
        <w:fldChar w:fldCharType="begin"/>
      </w:r>
      <w:r>
        <w:instrText xml:space="preserve"> SEQ level0 \*arabic </w:instrText>
      </w:r>
      <w:r>
        <w:fldChar w:fldCharType="separate"/>
      </w:r>
      <w:r w:rsidRPr="00A2269A" w:rsidR="00A2269A">
        <w:rPr>
          <w:noProof/>
        </w:rPr>
        <w:t>47</w:t>
      </w:r>
      <w:r>
        <w:rPr>
          <w:noProof/>
        </w:rPr>
        <w:fldChar w:fldCharType="end"/>
      </w:r>
      <w:r w:rsidRPr="00A2269A" w:rsidR="00E033C7">
        <w:t xml:space="preserve">.  In conclusion, the Court considers </w:t>
      </w:r>
      <w:r w:rsidRPr="00A2269A" w:rsidR="00512B01">
        <w:t>that the applicants</w:t>
      </w:r>
      <w:r w:rsidRPr="00A2269A" w:rsidR="00A2269A">
        <w:t>’</w:t>
      </w:r>
      <w:r w:rsidRPr="00A2269A" w:rsidR="00512B01">
        <w:t xml:space="preserve"> right to a fair trial was breached </w:t>
      </w:r>
      <w:r w:rsidRPr="00A2269A" w:rsidR="00E033C7">
        <w:t>b</w:t>
      </w:r>
      <w:r w:rsidRPr="00A2269A" w:rsidR="00242A26">
        <w:t xml:space="preserve">ecause </w:t>
      </w:r>
      <w:r w:rsidRPr="00A2269A" w:rsidR="00E033C7">
        <w:t xml:space="preserve">of the failure </w:t>
      </w:r>
      <w:r w:rsidRPr="00A2269A" w:rsidR="00764C27">
        <w:t xml:space="preserve">of </w:t>
      </w:r>
      <w:r w:rsidRPr="00A2269A" w:rsidR="00764C27">
        <w:rPr>
          <w:lang w:val="en-GB"/>
        </w:rPr>
        <w:t>the judge who conducted the</w:t>
      </w:r>
      <w:r w:rsidRPr="00A2269A" w:rsidR="0025520A">
        <w:rPr>
          <w:lang w:val="en-GB"/>
        </w:rPr>
        <w:t>ir</w:t>
      </w:r>
      <w:r w:rsidRPr="00A2269A" w:rsidR="00764C27">
        <w:rPr>
          <w:lang w:val="en-GB"/>
        </w:rPr>
        <w:t xml:space="preserve"> trial </w:t>
      </w:r>
      <w:r w:rsidRPr="00A2269A" w:rsidR="00E033C7">
        <w:t>to provide written grounds for her verdict</w:t>
      </w:r>
      <w:r w:rsidRPr="00A2269A" w:rsidR="00900E82">
        <w:t xml:space="preserve"> and because of the </w:t>
      </w:r>
      <w:r w:rsidRPr="00A2269A" w:rsidR="00E033C7">
        <w:t xml:space="preserve">absence of </w:t>
      </w:r>
      <w:r w:rsidRPr="00A2269A" w:rsidR="00846752">
        <w:t xml:space="preserve">any </w:t>
      </w:r>
      <w:r w:rsidRPr="00A2269A" w:rsidR="008F274C">
        <w:t xml:space="preserve">appropriate measures </w:t>
      </w:r>
      <w:r w:rsidRPr="00A2269A" w:rsidR="00E033C7">
        <w:t>compensating for th</w:t>
      </w:r>
      <w:r w:rsidRPr="00A2269A" w:rsidR="00846752">
        <w:t>at</w:t>
      </w:r>
      <w:r w:rsidRPr="00A2269A" w:rsidR="00E033C7">
        <w:t xml:space="preserve"> deficiency.</w:t>
      </w:r>
    </w:p>
    <w:p w:rsidRPr="00A2269A" w:rsidR="00E033C7" w:rsidP="00A2269A" w:rsidRDefault="00881803">
      <w:pPr>
        <w:pStyle w:val="ECHRPara"/>
      </w:pPr>
      <w:r>
        <w:fldChar w:fldCharType="begin"/>
      </w:r>
      <w:r>
        <w:instrText xml:space="preserve"> SEQ level0 \*arabic </w:instrText>
      </w:r>
      <w:r>
        <w:fldChar w:fldCharType="separate"/>
      </w:r>
      <w:r w:rsidRPr="00A2269A" w:rsidR="00A2269A">
        <w:rPr>
          <w:noProof/>
        </w:rPr>
        <w:t>48</w:t>
      </w:r>
      <w:r>
        <w:rPr>
          <w:noProof/>
        </w:rPr>
        <w:fldChar w:fldCharType="end"/>
      </w:r>
      <w:r w:rsidRPr="00A2269A" w:rsidR="00E033C7">
        <w:t>.  There has accordingly been a violation of Article 6 of the Convention.</w:t>
      </w:r>
    </w:p>
    <w:p w:rsidRPr="00A2269A" w:rsidR="00014566" w:rsidP="00A2269A" w:rsidRDefault="00CC50A2">
      <w:pPr>
        <w:pStyle w:val="ECHRHeading1"/>
        <w:rPr>
          <w:lang w:val="en-GB"/>
        </w:rPr>
      </w:pPr>
      <w:r w:rsidRPr="00A2269A">
        <w:rPr>
          <w:lang w:val="en-GB"/>
        </w:rPr>
        <w:t>I</w:t>
      </w:r>
      <w:r w:rsidRPr="00A2269A" w:rsidR="00E40506">
        <w:rPr>
          <w:lang w:val="en-GB"/>
        </w:rPr>
        <w:t>II.  </w:t>
      </w:r>
      <w:r w:rsidRPr="00A2269A" w:rsidR="00014566">
        <w:rPr>
          <w:lang w:val="en-GB"/>
        </w:rPr>
        <w:t>APPLICATION OF ARTICLE 41 OF THE CONVENTION</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49</w:t>
      </w:r>
      <w:r w:rsidRPr="00A2269A">
        <w:rPr>
          <w:lang w:val="en-GB"/>
        </w:rPr>
        <w:fldChar w:fldCharType="end"/>
      </w:r>
      <w:r w:rsidRPr="00A2269A" w:rsidR="00014566">
        <w:rPr>
          <w:lang w:val="en-GB"/>
        </w:rPr>
        <w:t>.  Article 41 of the Convention provides:</w:t>
      </w:r>
    </w:p>
    <w:p w:rsidRPr="00A2269A" w:rsidR="00014566" w:rsidP="00A2269A" w:rsidRDefault="00014566">
      <w:pPr>
        <w:pStyle w:val="ECHRParaQuote"/>
        <w:keepNext/>
        <w:keepLines/>
        <w:rPr>
          <w:lang w:val="en-GB"/>
        </w:rPr>
      </w:pPr>
      <w:r w:rsidRPr="00A2269A">
        <w:rPr>
          <w:lang w:val="en-GB"/>
        </w:rPr>
        <w:t>“If the Court finds that there has been a violation of the Convention or the Protocols thereto, and if the internal law of the High Contracting Party concerned allows only partial reparation to be made, the Court shall, if necessary, afford just sati</w:t>
      </w:r>
      <w:r w:rsidRPr="00A2269A" w:rsidR="0038686C">
        <w:rPr>
          <w:lang w:val="en-GB"/>
        </w:rPr>
        <w:t>sfaction to the injured party.”</w:t>
      </w:r>
    </w:p>
    <w:p w:rsidRPr="00A2269A" w:rsidR="00014566" w:rsidP="00A2269A" w:rsidRDefault="00014566">
      <w:pPr>
        <w:pStyle w:val="ECHRHeading2"/>
        <w:rPr>
          <w:lang w:val="en-GB"/>
        </w:rPr>
      </w:pPr>
      <w:r w:rsidRPr="00A2269A">
        <w:rPr>
          <w:lang w:val="en-GB"/>
        </w:rPr>
        <w:t>A.  Damage</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50</w:t>
      </w:r>
      <w:r w:rsidRPr="00A2269A">
        <w:rPr>
          <w:lang w:val="en-GB"/>
        </w:rPr>
        <w:fldChar w:fldCharType="end"/>
      </w:r>
      <w:r w:rsidRPr="00A2269A" w:rsidR="00014566">
        <w:rPr>
          <w:lang w:val="en-GB"/>
        </w:rPr>
        <w:t>.  The applicant</w:t>
      </w:r>
      <w:r w:rsidRPr="00A2269A">
        <w:rPr>
          <w:lang w:val="en-GB"/>
        </w:rPr>
        <w:t>s</w:t>
      </w:r>
      <w:r w:rsidRPr="00A2269A" w:rsidR="0038686C">
        <w:rPr>
          <w:lang w:val="en-GB"/>
        </w:rPr>
        <w:t xml:space="preserve"> each claimed</w:t>
      </w:r>
      <w:r w:rsidRPr="00A2269A" w:rsidR="00014566">
        <w:rPr>
          <w:lang w:val="en-GB"/>
        </w:rPr>
        <w:t xml:space="preserve"> </w:t>
      </w:r>
      <w:r w:rsidRPr="00A2269A" w:rsidR="00CD37C4">
        <w:rPr>
          <w:lang w:val="en-GB"/>
        </w:rPr>
        <w:t xml:space="preserve">EUR </w:t>
      </w:r>
      <w:r w:rsidRPr="00A2269A" w:rsidR="0038686C">
        <w:rPr>
          <w:lang w:val="en-GB"/>
        </w:rPr>
        <w:t xml:space="preserve">10,000 </w:t>
      </w:r>
      <w:r w:rsidRPr="00A2269A" w:rsidR="00014566">
        <w:rPr>
          <w:lang w:val="en-GB"/>
        </w:rPr>
        <w:t>in respect of non-pecuniary damage.</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51</w:t>
      </w:r>
      <w:r w:rsidRPr="00A2269A">
        <w:rPr>
          <w:lang w:val="en-GB"/>
        </w:rPr>
        <w:fldChar w:fldCharType="end"/>
      </w:r>
      <w:r w:rsidRPr="00A2269A" w:rsidR="0038686C">
        <w:rPr>
          <w:lang w:val="en-GB"/>
        </w:rPr>
        <w:t>.  The Government disputed the claim as unsubstantiated</w:t>
      </w:r>
      <w:r w:rsidRPr="00A2269A" w:rsidR="00F001FC">
        <w:rPr>
          <w:lang w:val="en-GB"/>
        </w:rPr>
        <w:t xml:space="preserve"> and</w:t>
      </w:r>
      <w:r w:rsidRPr="00A2269A" w:rsidR="00293A81">
        <w:rPr>
          <w:lang w:val="en-GB"/>
        </w:rPr>
        <w:t xml:space="preserve"> </w:t>
      </w:r>
      <w:r w:rsidRPr="00A2269A" w:rsidR="00F001FC">
        <w:rPr>
          <w:lang w:val="en-GB"/>
        </w:rPr>
        <w:t>excessive</w:t>
      </w:r>
      <w:r w:rsidRPr="00A2269A" w:rsidR="0038686C">
        <w:rPr>
          <w:lang w:val="en-GB"/>
        </w:rPr>
        <w:t>.</w:t>
      </w:r>
    </w:p>
    <w:p w:rsidRPr="00A2269A" w:rsidR="00F306DA"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52</w:t>
      </w:r>
      <w:r w:rsidRPr="00A2269A">
        <w:rPr>
          <w:lang w:val="en-GB"/>
        </w:rPr>
        <w:fldChar w:fldCharType="end"/>
      </w:r>
      <w:r w:rsidRPr="00A2269A" w:rsidR="0038686C">
        <w:rPr>
          <w:lang w:val="en-GB"/>
        </w:rPr>
        <w:t>.  </w:t>
      </w:r>
      <w:r w:rsidRPr="00A2269A" w:rsidR="00F306DA">
        <w:rPr>
          <w:lang w:val="en-GB"/>
        </w:rPr>
        <w:t xml:space="preserve">The Court </w:t>
      </w:r>
      <w:r w:rsidRPr="00A2269A" w:rsidR="00F306DA">
        <w:t xml:space="preserve">considers that the applicants must have suffered distress and anxiety on account of the violation which has been found. Ruling on an equitable basis, it awards each applicant the sum of EUR </w:t>
      </w:r>
      <w:r w:rsidRPr="00A2269A" w:rsidR="00596F59">
        <w:t>5</w:t>
      </w:r>
      <w:r w:rsidRPr="00A2269A" w:rsidR="00F306DA">
        <w:t>,</w:t>
      </w:r>
      <w:r w:rsidRPr="00A2269A" w:rsidR="00596F59">
        <w:t>0</w:t>
      </w:r>
      <w:r w:rsidRPr="00A2269A" w:rsidR="00F306DA">
        <w:t xml:space="preserve">00 in </w:t>
      </w:r>
      <w:r w:rsidRPr="00A2269A" w:rsidR="00227EFA">
        <w:t>respect of non-pecuniary damage</w:t>
      </w:r>
      <w:r w:rsidRPr="00A2269A" w:rsidR="00F306DA">
        <w:rPr>
          <w:lang w:val="en-GB"/>
        </w:rPr>
        <w:t>.</w:t>
      </w:r>
    </w:p>
    <w:p w:rsidRPr="00A2269A" w:rsidR="00014566" w:rsidP="00A2269A" w:rsidRDefault="00014566">
      <w:pPr>
        <w:pStyle w:val="ECHRHeading2"/>
        <w:rPr>
          <w:lang w:val="en-GB"/>
        </w:rPr>
      </w:pPr>
      <w:r w:rsidRPr="00A2269A">
        <w:rPr>
          <w:lang w:val="en-GB"/>
        </w:rPr>
        <w:t>B.  Costs and expenses</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53</w:t>
      </w:r>
      <w:r w:rsidRPr="00A2269A">
        <w:rPr>
          <w:lang w:val="en-GB"/>
        </w:rPr>
        <w:fldChar w:fldCharType="end"/>
      </w:r>
      <w:r w:rsidRPr="00A2269A" w:rsidR="00014566">
        <w:rPr>
          <w:lang w:val="en-GB"/>
        </w:rPr>
        <w:t xml:space="preserve">.  The </w:t>
      </w:r>
      <w:r w:rsidRPr="00A2269A" w:rsidR="00E634F9">
        <w:rPr>
          <w:lang w:val="en-GB"/>
        </w:rPr>
        <w:t xml:space="preserve">first applicant </w:t>
      </w:r>
      <w:r w:rsidRPr="00A2269A" w:rsidR="00014566">
        <w:rPr>
          <w:lang w:val="en-GB"/>
        </w:rPr>
        <w:t>claimed</w:t>
      </w:r>
      <w:r w:rsidRPr="00A2269A" w:rsidR="00E634F9">
        <w:rPr>
          <w:lang w:val="en-GB"/>
        </w:rPr>
        <w:t xml:space="preserve"> approximately</w:t>
      </w:r>
      <w:r w:rsidRPr="00A2269A" w:rsidR="00014566">
        <w:rPr>
          <w:lang w:val="en-GB"/>
        </w:rPr>
        <w:t xml:space="preserve"> EUR </w:t>
      </w:r>
      <w:r w:rsidRPr="00A2269A" w:rsidR="00E634F9">
        <w:rPr>
          <w:lang w:val="en-GB"/>
        </w:rPr>
        <w:t xml:space="preserve">2,500 and the second applicant approximately EUR 2,000 </w:t>
      </w:r>
      <w:r w:rsidRPr="00A2269A" w:rsidR="00014566">
        <w:rPr>
          <w:lang w:val="en-GB"/>
        </w:rPr>
        <w:t>for the costs and expenses incurred before the domestic courts</w:t>
      </w:r>
      <w:r w:rsidRPr="00A2269A" w:rsidR="00E634F9">
        <w:rPr>
          <w:lang w:val="en-GB"/>
        </w:rPr>
        <w:t xml:space="preserve">. They also </w:t>
      </w:r>
      <w:r w:rsidRPr="00A2269A" w:rsidR="00846752">
        <w:rPr>
          <w:lang w:val="en-GB"/>
        </w:rPr>
        <w:t xml:space="preserve">each </w:t>
      </w:r>
      <w:r w:rsidRPr="00A2269A" w:rsidR="00E634F9">
        <w:rPr>
          <w:lang w:val="en-GB"/>
        </w:rPr>
        <w:t xml:space="preserve">claimed </w:t>
      </w:r>
      <w:r w:rsidRPr="00A2269A" w:rsidR="00014566">
        <w:rPr>
          <w:lang w:val="en-GB"/>
        </w:rPr>
        <w:t xml:space="preserve">EUR </w:t>
      </w:r>
      <w:r w:rsidRPr="00A2269A" w:rsidR="00E634F9">
        <w:rPr>
          <w:lang w:val="en-GB"/>
        </w:rPr>
        <w:t>3,020</w:t>
      </w:r>
      <w:r w:rsidRPr="00A2269A" w:rsidR="00014566">
        <w:rPr>
          <w:lang w:val="en-GB"/>
        </w:rPr>
        <w:t xml:space="preserve"> for </w:t>
      </w:r>
      <w:r w:rsidRPr="00A2269A" w:rsidR="00E634F9">
        <w:rPr>
          <w:lang w:val="en-GB"/>
        </w:rPr>
        <w:t xml:space="preserve">costs and expenses </w:t>
      </w:r>
      <w:r w:rsidRPr="00A2269A" w:rsidR="00014566">
        <w:rPr>
          <w:lang w:val="en-GB"/>
        </w:rPr>
        <w:t>incurred before the Court.</w:t>
      </w:r>
      <w:r w:rsidRPr="00A2269A" w:rsidR="00455B82">
        <w:rPr>
          <w:lang w:val="en-GB"/>
        </w:rPr>
        <w:t xml:space="preserve"> They based their claims on the official tariff</w:t>
      </w:r>
      <w:r w:rsidRPr="00A2269A" w:rsidR="009421E7">
        <w:rPr>
          <w:lang w:val="en-GB"/>
        </w:rPr>
        <w:t xml:space="preserve"> for lawyers</w:t>
      </w:r>
      <w:r w:rsidRPr="00A2269A" w:rsidR="00455B82">
        <w:rPr>
          <w:lang w:val="en-GB"/>
        </w:rPr>
        <w:t>.</w:t>
      </w:r>
    </w:p>
    <w:p w:rsidRPr="00A2269A" w:rsidR="00F83488"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54</w:t>
      </w:r>
      <w:r w:rsidRPr="00A2269A">
        <w:rPr>
          <w:lang w:val="en-GB"/>
        </w:rPr>
        <w:fldChar w:fldCharType="end"/>
      </w:r>
      <w:r w:rsidRPr="00A2269A" w:rsidR="00014566">
        <w:rPr>
          <w:lang w:val="en-GB"/>
        </w:rPr>
        <w:t xml:space="preserve">.  The Government </w:t>
      </w:r>
      <w:r w:rsidRPr="00A2269A" w:rsidR="00E634F9">
        <w:rPr>
          <w:lang w:val="en-GB"/>
        </w:rPr>
        <w:t xml:space="preserve">contested their claim and argued that it was excessive. As regards the proceedings before the domestic courts, they argued that there was no causal link between the costs incurred </w:t>
      </w:r>
      <w:r w:rsidRPr="00A2269A" w:rsidR="00455B82">
        <w:rPr>
          <w:lang w:val="en-GB"/>
        </w:rPr>
        <w:t xml:space="preserve">and the violation alleged in the present case. As regards the claim concerning the proceedings before the Court, the Government argued that it had not been based </w:t>
      </w:r>
      <w:r w:rsidRPr="00A2269A" w:rsidR="00846752">
        <w:rPr>
          <w:lang w:val="en-GB"/>
        </w:rPr>
        <w:t xml:space="preserve">properly </w:t>
      </w:r>
      <w:r w:rsidRPr="00A2269A" w:rsidR="00455B82">
        <w:rPr>
          <w:lang w:val="en-GB"/>
        </w:rPr>
        <w:t xml:space="preserve">on the official </w:t>
      </w:r>
      <w:r w:rsidRPr="00A2269A" w:rsidR="009421E7">
        <w:rPr>
          <w:lang w:val="en-GB"/>
        </w:rPr>
        <w:t xml:space="preserve">tariff for </w:t>
      </w:r>
      <w:r w:rsidRPr="00A2269A" w:rsidR="00455B82">
        <w:rPr>
          <w:lang w:val="en-GB"/>
        </w:rPr>
        <w:t xml:space="preserve">lawyers because </w:t>
      </w:r>
      <w:r w:rsidRPr="00A2269A" w:rsidR="00227EFA">
        <w:rPr>
          <w:lang w:val="en-GB"/>
        </w:rPr>
        <w:t>the tariff</w:t>
      </w:r>
      <w:r w:rsidRPr="00A2269A" w:rsidR="00846752">
        <w:rPr>
          <w:lang w:val="en-GB"/>
        </w:rPr>
        <w:t xml:space="preserve"> </w:t>
      </w:r>
      <w:r w:rsidRPr="00A2269A" w:rsidR="00455B82">
        <w:rPr>
          <w:lang w:val="en-GB"/>
        </w:rPr>
        <w:t xml:space="preserve">provided that </w:t>
      </w:r>
      <w:r w:rsidRPr="00A2269A" w:rsidR="00846752">
        <w:rPr>
          <w:lang w:val="en-GB"/>
        </w:rPr>
        <w:t xml:space="preserve">a </w:t>
      </w:r>
      <w:r w:rsidRPr="00A2269A" w:rsidR="00455B82">
        <w:rPr>
          <w:lang w:val="en-GB"/>
        </w:rPr>
        <w:t>maximum EUR 1,500 could be claimed for the whole of the proceedings.</w:t>
      </w:r>
    </w:p>
    <w:p w:rsidRPr="00A2269A" w:rsidR="00F001FC"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55</w:t>
      </w:r>
      <w:r w:rsidRPr="00A2269A">
        <w:rPr>
          <w:lang w:val="en-GB"/>
        </w:rPr>
        <w:fldChar w:fldCharType="end"/>
      </w:r>
      <w:r w:rsidRPr="00A2269A" w:rsidR="00014566">
        <w:rPr>
          <w:lang w:val="en-GB"/>
        </w:rPr>
        <w:t>.  </w:t>
      </w:r>
      <w:r w:rsidRPr="00A2269A">
        <w:rPr>
          <w:lang w:val="en-GB"/>
        </w:rPr>
        <w:t>According to the Court</w:t>
      </w:r>
      <w:r w:rsidRPr="00A2269A" w:rsidR="00A2269A">
        <w:rPr>
          <w:lang w:val="en-GB"/>
        </w:rPr>
        <w:t>’</w:t>
      </w:r>
      <w:r w:rsidRPr="00A2269A">
        <w:rPr>
          <w:lang w:val="en-GB"/>
        </w:rPr>
        <w:t xml:space="preserve">s case-law, an applicant is entitled to the reimbursement of costs and expenses only in so far as it has been shown that these have been actually and necessarily incurred and are reasonable as to quantum. </w:t>
      </w:r>
      <w:r w:rsidRPr="00A2269A" w:rsidR="00F001FC">
        <w:t>Moreover, the Court reiterates that it does not consider itself bound by domestic scales and practices, although it may derive some assistance from them (see, among many examples,</w:t>
      </w:r>
      <w:r w:rsidRPr="00A2269A" w:rsidR="00F001FC">
        <w:rPr>
          <w:i/>
          <w:lang w:val="en-GB"/>
        </w:rPr>
        <w:t xml:space="preserve"> Gaspari v. Slovenia</w:t>
      </w:r>
      <w:r w:rsidRPr="00A2269A" w:rsidR="00F001FC">
        <w:rPr>
          <w:lang w:val="en-GB"/>
        </w:rPr>
        <w:t>, no.</w:t>
      </w:r>
      <w:r w:rsidRPr="00A2269A" w:rsidR="002765AF">
        <w:rPr>
          <w:lang w:val="en-GB"/>
        </w:rPr>
        <w:t> </w:t>
      </w:r>
      <w:r w:rsidRPr="00A2269A" w:rsidR="00F001FC">
        <w:rPr>
          <w:lang w:val="en-GB"/>
        </w:rPr>
        <w:t>21055/03</w:t>
      </w:r>
      <w:r w:rsidRPr="00A2269A" w:rsidR="00F001FC">
        <w:rPr>
          <w:snapToGrid w:val="0"/>
          <w:lang w:val="en-GB"/>
        </w:rPr>
        <w:t xml:space="preserve">, § 83, 21 </w:t>
      </w:r>
      <w:r w:rsidRPr="00A2269A" w:rsidR="00F001FC">
        <w:rPr>
          <w:snapToGrid w:val="0"/>
          <w:szCs w:val="24"/>
          <w:lang w:val="en-GB"/>
        </w:rPr>
        <w:t>July 2009</w:t>
      </w:r>
      <w:r w:rsidRPr="00A2269A" w:rsidR="00F001FC">
        <w:rPr>
          <w:szCs w:val="24"/>
        </w:rPr>
        <w:t>).</w:t>
      </w:r>
    </w:p>
    <w:p w:rsidRPr="00A2269A" w:rsidR="00F83488" w:rsidP="00A2269A" w:rsidRDefault="00F001FC">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56</w:t>
      </w:r>
      <w:r w:rsidRPr="00A2269A">
        <w:rPr>
          <w:lang w:val="en-GB"/>
        </w:rPr>
        <w:fldChar w:fldCharType="end"/>
      </w:r>
      <w:r w:rsidRPr="00A2269A">
        <w:rPr>
          <w:lang w:val="en-GB"/>
        </w:rPr>
        <w:t>.  With regard to the costs incurred in the domestic proceedings, the Court observes that before applying to the Convention institutions, the applicant</w:t>
      </w:r>
      <w:r w:rsidRPr="00A2269A" w:rsidR="00455B82">
        <w:rPr>
          <w:lang w:val="en-GB"/>
        </w:rPr>
        <w:t>s</w:t>
      </w:r>
      <w:r w:rsidRPr="00A2269A">
        <w:rPr>
          <w:lang w:val="en-GB"/>
        </w:rPr>
        <w:t xml:space="preserve"> exhausted the domestic remedies available to </w:t>
      </w:r>
      <w:r w:rsidRPr="00A2269A" w:rsidR="00455B82">
        <w:rPr>
          <w:lang w:val="en-GB"/>
        </w:rPr>
        <w:t xml:space="preserve">them </w:t>
      </w:r>
      <w:r w:rsidRPr="00A2269A">
        <w:rPr>
          <w:lang w:val="en-GB"/>
        </w:rPr>
        <w:t>under domestic law. The Court therefore accepts that the applicants incurred expenses in seeking redress for violations of the Convention through the domestic legal system (see</w:t>
      </w:r>
      <w:r w:rsidRPr="00A2269A">
        <w:rPr>
          <w:i/>
          <w:lang w:val="en-GB"/>
        </w:rPr>
        <w:t xml:space="preserve"> Centro Europa 7 </w:t>
      </w:r>
      <w:r w:rsidRPr="00A2269A">
        <w:rPr>
          <w:i/>
          <w:snapToGrid w:val="0"/>
          <w:lang w:val="en-GB"/>
        </w:rPr>
        <w:t>S.r.l.</w:t>
      </w:r>
      <w:r w:rsidRPr="00A2269A">
        <w:rPr>
          <w:i/>
          <w:lang w:val="en-GB"/>
        </w:rPr>
        <w:t xml:space="preserve"> and Di Stefano v.</w:t>
      </w:r>
      <w:r w:rsidRPr="00A2269A" w:rsidR="002765AF">
        <w:rPr>
          <w:i/>
          <w:lang w:val="en-GB"/>
        </w:rPr>
        <w:t> </w:t>
      </w:r>
      <w:r w:rsidRPr="00A2269A">
        <w:rPr>
          <w:i/>
          <w:lang w:val="en-GB"/>
        </w:rPr>
        <w:t>Italy</w:t>
      </w:r>
      <w:r w:rsidRPr="00A2269A" w:rsidR="002765AF">
        <w:rPr>
          <w:i/>
          <w:lang w:val="en-GB"/>
        </w:rPr>
        <w:t> </w:t>
      </w:r>
      <w:r w:rsidRPr="00A2269A">
        <w:rPr>
          <w:lang w:val="en-GB"/>
        </w:rPr>
        <w:t>[GC], no. 38433/09</w:t>
      </w:r>
      <w:r w:rsidRPr="00A2269A">
        <w:rPr>
          <w:snapToGrid w:val="0"/>
          <w:szCs w:val="24"/>
          <w:lang w:val="en-GB"/>
        </w:rPr>
        <w:t xml:space="preserve">, § 224, </w:t>
      </w:r>
      <w:r w:rsidRPr="00A2269A">
        <w:rPr>
          <w:snapToGrid w:val="0"/>
          <w:lang w:val="en-GB"/>
        </w:rPr>
        <w:t>ECHR 2012</w:t>
      </w:r>
      <w:r w:rsidRPr="00A2269A">
        <w:rPr>
          <w:lang w:val="en-GB"/>
        </w:rPr>
        <w:t xml:space="preserve">) and finds that the expenses they had in relation to their appeals, appeals on point of law and constitutional </w:t>
      </w:r>
      <w:r w:rsidRPr="00A2269A" w:rsidR="00455B82">
        <w:rPr>
          <w:lang w:val="en-GB"/>
        </w:rPr>
        <w:t xml:space="preserve">appeals </w:t>
      </w:r>
      <w:r w:rsidRPr="00A2269A">
        <w:rPr>
          <w:lang w:val="en-GB"/>
        </w:rPr>
        <w:t xml:space="preserve">should be reimbursed. However it does not find the claim for reimbursement of costs </w:t>
      </w:r>
      <w:r w:rsidRPr="00A2269A" w:rsidR="00455B82">
        <w:rPr>
          <w:lang w:val="en-GB"/>
        </w:rPr>
        <w:t>relating t</w:t>
      </w:r>
      <w:r w:rsidRPr="00A2269A" w:rsidR="00846752">
        <w:rPr>
          <w:lang w:val="en-GB"/>
        </w:rPr>
        <w:t>o</w:t>
      </w:r>
      <w:r w:rsidRPr="00A2269A" w:rsidR="00455B82">
        <w:rPr>
          <w:lang w:val="en-GB"/>
        </w:rPr>
        <w:t xml:space="preserve"> the</w:t>
      </w:r>
      <w:r w:rsidRPr="00A2269A">
        <w:rPr>
          <w:lang w:val="en-GB"/>
        </w:rPr>
        <w:t xml:space="preserve"> </w:t>
      </w:r>
      <w:r w:rsidRPr="00A2269A" w:rsidR="0062557D">
        <w:rPr>
          <w:lang w:val="en-GB"/>
        </w:rPr>
        <w:t>first-instance proceedings</w:t>
      </w:r>
      <w:r w:rsidRPr="00A2269A">
        <w:rPr>
          <w:lang w:val="en-GB"/>
        </w:rPr>
        <w:t xml:space="preserve"> substantiated.</w:t>
      </w:r>
    </w:p>
    <w:p w:rsidRPr="00A2269A" w:rsidR="00F83488" w:rsidP="00A2269A" w:rsidRDefault="00F001FC">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57</w:t>
      </w:r>
      <w:r w:rsidRPr="00A2269A">
        <w:rPr>
          <w:lang w:val="en-GB"/>
        </w:rPr>
        <w:fldChar w:fldCharType="end"/>
      </w:r>
      <w:r w:rsidRPr="00A2269A">
        <w:rPr>
          <w:lang w:val="en-GB"/>
        </w:rPr>
        <w:t xml:space="preserve">.  As regards the proceedings before the Court, it should be noted that the applicants were represented by the same lawyer who lodged </w:t>
      </w:r>
      <w:r w:rsidRPr="00A2269A" w:rsidR="00C30290">
        <w:rPr>
          <w:lang w:val="en-GB"/>
        </w:rPr>
        <w:t xml:space="preserve">similar applications in the cases and one </w:t>
      </w:r>
      <w:r w:rsidRPr="00A2269A">
        <w:rPr>
          <w:lang w:val="en-GB"/>
        </w:rPr>
        <w:t xml:space="preserve">set of observations on behalf of both of </w:t>
      </w:r>
      <w:r w:rsidRPr="00A2269A" w:rsidR="00C30290">
        <w:rPr>
          <w:lang w:val="en-GB"/>
        </w:rPr>
        <w:t>the applicants.</w:t>
      </w:r>
    </w:p>
    <w:p w:rsidRPr="00A2269A" w:rsidR="00F83488" w:rsidP="00A2269A" w:rsidRDefault="00C30290">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58</w:t>
      </w:r>
      <w:r w:rsidRPr="00A2269A">
        <w:rPr>
          <w:lang w:val="en-GB"/>
        </w:rPr>
        <w:fldChar w:fldCharType="end"/>
      </w:r>
      <w:r w:rsidRPr="00A2269A">
        <w:rPr>
          <w:lang w:val="en-GB"/>
        </w:rPr>
        <w:t>.  </w:t>
      </w:r>
      <w:r w:rsidRPr="00A2269A" w:rsidR="00F001FC">
        <w:rPr>
          <w:lang w:val="en-GB"/>
        </w:rPr>
        <w:t>R</w:t>
      </w:r>
      <w:r w:rsidRPr="00A2269A" w:rsidR="00876B76">
        <w:rPr>
          <w:lang w:val="en-GB"/>
        </w:rPr>
        <w:t>egard</w:t>
      </w:r>
      <w:r w:rsidRPr="00A2269A" w:rsidR="00014566">
        <w:rPr>
          <w:lang w:val="en-GB"/>
        </w:rPr>
        <w:t xml:space="preserve"> being had to the documents in its possession and </w:t>
      </w:r>
      <w:r w:rsidRPr="00A2269A" w:rsidR="00876B76">
        <w:rPr>
          <w:lang w:val="en-GB"/>
        </w:rPr>
        <w:t>the above criteria</w:t>
      </w:r>
      <w:r w:rsidRPr="00A2269A" w:rsidR="00014566">
        <w:rPr>
          <w:lang w:val="en-GB"/>
        </w:rPr>
        <w:t xml:space="preserve">, the Court considers it reasonable to award </w:t>
      </w:r>
      <w:r w:rsidRPr="00A2269A" w:rsidR="00455B82">
        <w:rPr>
          <w:lang w:val="en-GB"/>
        </w:rPr>
        <w:t xml:space="preserve">each </w:t>
      </w:r>
      <w:r w:rsidRPr="00A2269A" w:rsidR="00227EFA">
        <w:rPr>
          <w:lang w:val="en-GB"/>
        </w:rPr>
        <w:t xml:space="preserve">applicant </w:t>
      </w:r>
      <w:r w:rsidRPr="00A2269A" w:rsidR="00014566">
        <w:rPr>
          <w:lang w:val="en-GB"/>
        </w:rPr>
        <w:t xml:space="preserve">the sum of EUR </w:t>
      </w:r>
      <w:r w:rsidRPr="00A2269A" w:rsidR="00455B82">
        <w:rPr>
          <w:lang w:val="en-GB"/>
        </w:rPr>
        <w:t xml:space="preserve">1,000 </w:t>
      </w:r>
      <w:r w:rsidRPr="00A2269A" w:rsidR="00014566">
        <w:rPr>
          <w:lang w:val="en-GB"/>
        </w:rPr>
        <w:t xml:space="preserve">for costs and expenses in the domestic proceedings </w:t>
      </w:r>
      <w:r w:rsidRPr="00A2269A">
        <w:rPr>
          <w:lang w:val="en-GB"/>
        </w:rPr>
        <w:t>and</w:t>
      </w:r>
      <w:r w:rsidRPr="00A2269A" w:rsidR="00455B82">
        <w:rPr>
          <w:lang w:val="en-GB"/>
        </w:rPr>
        <w:t xml:space="preserve"> </w:t>
      </w:r>
      <w:r w:rsidRPr="00A2269A">
        <w:rPr>
          <w:lang w:val="en-GB"/>
        </w:rPr>
        <w:t>EUR</w:t>
      </w:r>
      <w:r w:rsidRPr="00A2269A" w:rsidR="00A05F54">
        <w:rPr>
          <w:lang w:val="en-GB"/>
        </w:rPr>
        <w:t> </w:t>
      </w:r>
      <w:r w:rsidRPr="00A2269A" w:rsidR="00455B82">
        <w:rPr>
          <w:lang w:val="en-GB"/>
        </w:rPr>
        <w:t>1</w:t>
      </w:r>
      <w:r w:rsidRPr="00A2269A">
        <w:rPr>
          <w:lang w:val="en-GB"/>
        </w:rPr>
        <w:t>,500 for the proceedings before the Court.</w:t>
      </w:r>
      <w:r w:rsidRPr="00A2269A" w:rsidR="00455B82">
        <w:rPr>
          <w:lang w:val="en-GB"/>
        </w:rPr>
        <w:t xml:space="preserve"> Therefore each</w:t>
      </w:r>
      <w:r w:rsidRPr="00A2269A" w:rsidR="00227EFA">
        <w:rPr>
          <w:lang w:val="en-GB"/>
        </w:rPr>
        <w:t xml:space="preserve"> applicant</w:t>
      </w:r>
      <w:r w:rsidRPr="00A2269A" w:rsidR="00455B82">
        <w:rPr>
          <w:lang w:val="en-GB"/>
        </w:rPr>
        <w:t xml:space="preserve"> should be awarded </w:t>
      </w:r>
      <w:r w:rsidRPr="00A2269A" w:rsidR="00121CFD">
        <w:rPr>
          <w:lang w:val="en-GB"/>
        </w:rPr>
        <w:t>a</w:t>
      </w:r>
      <w:r w:rsidRPr="00A2269A" w:rsidR="00455B82">
        <w:rPr>
          <w:lang w:val="en-GB"/>
        </w:rPr>
        <w:t xml:space="preserve"> total </w:t>
      </w:r>
      <w:r w:rsidRPr="00A2269A" w:rsidR="00B63815">
        <w:rPr>
          <w:lang w:val="en-GB"/>
        </w:rPr>
        <w:t xml:space="preserve">of </w:t>
      </w:r>
      <w:r w:rsidRPr="00A2269A" w:rsidR="00455B82">
        <w:rPr>
          <w:lang w:val="en-GB"/>
        </w:rPr>
        <w:t>EUR 2,500 with respect to costs and expenses.</w:t>
      </w:r>
    </w:p>
    <w:p w:rsidRPr="00A2269A" w:rsidR="00014566" w:rsidP="00A2269A" w:rsidRDefault="00014566">
      <w:pPr>
        <w:pStyle w:val="ECHRHeading2"/>
        <w:rPr>
          <w:lang w:val="en-GB"/>
        </w:rPr>
      </w:pPr>
      <w:r w:rsidRPr="00A2269A">
        <w:rPr>
          <w:lang w:val="en-GB"/>
        </w:rPr>
        <w:t>C.  Default interest</w:t>
      </w:r>
    </w:p>
    <w:p w:rsidRPr="00A2269A" w:rsidR="00014566" w:rsidP="00A2269A" w:rsidRDefault="00876B76">
      <w:pPr>
        <w:pStyle w:val="ECHRPara"/>
        <w:rPr>
          <w:lang w:val="en-GB"/>
        </w:rPr>
      </w:pPr>
      <w:r w:rsidRPr="00A2269A">
        <w:rPr>
          <w:lang w:val="en-GB"/>
        </w:rPr>
        <w:fldChar w:fldCharType="begin"/>
      </w:r>
      <w:r w:rsidRPr="00A2269A">
        <w:rPr>
          <w:lang w:val="en-GB"/>
        </w:rPr>
        <w:instrText xml:space="preserve"> SEQ level0 \*arabic </w:instrText>
      </w:r>
      <w:r w:rsidRPr="00A2269A">
        <w:rPr>
          <w:lang w:val="en-GB"/>
        </w:rPr>
        <w:fldChar w:fldCharType="separate"/>
      </w:r>
      <w:r w:rsidRPr="00A2269A" w:rsidR="00A2269A">
        <w:rPr>
          <w:noProof/>
          <w:lang w:val="en-GB"/>
        </w:rPr>
        <w:t>59</w:t>
      </w:r>
      <w:r w:rsidRPr="00A2269A">
        <w:rPr>
          <w:lang w:val="en-GB"/>
        </w:rPr>
        <w:fldChar w:fldCharType="end"/>
      </w:r>
      <w:r w:rsidRPr="00A2269A" w:rsidR="00014566">
        <w:rPr>
          <w:lang w:val="en-GB"/>
        </w:rPr>
        <w:t>.  The Court considers it appropriate that the default interest rate should be based on the marginal lending rate of the European Central Bank, to which should be added three percentage points.</w:t>
      </w:r>
    </w:p>
    <w:p w:rsidRPr="00A2269A" w:rsidR="00014566" w:rsidP="00A2269A" w:rsidRDefault="00BB5883">
      <w:pPr>
        <w:pStyle w:val="ECHRTitle1"/>
        <w:rPr>
          <w:lang w:val="en-GB"/>
        </w:rPr>
      </w:pPr>
      <w:r w:rsidRPr="00A2269A">
        <w:rPr>
          <w:lang w:val="en-GB"/>
        </w:rPr>
        <w:t>FOR THESE REASONS, THE COURT</w:t>
      </w:r>
      <w:r w:rsidRPr="00A2269A" w:rsidR="00876B76">
        <w:rPr>
          <w:lang w:val="en-GB"/>
        </w:rPr>
        <w:t>, UNANIMOUSLY,</w:t>
      </w:r>
    </w:p>
    <w:p w:rsidRPr="00A2269A" w:rsidR="00F83488" w:rsidP="00A2269A" w:rsidRDefault="00B637B9">
      <w:pPr>
        <w:pStyle w:val="JuList"/>
        <w:rPr>
          <w:i/>
          <w:lang w:val="en-GB"/>
        </w:rPr>
      </w:pPr>
      <w:r w:rsidRPr="00A2269A">
        <w:rPr>
          <w:lang w:val="en-GB"/>
        </w:rPr>
        <w:t>1.  </w:t>
      </w:r>
      <w:r w:rsidRPr="00A2269A" w:rsidR="00AA3713">
        <w:rPr>
          <w:i/>
        </w:rPr>
        <w:t>Decides</w:t>
      </w:r>
      <w:r w:rsidRPr="00A2269A" w:rsidR="00AA3713">
        <w:t xml:space="preserve"> to join the applications</w:t>
      </w:r>
      <w:r w:rsidRPr="00A2269A" w:rsidR="00CD37C4">
        <w:t>;</w:t>
      </w:r>
    </w:p>
    <w:p w:rsidRPr="00A2269A" w:rsidR="00227EFA" w:rsidP="00A2269A" w:rsidRDefault="00227EFA">
      <w:pPr>
        <w:pStyle w:val="JuList"/>
        <w:rPr>
          <w:lang w:val="en-GB"/>
        </w:rPr>
      </w:pPr>
    </w:p>
    <w:p w:rsidRPr="00A2269A" w:rsidR="00AA3713" w:rsidP="00A2269A" w:rsidRDefault="00AA3713">
      <w:pPr>
        <w:pStyle w:val="JuList"/>
        <w:rPr>
          <w:lang w:val="en-GB"/>
        </w:rPr>
      </w:pPr>
      <w:r w:rsidRPr="00A2269A">
        <w:rPr>
          <w:lang w:val="en-GB"/>
        </w:rPr>
        <w:t>2</w:t>
      </w:r>
      <w:r w:rsidRPr="00A2269A" w:rsidR="00B637B9">
        <w:rPr>
          <w:lang w:val="en-GB"/>
        </w:rPr>
        <w:t>.  </w:t>
      </w:r>
      <w:r w:rsidRPr="00A2269A">
        <w:rPr>
          <w:i/>
          <w:lang w:val="en-GB"/>
        </w:rPr>
        <w:t>Declares</w:t>
      </w:r>
      <w:r w:rsidRPr="00A2269A">
        <w:rPr>
          <w:lang w:val="en-GB"/>
        </w:rPr>
        <w:t xml:space="preserve"> the applications admissible;</w:t>
      </w:r>
    </w:p>
    <w:p w:rsidRPr="00A2269A" w:rsidR="00014566" w:rsidP="00A2269A" w:rsidRDefault="00014566">
      <w:pPr>
        <w:pStyle w:val="JuList"/>
        <w:ind w:left="0" w:firstLine="0"/>
        <w:rPr>
          <w:lang w:val="en-GB"/>
        </w:rPr>
      </w:pPr>
    </w:p>
    <w:p w:rsidRPr="00A2269A" w:rsidR="00014566" w:rsidP="00A2269A" w:rsidRDefault="00A73C33">
      <w:pPr>
        <w:pStyle w:val="JuList"/>
        <w:rPr>
          <w:lang w:val="en-GB"/>
        </w:rPr>
      </w:pPr>
      <w:r w:rsidRPr="00A2269A">
        <w:rPr>
          <w:lang w:val="en-GB"/>
        </w:rPr>
        <w:t>3</w:t>
      </w:r>
      <w:r w:rsidRPr="00A2269A" w:rsidR="00014566">
        <w:rPr>
          <w:lang w:val="en-GB"/>
        </w:rPr>
        <w:t>.  </w:t>
      </w:r>
      <w:r w:rsidRPr="00A2269A" w:rsidR="00014566">
        <w:rPr>
          <w:i/>
          <w:lang w:val="en-GB"/>
        </w:rPr>
        <w:t>Holds</w:t>
      </w:r>
      <w:r w:rsidRPr="00A2269A" w:rsidR="00876B76">
        <w:rPr>
          <w:lang w:val="en-GB"/>
        </w:rPr>
        <w:t xml:space="preserve"> </w:t>
      </w:r>
      <w:r w:rsidRPr="00A2269A" w:rsidR="00014566">
        <w:rPr>
          <w:lang w:val="en-GB"/>
        </w:rPr>
        <w:t xml:space="preserve">that there has been a violation of Article </w:t>
      </w:r>
      <w:r w:rsidRPr="00A2269A">
        <w:rPr>
          <w:lang w:val="en-GB"/>
        </w:rPr>
        <w:t xml:space="preserve">6 </w:t>
      </w:r>
      <w:r w:rsidRPr="00A2269A">
        <w:rPr>
          <w:rFonts w:eastAsiaTheme="majorEastAsia"/>
        </w:rPr>
        <w:t>§ 1</w:t>
      </w:r>
      <w:r w:rsidRPr="00A2269A" w:rsidR="00014566">
        <w:rPr>
          <w:lang w:val="en-GB"/>
        </w:rPr>
        <w:t xml:space="preserve"> of the Convention;</w:t>
      </w:r>
    </w:p>
    <w:p w:rsidRPr="00A2269A" w:rsidR="00014566" w:rsidP="00A2269A" w:rsidRDefault="00014566">
      <w:pPr>
        <w:pStyle w:val="JuList"/>
        <w:rPr>
          <w:lang w:val="en-GB"/>
        </w:rPr>
      </w:pPr>
    </w:p>
    <w:p w:rsidRPr="00A2269A" w:rsidR="00F83488" w:rsidP="00A2269A" w:rsidRDefault="00A73C33">
      <w:pPr>
        <w:pStyle w:val="JuList"/>
        <w:rPr>
          <w:lang w:val="en-GB"/>
        </w:rPr>
      </w:pPr>
      <w:r w:rsidRPr="00A2269A">
        <w:rPr>
          <w:lang w:val="en-GB"/>
        </w:rPr>
        <w:t>4</w:t>
      </w:r>
      <w:r w:rsidRPr="00A2269A" w:rsidR="00014566">
        <w:rPr>
          <w:lang w:val="en-GB"/>
        </w:rPr>
        <w:t>.  </w:t>
      </w:r>
      <w:r w:rsidRPr="00A2269A" w:rsidR="00014566">
        <w:rPr>
          <w:i/>
          <w:lang w:val="en-GB"/>
        </w:rPr>
        <w:t>Holds</w:t>
      </w:r>
    </w:p>
    <w:p w:rsidRPr="00A2269A" w:rsidR="00014566" w:rsidP="00A2269A" w:rsidRDefault="00014566">
      <w:pPr>
        <w:pStyle w:val="JuLista"/>
        <w:rPr>
          <w:lang w:val="en-GB"/>
        </w:rPr>
      </w:pPr>
      <w:r w:rsidRPr="00A2269A">
        <w:rPr>
          <w:lang w:val="en-GB"/>
        </w:rPr>
        <w:t>(a)  that the respondent State is to pay the applicant</w:t>
      </w:r>
      <w:r w:rsidRPr="00A2269A" w:rsidR="00876B76">
        <w:rPr>
          <w:lang w:val="en-GB"/>
        </w:rPr>
        <w:t>s</w:t>
      </w:r>
      <w:r w:rsidRPr="00A2269A" w:rsidR="000D012C">
        <w:rPr>
          <w:lang w:val="en-GB"/>
        </w:rPr>
        <w:t xml:space="preserve">, within three months </w:t>
      </w:r>
      <w:r w:rsidRPr="00A2269A" w:rsidR="00876B76">
        <w:rPr>
          <w:lang w:val="en-GB"/>
        </w:rPr>
        <w:t>from the date on which the judgment becomes final in accordance with Article 44 § 2 of the Convention,</w:t>
      </w:r>
      <w:r w:rsidRPr="00A2269A">
        <w:rPr>
          <w:lang w:val="en-GB"/>
        </w:rPr>
        <w:t xml:space="preserve"> the following amounts:</w:t>
      </w:r>
    </w:p>
    <w:p w:rsidRPr="00A2269A" w:rsidR="00014566" w:rsidP="00A2269A" w:rsidRDefault="00014566">
      <w:pPr>
        <w:pStyle w:val="JuListi"/>
        <w:rPr>
          <w:lang w:val="en-GB"/>
        </w:rPr>
      </w:pPr>
      <w:r w:rsidRPr="00A2269A">
        <w:rPr>
          <w:lang w:val="en-GB"/>
        </w:rPr>
        <w:t xml:space="preserve">(i)  EUR </w:t>
      </w:r>
      <w:r w:rsidRPr="00A2269A" w:rsidR="00596F59">
        <w:rPr>
          <w:lang w:val="en-GB"/>
        </w:rPr>
        <w:t>5</w:t>
      </w:r>
      <w:r w:rsidRPr="00A2269A" w:rsidR="00A73C33">
        <w:rPr>
          <w:lang w:val="en-GB"/>
        </w:rPr>
        <w:t>,</w:t>
      </w:r>
      <w:r w:rsidRPr="00A2269A" w:rsidR="00596F59">
        <w:rPr>
          <w:lang w:val="en-GB"/>
        </w:rPr>
        <w:t>0</w:t>
      </w:r>
      <w:r w:rsidRPr="00A2269A" w:rsidR="00A73C33">
        <w:rPr>
          <w:lang w:val="en-GB"/>
        </w:rPr>
        <w:t>00</w:t>
      </w:r>
      <w:r w:rsidRPr="00A2269A">
        <w:rPr>
          <w:lang w:val="en-GB"/>
        </w:rPr>
        <w:t xml:space="preserve"> (</w:t>
      </w:r>
      <w:r w:rsidRPr="00A2269A" w:rsidR="00596F59">
        <w:rPr>
          <w:lang w:val="en-GB"/>
        </w:rPr>
        <w:t>five</w:t>
      </w:r>
      <w:r w:rsidRPr="00A2269A" w:rsidR="00A73C33">
        <w:rPr>
          <w:lang w:val="en-GB"/>
        </w:rPr>
        <w:t xml:space="preserve"> thousand </w:t>
      </w:r>
      <w:r w:rsidRPr="00A2269A">
        <w:rPr>
          <w:lang w:val="en-GB"/>
        </w:rPr>
        <w:t>euros)</w:t>
      </w:r>
      <w:r w:rsidRPr="00A2269A" w:rsidR="00F306DA">
        <w:rPr>
          <w:lang w:val="en-GB"/>
        </w:rPr>
        <w:t xml:space="preserve"> each</w:t>
      </w:r>
      <w:r w:rsidRPr="00A2269A">
        <w:rPr>
          <w:lang w:val="en-GB"/>
        </w:rPr>
        <w:t>, plus any tax that may be chargeable,</w:t>
      </w:r>
      <w:r w:rsidRPr="00A2269A" w:rsidR="00A73C33">
        <w:rPr>
          <w:lang w:val="en-GB"/>
        </w:rPr>
        <w:t xml:space="preserve"> </w:t>
      </w:r>
      <w:r w:rsidRPr="00A2269A">
        <w:rPr>
          <w:lang w:val="en-GB"/>
        </w:rPr>
        <w:t>in respect of non-pecuniary damage;</w:t>
      </w:r>
    </w:p>
    <w:p w:rsidRPr="00A2269A" w:rsidR="00014566" w:rsidP="00A2269A" w:rsidRDefault="00A73C33">
      <w:pPr>
        <w:pStyle w:val="JuListi"/>
        <w:rPr>
          <w:lang w:val="en-GB"/>
        </w:rPr>
      </w:pPr>
      <w:r w:rsidRPr="00A2269A">
        <w:rPr>
          <w:lang w:val="en-GB"/>
        </w:rPr>
        <w:t>(ii</w:t>
      </w:r>
      <w:r w:rsidRPr="00A2269A" w:rsidR="00014566">
        <w:rPr>
          <w:lang w:val="en-GB"/>
        </w:rPr>
        <w:t xml:space="preserve">)  EUR </w:t>
      </w:r>
      <w:r w:rsidRPr="00A2269A" w:rsidR="00455B82">
        <w:rPr>
          <w:lang w:val="en-GB"/>
        </w:rPr>
        <w:t xml:space="preserve">2,500 </w:t>
      </w:r>
      <w:r w:rsidRPr="00A2269A" w:rsidR="00014566">
        <w:rPr>
          <w:lang w:val="en-GB"/>
        </w:rPr>
        <w:t>(</w:t>
      </w:r>
      <w:r w:rsidRPr="00A2269A" w:rsidR="00227EFA">
        <w:rPr>
          <w:lang w:val="en-GB"/>
        </w:rPr>
        <w:t>two thousand five hundred</w:t>
      </w:r>
      <w:r w:rsidRPr="00A2269A" w:rsidR="00014566">
        <w:rPr>
          <w:lang w:val="en-GB"/>
        </w:rPr>
        <w:t xml:space="preserve"> euros)</w:t>
      </w:r>
      <w:r w:rsidRPr="00A2269A" w:rsidR="00227EFA">
        <w:rPr>
          <w:lang w:val="en-GB"/>
        </w:rPr>
        <w:t xml:space="preserve"> each</w:t>
      </w:r>
      <w:r w:rsidRPr="00A2269A" w:rsidR="00014566">
        <w:rPr>
          <w:lang w:val="en-GB"/>
        </w:rPr>
        <w:t>, plus any tax that may be chargeable to the applicant</w:t>
      </w:r>
      <w:r w:rsidRPr="00A2269A" w:rsidR="00876B76">
        <w:rPr>
          <w:lang w:val="en-GB"/>
        </w:rPr>
        <w:t>s</w:t>
      </w:r>
      <w:r w:rsidRPr="00A2269A" w:rsidR="00014566">
        <w:rPr>
          <w:lang w:val="en-GB"/>
        </w:rPr>
        <w:t>, in respect of costs and expenses;</w:t>
      </w:r>
    </w:p>
    <w:p w:rsidRPr="00A2269A" w:rsidR="00014566" w:rsidP="00A2269A" w:rsidRDefault="00014566">
      <w:pPr>
        <w:pStyle w:val="JuLista"/>
        <w:rPr>
          <w:lang w:val="en-GB"/>
        </w:rPr>
      </w:pPr>
      <w:r w:rsidRPr="00A2269A">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A2269A" w:rsidR="00014566" w:rsidP="00A2269A" w:rsidRDefault="00014566">
      <w:pPr>
        <w:pStyle w:val="JuList"/>
        <w:rPr>
          <w:lang w:val="en-GB"/>
        </w:rPr>
      </w:pPr>
    </w:p>
    <w:p w:rsidRPr="00A2269A" w:rsidR="00014566" w:rsidP="00A2269A" w:rsidRDefault="00A73C33">
      <w:pPr>
        <w:pStyle w:val="JuList"/>
        <w:rPr>
          <w:lang w:val="en-GB"/>
        </w:rPr>
      </w:pPr>
      <w:r w:rsidRPr="00A2269A">
        <w:rPr>
          <w:lang w:val="en-GB"/>
        </w:rPr>
        <w:t>5</w:t>
      </w:r>
      <w:r w:rsidRPr="00A2269A" w:rsidR="00014566">
        <w:rPr>
          <w:lang w:val="en-GB"/>
        </w:rPr>
        <w:t>.  </w:t>
      </w:r>
      <w:r w:rsidRPr="00A2269A" w:rsidR="00014566">
        <w:rPr>
          <w:i/>
          <w:lang w:val="en-GB"/>
        </w:rPr>
        <w:t>Dismisses</w:t>
      </w:r>
      <w:r w:rsidRPr="00A2269A" w:rsidR="00014566">
        <w:rPr>
          <w:color w:val="000000"/>
          <w:lang w:val="en-GB"/>
        </w:rPr>
        <w:t xml:space="preserve"> </w:t>
      </w:r>
      <w:r w:rsidRPr="00A2269A" w:rsidR="00014566">
        <w:rPr>
          <w:lang w:val="en-GB"/>
        </w:rPr>
        <w:t>the remainder of the applicant</w:t>
      </w:r>
      <w:r w:rsidRPr="00A2269A" w:rsidR="00876B76">
        <w:rPr>
          <w:lang w:val="en-GB"/>
        </w:rPr>
        <w:t>s</w:t>
      </w:r>
      <w:r w:rsidRPr="00A2269A" w:rsidR="00A2269A">
        <w:rPr>
          <w:lang w:val="en-GB"/>
        </w:rPr>
        <w:t>’</w:t>
      </w:r>
      <w:r w:rsidRPr="00A2269A" w:rsidR="00014566">
        <w:rPr>
          <w:lang w:val="en-GB"/>
        </w:rPr>
        <w:t xml:space="preserve"> claim for just satisfaction.</w:t>
      </w:r>
    </w:p>
    <w:p w:rsidRPr="00A2269A" w:rsidR="00014566" w:rsidP="00A2269A" w:rsidRDefault="00014566">
      <w:pPr>
        <w:pStyle w:val="JuParaLast"/>
        <w:rPr>
          <w:lang w:val="en-GB"/>
        </w:rPr>
      </w:pPr>
      <w:r w:rsidRPr="00A2269A">
        <w:rPr>
          <w:lang w:val="en-GB"/>
        </w:rPr>
        <w:t xml:space="preserve">Done in English, and notified in writing on </w:t>
      </w:r>
      <w:r w:rsidRPr="00A2269A" w:rsidR="000E5A99">
        <w:rPr>
          <w:lang w:val="en-GB"/>
        </w:rPr>
        <w:t>7 March 2017</w:t>
      </w:r>
      <w:r w:rsidRPr="00A2269A">
        <w:rPr>
          <w:lang w:val="en-GB"/>
        </w:rPr>
        <w:t>, pursuant to Rule 77 §§ 2 and 3 of the Rules of Court.</w:t>
      </w:r>
    </w:p>
    <w:p w:rsidRPr="00A2269A" w:rsidR="00014566" w:rsidP="00A2269A" w:rsidRDefault="00014566">
      <w:pPr>
        <w:pStyle w:val="JuSigned"/>
        <w:rPr>
          <w:lang w:val="en-GB"/>
        </w:rPr>
      </w:pPr>
      <w:r w:rsidRPr="00A2269A">
        <w:rPr>
          <w:lang w:val="en-GB"/>
        </w:rPr>
        <w:tab/>
      </w:r>
      <w:r w:rsidRPr="00A2269A" w:rsidR="00876B76">
        <w:rPr>
          <w:lang w:val="en-GB"/>
        </w:rPr>
        <w:t>Marialena Tsirli</w:t>
      </w:r>
      <w:r w:rsidRPr="00A2269A">
        <w:rPr>
          <w:lang w:val="en-GB"/>
        </w:rPr>
        <w:tab/>
      </w:r>
      <w:r w:rsidRPr="00A2269A" w:rsidR="00876B76">
        <w:rPr>
          <w:szCs w:val="24"/>
          <w:lang w:val="en-GB"/>
        </w:rPr>
        <w:t>András Sajó</w:t>
      </w:r>
      <w:r w:rsidRPr="00A2269A" w:rsidR="00E1557C">
        <w:rPr>
          <w:szCs w:val="24"/>
          <w:lang w:val="en-GB"/>
        </w:rPr>
        <w:br/>
      </w:r>
      <w:r w:rsidRPr="00A2269A">
        <w:rPr>
          <w:lang w:val="en-GB"/>
        </w:rPr>
        <w:tab/>
      </w:r>
      <w:r w:rsidRPr="00A2269A" w:rsidR="00876B76">
        <w:rPr>
          <w:iCs/>
          <w:lang w:val="en-GB"/>
        </w:rPr>
        <w:t>Registrar</w:t>
      </w:r>
      <w:r w:rsidRPr="00A2269A">
        <w:rPr>
          <w:lang w:val="en-GB"/>
        </w:rPr>
        <w:tab/>
        <w:t>President</w:t>
      </w:r>
    </w:p>
    <w:p w:rsidRPr="00A2269A" w:rsidR="004D15F3" w:rsidP="00A2269A" w:rsidRDefault="004D15F3">
      <w:pPr>
        <w:rPr>
          <w:lang w:val="en-GB"/>
        </w:rPr>
      </w:pPr>
    </w:p>
    <w:sectPr w:rsidRPr="00A2269A" w:rsidR="004D15F3" w:rsidSect="000E5A99">
      <w:headerReference w:type="even" r:id="rId14"/>
      <w:headerReference w:type="default" r:id="rId15"/>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20A" w:rsidRPr="00535BB8" w:rsidRDefault="0025520A" w:rsidP="00014566">
      <w:pPr>
        <w:rPr>
          <w:lang w:val="en-GB"/>
        </w:rPr>
      </w:pPr>
      <w:r w:rsidRPr="00535BB8">
        <w:rPr>
          <w:lang w:val="en-GB"/>
        </w:rPr>
        <w:separator/>
      </w:r>
    </w:p>
  </w:endnote>
  <w:endnote w:type="continuationSeparator" w:id="0">
    <w:p w:rsidR="0025520A" w:rsidRPr="00535BB8" w:rsidRDefault="0025520A" w:rsidP="00014566">
      <w:pPr>
        <w:rPr>
          <w:lang w:val="en-GB"/>
        </w:rPr>
      </w:pPr>
      <w:r w:rsidRPr="00535BB8">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9" w:rsidRDefault="000E5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9" w:rsidRDefault="000E5A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9" w:rsidRPr="00150BFA" w:rsidRDefault="000E5A99" w:rsidP="0020718E">
    <w:pPr>
      <w:jc w:val="center"/>
    </w:pPr>
    <w:r>
      <w:rPr>
        <w:noProof/>
        <w:lang w:eastAsia="ja-JP"/>
      </w:rPr>
      <w:drawing>
        <wp:inline distT="0" distB="0" distL="0" distR="0" wp14:anchorId="2DD162E7" wp14:editId="54CBF3EF">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0E5A99" w:rsidRDefault="000E5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20A" w:rsidRPr="00535BB8" w:rsidRDefault="0025520A" w:rsidP="00014566">
      <w:pPr>
        <w:rPr>
          <w:lang w:val="en-GB"/>
        </w:rPr>
      </w:pPr>
      <w:r w:rsidRPr="00535BB8">
        <w:rPr>
          <w:lang w:val="en-GB"/>
        </w:rPr>
        <w:separator/>
      </w:r>
    </w:p>
  </w:footnote>
  <w:footnote w:type="continuationSeparator" w:id="0">
    <w:p w:rsidR="0025520A" w:rsidRPr="00535BB8" w:rsidRDefault="0025520A" w:rsidP="00014566">
      <w:pPr>
        <w:rPr>
          <w:lang w:val="en-GB"/>
        </w:rPr>
      </w:pPr>
      <w:r w:rsidRPr="00535BB8">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9" w:rsidRDefault="000E5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20A" w:rsidRPr="000E5A99" w:rsidRDefault="0025520A" w:rsidP="000E5A9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9" w:rsidRPr="00A45145" w:rsidRDefault="000E5A99" w:rsidP="00A45145">
    <w:pPr>
      <w:jc w:val="center"/>
    </w:pPr>
    <w:r>
      <w:rPr>
        <w:noProof/>
        <w:lang w:eastAsia="ja-JP"/>
      </w:rPr>
      <w:drawing>
        <wp:inline distT="0" distB="0" distL="0" distR="0" wp14:anchorId="7778D7AD" wp14:editId="71F70D98">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0E5A99" w:rsidRDefault="000E5A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9" w:rsidRPr="00535BB8" w:rsidRDefault="000E5A99"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2269A">
      <w:rPr>
        <w:rStyle w:val="PageNumber"/>
        <w:noProof/>
        <w:szCs w:val="18"/>
        <w:lang w:val="en-GB"/>
      </w:rPr>
      <w:t>14</w:t>
    </w:r>
    <w:r>
      <w:rPr>
        <w:rStyle w:val="PageNumber"/>
        <w:szCs w:val="18"/>
        <w:lang w:val="en-GB"/>
      </w:rPr>
      <w:fldChar w:fldCharType="end"/>
    </w:r>
    <w:r w:rsidRPr="00535BB8">
      <w:rPr>
        <w:lang w:val="en-GB"/>
      </w:rPr>
      <w:tab/>
    </w:r>
    <w:r w:rsidRPr="00E54957">
      <w:rPr>
        <w:lang w:val="en-GB"/>
      </w:rPr>
      <w:t>CEROVŠEK AND</w:t>
    </w:r>
    <w:r>
      <w:rPr>
        <w:lang w:val="en-GB"/>
      </w:rPr>
      <w:t xml:space="preserve"> BOŽIČNIK v. SLOVENIA</w:t>
    </w:r>
    <w:r w:rsidRPr="00535BB8">
      <w:rPr>
        <w:lang w:val="en-GB"/>
      </w:rPr>
      <w:t xml:space="preserve">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9" w:rsidRPr="00535BB8" w:rsidRDefault="000E5A99" w:rsidP="00D60D87">
    <w:pPr>
      <w:pStyle w:val="ECHRHeader"/>
      <w:rPr>
        <w:lang w:val="en-GB"/>
      </w:rPr>
    </w:pPr>
    <w:r w:rsidRPr="00535BB8">
      <w:rPr>
        <w:lang w:val="en-GB"/>
      </w:rPr>
      <w:tab/>
    </w:r>
    <w:r w:rsidRPr="00E54957">
      <w:rPr>
        <w:lang w:val="en-GB"/>
      </w:rPr>
      <w:t>CEROVŠEK AND</w:t>
    </w:r>
    <w:r>
      <w:rPr>
        <w:lang w:val="en-GB"/>
      </w:rPr>
      <w:t xml:space="preserve"> BOŽIČNIK v. SLOVENIA</w:t>
    </w:r>
    <w:r w:rsidRPr="00535BB8">
      <w:rPr>
        <w:lang w:val="en-GB"/>
      </w:rPr>
      <w:t xml:space="preserve"> </w:t>
    </w:r>
    <w:r>
      <w:rPr>
        <w:lang w:val="en-GB"/>
      </w:rPr>
      <w:t>JUDGMENT</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2269A">
      <w:rPr>
        <w:rStyle w:val="PageNumber"/>
        <w:noProof/>
        <w:szCs w:val="18"/>
        <w:lang w:val="en-GB"/>
      </w:rPr>
      <w:t>13</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876B76"/>
    <w:rsid w:val="00000067"/>
    <w:rsid w:val="000010ED"/>
    <w:rsid w:val="000041F8"/>
    <w:rsid w:val="000042A8"/>
    <w:rsid w:val="00004308"/>
    <w:rsid w:val="000044FB"/>
    <w:rsid w:val="00005BF0"/>
    <w:rsid w:val="00007154"/>
    <w:rsid w:val="00007FCF"/>
    <w:rsid w:val="000103AE"/>
    <w:rsid w:val="00011D69"/>
    <w:rsid w:val="00012AD3"/>
    <w:rsid w:val="00014566"/>
    <w:rsid w:val="00014F7D"/>
    <w:rsid w:val="000155E5"/>
    <w:rsid w:val="00015C2D"/>
    <w:rsid w:val="00015F00"/>
    <w:rsid w:val="00022C1D"/>
    <w:rsid w:val="00022C57"/>
    <w:rsid w:val="00024406"/>
    <w:rsid w:val="000250C7"/>
    <w:rsid w:val="00027976"/>
    <w:rsid w:val="00030504"/>
    <w:rsid w:val="00033A2F"/>
    <w:rsid w:val="00034987"/>
    <w:rsid w:val="000350E3"/>
    <w:rsid w:val="00036515"/>
    <w:rsid w:val="00057F0D"/>
    <w:rsid w:val="000602DF"/>
    <w:rsid w:val="00061B05"/>
    <w:rsid w:val="0006264A"/>
    <w:rsid w:val="00062973"/>
    <w:rsid w:val="00062D5D"/>
    <w:rsid w:val="000632D5"/>
    <w:rsid w:val="000644EE"/>
    <w:rsid w:val="00065014"/>
    <w:rsid w:val="00071ABC"/>
    <w:rsid w:val="000724DD"/>
    <w:rsid w:val="00075B8E"/>
    <w:rsid w:val="00080DA8"/>
    <w:rsid w:val="000812E4"/>
    <w:rsid w:val="000856D7"/>
    <w:rsid w:val="000925AD"/>
    <w:rsid w:val="00096A48"/>
    <w:rsid w:val="000A0AC5"/>
    <w:rsid w:val="000A24EB"/>
    <w:rsid w:val="000B3586"/>
    <w:rsid w:val="000B6923"/>
    <w:rsid w:val="000C033C"/>
    <w:rsid w:val="000C23C7"/>
    <w:rsid w:val="000C5F3C"/>
    <w:rsid w:val="000C6DCC"/>
    <w:rsid w:val="000D012C"/>
    <w:rsid w:val="000D1A1C"/>
    <w:rsid w:val="000D47AA"/>
    <w:rsid w:val="000D721F"/>
    <w:rsid w:val="000D785F"/>
    <w:rsid w:val="000E069B"/>
    <w:rsid w:val="000E07EA"/>
    <w:rsid w:val="000E0E82"/>
    <w:rsid w:val="000E1DC5"/>
    <w:rsid w:val="000E223F"/>
    <w:rsid w:val="000E2D3D"/>
    <w:rsid w:val="000E35AC"/>
    <w:rsid w:val="000E5A99"/>
    <w:rsid w:val="000E6DD6"/>
    <w:rsid w:val="000E7D45"/>
    <w:rsid w:val="000F48F3"/>
    <w:rsid w:val="000F7851"/>
    <w:rsid w:val="00104E23"/>
    <w:rsid w:val="00106331"/>
    <w:rsid w:val="00111B0C"/>
    <w:rsid w:val="001203A2"/>
    <w:rsid w:val="00120832"/>
    <w:rsid w:val="00120D6C"/>
    <w:rsid w:val="00121CFD"/>
    <w:rsid w:val="001257EC"/>
    <w:rsid w:val="001265B2"/>
    <w:rsid w:val="00132C6A"/>
    <w:rsid w:val="00133D33"/>
    <w:rsid w:val="00134D64"/>
    <w:rsid w:val="00135A30"/>
    <w:rsid w:val="0013612C"/>
    <w:rsid w:val="00136E12"/>
    <w:rsid w:val="00137FF6"/>
    <w:rsid w:val="0014069B"/>
    <w:rsid w:val="001406B0"/>
    <w:rsid w:val="00141650"/>
    <w:rsid w:val="00162A12"/>
    <w:rsid w:val="00166530"/>
    <w:rsid w:val="001832BD"/>
    <w:rsid w:val="001943B5"/>
    <w:rsid w:val="00195134"/>
    <w:rsid w:val="001A145B"/>
    <w:rsid w:val="001A674C"/>
    <w:rsid w:val="001B3B24"/>
    <w:rsid w:val="001B4AC7"/>
    <w:rsid w:val="001B4ED5"/>
    <w:rsid w:val="001C0F98"/>
    <w:rsid w:val="001C2A42"/>
    <w:rsid w:val="001C374A"/>
    <w:rsid w:val="001C60EA"/>
    <w:rsid w:val="001D3361"/>
    <w:rsid w:val="001D63ED"/>
    <w:rsid w:val="001D7348"/>
    <w:rsid w:val="001D7BE8"/>
    <w:rsid w:val="001E035B"/>
    <w:rsid w:val="001E0961"/>
    <w:rsid w:val="001E3EAE"/>
    <w:rsid w:val="001E5348"/>
    <w:rsid w:val="001E6F32"/>
    <w:rsid w:val="001E7B11"/>
    <w:rsid w:val="001F2145"/>
    <w:rsid w:val="001F5D3E"/>
    <w:rsid w:val="001F6262"/>
    <w:rsid w:val="001F67B0"/>
    <w:rsid w:val="001F7B3D"/>
    <w:rsid w:val="002020F3"/>
    <w:rsid w:val="002031D1"/>
    <w:rsid w:val="00205F9F"/>
    <w:rsid w:val="00210338"/>
    <w:rsid w:val="002115FC"/>
    <w:rsid w:val="002133F8"/>
    <w:rsid w:val="0021366D"/>
    <w:rsid w:val="0021423C"/>
    <w:rsid w:val="00224B6D"/>
    <w:rsid w:val="00227EFA"/>
    <w:rsid w:val="00230D00"/>
    <w:rsid w:val="00231DF7"/>
    <w:rsid w:val="00231FD1"/>
    <w:rsid w:val="002339E0"/>
    <w:rsid w:val="00233CF8"/>
    <w:rsid w:val="002356B6"/>
    <w:rsid w:val="0023575D"/>
    <w:rsid w:val="00237148"/>
    <w:rsid w:val="0024222D"/>
    <w:rsid w:val="00242A26"/>
    <w:rsid w:val="00244B0E"/>
    <w:rsid w:val="00244F6C"/>
    <w:rsid w:val="00247622"/>
    <w:rsid w:val="00252EAB"/>
    <w:rsid w:val="002532C5"/>
    <w:rsid w:val="0025520A"/>
    <w:rsid w:val="00260C03"/>
    <w:rsid w:val="00262799"/>
    <w:rsid w:val="0026540E"/>
    <w:rsid w:val="0027225C"/>
    <w:rsid w:val="00275123"/>
    <w:rsid w:val="002765AF"/>
    <w:rsid w:val="00282240"/>
    <w:rsid w:val="0028572A"/>
    <w:rsid w:val="00286A12"/>
    <w:rsid w:val="002875C4"/>
    <w:rsid w:val="00292C8E"/>
    <w:rsid w:val="00293A81"/>
    <w:rsid w:val="002946CB"/>
    <w:rsid w:val="002948AD"/>
    <w:rsid w:val="00294C05"/>
    <w:rsid w:val="00294C92"/>
    <w:rsid w:val="002A01CC"/>
    <w:rsid w:val="002A2C37"/>
    <w:rsid w:val="002A5048"/>
    <w:rsid w:val="002A61B1"/>
    <w:rsid w:val="002A663C"/>
    <w:rsid w:val="002B1E6C"/>
    <w:rsid w:val="002B444B"/>
    <w:rsid w:val="002B5887"/>
    <w:rsid w:val="002C0692"/>
    <w:rsid w:val="002C0E27"/>
    <w:rsid w:val="002C124D"/>
    <w:rsid w:val="002C3040"/>
    <w:rsid w:val="002C6FB0"/>
    <w:rsid w:val="002D022D"/>
    <w:rsid w:val="002D24BB"/>
    <w:rsid w:val="002D580B"/>
    <w:rsid w:val="002E27D8"/>
    <w:rsid w:val="002E3C69"/>
    <w:rsid w:val="002E4AF1"/>
    <w:rsid w:val="002F219C"/>
    <w:rsid w:val="002F2AF7"/>
    <w:rsid w:val="002F2C99"/>
    <w:rsid w:val="002F6BF0"/>
    <w:rsid w:val="002F7E1C"/>
    <w:rsid w:val="00301A75"/>
    <w:rsid w:val="00301E62"/>
    <w:rsid w:val="00302F70"/>
    <w:rsid w:val="0030336F"/>
    <w:rsid w:val="0030375E"/>
    <w:rsid w:val="00311D9E"/>
    <w:rsid w:val="00312A30"/>
    <w:rsid w:val="003146BC"/>
    <w:rsid w:val="003175F1"/>
    <w:rsid w:val="00320F72"/>
    <w:rsid w:val="00321589"/>
    <w:rsid w:val="0032463E"/>
    <w:rsid w:val="00326224"/>
    <w:rsid w:val="00326577"/>
    <w:rsid w:val="0032676F"/>
    <w:rsid w:val="00333E84"/>
    <w:rsid w:val="00334773"/>
    <w:rsid w:val="0033748F"/>
    <w:rsid w:val="00337EE4"/>
    <w:rsid w:val="00340FFD"/>
    <w:rsid w:val="003506B1"/>
    <w:rsid w:val="00356AC7"/>
    <w:rsid w:val="003609FA"/>
    <w:rsid w:val="003618FF"/>
    <w:rsid w:val="003700B7"/>
    <w:rsid w:val="0037088E"/>
    <w:rsid w:val="003710C8"/>
    <w:rsid w:val="00371561"/>
    <w:rsid w:val="003750BE"/>
    <w:rsid w:val="0038686C"/>
    <w:rsid w:val="00387B9D"/>
    <w:rsid w:val="0039364F"/>
    <w:rsid w:val="00396686"/>
    <w:rsid w:val="00396A79"/>
    <w:rsid w:val="0039778E"/>
    <w:rsid w:val="003A0350"/>
    <w:rsid w:val="003A441D"/>
    <w:rsid w:val="003B00CE"/>
    <w:rsid w:val="003B4941"/>
    <w:rsid w:val="003C332A"/>
    <w:rsid w:val="003C5714"/>
    <w:rsid w:val="003C6B9F"/>
    <w:rsid w:val="003C6E2A"/>
    <w:rsid w:val="003D0299"/>
    <w:rsid w:val="003D628A"/>
    <w:rsid w:val="003E1713"/>
    <w:rsid w:val="003E28FF"/>
    <w:rsid w:val="003E6D80"/>
    <w:rsid w:val="003F05FA"/>
    <w:rsid w:val="003F244A"/>
    <w:rsid w:val="003F296D"/>
    <w:rsid w:val="003F30B8"/>
    <w:rsid w:val="003F4C45"/>
    <w:rsid w:val="003F5F7B"/>
    <w:rsid w:val="003F7D64"/>
    <w:rsid w:val="0040139F"/>
    <w:rsid w:val="004037C1"/>
    <w:rsid w:val="00404531"/>
    <w:rsid w:val="00414300"/>
    <w:rsid w:val="00425C67"/>
    <w:rsid w:val="00427E7A"/>
    <w:rsid w:val="00431170"/>
    <w:rsid w:val="00436307"/>
    <w:rsid w:val="00436C49"/>
    <w:rsid w:val="00443B2F"/>
    <w:rsid w:val="00445366"/>
    <w:rsid w:val="00447F5B"/>
    <w:rsid w:val="00455B82"/>
    <w:rsid w:val="00461DB0"/>
    <w:rsid w:val="00463926"/>
    <w:rsid w:val="004646E0"/>
    <w:rsid w:val="00464C9A"/>
    <w:rsid w:val="00465806"/>
    <w:rsid w:val="00470614"/>
    <w:rsid w:val="00474F3D"/>
    <w:rsid w:val="00477E3A"/>
    <w:rsid w:val="00482C76"/>
    <w:rsid w:val="00483E5F"/>
    <w:rsid w:val="00485FF9"/>
    <w:rsid w:val="004907F0"/>
    <w:rsid w:val="0049140B"/>
    <w:rsid w:val="00491F7D"/>
    <w:rsid w:val="004923A5"/>
    <w:rsid w:val="0049472B"/>
    <w:rsid w:val="00496BFB"/>
    <w:rsid w:val="004A15C7"/>
    <w:rsid w:val="004B013B"/>
    <w:rsid w:val="004B112B"/>
    <w:rsid w:val="004C01E4"/>
    <w:rsid w:val="004C086C"/>
    <w:rsid w:val="004C1F56"/>
    <w:rsid w:val="004C27BC"/>
    <w:rsid w:val="004D15F3"/>
    <w:rsid w:val="004D3729"/>
    <w:rsid w:val="004D5311"/>
    <w:rsid w:val="004D5DCC"/>
    <w:rsid w:val="004F10AF"/>
    <w:rsid w:val="004F11A4"/>
    <w:rsid w:val="004F2389"/>
    <w:rsid w:val="004F304D"/>
    <w:rsid w:val="004F61BE"/>
    <w:rsid w:val="004F66B1"/>
    <w:rsid w:val="004F6E76"/>
    <w:rsid w:val="00505CCC"/>
    <w:rsid w:val="00511585"/>
    <w:rsid w:val="00511C07"/>
    <w:rsid w:val="00512B01"/>
    <w:rsid w:val="00513C0E"/>
    <w:rsid w:val="005173A6"/>
    <w:rsid w:val="00520765"/>
    <w:rsid w:val="00520BAA"/>
    <w:rsid w:val="00525208"/>
    <w:rsid w:val="005257A5"/>
    <w:rsid w:val="005264C0"/>
    <w:rsid w:val="00526A8A"/>
    <w:rsid w:val="0053109D"/>
    <w:rsid w:val="00531DF2"/>
    <w:rsid w:val="00535BB8"/>
    <w:rsid w:val="005442EE"/>
    <w:rsid w:val="00547353"/>
    <w:rsid w:val="005474E7"/>
    <w:rsid w:val="005512A3"/>
    <w:rsid w:val="00552190"/>
    <w:rsid w:val="005578CE"/>
    <w:rsid w:val="005616EF"/>
    <w:rsid w:val="00562781"/>
    <w:rsid w:val="00563779"/>
    <w:rsid w:val="00563E83"/>
    <w:rsid w:val="00564FD1"/>
    <w:rsid w:val="0057271C"/>
    <w:rsid w:val="00572845"/>
    <w:rsid w:val="00573B56"/>
    <w:rsid w:val="00573C0A"/>
    <w:rsid w:val="00576D7C"/>
    <w:rsid w:val="0057759C"/>
    <w:rsid w:val="005867BC"/>
    <w:rsid w:val="00592772"/>
    <w:rsid w:val="0059574A"/>
    <w:rsid w:val="00596F59"/>
    <w:rsid w:val="005A1B9B"/>
    <w:rsid w:val="005A6751"/>
    <w:rsid w:val="005B050D"/>
    <w:rsid w:val="005B092E"/>
    <w:rsid w:val="005B152C"/>
    <w:rsid w:val="005B1EE0"/>
    <w:rsid w:val="005B2B24"/>
    <w:rsid w:val="005B4425"/>
    <w:rsid w:val="005B4B94"/>
    <w:rsid w:val="005C14B6"/>
    <w:rsid w:val="005C351C"/>
    <w:rsid w:val="005C3EE8"/>
    <w:rsid w:val="005D145C"/>
    <w:rsid w:val="005D34F9"/>
    <w:rsid w:val="005D3D21"/>
    <w:rsid w:val="005D4190"/>
    <w:rsid w:val="005D67A3"/>
    <w:rsid w:val="005E2988"/>
    <w:rsid w:val="005E2A43"/>
    <w:rsid w:val="005E3085"/>
    <w:rsid w:val="005E438A"/>
    <w:rsid w:val="005F51E1"/>
    <w:rsid w:val="0060082B"/>
    <w:rsid w:val="00603401"/>
    <w:rsid w:val="00605352"/>
    <w:rsid w:val="00605693"/>
    <w:rsid w:val="00611C80"/>
    <w:rsid w:val="006143EF"/>
    <w:rsid w:val="00620692"/>
    <w:rsid w:val="006242CA"/>
    <w:rsid w:val="0062557D"/>
    <w:rsid w:val="00627507"/>
    <w:rsid w:val="00633717"/>
    <w:rsid w:val="00633E63"/>
    <w:rsid w:val="006344E1"/>
    <w:rsid w:val="0064245C"/>
    <w:rsid w:val="006545C4"/>
    <w:rsid w:val="00655416"/>
    <w:rsid w:val="00661971"/>
    <w:rsid w:val="00661CE8"/>
    <w:rsid w:val="006623D9"/>
    <w:rsid w:val="006635B7"/>
    <w:rsid w:val="0066550C"/>
    <w:rsid w:val="00667DFE"/>
    <w:rsid w:val="006702E2"/>
    <w:rsid w:val="00671426"/>
    <w:rsid w:val="006716F2"/>
    <w:rsid w:val="00672115"/>
    <w:rsid w:val="00682BF2"/>
    <w:rsid w:val="006859CE"/>
    <w:rsid w:val="00691270"/>
    <w:rsid w:val="00694BA8"/>
    <w:rsid w:val="006A037C"/>
    <w:rsid w:val="006A36F4"/>
    <w:rsid w:val="006A406F"/>
    <w:rsid w:val="006A5D3A"/>
    <w:rsid w:val="006B5F3E"/>
    <w:rsid w:val="006C23D4"/>
    <w:rsid w:val="006C7BB0"/>
    <w:rsid w:val="006D3237"/>
    <w:rsid w:val="006D48E6"/>
    <w:rsid w:val="006D6BBF"/>
    <w:rsid w:val="006E2E37"/>
    <w:rsid w:val="006E3CF1"/>
    <w:rsid w:val="006E7E80"/>
    <w:rsid w:val="006F1DF9"/>
    <w:rsid w:val="006F24DB"/>
    <w:rsid w:val="006F48CA"/>
    <w:rsid w:val="006F4F4F"/>
    <w:rsid w:val="006F5FC1"/>
    <w:rsid w:val="006F64DD"/>
    <w:rsid w:val="007041FD"/>
    <w:rsid w:val="00715127"/>
    <w:rsid w:val="00715E8E"/>
    <w:rsid w:val="00716068"/>
    <w:rsid w:val="007161C4"/>
    <w:rsid w:val="007167BF"/>
    <w:rsid w:val="007168F1"/>
    <w:rsid w:val="0072099F"/>
    <w:rsid w:val="00723580"/>
    <w:rsid w:val="00723755"/>
    <w:rsid w:val="00724997"/>
    <w:rsid w:val="0073136C"/>
    <w:rsid w:val="00731F0F"/>
    <w:rsid w:val="00733250"/>
    <w:rsid w:val="00741404"/>
    <w:rsid w:val="00742E1E"/>
    <w:rsid w:val="007449E5"/>
    <w:rsid w:val="00746C5A"/>
    <w:rsid w:val="00747FF0"/>
    <w:rsid w:val="00751810"/>
    <w:rsid w:val="00763AE4"/>
    <w:rsid w:val="00764C27"/>
    <w:rsid w:val="00764D4E"/>
    <w:rsid w:val="00765A1F"/>
    <w:rsid w:val="00775B6D"/>
    <w:rsid w:val="00776D68"/>
    <w:rsid w:val="00780707"/>
    <w:rsid w:val="00783D95"/>
    <w:rsid w:val="007850EE"/>
    <w:rsid w:val="00785B95"/>
    <w:rsid w:val="00790B66"/>
    <w:rsid w:val="00790E96"/>
    <w:rsid w:val="00793366"/>
    <w:rsid w:val="007A716F"/>
    <w:rsid w:val="007B270A"/>
    <w:rsid w:val="007C0695"/>
    <w:rsid w:val="007C419A"/>
    <w:rsid w:val="007C4CC8"/>
    <w:rsid w:val="007C5426"/>
    <w:rsid w:val="007C5798"/>
    <w:rsid w:val="007C59DD"/>
    <w:rsid w:val="007D0733"/>
    <w:rsid w:val="007D4832"/>
    <w:rsid w:val="007E21B2"/>
    <w:rsid w:val="007E2C4E"/>
    <w:rsid w:val="007F1905"/>
    <w:rsid w:val="007F60A0"/>
    <w:rsid w:val="0080048F"/>
    <w:rsid w:val="00801300"/>
    <w:rsid w:val="008024C5"/>
    <w:rsid w:val="00802C64"/>
    <w:rsid w:val="00805E52"/>
    <w:rsid w:val="008061D0"/>
    <w:rsid w:val="00810B38"/>
    <w:rsid w:val="008204C7"/>
    <w:rsid w:val="00820992"/>
    <w:rsid w:val="00823602"/>
    <w:rsid w:val="008255F5"/>
    <w:rsid w:val="0083014E"/>
    <w:rsid w:val="0083214A"/>
    <w:rsid w:val="00834220"/>
    <w:rsid w:val="00836909"/>
    <w:rsid w:val="00841E1A"/>
    <w:rsid w:val="00843462"/>
    <w:rsid w:val="00845723"/>
    <w:rsid w:val="008463E6"/>
    <w:rsid w:val="00846752"/>
    <w:rsid w:val="00851D64"/>
    <w:rsid w:val="00851EF9"/>
    <w:rsid w:val="008577FD"/>
    <w:rsid w:val="00860B03"/>
    <w:rsid w:val="0086497A"/>
    <w:rsid w:val="008713A1"/>
    <w:rsid w:val="008754AB"/>
    <w:rsid w:val="00876B76"/>
    <w:rsid w:val="00877A60"/>
    <w:rsid w:val="0088060C"/>
    <w:rsid w:val="00880B07"/>
    <w:rsid w:val="00891EF5"/>
    <w:rsid w:val="00893571"/>
    <w:rsid w:val="00893576"/>
    <w:rsid w:val="00893E73"/>
    <w:rsid w:val="008A285C"/>
    <w:rsid w:val="008A43C4"/>
    <w:rsid w:val="008B02DC"/>
    <w:rsid w:val="008B57CE"/>
    <w:rsid w:val="008B659F"/>
    <w:rsid w:val="008B7153"/>
    <w:rsid w:val="008C089C"/>
    <w:rsid w:val="008C1FE5"/>
    <w:rsid w:val="008C26DE"/>
    <w:rsid w:val="008D2225"/>
    <w:rsid w:val="008D22EA"/>
    <w:rsid w:val="008D3C08"/>
    <w:rsid w:val="008D3D90"/>
    <w:rsid w:val="008D4752"/>
    <w:rsid w:val="008D552A"/>
    <w:rsid w:val="008E271C"/>
    <w:rsid w:val="008E418E"/>
    <w:rsid w:val="008E5BC6"/>
    <w:rsid w:val="008E6A25"/>
    <w:rsid w:val="008E6F59"/>
    <w:rsid w:val="008F1157"/>
    <w:rsid w:val="008F274C"/>
    <w:rsid w:val="008F5193"/>
    <w:rsid w:val="0090064A"/>
    <w:rsid w:val="00900E82"/>
    <w:rsid w:val="009013A7"/>
    <w:rsid w:val="009017FB"/>
    <w:rsid w:val="009017FC"/>
    <w:rsid w:val="00903B43"/>
    <w:rsid w:val="0090506B"/>
    <w:rsid w:val="009050C9"/>
    <w:rsid w:val="009066FC"/>
    <w:rsid w:val="00911C73"/>
    <w:rsid w:val="009140A3"/>
    <w:rsid w:val="009144A2"/>
    <w:rsid w:val="0091510C"/>
    <w:rsid w:val="00917F69"/>
    <w:rsid w:val="009259AC"/>
    <w:rsid w:val="009262D8"/>
    <w:rsid w:val="00926F38"/>
    <w:rsid w:val="00931946"/>
    <w:rsid w:val="00934301"/>
    <w:rsid w:val="00936CD1"/>
    <w:rsid w:val="00941747"/>
    <w:rsid w:val="00941EFB"/>
    <w:rsid w:val="009421E7"/>
    <w:rsid w:val="00947AFB"/>
    <w:rsid w:val="00951D7D"/>
    <w:rsid w:val="00952C12"/>
    <w:rsid w:val="00952E75"/>
    <w:rsid w:val="009555D5"/>
    <w:rsid w:val="009624F5"/>
    <w:rsid w:val="009630C7"/>
    <w:rsid w:val="00972B55"/>
    <w:rsid w:val="00972D3B"/>
    <w:rsid w:val="009743B7"/>
    <w:rsid w:val="0098009D"/>
    <w:rsid w:val="0098228B"/>
    <w:rsid w:val="009828DA"/>
    <w:rsid w:val="00985BAB"/>
    <w:rsid w:val="00997F03"/>
    <w:rsid w:val="009A0347"/>
    <w:rsid w:val="009A46DF"/>
    <w:rsid w:val="009B1B5F"/>
    <w:rsid w:val="009B1D60"/>
    <w:rsid w:val="009B2EC2"/>
    <w:rsid w:val="009B3817"/>
    <w:rsid w:val="009B6673"/>
    <w:rsid w:val="009C191B"/>
    <w:rsid w:val="009C2BD6"/>
    <w:rsid w:val="009D19DE"/>
    <w:rsid w:val="009D6056"/>
    <w:rsid w:val="009E1F32"/>
    <w:rsid w:val="009E3A09"/>
    <w:rsid w:val="009E5829"/>
    <w:rsid w:val="009E776C"/>
    <w:rsid w:val="00A05F54"/>
    <w:rsid w:val="00A06341"/>
    <w:rsid w:val="00A1726E"/>
    <w:rsid w:val="00A204CF"/>
    <w:rsid w:val="00A22199"/>
    <w:rsid w:val="00A2269A"/>
    <w:rsid w:val="00A23D49"/>
    <w:rsid w:val="00A27004"/>
    <w:rsid w:val="00A30C29"/>
    <w:rsid w:val="00A34DD6"/>
    <w:rsid w:val="00A36819"/>
    <w:rsid w:val="00A36989"/>
    <w:rsid w:val="00A43628"/>
    <w:rsid w:val="00A44D39"/>
    <w:rsid w:val="00A4615D"/>
    <w:rsid w:val="00A51197"/>
    <w:rsid w:val="00A54192"/>
    <w:rsid w:val="00A6035E"/>
    <w:rsid w:val="00A6144C"/>
    <w:rsid w:val="00A66617"/>
    <w:rsid w:val="00A671F8"/>
    <w:rsid w:val="00A673A4"/>
    <w:rsid w:val="00A724AE"/>
    <w:rsid w:val="00A73329"/>
    <w:rsid w:val="00A73C33"/>
    <w:rsid w:val="00A76181"/>
    <w:rsid w:val="00A82359"/>
    <w:rsid w:val="00A865D2"/>
    <w:rsid w:val="00A86CC9"/>
    <w:rsid w:val="00A90A3B"/>
    <w:rsid w:val="00A948C3"/>
    <w:rsid w:val="00A94C20"/>
    <w:rsid w:val="00A96ED6"/>
    <w:rsid w:val="00AA227F"/>
    <w:rsid w:val="00AA3713"/>
    <w:rsid w:val="00AA3BC7"/>
    <w:rsid w:val="00AA754A"/>
    <w:rsid w:val="00AB099E"/>
    <w:rsid w:val="00AB4328"/>
    <w:rsid w:val="00AB5FA0"/>
    <w:rsid w:val="00AB7D82"/>
    <w:rsid w:val="00AC206D"/>
    <w:rsid w:val="00AC41E8"/>
    <w:rsid w:val="00AC61D4"/>
    <w:rsid w:val="00AD1B8F"/>
    <w:rsid w:val="00AE0A2E"/>
    <w:rsid w:val="00AE259C"/>
    <w:rsid w:val="00AE354C"/>
    <w:rsid w:val="00AF4B07"/>
    <w:rsid w:val="00AF6186"/>
    <w:rsid w:val="00AF7A3A"/>
    <w:rsid w:val="00B13C42"/>
    <w:rsid w:val="00B160DB"/>
    <w:rsid w:val="00B20836"/>
    <w:rsid w:val="00B235BB"/>
    <w:rsid w:val="00B24972"/>
    <w:rsid w:val="00B27A44"/>
    <w:rsid w:val="00B30BBF"/>
    <w:rsid w:val="00B33C03"/>
    <w:rsid w:val="00B44E56"/>
    <w:rsid w:val="00B46543"/>
    <w:rsid w:val="00B47D33"/>
    <w:rsid w:val="00B52BE0"/>
    <w:rsid w:val="00B531DE"/>
    <w:rsid w:val="00B54133"/>
    <w:rsid w:val="00B5488A"/>
    <w:rsid w:val="00B613C0"/>
    <w:rsid w:val="00B637B9"/>
    <w:rsid w:val="00B63815"/>
    <w:rsid w:val="00B6564B"/>
    <w:rsid w:val="00B701ED"/>
    <w:rsid w:val="00B8086C"/>
    <w:rsid w:val="00B861B4"/>
    <w:rsid w:val="00B86DFE"/>
    <w:rsid w:val="00B900C3"/>
    <w:rsid w:val="00B90990"/>
    <w:rsid w:val="00B922FF"/>
    <w:rsid w:val="00B9281E"/>
    <w:rsid w:val="00B93587"/>
    <w:rsid w:val="00B93925"/>
    <w:rsid w:val="00B95187"/>
    <w:rsid w:val="00B97158"/>
    <w:rsid w:val="00BA2D55"/>
    <w:rsid w:val="00BA3304"/>
    <w:rsid w:val="00BA71B1"/>
    <w:rsid w:val="00BB0637"/>
    <w:rsid w:val="00BB345F"/>
    <w:rsid w:val="00BB5883"/>
    <w:rsid w:val="00BB68EA"/>
    <w:rsid w:val="00BB7E0B"/>
    <w:rsid w:val="00BC0578"/>
    <w:rsid w:val="00BC1C27"/>
    <w:rsid w:val="00BC4F8B"/>
    <w:rsid w:val="00BC6BBF"/>
    <w:rsid w:val="00BD1572"/>
    <w:rsid w:val="00BE14E3"/>
    <w:rsid w:val="00BE27AF"/>
    <w:rsid w:val="00BE3774"/>
    <w:rsid w:val="00BE41E5"/>
    <w:rsid w:val="00BF0BBB"/>
    <w:rsid w:val="00BF2474"/>
    <w:rsid w:val="00BF4109"/>
    <w:rsid w:val="00BF4A9D"/>
    <w:rsid w:val="00BF4CC3"/>
    <w:rsid w:val="00C04D35"/>
    <w:rsid w:val="00C054C7"/>
    <w:rsid w:val="00C057B5"/>
    <w:rsid w:val="00C12B22"/>
    <w:rsid w:val="00C14D49"/>
    <w:rsid w:val="00C20199"/>
    <w:rsid w:val="00C22687"/>
    <w:rsid w:val="00C2779E"/>
    <w:rsid w:val="00C30290"/>
    <w:rsid w:val="00C3108F"/>
    <w:rsid w:val="00C32E4D"/>
    <w:rsid w:val="00C333A0"/>
    <w:rsid w:val="00C36A81"/>
    <w:rsid w:val="00C41974"/>
    <w:rsid w:val="00C447AD"/>
    <w:rsid w:val="00C528B5"/>
    <w:rsid w:val="00C53F4A"/>
    <w:rsid w:val="00C54125"/>
    <w:rsid w:val="00C55B54"/>
    <w:rsid w:val="00C565B5"/>
    <w:rsid w:val="00C6098E"/>
    <w:rsid w:val="00C6152C"/>
    <w:rsid w:val="00C621C2"/>
    <w:rsid w:val="00C74810"/>
    <w:rsid w:val="00C90B1B"/>
    <w:rsid w:val="00C90D68"/>
    <w:rsid w:val="00C92246"/>
    <w:rsid w:val="00C92AD4"/>
    <w:rsid w:val="00C939FE"/>
    <w:rsid w:val="00CA1D44"/>
    <w:rsid w:val="00CA2F5D"/>
    <w:rsid w:val="00CA4BDA"/>
    <w:rsid w:val="00CB1F66"/>
    <w:rsid w:val="00CB2951"/>
    <w:rsid w:val="00CB5192"/>
    <w:rsid w:val="00CC50A2"/>
    <w:rsid w:val="00CD282B"/>
    <w:rsid w:val="00CD37C4"/>
    <w:rsid w:val="00CD4C35"/>
    <w:rsid w:val="00CD7369"/>
    <w:rsid w:val="00CD76BC"/>
    <w:rsid w:val="00CE0B0E"/>
    <w:rsid w:val="00CE1AE7"/>
    <w:rsid w:val="00CE3831"/>
    <w:rsid w:val="00D00ABB"/>
    <w:rsid w:val="00D02EEC"/>
    <w:rsid w:val="00D032E3"/>
    <w:rsid w:val="00D03551"/>
    <w:rsid w:val="00D047F7"/>
    <w:rsid w:val="00D06A63"/>
    <w:rsid w:val="00D07E0E"/>
    <w:rsid w:val="00D11478"/>
    <w:rsid w:val="00D15ED0"/>
    <w:rsid w:val="00D21B3E"/>
    <w:rsid w:val="00D21FED"/>
    <w:rsid w:val="00D226F1"/>
    <w:rsid w:val="00D23C2E"/>
    <w:rsid w:val="00D24251"/>
    <w:rsid w:val="00D33CD2"/>
    <w:rsid w:val="00D343E2"/>
    <w:rsid w:val="00D361A2"/>
    <w:rsid w:val="00D37466"/>
    <w:rsid w:val="00D44694"/>
    <w:rsid w:val="00D44C2E"/>
    <w:rsid w:val="00D45414"/>
    <w:rsid w:val="00D46521"/>
    <w:rsid w:val="00D5172C"/>
    <w:rsid w:val="00D51F50"/>
    <w:rsid w:val="00D53C0F"/>
    <w:rsid w:val="00D566BD"/>
    <w:rsid w:val="00D57A4D"/>
    <w:rsid w:val="00D60AA7"/>
    <w:rsid w:val="00D60D87"/>
    <w:rsid w:val="00D6435F"/>
    <w:rsid w:val="00D65341"/>
    <w:rsid w:val="00D732BD"/>
    <w:rsid w:val="00D749BD"/>
    <w:rsid w:val="00D75E28"/>
    <w:rsid w:val="00D772C2"/>
    <w:rsid w:val="00D8008E"/>
    <w:rsid w:val="00D82C45"/>
    <w:rsid w:val="00D835EA"/>
    <w:rsid w:val="00D908A8"/>
    <w:rsid w:val="00D948DC"/>
    <w:rsid w:val="00D977B6"/>
    <w:rsid w:val="00DA4A31"/>
    <w:rsid w:val="00DA61F2"/>
    <w:rsid w:val="00DA7B04"/>
    <w:rsid w:val="00DB36C2"/>
    <w:rsid w:val="00DB7196"/>
    <w:rsid w:val="00DB7B5B"/>
    <w:rsid w:val="00DC169B"/>
    <w:rsid w:val="00DC2AB9"/>
    <w:rsid w:val="00DC3CA6"/>
    <w:rsid w:val="00DC63F0"/>
    <w:rsid w:val="00DC7832"/>
    <w:rsid w:val="00DD6EE5"/>
    <w:rsid w:val="00DD7837"/>
    <w:rsid w:val="00DE1B8E"/>
    <w:rsid w:val="00DE386C"/>
    <w:rsid w:val="00DE4D35"/>
    <w:rsid w:val="00DE5EBA"/>
    <w:rsid w:val="00DF0549"/>
    <w:rsid w:val="00DF098B"/>
    <w:rsid w:val="00DF11C4"/>
    <w:rsid w:val="00DF16B1"/>
    <w:rsid w:val="00DF210C"/>
    <w:rsid w:val="00DF4B6A"/>
    <w:rsid w:val="00DF4EC4"/>
    <w:rsid w:val="00DF53BC"/>
    <w:rsid w:val="00E02C09"/>
    <w:rsid w:val="00E033C7"/>
    <w:rsid w:val="00E04D59"/>
    <w:rsid w:val="00E07A2C"/>
    <w:rsid w:val="00E07DA1"/>
    <w:rsid w:val="00E123CB"/>
    <w:rsid w:val="00E1557C"/>
    <w:rsid w:val="00E16D50"/>
    <w:rsid w:val="00E20E13"/>
    <w:rsid w:val="00E21DBC"/>
    <w:rsid w:val="00E275D7"/>
    <w:rsid w:val="00E27DBE"/>
    <w:rsid w:val="00E32AB1"/>
    <w:rsid w:val="00E340BF"/>
    <w:rsid w:val="00E36C71"/>
    <w:rsid w:val="00E40404"/>
    <w:rsid w:val="00E40506"/>
    <w:rsid w:val="00E459C6"/>
    <w:rsid w:val="00E47589"/>
    <w:rsid w:val="00E501B7"/>
    <w:rsid w:val="00E54957"/>
    <w:rsid w:val="00E617A8"/>
    <w:rsid w:val="00E634F9"/>
    <w:rsid w:val="00E64915"/>
    <w:rsid w:val="00E661D4"/>
    <w:rsid w:val="00E70091"/>
    <w:rsid w:val="00E720F5"/>
    <w:rsid w:val="00E76D47"/>
    <w:rsid w:val="00E820C5"/>
    <w:rsid w:val="00E849F7"/>
    <w:rsid w:val="00E90302"/>
    <w:rsid w:val="00E9597F"/>
    <w:rsid w:val="00E97396"/>
    <w:rsid w:val="00EA185E"/>
    <w:rsid w:val="00EA592A"/>
    <w:rsid w:val="00EB14E4"/>
    <w:rsid w:val="00EB32A5"/>
    <w:rsid w:val="00EB34ED"/>
    <w:rsid w:val="00EB45D3"/>
    <w:rsid w:val="00EB4C20"/>
    <w:rsid w:val="00EB5EED"/>
    <w:rsid w:val="00EB7BE0"/>
    <w:rsid w:val="00EC315E"/>
    <w:rsid w:val="00EC3EF2"/>
    <w:rsid w:val="00EC7470"/>
    <w:rsid w:val="00ED077C"/>
    <w:rsid w:val="00ED1190"/>
    <w:rsid w:val="00ED6544"/>
    <w:rsid w:val="00EE0277"/>
    <w:rsid w:val="00EE1DA9"/>
    <w:rsid w:val="00EE3E00"/>
    <w:rsid w:val="00EE5DD2"/>
    <w:rsid w:val="00EF0C06"/>
    <w:rsid w:val="00EF33C3"/>
    <w:rsid w:val="00EF41F1"/>
    <w:rsid w:val="00EF4F08"/>
    <w:rsid w:val="00EF573B"/>
    <w:rsid w:val="00EF6855"/>
    <w:rsid w:val="00F001FC"/>
    <w:rsid w:val="00F00A79"/>
    <w:rsid w:val="00F00E86"/>
    <w:rsid w:val="00F00F8B"/>
    <w:rsid w:val="00F07C1E"/>
    <w:rsid w:val="00F105DB"/>
    <w:rsid w:val="00F119BD"/>
    <w:rsid w:val="00F132BC"/>
    <w:rsid w:val="00F13D80"/>
    <w:rsid w:val="00F1526E"/>
    <w:rsid w:val="00F16AAA"/>
    <w:rsid w:val="00F21161"/>
    <w:rsid w:val="00F218EF"/>
    <w:rsid w:val="00F21BC7"/>
    <w:rsid w:val="00F249A6"/>
    <w:rsid w:val="00F266A2"/>
    <w:rsid w:val="00F306DA"/>
    <w:rsid w:val="00F32269"/>
    <w:rsid w:val="00F32D49"/>
    <w:rsid w:val="00F35F7A"/>
    <w:rsid w:val="00F4457E"/>
    <w:rsid w:val="00F566B9"/>
    <w:rsid w:val="00F56A6F"/>
    <w:rsid w:val="00F5709C"/>
    <w:rsid w:val="00F64EF1"/>
    <w:rsid w:val="00F82283"/>
    <w:rsid w:val="00F83488"/>
    <w:rsid w:val="00F850E2"/>
    <w:rsid w:val="00F8765F"/>
    <w:rsid w:val="00F87EC5"/>
    <w:rsid w:val="00F90767"/>
    <w:rsid w:val="00F93CB9"/>
    <w:rsid w:val="00FA685B"/>
    <w:rsid w:val="00FB0C01"/>
    <w:rsid w:val="00FC18F2"/>
    <w:rsid w:val="00FC39E5"/>
    <w:rsid w:val="00FC3A78"/>
    <w:rsid w:val="00FC3B86"/>
    <w:rsid w:val="00FC4091"/>
    <w:rsid w:val="00FC5FFE"/>
    <w:rsid w:val="00FC6275"/>
    <w:rsid w:val="00FD1005"/>
    <w:rsid w:val="00FD3180"/>
    <w:rsid w:val="00FD6C75"/>
    <w:rsid w:val="00FE1982"/>
    <w:rsid w:val="00FE679A"/>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155E5"/>
    <w:pPr>
      <w:jc w:val="both"/>
    </w:pPr>
    <w:rPr>
      <w:rFonts w:eastAsiaTheme="minorEastAsia"/>
      <w:sz w:val="24"/>
    </w:rPr>
  </w:style>
  <w:style w:type="paragraph" w:styleId="Heading1">
    <w:name w:val="heading 1"/>
    <w:basedOn w:val="Normal"/>
    <w:next w:val="Normal"/>
    <w:link w:val="Heading1Char"/>
    <w:uiPriority w:val="99"/>
    <w:semiHidden/>
    <w:rsid w:val="000155E5"/>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155E5"/>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155E5"/>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155E5"/>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0155E5"/>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155E5"/>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0155E5"/>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0155E5"/>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0155E5"/>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5E5"/>
    <w:rPr>
      <w:rFonts w:ascii="Tahoma" w:hAnsi="Tahoma" w:cs="Tahoma"/>
      <w:sz w:val="16"/>
      <w:szCs w:val="16"/>
    </w:rPr>
  </w:style>
  <w:style w:type="character" w:customStyle="1" w:styleId="BalloonTextChar">
    <w:name w:val="Balloon Text Char"/>
    <w:basedOn w:val="DefaultParagraphFont"/>
    <w:link w:val="BalloonText"/>
    <w:uiPriority w:val="99"/>
    <w:semiHidden/>
    <w:rsid w:val="000155E5"/>
    <w:rPr>
      <w:rFonts w:ascii="Tahoma" w:eastAsiaTheme="minorEastAsia" w:hAnsi="Tahoma" w:cs="Tahoma"/>
      <w:sz w:val="16"/>
      <w:szCs w:val="16"/>
    </w:rPr>
  </w:style>
  <w:style w:type="character" w:styleId="BookTitle">
    <w:name w:val="Book Title"/>
    <w:uiPriority w:val="99"/>
    <w:semiHidden/>
    <w:qFormat/>
    <w:rsid w:val="000155E5"/>
    <w:rPr>
      <w:i/>
      <w:iCs/>
      <w:smallCaps/>
      <w:spacing w:val="5"/>
    </w:rPr>
  </w:style>
  <w:style w:type="paragraph" w:customStyle="1" w:styleId="ECHRHeader">
    <w:name w:val="ECHR_Header"/>
    <w:aliases w:val="Ju_Header"/>
    <w:basedOn w:val="Header"/>
    <w:uiPriority w:val="4"/>
    <w:qFormat/>
    <w:rsid w:val="000155E5"/>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0155E5"/>
    <w:pPr>
      <w:jc w:val="left"/>
    </w:pPr>
    <w:rPr>
      <w:sz w:val="8"/>
    </w:rPr>
  </w:style>
  <w:style w:type="character" w:styleId="Strong">
    <w:name w:val="Strong"/>
    <w:uiPriority w:val="99"/>
    <w:semiHidden/>
    <w:qFormat/>
    <w:rsid w:val="000155E5"/>
    <w:rPr>
      <w:b/>
      <w:bCs/>
    </w:rPr>
  </w:style>
  <w:style w:type="paragraph" w:styleId="NoSpacing">
    <w:name w:val="No Spacing"/>
    <w:basedOn w:val="Normal"/>
    <w:link w:val="NoSpacingChar"/>
    <w:semiHidden/>
    <w:qFormat/>
    <w:rsid w:val="000155E5"/>
    <w:rPr>
      <w:sz w:val="22"/>
    </w:rPr>
  </w:style>
  <w:style w:type="character" w:customStyle="1" w:styleId="NoSpacingChar">
    <w:name w:val="No Spacing Char"/>
    <w:basedOn w:val="DefaultParagraphFont"/>
    <w:link w:val="NoSpacing"/>
    <w:semiHidden/>
    <w:rsid w:val="000155E5"/>
    <w:rPr>
      <w:rFonts w:eastAsiaTheme="minorEastAsia"/>
    </w:rPr>
  </w:style>
  <w:style w:type="paragraph" w:customStyle="1" w:styleId="ECHRFooterLine">
    <w:name w:val="ECHR_Footer_Line"/>
    <w:aliases w:val="Footer_Line"/>
    <w:basedOn w:val="Normal"/>
    <w:next w:val="ECHRFooter"/>
    <w:uiPriority w:val="57"/>
    <w:semiHidden/>
    <w:rsid w:val="000155E5"/>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0155E5"/>
  </w:style>
  <w:style w:type="paragraph" w:customStyle="1" w:styleId="DecList">
    <w:name w:val="Dec_List"/>
    <w:basedOn w:val="Normal"/>
    <w:uiPriority w:val="9"/>
    <w:semiHidden/>
    <w:qFormat/>
    <w:rsid w:val="000155E5"/>
    <w:pPr>
      <w:spacing w:before="240"/>
      <w:ind w:left="284"/>
    </w:pPr>
  </w:style>
  <w:style w:type="paragraph" w:customStyle="1" w:styleId="JuParaSub">
    <w:name w:val="Ju_Para_Sub"/>
    <w:basedOn w:val="ECHRPara"/>
    <w:uiPriority w:val="13"/>
    <w:qFormat/>
    <w:rsid w:val="000155E5"/>
    <w:pPr>
      <w:ind w:left="284"/>
    </w:pPr>
  </w:style>
  <w:style w:type="paragraph" w:customStyle="1" w:styleId="ECHRTitleCentre3">
    <w:name w:val="ECHR_Title_Centre_3"/>
    <w:aliases w:val="Ju_H_Article"/>
    <w:basedOn w:val="Normal"/>
    <w:next w:val="ECHRParaQuote"/>
    <w:uiPriority w:val="27"/>
    <w:qFormat/>
    <w:rsid w:val="000155E5"/>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0155E5"/>
    <w:pPr>
      <w:keepNext/>
      <w:keepLines/>
      <w:spacing w:after="240"/>
      <w:jc w:val="center"/>
      <w:outlineLvl w:val="0"/>
    </w:pPr>
    <w:rPr>
      <w:rFonts w:asciiTheme="majorHAnsi" w:hAnsiTheme="majorHAnsi"/>
      <w:sz w:val="28"/>
    </w:rPr>
  </w:style>
  <w:style w:type="paragraph" w:customStyle="1" w:styleId="DummyStyle">
    <w:name w:val="Dummy_Style"/>
    <w:basedOn w:val="Normal"/>
    <w:semiHidden/>
    <w:qFormat/>
    <w:rsid w:val="000155E5"/>
    <w:rPr>
      <w:color w:val="00B050"/>
    </w:rPr>
  </w:style>
  <w:style w:type="paragraph" w:customStyle="1" w:styleId="JuAppQuestion">
    <w:name w:val="Ju_App_Question"/>
    <w:basedOn w:val="Normal"/>
    <w:uiPriority w:val="5"/>
    <w:semiHidden/>
    <w:qFormat/>
    <w:rsid w:val="000155E5"/>
    <w:pPr>
      <w:numPr>
        <w:numId w:val="18"/>
      </w:numPr>
      <w:jc w:val="left"/>
    </w:pPr>
    <w:rPr>
      <w:b/>
    </w:rPr>
  </w:style>
  <w:style w:type="paragraph" w:customStyle="1" w:styleId="JuCase">
    <w:name w:val="Ju_Case"/>
    <w:basedOn w:val="Normal"/>
    <w:next w:val="ECHRPara"/>
    <w:uiPriority w:val="10"/>
    <w:rsid w:val="000155E5"/>
    <w:pPr>
      <w:ind w:firstLine="284"/>
    </w:pPr>
    <w:rPr>
      <w:b/>
    </w:rPr>
  </w:style>
  <w:style w:type="paragraph" w:customStyle="1" w:styleId="ECHRTitleCentre2">
    <w:name w:val="ECHR_Title_Centre_2"/>
    <w:aliases w:val="Dec_H_Case"/>
    <w:basedOn w:val="Normal"/>
    <w:next w:val="ECHRPara"/>
    <w:uiPriority w:val="8"/>
    <w:qFormat/>
    <w:rsid w:val="000155E5"/>
    <w:pPr>
      <w:spacing w:after="240"/>
      <w:jc w:val="center"/>
      <w:outlineLvl w:val="0"/>
    </w:pPr>
    <w:rPr>
      <w:rFonts w:asciiTheme="majorHAnsi" w:hAnsiTheme="majorHAnsi"/>
    </w:rPr>
  </w:style>
  <w:style w:type="paragraph" w:customStyle="1" w:styleId="JuCourt">
    <w:name w:val="Ju_Court"/>
    <w:basedOn w:val="Normal"/>
    <w:next w:val="Normal"/>
    <w:uiPriority w:val="16"/>
    <w:qFormat/>
    <w:rsid w:val="000155E5"/>
    <w:pPr>
      <w:tabs>
        <w:tab w:val="left" w:pos="907"/>
        <w:tab w:val="left" w:pos="1701"/>
        <w:tab w:val="right" w:pos="7371"/>
      </w:tabs>
      <w:spacing w:before="240"/>
      <w:ind w:left="397" w:hanging="397"/>
      <w:jc w:val="left"/>
    </w:pPr>
    <w:rPr>
      <w:lang w:bidi="en-US"/>
    </w:rPr>
  </w:style>
  <w:style w:type="paragraph" w:styleId="Title">
    <w:name w:val="Title"/>
    <w:basedOn w:val="Normal"/>
    <w:next w:val="Normal"/>
    <w:link w:val="TitleChar"/>
    <w:uiPriority w:val="99"/>
    <w:semiHidden/>
    <w:qFormat/>
    <w:rsid w:val="000155E5"/>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0155E5"/>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0155E5"/>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0155E5"/>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0155E5"/>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0155E5"/>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0155E5"/>
    <w:pPr>
      <w:keepNext/>
      <w:keepLines/>
      <w:spacing w:before="240" w:after="120"/>
      <w:ind w:left="1236"/>
    </w:pPr>
    <w:rPr>
      <w:sz w:val="20"/>
    </w:rPr>
  </w:style>
  <w:style w:type="paragraph" w:customStyle="1" w:styleId="JuHeaderLandscape">
    <w:name w:val="Ju_Header_Landscape"/>
    <w:basedOn w:val="ECHRHeader"/>
    <w:uiPriority w:val="4"/>
    <w:qFormat/>
    <w:rsid w:val="000155E5"/>
    <w:pPr>
      <w:tabs>
        <w:tab w:val="clear" w:pos="3686"/>
        <w:tab w:val="clear" w:pos="7371"/>
        <w:tab w:val="center" w:pos="6146"/>
        <w:tab w:val="right" w:pos="12293"/>
      </w:tabs>
    </w:pPr>
  </w:style>
  <w:style w:type="paragraph" w:customStyle="1" w:styleId="JuInitialled">
    <w:name w:val="Ju_Initialled"/>
    <w:basedOn w:val="Normal"/>
    <w:uiPriority w:val="31"/>
    <w:qFormat/>
    <w:rsid w:val="000155E5"/>
    <w:pPr>
      <w:tabs>
        <w:tab w:val="center" w:pos="6407"/>
      </w:tabs>
      <w:spacing w:before="720"/>
      <w:jc w:val="right"/>
    </w:pPr>
  </w:style>
  <w:style w:type="character" w:customStyle="1" w:styleId="JuITMark">
    <w:name w:val="Ju_ITMark"/>
    <w:basedOn w:val="DefaultParagraphFont"/>
    <w:uiPriority w:val="38"/>
    <w:qFormat/>
    <w:rsid w:val="000155E5"/>
    <w:rPr>
      <w:vanish w:val="0"/>
      <w:color w:val="auto"/>
      <w:sz w:val="14"/>
      <w:bdr w:val="none" w:sz="0" w:space="0" w:color="auto"/>
      <w:shd w:val="clear" w:color="auto" w:fill="BEE5FF" w:themeFill="background1" w:themeFillTint="33"/>
    </w:rPr>
  </w:style>
  <w:style w:type="paragraph" w:styleId="Header">
    <w:name w:val="header"/>
    <w:basedOn w:val="Normal"/>
    <w:link w:val="HeaderChar"/>
    <w:uiPriority w:val="57"/>
    <w:semiHidden/>
    <w:rsid w:val="000155E5"/>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155E5"/>
    <w:rPr>
      <w:sz w:val="24"/>
    </w:rPr>
  </w:style>
  <w:style w:type="character" w:customStyle="1" w:styleId="Heading1Char">
    <w:name w:val="Heading 1 Char"/>
    <w:basedOn w:val="DefaultParagraphFont"/>
    <w:link w:val="Heading1"/>
    <w:uiPriority w:val="99"/>
    <w:semiHidden/>
    <w:rsid w:val="000155E5"/>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0155E5"/>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0155E5"/>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155E5"/>
    <w:rPr>
      <w:rFonts w:asciiTheme="majorHAnsi" w:eastAsiaTheme="majorEastAsia" w:hAnsiTheme="majorHAnsi" w:cstheme="majorBidi"/>
      <w:b/>
      <w:bCs/>
      <w:color w:val="4D4D4D"/>
      <w:sz w:val="26"/>
      <w:szCs w:val="26"/>
    </w:rPr>
  </w:style>
  <w:style w:type="character" w:customStyle="1" w:styleId="JUNAMES">
    <w:name w:val="JU_NAMES"/>
    <w:uiPriority w:val="17"/>
    <w:qFormat/>
    <w:rsid w:val="000155E5"/>
    <w:rPr>
      <w:caps w:val="0"/>
      <w:smallCaps/>
    </w:rPr>
  </w:style>
  <w:style w:type="paragraph" w:customStyle="1" w:styleId="JuQuotSub">
    <w:name w:val="Ju_Quot_Sub"/>
    <w:basedOn w:val="ECHRParaQuote"/>
    <w:uiPriority w:val="15"/>
    <w:qFormat/>
    <w:rsid w:val="000155E5"/>
    <w:pPr>
      <w:ind w:left="567"/>
    </w:pPr>
  </w:style>
  <w:style w:type="character" w:customStyle="1" w:styleId="Heading3Char">
    <w:name w:val="Heading 3 Char"/>
    <w:basedOn w:val="DefaultParagraphFont"/>
    <w:link w:val="Heading3"/>
    <w:uiPriority w:val="99"/>
    <w:semiHidden/>
    <w:rsid w:val="000155E5"/>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0155E5"/>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0155E5"/>
    <w:rPr>
      <w:rFonts w:asciiTheme="majorHAnsi" w:eastAsiaTheme="majorEastAsia" w:hAnsiTheme="majorHAnsi" w:cstheme="majorBidi"/>
      <w:b/>
      <w:bCs/>
      <w:color w:val="808080"/>
    </w:rPr>
  </w:style>
  <w:style w:type="character" w:styleId="SubtleEmphasis">
    <w:name w:val="Subtle Emphasis"/>
    <w:uiPriority w:val="99"/>
    <w:semiHidden/>
    <w:qFormat/>
    <w:rsid w:val="000155E5"/>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0155E5"/>
    <w:pPr>
      <w:keepNext/>
      <w:keepLines/>
      <w:spacing w:before="720" w:after="240"/>
      <w:outlineLvl w:val="0"/>
    </w:pPr>
    <w:rPr>
      <w:rFonts w:asciiTheme="majorHAnsi" w:hAnsiTheme="majorHAnsi"/>
      <w:sz w:val="28"/>
    </w:rPr>
  </w:style>
  <w:style w:type="character" w:styleId="Emphasis">
    <w:name w:val="Emphasis"/>
    <w:uiPriority w:val="99"/>
    <w:semiHidden/>
    <w:qFormat/>
    <w:rsid w:val="000155E5"/>
    <w:rPr>
      <w:b/>
      <w:bCs/>
      <w:i/>
      <w:iCs/>
      <w:spacing w:val="10"/>
      <w:bdr w:val="none" w:sz="0" w:space="0" w:color="auto"/>
      <w:shd w:val="clear" w:color="auto" w:fill="auto"/>
    </w:rPr>
  </w:style>
  <w:style w:type="paragraph" w:styleId="Footer">
    <w:name w:val="footer"/>
    <w:basedOn w:val="Normal"/>
    <w:link w:val="FooterChar"/>
    <w:uiPriority w:val="57"/>
    <w:semiHidden/>
    <w:rsid w:val="000155E5"/>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155E5"/>
    <w:rPr>
      <w:sz w:val="24"/>
    </w:rPr>
  </w:style>
  <w:style w:type="character" w:styleId="FootnoteReference">
    <w:name w:val="footnote reference"/>
    <w:basedOn w:val="DefaultParagraphFont"/>
    <w:uiPriority w:val="99"/>
    <w:semiHidden/>
    <w:rsid w:val="000155E5"/>
    <w:rPr>
      <w:vertAlign w:val="superscript"/>
    </w:rPr>
  </w:style>
  <w:style w:type="paragraph" w:styleId="FootnoteText">
    <w:name w:val="footnote text"/>
    <w:basedOn w:val="Normal"/>
    <w:link w:val="FootnoteTextChar"/>
    <w:uiPriority w:val="99"/>
    <w:semiHidden/>
    <w:rsid w:val="000155E5"/>
    <w:rPr>
      <w:sz w:val="20"/>
      <w:szCs w:val="20"/>
    </w:rPr>
  </w:style>
  <w:style w:type="character" w:customStyle="1" w:styleId="FootnoteTextChar">
    <w:name w:val="Footnote Text Char"/>
    <w:basedOn w:val="DefaultParagraphFont"/>
    <w:link w:val="FootnoteText"/>
    <w:uiPriority w:val="99"/>
    <w:semiHidden/>
    <w:rsid w:val="000155E5"/>
    <w:rPr>
      <w:rFonts w:eastAsiaTheme="minorEastAsia"/>
      <w:sz w:val="20"/>
      <w:szCs w:val="20"/>
    </w:rPr>
  </w:style>
  <w:style w:type="character" w:customStyle="1" w:styleId="Heading6Char">
    <w:name w:val="Heading 6 Char"/>
    <w:basedOn w:val="DefaultParagraphFont"/>
    <w:link w:val="Heading6"/>
    <w:uiPriority w:val="99"/>
    <w:semiHidden/>
    <w:rsid w:val="000155E5"/>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0155E5"/>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0155E5"/>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0155E5"/>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155E5"/>
    <w:rPr>
      <w:color w:val="0072BC" w:themeColor="hyperlink"/>
      <w:u w:val="single"/>
    </w:rPr>
  </w:style>
  <w:style w:type="character" w:styleId="IntenseEmphasis">
    <w:name w:val="Intense Emphasis"/>
    <w:uiPriority w:val="99"/>
    <w:semiHidden/>
    <w:qFormat/>
    <w:rsid w:val="000155E5"/>
    <w:rPr>
      <w:b/>
      <w:bCs/>
    </w:rPr>
  </w:style>
  <w:style w:type="paragraph" w:styleId="IntenseQuote">
    <w:name w:val="Intense Quote"/>
    <w:basedOn w:val="Normal"/>
    <w:next w:val="Normal"/>
    <w:link w:val="IntenseQuoteChar"/>
    <w:uiPriority w:val="99"/>
    <w:semiHidden/>
    <w:qFormat/>
    <w:rsid w:val="000155E5"/>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0155E5"/>
    <w:rPr>
      <w:rFonts w:eastAsiaTheme="minorEastAsia"/>
      <w:b/>
      <w:bCs/>
      <w:i/>
      <w:iCs/>
      <w:lang w:bidi="en-US"/>
    </w:rPr>
  </w:style>
  <w:style w:type="character" w:styleId="IntenseReference">
    <w:name w:val="Intense Reference"/>
    <w:uiPriority w:val="99"/>
    <w:semiHidden/>
    <w:qFormat/>
    <w:rsid w:val="000155E5"/>
    <w:rPr>
      <w:smallCaps/>
      <w:spacing w:val="5"/>
      <w:u w:val="single"/>
    </w:rPr>
  </w:style>
  <w:style w:type="paragraph" w:styleId="ListParagraph">
    <w:name w:val="List Paragraph"/>
    <w:basedOn w:val="Normal"/>
    <w:uiPriority w:val="99"/>
    <w:semiHidden/>
    <w:qFormat/>
    <w:rsid w:val="000155E5"/>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0155E5"/>
    <w:pPr>
      <w:spacing w:before="200"/>
      <w:ind w:left="360" w:right="360"/>
    </w:pPr>
    <w:rPr>
      <w:i/>
      <w:iCs/>
      <w:sz w:val="22"/>
      <w:lang w:bidi="en-US"/>
    </w:rPr>
  </w:style>
  <w:style w:type="character" w:customStyle="1" w:styleId="QuoteChar">
    <w:name w:val="Quote Char"/>
    <w:basedOn w:val="DefaultParagraphFont"/>
    <w:link w:val="Quote"/>
    <w:uiPriority w:val="99"/>
    <w:semiHidden/>
    <w:rsid w:val="000155E5"/>
    <w:rPr>
      <w:rFonts w:eastAsiaTheme="minorEastAsia"/>
      <w:i/>
      <w:iCs/>
      <w:lang w:bidi="en-US"/>
    </w:rPr>
  </w:style>
  <w:style w:type="character" w:styleId="SubtleReference">
    <w:name w:val="Subtle Reference"/>
    <w:uiPriority w:val="99"/>
    <w:semiHidden/>
    <w:qFormat/>
    <w:rsid w:val="000155E5"/>
    <w:rPr>
      <w:smallCaps/>
    </w:rPr>
  </w:style>
  <w:style w:type="table" w:styleId="TableGrid">
    <w:name w:val="Table Grid"/>
    <w:basedOn w:val="TableNormal"/>
    <w:uiPriority w:val="59"/>
    <w:semiHidden/>
    <w:rsid w:val="000155E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155E5"/>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155E5"/>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155E5"/>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155E5"/>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155E5"/>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0155E5"/>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155E5"/>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0155E5"/>
    <w:pPr>
      <w:spacing w:before="120" w:after="120"/>
      <w:ind w:left="425" w:firstLine="142"/>
    </w:pPr>
    <w:rPr>
      <w:sz w:val="20"/>
    </w:rPr>
  </w:style>
  <w:style w:type="paragraph" w:customStyle="1" w:styleId="ECHRPara">
    <w:name w:val="ECHR_Para"/>
    <w:aliases w:val="Ju_Para"/>
    <w:basedOn w:val="Normal"/>
    <w:link w:val="ECHRParaChar"/>
    <w:uiPriority w:val="12"/>
    <w:qFormat/>
    <w:rsid w:val="000155E5"/>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155E5"/>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0155E5"/>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0155E5"/>
    <w:pPr>
      <w:ind w:left="340" w:hanging="340"/>
    </w:pPr>
  </w:style>
  <w:style w:type="paragraph" w:customStyle="1" w:styleId="JuSigned">
    <w:name w:val="Ju_Signed"/>
    <w:basedOn w:val="Normal"/>
    <w:next w:val="JuParaLast"/>
    <w:uiPriority w:val="32"/>
    <w:qFormat/>
    <w:rsid w:val="000155E5"/>
    <w:pPr>
      <w:tabs>
        <w:tab w:val="center" w:pos="851"/>
        <w:tab w:val="center" w:pos="6407"/>
      </w:tabs>
      <w:spacing w:before="720"/>
      <w:jc w:val="left"/>
    </w:pPr>
  </w:style>
  <w:style w:type="paragraph" w:customStyle="1" w:styleId="JuParaLast">
    <w:name w:val="Ju_Para_Last"/>
    <w:basedOn w:val="Normal"/>
    <w:next w:val="ECHRPara"/>
    <w:uiPriority w:val="30"/>
    <w:qFormat/>
    <w:rsid w:val="000155E5"/>
    <w:pPr>
      <w:keepNext/>
      <w:keepLines/>
      <w:spacing w:before="240"/>
      <w:ind w:firstLine="284"/>
    </w:pPr>
  </w:style>
  <w:style w:type="paragraph" w:customStyle="1" w:styleId="JuTitle">
    <w:name w:val="Ju_Title"/>
    <w:basedOn w:val="Normal"/>
    <w:next w:val="ECHRPara"/>
    <w:uiPriority w:val="3"/>
    <w:semiHidden/>
    <w:qFormat/>
    <w:rsid w:val="000155E5"/>
    <w:pPr>
      <w:spacing w:before="720" w:after="240"/>
      <w:jc w:val="center"/>
      <w:outlineLvl w:val="0"/>
    </w:pPr>
    <w:rPr>
      <w:rFonts w:asciiTheme="majorHAnsi" w:hAnsiTheme="majorHAnsi"/>
      <w:b/>
      <w:cap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0155E5"/>
    <w:pPr>
      <w:ind w:left="346" w:firstLine="0"/>
    </w:pPr>
  </w:style>
  <w:style w:type="paragraph" w:customStyle="1" w:styleId="JuListi">
    <w:name w:val="Ju_List_i"/>
    <w:basedOn w:val="Normal"/>
    <w:next w:val="JuLista"/>
    <w:uiPriority w:val="28"/>
    <w:qFormat/>
    <w:rsid w:val="000155E5"/>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0155E5"/>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0155E5"/>
    <w:pPr>
      <w:ind w:left="833" w:hanging="357"/>
      <w:outlineLvl w:val="3"/>
    </w:pPr>
    <w:rPr>
      <w:b/>
      <w:i w:val="0"/>
      <w:sz w:val="20"/>
    </w:rPr>
  </w:style>
  <w:style w:type="paragraph" w:styleId="Subtitle">
    <w:name w:val="Subtitle"/>
    <w:basedOn w:val="Normal"/>
    <w:next w:val="Normal"/>
    <w:link w:val="SubtitleChar"/>
    <w:uiPriority w:val="99"/>
    <w:semiHidden/>
    <w:qFormat/>
    <w:rsid w:val="000155E5"/>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0155E5"/>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55E5"/>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55E5"/>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155E5"/>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0155E5"/>
    <w:pPr>
      <w:tabs>
        <w:tab w:val="clear" w:pos="357"/>
      </w:tabs>
      <w:outlineLvl w:val="1"/>
    </w:pPr>
    <w:rPr>
      <w:b/>
    </w:rPr>
  </w:style>
  <w:style w:type="paragraph" w:customStyle="1" w:styleId="OpiHi">
    <w:name w:val="Opi_H_i"/>
    <w:basedOn w:val="ECHRHeading4"/>
    <w:uiPriority w:val="44"/>
    <w:qFormat/>
    <w:rsid w:val="000155E5"/>
    <w:pPr>
      <w:ind w:left="1037" w:hanging="357"/>
      <w:outlineLvl w:val="4"/>
    </w:pPr>
    <w:rPr>
      <w:b w:val="0"/>
      <w:i/>
    </w:rPr>
  </w:style>
  <w:style w:type="paragraph" w:customStyle="1" w:styleId="OpiPara">
    <w:name w:val="Opi_Para"/>
    <w:basedOn w:val="ECHRPara"/>
    <w:uiPriority w:val="46"/>
    <w:qFormat/>
    <w:rsid w:val="000155E5"/>
  </w:style>
  <w:style w:type="paragraph" w:customStyle="1" w:styleId="OpiParaSub">
    <w:name w:val="Opi_Para_Sub"/>
    <w:basedOn w:val="JuParaSub"/>
    <w:uiPriority w:val="47"/>
    <w:qFormat/>
    <w:rsid w:val="000155E5"/>
  </w:style>
  <w:style w:type="paragraph" w:customStyle="1" w:styleId="OpiQuot">
    <w:name w:val="Opi_Quot"/>
    <w:basedOn w:val="ECHRParaQuote"/>
    <w:uiPriority w:val="48"/>
    <w:qFormat/>
    <w:rsid w:val="000155E5"/>
  </w:style>
  <w:style w:type="paragraph" w:customStyle="1" w:styleId="OpiQuotSub">
    <w:name w:val="Opi_Quot_Sub"/>
    <w:basedOn w:val="JuQuotSub"/>
    <w:uiPriority w:val="49"/>
    <w:qFormat/>
    <w:rsid w:val="000155E5"/>
  </w:style>
  <w:style w:type="paragraph" w:customStyle="1" w:styleId="OpiTranslation">
    <w:name w:val="Opi_Translation"/>
    <w:basedOn w:val="Normal"/>
    <w:next w:val="OpiPara"/>
    <w:uiPriority w:val="40"/>
    <w:qFormat/>
    <w:rsid w:val="000155E5"/>
    <w:pPr>
      <w:jc w:val="center"/>
      <w:outlineLvl w:val="0"/>
    </w:pPr>
    <w:rPr>
      <w:i/>
    </w:rPr>
  </w:style>
  <w:style w:type="character" w:customStyle="1" w:styleId="ECHRParaChar">
    <w:name w:val="ECHR_Para Char"/>
    <w:aliases w:val="Ju_Para Char"/>
    <w:link w:val="ECHRPara"/>
    <w:uiPriority w:val="12"/>
    <w:rsid w:val="00D23C2E"/>
    <w:rPr>
      <w:rFonts w:eastAsiaTheme="minorEastAsia"/>
      <w:sz w:val="24"/>
    </w:rPr>
  </w:style>
  <w:style w:type="paragraph" w:styleId="Revision">
    <w:name w:val="Revision"/>
    <w:hidden/>
    <w:uiPriority w:val="99"/>
    <w:semiHidden/>
    <w:rsid w:val="008E6F59"/>
    <w:rPr>
      <w:rFonts w:eastAsiaTheme="minorEastAsia"/>
      <w:sz w:val="24"/>
    </w:rPr>
  </w:style>
  <w:style w:type="paragraph" w:customStyle="1" w:styleId="jupara">
    <w:name w:val="jupara"/>
    <w:basedOn w:val="Normal"/>
    <w:rsid w:val="00A2269A"/>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A2269A"/>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71671">
      <w:bodyDiv w:val="1"/>
      <w:marLeft w:val="0"/>
      <w:marRight w:val="0"/>
      <w:marTop w:val="0"/>
      <w:marBottom w:val="0"/>
      <w:divBdr>
        <w:top w:val="none" w:sz="0" w:space="0" w:color="auto"/>
        <w:left w:val="none" w:sz="0" w:space="0" w:color="auto"/>
        <w:bottom w:val="none" w:sz="0" w:space="0" w:color="auto"/>
        <w:right w:val="none" w:sz="0" w:space="0" w:color="auto"/>
      </w:divBdr>
    </w:div>
    <w:div w:id="538325627">
      <w:bodyDiv w:val="1"/>
      <w:marLeft w:val="0"/>
      <w:marRight w:val="0"/>
      <w:marTop w:val="0"/>
      <w:marBottom w:val="0"/>
      <w:divBdr>
        <w:top w:val="none" w:sz="0" w:space="0" w:color="auto"/>
        <w:left w:val="none" w:sz="0" w:space="0" w:color="auto"/>
        <w:bottom w:val="none" w:sz="0" w:space="0" w:color="auto"/>
        <w:right w:val="none" w:sz="0" w:space="0" w:color="auto"/>
      </w:divBdr>
    </w:div>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104151266">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FCE32C-49DE-4790-A90F-BF84CE3A0AFE}"/>
</file>

<file path=customXml/itemProps2.xml><?xml version="1.0" encoding="utf-8"?>
<ds:datastoreItem xmlns:ds="http://schemas.openxmlformats.org/officeDocument/2006/customXml" ds:itemID="{B52DC63C-89D6-4078-8638-9D00EB171A50}"/>
</file>

<file path=customXml/itemProps3.xml><?xml version="1.0" encoding="utf-8"?>
<ds:datastoreItem xmlns:ds="http://schemas.openxmlformats.org/officeDocument/2006/customXml" ds:itemID="{CF109DE4-3A15-41DE-8E6D-DBF32B5B9297}"/>
</file>

<file path=customXml/itemProps4.xml><?xml version="1.0" encoding="utf-8"?>
<ds:datastoreItem xmlns:ds="http://schemas.openxmlformats.org/officeDocument/2006/customXml" ds:itemID="{D08E6E3F-C84E-484B-874A-F7F9FBCD6D13}"/>
</file>

<file path=docProps/app.xml><?xml version="1.0" encoding="utf-8"?>
<Properties xmlns="http://schemas.openxmlformats.org/officeDocument/2006/extended-properties" xmlns:vt="http://schemas.openxmlformats.org/officeDocument/2006/docPropsVTypes">
  <Template>Normal.dotm</Template>
  <TotalTime>2</TotalTime>
  <Pages>1</Pages>
  <Words>5920</Words>
  <Characters>33749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DE2.1a DJ joint examination</vt:lpstr>
    </vt:vector>
  </TitlesOfParts>
  <Manager/>
  <Company/>
  <LinksUpToDate>false</LinksUpToDate>
  <CharactersWithSpaces>39590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2</cp:revision>
  <cp:lastPrinted>2017-02-07T09:58:00Z</cp:lastPrinted>
  <dcterms:created xsi:type="dcterms:W3CDTF">2018-07-11T08:45:00Z</dcterms:created>
  <dcterms:modified xsi:type="dcterms:W3CDTF">2018-07-11T08:45:00Z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