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A862AC" w:rsidR="00014566" w:rsidP="00A862AC" w:rsidRDefault="00014566">
      <w:pPr>
        <w:pStyle w:val="ECHRDecisionBody"/>
        <w:rPr>
          <w:lang w:val="en-GB"/>
        </w:rPr>
      </w:pPr>
      <w:bookmarkStart w:name="_GoBack" w:id="0"/>
      <w:bookmarkEnd w:id="0"/>
    </w:p>
    <w:p w:rsidRPr="00A862AC" w:rsidR="007363C9" w:rsidP="00A862AC" w:rsidRDefault="007363C9">
      <w:pPr>
        <w:pStyle w:val="ECHRDecisionBody"/>
        <w:rPr>
          <w:lang w:val="en-GB"/>
        </w:rPr>
      </w:pPr>
    </w:p>
    <w:p w:rsidRPr="00A862AC" w:rsidR="007363C9" w:rsidP="00A862AC" w:rsidRDefault="007363C9">
      <w:pPr>
        <w:pStyle w:val="ECHRDecisionBody"/>
        <w:rPr>
          <w:lang w:val="en-GB"/>
        </w:rPr>
      </w:pPr>
    </w:p>
    <w:p w:rsidRPr="00A862AC" w:rsidR="00014566" w:rsidP="00A862AC" w:rsidRDefault="009B3837">
      <w:pPr>
        <w:jc w:val="center"/>
        <w:rPr>
          <w:lang w:val="en-GB"/>
        </w:rPr>
      </w:pPr>
      <w:r w:rsidRPr="00A862AC">
        <w:rPr>
          <w:lang w:val="en-GB"/>
        </w:rPr>
        <w:t>FOURTH SECTION</w:t>
      </w:r>
    </w:p>
    <w:p w:rsidRPr="00A862AC" w:rsidR="00014566" w:rsidP="00A862AC" w:rsidRDefault="00014566">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03433B" w:rsidP="00A862AC" w:rsidRDefault="0003433B">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014566" w:rsidP="00A862AC" w:rsidRDefault="00014566">
      <w:pPr>
        <w:jc w:val="center"/>
        <w:rPr>
          <w:b/>
          <w:lang w:val="en-GB"/>
        </w:rPr>
      </w:pPr>
      <w:bookmarkStart w:name="To" w:id="1"/>
      <w:r w:rsidRPr="00A862AC">
        <w:rPr>
          <w:b/>
          <w:lang w:val="en-GB"/>
        </w:rPr>
        <w:t xml:space="preserve">CASE OF </w:t>
      </w:r>
      <w:bookmarkEnd w:id="1"/>
      <w:r w:rsidRPr="00A862AC" w:rsidR="009B3837">
        <w:rPr>
          <w:b/>
          <w:lang w:val="en-GB"/>
        </w:rPr>
        <w:t>BACZÚR v. HUNGARY</w:t>
      </w:r>
    </w:p>
    <w:p w:rsidRPr="00A862AC" w:rsidR="00014566" w:rsidP="00A862AC" w:rsidRDefault="00014566">
      <w:pPr>
        <w:jc w:val="center"/>
        <w:rPr>
          <w:lang w:val="en-GB"/>
        </w:rPr>
      </w:pPr>
    </w:p>
    <w:p w:rsidRPr="00A862AC" w:rsidR="00014566" w:rsidP="00A862AC" w:rsidRDefault="00014566">
      <w:pPr>
        <w:jc w:val="center"/>
        <w:rPr>
          <w:i/>
          <w:lang w:val="en-GB"/>
        </w:rPr>
      </w:pPr>
      <w:r w:rsidRPr="00A862AC">
        <w:rPr>
          <w:i/>
          <w:lang w:val="en-GB"/>
        </w:rPr>
        <w:t>(</w:t>
      </w:r>
      <w:r w:rsidRPr="00A862AC" w:rsidR="009B3837">
        <w:rPr>
          <w:i/>
          <w:lang w:val="en-GB"/>
        </w:rPr>
        <w:t>Application no. 8263/15</w:t>
      </w:r>
      <w:r w:rsidRPr="00A862AC">
        <w:rPr>
          <w:i/>
          <w:lang w:val="en-GB"/>
        </w:rPr>
        <w:t>)</w:t>
      </w:r>
    </w:p>
    <w:p w:rsidRPr="00A862AC" w:rsidR="00014566" w:rsidP="00A862AC" w:rsidRDefault="00014566">
      <w:pPr>
        <w:jc w:val="center"/>
        <w:rPr>
          <w:lang w:val="en-GB"/>
        </w:rPr>
      </w:pPr>
    </w:p>
    <w:p w:rsidRPr="00A862AC" w:rsidR="00014566" w:rsidP="00A862AC" w:rsidRDefault="00014566">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7363C9" w:rsidP="00A862AC" w:rsidRDefault="007363C9">
      <w:pPr>
        <w:jc w:val="center"/>
        <w:rPr>
          <w:lang w:val="en-GB"/>
        </w:rPr>
      </w:pPr>
    </w:p>
    <w:p w:rsidRPr="00A862AC" w:rsidR="00014566" w:rsidP="00A862AC" w:rsidRDefault="007363C9">
      <w:pPr>
        <w:jc w:val="center"/>
        <w:rPr>
          <w:szCs w:val="24"/>
          <w:lang w:val="en-GB"/>
        </w:rPr>
      </w:pPr>
      <w:r w:rsidRPr="00A862AC">
        <w:rPr>
          <w:szCs w:val="24"/>
          <w:lang w:val="en-GB"/>
        </w:rPr>
        <w:t>JUDGMENT</w:t>
      </w:r>
    </w:p>
    <w:p w:rsidRPr="00A862AC" w:rsidR="007363C9" w:rsidP="00A862AC" w:rsidRDefault="007363C9">
      <w:pPr>
        <w:pStyle w:val="JuCase"/>
        <w:ind w:firstLine="0"/>
        <w:jc w:val="center"/>
        <w:rPr>
          <w:b w:val="0"/>
          <w:lang w:val="en-GB"/>
        </w:rPr>
      </w:pPr>
    </w:p>
    <w:p w:rsidRPr="00A862AC" w:rsidR="007363C9" w:rsidP="00A862AC" w:rsidRDefault="007363C9">
      <w:pPr>
        <w:pStyle w:val="JuCase"/>
        <w:ind w:firstLine="0"/>
        <w:jc w:val="center"/>
        <w:rPr>
          <w:b w:val="0"/>
          <w:lang w:val="en-GB"/>
        </w:rPr>
      </w:pPr>
    </w:p>
    <w:p w:rsidRPr="00A862AC" w:rsidR="007363C9" w:rsidP="00A862AC" w:rsidRDefault="007363C9">
      <w:pPr>
        <w:pStyle w:val="JuCase"/>
        <w:ind w:firstLine="0"/>
        <w:jc w:val="center"/>
        <w:rPr>
          <w:b w:val="0"/>
          <w:lang w:val="en-GB"/>
        </w:rPr>
      </w:pPr>
      <w:r w:rsidRPr="00A862AC">
        <w:rPr>
          <w:b w:val="0"/>
          <w:lang w:val="en-GB"/>
        </w:rPr>
        <w:t>STRASBOURG</w:t>
      </w:r>
    </w:p>
    <w:p w:rsidRPr="00A862AC" w:rsidR="007363C9" w:rsidP="00A862AC" w:rsidRDefault="007363C9">
      <w:pPr>
        <w:pStyle w:val="JuCase"/>
        <w:ind w:firstLine="0"/>
        <w:jc w:val="center"/>
        <w:rPr>
          <w:b w:val="0"/>
          <w:lang w:val="en-GB"/>
        </w:rPr>
      </w:pPr>
    </w:p>
    <w:p w:rsidRPr="00A862AC" w:rsidR="007363C9" w:rsidP="00A862AC" w:rsidRDefault="00664E6C">
      <w:pPr>
        <w:pStyle w:val="JuCase"/>
        <w:ind w:firstLine="0"/>
        <w:jc w:val="center"/>
        <w:rPr>
          <w:b w:val="0"/>
          <w:lang w:val="en-GB"/>
        </w:rPr>
      </w:pPr>
      <w:r w:rsidRPr="00A862AC">
        <w:rPr>
          <w:b w:val="0"/>
          <w:lang w:val="en-GB"/>
        </w:rPr>
        <w:t>7 March 2017</w:t>
      </w:r>
    </w:p>
    <w:p w:rsidRPr="00A862AC" w:rsidR="007363C9" w:rsidP="00A862AC" w:rsidRDefault="007363C9">
      <w:pPr>
        <w:pStyle w:val="JuCase"/>
        <w:ind w:firstLine="0"/>
        <w:jc w:val="center"/>
        <w:rPr>
          <w:b w:val="0"/>
          <w:lang w:val="en-GB"/>
        </w:rPr>
      </w:pPr>
    </w:p>
    <w:p w:rsidRPr="00A862AC" w:rsidR="007363C9" w:rsidP="00A862AC" w:rsidRDefault="007363C9">
      <w:pPr>
        <w:pStyle w:val="JuCase"/>
        <w:ind w:firstLine="0"/>
        <w:jc w:val="center"/>
        <w:rPr>
          <w:b w:val="0"/>
          <w:lang w:val="en-GB"/>
        </w:rPr>
      </w:pPr>
    </w:p>
    <w:p w:rsidRPr="00A862AC" w:rsidR="00A862AC" w:rsidP="00A862AC" w:rsidRDefault="00A862AC">
      <w:pPr>
        <w:pStyle w:val="jucase0"/>
        <w:ind w:firstLine="0"/>
        <w:jc w:val="center"/>
        <w:rPr>
          <w:color w:val="FF0000"/>
          <w:sz w:val="28"/>
          <w:szCs w:val="28"/>
          <w:u w:val="single"/>
        </w:rPr>
      </w:pPr>
      <w:r w:rsidRPr="00A862AC">
        <w:rPr>
          <w:color w:val="FF0000"/>
          <w:sz w:val="28"/>
          <w:szCs w:val="28"/>
          <w:u w:val="single"/>
        </w:rPr>
        <w:t>FINAL</w:t>
      </w:r>
    </w:p>
    <w:p w:rsidRPr="00A862AC" w:rsidR="00A862AC" w:rsidP="00A862AC" w:rsidRDefault="00A862AC">
      <w:pPr>
        <w:pStyle w:val="jupara"/>
        <w:tabs>
          <w:tab w:val="left" w:pos="4650"/>
        </w:tabs>
        <w:ind w:firstLine="0"/>
        <w:jc w:val="center"/>
        <w:rPr>
          <w:color w:val="FF0000"/>
          <w:sz w:val="28"/>
          <w:szCs w:val="28"/>
        </w:rPr>
      </w:pPr>
    </w:p>
    <w:p w:rsidRPr="00A862AC" w:rsidR="00A862AC" w:rsidP="00A862AC" w:rsidRDefault="00A862AC">
      <w:pPr>
        <w:pStyle w:val="jupara"/>
        <w:ind w:firstLine="0"/>
        <w:jc w:val="center"/>
        <w:rPr>
          <w:color w:val="FF0000"/>
          <w:sz w:val="28"/>
          <w:szCs w:val="28"/>
        </w:rPr>
      </w:pPr>
      <w:r w:rsidRPr="00A862AC">
        <w:rPr>
          <w:color w:val="FF0000"/>
          <w:sz w:val="28"/>
          <w:szCs w:val="28"/>
        </w:rPr>
        <w:t>07/06/2017</w:t>
      </w:r>
    </w:p>
    <w:p w:rsidRPr="00A862AC" w:rsidR="00A862AC" w:rsidP="00A862AC" w:rsidRDefault="00A862AC">
      <w:pPr>
        <w:pStyle w:val="jupara"/>
        <w:ind w:firstLine="0"/>
        <w:jc w:val="center"/>
      </w:pPr>
    </w:p>
    <w:p w:rsidRPr="00A862AC" w:rsidR="00A862AC" w:rsidP="00A862AC" w:rsidRDefault="00A862AC">
      <w:pPr>
        <w:jc w:val="center"/>
        <w:rPr>
          <w:i/>
          <w:iCs/>
          <w:sz w:val="22"/>
        </w:rPr>
      </w:pPr>
      <w:r w:rsidRPr="00A862AC">
        <w:rPr>
          <w:i/>
          <w:iCs/>
          <w:sz w:val="22"/>
        </w:rPr>
        <w:t>This judgment has become final under Article 44 § 2 of the Convention. It may be subject to editorial revision.</w:t>
      </w:r>
    </w:p>
    <w:p w:rsidRPr="00A862AC" w:rsidR="00393FED" w:rsidP="00A862AC" w:rsidRDefault="00393FED">
      <w:pPr>
        <w:pStyle w:val="ECHRPara"/>
      </w:pPr>
    </w:p>
    <w:p w:rsidRPr="00A862AC" w:rsidR="00681BD1" w:rsidP="00A862AC" w:rsidRDefault="00681BD1">
      <w:pPr>
        <w:pStyle w:val="ECHRPara"/>
        <w:rPr>
          <w:lang w:val="en-GB"/>
        </w:rPr>
        <w:sectPr w:rsidRPr="00A862AC" w:rsidR="00681BD1" w:rsidSect="007363C9">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2274" w:right="2274" w:bottom="2274" w:left="2274" w:header="1701" w:footer="720" w:gutter="0"/>
          <w:pgNumType w:start="1"/>
          <w:cols w:space="720"/>
          <w:titlePg/>
          <w:docGrid w:linePitch="326"/>
        </w:sectPr>
      </w:pPr>
    </w:p>
    <w:p w:rsidRPr="00A862AC" w:rsidR="00014566" w:rsidP="00A862AC" w:rsidRDefault="00014566">
      <w:pPr>
        <w:pStyle w:val="JuCase"/>
        <w:rPr>
          <w:bCs/>
          <w:lang w:val="en-GB"/>
        </w:rPr>
      </w:pPr>
      <w:r w:rsidRPr="00A862AC">
        <w:rPr>
          <w:lang w:val="en-GB"/>
        </w:rPr>
        <w:t xml:space="preserve">In the case of </w:t>
      </w:r>
      <w:r w:rsidRPr="00A862AC" w:rsidR="009B3837">
        <w:rPr>
          <w:lang w:val="en-GB"/>
        </w:rPr>
        <w:t>Baczúr v. Hungary</w:t>
      </w:r>
      <w:r w:rsidRPr="00A862AC">
        <w:rPr>
          <w:lang w:val="en-GB"/>
        </w:rPr>
        <w:t>,</w:t>
      </w:r>
    </w:p>
    <w:p w:rsidRPr="00A862AC" w:rsidR="00014566" w:rsidP="00A862AC" w:rsidRDefault="00014566">
      <w:pPr>
        <w:pStyle w:val="ECHRPara"/>
        <w:rPr>
          <w:lang w:val="en-GB"/>
        </w:rPr>
      </w:pPr>
      <w:r w:rsidRPr="00A862AC">
        <w:rPr>
          <w:lang w:val="en-GB"/>
        </w:rPr>
        <w:t>The European Court of Human Rights (</w:t>
      </w:r>
      <w:r w:rsidRPr="00A862AC" w:rsidR="009B3837">
        <w:rPr>
          <w:lang w:val="en-GB"/>
        </w:rPr>
        <w:t>Fourth Section</w:t>
      </w:r>
      <w:r w:rsidRPr="00A862AC">
        <w:rPr>
          <w:lang w:val="en-GB"/>
        </w:rPr>
        <w:t xml:space="preserve">), sitting as a </w:t>
      </w:r>
      <w:r w:rsidRPr="00A862AC" w:rsidR="009B3837">
        <w:rPr>
          <w:lang w:val="en-GB"/>
        </w:rPr>
        <w:t>Chamber</w:t>
      </w:r>
      <w:r w:rsidRPr="00A862AC">
        <w:rPr>
          <w:lang w:val="en-GB"/>
        </w:rPr>
        <w:t xml:space="preserve"> composed of:</w:t>
      </w:r>
    </w:p>
    <w:p w:rsidRPr="00A862AC" w:rsidR="008B2AEA" w:rsidP="00A862AC" w:rsidRDefault="007363C9">
      <w:pPr>
        <w:pStyle w:val="ECHRDecisionBody"/>
        <w:rPr>
          <w:i/>
        </w:rPr>
      </w:pPr>
      <w:r w:rsidRPr="00A862AC">
        <w:tab/>
      </w:r>
      <w:r w:rsidRPr="00A862AC" w:rsidR="008B2AEA">
        <w:t>Vincent A. De Gaetano,</w:t>
      </w:r>
      <w:r w:rsidRPr="00A862AC" w:rsidR="008B2AEA">
        <w:rPr>
          <w:i/>
        </w:rPr>
        <w:t xml:space="preserve"> President,</w:t>
      </w:r>
      <w:r w:rsidRPr="00A862AC" w:rsidR="008B2AEA">
        <w:rPr>
          <w:i/>
        </w:rPr>
        <w:br/>
      </w:r>
      <w:r w:rsidRPr="00A862AC" w:rsidR="008B2AEA">
        <w:tab/>
      </w:r>
      <w:proofErr w:type="spellStart"/>
      <w:r w:rsidRPr="00A862AC" w:rsidR="008B2AEA">
        <w:t>András</w:t>
      </w:r>
      <w:proofErr w:type="spellEnd"/>
      <w:r w:rsidRPr="00A862AC" w:rsidR="008B2AEA">
        <w:t xml:space="preserve"> </w:t>
      </w:r>
      <w:proofErr w:type="spellStart"/>
      <w:r w:rsidRPr="00A862AC" w:rsidR="008B2AEA">
        <w:t>Sajó</w:t>
      </w:r>
      <w:proofErr w:type="spellEnd"/>
      <w:r w:rsidRPr="00A862AC" w:rsidR="008B2AEA">
        <w:t>,</w:t>
      </w:r>
      <w:r w:rsidRPr="00A862AC" w:rsidR="008B2AEA">
        <w:rPr>
          <w:i/>
        </w:rPr>
        <w:br/>
      </w:r>
      <w:r w:rsidRPr="00A862AC" w:rsidR="008B2AEA">
        <w:tab/>
        <w:t xml:space="preserve">Nona </w:t>
      </w:r>
      <w:proofErr w:type="spellStart"/>
      <w:r w:rsidRPr="00A862AC" w:rsidR="008B2AEA">
        <w:t>Tsotsoria</w:t>
      </w:r>
      <w:proofErr w:type="spellEnd"/>
      <w:r w:rsidRPr="00A862AC" w:rsidR="008B2AEA">
        <w:t>,</w:t>
      </w:r>
      <w:r w:rsidRPr="00A862AC" w:rsidR="008B2AEA">
        <w:rPr>
          <w:i/>
        </w:rPr>
        <w:br/>
      </w:r>
      <w:r w:rsidRPr="00A862AC" w:rsidR="008B2AEA">
        <w:tab/>
        <w:t>Paulo Pinto de Albuquerque,</w:t>
      </w:r>
      <w:r w:rsidRPr="00A862AC" w:rsidR="008B2AEA">
        <w:rPr>
          <w:i/>
        </w:rPr>
        <w:br/>
      </w:r>
      <w:r w:rsidRPr="00A862AC" w:rsidR="008B2AEA">
        <w:tab/>
        <w:t>Krzysztof Wojtyczek,</w:t>
      </w:r>
      <w:r w:rsidRPr="00A862AC" w:rsidR="008B2AEA">
        <w:rPr>
          <w:i/>
        </w:rPr>
        <w:br/>
      </w:r>
      <w:r w:rsidRPr="00A862AC" w:rsidR="008B2AEA">
        <w:tab/>
        <w:t xml:space="preserve">Egidijus </w:t>
      </w:r>
      <w:proofErr w:type="spellStart"/>
      <w:r w:rsidRPr="00A862AC" w:rsidR="008B2AEA">
        <w:t>Kūris</w:t>
      </w:r>
      <w:proofErr w:type="spellEnd"/>
      <w:r w:rsidRPr="00A862AC" w:rsidR="008B2AEA">
        <w:t>,</w:t>
      </w:r>
      <w:r w:rsidRPr="00A862AC" w:rsidR="008B2AEA">
        <w:rPr>
          <w:i/>
        </w:rPr>
        <w:br/>
      </w:r>
      <w:r w:rsidRPr="00A862AC" w:rsidR="008B2AEA">
        <w:tab/>
        <w:t>Iulia Motoc,</w:t>
      </w:r>
      <w:r w:rsidRPr="00A862AC" w:rsidR="008B2AEA">
        <w:rPr>
          <w:i/>
        </w:rPr>
        <w:t xml:space="preserve"> judges,</w:t>
      </w:r>
    </w:p>
    <w:p w:rsidRPr="00A862AC" w:rsidR="00014566" w:rsidP="00A862AC" w:rsidRDefault="00014566">
      <w:pPr>
        <w:pStyle w:val="ECHRDecisionBody"/>
        <w:rPr>
          <w:lang w:val="en-GB"/>
        </w:rPr>
      </w:pPr>
      <w:r w:rsidRPr="00A862AC">
        <w:rPr>
          <w:lang w:val="en-GB"/>
        </w:rPr>
        <w:t xml:space="preserve">and </w:t>
      </w:r>
      <w:proofErr w:type="spellStart"/>
      <w:r w:rsidRPr="00A862AC" w:rsidR="009B3837">
        <w:rPr>
          <w:lang w:val="en-GB"/>
        </w:rPr>
        <w:t>Marialena</w:t>
      </w:r>
      <w:proofErr w:type="spellEnd"/>
      <w:r w:rsidRPr="00A862AC" w:rsidR="009B3837">
        <w:rPr>
          <w:lang w:val="en-GB"/>
        </w:rPr>
        <w:t xml:space="preserve"> </w:t>
      </w:r>
      <w:proofErr w:type="spellStart"/>
      <w:r w:rsidRPr="00A862AC" w:rsidR="009B3837">
        <w:rPr>
          <w:lang w:val="en-GB"/>
        </w:rPr>
        <w:t>Tsirli</w:t>
      </w:r>
      <w:proofErr w:type="spellEnd"/>
      <w:r w:rsidRPr="00A862AC">
        <w:rPr>
          <w:lang w:val="en-GB"/>
        </w:rPr>
        <w:t xml:space="preserve">, </w:t>
      </w:r>
      <w:r w:rsidRPr="00A862AC" w:rsidR="009B3837">
        <w:rPr>
          <w:i/>
          <w:lang w:val="en-GB"/>
        </w:rPr>
        <w:t xml:space="preserve">Section </w:t>
      </w:r>
      <w:r w:rsidRPr="00A862AC" w:rsidR="009B3837">
        <w:rPr>
          <w:i/>
          <w:iCs/>
          <w:lang w:val="en-GB"/>
        </w:rPr>
        <w:t>Registrar</w:t>
      </w:r>
      <w:r w:rsidRPr="00A862AC">
        <w:rPr>
          <w:i/>
          <w:lang w:val="en-GB"/>
        </w:rPr>
        <w:t>,</w:t>
      </w:r>
    </w:p>
    <w:p w:rsidRPr="00A862AC" w:rsidR="00014566" w:rsidP="00A862AC" w:rsidRDefault="00014566">
      <w:pPr>
        <w:pStyle w:val="ECHRPara"/>
        <w:rPr>
          <w:lang w:val="en-GB"/>
        </w:rPr>
      </w:pPr>
      <w:r w:rsidRPr="00A862AC">
        <w:rPr>
          <w:lang w:val="en-GB"/>
        </w:rPr>
        <w:t xml:space="preserve">Having deliberated in private on </w:t>
      </w:r>
      <w:r w:rsidRPr="00A862AC" w:rsidR="007363C9">
        <w:t>31 January 2017</w:t>
      </w:r>
      <w:r w:rsidRPr="00A862AC">
        <w:rPr>
          <w:lang w:val="en-GB"/>
        </w:rPr>
        <w:t>,</w:t>
      </w:r>
    </w:p>
    <w:p w:rsidRPr="00A862AC" w:rsidR="00014566" w:rsidP="00A862AC" w:rsidRDefault="00014566">
      <w:pPr>
        <w:pStyle w:val="ECHRPara"/>
        <w:rPr>
          <w:lang w:val="en-GB"/>
        </w:rPr>
      </w:pPr>
      <w:r w:rsidRPr="00A862AC">
        <w:rPr>
          <w:lang w:val="en-GB"/>
        </w:rPr>
        <w:t>Delivers the following judgment, which was adopted on that date:</w:t>
      </w:r>
    </w:p>
    <w:p w:rsidRPr="00A862AC" w:rsidR="00014566" w:rsidP="00A862AC" w:rsidRDefault="00014566">
      <w:pPr>
        <w:pStyle w:val="ECHRTitle1"/>
        <w:rPr>
          <w:lang w:val="en-GB"/>
        </w:rPr>
      </w:pPr>
      <w:r w:rsidRPr="00A862AC">
        <w:rPr>
          <w:lang w:val="en-GB"/>
        </w:rPr>
        <w:t>PROCEDURE</w:t>
      </w:r>
    </w:p>
    <w:p w:rsidRPr="00A862AC" w:rsidR="009A4F79"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1</w:t>
      </w:r>
      <w:r w:rsidRPr="00A862AC">
        <w:rPr>
          <w:lang w:val="en-GB"/>
        </w:rPr>
        <w:fldChar w:fldCharType="end"/>
      </w:r>
      <w:r w:rsidRPr="00A862AC" w:rsidR="00014566">
        <w:rPr>
          <w:lang w:val="en-GB"/>
        </w:rPr>
        <w:t xml:space="preserve">.  The case originated in </w:t>
      </w:r>
      <w:r w:rsidRPr="00A862AC">
        <w:rPr>
          <w:lang w:val="en-GB"/>
        </w:rPr>
        <w:t>an application (no. 8263/15)</w:t>
      </w:r>
      <w:r w:rsidRPr="00A862AC" w:rsidR="00014566">
        <w:rPr>
          <w:lang w:val="en-GB"/>
        </w:rPr>
        <w:t xml:space="preserve"> against </w:t>
      </w:r>
      <w:r w:rsidRPr="00A862AC">
        <w:rPr>
          <w:lang w:val="en-GB"/>
        </w:rPr>
        <w:t>Hungary</w:t>
      </w:r>
      <w:r w:rsidRPr="00A862AC" w:rsidR="00014566">
        <w:rPr>
          <w:lang w:val="en-GB"/>
        </w:rPr>
        <w:t xml:space="preserve"> lodged with the </w:t>
      </w:r>
      <w:r w:rsidRPr="00A862AC">
        <w:rPr>
          <w:lang w:val="en-GB"/>
        </w:rPr>
        <w:t>Court under Article 34</w:t>
      </w:r>
      <w:r w:rsidRPr="00A862AC" w:rsidR="00014566">
        <w:rPr>
          <w:lang w:val="en-GB"/>
        </w:rPr>
        <w:t xml:space="preserve"> of the Convention for the Protection of Human Rights and Fundamental Freedoms (“the Convention”) by </w:t>
      </w:r>
      <w:r w:rsidRPr="00A862AC">
        <w:rPr>
          <w:lang w:val="en-GB"/>
        </w:rPr>
        <w:t>a Hungarian national, Mr István Baczúr (“the applicant”), on 12 March 2013</w:t>
      </w:r>
      <w:r w:rsidRPr="00A862AC" w:rsidR="00014566">
        <w:rPr>
          <w:lang w:val="en-GB"/>
        </w:rPr>
        <w:t>.</w:t>
      </w:r>
    </w:p>
    <w:p w:rsidRPr="00A862AC" w:rsidR="009B3837"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2</w:t>
      </w:r>
      <w:r w:rsidRPr="00A862AC">
        <w:rPr>
          <w:lang w:val="en-GB"/>
        </w:rPr>
        <w:fldChar w:fldCharType="end"/>
      </w:r>
      <w:r w:rsidRPr="00A862AC" w:rsidR="00014566">
        <w:rPr>
          <w:lang w:val="en-GB"/>
        </w:rPr>
        <w:t>.  </w:t>
      </w:r>
      <w:r w:rsidRPr="00A862AC">
        <w:rPr>
          <w:lang w:val="en-GB"/>
        </w:rPr>
        <w:t xml:space="preserve">The applicant was represented by Mr D. Karsai, a lawyer practising in Budapest. </w:t>
      </w:r>
      <w:r w:rsidRPr="00A862AC" w:rsidR="00014566">
        <w:rPr>
          <w:lang w:val="en-GB"/>
        </w:rPr>
        <w:t xml:space="preserve">The </w:t>
      </w:r>
      <w:r w:rsidRPr="00A862AC">
        <w:rPr>
          <w:lang w:val="en-GB"/>
        </w:rPr>
        <w:t>Hungarian</w:t>
      </w:r>
      <w:r w:rsidRPr="00A862AC" w:rsidR="00014566">
        <w:rPr>
          <w:lang w:val="en-GB"/>
        </w:rPr>
        <w:t xml:space="preserve"> Government (“the Government”) were represented by Mr </w:t>
      </w:r>
      <w:r w:rsidRPr="00A862AC">
        <w:rPr>
          <w:lang w:val="en-GB"/>
        </w:rPr>
        <w:t>Z. Tallódi</w:t>
      </w:r>
      <w:r w:rsidRPr="00A862AC" w:rsidR="00014566">
        <w:rPr>
          <w:lang w:val="en-GB"/>
        </w:rPr>
        <w:t xml:space="preserve">, </w:t>
      </w:r>
      <w:r w:rsidRPr="00A862AC">
        <w:rPr>
          <w:lang w:val="en-GB"/>
        </w:rPr>
        <w:t>Agent, Ministry of Justice</w:t>
      </w:r>
      <w:r w:rsidRPr="00A862AC" w:rsidR="00014566">
        <w:rPr>
          <w:lang w:val="en-GB"/>
        </w:rPr>
        <w:t>.</w:t>
      </w:r>
    </w:p>
    <w:p w:rsidRPr="00A862AC" w:rsidR="00DD0F02" w:rsidP="00A862AC" w:rsidRDefault="009B3837">
      <w:pPr>
        <w:pStyle w:val="ECHRPara"/>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w:t>
      </w:r>
      <w:r w:rsidRPr="00A862AC">
        <w:rPr>
          <w:lang w:val="en-GB"/>
        </w:rPr>
        <w:fldChar w:fldCharType="end"/>
      </w:r>
      <w:r w:rsidRPr="00A862AC">
        <w:rPr>
          <w:lang w:val="en-GB"/>
        </w:rPr>
        <w:t xml:space="preserve">.  The applicant </w:t>
      </w:r>
      <w:r w:rsidRPr="00A862AC" w:rsidR="00DD0F02">
        <w:rPr>
          <w:lang w:val="en-GB"/>
        </w:rPr>
        <w:t>complained</w:t>
      </w:r>
      <w:r w:rsidRPr="00A862AC">
        <w:rPr>
          <w:lang w:val="en-GB"/>
        </w:rPr>
        <w:t xml:space="preserve">, in particular, </w:t>
      </w:r>
      <w:r w:rsidRPr="00A862AC" w:rsidR="00DD0F02">
        <w:t xml:space="preserve">of a significant decrease </w:t>
      </w:r>
      <w:r w:rsidRPr="00A862AC" w:rsidR="000B3404">
        <w:t xml:space="preserve">in </w:t>
      </w:r>
      <w:r w:rsidRPr="00A862AC" w:rsidR="00DD0F02">
        <w:t xml:space="preserve">the benefit he </w:t>
      </w:r>
      <w:r w:rsidRPr="00A862AC" w:rsidR="00A14E4C">
        <w:t xml:space="preserve">had </w:t>
      </w:r>
      <w:r w:rsidRPr="00A862AC" w:rsidR="00DD0F02">
        <w:t>received on account of his reduced capacity</w:t>
      </w:r>
      <w:r w:rsidRPr="00A862AC" w:rsidR="000B3404">
        <w:t xml:space="preserve"> to work</w:t>
      </w:r>
      <w:r w:rsidRPr="00A862AC" w:rsidR="00DD0F02">
        <w:t xml:space="preserve">. He relied on Article 1 of Protocol No. 1 </w:t>
      </w:r>
      <w:r w:rsidRPr="00A862AC" w:rsidR="0083442E">
        <w:t xml:space="preserve">as well as on </w:t>
      </w:r>
      <w:r w:rsidRPr="00A862AC" w:rsidR="00DD0F02">
        <w:t>Articles 6, 8, 13 and 14 of the Convention.</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4</w:t>
      </w:r>
      <w:r w:rsidRPr="00A862AC">
        <w:rPr>
          <w:lang w:val="en-GB"/>
        </w:rPr>
        <w:fldChar w:fldCharType="end"/>
      </w:r>
      <w:r w:rsidRPr="00A862AC" w:rsidR="00014566">
        <w:rPr>
          <w:lang w:val="en-GB"/>
        </w:rPr>
        <w:t>.  </w:t>
      </w:r>
      <w:r w:rsidRPr="00A862AC">
        <w:rPr>
          <w:lang w:val="en-GB"/>
        </w:rPr>
        <w:t>On 21 April 2015</w:t>
      </w:r>
      <w:r w:rsidRPr="00A862AC" w:rsidR="00014566">
        <w:rPr>
          <w:lang w:val="en-GB"/>
        </w:rPr>
        <w:t xml:space="preserve"> the </w:t>
      </w:r>
      <w:r w:rsidRPr="00A862AC">
        <w:rPr>
          <w:lang w:val="en-GB"/>
        </w:rPr>
        <w:t>application was communicated to the Government</w:t>
      </w:r>
      <w:r w:rsidRPr="00A862AC" w:rsidR="00014566">
        <w:rPr>
          <w:lang w:val="en-GB"/>
        </w:rPr>
        <w:t>.</w:t>
      </w:r>
    </w:p>
    <w:p w:rsidRPr="00A862AC" w:rsidR="00014566" w:rsidP="00A862AC" w:rsidRDefault="00014566">
      <w:pPr>
        <w:pStyle w:val="ECHRTitle1"/>
        <w:rPr>
          <w:lang w:val="en-GB"/>
        </w:rPr>
      </w:pPr>
      <w:r w:rsidRPr="00A862AC">
        <w:rPr>
          <w:lang w:val="en-GB"/>
        </w:rPr>
        <w:t>THE FACTS</w:t>
      </w:r>
    </w:p>
    <w:p w:rsidRPr="00A862AC" w:rsidR="00014566" w:rsidP="00A862AC" w:rsidRDefault="00014566">
      <w:pPr>
        <w:pStyle w:val="ECHRHeading1"/>
        <w:rPr>
          <w:lang w:val="en-GB"/>
        </w:rPr>
      </w:pPr>
      <w:r w:rsidRPr="00A862AC">
        <w:rPr>
          <w:lang w:val="en-GB"/>
        </w:rPr>
        <w:t>THE CIRCUMSTANCES OF THE CASE</w:t>
      </w:r>
    </w:p>
    <w:p w:rsidRPr="00A862AC" w:rsidR="00DD0F02" w:rsidP="00A862AC" w:rsidRDefault="00DD0F02">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5</w:t>
      </w:r>
      <w:r w:rsidRPr="00A862AC">
        <w:rPr>
          <w:lang w:val="en-GB"/>
        </w:rPr>
        <w:fldChar w:fldCharType="end"/>
      </w:r>
      <w:r w:rsidRPr="00A862AC">
        <w:rPr>
          <w:lang w:val="en-GB"/>
        </w:rPr>
        <w:t>.  The applicant was born in 1958 and lives in Nagykozár.</w:t>
      </w:r>
    </w:p>
    <w:p w:rsidRPr="00A862AC" w:rsidR="00DD0F02" w:rsidP="00A862AC" w:rsidRDefault="008C695E">
      <w:pPr>
        <w:pStyle w:val="ECHRPara"/>
      </w:pPr>
      <w:r>
        <w:fldChar w:fldCharType="begin"/>
      </w:r>
      <w:r>
        <w:instrText xml:space="preserve"> SEQ level0 \*arabic </w:instrText>
      </w:r>
      <w:r>
        <w:fldChar w:fldCharType="separate"/>
      </w:r>
      <w:r w:rsidRPr="00A862AC" w:rsidR="00A862AC">
        <w:rPr>
          <w:noProof/>
        </w:rPr>
        <w:t>6</w:t>
      </w:r>
      <w:r>
        <w:rPr>
          <w:noProof/>
        </w:rPr>
        <w:fldChar w:fldCharType="end"/>
      </w:r>
      <w:r w:rsidRPr="00A862AC" w:rsidR="00DD0F02">
        <w:t xml:space="preserve">.  The applicant </w:t>
      </w:r>
      <w:r w:rsidRPr="00A862AC" w:rsidR="00A14E4C">
        <w:t xml:space="preserve">had been working </w:t>
      </w:r>
      <w:r w:rsidRPr="00A862AC" w:rsidR="00DD0F02">
        <w:t>as a tax inspector</w:t>
      </w:r>
      <w:r w:rsidRPr="00A862AC" w:rsidR="00A851BD">
        <w:t xml:space="preserve">. In </w:t>
      </w:r>
      <w:r w:rsidRPr="00A862AC" w:rsidR="00DD0F02">
        <w:t xml:space="preserve">1996 he applied for </w:t>
      </w:r>
      <w:r w:rsidRPr="00A862AC" w:rsidR="00A14E4C">
        <w:t xml:space="preserve">early </w:t>
      </w:r>
      <w:r w:rsidRPr="00A862AC" w:rsidR="00DD0F02">
        <w:t>retirement on account of disability. As of 1 April 1996, he was declared to have lost 67% of his capacity to work</w:t>
      </w:r>
      <w:r w:rsidRPr="00A862AC" w:rsidR="00A14E4C">
        <w:t xml:space="preserve"> and</w:t>
      </w:r>
      <w:r w:rsidRPr="00A862AC" w:rsidR="00DD0F02">
        <w:t xml:space="preserve"> was granted </w:t>
      </w:r>
      <w:r w:rsidRPr="00A862AC" w:rsidR="00B36EC4">
        <w:t xml:space="preserve">a </w:t>
      </w:r>
      <w:r w:rsidRPr="00A862AC" w:rsidR="00DD0F02">
        <w:t>disability pension of 114,880 Hungarian forints (HUF</w:t>
      </w:r>
      <w:r w:rsidRPr="00A862AC" w:rsidR="00D55D60">
        <w:t>)</w:t>
      </w:r>
      <w:r w:rsidRPr="00A862AC" w:rsidR="002E4AD7">
        <w:t xml:space="preserve"> </w:t>
      </w:r>
      <w:r w:rsidRPr="00A862AC" w:rsidR="00D55D60">
        <w:t>per month</w:t>
      </w:r>
      <w:r w:rsidRPr="00A862AC" w:rsidR="002E4AD7">
        <w:t xml:space="preserve"> (approximately </w:t>
      </w:r>
      <w:r w:rsidRPr="00A862AC" w:rsidR="00D55D60">
        <w:t>370</w:t>
      </w:r>
      <w:r w:rsidRPr="00A862AC" w:rsidR="002E4AD7">
        <w:t xml:space="preserve"> euros (EUR)</w:t>
      </w:r>
      <w:r w:rsidRPr="00A862AC" w:rsidR="00D55D60">
        <w:t xml:space="preserve"> at the rate of January 2017</w:t>
      </w:r>
      <w:r w:rsidRPr="00A862AC" w:rsidR="00DD0F02">
        <w:t xml:space="preserve">). </w:t>
      </w:r>
      <w:r w:rsidRPr="00A862AC" w:rsidR="00A851BD">
        <w:t>Th</w:t>
      </w:r>
      <w:r w:rsidRPr="00A862AC" w:rsidR="00B36EC4">
        <w:t>at</w:t>
      </w:r>
      <w:r w:rsidRPr="00A862AC" w:rsidR="00DD0F02">
        <w:t xml:space="preserve"> disability assessment was maintained in 1999, 2003 and 2006.</w:t>
      </w:r>
    </w:p>
    <w:p w:rsidRPr="00A862AC" w:rsidR="008103F7" w:rsidP="00A862AC" w:rsidRDefault="008C695E">
      <w:pPr>
        <w:pStyle w:val="ECHRPara"/>
      </w:pPr>
      <w:r>
        <w:fldChar w:fldCharType="begin"/>
      </w:r>
      <w:r>
        <w:instrText xml:space="preserve"> SEQ level0 \*arabic </w:instrText>
      </w:r>
      <w:r>
        <w:fldChar w:fldCharType="separate"/>
      </w:r>
      <w:r w:rsidRPr="00A862AC" w:rsidR="00A862AC">
        <w:rPr>
          <w:noProof/>
        </w:rPr>
        <w:t>7</w:t>
      </w:r>
      <w:r>
        <w:rPr>
          <w:noProof/>
        </w:rPr>
        <w:fldChar w:fldCharType="end"/>
      </w:r>
      <w:r w:rsidRPr="00A862AC" w:rsidR="00AD3CCA">
        <w:t xml:space="preserve">.  The </w:t>
      </w:r>
      <w:r w:rsidRPr="00A862AC" w:rsidR="00A851BD">
        <w:t xml:space="preserve">relevant </w:t>
      </w:r>
      <w:r w:rsidRPr="00A862AC" w:rsidR="00AD3CCA">
        <w:t xml:space="preserve">assessment methodology changed </w:t>
      </w:r>
      <w:r w:rsidRPr="00A862AC" w:rsidR="004413F3">
        <w:t>as of</w:t>
      </w:r>
      <w:r w:rsidRPr="00A862AC" w:rsidR="00C55D1C">
        <w:t xml:space="preserve"> 1 </w:t>
      </w:r>
      <w:r w:rsidRPr="00A862AC" w:rsidR="00AD3CCA">
        <w:t>January 2008. The applicant</w:t>
      </w:r>
      <w:r w:rsidRPr="00A862AC" w:rsidR="00A862AC">
        <w:t>’</w:t>
      </w:r>
      <w:r w:rsidRPr="00A862AC" w:rsidR="00AD3CCA">
        <w:t xml:space="preserve">s case was reviewed under the new rules in 2009. </w:t>
      </w:r>
      <w:r w:rsidRPr="00A862AC" w:rsidR="004413F3">
        <w:t xml:space="preserve">Without any significant change in his </w:t>
      </w:r>
      <w:r w:rsidRPr="00A862AC" w:rsidR="00B36EC4">
        <w:t xml:space="preserve">state of </w:t>
      </w:r>
      <w:r w:rsidRPr="00A862AC" w:rsidR="004413F3">
        <w:t>health</w:t>
      </w:r>
      <w:r w:rsidRPr="00A862AC" w:rsidR="00A14E4C">
        <w:t xml:space="preserve"> having occurred</w:t>
      </w:r>
      <w:r w:rsidRPr="00A862AC" w:rsidR="004413F3">
        <w:t>, h</w:t>
      </w:r>
      <w:r w:rsidRPr="00A862AC" w:rsidR="00AD3CCA">
        <w:t xml:space="preserve">e </w:t>
      </w:r>
      <w:r w:rsidRPr="00A862AC" w:rsidR="00B36EC4">
        <w:t xml:space="preserve">was </w:t>
      </w:r>
      <w:r w:rsidRPr="00A862AC" w:rsidR="00AD3CCA">
        <w:t>then found to have lost 50% of his working capacity. As a consequence</w:t>
      </w:r>
      <w:r w:rsidRPr="00A862AC" w:rsidR="00A851BD">
        <w:t>,</w:t>
      </w:r>
      <w:r w:rsidRPr="00A862AC" w:rsidR="00AD3CCA">
        <w:t xml:space="preserve"> </w:t>
      </w:r>
      <w:r w:rsidRPr="00A862AC" w:rsidR="00B36EC4">
        <w:t xml:space="preserve">his </w:t>
      </w:r>
      <w:r w:rsidRPr="00A862AC" w:rsidR="00AD3CCA">
        <w:t xml:space="preserve">disability pension was terminated and, as of 1 July 2009, </w:t>
      </w:r>
      <w:r w:rsidRPr="00A862AC" w:rsidR="00B36EC4">
        <w:t xml:space="preserve">he was </w:t>
      </w:r>
      <w:r w:rsidRPr="00A862AC" w:rsidR="00A851BD">
        <w:t xml:space="preserve">declared </w:t>
      </w:r>
      <w:r w:rsidRPr="00A862AC" w:rsidR="00AD3CCA">
        <w:t xml:space="preserve">suitable for institutional rehabilitation </w:t>
      </w:r>
      <w:r w:rsidRPr="00A862AC" w:rsidR="00B36EC4">
        <w:t xml:space="preserve">and </w:t>
      </w:r>
      <w:r w:rsidRPr="00A862AC" w:rsidR="00AD3CCA">
        <w:t xml:space="preserve">granted a </w:t>
      </w:r>
      <w:r w:rsidRPr="00A862AC" w:rsidR="00F273CB">
        <w:t xml:space="preserve">monthly </w:t>
      </w:r>
      <w:r w:rsidRPr="00A862AC" w:rsidR="00AD3CCA">
        <w:t xml:space="preserve">rehabilitation allowance in the amount of HUF 152,820 </w:t>
      </w:r>
      <w:r w:rsidRPr="00A862AC" w:rsidR="002E4AD7">
        <w:t xml:space="preserve">(approximately EUR </w:t>
      </w:r>
      <w:r w:rsidRPr="00A862AC" w:rsidR="00D55D60">
        <w:t>490</w:t>
      </w:r>
      <w:r w:rsidRPr="00A862AC" w:rsidR="002E4AD7">
        <w:t xml:space="preserve">), </w:t>
      </w:r>
      <w:r w:rsidRPr="00A862AC" w:rsidR="00F273CB">
        <w:t xml:space="preserve">minus </w:t>
      </w:r>
      <w:r w:rsidRPr="00A862AC" w:rsidR="00AD3CCA">
        <w:t>payroll</w:t>
      </w:r>
      <w:r w:rsidRPr="00A862AC" w:rsidR="00F273CB">
        <w:t xml:space="preserve"> deductions</w:t>
      </w:r>
      <w:r w:rsidRPr="00A862AC" w:rsidR="00AD3CCA">
        <w:t xml:space="preserve">. </w:t>
      </w:r>
      <w:r w:rsidRPr="00A862AC" w:rsidR="00F273CB">
        <w:t>Under the relevant statute, t</w:t>
      </w:r>
      <w:r w:rsidRPr="00A862AC" w:rsidR="00AD3CCA">
        <w:t>h</w:t>
      </w:r>
      <w:r w:rsidRPr="00A862AC" w:rsidR="00F273CB">
        <w:t>e</w:t>
      </w:r>
      <w:r w:rsidRPr="00A862AC" w:rsidR="00AD3CCA">
        <w:t xml:space="preserve"> benefit </w:t>
      </w:r>
      <w:r w:rsidRPr="00A862AC" w:rsidR="00F273CB">
        <w:t xml:space="preserve">could only be </w:t>
      </w:r>
      <w:r w:rsidRPr="00A862AC" w:rsidR="00AD3CCA">
        <w:t>granted</w:t>
      </w:r>
      <w:r w:rsidRPr="00A862AC" w:rsidR="00F273CB">
        <w:t xml:space="preserve"> </w:t>
      </w:r>
      <w:r w:rsidRPr="00A862AC" w:rsidR="00AD3CCA">
        <w:t xml:space="preserve">for a </w:t>
      </w:r>
      <w:r w:rsidRPr="00A862AC" w:rsidR="00F273CB">
        <w:t xml:space="preserve">limited </w:t>
      </w:r>
      <w:r w:rsidRPr="00A862AC" w:rsidR="00AD3CCA">
        <w:t>period</w:t>
      </w:r>
      <w:r w:rsidRPr="00A862AC" w:rsidR="00F273CB">
        <w:t>,</w:t>
      </w:r>
      <w:r w:rsidRPr="00A862AC" w:rsidR="00AD3CCA">
        <w:t xml:space="preserve"> </w:t>
      </w:r>
      <w:r w:rsidRPr="00A862AC" w:rsidR="00F273CB">
        <w:t xml:space="preserve">namely </w:t>
      </w:r>
      <w:r w:rsidRPr="00A862AC" w:rsidR="00AD3CCA">
        <w:t>until 31 October 2011</w:t>
      </w:r>
      <w:r w:rsidRPr="00A862AC" w:rsidR="009A4F79">
        <w:t xml:space="preserve"> in the applicant</w:t>
      </w:r>
      <w:r w:rsidRPr="00A862AC" w:rsidR="00A862AC">
        <w:t>’</w:t>
      </w:r>
      <w:r w:rsidRPr="00A862AC" w:rsidR="009A4F79">
        <w:t>s case</w:t>
      </w:r>
      <w:r w:rsidRPr="00A862AC" w:rsidR="00AD3CCA">
        <w:t>. The law allowed for one extension</w:t>
      </w:r>
      <w:r w:rsidRPr="00A862AC" w:rsidR="00F273CB">
        <w:t xml:space="preserve"> of the time-limit</w:t>
      </w:r>
      <w:r w:rsidRPr="00A862AC" w:rsidR="009A4F79">
        <w:t xml:space="preserve">, </w:t>
      </w:r>
      <w:r w:rsidRPr="00A862AC" w:rsidR="00F273CB">
        <w:t xml:space="preserve">making the maximum deadline for </w:t>
      </w:r>
      <w:r w:rsidRPr="00A862AC" w:rsidR="00AD3CCA">
        <w:t>the benefit 30 June 2012.</w:t>
      </w:r>
      <w:r w:rsidRPr="00A862AC" w:rsidR="009A4F79">
        <w:t xml:space="preserve"> </w:t>
      </w:r>
      <w:r w:rsidRPr="00A862AC" w:rsidR="008103F7">
        <w:t xml:space="preserve">However, under the law, the overall </w:t>
      </w:r>
      <w:r w:rsidRPr="00A862AC" w:rsidR="00F273CB">
        <w:t xml:space="preserve">period allowable for </w:t>
      </w:r>
      <w:r w:rsidRPr="00A862AC" w:rsidR="008103F7">
        <w:t>rehabilitation could not exceed three years.</w:t>
      </w:r>
    </w:p>
    <w:p w:rsidRPr="00A862AC" w:rsidR="009A4F79" w:rsidP="00A862AC" w:rsidRDefault="008C695E">
      <w:pPr>
        <w:pStyle w:val="ECHRPara"/>
      </w:pPr>
      <w:r>
        <w:fldChar w:fldCharType="begin"/>
      </w:r>
      <w:r>
        <w:instrText xml:space="preserve"> SEQ level0 \*arabic </w:instrText>
      </w:r>
      <w:r>
        <w:fldChar w:fldCharType="separate"/>
      </w:r>
      <w:r w:rsidRPr="00A862AC" w:rsidR="00A862AC">
        <w:rPr>
          <w:noProof/>
        </w:rPr>
        <w:t>8</w:t>
      </w:r>
      <w:r>
        <w:rPr>
          <w:noProof/>
        </w:rPr>
        <w:fldChar w:fldCharType="end"/>
      </w:r>
      <w:r w:rsidRPr="00A862AC" w:rsidR="008103F7">
        <w:t>.  </w:t>
      </w:r>
      <w:r w:rsidRPr="00A862AC" w:rsidR="009A4F79">
        <w:t xml:space="preserve">The monthly amount </w:t>
      </w:r>
      <w:r w:rsidRPr="00A862AC" w:rsidR="00F273CB">
        <w:t xml:space="preserve">payable </w:t>
      </w:r>
      <w:r w:rsidRPr="00A862AC" w:rsidR="009A4F79">
        <w:t>evolved in the period preceding</w:t>
      </w:r>
      <w:r w:rsidRPr="00A862AC" w:rsidR="00F273CB">
        <w:t xml:space="preserve"> the deadline</w:t>
      </w:r>
      <w:r w:rsidRPr="00A862AC" w:rsidR="009A4F79">
        <w:t>. On</w:t>
      </w:r>
      <w:r w:rsidRPr="00A862AC" w:rsidR="00F273CB">
        <w:t xml:space="preserve"> expiry</w:t>
      </w:r>
      <w:r w:rsidRPr="00A862AC" w:rsidR="009A4F79">
        <w:t xml:space="preserve">, it </w:t>
      </w:r>
      <w:r w:rsidRPr="00A862AC" w:rsidR="00A851BD">
        <w:t>was</w:t>
      </w:r>
      <w:r w:rsidRPr="00A862AC" w:rsidR="009A4F79">
        <w:t xml:space="preserve"> HUF</w:t>
      </w:r>
      <w:r w:rsidRPr="00A862AC" w:rsidR="00DD0F02">
        <w:t xml:space="preserve"> 173,980 (approximately </w:t>
      </w:r>
      <w:r w:rsidRPr="00A862AC" w:rsidR="002E4AD7">
        <w:t xml:space="preserve">EUR </w:t>
      </w:r>
      <w:r w:rsidRPr="00A862AC" w:rsidR="00DD0F02">
        <w:t>570) per month</w:t>
      </w:r>
      <w:r w:rsidRPr="00A862AC" w:rsidR="009A4F79">
        <w:t>, minus HUF 17,398 in payroll</w:t>
      </w:r>
      <w:r w:rsidRPr="00A862AC" w:rsidR="00F273CB">
        <w:t xml:space="preserve"> deductions</w:t>
      </w:r>
      <w:r w:rsidRPr="00A862AC" w:rsidR="009A4F79">
        <w:t xml:space="preserve">, </w:t>
      </w:r>
      <w:r w:rsidRPr="00A862AC" w:rsidR="00F273CB">
        <w:t xml:space="preserve">resulting in </w:t>
      </w:r>
      <w:r w:rsidRPr="00A862AC" w:rsidR="009A4F79">
        <w:t xml:space="preserve">a net </w:t>
      </w:r>
      <w:r w:rsidRPr="00A862AC" w:rsidR="00F273CB">
        <w:t xml:space="preserve">sum </w:t>
      </w:r>
      <w:r w:rsidRPr="00A862AC" w:rsidR="009A4F79">
        <w:t>of HUF</w:t>
      </w:r>
      <w:r w:rsidRPr="00A862AC" w:rsidR="00A851BD">
        <w:t> </w:t>
      </w:r>
      <w:r w:rsidRPr="00A862AC" w:rsidR="009A4F79">
        <w:t>156,585</w:t>
      </w:r>
      <w:r w:rsidRPr="00A862AC" w:rsidR="002E4AD7">
        <w:t xml:space="preserve"> (approximately EUR </w:t>
      </w:r>
      <w:r w:rsidRPr="00A862AC" w:rsidR="00D55D60">
        <w:t>510</w:t>
      </w:r>
      <w:r w:rsidRPr="00A862AC" w:rsidR="002E4AD7">
        <w:t>)</w:t>
      </w:r>
      <w:r w:rsidRPr="00A862AC" w:rsidR="00DD0F02">
        <w:t>.</w:t>
      </w:r>
    </w:p>
    <w:p w:rsidRPr="00A862AC" w:rsidR="009338DD" w:rsidP="00A862AC" w:rsidRDefault="008C695E">
      <w:pPr>
        <w:pStyle w:val="ECHRPara"/>
      </w:pPr>
      <w:r>
        <w:fldChar w:fldCharType="begin"/>
      </w:r>
      <w:r>
        <w:instrText xml:space="preserve"> SEQ level0 \*arabic </w:instrText>
      </w:r>
      <w:r>
        <w:fldChar w:fldCharType="separate"/>
      </w:r>
      <w:r w:rsidRPr="00A862AC" w:rsidR="00A862AC">
        <w:rPr>
          <w:noProof/>
        </w:rPr>
        <w:t>9</w:t>
      </w:r>
      <w:r>
        <w:rPr>
          <w:noProof/>
        </w:rPr>
        <w:fldChar w:fldCharType="end"/>
      </w:r>
      <w:r w:rsidRPr="00A862AC" w:rsidR="00580146">
        <w:t>.  Meanwhile, o</w:t>
      </w:r>
      <w:r w:rsidRPr="00A862AC" w:rsidR="00DD0F02">
        <w:t xml:space="preserve">n 29 December 2011 Act no. CXCI of 2011 </w:t>
      </w:r>
      <w:r w:rsidRPr="00A862AC" w:rsidR="00DD0F02">
        <w:rPr>
          <w:rFonts w:asciiTheme="majorHAnsi" w:hAnsiTheme="majorHAnsi" w:cstheme="majorHAnsi"/>
        </w:rPr>
        <w:t>o</w:t>
      </w:r>
      <w:r w:rsidRPr="00A862AC" w:rsidR="00DD0F02">
        <w:rPr>
          <w:rFonts w:asciiTheme="majorHAnsi" w:hAnsiTheme="majorHAnsi" w:eastAsiaTheme="minorHAnsi" w:cstheme="majorHAnsi"/>
          <w:bCs/>
          <w:szCs w:val="24"/>
        </w:rPr>
        <w:t xml:space="preserve">n the </w:t>
      </w:r>
      <w:r w:rsidRPr="00A862AC" w:rsidR="00DD0F02">
        <w:t>Benefits Granted to Persons with Reduced Work Capacity</w:t>
      </w:r>
      <w:r w:rsidRPr="00A862AC" w:rsidR="00DD0F02">
        <w:rPr>
          <w:rFonts w:asciiTheme="majorHAnsi" w:hAnsiTheme="majorHAnsi" w:eastAsiaTheme="minorHAnsi" w:cstheme="majorHAnsi"/>
          <w:bCs/>
          <w:szCs w:val="24"/>
        </w:rPr>
        <w:t xml:space="preserve"> </w:t>
      </w:r>
      <w:r w:rsidRPr="00A862AC" w:rsidR="00DD0F02">
        <w:rPr>
          <w:rFonts w:asciiTheme="majorHAnsi" w:hAnsiTheme="majorHAnsi" w:cstheme="majorHAnsi"/>
        </w:rPr>
        <w:t>was</w:t>
      </w:r>
      <w:r w:rsidRPr="00A862AC" w:rsidR="00DD0F02">
        <w:t xml:space="preserve"> enacted</w:t>
      </w:r>
      <w:r w:rsidRPr="00A862AC" w:rsidR="00CE7C06">
        <w:t xml:space="preserve">. It came into effect on </w:t>
      </w:r>
      <w:r w:rsidRPr="00A862AC" w:rsidR="00DD0F02">
        <w:t>1 January 2012</w:t>
      </w:r>
      <w:r w:rsidRPr="00A862AC" w:rsidR="00CE7C06">
        <w:t xml:space="preserve"> and</w:t>
      </w:r>
      <w:r w:rsidRPr="00A862AC" w:rsidR="00DD0F02">
        <w:t xml:space="preserve"> introduced a new system of allowances.</w:t>
      </w:r>
    </w:p>
    <w:p w:rsidRPr="00A862AC" w:rsidR="00DD0F02" w:rsidP="00A862AC" w:rsidRDefault="008C695E">
      <w:pPr>
        <w:pStyle w:val="ECHRPara"/>
      </w:pPr>
      <w:r>
        <w:fldChar w:fldCharType="begin"/>
      </w:r>
      <w:r>
        <w:instrText xml:space="preserve"> SEQ level0 \*arabic </w:instrText>
      </w:r>
      <w:r>
        <w:fldChar w:fldCharType="separate"/>
      </w:r>
      <w:r w:rsidRPr="00A862AC" w:rsidR="00A862AC">
        <w:rPr>
          <w:noProof/>
        </w:rPr>
        <w:t>10</w:t>
      </w:r>
      <w:r>
        <w:rPr>
          <w:noProof/>
        </w:rPr>
        <w:fldChar w:fldCharType="end"/>
      </w:r>
      <w:r w:rsidRPr="00A862AC" w:rsidR="007D4514">
        <w:t>.  </w:t>
      </w:r>
      <w:r w:rsidRPr="00A862AC" w:rsidR="00DD0F02">
        <w:t xml:space="preserve">On 28 March 2012 the applicant </w:t>
      </w:r>
      <w:r w:rsidRPr="00A862AC" w:rsidR="00CE7C06">
        <w:t xml:space="preserve">applied </w:t>
      </w:r>
      <w:r w:rsidRPr="00A862AC" w:rsidR="00DD0F02">
        <w:t xml:space="preserve">for </w:t>
      </w:r>
      <w:r w:rsidRPr="00A862AC" w:rsidR="00CE7C06">
        <w:t xml:space="preserve">a </w:t>
      </w:r>
      <w:r w:rsidRPr="00A862AC" w:rsidR="00DD0F02">
        <w:t>disability allowance</w:t>
      </w:r>
      <w:r w:rsidRPr="00A862AC" w:rsidR="00580146">
        <w:t xml:space="preserve"> under the new law</w:t>
      </w:r>
      <w:r w:rsidRPr="00A862AC" w:rsidR="00DD0F02">
        <w:t xml:space="preserve">. </w:t>
      </w:r>
      <w:r w:rsidRPr="00A862AC" w:rsidR="00CE7C06">
        <w:t>O</w:t>
      </w:r>
      <w:r w:rsidRPr="00A862AC" w:rsidR="00DD0F02">
        <w:t xml:space="preserve">n 8 May 2012 </w:t>
      </w:r>
      <w:r w:rsidRPr="00A862AC" w:rsidR="00CE7C06">
        <w:t xml:space="preserve">he was medically examined </w:t>
      </w:r>
      <w:r w:rsidRPr="00A862AC" w:rsidR="00DD0F02">
        <w:t xml:space="preserve">before </w:t>
      </w:r>
      <w:r w:rsidRPr="00A862AC" w:rsidR="00CE7C06">
        <w:t xml:space="preserve">an </w:t>
      </w:r>
      <w:r w:rsidRPr="00A862AC" w:rsidR="00DD0F02">
        <w:t xml:space="preserve">expert </w:t>
      </w:r>
      <w:r w:rsidRPr="00A862AC" w:rsidR="00CE7C06">
        <w:t xml:space="preserve">panel </w:t>
      </w:r>
      <w:r w:rsidRPr="00A862AC" w:rsidR="00DD0F02">
        <w:t xml:space="preserve">of the National Rehabilitation and Social </w:t>
      </w:r>
      <w:r w:rsidRPr="00A862AC" w:rsidR="00A14E4C">
        <w:t xml:space="preserve">Welfare </w:t>
      </w:r>
      <w:r w:rsidRPr="00A862AC" w:rsidR="00DD0F02">
        <w:t>Authority. The applicant</w:t>
      </w:r>
      <w:r w:rsidRPr="00A862AC" w:rsidR="00A862AC">
        <w:t>’</w:t>
      </w:r>
      <w:r w:rsidRPr="00A862AC" w:rsidR="00DD0F02">
        <w:t xml:space="preserve">s state of health was rated at 46% and he was classified as </w:t>
      </w:r>
      <w:r w:rsidRPr="00A862AC" w:rsidR="00580146">
        <w:t>being</w:t>
      </w:r>
      <w:r w:rsidRPr="00A862AC" w:rsidR="00DD0F02">
        <w:t xml:space="preserve"> suitable for rehabilitation</w:t>
      </w:r>
      <w:r w:rsidRPr="00A862AC" w:rsidR="00580146">
        <w:t xml:space="preserve"> within </w:t>
      </w:r>
      <w:r w:rsidRPr="00A862AC" w:rsidR="00CE7C06">
        <w:t xml:space="preserve">a </w:t>
      </w:r>
      <w:r w:rsidRPr="00A862AC" w:rsidR="00580146">
        <w:t xml:space="preserve">time-frame of </w:t>
      </w:r>
      <w:r w:rsidRPr="00A862AC" w:rsidR="00CE7C06">
        <w:t>thirty-six</w:t>
      </w:r>
      <w:r w:rsidRPr="00A862AC" w:rsidR="00580146">
        <w:t xml:space="preserve"> months</w:t>
      </w:r>
      <w:r w:rsidRPr="00A862AC" w:rsidR="00DD0F02">
        <w:t>.</w:t>
      </w:r>
      <w:r w:rsidRPr="00A862AC" w:rsidR="00580146">
        <w:t xml:space="preserve"> The </w:t>
      </w:r>
      <w:r w:rsidRPr="00A862AC" w:rsidR="00CE7C06">
        <w:t>a</w:t>
      </w:r>
      <w:r w:rsidRPr="00A862AC" w:rsidR="00580146">
        <w:t xml:space="preserve">uthority </w:t>
      </w:r>
      <w:r w:rsidRPr="00A862AC" w:rsidR="001A37BC">
        <w:t xml:space="preserve">initially </w:t>
      </w:r>
      <w:r w:rsidRPr="00A862AC" w:rsidR="00580146">
        <w:t xml:space="preserve">granted him HUF </w:t>
      </w:r>
      <w:r w:rsidRPr="00A862AC" w:rsidR="007D4514">
        <w:t>41,850</w:t>
      </w:r>
      <w:r w:rsidRPr="00A862AC" w:rsidR="00C55D1C">
        <w:t xml:space="preserve"> (approximately EUR </w:t>
      </w:r>
      <w:r w:rsidRPr="00A862AC" w:rsidR="00D55D60">
        <w:t>140</w:t>
      </w:r>
      <w:r w:rsidRPr="00A862AC" w:rsidR="002E4AD7">
        <w:t>)</w:t>
      </w:r>
      <w:r w:rsidRPr="00A862AC" w:rsidR="007D4514">
        <w:t xml:space="preserve"> per month in disability allowance</w:t>
      </w:r>
      <w:r w:rsidRPr="00A862AC" w:rsidR="00D55D60">
        <w:t>, as of 1 July 2012.</w:t>
      </w:r>
    </w:p>
    <w:p w:rsidRPr="00A862AC" w:rsidR="009338DD" w:rsidP="00A862AC" w:rsidRDefault="008C695E">
      <w:pPr>
        <w:pStyle w:val="ECHRPara"/>
      </w:pPr>
      <w:r>
        <w:fldChar w:fldCharType="begin"/>
      </w:r>
      <w:r>
        <w:instrText xml:space="preserve"> SEQ level0 \*arabic </w:instrText>
      </w:r>
      <w:r>
        <w:fldChar w:fldCharType="separate"/>
      </w:r>
      <w:r w:rsidRPr="00A862AC" w:rsidR="00A862AC">
        <w:rPr>
          <w:noProof/>
        </w:rPr>
        <w:t>11</w:t>
      </w:r>
      <w:r>
        <w:rPr>
          <w:noProof/>
        </w:rPr>
        <w:fldChar w:fldCharType="end"/>
      </w:r>
      <w:r w:rsidRPr="00A862AC" w:rsidR="007D4514">
        <w:t>.  On appeal, the applicant</w:t>
      </w:r>
      <w:r w:rsidRPr="00A862AC" w:rsidR="00A862AC">
        <w:t>’</w:t>
      </w:r>
      <w:r w:rsidRPr="00A862AC" w:rsidR="007D4514">
        <w:t xml:space="preserve">s health score was maintained but the second-instance authority no longer recommended his rehabilitation. The monthly disability allowance corresponding to his situation was </w:t>
      </w:r>
      <w:r w:rsidRPr="00A862AC" w:rsidR="001A37BC">
        <w:t xml:space="preserve">eventually set at </w:t>
      </w:r>
      <w:r w:rsidRPr="00A862AC" w:rsidR="00DD0F02">
        <w:t>HUF</w:t>
      </w:r>
      <w:r w:rsidRPr="00A862AC" w:rsidR="003F163F">
        <w:t> </w:t>
      </w:r>
      <w:r w:rsidRPr="00A862AC" w:rsidR="00DD0F02">
        <w:t>55,800 (approximately EUR 180).</w:t>
      </w:r>
    </w:p>
    <w:p w:rsidRPr="00A862AC" w:rsidR="007D4514" w:rsidP="00A862AC" w:rsidRDefault="008C695E">
      <w:pPr>
        <w:pStyle w:val="ECHRPara"/>
        <w:rPr>
          <w:i/>
        </w:rPr>
      </w:pPr>
      <w:r>
        <w:fldChar w:fldCharType="begin"/>
      </w:r>
      <w:r>
        <w:instrText xml:space="preserve"> SEQ level0 \*arabic </w:instrText>
      </w:r>
      <w:r>
        <w:fldChar w:fldCharType="separate"/>
      </w:r>
      <w:r w:rsidRPr="00A862AC" w:rsidR="00A862AC">
        <w:rPr>
          <w:noProof/>
        </w:rPr>
        <w:t>12</w:t>
      </w:r>
      <w:r>
        <w:rPr>
          <w:noProof/>
        </w:rPr>
        <w:fldChar w:fldCharType="end"/>
      </w:r>
      <w:r w:rsidRPr="00A862AC" w:rsidR="004F11A6">
        <w:t>.  </w:t>
      </w:r>
      <w:r w:rsidRPr="00A862AC" w:rsidR="00DD0F02">
        <w:t xml:space="preserve">The applicant sought </w:t>
      </w:r>
      <w:r w:rsidRPr="00A862AC" w:rsidR="0016623B">
        <w:t xml:space="preserve">a </w:t>
      </w:r>
      <w:r w:rsidRPr="00A862AC" w:rsidR="00DD0F02">
        <w:t xml:space="preserve">judicial review </w:t>
      </w:r>
      <w:r w:rsidRPr="00A862AC" w:rsidR="007D4514">
        <w:t xml:space="preserve">before </w:t>
      </w:r>
      <w:r w:rsidRPr="00A862AC" w:rsidR="00DD0F02">
        <w:t>the Pécs Administrative and</w:t>
      </w:r>
      <w:r w:rsidRPr="00A862AC" w:rsidR="00DD0F02">
        <w:rPr>
          <w:lang w:val="en-GB"/>
        </w:rPr>
        <w:t xml:space="preserve"> Labour</w:t>
      </w:r>
      <w:r w:rsidRPr="00A862AC" w:rsidR="00DD0F02">
        <w:t xml:space="preserve"> Court</w:t>
      </w:r>
      <w:r w:rsidRPr="00A862AC" w:rsidR="007D4514">
        <w:t xml:space="preserve">, but in vain. On 26 May 2014 the </w:t>
      </w:r>
      <w:r w:rsidRPr="00A862AC" w:rsidR="007D4514">
        <w:rPr>
          <w:i/>
        </w:rPr>
        <w:t>Kúria</w:t>
      </w:r>
      <w:r w:rsidRPr="00A862AC" w:rsidR="007D4514">
        <w:t xml:space="preserve"> r</w:t>
      </w:r>
      <w:r w:rsidRPr="00A862AC" w:rsidR="004413F3">
        <w:t>ejected his petition for review on the ground</w:t>
      </w:r>
      <w:r w:rsidRPr="00A862AC" w:rsidR="0016623B">
        <w:t>s</w:t>
      </w:r>
      <w:r w:rsidRPr="00A862AC" w:rsidR="004413F3">
        <w:t xml:space="preserve"> that he </w:t>
      </w:r>
      <w:r w:rsidRPr="00A862AC" w:rsidR="0016623B">
        <w:t xml:space="preserve">had </w:t>
      </w:r>
      <w:r w:rsidRPr="00A862AC" w:rsidR="004413F3">
        <w:t xml:space="preserve">not </w:t>
      </w:r>
      <w:r w:rsidRPr="00A862AC" w:rsidR="0016623B">
        <w:t xml:space="preserve">relied </w:t>
      </w:r>
      <w:r w:rsidRPr="00A862AC" w:rsidR="004413F3">
        <w:t xml:space="preserve">on any particular breach of </w:t>
      </w:r>
      <w:r w:rsidRPr="00A862AC" w:rsidR="0016623B">
        <w:t xml:space="preserve">the </w:t>
      </w:r>
      <w:r w:rsidRPr="00A862AC" w:rsidR="004413F3">
        <w:t xml:space="preserve">law, </w:t>
      </w:r>
      <w:r w:rsidRPr="00A862AC" w:rsidR="0016623B">
        <w:t xml:space="preserve">as </w:t>
      </w:r>
      <w:r w:rsidRPr="00A862AC" w:rsidR="004413F3">
        <w:t>required by the Code of Civil Procedure.</w:t>
      </w:r>
    </w:p>
    <w:p w:rsidRPr="00A862AC" w:rsidR="00DD0F02" w:rsidP="00A862AC" w:rsidRDefault="008C695E">
      <w:pPr>
        <w:pStyle w:val="ECHRPara"/>
      </w:pPr>
      <w:r>
        <w:fldChar w:fldCharType="begin"/>
      </w:r>
      <w:r>
        <w:instrText xml:space="preserve"> SEQ level0 \*arabic </w:instrText>
      </w:r>
      <w:r>
        <w:fldChar w:fldCharType="separate"/>
      </w:r>
      <w:r w:rsidRPr="00A862AC" w:rsidR="00A862AC">
        <w:rPr>
          <w:noProof/>
        </w:rPr>
        <w:t>13</w:t>
      </w:r>
      <w:r>
        <w:rPr>
          <w:noProof/>
        </w:rPr>
        <w:fldChar w:fldCharType="end"/>
      </w:r>
      <w:r w:rsidRPr="00A862AC" w:rsidR="007D4514">
        <w:t>.  </w:t>
      </w:r>
      <w:r w:rsidRPr="00A862AC" w:rsidR="0016623B">
        <w:t>Following</w:t>
      </w:r>
      <w:r w:rsidRPr="00A862AC" w:rsidR="007D4514">
        <w:t xml:space="preserve"> a further legislative amendment</w:t>
      </w:r>
      <w:r w:rsidRPr="00A862AC" w:rsidR="00AE5E08">
        <w:t xml:space="preserve"> of 1 April 2014</w:t>
      </w:r>
      <w:r w:rsidRPr="00A862AC" w:rsidR="007D4514">
        <w:t>, the applicant became entitled t</w:t>
      </w:r>
      <w:r w:rsidRPr="00A862AC" w:rsidR="00C55D1C">
        <w:t>o a disability allowance of HUF </w:t>
      </w:r>
      <w:r w:rsidRPr="00A862AC" w:rsidR="007D4514">
        <w:t xml:space="preserve">159,100 </w:t>
      </w:r>
      <w:r w:rsidRPr="00A862AC" w:rsidR="002E4AD7">
        <w:t xml:space="preserve">(approximately EUR </w:t>
      </w:r>
      <w:r w:rsidRPr="00A862AC" w:rsidR="001A37BC">
        <w:t>520</w:t>
      </w:r>
      <w:r w:rsidRPr="00A862AC" w:rsidR="002E4AD7">
        <w:t xml:space="preserve">) </w:t>
      </w:r>
      <w:r w:rsidRPr="00A862AC" w:rsidR="007D4514">
        <w:t>per month</w:t>
      </w:r>
      <w:r w:rsidRPr="00A862AC" w:rsidR="00AE5E08">
        <w:t xml:space="preserve"> retroactively as of 1 January 2014</w:t>
      </w:r>
      <w:r w:rsidRPr="00A862AC" w:rsidR="007D4514">
        <w:t>.</w:t>
      </w:r>
    </w:p>
    <w:p w:rsidRPr="00A862AC" w:rsidR="00014566" w:rsidP="00A862AC" w:rsidRDefault="00014566">
      <w:pPr>
        <w:pStyle w:val="ECHRTitle1"/>
        <w:rPr>
          <w:lang w:val="en-GB"/>
        </w:rPr>
      </w:pPr>
      <w:r w:rsidRPr="00A862AC">
        <w:rPr>
          <w:lang w:val="en-GB"/>
        </w:rPr>
        <w:t>THE LAW</w:t>
      </w:r>
    </w:p>
    <w:p w:rsidRPr="00A862AC" w:rsidR="00014566" w:rsidP="00A862AC" w:rsidRDefault="00014566">
      <w:pPr>
        <w:pStyle w:val="ECHRHeading1"/>
        <w:rPr>
          <w:lang w:val="en-GB"/>
        </w:rPr>
      </w:pPr>
      <w:r w:rsidRPr="00A862AC">
        <w:rPr>
          <w:lang w:val="en-GB"/>
        </w:rPr>
        <w:t xml:space="preserve">I.  ALLEGED VIOLATION OF ARTICLE </w:t>
      </w:r>
      <w:r w:rsidRPr="00A862AC" w:rsidR="007D4514">
        <w:rPr>
          <w:lang w:val="en-GB"/>
        </w:rPr>
        <w:t>1 OF PROTOCOL NO. 1 TO</w:t>
      </w:r>
      <w:r w:rsidRPr="00A862AC">
        <w:rPr>
          <w:lang w:val="en-GB"/>
        </w:rPr>
        <w:t xml:space="preserve"> THE CONVENTION</w:t>
      </w:r>
    </w:p>
    <w:p w:rsidRPr="00A862AC" w:rsidR="00C0020B" w:rsidP="00A862AC" w:rsidRDefault="009B3837">
      <w:pPr>
        <w:pStyle w:val="ECHRPara"/>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14</w:t>
      </w:r>
      <w:r w:rsidRPr="00A862AC">
        <w:rPr>
          <w:lang w:val="en-GB"/>
        </w:rPr>
        <w:fldChar w:fldCharType="end"/>
      </w:r>
      <w:r w:rsidRPr="00A862AC" w:rsidR="00014566">
        <w:rPr>
          <w:lang w:val="en-GB"/>
        </w:rPr>
        <w:t xml:space="preserve">.  The applicant complained that </w:t>
      </w:r>
      <w:r w:rsidRPr="00A862AC" w:rsidR="007D4514">
        <w:rPr>
          <w:lang w:val="en-GB"/>
        </w:rPr>
        <w:t xml:space="preserve">the drastic </w:t>
      </w:r>
      <w:r w:rsidRPr="00A862AC" w:rsidR="00C0020B">
        <w:rPr>
          <w:lang w:val="en-GB"/>
        </w:rPr>
        <w:t>decrease</w:t>
      </w:r>
      <w:r w:rsidRPr="00A862AC" w:rsidR="007D4514">
        <w:rPr>
          <w:lang w:val="en-GB"/>
        </w:rPr>
        <w:t xml:space="preserve"> in his monthly disability allowance, which </w:t>
      </w:r>
      <w:r w:rsidRPr="00A862AC" w:rsidR="00C0020B">
        <w:rPr>
          <w:lang w:val="en-GB"/>
        </w:rPr>
        <w:t xml:space="preserve">had </w:t>
      </w:r>
      <w:r w:rsidRPr="00A862AC" w:rsidR="007D4514">
        <w:rPr>
          <w:lang w:val="en-GB"/>
        </w:rPr>
        <w:t>prevailed between 1 July 2012 and 31</w:t>
      </w:r>
      <w:r w:rsidRPr="00A862AC" w:rsidR="003F163F">
        <w:rPr>
          <w:lang w:val="en-GB"/>
        </w:rPr>
        <w:t> </w:t>
      </w:r>
      <w:r w:rsidRPr="00A862AC" w:rsidR="00C0020B">
        <w:rPr>
          <w:lang w:val="en-GB"/>
        </w:rPr>
        <w:t>December</w:t>
      </w:r>
      <w:r w:rsidRPr="00A862AC" w:rsidR="007D4514">
        <w:rPr>
          <w:lang w:val="en-GB"/>
        </w:rPr>
        <w:t xml:space="preserve"> 2013</w:t>
      </w:r>
      <w:r w:rsidRPr="00A862AC" w:rsidR="00C0020B">
        <w:rPr>
          <w:lang w:val="en-GB"/>
        </w:rPr>
        <w:t>,</w:t>
      </w:r>
      <w:r w:rsidRPr="00A862AC" w:rsidR="007D4514">
        <w:rPr>
          <w:lang w:val="en-GB"/>
        </w:rPr>
        <w:t xml:space="preserve"> amounted to an unjustified </w:t>
      </w:r>
      <w:r w:rsidRPr="00A862AC" w:rsidR="00C0020B">
        <w:rPr>
          <w:lang w:val="en-GB"/>
        </w:rPr>
        <w:t>deprivation</w:t>
      </w:r>
      <w:r w:rsidRPr="00A862AC" w:rsidR="007D4514">
        <w:rPr>
          <w:lang w:val="en-GB"/>
        </w:rPr>
        <w:t xml:space="preserve"> of </w:t>
      </w:r>
      <w:r w:rsidRPr="00A862AC" w:rsidR="00C0020B">
        <w:rPr>
          <w:lang w:val="en-GB"/>
        </w:rPr>
        <w:t>possessions</w:t>
      </w:r>
      <w:r w:rsidRPr="00A862AC" w:rsidR="007D4514">
        <w:rPr>
          <w:lang w:val="en-GB"/>
        </w:rPr>
        <w:t xml:space="preserve"> in view of the fact that </w:t>
      </w:r>
      <w:r w:rsidRPr="00A862AC" w:rsidR="002D652B">
        <w:rPr>
          <w:lang w:val="en-GB"/>
        </w:rPr>
        <w:t xml:space="preserve">his </w:t>
      </w:r>
      <w:r w:rsidRPr="00A862AC" w:rsidR="007D4514">
        <w:rPr>
          <w:lang w:val="en-GB"/>
        </w:rPr>
        <w:t xml:space="preserve">underlying medical </w:t>
      </w:r>
      <w:r w:rsidRPr="00A862AC" w:rsidR="00C0020B">
        <w:rPr>
          <w:lang w:val="en-GB"/>
        </w:rPr>
        <w:t>condition</w:t>
      </w:r>
      <w:r w:rsidRPr="00A862AC" w:rsidR="007D4514">
        <w:rPr>
          <w:lang w:val="en-GB"/>
        </w:rPr>
        <w:t xml:space="preserve"> </w:t>
      </w:r>
      <w:r w:rsidRPr="00A862AC" w:rsidR="002D652B">
        <w:rPr>
          <w:lang w:val="en-GB"/>
        </w:rPr>
        <w:t xml:space="preserve">had </w:t>
      </w:r>
      <w:r w:rsidRPr="00A862AC" w:rsidR="007D4514">
        <w:rPr>
          <w:lang w:val="en-GB"/>
        </w:rPr>
        <w:t>not change</w:t>
      </w:r>
      <w:r w:rsidRPr="00A862AC" w:rsidR="002D652B">
        <w:rPr>
          <w:lang w:val="en-GB"/>
        </w:rPr>
        <w:t>d</w:t>
      </w:r>
      <w:r w:rsidRPr="00A862AC" w:rsidR="00C0020B">
        <w:rPr>
          <w:lang w:val="en-GB"/>
        </w:rPr>
        <w:t>.</w:t>
      </w:r>
      <w:r w:rsidRPr="00A862AC" w:rsidR="007D4514">
        <w:rPr>
          <w:lang w:val="en-GB"/>
        </w:rPr>
        <w:t xml:space="preserve"> He relied on </w:t>
      </w:r>
      <w:r w:rsidRPr="00A862AC" w:rsidR="00C0020B">
        <w:t>Article 1 of Protocol No. 1</w:t>
      </w:r>
      <w:r w:rsidRPr="00A862AC" w:rsidR="000F34B5">
        <w:t xml:space="preserve"> </w:t>
      </w:r>
      <w:r w:rsidRPr="00A862AC" w:rsidR="002D652B">
        <w:t xml:space="preserve">to the Convention </w:t>
      </w:r>
      <w:r w:rsidRPr="00A862AC" w:rsidR="000F34B5">
        <w:t xml:space="preserve">and </w:t>
      </w:r>
      <w:r w:rsidRPr="00A862AC" w:rsidR="00C55D1C">
        <w:t>Articles </w:t>
      </w:r>
      <w:r w:rsidRPr="00A862AC" w:rsidR="00C0020B">
        <w:t>6, 8, 13 and 14 of the Convention.</w:t>
      </w:r>
    </w:p>
    <w:p w:rsidRPr="00A862AC" w:rsidR="00014566" w:rsidP="00A862AC" w:rsidRDefault="00C0020B">
      <w:pPr>
        <w:pStyle w:val="ECHRPara"/>
        <w:rPr>
          <w:lang w:val="en-GB"/>
        </w:rPr>
      </w:pPr>
      <w:r w:rsidRPr="00A862AC">
        <w:t xml:space="preserve">The Court considers that the complaint falls to be examined </w:t>
      </w:r>
      <w:r w:rsidRPr="00A862AC">
        <w:rPr>
          <w:lang w:val="en-GB"/>
        </w:rPr>
        <w:t>under</w:t>
      </w:r>
      <w:r w:rsidRPr="00A862AC" w:rsidR="00014566">
        <w:rPr>
          <w:lang w:val="en-GB"/>
        </w:rPr>
        <w:t xml:space="preserve"> </w:t>
      </w:r>
      <w:r w:rsidRPr="00A862AC">
        <w:rPr>
          <w:lang w:val="en-GB"/>
        </w:rPr>
        <w:t>A</w:t>
      </w:r>
      <w:r w:rsidRPr="00A862AC" w:rsidR="00014566">
        <w:rPr>
          <w:lang w:val="en-GB"/>
        </w:rPr>
        <w:t>rticle</w:t>
      </w:r>
      <w:r w:rsidRPr="00A862AC" w:rsidR="000F34B5">
        <w:rPr>
          <w:lang w:val="en-GB"/>
        </w:rPr>
        <w:t> </w:t>
      </w:r>
      <w:r w:rsidRPr="00A862AC">
        <w:rPr>
          <w:lang w:val="en-GB"/>
        </w:rPr>
        <w:t>1 of Protocol No. 1</w:t>
      </w:r>
      <w:r w:rsidRPr="00A862AC" w:rsidR="000F34B5">
        <w:rPr>
          <w:lang w:val="en-GB"/>
        </w:rPr>
        <w:t xml:space="preserve"> alone</w:t>
      </w:r>
      <w:r w:rsidRPr="00A862AC" w:rsidR="00014566">
        <w:rPr>
          <w:lang w:val="en-GB"/>
        </w:rPr>
        <w:t>, which reads as follows:</w:t>
      </w:r>
    </w:p>
    <w:p w:rsidRPr="00A862AC" w:rsidR="007D4514" w:rsidP="00A862AC" w:rsidRDefault="007D4514">
      <w:pPr>
        <w:pStyle w:val="ECHRParaQuote"/>
      </w:pPr>
      <w:r w:rsidRPr="00A862AC">
        <w:t>“Every natural or legal person is entitled to the peaceful enjoyment of his possessions. No one shall be deprived of his possessions except in the public interest and subject to the conditions provided for by law and by the general principles of international law.</w:t>
      </w:r>
    </w:p>
    <w:p w:rsidRPr="00A862AC" w:rsidR="00014566" w:rsidP="00A862AC" w:rsidRDefault="007D4514">
      <w:pPr>
        <w:pStyle w:val="ECHRParaQuote"/>
        <w:rPr>
          <w:lang w:val="en-GB"/>
        </w:rPr>
      </w:pPr>
      <w:r w:rsidRPr="00A862AC">
        <w:t>The preceding provisions shall not, however, in any way impair the right of a State to enforce such laws as it deems necessary to control the use of property in accordance with the general interest or to secure the payment of taxes or other contributions or penalties.”</w:t>
      </w:r>
    </w:p>
    <w:p w:rsidRPr="00A862AC" w:rsidR="00014566" w:rsidP="00A862AC" w:rsidRDefault="00014566">
      <w:pPr>
        <w:pStyle w:val="ECHRHeading2"/>
        <w:rPr>
          <w:lang w:val="en-GB"/>
        </w:rPr>
      </w:pPr>
      <w:r w:rsidRPr="00A862AC">
        <w:rPr>
          <w:lang w:val="en-GB"/>
        </w:rPr>
        <w:t>A.  Admissibility</w:t>
      </w:r>
    </w:p>
    <w:p w:rsidRPr="00A862AC" w:rsidR="008103F7"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15</w:t>
      </w:r>
      <w:r w:rsidRPr="00A862AC">
        <w:rPr>
          <w:lang w:val="en-GB"/>
        </w:rPr>
        <w:fldChar w:fldCharType="end"/>
      </w:r>
      <w:r w:rsidRPr="00A862AC" w:rsidR="00014566">
        <w:rPr>
          <w:lang w:val="en-GB"/>
        </w:rPr>
        <w:t xml:space="preserve">.  The </w:t>
      </w:r>
      <w:r w:rsidRPr="00A862AC" w:rsidR="008103F7">
        <w:rPr>
          <w:lang w:val="en-GB"/>
        </w:rPr>
        <w:t xml:space="preserve">Government argued that the application </w:t>
      </w:r>
      <w:r w:rsidRPr="00A862AC" w:rsidR="00A76242">
        <w:rPr>
          <w:lang w:val="en-GB"/>
        </w:rPr>
        <w:t>was</w:t>
      </w:r>
      <w:r w:rsidRPr="00A862AC" w:rsidR="008103F7">
        <w:rPr>
          <w:lang w:val="en-GB"/>
        </w:rPr>
        <w:t xml:space="preserve"> incompatible </w:t>
      </w:r>
      <w:r w:rsidRPr="00A862AC" w:rsidR="008103F7">
        <w:rPr>
          <w:i/>
          <w:lang w:val="en-GB"/>
        </w:rPr>
        <w:t>ratione materiae</w:t>
      </w:r>
      <w:r w:rsidRPr="00A862AC" w:rsidR="008103F7">
        <w:rPr>
          <w:lang w:val="en-GB"/>
        </w:rPr>
        <w:t xml:space="preserve"> with the provisions of the Convention. They essentially reiterated the arguments </w:t>
      </w:r>
      <w:r w:rsidRPr="00A862AC" w:rsidR="002D652B">
        <w:rPr>
          <w:lang w:val="en-GB"/>
        </w:rPr>
        <w:t xml:space="preserve">they had </w:t>
      </w:r>
      <w:r w:rsidRPr="00A862AC" w:rsidR="008103F7">
        <w:rPr>
          <w:lang w:val="en-GB"/>
        </w:rPr>
        <w:t xml:space="preserve">put forward in the case of </w:t>
      </w:r>
      <w:proofErr w:type="spellStart"/>
      <w:r w:rsidRPr="00A862AC" w:rsidR="00937A8E">
        <w:rPr>
          <w:rStyle w:val="JuParaCar"/>
          <w:i/>
          <w:iCs/>
        </w:rPr>
        <w:t>Béláné</w:t>
      </w:r>
      <w:proofErr w:type="spellEnd"/>
      <w:r w:rsidRPr="00A862AC" w:rsidR="00937A8E">
        <w:rPr>
          <w:rStyle w:val="JuParaCar"/>
          <w:i/>
          <w:iCs/>
        </w:rPr>
        <w:t xml:space="preserve"> Nagy v. </w:t>
      </w:r>
      <w:r w:rsidRPr="00A862AC" w:rsidR="008103F7">
        <w:rPr>
          <w:rStyle w:val="JuParaCar"/>
          <w:i/>
          <w:iCs/>
        </w:rPr>
        <w:t>Hungary</w:t>
      </w:r>
      <w:r w:rsidRPr="00A862AC" w:rsidR="008103F7">
        <w:rPr>
          <w:snapToGrid w:val="0"/>
        </w:rPr>
        <w:t xml:space="preserve"> (</w:t>
      </w:r>
      <w:r w:rsidRPr="00A862AC" w:rsidR="008103F7">
        <w:rPr>
          <w:rStyle w:val="JuParaCar"/>
        </w:rPr>
        <w:t>[GC],</w:t>
      </w:r>
      <w:r w:rsidRPr="00A862AC" w:rsidR="008103F7">
        <w:rPr>
          <w:snapToGrid w:val="0"/>
        </w:rPr>
        <w:t xml:space="preserve"> </w:t>
      </w:r>
      <w:r w:rsidRPr="00A862AC" w:rsidR="008103F7">
        <w:rPr>
          <w:rStyle w:val="JuParaCar"/>
        </w:rPr>
        <w:t>no. 53080/13, §§ 60</w:t>
      </w:r>
      <w:r w:rsidRPr="00A862AC" w:rsidR="001076C0">
        <w:rPr>
          <w:rStyle w:val="JuParaCar"/>
        </w:rPr>
        <w:t>-</w:t>
      </w:r>
      <w:r w:rsidRPr="00A862AC" w:rsidR="008103F7">
        <w:rPr>
          <w:rStyle w:val="JuParaCar"/>
        </w:rPr>
        <w:t>66, 13 December 2016),</w:t>
      </w:r>
      <w:r w:rsidRPr="00A862AC" w:rsidR="008103F7">
        <w:rPr>
          <w:rStyle w:val="JuParaCar"/>
          <w:lang w:val="en-GB"/>
        </w:rPr>
        <w:t xml:space="preserve"> emphasising</w:t>
      </w:r>
      <w:r w:rsidRPr="00A862AC" w:rsidR="008103F7">
        <w:rPr>
          <w:rStyle w:val="JuParaCar"/>
        </w:rPr>
        <w:t xml:space="preserve">, as an additional and crucial element, that the present application concerned a fixed-term benefit which, on its expiry, did not create any </w:t>
      </w:r>
      <w:r w:rsidRPr="00A862AC" w:rsidR="008103F7">
        <w:rPr>
          <w:rStyle w:val="JuParaCar"/>
          <w:lang w:val="en-GB"/>
        </w:rPr>
        <w:t>“assertable</w:t>
      </w:r>
      <w:r w:rsidRPr="00A862AC" w:rsidR="008103F7">
        <w:rPr>
          <w:rStyle w:val="JuParaCar"/>
        </w:rPr>
        <w:t xml:space="preserve"> right” or “legitimate expectation” </w:t>
      </w:r>
      <w:r w:rsidRPr="00A862AC" w:rsidR="00A76242">
        <w:rPr>
          <w:rStyle w:val="JuParaCar"/>
        </w:rPr>
        <w:t>enabling</w:t>
      </w:r>
      <w:r w:rsidRPr="00A862AC" w:rsidR="008103F7">
        <w:rPr>
          <w:rStyle w:val="JuParaCar"/>
        </w:rPr>
        <w:t xml:space="preserve"> the applicant to avail himself of Article 1 of Protocol No</w:t>
      </w:r>
      <w:r w:rsidRPr="00A862AC" w:rsidR="002D652B">
        <w:rPr>
          <w:rStyle w:val="JuParaCar"/>
        </w:rPr>
        <w:t>.</w:t>
      </w:r>
      <w:r w:rsidRPr="00A862AC" w:rsidR="008103F7">
        <w:rPr>
          <w:rStyle w:val="JuParaCar"/>
        </w:rPr>
        <w:t xml:space="preserve"> 1 </w:t>
      </w:r>
      <w:r w:rsidRPr="00A862AC" w:rsidR="008103F7">
        <w:rPr>
          <w:lang w:val="en-GB"/>
        </w:rPr>
        <w:t>in order to challenge the reduced benefit granted to him in the period complained of.</w:t>
      </w:r>
    </w:p>
    <w:p w:rsidRPr="00A862AC" w:rsidR="008103F7" w:rsidP="00A862AC" w:rsidRDefault="008103F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16</w:t>
      </w:r>
      <w:r w:rsidRPr="00A862AC">
        <w:rPr>
          <w:lang w:val="en-GB"/>
        </w:rPr>
        <w:fldChar w:fldCharType="end"/>
      </w:r>
      <w:r w:rsidRPr="00A862AC">
        <w:rPr>
          <w:lang w:val="en-GB"/>
        </w:rPr>
        <w:t xml:space="preserve">.  The applicant contested </w:t>
      </w:r>
      <w:r w:rsidRPr="00A862AC" w:rsidR="002D652B">
        <w:rPr>
          <w:lang w:val="en-GB"/>
        </w:rPr>
        <w:t xml:space="preserve">that </w:t>
      </w:r>
      <w:r w:rsidRPr="00A862AC">
        <w:rPr>
          <w:lang w:val="en-GB"/>
        </w:rPr>
        <w:t>view.</w:t>
      </w:r>
    </w:p>
    <w:p w:rsidRPr="00A862AC" w:rsidR="00014566" w:rsidP="00A862AC" w:rsidRDefault="008103F7">
      <w:pPr>
        <w:pStyle w:val="ECHRPara"/>
        <w:rPr>
          <w:snapToGrid w:val="0"/>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17</w:t>
      </w:r>
      <w:r w:rsidRPr="00A862AC">
        <w:rPr>
          <w:lang w:val="en-GB"/>
        </w:rPr>
        <w:fldChar w:fldCharType="end"/>
      </w:r>
      <w:r w:rsidRPr="00A862AC">
        <w:rPr>
          <w:lang w:val="en-GB"/>
        </w:rPr>
        <w:t xml:space="preserve">.  The Court </w:t>
      </w:r>
      <w:r w:rsidRPr="00A862AC" w:rsidR="00A76242">
        <w:rPr>
          <w:lang w:val="en-GB"/>
        </w:rPr>
        <w:t xml:space="preserve">considers that </w:t>
      </w:r>
      <w:r w:rsidRPr="00A862AC">
        <w:rPr>
          <w:lang w:val="en-GB"/>
        </w:rPr>
        <w:t xml:space="preserve">the </w:t>
      </w:r>
      <w:r w:rsidRPr="00A862AC" w:rsidR="00A76242">
        <w:rPr>
          <w:lang w:val="en-GB"/>
        </w:rPr>
        <w:t>Government</w:t>
      </w:r>
      <w:r w:rsidRPr="00A862AC" w:rsidR="00A862AC">
        <w:rPr>
          <w:lang w:val="en-GB"/>
        </w:rPr>
        <w:t>’</w:t>
      </w:r>
      <w:r w:rsidRPr="00A862AC" w:rsidR="00A76242">
        <w:rPr>
          <w:lang w:val="en-GB"/>
        </w:rPr>
        <w:t xml:space="preserve">s </w:t>
      </w:r>
      <w:r w:rsidRPr="00A862AC">
        <w:rPr>
          <w:lang w:val="en-GB"/>
        </w:rPr>
        <w:t>objection is so closely linked to the substance of the applicant</w:t>
      </w:r>
      <w:r w:rsidRPr="00A862AC" w:rsidR="00A862AC">
        <w:rPr>
          <w:lang w:val="en-GB"/>
        </w:rPr>
        <w:t>’</w:t>
      </w:r>
      <w:r w:rsidRPr="00A862AC">
        <w:rPr>
          <w:lang w:val="en-GB"/>
        </w:rPr>
        <w:t>s complaint that it should be joined to the merits</w:t>
      </w:r>
      <w:r w:rsidRPr="00A862AC" w:rsidR="00A76242">
        <w:rPr>
          <w:lang w:val="en-GB"/>
        </w:rPr>
        <w:t xml:space="preserve"> (see </w:t>
      </w:r>
      <w:r w:rsidRPr="00A862AC" w:rsidR="00A76242">
        <w:rPr>
          <w:i/>
          <w:lang w:val="en-GB"/>
        </w:rPr>
        <w:t>Béláné Nagy</w:t>
      </w:r>
      <w:r w:rsidRPr="00A862AC" w:rsidR="00A76242">
        <w:rPr>
          <w:lang w:val="en-GB"/>
        </w:rPr>
        <w:t>, cited above, § 71)</w:t>
      </w:r>
      <w:r w:rsidRPr="00A862AC">
        <w:rPr>
          <w:lang w:val="en-GB"/>
        </w:rPr>
        <w:t>.</w:t>
      </w:r>
      <w:r w:rsidRPr="00A862AC" w:rsidR="00A76242">
        <w:rPr>
          <w:lang w:val="en-GB"/>
        </w:rPr>
        <w:t xml:space="preserve"> </w:t>
      </w:r>
      <w:r w:rsidRPr="00A862AC" w:rsidR="00014566">
        <w:rPr>
          <w:lang w:val="en-GB"/>
        </w:rPr>
        <w:t xml:space="preserve">It further notes that </w:t>
      </w:r>
      <w:r w:rsidRPr="00A862AC" w:rsidR="000B38F3">
        <w:rPr>
          <w:lang w:val="en-GB"/>
        </w:rPr>
        <w:t xml:space="preserve">the application </w:t>
      </w:r>
      <w:r w:rsidRPr="00A862AC" w:rsidR="00014566">
        <w:rPr>
          <w:lang w:val="en-GB"/>
        </w:rPr>
        <w:t>is not inadmissible on any other grounds. It must therefore be declared admissible.</w:t>
      </w:r>
    </w:p>
    <w:p w:rsidRPr="00A862AC" w:rsidR="00014566" w:rsidP="00A862AC" w:rsidRDefault="00014566">
      <w:pPr>
        <w:pStyle w:val="ECHRHeading2"/>
        <w:rPr>
          <w:lang w:val="en-GB"/>
        </w:rPr>
      </w:pPr>
      <w:r w:rsidRPr="00A862AC">
        <w:rPr>
          <w:lang w:val="en-GB"/>
        </w:rPr>
        <w:t>B.  Merits</w:t>
      </w:r>
    </w:p>
    <w:p w:rsidRPr="00A862AC" w:rsidR="00D85BA5" w:rsidP="00A862AC" w:rsidRDefault="00D85BA5">
      <w:pPr>
        <w:pStyle w:val="ECHRHeading3"/>
        <w:rPr>
          <w:lang w:val="en-GB"/>
        </w:rPr>
      </w:pPr>
      <w:r w:rsidRPr="00A862AC">
        <w:rPr>
          <w:lang w:val="en-GB"/>
        </w:rPr>
        <w:t>1.  The parties</w:t>
      </w:r>
      <w:r w:rsidRPr="00A862AC" w:rsidR="00A862AC">
        <w:rPr>
          <w:lang w:val="en-GB"/>
        </w:rPr>
        <w:t>’</w:t>
      </w:r>
      <w:r w:rsidRPr="00A862AC">
        <w:rPr>
          <w:lang w:val="en-GB"/>
        </w:rPr>
        <w:t xml:space="preserve"> submissions</w:t>
      </w:r>
    </w:p>
    <w:p w:rsidRPr="00A862AC" w:rsidR="009338DD"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18</w:t>
      </w:r>
      <w:r w:rsidRPr="00A862AC">
        <w:rPr>
          <w:lang w:val="en-GB"/>
        </w:rPr>
        <w:fldChar w:fldCharType="end"/>
      </w:r>
      <w:r w:rsidRPr="00A862AC" w:rsidR="00014566">
        <w:rPr>
          <w:lang w:val="en-GB"/>
        </w:rPr>
        <w:t>.  </w:t>
      </w:r>
      <w:r w:rsidRPr="00A862AC" w:rsidR="00A76242">
        <w:rPr>
          <w:lang w:val="en-GB"/>
        </w:rPr>
        <w:t>As to the applicability of Article 1 of Protocol No. 1, t</w:t>
      </w:r>
      <w:r w:rsidRPr="00A862AC" w:rsidR="00014566">
        <w:rPr>
          <w:lang w:val="en-GB"/>
        </w:rPr>
        <w:t xml:space="preserve">he applicant </w:t>
      </w:r>
      <w:r w:rsidRPr="00A862AC" w:rsidR="00A76242">
        <w:rPr>
          <w:lang w:val="en-GB"/>
        </w:rPr>
        <w:t xml:space="preserve">submitted that, </w:t>
      </w:r>
      <w:r w:rsidRPr="00A862AC" w:rsidR="002D652B">
        <w:rPr>
          <w:lang w:val="en-GB"/>
        </w:rPr>
        <w:t xml:space="preserve">given that his </w:t>
      </w:r>
      <w:r w:rsidRPr="00A862AC" w:rsidR="00A76242">
        <w:rPr>
          <w:lang w:val="en-GB"/>
        </w:rPr>
        <w:t>state of health</w:t>
      </w:r>
      <w:r w:rsidRPr="00A862AC" w:rsidR="002D652B">
        <w:rPr>
          <w:lang w:val="en-GB"/>
        </w:rPr>
        <w:t xml:space="preserve"> was permanently impaired</w:t>
      </w:r>
      <w:r w:rsidRPr="00A862AC" w:rsidR="00A76242">
        <w:rPr>
          <w:lang w:val="en-GB"/>
        </w:rPr>
        <w:t>, he legitimately expected an adequate benefit from the State</w:t>
      </w:r>
      <w:r w:rsidRPr="00A862AC" w:rsidR="00A71620">
        <w:rPr>
          <w:lang w:val="en-GB"/>
        </w:rPr>
        <w:t xml:space="preserve"> throughout</w:t>
      </w:r>
      <w:r w:rsidRPr="00A862AC" w:rsidR="00A76242">
        <w:rPr>
          <w:lang w:val="en-GB"/>
        </w:rPr>
        <w:t xml:space="preserve">, notwithstanding the fact that the statutory time-frame for rehabilitation was a fixed-term one. Any change in the rate of his health impairment was </w:t>
      </w:r>
      <w:r w:rsidRPr="00A862AC" w:rsidR="00A14E4C">
        <w:rPr>
          <w:lang w:val="en-GB"/>
        </w:rPr>
        <w:t xml:space="preserve">artificial and had resulted merely </w:t>
      </w:r>
      <w:r w:rsidRPr="00A862AC" w:rsidR="00A76242">
        <w:rPr>
          <w:lang w:val="en-GB"/>
        </w:rPr>
        <w:t xml:space="preserve">from the 2008 change </w:t>
      </w:r>
      <w:r w:rsidRPr="00A862AC" w:rsidR="002D652B">
        <w:rPr>
          <w:lang w:val="en-GB"/>
        </w:rPr>
        <w:t xml:space="preserve">in the </w:t>
      </w:r>
      <w:r w:rsidRPr="00A862AC" w:rsidR="00A76242">
        <w:rPr>
          <w:lang w:val="en-GB"/>
        </w:rPr>
        <w:t>scoring methodology.</w:t>
      </w:r>
    </w:p>
    <w:p w:rsidRPr="00A862AC" w:rsidR="00014566" w:rsidP="00A862AC" w:rsidRDefault="00A71620">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19</w:t>
      </w:r>
      <w:r w:rsidRPr="00A862AC">
        <w:rPr>
          <w:lang w:val="en-GB"/>
        </w:rPr>
        <w:fldChar w:fldCharType="end"/>
      </w:r>
      <w:r w:rsidRPr="00A862AC">
        <w:rPr>
          <w:lang w:val="en-GB"/>
        </w:rPr>
        <w:t>.  </w:t>
      </w:r>
      <w:r w:rsidRPr="00A862AC" w:rsidR="00A76242">
        <w:rPr>
          <w:lang w:val="en-GB"/>
        </w:rPr>
        <w:t xml:space="preserve">As to compliance with Article 1 of Protocol No. 1, the applicant accepted that the measures underlying his grievance </w:t>
      </w:r>
      <w:r w:rsidRPr="00A862AC" w:rsidR="002D652B">
        <w:rPr>
          <w:lang w:val="en-GB"/>
        </w:rPr>
        <w:t xml:space="preserve">had </w:t>
      </w:r>
      <w:r w:rsidRPr="00A862AC">
        <w:rPr>
          <w:lang w:val="en-GB"/>
        </w:rPr>
        <w:t xml:space="preserve">pursued the general interest </w:t>
      </w:r>
      <w:r w:rsidRPr="00A862AC" w:rsidR="002D652B">
        <w:rPr>
          <w:lang w:val="en-GB"/>
        </w:rPr>
        <w:t xml:space="preserve">of </w:t>
      </w:r>
      <w:r w:rsidRPr="00A862AC">
        <w:rPr>
          <w:lang w:val="en-GB"/>
        </w:rPr>
        <w:t xml:space="preserve">overhauling the system of disability benefits and </w:t>
      </w:r>
      <w:r w:rsidRPr="00A862AC" w:rsidR="002D652B">
        <w:rPr>
          <w:lang w:val="en-GB"/>
        </w:rPr>
        <w:t xml:space="preserve">had been </w:t>
      </w:r>
      <w:r w:rsidRPr="00A862AC">
        <w:rPr>
          <w:lang w:val="en-GB"/>
        </w:rPr>
        <w:t>lawful</w:t>
      </w:r>
      <w:r w:rsidRPr="00A862AC" w:rsidR="002D652B">
        <w:rPr>
          <w:lang w:val="en-GB"/>
        </w:rPr>
        <w:t>.</w:t>
      </w:r>
      <w:r w:rsidRPr="00A862AC">
        <w:rPr>
          <w:lang w:val="en-GB"/>
        </w:rPr>
        <w:t xml:space="preserve"> </w:t>
      </w:r>
      <w:r w:rsidRPr="00A862AC" w:rsidR="002D652B">
        <w:rPr>
          <w:lang w:val="en-GB"/>
        </w:rPr>
        <w:t>H</w:t>
      </w:r>
      <w:r w:rsidRPr="00A862AC">
        <w:rPr>
          <w:lang w:val="en-GB"/>
        </w:rPr>
        <w:t xml:space="preserve">owever, he was of the view that the interference </w:t>
      </w:r>
      <w:r w:rsidRPr="00A862AC" w:rsidR="00A14E4C">
        <w:rPr>
          <w:lang w:val="en-GB"/>
        </w:rPr>
        <w:t xml:space="preserve">he had </w:t>
      </w:r>
      <w:r w:rsidRPr="00A862AC">
        <w:rPr>
          <w:lang w:val="en-GB"/>
        </w:rPr>
        <w:t xml:space="preserve">suffered was disproportionate in that two-thirds of his benefit </w:t>
      </w:r>
      <w:r w:rsidRPr="00A862AC" w:rsidR="002D652B">
        <w:rPr>
          <w:lang w:val="en-GB"/>
        </w:rPr>
        <w:t xml:space="preserve">had been eliminated </w:t>
      </w:r>
      <w:r w:rsidRPr="00A862AC">
        <w:rPr>
          <w:lang w:val="en-GB"/>
        </w:rPr>
        <w:t xml:space="preserve">for a period of </w:t>
      </w:r>
      <w:r w:rsidRPr="00A862AC" w:rsidR="002D652B">
        <w:rPr>
          <w:lang w:val="en-GB"/>
        </w:rPr>
        <w:t xml:space="preserve">one and a half </w:t>
      </w:r>
      <w:r w:rsidRPr="00A862AC">
        <w:rPr>
          <w:lang w:val="en-GB"/>
        </w:rPr>
        <w:t>years</w:t>
      </w:r>
      <w:r w:rsidRPr="00A862AC" w:rsidR="00791253">
        <w:rPr>
          <w:lang w:val="en-GB"/>
        </w:rPr>
        <w:t xml:space="preserve">, notably from </w:t>
      </w:r>
      <w:r w:rsidRPr="00A862AC" w:rsidR="003C2C7B">
        <w:rPr>
          <w:lang w:val="en-GB"/>
        </w:rPr>
        <w:t>1 July 2012</w:t>
      </w:r>
      <w:r w:rsidRPr="00A862AC" w:rsidR="00791253">
        <w:rPr>
          <w:lang w:val="en-GB"/>
        </w:rPr>
        <w:t xml:space="preserve"> until </w:t>
      </w:r>
      <w:r w:rsidRPr="00A862AC" w:rsidR="00725098">
        <w:rPr>
          <w:lang w:val="en-GB"/>
        </w:rPr>
        <w:t>31</w:t>
      </w:r>
      <w:r w:rsidRPr="00A862AC" w:rsidR="00C55D1C">
        <w:rPr>
          <w:lang w:val="en-GB"/>
        </w:rPr>
        <w:t> </w:t>
      </w:r>
      <w:r w:rsidRPr="00A862AC" w:rsidR="00725098">
        <w:rPr>
          <w:lang w:val="en-GB"/>
        </w:rPr>
        <w:t>December</w:t>
      </w:r>
      <w:r w:rsidRPr="00A862AC" w:rsidR="00787718">
        <w:rPr>
          <w:lang w:val="en-GB"/>
        </w:rPr>
        <w:t xml:space="preserve"> 201</w:t>
      </w:r>
      <w:r w:rsidRPr="00A862AC" w:rsidR="00725098">
        <w:rPr>
          <w:lang w:val="en-GB"/>
        </w:rPr>
        <w:t>3</w:t>
      </w:r>
      <w:r w:rsidRPr="00A862AC" w:rsidR="00787718">
        <w:rPr>
          <w:lang w:val="en-GB"/>
        </w:rPr>
        <w:t xml:space="preserve"> (see paragraphs </w:t>
      </w:r>
      <w:r w:rsidRPr="00A862AC" w:rsidR="003C2C7B">
        <w:rPr>
          <w:lang w:val="en-GB"/>
        </w:rPr>
        <w:t>10</w:t>
      </w:r>
      <w:r w:rsidRPr="00A862AC" w:rsidR="00787718">
        <w:rPr>
          <w:lang w:val="en-GB"/>
        </w:rPr>
        <w:t xml:space="preserve"> and 13 above)</w:t>
      </w:r>
      <w:r w:rsidRPr="00A862AC">
        <w:rPr>
          <w:lang w:val="en-GB"/>
        </w:rPr>
        <w:t>.</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20</w:t>
      </w:r>
      <w:r w:rsidRPr="00A862AC">
        <w:rPr>
          <w:lang w:val="en-GB"/>
        </w:rPr>
        <w:fldChar w:fldCharType="end"/>
      </w:r>
      <w:r w:rsidRPr="00A862AC" w:rsidR="00014566">
        <w:rPr>
          <w:lang w:val="en-GB"/>
        </w:rPr>
        <w:t xml:space="preserve">.  The Government </w:t>
      </w:r>
      <w:r w:rsidRPr="00A862AC" w:rsidR="00A71620">
        <w:rPr>
          <w:lang w:val="en-GB"/>
        </w:rPr>
        <w:t>submitted that ev</w:t>
      </w:r>
      <w:r w:rsidRPr="00A862AC" w:rsidR="00937A8E">
        <w:rPr>
          <w:lang w:val="en-GB"/>
        </w:rPr>
        <w:t>en if Article 1 of Protocol No. </w:t>
      </w:r>
      <w:r w:rsidRPr="00A862AC" w:rsidR="00A71620">
        <w:rPr>
          <w:lang w:val="en-GB"/>
        </w:rPr>
        <w:t xml:space="preserve">1 were applicable, the applicant </w:t>
      </w:r>
      <w:r w:rsidRPr="00A862AC" w:rsidR="002D652B">
        <w:rPr>
          <w:lang w:val="en-GB"/>
        </w:rPr>
        <w:t xml:space="preserve">had not </w:t>
      </w:r>
      <w:r w:rsidRPr="00A862AC" w:rsidR="00A71620">
        <w:rPr>
          <w:lang w:val="en-GB"/>
        </w:rPr>
        <w:t xml:space="preserve">sustained </w:t>
      </w:r>
      <w:r w:rsidRPr="00A862AC" w:rsidR="002D652B">
        <w:rPr>
          <w:lang w:val="en-GB"/>
        </w:rPr>
        <w:t xml:space="preserve">any </w:t>
      </w:r>
      <w:r w:rsidRPr="00A862AC" w:rsidR="00A71620">
        <w:rPr>
          <w:lang w:val="en-GB"/>
        </w:rPr>
        <w:t>interference with his rights under that provision, since there was no basis in domestic law for him to claim the continuous payment of a</w:t>
      </w:r>
      <w:r w:rsidRPr="00A862AC" w:rsidR="002D652B">
        <w:rPr>
          <w:lang w:val="en-GB"/>
        </w:rPr>
        <w:t>n unchanged</w:t>
      </w:r>
      <w:r w:rsidRPr="00A862AC" w:rsidR="00A71620">
        <w:rPr>
          <w:lang w:val="en-GB"/>
        </w:rPr>
        <w:t xml:space="preserve"> disability benefit</w:t>
      </w:r>
      <w:r w:rsidRPr="00A862AC" w:rsidR="002D652B">
        <w:rPr>
          <w:lang w:val="en-GB"/>
        </w:rPr>
        <w:t>,</w:t>
      </w:r>
      <w:r w:rsidRPr="00A862AC" w:rsidR="00A71620">
        <w:rPr>
          <w:lang w:val="en-GB"/>
        </w:rPr>
        <w:t xml:space="preserve"> no matter how the circumstances evolved. Moreover, even assuming the existence of an interference, the measures applied in the applicant</w:t>
      </w:r>
      <w:r w:rsidRPr="00A862AC" w:rsidR="00A862AC">
        <w:rPr>
          <w:lang w:val="en-GB"/>
        </w:rPr>
        <w:t>’</w:t>
      </w:r>
      <w:r w:rsidRPr="00A862AC" w:rsidR="00A71620">
        <w:rPr>
          <w:lang w:val="en-GB"/>
        </w:rPr>
        <w:t xml:space="preserve">s case flowed </w:t>
      </w:r>
      <w:r w:rsidRPr="00A862AC" w:rsidR="00D85BA5">
        <w:rPr>
          <w:lang w:val="en-GB"/>
        </w:rPr>
        <w:t xml:space="preserve">directly </w:t>
      </w:r>
      <w:r w:rsidRPr="00A862AC" w:rsidR="00A71620">
        <w:rPr>
          <w:lang w:val="en-GB"/>
        </w:rPr>
        <w:t xml:space="preserve">from the relevant rules of </w:t>
      </w:r>
      <w:r w:rsidRPr="00A862AC" w:rsidR="00C71774">
        <w:rPr>
          <w:lang w:val="en-GB"/>
        </w:rPr>
        <w:t xml:space="preserve">the </w:t>
      </w:r>
      <w:r w:rsidRPr="00A862AC" w:rsidR="00A71620">
        <w:rPr>
          <w:lang w:val="en-GB"/>
        </w:rPr>
        <w:t>domestic law as amended</w:t>
      </w:r>
      <w:r w:rsidRPr="00A862AC" w:rsidR="004E6B05">
        <w:rPr>
          <w:lang w:val="en-GB"/>
        </w:rPr>
        <w:t xml:space="preserve"> and</w:t>
      </w:r>
      <w:r w:rsidRPr="00A862AC" w:rsidR="00A71620">
        <w:rPr>
          <w:lang w:val="en-GB"/>
        </w:rPr>
        <w:t xml:space="preserve"> pursued the general interest </w:t>
      </w:r>
      <w:r w:rsidRPr="00A862AC" w:rsidR="00C71774">
        <w:rPr>
          <w:lang w:val="en-GB"/>
        </w:rPr>
        <w:t xml:space="preserve">of rationalising </w:t>
      </w:r>
      <w:r w:rsidRPr="00A862AC" w:rsidR="00A71620">
        <w:rPr>
          <w:lang w:val="en-GB"/>
        </w:rPr>
        <w:t>the system of disability benefits</w:t>
      </w:r>
      <w:r w:rsidRPr="00A862AC" w:rsidR="004E6B05">
        <w:rPr>
          <w:lang w:val="en-GB"/>
        </w:rPr>
        <w:t>. They could by no means be considered as disproportionate since (i) the impugned period</w:t>
      </w:r>
      <w:r w:rsidRPr="00A862AC" w:rsidR="00C71774">
        <w:rPr>
          <w:lang w:val="en-GB"/>
        </w:rPr>
        <w:t xml:space="preserve"> had</w:t>
      </w:r>
      <w:r w:rsidRPr="00A862AC" w:rsidR="004E6B05">
        <w:rPr>
          <w:lang w:val="en-GB"/>
        </w:rPr>
        <w:t xml:space="preserve"> lasted only </w:t>
      </w:r>
      <w:r w:rsidRPr="00A862AC" w:rsidR="00C71774">
        <w:rPr>
          <w:lang w:val="en-GB"/>
        </w:rPr>
        <w:t>eighteen</w:t>
      </w:r>
      <w:r w:rsidRPr="00A862AC" w:rsidR="004E6B05">
        <w:rPr>
          <w:lang w:val="en-GB"/>
        </w:rPr>
        <w:t xml:space="preserve"> months; (ii) the applicant </w:t>
      </w:r>
      <w:r w:rsidRPr="00A862AC" w:rsidR="00C71774">
        <w:rPr>
          <w:lang w:val="en-GB"/>
        </w:rPr>
        <w:t xml:space="preserve">had been </w:t>
      </w:r>
      <w:r w:rsidRPr="00A862AC" w:rsidR="004E6B05">
        <w:rPr>
          <w:lang w:val="en-GB"/>
        </w:rPr>
        <w:t xml:space="preserve">in receipt of a benefit even during </w:t>
      </w:r>
      <w:r w:rsidRPr="00A862AC" w:rsidR="00C71774">
        <w:rPr>
          <w:lang w:val="en-GB"/>
        </w:rPr>
        <w:t xml:space="preserve">that </w:t>
      </w:r>
      <w:r w:rsidRPr="00A862AC" w:rsidR="004E6B05">
        <w:rPr>
          <w:lang w:val="en-GB"/>
        </w:rPr>
        <w:t xml:space="preserve">time; (iii) the amount of </w:t>
      </w:r>
      <w:r w:rsidRPr="00A862AC" w:rsidR="00A14E4C">
        <w:rPr>
          <w:lang w:val="en-GB"/>
        </w:rPr>
        <w:t xml:space="preserve">that </w:t>
      </w:r>
      <w:r w:rsidRPr="00A862AC" w:rsidR="004E6B05">
        <w:rPr>
          <w:lang w:val="en-GB"/>
        </w:rPr>
        <w:t xml:space="preserve">benefit </w:t>
      </w:r>
      <w:r w:rsidRPr="00A862AC" w:rsidR="00C71774">
        <w:rPr>
          <w:lang w:val="en-GB"/>
        </w:rPr>
        <w:t xml:space="preserve">had </w:t>
      </w:r>
      <w:r w:rsidRPr="00A862AC" w:rsidR="004E6B05">
        <w:rPr>
          <w:lang w:val="en-GB"/>
        </w:rPr>
        <w:t>exceeded one-third of his previous benefit and almost equalled 60% of the minimum subsistence income relevant in the years 2012 and 2013; and (iv) the 2014 amendment</w:t>
      </w:r>
      <w:r w:rsidRPr="00A862AC" w:rsidR="00AE5E08">
        <w:rPr>
          <w:lang w:val="en-GB"/>
        </w:rPr>
        <w:t xml:space="preserve">, consisting in an equitable adjustment of the law, </w:t>
      </w:r>
      <w:r w:rsidRPr="00A862AC" w:rsidR="00C71774">
        <w:rPr>
          <w:lang w:val="en-GB"/>
        </w:rPr>
        <w:t xml:space="preserve">had </w:t>
      </w:r>
      <w:r w:rsidRPr="00A862AC" w:rsidR="00AE5E08">
        <w:rPr>
          <w:lang w:val="en-GB"/>
        </w:rPr>
        <w:t>resulted in partial compensation for the applicant.</w:t>
      </w:r>
    </w:p>
    <w:p w:rsidRPr="00A862AC" w:rsidR="00D85BA5" w:rsidP="00A862AC" w:rsidRDefault="00D85BA5">
      <w:pPr>
        <w:pStyle w:val="ECHRHeading3"/>
        <w:rPr>
          <w:lang w:val="en-GB"/>
        </w:rPr>
      </w:pPr>
      <w:r w:rsidRPr="00A862AC">
        <w:rPr>
          <w:lang w:val="en-GB"/>
        </w:rPr>
        <w:t>2.  The Court</w:t>
      </w:r>
      <w:r w:rsidRPr="00A862AC" w:rsidR="00A862AC">
        <w:rPr>
          <w:lang w:val="en-GB"/>
        </w:rPr>
        <w:t>’</w:t>
      </w:r>
      <w:r w:rsidRPr="00A862AC">
        <w:rPr>
          <w:lang w:val="en-GB"/>
        </w:rPr>
        <w:t>s assessment</w:t>
      </w:r>
    </w:p>
    <w:p w:rsidRPr="00A862AC" w:rsidR="009338DD"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21</w:t>
      </w:r>
      <w:r w:rsidRPr="00A862AC">
        <w:rPr>
          <w:lang w:val="en-GB"/>
        </w:rPr>
        <w:fldChar w:fldCharType="end"/>
      </w:r>
      <w:r w:rsidRPr="00A862AC" w:rsidR="00014566">
        <w:rPr>
          <w:lang w:val="en-GB"/>
        </w:rPr>
        <w:t xml:space="preserve">.  The Court </w:t>
      </w:r>
      <w:r w:rsidRPr="00A862AC" w:rsidR="00D34203">
        <w:rPr>
          <w:lang w:val="en-GB"/>
        </w:rPr>
        <w:t xml:space="preserve">has </w:t>
      </w:r>
      <w:r w:rsidRPr="00A862AC" w:rsidR="00AE5E08">
        <w:rPr>
          <w:lang w:val="en-GB"/>
        </w:rPr>
        <w:t>summarised its position on the applicability of Article</w:t>
      </w:r>
      <w:r w:rsidRPr="00A862AC" w:rsidR="003F163F">
        <w:rPr>
          <w:lang w:val="en-GB"/>
        </w:rPr>
        <w:t> </w:t>
      </w:r>
      <w:r w:rsidRPr="00A862AC" w:rsidR="00AE5E08">
        <w:rPr>
          <w:lang w:val="en-GB"/>
        </w:rPr>
        <w:t>1 of Protocol No. 1 in cases</w:t>
      </w:r>
      <w:r w:rsidRPr="00A862AC" w:rsidR="00791253">
        <w:rPr>
          <w:lang w:val="en-GB"/>
        </w:rPr>
        <w:t xml:space="preserve"> similar to the present one</w:t>
      </w:r>
      <w:r w:rsidRPr="00A862AC" w:rsidR="00AE5E08">
        <w:rPr>
          <w:lang w:val="en-GB"/>
        </w:rPr>
        <w:t xml:space="preserve"> in paragraphs</w:t>
      </w:r>
      <w:r w:rsidRPr="00A862AC" w:rsidR="00791253">
        <w:rPr>
          <w:lang w:val="en-GB"/>
        </w:rPr>
        <w:t> </w:t>
      </w:r>
      <w:r w:rsidRPr="00A862AC" w:rsidR="00AE5E08">
        <w:rPr>
          <w:lang w:val="en-GB"/>
        </w:rPr>
        <w:t xml:space="preserve">72 to 110 of the </w:t>
      </w:r>
      <w:r w:rsidRPr="00A862AC" w:rsidR="00AE5E08">
        <w:rPr>
          <w:i/>
          <w:lang w:val="en-GB"/>
        </w:rPr>
        <w:t>Béláné Nagy</w:t>
      </w:r>
      <w:r w:rsidRPr="00A862AC" w:rsidR="00AE5E08">
        <w:rPr>
          <w:lang w:val="en-GB"/>
        </w:rPr>
        <w:t xml:space="preserve"> judgment (cited above). It sees no reason to depart from those considerations.</w:t>
      </w:r>
    </w:p>
    <w:p w:rsidRPr="00A862AC" w:rsidR="009338DD" w:rsidP="00A862AC" w:rsidRDefault="00B9221C">
      <w:pPr>
        <w:pStyle w:val="ECHRPara"/>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22</w:t>
      </w:r>
      <w:r w:rsidRPr="00A862AC">
        <w:rPr>
          <w:lang w:val="en-GB"/>
        </w:rPr>
        <w:fldChar w:fldCharType="end"/>
      </w:r>
      <w:r w:rsidRPr="00A862AC">
        <w:rPr>
          <w:lang w:val="en-GB"/>
        </w:rPr>
        <w:t>.  </w:t>
      </w:r>
      <w:r w:rsidRPr="00A862AC" w:rsidR="00AE5E08">
        <w:rPr>
          <w:lang w:val="en-GB"/>
        </w:rPr>
        <w:t xml:space="preserve">In particular, </w:t>
      </w:r>
      <w:r w:rsidRPr="00A862AC" w:rsidR="00D34203">
        <w:rPr>
          <w:lang w:val="en-GB"/>
        </w:rPr>
        <w:t xml:space="preserve">the Court reiterates </w:t>
      </w:r>
      <w:r w:rsidRPr="00A862AC" w:rsidR="00CA6F8E">
        <w:rPr>
          <w:lang w:val="en-GB"/>
        </w:rPr>
        <w:t>that, in the field of social</w:t>
      </w:r>
      <w:r w:rsidRPr="00A862AC" w:rsidR="00A14E4C">
        <w:rPr>
          <w:lang w:val="en-GB"/>
        </w:rPr>
        <w:t>-</w:t>
      </w:r>
      <w:r w:rsidRPr="00A862AC" w:rsidR="00CA6F8E">
        <w:rPr>
          <w:lang w:val="en-GB"/>
        </w:rPr>
        <w:t>security benefits, “</w:t>
      </w:r>
      <w:r w:rsidRPr="00A862AC" w:rsidR="00CA6F8E">
        <w:t xml:space="preserve">for the recognition of a possession consisting in a legitimate expectation, the applicant must have an </w:t>
      </w:r>
      <w:proofErr w:type="spellStart"/>
      <w:r w:rsidRPr="00A862AC" w:rsidR="00CA6F8E">
        <w:t>assertable</w:t>
      </w:r>
      <w:proofErr w:type="spellEnd"/>
      <w:r w:rsidRPr="00A862AC" w:rsidR="00CA6F8E">
        <w:t xml:space="preserve"> right which </w:t>
      </w:r>
      <w:r w:rsidRPr="00A862AC" w:rsidR="009338DD">
        <w:t>...</w:t>
      </w:r>
      <w:r w:rsidRPr="00A862AC" w:rsidR="00CA6F8E">
        <w:t xml:space="preserve"> may not fall short of a sufficiently established, substantive proprietary interest under the national law” (see </w:t>
      </w:r>
      <w:r w:rsidRPr="00A862AC" w:rsidR="00CA6F8E">
        <w:rPr>
          <w:i/>
        </w:rPr>
        <w:t>Béláné Nagy</w:t>
      </w:r>
      <w:r w:rsidRPr="00A862AC" w:rsidR="00CA6F8E">
        <w:t>, cited above, § 79).</w:t>
      </w:r>
    </w:p>
    <w:p w:rsidRPr="00A862AC" w:rsidR="009338DD" w:rsidP="00A862AC" w:rsidRDefault="008C695E">
      <w:pPr>
        <w:pStyle w:val="ECHRPara"/>
      </w:pPr>
      <w:r>
        <w:fldChar w:fldCharType="begin"/>
      </w:r>
      <w:r>
        <w:instrText xml:space="preserve"> SEQ level0 \*arabic </w:instrText>
      </w:r>
      <w:r>
        <w:fldChar w:fldCharType="separate"/>
      </w:r>
      <w:r w:rsidRPr="00A862AC" w:rsidR="00A862AC">
        <w:rPr>
          <w:noProof/>
        </w:rPr>
        <w:t>23</w:t>
      </w:r>
      <w:r>
        <w:rPr>
          <w:noProof/>
        </w:rPr>
        <w:fldChar w:fldCharType="end"/>
      </w:r>
      <w:r w:rsidRPr="00A862AC" w:rsidR="00B9221C">
        <w:t>.  </w:t>
      </w:r>
      <w:r w:rsidRPr="00A862AC" w:rsidR="00CA6F8E">
        <w:t xml:space="preserve">It transpires from the facts of the present </w:t>
      </w:r>
      <w:r w:rsidRPr="00A862AC" w:rsidR="000A02B9">
        <w:t>application</w:t>
      </w:r>
      <w:r w:rsidRPr="00A862AC" w:rsidR="00CA6F8E">
        <w:t xml:space="preserve"> that, </w:t>
      </w:r>
      <w:r w:rsidRPr="00A862AC" w:rsidR="00A14E4C">
        <w:t xml:space="preserve">since </w:t>
      </w:r>
      <w:r w:rsidRPr="00A862AC" w:rsidR="00CA6F8E">
        <w:t xml:space="preserve">1996, the applicant has been continuously entitled, </w:t>
      </w:r>
      <w:r w:rsidRPr="00A862AC" w:rsidR="00B9221C">
        <w:t>under</w:t>
      </w:r>
      <w:r w:rsidRPr="00A862AC" w:rsidR="00CA6F8E">
        <w:t xml:space="preserve"> one </w:t>
      </w:r>
      <w:r w:rsidRPr="00A862AC" w:rsidR="00B9221C">
        <w:t>legal regime</w:t>
      </w:r>
      <w:r w:rsidRPr="00A862AC" w:rsidR="00CA6F8E">
        <w:t xml:space="preserve"> or another, to receive disability benefit</w:t>
      </w:r>
      <w:r w:rsidRPr="00A862AC" w:rsidR="00B9221C">
        <w:t>s</w:t>
      </w:r>
      <w:r w:rsidRPr="00A862AC" w:rsidR="00CA6F8E">
        <w:t xml:space="preserve"> from the State. For the Court, this element gains </w:t>
      </w:r>
      <w:r w:rsidRPr="00A862AC" w:rsidR="00B9221C">
        <w:t xml:space="preserve">particular </w:t>
      </w:r>
      <w:r w:rsidRPr="00A862AC" w:rsidR="00CA6F8E">
        <w:t xml:space="preserve">significance when </w:t>
      </w:r>
      <w:r w:rsidRPr="00A862AC" w:rsidR="00B9221C">
        <w:t>dealing</w:t>
      </w:r>
      <w:r w:rsidRPr="00A862AC" w:rsidR="00CA6F8E">
        <w:t xml:space="preserve"> with the Government</w:t>
      </w:r>
      <w:r w:rsidRPr="00A862AC" w:rsidR="00A862AC">
        <w:t>’</w:t>
      </w:r>
      <w:r w:rsidRPr="00A862AC" w:rsidR="00CA6F8E">
        <w:t xml:space="preserve">s argument pointing to the fixed-term character of the rehabilitation allowance. </w:t>
      </w:r>
      <w:r w:rsidRPr="00A862AC" w:rsidR="00B9221C">
        <w:t>It</w:t>
      </w:r>
      <w:r w:rsidRPr="00A862AC" w:rsidR="00CA6F8E">
        <w:t xml:space="preserve"> has not been disputed by the Government </w:t>
      </w:r>
      <w:r w:rsidRPr="00A862AC" w:rsidR="00B9221C">
        <w:t xml:space="preserve">that </w:t>
      </w:r>
      <w:r w:rsidRPr="00A862AC" w:rsidR="00CA6F8E">
        <w:t>the applicant</w:t>
      </w:r>
      <w:r w:rsidRPr="00A862AC" w:rsidR="00A862AC">
        <w:t>’</w:t>
      </w:r>
      <w:r w:rsidRPr="00A862AC" w:rsidR="00D34203">
        <w:t>s</w:t>
      </w:r>
      <w:r w:rsidRPr="00A862AC" w:rsidR="00CA6F8E">
        <w:t xml:space="preserve"> health impairment</w:t>
      </w:r>
      <w:r w:rsidRPr="00A862AC" w:rsidR="00D34203">
        <w:t xml:space="preserve"> has</w:t>
      </w:r>
      <w:r w:rsidRPr="00A862AC" w:rsidR="00CA6F8E">
        <w:t xml:space="preserve">, by and large, </w:t>
      </w:r>
      <w:r w:rsidRPr="00A862AC" w:rsidR="00D34203">
        <w:t xml:space="preserve">remained </w:t>
      </w:r>
      <w:r w:rsidRPr="00A862AC" w:rsidR="00CA6F8E">
        <w:t>unchanged throughout the entire period</w:t>
      </w:r>
      <w:r w:rsidRPr="00A862AC" w:rsidR="00182A95">
        <w:t xml:space="preserve"> since 1996</w:t>
      </w:r>
      <w:r w:rsidRPr="00A862AC" w:rsidR="00B9221C">
        <w:t xml:space="preserve">. This </w:t>
      </w:r>
      <w:r w:rsidRPr="00A862AC" w:rsidR="00CA6F8E">
        <w:t>was reflected repeatedly by the domestic authorities</w:t>
      </w:r>
      <w:r w:rsidRPr="00A862AC" w:rsidR="00A862AC">
        <w:t>’</w:t>
      </w:r>
      <w:r w:rsidRPr="00A862AC" w:rsidR="00CA6F8E">
        <w:t xml:space="preserve"> consecutive decisions granting him various related benefits</w:t>
      </w:r>
      <w:r w:rsidRPr="00A862AC" w:rsidR="00B9221C">
        <w:t>.</w:t>
      </w:r>
    </w:p>
    <w:p w:rsidRPr="00A862AC" w:rsidR="009338DD" w:rsidP="00A862AC" w:rsidRDefault="008C695E">
      <w:pPr>
        <w:pStyle w:val="ECHRPara"/>
      </w:pPr>
      <w:r>
        <w:fldChar w:fldCharType="begin"/>
      </w:r>
      <w:r>
        <w:instrText xml:space="preserve"> SEQ level0 \*arabic </w:instrText>
      </w:r>
      <w:r>
        <w:fldChar w:fldCharType="separate"/>
      </w:r>
      <w:r w:rsidRPr="00A862AC" w:rsidR="00A862AC">
        <w:rPr>
          <w:noProof/>
        </w:rPr>
        <w:t>24</w:t>
      </w:r>
      <w:r>
        <w:rPr>
          <w:noProof/>
        </w:rPr>
        <w:fldChar w:fldCharType="end"/>
      </w:r>
      <w:r w:rsidRPr="00A862AC" w:rsidR="00182A95">
        <w:t>.  </w:t>
      </w:r>
      <w:r w:rsidRPr="00A862AC" w:rsidR="00B9221C">
        <w:t>T</w:t>
      </w:r>
      <w:r w:rsidRPr="00A862AC" w:rsidR="00CA6F8E">
        <w:t xml:space="preserve">he Court is </w:t>
      </w:r>
      <w:r w:rsidRPr="00A862AC" w:rsidR="00B9221C">
        <w:t xml:space="preserve">therefore </w:t>
      </w:r>
      <w:r w:rsidRPr="00A862AC" w:rsidR="00CA6F8E">
        <w:t>satisfied that the applicant</w:t>
      </w:r>
      <w:r w:rsidRPr="00A862AC" w:rsidR="00A862AC">
        <w:t>’</w:t>
      </w:r>
      <w:r w:rsidRPr="00A862AC" w:rsidR="00CA6F8E">
        <w:t xml:space="preserve">s claim for disability benefit </w:t>
      </w:r>
      <w:r w:rsidRPr="00A862AC" w:rsidR="00D34203">
        <w:t xml:space="preserve">during the eighteen-month period in issue </w:t>
      </w:r>
      <w:r w:rsidRPr="00A862AC" w:rsidR="00791253">
        <w:t>(</w:t>
      </w:r>
      <w:r w:rsidRPr="00A862AC" w:rsidR="00791253">
        <w:rPr>
          <w:lang w:val="en-GB"/>
        </w:rPr>
        <w:t xml:space="preserve">from </w:t>
      </w:r>
      <w:r w:rsidRPr="00A862AC" w:rsidR="003C2C7B">
        <w:rPr>
          <w:lang w:val="en-GB"/>
        </w:rPr>
        <w:t>1 July 2012</w:t>
      </w:r>
      <w:r w:rsidRPr="00A862AC" w:rsidR="00791253">
        <w:rPr>
          <w:lang w:val="en-GB"/>
        </w:rPr>
        <w:t xml:space="preserve"> until</w:t>
      </w:r>
      <w:r w:rsidRPr="00A862AC" w:rsidR="00787718">
        <w:rPr>
          <w:lang w:val="en-GB"/>
        </w:rPr>
        <w:t xml:space="preserve"> </w:t>
      </w:r>
      <w:r w:rsidRPr="00A862AC" w:rsidR="00725098">
        <w:rPr>
          <w:lang w:val="en-GB"/>
        </w:rPr>
        <w:t>31</w:t>
      </w:r>
      <w:r w:rsidRPr="00A862AC" w:rsidR="00787718">
        <w:rPr>
          <w:lang w:val="en-GB"/>
        </w:rPr>
        <w:t xml:space="preserve"> </w:t>
      </w:r>
      <w:r w:rsidRPr="00A862AC" w:rsidR="00725098">
        <w:rPr>
          <w:lang w:val="en-GB"/>
        </w:rPr>
        <w:t>December</w:t>
      </w:r>
      <w:r w:rsidRPr="00A862AC" w:rsidR="00787718">
        <w:rPr>
          <w:lang w:val="en-GB"/>
        </w:rPr>
        <w:t xml:space="preserve"> 201</w:t>
      </w:r>
      <w:r w:rsidRPr="00A862AC" w:rsidR="00725098">
        <w:rPr>
          <w:lang w:val="en-GB"/>
        </w:rPr>
        <w:t>3</w:t>
      </w:r>
      <w:r w:rsidRPr="00A862AC" w:rsidR="00787718">
        <w:rPr>
          <w:lang w:val="en-GB"/>
        </w:rPr>
        <w:t>)</w:t>
      </w:r>
      <w:r w:rsidRPr="00A862AC" w:rsidR="00791253">
        <w:rPr>
          <w:lang w:val="en-GB"/>
        </w:rPr>
        <w:t xml:space="preserve"> </w:t>
      </w:r>
      <w:r w:rsidRPr="00A862AC" w:rsidR="00CA6F8E">
        <w:t>constituted a “sufficiently established, substantive proprietary interest under the national law”</w:t>
      </w:r>
      <w:r w:rsidRPr="00A862AC" w:rsidR="00D34203">
        <w:t>,</w:t>
      </w:r>
      <w:r w:rsidRPr="00A862AC" w:rsidR="00CA6F8E">
        <w:t xml:space="preserve"> just as </w:t>
      </w:r>
      <w:r w:rsidRPr="00A862AC" w:rsidR="00D34203">
        <w:t xml:space="preserve">it </w:t>
      </w:r>
      <w:r w:rsidRPr="00A862AC" w:rsidR="001076C0">
        <w:t xml:space="preserve">had </w:t>
      </w:r>
      <w:r w:rsidRPr="00A862AC" w:rsidR="00CA6F8E">
        <w:t>in the preceding or subsequent</w:t>
      </w:r>
      <w:r w:rsidRPr="00A862AC" w:rsidR="00D34203">
        <w:t xml:space="preserve"> periods</w:t>
      </w:r>
      <w:r w:rsidRPr="00A862AC" w:rsidR="00CA6F8E">
        <w:t xml:space="preserve">. </w:t>
      </w:r>
      <w:r w:rsidRPr="00A862AC" w:rsidR="00B9221C">
        <w:t xml:space="preserve">This holds true irrespective </w:t>
      </w:r>
      <w:r w:rsidRPr="00A862AC" w:rsidR="00D34203">
        <w:t xml:space="preserve">of </w:t>
      </w:r>
      <w:r w:rsidRPr="00A862AC" w:rsidR="00B9221C">
        <w:t xml:space="preserve">whether the benefit in a </w:t>
      </w:r>
      <w:r w:rsidRPr="00A862AC" w:rsidR="00182A95">
        <w:t>given period</w:t>
      </w:r>
      <w:r w:rsidRPr="00A862AC" w:rsidR="00B9221C">
        <w:t xml:space="preserve"> was granted for </w:t>
      </w:r>
      <w:r w:rsidRPr="00A862AC" w:rsidR="00D34203">
        <w:t xml:space="preserve">a </w:t>
      </w:r>
      <w:r w:rsidRPr="00A862AC" w:rsidR="00B9221C">
        <w:t xml:space="preserve">definite or </w:t>
      </w:r>
      <w:r w:rsidRPr="00A862AC" w:rsidR="00D34203">
        <w:t xml:space="preserve">an </w:t>
      </w:r>
      <w:r w:rsidRPr="00A862AC" w:rsidR="00B9221C">
        <w:t>indefinite</w:t>
      </w:r>
      <w:r w:rsidRPr="00A862AC" w:rsidR="00D34203">
        <w:t xml:space="preserve"> duration</w:t>
      </w:r>
      <w:r w:rsidRPr="00A862AC" w:rsidR="00B9221C">
        <w:t>, since the underlying medical condition</w:t>
      </w:r>
      <w:r w:rsidRPr="00A862AC" w:rsidR="00D34203">
        <w:t xml:space="preserve"> remained constant</w:t>
      </w:r>
      <w:r w:rsidRPr="00A862AC" w:rsidR="00B9221C">
        <w:t>.</w:t>
      </w:r>
    </w:p>
    <w:p w:rsidRPr="00A862AC" w:rsidR="00460C73" w:rsidP="00A862AC" w:rsidRDefault="008C695E">
      <w:pPr>
        <w:pStyle w:val="ECHRPara"/>
      </w:pPr>
      <w:r>
        <w:fldChar w:fldCharType="begin"/>
      </w:r>
      <w:r>
        <w:instrText xml:space="preserve"> SEQ level0 \*arabic </w:instrText>
      </w:r>
      <w:r>
        <w:fldChar w:fldCharType="separate"/>
      </w:r>
      <w:r w:rsidRPr="00A862AC" w:rsidR="00A862AC">
        <w:rPr>
          <w:noProof/>
        </w:rPr>
        <w:t>25</w:t>
      </w:r>
      <w:r>
        <w:rPr>
          <w:noProof/>
        </w:rPr>
        <w:fldChar w:fldCharType="end"/>
      </w:r>
      <w:r w:rsidRPr="00A862AC" w:rsidR="00B9221C">
        <w:t>.  </w:t>
      </w:r>
      <w:r w:rsidRPr="00A862AC" w:rsidR="00CA6F8E">
        <w:t>It follows that Article 1 of Protocol No. 1 is applicable and the Government</w:t>
      </w:r>
      <w:r w:rsidRPr="00A862AC" w:rsidR="00A862AC">
        <w:t>’</w:t>
      </w:r>
      <w:r w:rsidRPr="00A862AC" w:rsidR="00CA6F8E">
        <w:t xml:space="preserve">s preliminary objection </w:t>
      </w:r>
      <w:r w:rsidRPr="00A862AC" w:rsidR="00791253">
        <w:t xml:space="preserve">of incompatibility </w:t>
      </w:r>
      <w:r w:rsidRPr="00A862AC" w:rsidR="00791253">
        <w:rPr>
          <w:i/>
        </w:rPr>
        <w:t xml:space="preserve">ratione materiae </w:t>
      </w:r>
      <w:r w:rsidRPr="00A862AC" w:rsidR="00CA6F8E">
        <w:t>must be dismissed.</w:t>
      </w:r>
    </w:p>
    <w:p w:rsidRPr="00A862AC" w:rsidR="00014566" w:rsidP="00A862AC" w:rsidRDefault="008C695E">
      <w:pPr>
        <w:pStyle w:val="ECHRPara"/>
      </w:pPr>
      <w:r>
        <w:fldChar w:fldCharType="begin"/>
      </w:r>
      <w:r>
        <w:instrText xml:space="preserve"> SEQ level0 \*arabic </w:instrText>
      </w:r>
      <w:r>
        <w:fldChar w:fldCharType="separate"/>
      </w:r>
      <w:r w:rsidRPr="00A862AC" w:rsidR="00A862AC">
        <w:rPr>
          <w:noProof/>
        </w:rPr>
        <w:t>26</w:t>
      </w:r>
      <w:r>
        <w:rPr>
          <w:noProof/>
        </w:rPr>
        <w:fldChar w:fldCharType="end"/>
      </w:r>
      <w:r w:rsidRPr="00A862AC" w:rsidR="00182A95">
        <w:t>.  </w:t>
      </w:r>
      <w:r w:rsidRPr="00A862AC" w:rsidR="000A02B9">
        <w:t>Moreover</w:t>
      </w:r>
      <w:r w:rsidRPr="00A862AC" w:rsidR="00B9221C">
        <w:t xml:space="preserve">, the Court cannot but </w:t>
      </w:r>
      <w:r w:rsidRPr="00A862AC" w:rsidR="00D34203">
        <w:rPr>
          <w:lang w:val="en-GB"/>
        </w:rPr>
        <w:t>emphasise</w:t>
      </w:r>
      <w:r w:rsidRPr="00A862AC" w:rsidR="00D34203">
        <w:t xml:space="preserve"> </w:t>
      </w:r>
      <w:r w:rsidRPr="00A862AC" w:rsidR="00B9221C">
        <w:t xml:space="preserve">that, </w:t>
      </w:r>
      <w:r w:rsidRPr="00A862AC" w:rsidR="001A37BC">
        <w:t xml:space="preserve">as of </w:t>
      </w:r>
      <w:r w:rsidRPr="00A862AC" w:rsidR="00C55D1C">
        <w:t>1 </w:t>
      </w:r>
      <w:r w:rsidRPr="00A862AC" w:rsidR="00B9221C">
        <w:t xml:space="preserve">July 2012, </w:t>
      </w:r>
      <w:r w:rsidRPr="00A862AC" w:rsidR="00D34203">
        <w:t>the applicant</w:t>
      </w:r>
      <w:r w:rsidRPr="00A862AC" w:rsidR="00A862AC">
        <w:t>’</w:t>
      </w:r>
      <w:r w:rsidRPr="00A862AC" w:rsidR="00D34203">
        <w:t xml:space="preserve">s benefit had been </w:t>
      </w:r>
      <w:r w:rsidRPr="00A862AC" w:rsidR="00B9221C">
        <w:t xml:space="preserve">reduced to </w:t>
      </w:r>
      <w:r w:rsidRPr="00A862AC" w:rsidR="00787718">
        <w:t xml:space="preserve">approximately </w:t>
      </w:r>
      <w:r w:rsidRPr="00A862AC" w:rsidR="00B9221C">
        <w:t>one-third of its previous value</w:t>
      </w:r>
      <w:r w:rsidRPr="00A862AC" w:rsidR="00460C73">
        <w:t xml:space="preserve"> –</w:t>
      </w:r>
      <w:r w:rsidRPr="00A862AC" w:rsidR="00B9221C">
        <w:t xml:space="preserve"> a </w:t>
      </w:r>
      <w:r w:rsidRPr="00A862AC" w:rsidR="00460C73">
        <w:t>situation</w:t>
      </w:r>
      <w:r w:rsidRPr="00A862AC" w:rsidR="00B9221C">
        <w:t xml:space="preserve"> which lasted </w:t>
      </w:r>
      <w:r w:rsidRPr="00A862AC" w:rsidR="00D34203">
        <w:t>eighteen</w:t>
      </w:r>
      <w:r w:rsidRPr="00A862AC" w:rsidR="00B9221C">
        <w:t xml:space="preserve"> months</w:t>
      </w:r>
      <w:r w:rsidRPr="00A862AC" w:rsidR="00787718">
        <w:t xml:space="preserve">, </w:t>
      </w:r>
      <w:r w:rsidRPr="00A862AC" w:rsidR="001A37BC">
        <w:t xml:space="preserve">since </w:t>
      </w:r>
      <w:r w:rsidRPr="00A862AC" w:rsidR="00787718">
        <w:t xml:space="preserve">the applicant became entitled to a higher disability allowance calculated according to a further legislative amendment </w:t>
      </w:r>
      <w:r w:rsidRPr="00A862AC" w:rsidR="00C40E8A">
        <w:t xml:space="preserve">only as </w:t>
      </w:r>
      <w:r w:rsidRPr="00A862AC" w:rsidR="001A37BC">
        <w:t xml:space="preserve">of </w:t>
      </w:r>
      <w:r w:rsidRPr="00A862AC" w:rsidR="00C40E8A">
        <w:t xml:space="preserve">1 January 2014 </w:t>
      </w:r>
      <w:r w:rsidRPr="00A862AC" w:rsidR="00787718">
        <w:t>(see paragraphs 10-13 above)</w:t>
      </w:r>
      <w:r w:rsidRPr="00A862AC" w:rsidR="00B9221C">
        <w:t xml:space="preserve">. It must therefore be concluded that </w:t>
      </w:r>
      <w:r w:rsidRPr="00A862AC" w:rsidR="00D34203">
        <w:t xml:space="preserve">his </w:t>
      </w:r>
      <w:r w:rsidRPr="00A862AC" w:rsidR="00B9221C">
        <w:t xml:space="preserve">right to receive social-security benefits on account of his ailments was interfered with. It remains to be ascertained whether </w:t>
      </w:r>
      <w:r w:rsidRPr="00A862AC" w:rsidR="00D34203">
        <w:t xml:space="preserve">the </w:t>
      </w:r>
      <w:r w:rsidRPr="00A862AC" w:rsidR="00B9221C">
        <w:t>interference was justified.</w:t>
      </w:r>
    </w:p>
    <w:p w:rsidRPr="00A862AC" w:rsidR="009338DD"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27</w:t>
      </w:r>
      <w:r w:rsidRPr="00A862AC">
        <w:rPr>
          <w:lang w:val="en-GB"/>
        </w:rPr>
        <w:fldChar w:fldCharType="end"/>
      </w:r>
      <w:r w:rsidRPr="00A862AC" w:rsidR="00014566">
        <w:rPr>
          <w:lang w:val="en-GB"/>
        </w:rPr>
        <w:t>.  </w:t>
      </w:r>
      <w:r w:rsidRPr="00A862AC" w:rsidR="000A02B9">
        <w:rPr>
          <w:lang w:val="en-GB"/>
        </w:rPr>
        <w:t xml:space="preserve">A synopsis of the </w:t>
      </w:r>
      <w:r w:rsidRPr="00A862AC" w:rsidR="00014566">
        <w:rPr>
          <w:lang w:val="en-GB"/>
        </w:rPr>
        <w:t>Court</w:t>
      </w:r>
      <w:r w:rsidRPr="00A862AC" w:rsidR="00A862AC">
        <w:rPr>
          <w:lang w:val="en-GB"/>
        </w:rPr>
        <w:t>’</w:t>
      </w:r>
      <w:r w:rsidRPr="00A862AC" w:rsidR="000A02B9">
        <w:rPr>
          <w:lang w:val="en-GB"/>
        </w:rPr>
        <w:t xml:space="preserve">s </w:t>
      </w:r>
      <w:r w:rsidRPr="00A862AC" w:rsidR="00B9221C">
        <w:rPr>
          <w:lang w:val="en-GB"/>
        </w:rPr>
        <w:t xml:space="preserve">position on compliance with Article 1 of Protocol </w:t>
      </w:r>
      <w:r w:rsidRPr="00A862AC" w:rsidR="00D34203">
        <w:rPr>
          <w:lang w:val="en-GB"/>
        </w:rPr>
        <w:t>N</w:t>
      </w:r>
      <w:r w:rsidRPr="00A862AC" w:rsidR="00B9221C">
        <w:rPr>
          <w:lang w:val="en-GB"/>
        </w:rPr>
        <w:t xml:space="preserve">o. 1 in this field </w:t>
      </w:r>
      <w:r w:rsidRPr="00A862AC" w:rsidR="000A02B9">
        <w:rPr>
          <w:lang w:val="en-GB"/>
        </w:rPr>
        <w:t xml:space="preserve">can be found </w:t>
      </w:r>
      <w:r w:rsidRPr="00A862AC" w:rsidR="00B9221C">
        <w:rPr>
          <w:lang w:val="en-GB"/>
        </w:rPr>
        <w:t xml:space="preserve">in paragraphs 112 to 118 of the </w:t>
      </w:r>
      <w:r w:rsidRPr="00A862AC" w:rsidR="00B9221C">
        <w:rPr>
          <w:i/>
          <w:lang w:val="en-GB"/>
        </w:rPr>
        <w:t>Béláné Nagy</w:t>
      </w:r>
      <w:r w:rsidRPr="00A862AC" w:rsidR="00B9221C">
        <w:rPr>
          <w:lang w:val="en-GB"/>
        </w:rPr>
        <w:t xml:space="preserve"> judgment</w:t>
      </w:r>
      <w:r w:rsidRPr="00A862AC" w:rsidR="005B2FDD">
        <w:rPr>
          <w:lang w:val="en-GB"/>
        </w:rPr>
        <w:t xml:space="preserve"> (cited above)</w:t>
      </w:r>
      <w:r w:rsidRPr="00A862AC" w:rsidR="00B9221C">
        <w:rPr>
          <w:lang w:val="en-GB"/>
        </w:rPr>
        <w:t>. Those considerations are also valid in the present case.</w:t>
      </w:r>
    </w:p>
    <w:p w:rsidRPr="00A862AC" w:rsidR="008C1EDD" w:rsidP="00A862AC" w:rsidRDefault="00182A95">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28</w:t>
      </w:r>
      <w:r w:rsidRPr="00A862AC">
        <w:rPr>
          <w:lang w:val="en-GB"/>
        </w:rPr>
        <w:fldChar w:fldCharType="end"/>
      </w:r>
      <w:r w:rsidRPr="00A862AC">
        <w:rPr>
          <w:lang w:val="en-GB"/>
        </w:rPr>
        <w:t>.  </w:t>
      </w:r>
      <w:r w:rsidRPr="00A862AC" w:rsidR="00D85BA5">
        <w:rPr>
          <w:lang w:val="en-GB"/>
        </w:rPr>
        <w:t xml:space="preserve">The Court notes at the outset that the measure complained of </w:t>
      </w:r>
      <w:r w:rsidRPr="00A862AC" w:rsidR="00C468B2">
        <w:rPr>
          <w:lang w:val="en-GB"/>
        </w:rPr>
        <w:t>had</w:t>
      </w:r>
      <w:r w:rsidRPr="00A862AC" w:rsidR="00D85BA5">
        <w:rPr>
          <w:lang w:val="en-GB"/>
        </w:rPr>
        <w:t xml:space="preserve"> undisputedly </w:t>
      </w:r>
      <w:r w:rsidRPr="00A862AC" w:rsidR="00C468B2">
        <w:rPr>
          <w:lang w:val="en-GB"/>
        </w:rPr>
        <w:t xml:space="preserve">a clear basis in national law; </w:t>
      </w:r>
      <w:r w:rsidRPr="00A862AC" w:rsidR="00D85BA5">
        <w:rPr>
          <w:lang w:val="en-GB"/>
        </w:rPr>
        <w:t xml:space="preserve">and </w:t>
      </w:r>
      <w:r w:rsidRPr="00A862AC" w:rsidR="00C468B2">
        <w:rPr>
          <w:lang w:val="en-GB"/>
        </w:rPr>
        <w:t xml:space="preserve">it </w:t>
      </w:r>
      <w:r w:rsidRPr="00A862AC" w:rsidR="00D85BA5">
        <w:rPr>
          <w:lang w:val="en-GB"/>
        </w:rPr>
        <w:t xml:space="preserve">accepts that it corresponded to the general interest </w:t>
      </w:r>
      <w:r w:rsidRPr="00A862AC" w:rsidR="00FF26DE">
        <w:rPr>
          <w:lang w:val="en-GB"/>
        </w:rPr>
        <w:t>attached to</w:t>
      </w:r>
      <w:r w:rsidRPr="00A862AC" w:rsidR="00D85BA5">
        <w:rPr>
          <w:lang w:val="en-GB"/>
        </w:rPr>
        <w:t xml:space="preserve"> the rationalisation of the social</w:t>
      </w:r>
      <w:r w:rsidRPr="00A862AC" w:rsidR="001076C0">
        <w:rPr>
          <w:lang w:val="en-GB"/>
        </w:rPr>
        <w:t>-</w:t>
      </w:r>
      <w:r w:rsidRPr="00A862AC" w:rsidR="00D85BA5">
        <w:rPr>
          <w:lang w:val="en-GB"/>
        </w:rPr>
        <w:t xml:space="preserve">security system. </w:t>
      </w:r>
      <w:r w:rsidRPr="00A862AC" w:rsidR="008C1EDD">
        <w:rPr>
          <w:lang w:val="en-GB"/>
        </w:rPr>
        <w:t xml:space="preserve">At this juncture, the </w:t>
      </w:r>
      <w:r w:rsidRPr="00A862AC" w:rsidR="00C468B2">
        <w:rPr>
          <w:lang w:val="en-GB"/>
        </w:rPr>
        <w:t>Court</w:t>
      </w:r>
      <w:r w:rsidRPr="00A862AC" w:rsidR="00460C73">
        <w:rPr>
          <w:lang w:val="en-GB"/>
        </w:rPr>
        <w:t xml:space="preserve"> </w:t>
      </w:r>
      <w:r w:rsidRPr="00A862AC" w:rsidR="008C1EDD">
        <w:rPr>
          <w:lang w:val="en-GB"/>
        </w:rPr>
        <w:t xml:space="preserve">reiterates that “the fact that a person has entered into and forms part of a State social-security system (even if a compulsory one, as in the instant case) does not necessarily mean that that system cannot be changed, either as to the conditions of eligibility of payment or as to the quantum of the benefit or pension (see, mutatis mutandis, </w:t>
      </w:r>
      <w:r w:rsidRPr="00A862AC" w:rsidR="008C1EDD">
        <w:rPr>
          <w:i/>
          <w:lang w:val="en-GB"/>
        </w:rPr>
        <w:t>Carson and Others v. the United Kingdom</w:t>
      </w:r>
      <w:r w:rsidRPr="00A862AC" w:rsidR="00C55D1C">
        <w:rPr>
          <w:lang w:val="en-GB"/>
        </w:rPr>
        <w:t xml:space="preserve"> [GC], no. </w:t>
      </w:r>
      <w:r w:rsidRPr="00A862AC" w:rsidR="00AF4333">
        <w:rPr>
          <w:lang w:val="en-GB"/>
        </w:rPr>
        <w:t>42184/05, §§ </w:t>
      </w:r>
      <w:r w:rsidRPr="00A862AC" w:rsidR="008C1EDD">
        <w:rPr>
          <w:lang w:val="en-GB"/>
        </w:rPr>
        <w:t xml:space="preserve">85-89, ECHR 2010; and </w:t>
      </w:r>
      <w:r w:rsidRPr="00A862AC" w:rsidR="008C1EDD">
        <w:rPr>
          <w:i/>
          <w:lang w:val="en-GB"/>
        </w:rPr>
        <w:t>Richardson v. the United Kingdom</w:t>
      </w:r>
      <w:r w:rsidRPr="00A862AC" w:rsidR="008C1EDD">
        <w:rPr>
          <w:lang w:val="en-GB"/>
        </w:rPr>
        <w:t xml:space="preserve"> (</w:t>
      </w:r>
      <w:proofErr w:type="spellStart"/>
      <w:r w:rsidRPr="00A862AC" w:rsidR="008C1EDD">
        <w:rPr>
          <w:lang w:val="en-GB"/>
        </w:rPr>
        <w:t>dec.</w:t>
      </w:r>
      <w:proofErr w:type="spellEnd"/>
      <w:r w:rsidRPr="00A862AC" w:rsidR="008C1EDD">
        <w:rPr>
          <w:lang w:val="en-GB"/>
        </w:rPr>
        <w:t>), no</w:t>
      </w:r>
      <w:r w:rsidRPr="00A862AC" w:rsidR="002B569B">
        <w:rPr>
          <w:lang w:val="en-GB"/>
        </w:rPr>
        <w:t>. 26252/08, § 17, 10 April 2012</w:t>
      </w:r>
      <w:r w:rsidRPr="00A862AC" w:rsidR="008C1EDD">
        <w:rPr>
          <w:lang w:val="en-GB"/>
        </w:rPr>
        <w:t xml:space="preserve">). Indeed, the Court has accepted the possibility of amendments to social-security legislation which may be adopted in response to societal changes and evolving views on the categories of persons who need social assistance, and also to the evolution of individual situations (see </w:t>
      </w:r>
      <w:proofErr w:type="spellStart"/>
      <w:r w:rsidRPr="00A862AC" w:rsidR="008C1EDD">
        <w:rPr>
          <w:i/>
          <w:lang w:val="en-GB"/>
        </w:rPr>
        <w:t>Wieczorek</w:t>
      </w:r>
      <w:proofErr w:type="spellEnd"/>
      <w:r w:rsidRPr="00A862AC" w:rsidR="008C1EDD">
        <w:rPr>
          <w:i/>
          <w:lang w:val="en-GB"/>
        </w:rPr>
        <w:t xml:space="preserve"> v. Poland</w:t>
      </w:r>
      <w:r w:rsidRPr="00A862AC" w:rsidR="006D55A2">
        <w:rPr>
          <w:lang w:val="en-GB"/>
        </w:rPr>
        <w:t>, no. 18176/05, § </w:t>
      </w:r>
      <w:r w:rsidRPr="00A862AC" w:rsidR="008C1EDD">
        <w:rPr>
          <w:lang w:val="en-GB"/>
        </w:rPr>
        <w:t xml:space="preserve">67, 8 December 2009)” (see </w:t>
      </w:r>
      <w:proofErr w:type="spellStart"/>
      <w:r w:rsidRPr="00A862AC" w:rsidR="008C1EDD">
        <w:rPr>
          <w:i/>
          <w:lang w:val="en-GB"/>
        </w:rPr>
        <w:t>Béláné</w:t>
      </w:r>
      <w:proofErr w:type="spellEnd"/>
      <w:r w:rsidRPr="00A862AC" w:rsidR="008C1EDD">
        <w:rPr>
          <w:i/>
          <w:lang w:val="en-GB"/>
        </w:rPr>
        <w:t xml:space="preserve"> Nagy</w:t>
      </w:r>
      <w:r w:rsidRPr="00A862AC" w:rsidR="008C1EDD">
        <w:rPr>
          <w:lang w:val="en-GB"/>
        </w:rPr>
        <w:t xml:space="preserve">, cited above, § 88). The Court would stress that, in present-day conditions, these considerations play a primordial role in assessing complaints going to the impairment of </w:t>
      </w:r>
      <w:r w:rsidRPr="00A862AC" w:rsidR="00A5150A">
        <w:rPr>
          <w:lang w:val="en-GB"/>
        </w:rPr>
        <w:t>social welfare</w:t>
      </w:r>
      <w:r w:rsidRPr="00A862AC" w:rsidR="008C1EDD">
        <w:rPr>
          <w:lang w:val="en-GB"/>
        </w:rPr>
        <w:t xml:space="preserve"> rights</w:t>
      </w:r>
      <w:r w:rsidRPr="00A862AC" w:rsidR="00A5150A">
        <w:rPr>
          <w:lang w:val="en-GB"/>
        </w:rPr>
        <w:t xml:space="preserve">; </w:t>
      </w:r>
      <w:r w:rsidRPr="00A862AC" w:rsidR="008C1EDD">
        <w:rPr>
          <w:lang w:val="en-GB"/>
        </w:rPr>
        <w:t xml:space="preserve">and </w:t>
      </w:r>
      <w:r w:rsidRPr="00A862AC" w:rsidR="00A5150A">
        <w:rPr>
          <w:lang w:val="en-GB"/>
        </w:rPr>
        <w:t xml:space="preserve">they undoubtedly </w:t>
      </w:r>
      <w:r w:rsidRPr="00A862AC" w:rsidR="008C1EDD">
        <w:rPr>
          <w:lang w:val="en-GB"/>
        </w:rPr>
        <w:t xml:space="preserve">provide the State with a wide margin of appreciation </w:t>
      </w:r>
      <w:r w:rsidRPr="00A862AC" w:rsidR="00A5150A">
        <w:rPr>
          <w:lang w:val="en-GB"/>
        </w:rPr>
        <w:t xml:space="preserve">in </w:t>
      </w:r>
      <w:r w:rsidRPr="00A862AC" w:rsidR="008C1EDD">
        <w:rPr>
          <w:lang w:val="en-GB"/>
        </w:rPr>
        <w:t>rationalising their social-security systems (see paragraph</w:t>
      </w:r>
      <w:r w:rsidRPr="00A862AC" w:rsidR="006D55A2">
        <w:rPr>
          <w:lang w:val="en-GB"/>
        </w:rPr>
        <w:t> </w:t>
      </w:r>
      <w:r w:rsidRPr="00A862AC" w:rsidR="00A5150A">
        <w:rPr>
          <w:lang w:val="en-GB"/>
        </w:rPr>
        <w:t>31 below). Nevertheless, the examination of proportionality of such measures cannot be dispensed with.</w:t>
      </w:r>
    </w:p>
    <w:p w:rsidRPr="00A862AC" w:rsidR="009338DD" w:rsidP="00A862AC" w:rsidRDefault="008C695E">
      <w:pPr>
        <w:pStyle w:val="ECHRPara"/>
      </w:pPr>
      <w:r>
        <w:fldChar w:fldCharType="begin"/>
      </w:r>
      <w:r>
        <w:instrText xml:space="preserve"> SEQ level0 \*arabic </w:instrText>
      </w:r>
      <w:r>
        <w:fldChar w:fldCharType="separate"/>
      </w:r>
      <w:r w:rsidRPr="00A862AC" w:rsidR="00A862AC">
        <w:rPr>
          <w:noProof/>
        </w:rPr>
        <w:t>29</w:t>
      </w:r>
      <w:r>
        <w:rPr>
          <w:noProof/>
        </w:rPr>
        <w:fldChar w:fldCharType="end"/>
      </w:r>
      <w:r w:rsidRPr="00A862AC" w:rsidR="00460C73">
        <w:t>.  </w:t>
      </w:r>
      <w:r w:rsidRPr="00A862AC" w:rsidR="000A02B9">
        <w:t>In addressing the proportionality of the measure, that is, i</w:t>
      </w:r>
      <w:r w:rsidRPr="00A862AC" w:rsidR="00182A95">
        <w:t xml:space="preserve">n considering whether the interference imposed an excessive individual burden </w:t>
      </w:r>
      <w:r w:rsidRPr="00A862AC" w:rsidR="000A02B9">
        <w:t>on the applicant</w:t>
      </w:r>
      <w:r w:rsidRPr="00A862AC" w:rsidR="00D34203">
        <w:t>,</w:t>
      </w:r>
      <w:r w:rsidRPr="00A862AC" w:rsidR="000A02B9">
        <w:t xml:space="preserve"> </w:t>
      </w:r>
      <w:r w:rsidRPr="00A862AC" w:rsidR="00182A95">
        <w:t>the Court will have regard to the particular context in which the issue</w:t>
      </w:r>
      <w:r w:rsidRPr="00A862AC" w:rsidR="00D34203">
        <w:t xml:space="preserve"> arose</w:t>
      </w:r>
      <w:r w:rsidRPr="00A862AC" w:rsidR="00182A95">
        <w:t>, namely that of a social-security scheme. Such schemes are an expression of a society</w:t>
      </w:r>
      <w:r w:rsidRPr="00A862AC" w:rsidR="00A862AC">
        <w:t>’</w:t>
      </w:r>
      <w:r w:rsidRPr="00A862AC" w:rsidR="00182A95">
        <w:t xml:space="preserve">s solidarity with its vulnerable members (see </w:t>
      </w:r>
      <w:r w:rsidRPr="00A862AC" w:rsidR="00182A95">
        <w:rPr>
          <w:i/>
        </w:rPr>
        <w:t>Béláné Nagy</w:t>
      </w:r>
      <w:r w:rsidRPr="00A862AC" w:rsidR="00182A95">
        <w:t xml:space="preserve">, cited above, § 116). </w:t>
      </w:r>
      <w:r w:rsidRPr="00A862AC" w:rsidR="000A02B9">
        <w:t>An</w:t>
      </w:r>
      <w:r w:rsidRPr="00A862AC" w:rsidR="00182A95">
        <w:t xml:space="preserve"> important consideration is whether </w:t>
      </w:r>
      <w:r w:rsidRPr="00A862AC" w:rsidR="00460C73">
        <w:t>the applicant</w:t>
      </w:r>
      <w:r w:rsidRPr="00A862AC" w:rsidR="00A862AC">
        <w:t>’</w:t>
      </w:r>
      <w:r w:rsidRPr="00A862AC" w:rsidR="00460C73">
        <w:t xml:space="preserve">s right to derive benefits from the social-insurance scheme in question has been infringed in a manner resulting in the impairment of the essence of his pension rights (see </w:t>
      </w:r>
      <w:r w:rsidRPr="00A862AC" w:rsidR="00460C73">
        <w:rPr>
          <w:i/>
        </w:rPr>
        <w:t>Béláné Nagy</w:t>
      </w:r>
      <w:r w:rsidRPr="00A862AC" w:rsidR="00460C73">
        <w:t>, cited above, § 118).</w:t>
      </w:r>
    </w:p>
    <w:p w:rsidRPr="00A862AC" w:rsidR="00460C73" w:rsidP="00A862AC" w:rsidRDefault="00460C73">
      <w:pPr>
        <w:pStyle w:val="ECHRPara"/>
      </w:pPr>
      <w:r w:rsidRPr="00A862AC">
        <w:t xml:space="preserve">For the Court, a two-thirds reduction, as in the present case, undoubtedly falls into this </w:t>
      </w:r>
      <w:r w:rsidRPr="00A862AC" w:rsidR="00FF26DE">
        <w:t xml:space="preserve">latter </w:t>
      </w:r>
      <w:r w:rsidRPr="00A862AC">
        <w:t>category.</w:t>
      </w:r>
    </w:p>
    <w:p w:rsidRPr="00A862AC" w:rsidR="009338DD" w:rsidP="00A862AC" w:rsidRDefault="00D85BA5">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30</w:t>
      </w:r>
      <w:r w:rsidRPr="00A862AC">
        <w:rPr>
          <w:lang w:val="en-GB"/>
        </w:rPr>
        <w:fldChar w:fldCharType="end"/>
      </w:r>
      <w:r w:rsidRPr="00A862AC">
        <w:rPr>
          <w:lang w:val="en-GB"/>
        </w:rPr>
        <w:t>.  </w:t>
      </w:r>
      <w:r w:rsidRPr="00A862AC" w:rsidR="008F2EF3">
        <w:rPr>
          <w:lang w:val="en-GB"/>
        </w:rPr>
        <w:t>The Court</w:t>
      </w:r>
      <w:r w:rsidRPr="00A862AC" w:rsidR="005B2FDD">
        <w:rPr>
          <w:lang w:val="en-GB"/>
        </w:rPr>
        <w:t xml:space="preserve"> notes that although the applicant </w:t>
      </w:r>
      <w:r w:rsidRPr="00A862AC">
        <w:rPr>
          <w:lang w:val="en-GB"/>
        </w:rPr>
        <w:t xml:space="preserve">– unlike Mrs Nagy – </w:t>
      </w:r>
      <w:r w:rsidRPr="00A862AC" w:rsidR="005B2FDD">
        <w:rPr>
          <w:lang w:val="en-GB"/>
        </w:rPr>
        <w:t xml:space="preserve">was not </w:t>
      </w:r>
      <w:r w:rsidRPr="00A862AC" w:rsidR="008F2EF3">
        <w:rPr>
          <w:lang w:val="en-GB"/>
        </w:rPr>
        <w:t xml:space="preserve">completely deprived </w:t>
      </w:r>
      <w:r w:rsidRPr="00A862AC">
        <w:rPr>
          <w:lang w:val="en-GB"/>
        </w:rPr>
        <w:t xml:space="preserve">of </w:t>
      </w:r>
      <w:r w:rsidRPr="00A862AC" w:rsidR="000A02B9">
        <w:rPr>
          <w:lang w:val="en-GB"/>
        </w:rPr>
        <w:t>all</w:t>
      </w:r>
      <w:r w:rsidRPr="00A862AC">
        <w:rPr>
          <w:lang w:val="en-GB"/>
        </w:rPr>
        <w:t xml:space="preserve"> entitlements,</w:t>
      </w:r>
      <w:r w:rsidRPr="00A862AC" w:rsidR="005B2FDD">
        <w:rPr>
          <w:lang w:val="en-GB"/>
        </w:rPr>
        <w:t xml:space="preserve"> his income was nevertheless abruptly reduced to </w:t>
      </w:r>
      <w:r w:rsidRPr="00A862AC" w:rsidR="000A02B9">
        <w:rPr>
          <w:lang w:val="en-GB"/>
        </w:rPr>
        <w:t>EUR 1</w:t>
      </w:r>
      <w:r w:rsidRPr="00A862AC" w:rsidR="001A37BC">
        <w:rPr>
          <w:lang w:val="en-GB"/>
        </w:rPr>
        <w:t>8</w:t>
      </w:r>
      <w:r w:rsidRPr="00A862AC" w:rsidR="000A02B9">
        <w:rPr>
          <w:lang w:val="en-GB"/>
        </w:rPr>
        <w:t>0 per month</w:t>
      </w:r>
      <w:r w:rsidRPr="00A862AC" w:rsidR="001A37BC">
        <w:rPr>
          <w:lang w:val="en-GB"/>
        </w:rPr>
        <w:t xml:space="preserve"> (see paragraph 11 above)</w:t>
      </w:r>
      <w:r w:rsidRPr="00A862AC" w:rsidR="008F2EF3">
        <w:rPr>
          <w:lang w:val="en-GB"/>
        </w:rPr>
        <w:t>,</w:t>
      </w:r>
      <w:r w:rsidRPr="00A862AC" w:rsidR="005B2FDD">
        <w:rPr>
          <w:lang w:val="en-GB"/>
        </w:rPr>
        <w:t xml:space="preserve"> </w:t>
      </w:r>
      <w:r w:rsidRPr="00A862AC" w:rsidR="000A02B9">
        <w:rPr>
          <w:lang w:val="en-GB"/>
        </w:rPr>
        <w:t>which</w:t>
      </w:r>
      <w:r w:rsidRPr="00A862AC" w:rsidR="00D65104">
        <w:rPr>
          <w:lang w:val="en-GB"/>
        </w:rPr>
        <w:t>, as admitted by the Government themselves,</w:t>
      </w:r>
      <w:r w:rsidRPr="00A862AC" w:rsidR="000A02B9">
        <w:rPr>
          <w:lang w:val="en-GB"/>
        </w:rPr>
        <w:t xml:space="preserve"> </w:t>
      </w:r>
      <w:r w:rsidRPr="00A862AC" w:rsidR="008F2EF3">
        <w:rPr>
          <w:lang w:val="en-GB"/>
        </w:rPr>
        <w:t xml:space="preserve">was barely </w:t>
      </w:r>
      <w:r w:rsidRPr="00A862AC">
        <w:rPr>
          <w:lang w:val="en-GB"/>
        </w:rPr>
        <w:t xml:space="preserve">60% of </w:t>
      </w:r>
      <w:r w:rsidRPr="00A862AC" w:rsidR="005B2FDD">
        <w:rPr>
          <w:lang w:val="en-GB"/>
        </w:rPr>
        <w:t xml:space="preserve">the minimum subsistence level relevant in the period </w:t>
      </w:r>
      <w:r w:rsidRPr="00A862AC" w:rsidR="008F2EF3">
        <w:rPr>
          <w:lang w:val="en-GB"/>
        </w:rPr>
        <w:t xml:space="preserve">in issue </w:t>
      </w:r>
      <w:r w:rsidRPr="00A862AC" w:rsidR="00AF4333">
        <w:rPr>
          <w:lang w:val="en-GB"/>
        </w:rPr>
        <w:t>(see paragraph </w:t>
      </w:r>
      <w:r w:rsidRPr="00A862AC" w:rsidR="00340FD8">
        <w:rPr>
          <w:lang w:val="en-GB"/>
        </w:rPr>
        <w:t>20</w:t>
      </w:r>
      <w:r w:rsidRPr="00A862AC" w:rsidR="005B2FDD">
        <w:rPr>
          <w:lang w:val="en-GB"/>
        </w:rPr>
        <w:t xml:space="preserve"> above). This element is aggravated by the fact that the applicant </w:t>
      </w:r>
      <w:r w:rsidRPr="00A862AC" w:rsidR="00340FD8">
        <w:rPr>
          <w:lang w:val="en-GB"/>
        </w:rPr>
        <w:t xml:space="preserve">apparently </w:t>
      </w:r>
      <w:r w:rsidRPr="00A862AC" w:rsidR="008F2EF3">
        <w:rPr>
          <w:lang w:val="en-GB"/>
        </w:rPr>
        <w:t xml:space="preserve">had no </w:t>
      </w:r>
      <w:r w:rsidRPr="00A862AC" w:rsidR="005B2FDD">
        <w:rPr>
          <w:lang w:val="en-GB"/>
        </w:rPr>
        <w:t xml:space="preserve">other significant income on which to subsist and that he belonged to </w:t>
      </w:r>
      <w:r w:rsidRPr="00A862AC" w:rsidR="008F2EF3">
        <w:rPr>
          <w:lang w:val="en-GB"/>
        </w:rPr>
        <w:t xml:space="preserve">a </w:t>
      </w:r>
      <w:r w:rsidRPr="00A862AC" w:rsidR="005B2FDD">
        <w:rPr>
          <w:lang w:val="en-GB"/>
        </w:rPr>
        <w:t xml:space="preserve">vulnerable group of disabled persons (see </w:t>
      </w:r>
      <w:proofErr w:type="spellStart"/>
      <w:r w:rsidRPr="00A862AC" w:rsidR="00460C73">
        <w:rPr>
          <w:i/>
          <w:lang w:val="en-GB"/>
        </w:rPr>
        <w:t>Béláné</w:t>
      </w:r>
      <w:proofErr w:type="spellEnd"/>
      <w:r w:rsidRPr="00A862AC" w:rsidR="00460C73">
        <w:rPr>
          <w:i/>
          <w:lang w:val="en-GB"/>
        </w:rPr>
        <w:t xml:space="preserve"> Nagy</w:t>
      </w:r>
      <w:r w:rsidRPr="00A862AC" w:rsidR="00460C73">
        <w:rPr>
          <w:lang w:val="en-GB"/>
        </w:rPr>
        <w:t>, cited above, §</w:t>
      </w:r>
      <w:r w:rsidRPr="00A862AC" w:rsidR="003F163F">
        <w:rPr>
          <w:lang w:val="en-GB"/>
        </w:rPr>
        <w:t> </w:t>
      </w:r>
      <w:r w:rsidRPr="00A862AC" w:rsidR="00460C73">
        <w:rPr>
          <w:lang w:val="en-GB"/>
        </w:rPr>
        <w:t>123</w:t>
      </w:r>
      <w:r w:rsidRPr="00A862AC" w:rsidR="005B2FDD">
        <w:rPr>
          <w:lang w:val="en-GB"/>
        </w:rPr>
        <w:t>).</w:t>
      </w:r>
    </w:p>
    <w:p w:rsidRPr="00A862AC" w:rsidR="005B2FDD" w:rsidP="00A862AC" w:rsidRDefault="005B2FDD">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31</w:t>
      </w:r>
      <w:r w:rsidRPr="00A862AC">
        <w:rPr>
          <w:lang w:val="en-GB"/>
        </w:rPr>
        <w:fldChar w:fldCharType="end"/>
      </w:r>
      <w:r w:rsidRPr="00A862AC">
        <w:rPr>
          <w:lang w:val="en-GB"/>
        </w:rPr>
        <w:t xml:space="preserve">.  The Court thus considers </w:t>
      </w:r>
      <w:r w:rsidRPr="00A862AC" w:rsidR="004F11A6">
        <w:rPr>
          <w:lang w:val="en-GB"/>
        </w:rPr>
        <w:t xml:space="preserve">that </w:t>
      </w:r>
      <w:r w:rsidRPr="00A862AC" w:rsidR="008F2EF3">
        <w:rPr>
          <w:lang w:val="en-GB"/>
        </w:rPr>
        <w:t xml:space="preserve">in the present case </w:t>
      </w:r>
      <w:r w:rsidRPr="00A862AC" w:rsidR="004F11A6">
        <w:rPr>
          <w:lang w:val="en-GB"/>
        </w:rPr>
        <w:t xml:space="preserve">the application </w:t>
      </w:r>
      <w:r w:rsidRPr="00A862AC">
        <w:rPr>
          <w:lang w:val="en-GB"/>
        </w:rPr>
        <w:t xml:space="preserve">of the impugned legislation </w:t>
      </w:r>
      <w:r w:rsidRPr="00A862AC" w:rsidR="00340FD8">
        <w:rPr>
          <w:lang w:val="en-GB"/>
        </w:rPr>
        <w:t xml:space="preserve">resulted in </w:t>
      </w:r>
      <w:r w:rsidRPr="00A862AC">
        <w:rPr>
          <w:lang w:val="en-GB"/>
        </w:rPr>
        <w:t xml:space="preserve">a situation </w:t>
      </w:r>
      <w:r w:rsidRPr="00A862AC" w:rsidR="00340FD8">
        <w:rPr>
          <w:lang w:val="en-GB"/>
        </w:rPr>
        <w:t xml:space="preserve">in which </w:t>
      </w:r>
      <w:r w:rsidRPr="00A862AC" w:rsidR="008F2EF3">
        <w:rPr>
          <w:lang w:val="en-GB"/>
        </w:rPr>
        <w:t xml:space="preserve">a </w:t>
      </w:r>
      <w:r w:rsidRPr="00A862AC">
        <w:rPr>
          <w:lang w:val="en-GB"/>
        </w:rPr>
        <w:t xml:space="preserve">fair balance was </w:t>
      </w:r>
      <w:r w:rsidRPr="00A862AC" w:rsidR="008F2EF3">
        <w:rPr>
          <w:lang w:val="en-GB"/>
        </w:rPr>
        <w:t xml:space="preserve">not </w:t>
      </w:r>
      <w:r w:rsidRPr="00A862AC">
        <w:rPr>
          <w:lang w:val="en-GB"/>
        </w:rPr>
        <w:t>struck between the interests at stake</w:t>
      </w:r>
      <w:r w:rsidRPr="00A862AC" w:rsidR="00340FD8">
        <w:rPr>
          <w:lang w:val="en-GB"/>
        </w:rPr>
        <w:t xml:space="preserve"> – </w:t>
      </w:r>
      <w:r w:rsidRPr="00A862AC">
        <w:rPr>
          <w:lang w:val="en-GB"/>
        </w:rPr>
        <w:t>even if that legislation was aimed at protecting the public purse by rationalising the scheme of disability benefits</w:t>
      </w:r>
      <w:r w:rsidRPr="00A862AC" w:rsidR="00340FD8">
        <w:rPr>
          <w:lang w:val="en-GB"/>
        </w:rPr>
        <w:t>,</w:t>
      </w:r>
      <w:r w:rsidRPr="00A862AC">
        <w:rPr>
          <w:lang w:val="en-GB"/>
        </w:rPr>
        <w:t xml:space="preserve"> </w:t>
      </w:r>
      <w:r w:rsidRPr="00A862AC" w:rsidR="00A5150A">
        <w:rPr>
          <w:lang w:val="en-GB"/>
        </w:rPr>
        <w:t xml:space="preserve">a matter of legitimate general interest </w:t>
      </w:r>
      <w:r w:rsidRPr="00A862AC">
        <w:rPr>
          <w:lang w:val="en-GB"/>
        </w:rPr>
        <w:t>in wh</w:t>
      </w:r>
      <w:r w:rsidRPr="00A862AC" w:rsidR="00A5150A">
        <w:rPr>
          <w:lang w:val="en-GB"/>
        </w:rPr>
        <w:t xml:space="preserve">ose pursuit </w:t>
      </w:r>
      <w:r w:rsidRPr="00A862AC" w:rsidR="00340FD8">
        <w:rPr>
          <w:lang w:val="en-GB"/>
        </w:rPr>
        <w:t>the State enjoys a wide margin of appreciation</w:t>
      </w:r>
      <w:r w:rsidRPr="00A862AC" w:rsidR="00A5150A">
        <w:rPr>
          <w:lang w:val="en-GB"/>
        </w:rPr>
        <w:t xml:space="preserve"> (see paragraph 28 above)</w:t>
      </w:r>
      <w:r w:rsidRPr="00A862AC">
        <w:rPr>
          <w:lang w:val="en-GB"/>
        </w:rPr>
        <w:t xml:space="preserve">. Once again, it must be </w:t>
      </w:r>
      <w:r w:rsidRPr="00A862AC" w:rsidR="008F2EF3">
        <w:rPr>
          <w:lang w:val="en-GB"/>
        </w:rPr>
        <w:t xml:space="preserve">stressed </w:t>
      </w:r>
      <w:r w:rsidRPr="00A862AC">
        <w:rPr>
          <w:lang w:val="en-GB"/>
        </w:rPr>
        <w:t xml:space="preserve">that the applicant suffered </w:t>
      </w:r>
      <w:r w:rsidRPr="00A862AC" w:rsidR="00340FD8">
        <w:rPr>
          <w:lang w:val="en-GB"/>
        </w:rPr>
        <w:t>the removal</w:t>
      </w:r>
      <w:r w:rsidRPr="00A862AC">
        <w:rPr>
          <w:lang w:val="en-GB"/>
        </w:rPr>
        <w:t xml:space="preserve"> of two-thirds of his benefit</w:t>
      </w:r>
      <w:r w:rsidRPr="00A862AC" w:rsidR="008F2EF3">
        <w:rPr>
          <w:lang w:val="en-GB"/>
        </w:rPr>
        <w:t>,</w:t>
      </w:r>
      <w:r w:rsidRPr="00A862AC">
        <w:rPr>
          <w:lang w:val="en-GB"/>
        </w:rPr>
        <w:t xml:space="preserve"> </w:t>
      </w:r>
      <w:r w:rsidRPr="00A862AC" w:rsidR="008F2EF3">
        <w:rPr>
          <w:lang w:val="en-GB"/>
        </w:rPr>
        <w:t xml:space="preserve">whereas </w:t>
      </w:r>
      <w:r w:rsidRPr="00A862AC">
        <w:rPr>
          <w:lang w:val="en-GB"/>
        </w:rPr>
        <w:t xml:space="preserve">there </w:t>
      </w:r>
      <w:r w:rsidRPr="00A862AC" w:rsidR="008F2EF3">
        <w:rPr>
          <w:lang w:val="en-GB"/>
        </w:rPr>
        <w:t>was</w:t>
      </w:r>
      <w:r w:rsidRPr="00A862AC">
        <w:rPr>
          <w:lang w:val="en-GB"/>
        </w:rPr>
        <w:t xml:space="preserve"> no indication that he </w:t>
      </w:r>
      <w:r w:rsidRPr="00A862AC" w:rsidR="008F2EF3">
        <w:rPr>
          <w:lang w:val="en-GB"/>
        </w:rPr>
        <w:t xml:space="preserve">had </w:t>
      </w:r>
      <w:r w:rsidRPr="00A862AC">
        <w:rPr>
          <w:lang w:val="en-GB"/>
        </w:rPr>
        <w:t>failed to act in good faith at all times, to co-operate with the authorities or to make any relevant claims or representations</w:t>
      </w:r>
      <w:r w:rsidRPr="00A862AC" w:rsidR="00FF26DE">
        <w:rPr>
          <w:lang w:val="en-GB"/>
        </w:rPr>
        <w:t xml:space="preserve"> (see </w:t>
      </w:r>
      <w:r w:rsidRPr="00A862AC" w:rsidR="00FF26DE">
        <w:rPr>
          <w:i/>
          <w:lang w:val="en-GB"/>
        </w:rPr>
        <w:t>Béláné Nagy</w:t>
      </w:r>
      <w:r w:rsidRPr="00A862AC" w:rsidR="00FF26DE">
        <w:rPr>
          <w:lang w:val="en-GB"/>
        </w:rPr>
        <w:t>, cited above, §§</w:t>
      </w:r>
      <w:r w:rsidRPr="00A862AC" w:rsidR="003F163F">
        <w:rPr>
          <w:lang w:val="en-GB"/>
        </w:rPr>
        <w:t> </w:t>
      </w:r>
      <w:r w:rsidRPr="00A862AC" w:rsidR="00FF26DE">
        <w:rPr>
          <w:lang w:val="en-GB"/>
        </w:rPr>
        <w:t>121, 125 and 126)</w:t>
      </w:r>
      <w:r w:rsidRPr="00A862AC" w:rsidR="00340FD8">
        <w:rPr>
          <w:lang w:val="en-GB"/>
        </w:rPr>
        <w:t>.</w:t>
      </w:r>
    </w:p>
    <w:p w:rsidRPr="00A862AC" w:rsidR="009338DD" w:rsidP="00A862AC" w:rsidRDefault="005B2FDD">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32</w:t>
      </w:r>
      <w:r w:rsidRPr="00A862AC">
        <w:rPr>
          <w:lang w:val="en-GB"/>
        </w:rPr>
        <w:fldChar w:fldCharType="end"/>
      </w:r>
      <w:r w:rsidRPr="00A862AC">
        <w:rPr>
          <w:lang w:val="en-GB"/>
        </w:rPr>
        <w:t xml:space="preserve">.  The Court thus considers that there was no reasonable relation of proportionality between the aim pursued and the </w:t>
      </w:r>
      <w:r w:rsidRPr="00A862AC" w:rsidR="00D65104">
        <w:rPr>
          <w:lang w:val="en-GB"/>
        </w:rPr>
        <w:t xml:space="preserve">restrictions </w:t>
      </w:r>
      <w:r w:rsidRPr="00A862AC">
        <w:rPr>
          <w:lang w:val="en-GB"/>
        </w:rPr>
        <w:t>applied</w:t>
      </w:r>
      <w:r w:rsidRPr="00A862AC" w:rsidR="00340FD8">
        <w:rPr>
          <w:lang w:val="en-GB"/>
        </w:rPr>
        <w:t xml:space="preserve"> </w:t>
      </w:r>
      <w:r w:rsidRPr="00A862AC" w:rsidR="00D65104">
        <w:rPr>
          <w:lang w:val="en-GB"/>
        </w:rPr>
        <w:t>to the applicant</w:t>
      </w:r>
      <w:r w:rsidRPr="00A862AC" w:rsidR="00A862AC">
        <w:rPr>
          <w:lang w:val="en-GB"/>
        </w:rPr>
        <w:t>’</w:t>
      </w:r>
      <w:r w:rsidRPr="00A862AC" w:rsidR="00D65104">
        <w:rPr>
          <w:lang w:val="en-GB"/>
        </w:rPr>
        <w:t xml:space="preserve">s allowance </w:t>
      </w:r>
      <w:r w:rsidRPr="00A862AC" w:rsidR="00340FD8">
        <w:rPr>
          <w:lang w:val="en-GB"/>
        </w:rPr>
        <w:t>in th</w:t>
      </w:r>
      <w:r w:rsidRPr="00A862AC" w:rsidR="006D55A2">
        <w:rPr>
          <w:lang w:val="en-GB"/>
        </w:rPr>
        <w:t>e period from 1 July 2012 to 31 </w:t>
      </w:r>
      <w:r w:rsidRPr="00A862AC" w:rsidR="00340FD8">
        <w:rPr>
          <w:lang w:val="en-GB"/>
        </w:rPr>
        <w:t>December 2013</w:t>
      </w:r>
      <w:r w:rsidRPr="00A862AC">
        <w:rPr>
          <w:lang w:val="en-GB"/>
        </w:rPr>
        <w:t>. It therefore finds that, notwithstanding the State</w:t>
      </w:r>
      <w:r w:rsidRPr="00A862AC" w:rsidR="00A862AC">
        <w:rPr>
          <w:lang w:val="en-GB"/>
        </w:rPr>
        <w:t>’</w:t>
      </w:r>
      <w:r w:rsidRPr="00A862AC">
        <w:rPr>
          <w:lang w:val="en-GB"/>
        </w:rPr>
        <w:t xml:space="preserve">s </w:t>
      </w:r>
      <w:r w:rsidRPr="00A862AC" w:rsidR="00A5150A">
        <w:rPr>
          <w:lang w:val="en-GB"/>
        </w:rPr>
        <w:t xml:space="preserve">wide </w:t>
      </w:r>
      <w:r w:rsidRPr="00A862AC">
        <w:rPr>
          <w:lang w:val="en-GB"/>
        </w:rPr>
        <w:t>margin of appreciation in this field, the applicant had to bear</w:t>
      </w:r>
      <w:r w:rsidRPr="00A862AC" w:rsidR="00D65104">
        <w:rPr>
          <w:lang w:val="en-GB"/>
        </w:rPr>
        <w:t>, in the period at issue;</w:t>
      </w:r>
      <w:r w:rsidRPr="00A862AC">
        <w:rPr>
          <w:lang w:val="en-GB"/>
        </w:rPr>
        <w:t xml:space="preserve"> an excessive individual burden</w:t>
      </w:r>
      <w:r w:rsidRPr="00A862AC" w:rsidR="00D65104">
        <w:rPr>
          <w:lang w:val="en-GB"/>
        </w:rPr>
        <w:t xml:space="preserve">. Even though </w:t>
      </w:r>
      <w:r w:rsidRPr="00A862AC" w:rsidR="00BC35FF">
        <w:rPr>
          <w:lang w:val="en-GB"/>
        </w:rPr>
        <w:t>the applicant later benefitted from a further legislative amendment, which resulted in an increase of his disability allowance, th</w:t>
      </w:r>
      <w:r w:rsidRPr="00A862AC" w:rsidR="006D55A2">
        <w:rPr>
          <w:lang w:val="en-GB"/>
        </w:rPr>
        <w:t>at measure only applied from 1 </w:t>
      </w:r>
      <w:r w:rsidRPr="00A862AC" w:rsidR="00BC35FF">
        <w:rPr>
          <w:lang w:val="en-GB"/>
        </w:rPr>
        <w:t>January 2014 onwards (see paragraph 13 above)</w:t>
      </w:r>
      <w:r w:rsidRPr="00A862AC" w:rsidR="00A14E4C">
        <w:rPr>
          <w:lang w:val="en-GB"/>
        </w:rPr>
        <w:t>.</w:t>
      </w:r>
    </w:p>
    <w:p w:rsidRPr="00A862AC" w:rsidR="005B2FDD" w:rsidP="00A862AC" w:rsidRDefault="00C40E8A">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33</w:t>
      </w:r>
      <w:r w:rsidRPr="00A862AC">
        <w:rPr>
          <w:lang w:val="en-GB"/>
        </w:rPr>
        <w:fldChar w:fldCharType="end"/>
      </w:r>
      <w:r w:rsidRPr="00A862AC">
        <w:rPr>
          <w:lang w:val="en-GB"/>
        </w:rPr>
        <w:t>.  It follows that there has been</w:t>
      </w:r>
      <w:r w:rsidRPr="00A862AC" w:rsidR="005B2FDD">
        <w:rPr>
          <w:lang w:val="en-GB"/>
        </w:rPr>
        <w:t xml:space="preserve"> a violat</w:t>
      </w:r>
      <w:r w:rsidRPr="00A862AC" w:rsidR="006D55A2">
        <w:rPr>
          <w:lang w:val="en-GB"/>
        </w:rPr>
        <w:t>ion of his rights under Article </w:t>
      </w:r>
      <w:r w:rsidRPr="00A862AC" w:rsidR="005B2FDD">
        <w:rPr>
          <w:lang w:val="en-GB"/>
        </w:rPr>
        <w:t>1 of Protocol No. 1.</w:t>
      </w:r>
    </w:p>
    <w:p w:rsidRPr="00A862AC" w:rsidR="00014566" w:rsidP="00A862AC" w:rsidRDefault="000F34B5">
      <w:pPr>
        <w:pStyle w:val="ECHRHeading1"/>
        <w:rPr>
          <w:lang w:val="en-GB"/>
        </w:rPr>
      </w:pPr>
      <w:r w:rsidRPr="00A862AC">
        <w:rPr>
          <w:lang w:val="en-GB"/>
        </w:rPr>
        <w:t>II</w:t>
      </w:r>
      <w:r w:rsidRPr="00A862AC" w:rsidR="00014566">
        <w:rPr>
          <w:lang w:val="en-GB"/>
        </w:rPr>
        <w:t>.  APPLICATION OF ARTICLE 41 OF THE CONVENTION</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34</w:t>
      </w:r>
      <w:r w:rsidRPr="00A862AC">
        <w:rPr>
          <w:lang w:val="en-GB"/>
        </w:rPr>
        <w:fldChar w:fldCharType="end"/>
      </w:r>
      <w:r w:rsidRPr="00A862AC" w:rsidR="00014566">
        <w:rPr>
          <w:lang w:val="en-GB"/>
        </w:rPr>
        <w:t>.  Article 41 of the Convention provides:</w:t>
      </w:r>
    </w:p>
    <w:p w:rsidRPr="00A862AC" w:rsidR="00014566" w:rsidP="00A862AC" w:rsidRDefault="00014566">
      <w:pPr>
        <w:pStyle w:val="ECHRParaQuote"/>
        <w:keepNext/>
        <w:keepLines/>
        <w:rPr>
          <w:lang w:val="en-GB"/>
        </w:rPr>
      </w:pPr>
      <w:r w:rsidRPr="00A862AC">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A862AC" w:rsidR="00014566" w:rsidP="00A862AC" w:rsidRDefault="00014566">
      <w:pPr>
        <w:pStyle w:val="ECHRHeading2"/>
        <w:rPr>
          <w:lang w:val="en-GB"/>
        </w:rPr>
      </w:pPr>
      <w:r w:rsidRPr="00A862AC">
        <w:rPr>
          <w:lang w:val="en-GB"/>
        </w:rPr>
        <w:t>A.  Damage</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35</w:t>
      </w:r>
      <w:r w:rsidRPr="00A862AC">
        <w:rPr>
          <w:lang w:val="en-GB"/>
        </w:rPr>
        <w:fldChar w:fldCharType="end"/>
      </w:r>
      <w:r w:rsidRPr="00A862AC" w:rsidR="00014566">
        <w:rPr>
          <w:lang w:val="en-GB"/>
        </w:rPr>
        <w:t xml:space="preserve">.  The applicant claimed </w:t>
      </w:r>
      <w:r w:rsidRPr="00A862AC" w:rsidR="00791253">
        <w:rPr>
          <w:lang w:val="en-GB"/>
        </w:rPr>
        <w:t xml:space="preserve">EUR </w:t>
      </w:r>
      <w:r w:rsidRPr="00A862AC" w:rsidR="00340FD8">
        <w:rPr>
          <w:lang w:val="en-GB"/>
        </w:rPr>
        <w:t>6,320</w:t>
      </w:r>
      <w:r w:rsidRPr="00A862AC" w:rsidR="00014566">
        <w:rPr>
          <w:lang w:val="en-GB"/>
        </w:rPr>
        <w:t xml:space="preserve"> in respect of pecuniary damage</w:t>
      </w:r>
      <w:r w:rsidRPr="00A862AC" w:rsidR="008F2EF3">
        <w:rPr>
          <w:lang w:val="en-GB"/>
        </w:rPr>
        <w:t>,</w:t>
      </w:r>
      <w:r w:rsidRPr="00A862AC" w:rsidR="00340FD8">
        <w:rPr>
          <w:lang w:val="en-GB"/>
        </w:rPr>
        <w:t xml:space="preserve"> which corresponds to the accumulated difference between the previous benefit and the one prevailing in the period giving rise to the violation found. He also claimed EUR 30,000 in non-pecuniary damage</w:t>
      </w:r>
      <w:r w:rsidRPr="00A862AC" w:rsidR="00014566">
        <w:rPr>
          <w:lang w:val="en-GB"/>
        </w:rPr>
        <w:t>.</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36</w:t>
      </w:r>
      <w:r w:rsidRPr="00A862AC">
        <w:rPr>
          <w:lang w:val="en-GB"/>
        </w:rPr>
        <w:fldChar w:fldCharType="end"/>
      </w:r>
      <w:r w:rsidRPr="00A862AC" w:rsidR="00014566">
        <w:rPr>
          <w:lang w:val="en-GB"/>
        </w:rPr>
        <w:t xml:space="preserve">.  The Government </w:t>
      </w:r>
      <w:r w:rsidRPr="00A862AC" w:rsidR="00340FD8">
        <w:rPr>
          <w:lang w:val="en-GB"/>
        </w:rPr>
        <w:t>found the</w:t>
      </w:r>
      <w:r w:rsidRPr="00A862AC" w:rsidR="00791253">
        <w:rPr>
          <w:lang w:val="en-GB"/>
        </w:rPr>
        <w:t>se</w:t>
      </w:r>
      <w:r w:rsidRPr="00A862AC" w:rsidR="00340FD8">
        <w:rPr>
          <w:lang w:val="en-GB"/>
        </w:rPr>
        <w:t xml:space="preserve"> claims </w:t>
      </w:r>
      <w:r w:rsidRPr="00A862AC" w:rsidR="00791253">
        <w:rPr>
          <w:lang w:val="en-GB"/>
        </w:rPr>
        <w:t xml:space="preserve">to be </w:t>
      </w:r>
      <w:r w:rsidRPr="00A862AC" w:rsidR="00340FD8">
        <w:rPr>
          <w:lang w:val="en-GB"/>
        </w:rPr>
        <w:t>excessive</w:t>
      </w:r>
      <w:r w:rsidRPr="00A862AC" w:rsidR="009A4F79">
        <w:rPr>
          <w:lang w:val="en-GB"/>
        </w:rPr>
        <w:t>.</w:t>
      </w:r>
    </w:p>
    <w:p w:rsidRPr="00A862AC" w:rsidR="00380CBD" w:rsidP="00A862AC" w:rsidRDefault="00380CBD">
      <w:pPr>
        <w:pStyle w:val="ECHRPara"/>
        <w:rPr>
          <w:b/>
          <w:bCs/>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37</w:t>
      </w:r>
      <w:r w:rsidRPr="00A862AC">
        <w:rPr>
          <w:lang w:val="en-GB"/>
        </w:rPr>
        <w:fldChar w:fldCharType="end"/>
      </w:r>
      <w:r w:rsidRPr="00A862AC">
        <w:rPr>
          <w:lang w:val="en-GB"/>
        </w:rPr>
        <w:t xml:space="preserve">.  The Court cannot speculate on the amount of disability benefit which would have been disbursed to the applicant had the violation not occurred. It therefore awards him a lump sum of EUR 5,000 in respect of the pecuniary damage sustained (see </w:t>
      </w:r>
      <w:proofErr w:type="spellStart"/>
      <w:r w:rsidRPr="00A862AC">
        <w:rPr>
          <w:i/>
          <w:lang w:val="en-GB"/>
        </w:rPr>
        <w:t>Béláné</w:t>
      </w:r>
      <w:proofErr w:type="spellEnd"/>
      <w:r w:rsidRPr="00A862AC">
        <w:rPr>
          <w:i/>
          <w:lang w:val="en-GB"/>
        </w:rPr>
        <w:t xml:space="preserve"> Nagy</w:t>
      </w:r>
      <w:r w:rsidRPr="00A862AC">
        <w:rPr>
          <w:lang w:val="en-GB"/>
        </w:rPr>
        <w:t>, cited above, § 131). Moreover, it considers that he must have suffered some non-pecuniary damage on account of the distress suffered and awards him, on the basis of equity, EUR 5,000 under this head.</w:t>
      </w:r>
    </w:p>
    <w:p w:rsidRPr="00A862AC" w:rsidR="00014566" w:rsidP="00A862AC" w:rsidRDefault="00014566">
      <w:pPr>
        <w:pStyle w:val="ECHRHeading2"/>
        <w:rPr>
          <w:lang w:val="en-GB"/>
        </w:rPr>
      </w:pPr>
      <w:r w:rsidRPr="00A862AC">
        <w:rPr>
          <w:lang w:val="en-GB"/>
        </w:rPr>
        <w:t>B.  Costs and expenses</w:t>
      </w:r>
    </w:p>
    <w:p w:rsidRPr="00A862AC" w:rsidR="00014566" w:rsidP="00A862AC" w:rsidRDefault="00D41C06">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38</w:t>
      </w:r>
      <w:r w:rsidRPr="00A862AC">
        <w:rPr>
          <w:lang w:val="en-GB"/>
        </w:rPr>
        <w:fldChar w:fldCharType="end"/>
      </w:r>
      <w:r w:rsidRPr="00A862AC">
        <w:rPr>
          <w:lang w:val="en-GB"/>
        </w:rPr>
        <w:t>.  </w:t>
      </w:r>
      <w:r w:rsidRPr="00A862AC" w:rsidR="00014566">
        <w:rPr>
          <w:lang w:val="en-GB"/>
        </w:rPr>
        <w:t xml:space="preserve">The applicant also claimed EUR </w:t>
      </w:r>
      <w:r w:rsidRPr="00A862AC">
        <w:rPr>
          <w:lang w:val="en-GB"/>
        </w:rPr>
        <w:t>13,400 plus VAT</w:t>
      </w:r>
      <w:r w:rsidRPr="00A862AC" w:rsidR="00014566">
        <w:rPr>
          <w:lang w:val="en-GB"/>
        </w:rPr>
        <w:t xml:space="preserve"> for the costs and expenses incurred before the Court.</w:t>
      </w:r>
      <w:r w:rsidRPr="00A862AC">
        <w:rPr>
          <w:lang w:val="en-GB"/>
        </w:rPr>
        <w:t xml:space="preserve"> This amount corresponds to </w:t>
      </w:r>
      <w:r w:rsidRPr="00A862AC" w:rsidR="00A14E4C">
        <w:rPr>
          <w:lang w:val="en-GB"/>
        </w:rPr>
        <w:t>sixty-seven</w:t>
      </w:r>
      <w:r w:rsidRPr="00A862AC">
        <w:rPr>
          <w:lang w:val="en-GB"/>
        </w:rPr>
        <w:t xml:space="preserve"> hours of legal work billable by his lawyer at an hourly rate of EUR 200 plus VAT.</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39</w:t>
      </w:r>
      <w:r w:rsidRPr="00A862AC">
        <w:rPr>
          <w:lang w:val="en-GB"/>
        </w:rPr>
        <w:fldChar w:fldCharType="end"/>
      </w:r>
      <w:r w:rsidRPr="00A862AC" w:rsidR="00014566">
        <w:rPr>
          <w:lang w:val="en-GB"/>
        </w:rPr>
        <w:t xml:space="preserve">.  The Government </w:t>
      </w:r>
      <w:r w:rsidRPr="00A862AC" w:rsidR="00D41C06">
        <w:rPr>
          <w:lang w:val="en-GB"/>
        </w:rPr>
        <w:t>contested this claim.</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40</w:t>
      </w:r>
      <w:r w:rsidRPr="00A862AC">
        <w:rPr>
          <w:lang w:val="en-GB"/>
        </w:rPr>
        <w:fldChar w:fldCharType="end"/>
      </w:r>
      <w:r w:rsidRPr="00A862AC" w:rsidR="00014566">
        <w:rPr>
          <w:lang w:val="en-GB"/>
        </w:rPr>
        <w:t>.  </w:t>
      </w:r>
      <w:r w:rsidRPr="00A862AC">
        <w:rPr>
          <w:lang w:val="en-GB"/>
        </w:rPr>
        <w:t>According to the Court</w:t>
      </w:r>
      <w:r w:rsidRPr="00A862AC" w:rsidR="00A862AC">
        <w:rPr>
          <w:lang w:val="en-GB"/>
        </w:rPr>
        <w:t>’</w:t>
      </w:r>
      <w:r w:rsidRPr="00A862AC">
        <w:rPr>
          <w:lang w:val="en-GB"/>
        </w:rPr>
        <w:t>s case-law, an applicant is entitled to the reimbursement of costs and expenses only in so far as it has been shown that these have been actually and necessarily incurred and are reasonable as to quantum. In the present case, regard</w:t>
      </w:r>
      <w:r w:rsidRPr="00A862AC" w:rsidR="00014566">
        <w:rPr>
          <w:lang w:val="en-GB"/>
        </w:rPr>
        <w:t xml:space="preserve"> being had to the documents in its possession and </w:t>
      </w:r>
      <w:r w:rsidRPr="00A862AC">
        <w:rPr>
          <w:lang w:val="en-GB"/>
        </w:rPr>
        <w:t>the above criteria</w:t>
      </w:r>
      <w:r w:rsidRPr="00A862AC" w:rsidR="00014566">
        <w:rPr>
          <w:lang w:val="en-GB"/>
        </w:rPr>
        <w:t xml:space="preserve">, the Court considers it reasonable to award the sum of EUR </w:t>
      </w:r>
      <w:r w:rsidRPr="00A862AC" w:rsidR="004413F3">
        <w:rPr>
          <w:lang w:val="en-GB"/>
        </w:rPr>
        <w:t>9</w:t>
      </w:r>
      <w:r w:rsidRPr="00A862AC" w:rsidR="00D41C06">
        <w:rPr>
          <w:lang w:val="en-GB"/>
        </w:rPr>
        <w:t xml:space="preserve">,000 </w:t>
      </w:r>
      <w:r w:rsidRPr="00A862AC" w:rsidR="00014566">
        <w:rPr>
          <w:lang w:val="en-GB"/>
        </w:rPr>
        <w:t>covering costs under all heads.</w:t>
      </w:r>
    </w:p>
    <w:p w:rsidRPr="00A862AC" w:rsidR="00014566" w:rsidP="00A862AC" w:rsidRDefault="00014566">
      <w:pPr>
        <w:pStyle w:val="ECHRHeading2"/>
        <w:rPr>
          <w:lang w:val="en-GB"/>
        </w:rPr>
      </w:pPr>
      <w:r w:rsidRPr="00A862AC">
        <w:rPr>
          <w:lang w:val="en-GB"/>
        </w:rPr>
        <w:t>C.  Default interest</w:t>
      </w:r>
    </w:p>
    <w:p w:rsidRPr="00A862AC" w:rsidR="00014566" w:rsidP="00A862AC" w:rsidRDefault="009B3837">
      <w:pPr>
        <w:pStyle w:val="ECHRPara"/>
        <w:rPr>
          <w:lang w:val="en-GB"/>
        </w:rPr>
      </w:pPr>
      <w:r w:rsidRPr="00A862AC">
        <w:rPr>
          <w:lang w:val="en-GB"/>
        </w:rPr>
        <w:fldChar w:fldCharType="begin"/>
      </w:r>
      <w:r w:rsidRPr="00A862AC">
        <w:rPr>
          <w:lang w:val="en-GB"/>
        </w:rPr>
        <w:instrText xml:space="preserve"> SEQ level0 \*arabic </w:instrText>
      </w:r>
      <w:r w:rsidRPr="00A862AC">
        <w:rPr>
          <w:lang w:val="en-GB"/>
        </w:rPr>
        <w:fldChar w:fldCharType="separate"/>
      </w:r>
      <w:r w:rsidRPr="00A862AC" w:rsidR="00A862AC">
        <w:rPr>
          <w:noProof/>
          <w:lang w:val="en-GB"/>
        </w:rPr>
        <w:t>41</w:t>
      </w:r>
      <w:r w:rsidRPr="00A862AC">
        <w:rPr>
          <w:lang w:val="en-GB"/>
        </w:rPr>
        <w:fldChar w:fldCharType="end"/>
      </w:r>
      <w:r w:rsidRPr="00A862AC" w:rsidR="00014566">
        <w:rPr>
          <w:lang w:val="en-GB"/>
        </w:rPr>
        <w:t>.  The Court considers it appropriate that the default interest rate should be based on the marginal lending rate of the European Central Bank, to which should be added three percentage points.</w:t>
      </w:r>
    </w:p>
    <w:p w:rsidRPr="00A862AC" w:rsidR="00014566" w:rsidP="00A862AC" w:rsidRDefault="00BB5883">
      <w:pPr>
        <w:pStyle w:val="ECHRTitle1"/>
        <w:rPr>
          <w:lang w:val="en-GB"/>
        </w:rPr>
      </w:pPr>
      <w:r w:rsidRPr="00A862AC">
        <w:rPr>
          <w:lang w:val="en-GB"/>
        </w:rPr>
        <w:t>FOR THESE REASONS, THE COURT</w:t>
      </w:r>
      <w:r w:rsidRPr="00A862AC" w:rsidR="00B11F84">
        <w:rPr>
          <w:lang w:val="en-GB"/>
        </w:rPr>
        <w:t>, UNANIMOUSLY,</w:t>
      </w:r>
    </w:p>
    <w:p w:rsidRPr="00A862AC" w:rsidR="00A76242" w:rsidP="00A862AC" w:rsidRDefault="00A76242">
      <w:pPr>
        <w:pStyle w:val="JuList"/>
        <w:rPr>
          <w:lang w:val="en-GB"/>
        </w:rPr>
      </w:pPr>
      <w:r w:rsidRPr="00A862AC">
        <w:t>1.  </w:t>
      </w:r>
      <w:r w:rsidRPr="00A862AC">
        <w:rPr>
          <w:i/>
        </w:rPr>
        <w:t>Joins</w:t>
      </w:r>
      <w:r w:rsidRPr="00A862AC">
        <w:t xml:space="preserve"> </w:t>
      </w:r>
      <w:r w:rsidRPr="00A862AC">
        <w:rPr>
          <w:i/>
        </w:rPr>
        <w:t>to the merits</w:t>
      </w:r>
      <w:r w:rsidRPr="00A862AC" w:rsidR="00FF62A7">
        <w:t xml:space="preserve"> </w:t>
      </w:r>
      <w:r w:rsidRPr="00A862AC">
        <w:t>the Government</w:t>
      </w:r>
      <w:r w:rsidRPr="00A862AC" w:rsidR="00A862AC">
        <w:t>’</w:t>
      </w:r>
      <w:r w:rsidRPr="00A862AC">
        <w:t xml:space="preserve">s preliminary objection and </w:t>
      </w:r>
      <w:r w:rsidRPr="00A862AC">
        <w:rPr>
          <w:i/>
        </w:rPr>
        <w:t>dismisses</w:t>
      </w:r>
      <w:r w:rsidRPr="00A862AC">
        <w:t xml:space="preserve"> it</w:t>
      </w:r>
      <w:r w:rsidRPr="00A862AC" w:rsidR="00380CBD">
        <w:t>;</w:t>
      </w:r>
    </w:p>
    <w:p w:rsidRPr="00A862AC" w:rsidR="00A76242" w:rsidP="00A862AC" w:rsidRDefault="00A76242">
      <w:pPr>
        <w:pStyle w:val="JuList"/>
        <w:rPr>
          <w:lang w:val="en-GB"/>
        </w:rPr>
      </w:pPr>
    </w:p>
    <w:p w:rsidRPr="00A862AC" w:rsidR="00B637B9" w:rsidP="00A862AC" w:rsidRDefault="00A76242">
      <w:pPr>
        <w:pStyle w:val="JuList"/>
        <w:rPr>
          <w:lang w:val="en-GB"/>
        </w:rPr>
      </w:pPr>
      <w:r w:rsidRPr="00A862AC">
        <w:rPr>
          <w:lang w:val="en-GB"/>
        </w:rPr>
        <w:t>2</w:t>
      </w:r>
      <w:r w:rsidRPr="00A862AC" w:rsidR="00B637B9">
        <w:rPr>
          <w:lang w:val="en-GB"/>
        </w:rPr>
        <w:t>.  </w:t>
      </w:r>
      <w:proofErr w:type="gramStart"/>
      <w:r w:rsidRPr="00A862AC" w:rsidR="00B637B9">
        <w:rPr>
          <w:i/>
          <w:lang w:val="en-GB"/>
        </w:rPr>
        <w:t>Declares</w:t>
      </w:r>
      <w:proofErr w:type="gramEnd"/>
      <w:r w:rsidRPr="00A862AC" w:rsidR="00B637B9">
        <w:rPr>
          <w:color w:val="000000"/>
          <w:lang w:val="en-GB"/>
        </w:rPr>
        <w:t xml:space="preserve"> </w:t>
      </w:r>
      <w:r w:rsidRPr="00A862AC" w:rsidR="00B637B9">
        <w:rPr>
          <w:lang w:val="en-GB"/>
        </w:rPr>
        <w:t xml:space="preserve">the </w:t>
      </w:r>
      <w:r w:rsidRPr="00A862AC" w:rsidR="009B3837">
        <w:rPr>
          <w:lang w:val="en-GB"/>
        </w:rPr>
        <w:t>application</w:t>
      </w:r>
      <w:r w:rsidRPr="00A862AC" w:rsidR="00B637B9">
        <w:rPr>
          <w:lang w:val="en-GB"/>
        </w:rPr>
        <w:t xml:space="preserve"> admissible;</w:t>
      </w:r>
    </w:p>
    <w:p w:rsidRPr="00A862AC" w:rsidR="000F34B5" w:rsidP="00A862AC" w:rsidRDefault="000F34B5">
      <w:pPr>
        <w:pStyle w:val="JuList"/>
        <w:rPr>
          <w:lang w:val="en-GB"/>
        </w:rPr>
      </w:pPr>
    </w:p>
    <w:p w:rsidRPr="00A862AC" w:rsidR="00014566" w:rsidP="00A862AC" w:rsidRDefault="00A76242">
      <w:pPr>
        <w:pStyle w:val="JuList"/>
        <w:rPr>
          <w:lang w:val="en-GB"/>
        </w:rPr>
      </w:pPr>
      <w:r w:rsidRPr="00A862AC">
        <w:rPr>
          <w:lang w:val="en-GB"/>
        </w:rPr>
        <w:t>3</w:t>
      </w:r>
      <w:r w:rsidRPr="00A862AC" w:rsidR="00014566">
        <w:rPr>
          <w:lang w:val="en-GB"/>
        </w:rPr>
        <w:t>.  </w:t>
      </w:r>
      <w:proofErr w:type="gramStart"/>
      <w:r w:rsidRPr="00A862AC" w:rsidR="00014566">
        <w:rPr>
          <w:i/>
          <w:lang w:val="en-GB"/>
        </w:rPr>
        <w:t>Holds</w:t>
      </w:r>
      <w:proofErr w:type="gramEnd"/>
      <w:r w:rsidRPr="00A862AC" w:rsidR="00014566">
        <w:rPr>
          <w:color w:val="000000"/>
          <w:lang w:val="en-GB"/>
        </w:rPr>
        <w:t xml:space="preserve"> </w:t>
      </w:r>
      <w:r w:rsidRPr="00A862AC" w:rsidR="00014566">
        <w:rPr>
          <w:lang w:val="en-GB"/>
        </w:rPr>
        <w:t xml:space="preserve">that there has been a violation of Article </w:t>
      </w:r>
      <w:r w:rsidRPr="00A862AC">
        <w:rPr>
          <w:lang w:val="en-GB"/>
        </w:rPr>
        <w:t xml:space="preserve">1 of Protocol No. 1 to </w:t>
      </w:r>
      <w:r w:rsidRPr="00A862AC" w:rsidR="00014566">
        <w:rPr>
          <w:lang w:val="en-GB"/>
        </w:rPr>
        <w:t>the Convention;</w:t>
      </w:r>
    </w:p>
    <w:p w:rsidRPr="00A862AC" w:rsidR="00014566" w:rsidP="00A862AC" w:rsidRDefault="00014566">
      <w:pPr>
        <w:pStyle w:val="JuList"/>
        <w:rPr>
          <w:lang w:val="en-GB"/>
        </w:rPr>
      </w:pPr>
    </w:p>
    <w:p w:rsidRPr="00A862AC" w:rsidR="0003433B" w:rsidP="00A862AC" w:rsidRDefault="00A76242">
      <w:pPr>
        <w:pStyle w:val="JuList"/>
        <w:rPr>
          <w:lang w:val="en-GB"/>
        </w:rPr>
      </w:pPr>
      <w:r w:rsidRPr="00A862AC">
        <w:rPr>
          <w:lang w:val="en-GB"/>
        </w:rPr>
        <w:t>4</w:t>
      </w:r>
      <w:r w:rsidRPr="00A862AC" w:rsidR="00014566">
        <w:rPr>
          <w:lang w:val="en-GB"/>
        </w:rPr>
        <w:t>.  </w:t>
      </w:r>
      <w:r w:rsidRPr="00A862AC" w:rsidR="00014566">
        <w:rPr>
          <w:i/>
          <w:lang w:val="en-GB"/>
        </w:rPr>
        <w:t>Holds</w:t>
      </w:r>
      <w:r w:rsidRPr="00A862AC" w:rsidR="009B3837">
        <w:rPr>
          <w:lang w:val="en-GB"/>
        </w:rPr>
        <w:t>,</w:t>
      </w:r>
    </w:p>
    <w:p w:rsidRPr="00A862AC" w:rsidR="00014566" w:rsidP="00A862AC" w:rsidRDefault="00014566">
      <w:pPr>
        <w:pStyle w:val="JuLista"/>
        <w:rPr>
          <w:lang w:val="en-GB"/>
        </w:rPr>
      </w:pPr>
      <w:r w:rsidRPr="00A862AC">
        <w:rPr>
          <w:lang w:val="en-GB"/>
        </w:rPr>
        <w:t>(a)  that the respondent State is to pay the applicant, within three months</w:t>
      </w:r>
      <w:r w:rsidRPr="00A862AC" w:rsidR="009A4F79">
        <w:rPr>
          <w:lang w:val="en-GB"/>
        </w:rPr>
        <w:t xml:space="preserve"> </w:t>
      </w:r>
      <w:r w:rsidRPr="00A862AC" w:rsidR="009B3837">
        <w:rPr>
          <w:lang w:val="en-GB"/>
        </w:rPr>
        <w:t>from the date on which the judgment becomes final in accordance with Article 44 § 2 of the Convention,</w:t>
      </w:r>
      <w:r w:rsidRPr="00A862AC">
        <w:rPr>
          <w:lang w:val="en-GB"/>
        </w:rPr>
        <w:t xml:space="preserve"> the following amounts, to be converted into </w:t>
      </w:r>
      <w:r w:rsidRPr="00A862AC">
        <w:rPr>
          <w:color w:val="000000"/>
          <w:lang w:val="en-GB"/>
        </w:rPr>
        <w:t>the currency of the respondent State</w:t>
      </w:r>
      <w:r w:rsidRPr="00A862AC">
        <w:rPr>
          <w:lang w:val="en-GB"/>
        </w:rPr>
        <w:t xml:space="preserve"> at the rate applicable at the date of settlement:</w:t>
      </w:r>
    </w:p>
    <w:p w:rsidRPr="00A862AC" w:rsidR="00014566" w:rsidP="00A862AC" w:rsidRDefault="00014566">
      <w:pPr>
        <w:pStyle w:val="JuListi"/>
        <w:rPr>
          <w:lang w:val="en-GB"/>
        </w:rPr>
      </w:pPr>
      <w:r w:rsidRPr="00A862AC">
        <w:rPr>
          <w:lang w:val="en-GB"/>
        </w:rPr>
        <w:t xml:space="preserve">(i)  EUR </w:t>
      </w:r>
      <w:r w:rsidRPr="00A862AC" w:rsidR="00380CBD">
        <w:rPr>
          <w:lang w:val="en-GB"/>
        </w:rPr>
        <w:t>5,000</w:t>
      </w:r>
      <w:r w:rsidRPr="00A862AC">
        <w:rPr>
          <w:lang w:val="en-GB"/>
        </w:rPr>
        <w:t xml:space="preserve"> (</w:t>
      </w:r>
      <w:r w:rsidRPr="00A862AC" w:rsidR="00380CBD">
        <w:rPr>
          <w:lang w:val="en-GB"/>
        </w:rPr>
        <w:t xml:space="preserve">five </w:t>
      </w:r>
      <w:r w:rsidRPr="00A862AC" w:rsidR="00D41C06">
        <w:rPr>
          <w:lang w:val="en-GB"/>
        </w:rPr>
        <w:t xml:space="preserve">thousand </w:t>
      </w:r>
      <w:r w:rsidRPr="00A862AC">
        <w:rPr>
          <w:lang w:val="en-GB"/>
        </w:rPr>
        <w:t>euros), plus any tax that may be chargeable,</w:t>
      </w:r>
      <w:r w:rsidRPr="00A862AC" w:rsidR="00D41C06">
        <w:rPr>
          <w:lang w:val="en-GB"/>
        </w:rPr>
        <w:t xml:space="preserve"> </w:t>
      </w:r>
      <w:r w:rsidRPr="00A862AC">
        <w:rPr>
          <w:lang w:val="en-GB"/>
        </w:rPr>
        <w:t>in respect of pecuniary damage;</w:t>
      </w:r>
    </w:p>
    <w:p w:rsidRPr="00A862AC" w:rsidR="00014566" w:rsidP="00A862AC" w:rsidRDefault="00014566">
      <w:pPr>
        <w:pStyle w:val="JuListi"/>
        <w:rPr>
          <w:lang w:val="en-GB"/>
        </w:rPr>
      </w:pPr>
      <w:r w:rsidRPr="00A862AC">
        <w:rPr>
          <w:lang w:val="en-GB"/>
        </w:rPr>
        <w:t xml:space="preserve">(ii)  EUR </w:t>
      </w:r>
      <w:r w:rsidRPr="00A862AC" w:rsidR="00D41C06">
        <w:rPr>
          <w:lang w:val="en-GB"/>
        </w:rPr>
        <w:t>5,000</w:t>
      </w:r>
      <w:r w:rsidRPr="00A862AC">
        <w:rPr>
          <w:lang w:val="en-GB"/>
        </w:rPr>
        <w:t xml:space="preserve"> (</w:t>
      </w:r>
      <w:r w:rsidRPr="00A862AC" w:rsidR="00D41C06">
        <w:rPr>
          <w:lang w:val="en-GB"/>
        </w:rPr>
        <w:t>five thousand</w:t>
      </w:r>
      <w:r w:rsidRPr="00A862AC">
        <w:rPr>
          <w:lang w:val="en-GB"/>
        </w:rPr>
        <w:t xml:space="preserve"> euros), plus any tax that may be chargeable, in respect of non-pecuniary damage;</w:t>
      </w:r>
    </w:p>
    <w:p w:rsidRPr="00A862AC" w:rsidR="00014566" w:rsidP="00A862AC" w:rsidRDefault="00014566">
      <w:pPr>
        <w:pStyle w:val="JuListi"/>
        <w:rPr>
          <w:lang w:val="en-GB"/>
        </w:rPr>
      </w:pPr>
      <w:r w:rsidRPr="00A862AC">
        <w:rPr>
          <w:lang w:val="en-GB"/>
        </w:rPr>
        <w:t xml:space="preserve">(iii)  EUR </w:t>
      </w:r>
      <w:r w:rsidRPr="00A862AC" w:rsidR="004413F3">
        <w:rPr>
          <w:lang w:val="en-GB"/>
        </w:rPr>
        <w:t>9</w:t>
      </w:r>
      <w:r w:rsidRPr="00A862AC" w:rsidR="00D41C06">
        <w:rPr>
          <w:lang w:val="en-GB"/>
        </w:rPr>
        <w:t>,000</w:t>
      </w:r>
      <w:r w:rsidRPr="00A862AC">
        <w:rPr>
          <w:lang w:val="en-GB"/>
        </w:rPr>
        <w:t xml:space="preserve"> (</w:t>
      </w:r>
      <w:r w:rsidRPr="00A862AC" w:rsidR="004413F3">
        <w:rPr>
          <w:lang w:val="en-GB"/>
        </w:rPr>
        <w:t>nine</w:t>
      </w:r>
      <w:r w:rsidRPr="00A862AC" w:rsidR="00D41C06">
        <w:rPr>
          <w:lang w:val="en-GB"/>
        </w:rPr>
        <w:t xml:space="preserve"> thousand</w:t>
      </w:r>
      <w:r w:rsidRPr="00A862AC">
        <w:rPr>
          <w:lang w:val="en-GB"/>
        </w:rPr>
        <w:t xml:space="preserve"> euros), plus any tax that may be chargeable to the applicant, in respect of costs and expenses;</w:t>
      </w:r>
    </w:p>
    <w:p w:rsidRPr="00A862AC" w:rsidR="00014566" w:rsidP="00A862AC" w:rsidRDefault="00014566">
      <w:pPr>
        <w:pStyle w:val="JuLista"/>
        <w:rPr>
          <w:lang w:val="en-GB"/>
        </w:rPr>
      </w:pPr>
      <w:r w:rsidRPr="00A862AC">
        <w:rPr>
          <w:lang w:val="en-GB"/>
        </w:rPr>
        <w:t>(b)  that from the expiry of the above-mentioned three months until settlement simple interest shall be payable on the above amount</w:t>
      </w:r>
      <w:r w:rsidRPr="00A862AC" w:rsidR="000F34B5">
        <w:rPr>
          <w:lang w:val="en-GB"/>
        </w:rPr>
        <w:t>s</w:t>
      </w:r>
      <w:r w:rsidRPr="00A862AC">
        <w:rPr>
          <w:lang w:val="en-GB"/>
        </w:rPr>
        <w:t xml:space="preserve"> at a rate equal to the marginal lending rate of the European Central Bank during the default period plus three percentage points;</w:t>
      </w:r>
    </w:p>
    <w:p w:rsidRPr="00A862AC" w:rsidR="00014566" w:rsidP="00A862AC" w:rsidRDefault="00014566">
      <w:pPr>
        <w:pStyle w:val="JuList"/>
        <w:rPr>
          <w:lang w:val="en-GB"/>
        </w:rPr>
      </w:pPr>
    </w:p>
    <w:p w:rsidRPr="00A862AC" w:rsidR="00014566" w:rsidP="00A862AC" w:rsidRDefault="00A76242">
      <w:pPr>
        <w:pStyle w:val="JuList"/>
        <w:rPr>
          <w:lang w:val="en-GB"/>
        </w:rPr>
      </w:pPr>
      <w:r w:rsidRPr="00A862AC">
        <w:rPr>
          <w:lang w:val="en-GB"/>
        </w:rPr>
        <w:t>5</w:t>
      </w:r>
      <w:r w:rsidRPr="00A862AC" w:rsidR="00014566">
        <w:rPr>
          <w:lang w:val="en-GB"/>
        </w:rPr>
        <w:t>.  </w:t>
      </w:r>
      <w:r w:rsidRPr="00A862AC" w:rsidR="00014566">
        <w:rPr>
          <w:i/>
          <w:lang w:val="en-GB"/>
        </w:rPr>
        <w:t>Dismisses</w:t>
      </w:r>
      <w:r w:rsidRPr="00A862AC" w:rsidR="009B3837">
        <w:rPr>
          <w:lang w:val="en-GB"/>
        </w:rPr>
        <w:t xml:space="preserve"> </w:t>
      </w:r>
      <w:r w:rsidRPr="00A862AC" w:rsidR="00014566">
        <w:rPr>
          <w:lang w:val="en-GB"/>
        </w:rPr>
        <w:t>the remainder of the applicant</w:t>
      </w:r>
      <w:r w:rsidRPr="00A862AC" w:rsidR="00A862AC">
        <w:rPr>
          <w:lang w:val="en-GB"/>
        </w:rPr>
        <w:t>’</w:t>
      </w:r>
      <w:r w:rsidRPr="00A862AC" w:rsidR="009B3837">
        <w:rPr>
          <w:lang w:val="en-GB"/>
        </w:rPr>
        <w:t>s</w:t>
      </w:r>
      <w:r w:rsidRPr="00A862AC" w:rsidR="00014566">
        <w:rPr>
          <w:lang w:val="en-GB"/>
        </w:rPr>
        <w:t xml:space="preserve"> claim for just satisfaction.</w:t>
      </w:r>
    </w:p>
    <w:p w:rsidRPr="00A862AC" w:rsidR="00014566" w:rsidP="00A862AC" w:rsidRDefault="00014566">
      <w:pPr>
        <w:pStyle w:val="JuParaLast"/>
        <w:rPr>
          <w:lang w:val="en-GB"/>
        </w:rPr>
      </w:pPr>
      <w:r w:rsidRPr="00A862AC">
        <w:rPr>
          <w:lang w:val="en-GB"/>
        </w:rPr>
        <w:t xml:space="preserve">Done in English, and notified in writing on </w:t>
      </w:r>
      <w:r w:rsidRPr="00A862AC" w:rsidR="00664E6C">
        <w:rPr>
          <w:lang w:val="en-GB"/>
        </w:rPr>
        <w:t>7 March 2017</w:t>
      </w:r>
      <w:r w:rsidRPr="00A862AC">
        <w:rPr>
          <w:lang w:val="en-GB"/>
        </w:rPr>
        <w:t>, pursuant to Rule 77 §§ 2 and 3 of the Rules of Court.</w:t>
      </w:r>
    </w:p>
    <w:p w:rsidRPr="00A862AC" w:rsidR="00393FED" w:rsidP="00A862AC" w:rsidRDefault="00014566">
      <w:pPr>
        <w:pStyle w:val="JuSigned"/>
        <w:rPr>
          <w:lang w:val="pt-PT"/>
        </w:rPr>
      </w:pPr>
      <w:r w:rsidRPr="00A862AC">
        <w:rPr>
          <w:lang w:val="en-GB"/>
        </w:rPr>
        <w:tab/>
      </w:r>
      <w:r w:rsidRPr="00A862AC" w:rsidR="009B3837">
        <w:rPr>
          <w:lang w:val="pt-PT"/>
        </w:rPr>
        <w:t>Marialena Tsirli</w:t>
      </w:r>
      <w:r w:rsidRPr="00A862AC">
        <w:rPr>
          <w:lang w:val="pt-PT"/>
        </w:rPr>
        <w:tab/>
      </w:r>
      <w:r w:rsidRPr="00A862AC" w:rsidR="009B3837">
        <w:rPr>
          <w:szCs w:val="24"/>
          <w:lang w:val="pt-PT"/>
        </w:rPr>
        <w:t>Vincent A. De Gaetano</w:t>
      </w:r>
      <w:r w:rsidRPr="00A862AC" w:rsidR="00E1557C">
        <w:rPr>
          <w:szCs w:val="24"/>
          <w:lang w:val="pt-PT"/>
        </w:rPr>
        <w:br/>
      </w:r>
      <w:r w:rsidRPr="00A862AC">
        <w:rPr>
          <w:lang w:val="pt-PT"/>
        </w:rPr>
        <w:tab/>
      </w:r>
      <w:r w:rsidRPr="00A862AC" w:rsidR="009B3837">
        <w:rPr>
          <w:iCs/>
          <w:lang w:val="pt-PT"/>
        </w:rPr>
        <w:t>Registrar</w:t>
      </w:r>
      <w:r w:rsidRPr="00A862AC" w:rsidR="00393FED">
        <w:rPr>
          <w:lang w:val="pt-PT"/>
        </w:rPr>
        <w:t xml:space="preserve"> </w:t>
      </w:r>
      <w:r w:rsidRPr="00A862AC" w:rsidR="00393FED">
        <w:rPr>
          <w:lang w:val="pt-PT"/>
        </w:rPr>
        <w:tab/>
      </w:r>
      <w:proofErr w:type="spellStart"/>
      <w:r w:rsidRPr="00A862AC" w:rsidR="00393FED">
        <w:rPr>
          <w:lang w:val="pt-PT"/>
        </w:rPr>
        <w:t>President</w:t>
      </w:r>
      <w:proofErr w:type="spellEnd"/>
    </w:p>
    <w:p w:rsidRPr="00A862AC" w:rsidR="00B11F84" w:rsidP="00A862AC" w:rsidRDefault="00B11F84">
      <w:pPr>
        <w:pStyle w:val="JuSigned"/>
        <w:rPr>
          <w:lang w:val="pt-PT"/>
        </w:rPr>
      </w:pPr>
    </w:p>
    <w:sectPr w:rsidRPr="00A862AC" w:rsidR="00B11F84" w:rsidSect="007363C9">
      <w:headerReference w:type="even" r:id="rId14"/>
      <w:headerReference w:type="default" r:id="rId15"/>
      <w:footnotePr>
        <w:numRestart w:val="eachSect"/>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FD8" w:rsidRPr="00535BB8" w:rsidRDefault="00340FD8" w:rsidP="00014566">
      <w:pPr>
        <w:rPr>
          <w:lang w:val="en-GB"/>
        </w:rPr>
      </w:pPr>
      <w:r w:rsidRPr="00535BB8">
        <w:rPr>
          <w:lang w:val="en-GB"/>
        </w:rPr>
        <w:separator/>
      </w:r>
    </w:p>
  </w:endnote>
  <w:endnote w:type="continuationSeparator" w:id="0">
    <w:p w:rsidR="00340FD8" w:rsidRPr="00535BB8" w:rsidRDefault="00340FD8" w:rsidP="00014566">
      <w:pPr>
        <w:rPr>
          <w:lang w:val="en-GB"/>
        </w:rPr>
      </w:pPr>
      <w:r w:rsidRPr="00535BB8">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3C9" w:rsidRDefault="007363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3C9" w:rsidRDefault="007363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3C9" w:rsidRPr="00150BFA" w:rsidRDefault="007363C9" w:rsidP="0020718E">
    <w:pPr>
      <w:jc w:val="center"/>
    </w:pPr>
    <w:r>
      <w:rPr>
        <w:noProof/>
        <w:lang w:eastAsia="ja-JP"/>
      </w:rPr>
      <w:drawing>
        <wp:inline distT="0" distB="0" distL="0" distR="0" wp14:anchorId="2ADBA5FB" wp14:editId="477B549E">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7363C9" w:rsidRDefault="007363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FD8" w:rsidRPr="00535BB8" w:rsidRDefault="00340FD8" w:rsidP="00014566">
      <w:pPr>
        <w:rPr>
          <w:lang w:val="en-GB"/>
        </w:rPr>
      </w:pPr>
      <w:r w:rsidRPr="00535BB8">
        <w:rPr>
          <w:lang w:val="en-GB"/>
        </w:rPr>
        <w:separator/>
      </w:r>
    </w:p>
  </w:footnote>
  <w:footnote w:type="continuationSeparator" w:id="0">
    <w:p w:rsidR="00340FD8" w:rsidRPr="00535BB8" w:rsidRDefault="00340FD8" w:rsidP="00014566">
      <w:pPr>
        <w:rPr>
          <w:lang w:val="en-GB"/>
        </w:rPr>
      </w:pPr>
      <w:r w:rsidRPr="00535BB8">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3C9" w:rsidRDefault="007363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FD8" w:rsidRPr="007363C9" w:rsidRDefault="00340FD8" w:rsidP="007363C9">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3C9" w:rsidRPr="00A45145" w:rsidRDefault="007363C9" w:rsidP="00A45145">
    <w:pPr>
      <w:jc w:val="center"/>
    </w:pPr>
    <w:r>
      <w:rPr>
        <w:noProof/>
        <w:lang w:eastAsia="ja-JP"/>
      </w:rPr>
      <w:drawing>
        <wp:inline distT="0" distB="0" distL="0" distR="0" wp14:anchorId="5CCC49BA" wp14:editId="2435466E">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340FD8" w:rsidRDefault="00340F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3C9" w:rsidRPr="00535BB8" w:rsidRDefault="007363C9"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862AC">
      <w:rPr>
        <w:rStyle w:val="PageNumber"/>
        <w:noProof/>
        <w:szCs w:val="18"/>
        <w:lang w:val="en-GB"/>
      </w:rPr>
      <w:t>8</w:t>
    </w:r>
    <w:r>
      <w:rPr>
        <w:rStyle w:val="PageNumber"/>
        <w:szCs w:val="18"/>
        <w:lang w:val="en-GB"/>
      </w:rPr>
      <w:fldChar w:fldCharType="end"/>
    </w:r>
    <w:r w:rsidRPr="00535BB8">
      <w:rPr>
        <w:lang w:val="en-GB"/>
      </w:rPr>
      <w:tab/>
    </w:r>
    <w:r>
      <w:rPr>
        <w:lang w:val="en-GB"/>
      </w:rPr>
      <w:t>BACZÚR v. HUNGARY</w:t>
    </w:r>
    <w:r w:rsidRPr="00535BB8">
      <w:rPr>
        <w:lang w:val="en-GB"/>
      </w:rPr>
      <w:t xml:space="preserve">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3C9" w:rsidRPr="00535BB8" w:rsidRDefault="007363C9" w:rsidP="00D60D87">
    <w:pPr>
      <w:pStyle w:val="ECHRHeader"/>
      <w:rPr>
        <w:lang w:val="en-GB"/>
      </w:rPr>
    </w:pPr>
    <w:r w:rsidRPr="00535BB8">
      <w:rPr>
        <w:lang w:val="en-GB"/>
      </w:rPr>
      <w:tab/>
    </w:r>
    <w:r>
      <w:rPr>
        <w:lang w:val="en-GB"/>
      </w:rPr>
      <w:t>BACZÚR v. HUNGARY</w:t>
    </w:r>
    <w:r w:rsidRPr="00535BB8">
      <w:rPr>
        <w:lang w:val="en-GB"/>
      </w:rPr>
      <w:t xml:space="preserve"> </w:t>
    </w:r>
    <w:r>
      <w:rPr>
        <w:lang w:val="en-GB"/>
      </w:rPr>
      <w:t>JUDGMENT</w:t>
    </w:r>
    <w:r w:rsidRPr="00535BB8">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A862AC">
      <w:rPr>
        <w:rStyle w:val="PageNumber"/>
        <w:noProof/>
        <w:szCs w:val="18"/>
        <w:lang w:val="en-GB"/>
      </w:rPr>
      <w:t>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 w:numId="17">
    <w:abstractNumId w:val="12"/>
  </w:num>
  <w:num w:numId="18">
    <w:abstractNumId w:val="12"/>
  </w:num>
  <w:num w:numId="19">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9B3837"/>
    <w:rsid w:val="00000067"/>
    <w:rsid w:val="00000D92"/>
    <w:rsid w:val="000010ED"/>
    <w:rsid w:val="000041F8"/>
    <w:rsid w:val="000042A8"/>
    <w:rsid w:val="00004308"/>
    <w:rsid w:val="00005BF0"/>
    <w:rsid w:val="00007154"/>
    <w:rsid w:val="000103AE"/>
    <w:rsid w:val="00011D69"/>
    <w:rsid w:val="00012AD3"/>
    <w:rsid w:val="00014566"/>
    <w:rsid w:val="00015C2D"/>
    <w:rsid w:val="00015F00"/>
    <w:rsid w:val="00022C1D"/>
    <w:rsid w:val="0003433B"/>
    <w:rsid w:val="00034987"/>
    <w:rsid w:val="000350E3"/>
    <w:rsid w:val="000602DF"/>
    <w:rsid w:val="00061B05"/>
    <w:rsid w:val="00062973"/>
    <w:rsid w:val="00062D5D"/>
    <w:rsid w:val="000632D5"/>
    <w:rsid w:val="000644EE"/>
    <w:rsid w:val="00071ABC"/>
    <w:rsid w:val="000856D7"/>
    <w:rsid w:val="000925AD"/>
    <w:rsid w:val="000A02B9"/>
    <w:rsid w:val="000A24EB"/>
    <w:rsid w:val="000B3404"/>
    <w:rsid w:val="000B38F3"/>
    <w:rsid w:val="000B6923"/>
    <w:rsid w:val="000C033C"/>
    <w:rsid w:val="000C3986"/>
    <w:rsid w:val="000C5F3C"/>
    <w:rsid w:val="000C6DCC"/>
    <w:rsid w:val="000D47AA"/>
    <w:rsid w:val="000D721F"/>
    <w:rsid w:val="000E069B"/>
    <w:rsid w:val="000E0E82"/>
    <w:rsid w:val="000E1DC5"/>
    <w:rsid w:val="000E223F"/>
    <w:rsid w:val="000E35AC"/>
    <w:rsid w:val="000E7D45"/>
    <w:rsid w:val="000F34B5"/>
    <w:rsid w:val="000F7851"/>
    <w:rsid w:val="00104E23"/>
    <w:rsid w:val="001076C0"/>
    <w:rsid w:val="00111B0C"/>
    <w:rsid w:val="00120D6C"/>
    <w:rsid w:val="001257EC"/>
    <w:rsid w:val="00132C6A"/>
    <w:rsid w:val="00133D33"/>
    <w:rsid w:val="00134D64"/>
    <w:rsid w:val="00135A30"/>
    <w:rsid w:val="0013612C"/>
    <w:rsid w:val="00137FF6"/>
    <w:rsid w:val="00141650"/>
    <w:rsid w:val="00162A12"/>
    <w:rsid w:val="0016623B"/>
    <w:rsid w:val="00166530"/>
    <w:rsid w:val="00182A95"/>
    <w:rsid w:val="001832BD"/>
    <w:rsid w:val="001943B5"/>
    <w:rsid w:val="00195134"/>
    <w:rsid w:val="001A145B"/>
    <w:rsid w:val="001A37BC"/>
    <w:rsid w:val="001A674C"/>
    <w:rsid w:val="001B3B24"/>
    <w:rsid w:val="001C0F98"/>
    <w:rsid w:val="001C2A42"/>
    <w:rsid w:val="001D63ED"/>
    <w:rsid w:val="001D7348"/>
    <w:rsid w:val="001E035B"/>
    <w:rsid w:val="001E0961"/>
    <w:rsid w:val="001E3EAE"/>
    <w:rsid w:val="001E5348"/>
    <w:rsid w:val="001E6F32"/>
    <w:rsid w:val="001F2145"/>
    <w:rsid w:val="001F6262"/>
    <w:rsid w:val="001F67B0"/>
    <w:rsid w:val="001F7B3D"/>
    <w:rsid w:val="00205F9F"/>
    <w:rsid w:val="00210338"/>
    <w:rsid w:val="002115FC"/>
    <w:rsid w:val="002133F8"/>
    <w:rsid w:val="0021423C"/>
    <w:rsid w:val="00215AA7"/>
    <w:rsid w:val="00230D00"/>
    <w:rsid w:val="00231DF7"/>
    <w:rsid w:val="00231FD1"/>
    <w:rsid w:val="002339E0"/>
    <w:rsid w:val="00233CF8"/>
    <w:rsid w:val="0023575D"/>
    <w:rsid w:val="00237148"/>
    <w:rsid w:val="0024222D"/>
    <w:rsid w:val="00244B0E"/>
    <w:rsid w:val="00244F6C"/>
    <w:rsid w:val="00247622"/>
    <w:rsid w:val="002532C5"/>
    <w:rsid w:val="00260C03"/>
    <w:rsid w:val="0026540E"/>
    <w:rsid w:val="0027225C"/>
    <w:rsid w:val="00275123"/>
    <w:rsid w:val="00282240"/>
    <w:rsid w:val="0028572A"/>
    <w:rsid w:val="002948AD"/>
    <w:rsid w:val="00294C05"/>
    <w:rsid w:val="00294C92"/>
    <w:rsid w:val="002A01CC"/>
    <w:rsid w:val="002A5CEB"/>
    <w:rsid w:val="002A61B1"/>
    <w:rsid w:val="002A663C"/>
    <w:rsid w:val="002B1E6C"/>
    <w:rsid w:val="002B444B"/>
    <w:rsid w:val="002B569B"/>
    <w:rsid w:val="002B5887"/>
    <w:rsid w:val="002C0692"/>
    <w:rsid w:val="002C0E27"/>
    <w:rsid w:val="002C3040"/>
    <w:rsid w:val="002D022D"/>
    <w:rsid w:val="002D24BB"/>
    <w:rsid w:val="002D652B"/>
    <w:rsid w:val="002E4AD7"/>
    <w:rsid w:val="002F2AF7"/>
    <w:rsid w:val="002F7E1C"/>
    <w:rsid w:val="00301A75"/>
    <w:rsid w:val="00302F70"/>
    <w:rsid w:val="0030336F"/>
    <w:rsid w:val="0030375E"/>
    <w:rsid w:val="00312A30"/>
    <w:rsid w:val="00320F72"/>
    <w:rsid w:val="0032463E"/>
    <w:rsid w:val="00326224"/>
    <w:rsid w:val="0032676F"/>
    <w:rsid w:val="00337EE4"/>
    <w:rsid w:val="00340FD8"/>
    <w:rsid w:val="00340FFD"/>
    <w:rsid w:val="003506B1"/>
    <w:rsid w:val="00356AC7"/>
    <w:rsid w:val="003609FA"/>
    <w:rsid w:val="003710C8"/>
    <w:rsid w:val="003750BE"/>
    <w:rsid w:val="00380CBD"/>
    <w:rsid w:val="00387B9D"/>
    <w:rsid w:val="0039364F"/>
    <w:rsid w:val="00393FED"/>
    <w:rsid w:val="00396686"/>
    <w:rsid w:val="0039778E"/>
    <w:rsid w:val="003A441D"/>
    <w:rsid w:val="003B4941"/>
    <w:rsid w:val="003C2C7B"/>
    <w:rsid w:val="003C5714"/>
    <w:rsid w:val="003C6B9F"/>
    <w:rsid w:val="003C6E2A"/>
    <w:rsid w:val="003D0299"/>
    <w:rsid w:val="003E6D80"/>
    <w:rsid w:val="003F05FA"/>
    <w:rsid w:val="003F163F"/>
    <w:rsid w:val="003F244A"/>
    <w:rsid w:val="003F30B8"/>
    <w:rsid w:val="003F4C45"/>
    <w:rsid w:val="003F5F7B"/>
    <w:rsid w:val="003F7D64"/>
    <w:rsid w:val="00414300"/>
    <w:rsid w:val="00425C67"/>
    <w:rsid w:val="00427E7A"/>
    <w:rsid w:val="00436307"/>
    <w:rsid w:val="00436C49"/>
    <w:rsid w:val="004413F3"/>
    <w:rsid w:val="00445366"/>
    <w:rsid w:val="00447F5B"/>
    <w:rsid w:val="00460C73"/>
    <w:rsid w:val="00461DB0"/>
    <w:rsid w:val="00463926"/>
    <w:rsid w:val="004646E0"/>
    <w:rsid w:val="00464C9A"/>
    <w:rsid w:val="00474F3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15F3"/>
    <w:rsid w:val="004D5311"/>
    <w:rsid w:val="004D5DCC"/>
    <w:rsid w:val="004E6B05"/>
    <w:rsid w:val="004F10AF"/>
    <w:rsid w:val="004F11A4"/>
    <w:rsid w:val="004F11A6"/>
    <w:rsid w:val="004F2389"/>
    <w:rsid w:val="004F304D"/>
    <w:rsid w:val="004F61BE"/>
    <w:rsid w:val="004F66B1"/>
    <w:rsid w:val="00511C07"/>
    <w:rsid w:val="00514CD6"/>
    <w:rsid w:val="005173A6"/>
    <w:rsid w:val="00520BAA"/>
    <w:rsid w:val="00525208"/>
    <w:rsid w:val="005257A5"/>
    <w:rsid w:val="005264C0"/>
    <w:rsid w:val="00526A8A"/>
    <w:rsid w:val="00531DF2"/>
    <w:rsid w:val="00535BB8"/>
    <w:rsid w:val="005442EE"/>
    <w:rsid w:val="00547353"/>
    <w:rsid w:val="005474E7"/>
    <w:rsid w:val="005512A3"/>
    <w:rsid w:val="005578CE"/>
    <w:rsid w:val="00562781"/>
    <w:rsid w:val="00563E83"/>
    <w:rsid w:val="0057271C"/>
    <w:rsid w:val="00572845"/>
    <w:rsid w:val="00580146"/>
    <w:rsid w:val="00592772"/>
    <w:rsid w:val="0059574A"/>
    <w:rsid w:val="005A1B9B"/>
    <w:rsid w:val="005A6751"/>
    <w:rsid w:val="005B092E"/>
    <w:rsid w:val="005B152C"/>
    <w:rsid w:val="005B1EE0"/>
    <w:rsid w:val="005B2B24"/>
    <w:rsid w:val="005B2FDD"/>
    <w:rsid w:val="005B4425"/>
    <w:rsid w:val="005B4B94"/>
    <w:rsid w:val="005C3EE8"/>
    <w:rsid w:val="005D34F9"/>
    <w:rsid w:val="005D4190"/>
    <w:rsid w:val="005D67A3"/>
    <w:rsid w:val="005E2988"/>
    <w:rsid w:val="005E2A43"/>
    <w:rsid w:val="005E3085"/>
    <w:rsid w:val="005E438A"/>
    <w:rsid w:val="005F51E1"/>
    <w:rsid w:val="00611C80"/>
    <w:rsid w:val="00620692"/>
    <w:rsid w:val="006242CA"/>
    <w:rsid w:val="00627507"/>
    <w:rsid w:val="00633717"/>
    <w:rsid w:val="00633E63"/>
    <w:rsid w:val="006344E1"/>
    <w:rsid w:val="006545C4"/>
    <w:rsid w:val="00661971"/>
    <w:rsid w:val="00661CE8"/>
    <w:rsid w:val="006623D9"/>
    <w:rsid w:val="00664E6C"/>
    <w:rsid w:val="0066550C"/>
    <w:rsid w:val="006716F2"/>
    <w:rsid w:val="00681BD1"/>
    <w:rsid w:val="00682BF2"/>
    <w:rsid w:val="006859CE"/>
    <w:rsid w:val="00691270"/>
    <w:rsid w:val="00694BA8"/>
    <w:rsid w:val="006A037C"/>
    <w:rsid w:val="006A36F4"/>
    <w:rsid w:val="006A406F"/>
    <w:rsid w:val="006A5D3A"/>
    <w:rsid w:val="006C23D4"/>
    <w:rsid w:val="006C7BB0"/>
    <w:rsid w:val="006D3237"/>
    <w:rsid w:val="006D55A2"/>
    <w:rsid w:val="006E2E37"/>
    <w:rsid w:val="006E3CF1"/>
    <w:rsid w:val="006E7E80"/>
    <w:rsid w:val="006F1DF9"/>
    <w:rsid w:val="006F24DB"/>
    <w:rsid w:val="006F48CA"/>
    <w:rsid w:val="006F64DD"/>
    <w:rsid w:val="00715127"/>
    <w:rsid w:val="00715E8E"/>
    <w:rsid w:val="00721660"/>
    <w:rsid w:val="00723580"/>
    <w:rsid w:val="00723755"/>
    <w:rsid w:val="00725098"/>
    <w:rsid w:val="0073136C"/>
    <w:rsid w:val="00731F0F"/>
    <w:rsid w:val="00733250"/>
    <w:rsid w:val="007363C9"/>
    <w:rsid w:val="00741404"/>
    <w:rsid w:val="007449E5"/>
    <w:rsid w:val="00746C5A"/>
    <w:rsid w:val="00747FF0"/>
    <w:rsid w:val="00764D4E"/>
    <w:rsid w:val="00765A1F"/>
    <w:rsid w:val="00775B6D"/>
    <w:rsid w:val="00776D68"/>
    <w:rsid w:val="007850EE"/>
    <w:rsid w:val="00785B95"/>
    <w:rsid w:val="00787718"/>
    <w:rsid w:val="00790E96"/>
    <w:rsid w:val="00791253"/>
    <w:rsid w:val="00793366"/>
    <w:rsid w:val="007A716F"/>
    <w:rsid w:val="007B270A"/>
    <w:rsid w:val="007C0695"/>
    <w:rsid w:val="007C419A"/>
    <w:rsid w:val="007C4CC8"/>
    <w:rsid w:val="007C5426"/>
    <w:rsid w:val="007C5798"/>
    <w:rsid w:val="007D4514"/>
    <w:rsid w:val="007D4832"/>
    <w:rsid w:val="007E21B2"/>
    <w:rsid w:val="007E2C4E"/>
    <w:rsid w:val="007F1905"/>
    <w:rsid w:val="0080048F"/>
    <w:rsid w:val="00801300"/>
    <w:rsid w:val="00802C64"/>
    <w:rsid w:val="00805E52"/>
    <w:rsid w:val="008061D0"/>
    <w:rsid w:val="008103F7"/>
    <w:rsid w:val="00810B38"/>
    <w:rsid w:val="008204C7"/>
    <w:rsid w:val="00820992"/>
    <w:rsid w:val="00823602"/>
    <w:rsid w:val="008255F5"/>
    <w:rsid w:val="0083014E"/>
    <w:rsid w:val="0083214A"/>
    <w:rsid w:val="00834220"/>
    <w:rsid w:val="0083442E"/>
    <w:rsid w:val="00845723"/>
    <w:rsid w:val="00851EF9"/>
    <w:rsid w:val="008577FD"/>
    <w:rsid w:val="00860B03"/>
    <w:rsid w:val="0086497A"/>
    <w:rsid w:val="008713A1"/>
    <w:rsid w:val="008754AB"/>
    <w:rsid w:val="0088060C"/>
    <w:rsid w:val="0088252A"/>
    <w:rsid w:val="00893576"/>
    <w:rsid w:val="00893E73"/>
    <w:rsid w:val="008A01E7"/>
    <w:rsid w:val="008A43C4"/>
    <w:rsid w:val="008B02DC"/>
    <w:rsid w:val="008B2AEA"/>
    <w:rsid w:val="008B57CE"/>
    <w:rsid w:val="008B659F"/>
    <w:rsid w:val="008C1EDD"/>
    <w:rsid w:val="008C26DE"/>
    <w:rsid w:val="008C7984"/>
    <w:rsid w:val="008D2225"/>
    <w:rsid w:val="008D4752"/>
    <w:rsid w:val="008D552A"/>
    <w:rsid w:val="008E271C"/>
    <w:rsid w:val="008E418E"/>
    <w:rsid w:val="008E5BC6"/>
    <w:rsid w:val="008E6A25"/>
    <w:rsid w:val="008F2EF3"/>
    <w:rsid w:val="008F5193"/>
    <w:rsid w:val="009013A7"/>
    <w:rsid w:val="009017FB"/>
    <w:rsid w:val="009017FC"/>
    <w:rsid w:val="00903B43"/>
    <w:rsid w:val="0090506B"/>
    <w:rsid w:val="009050C9"/>
    <w:rsid w:val="009066FC"/>
    <w:rsid w:val="009140A3"/>
    <w:rsid w:val="009144A2"/>
    <w:rsid w:val="0091510C"/>
    <w:rsid w:val="009259AC"/>
    <w:rsid w:val="00926F38"/>
    <w:rsid w:val="009338DD"/>
    <w:rsid w:val="00934301"/>
    <w:rsid w:val="00936CD1"/>
    <w:rsid w:val="00937A8E"/>
    <w:rsid w:val="00941747"/>
    <w:rsid w:val="00941EFB"/>
    <w:rsid w:val="00947AFB"/>
    <w:rsid w:val="00951D7D"/>
    <w:rsid w:val="00952C12"/>
    <w:rsid w:val="009630C7"/>
    <w:rsid w:val="00972B55"/>
    <w:rsid w:val="009743B7"/>
    <w:rsid w:val="0098228B"/>
    <w:rsid w:val="009828DA"/>
    <w:rsid w:val="00985BAB"/>
    <w:rsid w:val="00997F03"/>
    <w:rsid w:val="009A46DF"/>
    <w:rsid w:val="009A4F79"/>
    <w:rsid w:val="009B1B5F"/>
    <w:rsid w:val="009B2EC2"/>
    <w:rsid w:val="009B3837"/>
    <w:rsid w:val="009B475D"/>
    <w:rsid w:val="009B6673"/>
    <w:rsid w:val="009C191B"/>
    <w:rsid w:val="009C2BD6"/>
    <w:rsid w:val="009E1F32"/>
    <w:rsid w:val="009E5829"/>
    <w:rsid w:val="009E776C"/>
    <w:rsid w:val="00A14E4C"/>
    <w:rsid w:val="00A1726E"/>
    <w:rsid w:val="00A204CF"/>
    <w:rsid w:val="00A23D49"/>
    <w:rsid w:val="00A27004"/>
    <w:rsid w:val="00A30C29"/>
    <w:rsid w:val="00A34DD6"/>
    <w:rsid w:val="00A36819"/>
    <w:rsid w:val="00A36989"/>
    <w:rsid w:val="00A43628"/>
    <w:rsid w:val="00A5150A"/>
    <w:rsid w:val="00A54192"/>
    <w:rsid w:val="00A6035E"/>
    <w:rsid w:val="00A6144C"/>
    <w:rsid w:val="00A66617"/>
    <w:rsid w:val="00A671F8"/>
    <w:rsid w:val="00A673A4"/>
    <w:rsid w:val="00A71620"/>
    <w:rsid w:val="00A724AE"/>
    <w:rsid w:val="00A73329"/>
    <w:rsid w:val="00A76242"/>
    <w:rsid w:val="00A82359"/>
    <w:rsid w:val="00A851BD"/>
    <w:rsid w:val="00A862AC"/>
    <w:rsid w:val="00A865D2"/>
    <w:rsid w:val="00A94C20"/>
    <w:rsid w:val="00A96ED6"/>
    <w:rsid w:val="00AA227F"/>
    <w:rsid w:val="00AA3BC7"/>
    <w:rsid w:val="00AA754A"/>
    <w:rsid w:val="00AB009D"/>
    <w:rsid w:val="00AB099E"/>
    <w:rsid w:val="00AB4328"/>
    <w:rsid w:val="00AB5FA0"/>
    <w:rsid w:val="00AD3CCA"/>
    <w:rsid w:val="00AE0A2E"/>
    <w:rsid w:val="00AE354C"/>
    <w:rsid w:val="00AE5E08"/>
    <w:rsid w:val="00AF4333"/>
    <w:rsid w:val="00AF4B07"/>
    <w:rsid w:val="00AF6186"/>
    <w:rsid w:val="00AF7A3A"/>
    <w:rsid w:val="00B11F84"/>
    <w:rsid w:val="00B160DB"/>
    <w:rsid w:val="00B20836"/>
    <w:rsid w:val="00B235BB"/>
    <w:rsid w:val="00B27A44"/>
    <w:rsid w:val="00B30BBF"/>
    <w:rsid w:val="00B33C03"/>
    <w:rsid w:val="00B36EC4"/>
    <w:rsid w:val="00B44E56"/>
    <w:rsid w:val="00B4539D"/>
    <w:rsid w:val="00B46543"/>
    <w:rsid w:val="00B47D33"/>
    <w:rsid w:val="00B52BE0"/>
    <w:rsid w:val="00B54133"/>
    <w:rsid w:val="00B637B9"/>
    <w:rsid w:val="00B701ED"/>
    <w:rsid w:val="00B8086C"/>
    <w:rsid w:val="00B861B4"/>
    <w:rsid w:val="00B86DFE"/>
    <w:rsid w:val="00B90990"/>
    <w:rsid w:val="00B9221C"/>
    <w:rsid w:val="00B922FF"/>
    <w:rsid w:val="00B9281E"/>
    <w:rsid w:val="00B93925"/>
    <w:rsid w:val="00B946F4"/>
    <w:rsid w:val="00B95187"/>
    <w:rsid w:val="00BA2D55"/>
    <w:rsid w:val="00BA71B1"/>
    <w:rsid w:val="00BB0637"/>
    <w:rsid w:val="00BB345F"/>
    <w:rsid w:val="00BB5883"/>
    <w:rsid w:val="00BB68EA"/>
    <w:rsid w:val="00BC1C27"/>
    <w:rsid w:val="00BC35FF"/>
    <w:rsid w:val="00BC6BBF"/>
    <w:rsid w:val="00BD1572"/>
    <w:rsid w:val="00BE14E3"/>
    <w:rsid w:val="00BE3774"/>
    <w:rsid w:val="00BE41E5"/>
    <w:rsid w:val="00BF0BBB"/>
    <w:rsid w:val="00BF4109"/>
    <w:rsid w:val="00BF4499"/>
    <w:rsid w:val="00BF4CC3"/>
    <w:rsid w:val="00C0020B"/>
    <w:rsid w:val="00C054C7"/>
    <w:rsid w:val="00C057B5"/>
    <w:rsid w:val="00C22687"/>
    <w:rsid w:val="00C32E4D"/>
    <w:rsid w:val="00C333A0"/>
    <w:rsid w:val="00C36A81"/>
    <w:rsid w:val="00C40E8A"/>
    <w:rsid w:val="00C41974"/>
    <w:rsid w:val="00C447AD"/>
    <w:rsid w:val="00C468B2"/>
    <w:rsid w:val="00C53F4A"/>
    <w:rsid w:val="00C54125"/>
    <w:rsid w:val="00C55B54"/>
    <w:rsid w:val="00C55D1C"/>
    <w:rsid w:val="00C6098E"/>
    <w:rsid w:val="00C6152C"/>
    <w:rsid w:val="00C621C2"/>
    <w:rsid w:val="00C71774"/>
    <w:rsid w:val="00C74810"/>
    <w:rsid w:val="00C84E97"/>
    <w:rsid w:val="00C90D68"/>
    <w:rsid w:val="00C939FE"/>
    <w:rsid w:val="00CA4BDA"/>
    <w:rsid w:val="00CA6F8E"/>
    <w:rsid w:val="00CB1F66"/>
    <w:rsid w:val="00CB2951"/>
    <w:rsid w:val="00CD282B"/>
    <w:rsid w:val="00CD4C35"/>
    <w:rsid w:val="00CD7369"/>
    <w:rsid w:val="00CE0B0E"/>
    <w:rsid w:val="00CE3831"/>
    <w:rsid w:val="00CE7C06"/>
    <w:rsid w:val="00D00ABB"/>
    <w:rsid w:val="00D02EEC"/>
    <w:rsid w:val="00D03551"/>
    <w:rsid w:val="00D06A63"/>
    <w:rsid w:val="00D07E0E"/>
    <w:rsid w:val="00D11478"/>
    <w:rsid w:val="00D15ED0"/>
    <w:rsid w:val="00D21B3E"/>
    <w:rsid w:val="00D21FED"/>
    <w:rsid w:val="00D24251"/>
    <w:rsid w:val="00D323A0"/>
    <w:rsid w:val="00D34203"/>
    <w:rsid w:val="00D343E2"/>
    <w:rsid w:val="00D361A2"/>
    <w:rsid w:val="00D41C06"/>
    <w:rsid w:val="00D44C2E"/>
    <w:rsid w:val="00D45414"/>
    <w:rsid w:val="00D53C0F"/>
    <w:rsid w:val="00D55D60"/>
    <w:rsid w:val="00D566BD"/>
    <w:rsid w:val="00D57A4D"/>
    <w:rsid w:val="00D60AA7"/>
    <w:rsid w:val="00D60D87"/>
    <w:rsid w:val="00D6435F"/>
    <w:rsid w:val="00D65104"/>
    <w:rsid w:val="00D75E28"/>
    <w:rsid w:val="00D772C2"/>
    <w:rsid w:val="00D8008E"/>
    <w:rsid w:val="00D82C45"/>
    <w:rsid w:val="00D835EA"/>
    <w:rsid w:val="00D85BA5"/>
    <w:rsid w:val="00D908A8"/>
    <w:rsid w:val="00D977B6"/>
    <w:rsid w:val="00DA4A31"/>
    <w:rsid w:val="00DA61F2"/>
    <w:rsid w:val="00DA7B04"/>
    <w:rsid w:val="00DB36C2"/>
    <w:rsid w:val="00DB7196"/>
    <w:rsid w:val="00DC169B"/>
    <w:rsid w:val="00DC2AB9"/>
    <w:rsid w:val="00DC63F0"/>
    <w:rsid w:val="00DD0F02"/>
    <w:rsid w:val="00DD6EE5"/>
    <w:rsid w:val="00DE1B8E"/>
    <w:rsid w:val="00DE386C"/>
    <w:rsid w:val="00DE4D35"/>
    <w:rsid w:val="00DF0549"/>
    <w:rsid w:val="00DF098B"/>
    <w:rsid w:val="00DF11C4"/>
    <w:rsid w:val="00DF210C"/>
    <w:rsid w:val="00DF4B6A"/>
    <w:rsid w:val="00E02C09"/>
    <w:rsid w:val="00E04D59"/>
    <w:rsid w:val="00E07DA1"/>
    <w:rsid w:val="00E123CB"/>
    <w:rsid w:val="00E1557C"/>
    <w:rsid w:val="00E20E13"/>
    <w:rsid w:val="00E21DBC"/>
    <w:rsid w:val="00E275D7"/>
    <w:rsid w:val="00E27DBE"/>
    <w:rsid w:val="00E32AB1"/>
    <w:rsid w:val="00E36C71"/>
    <w:rsid w:val="00E40404"/>
    <w:rsid w:val="00E459C6"/>
    <w:rsid w:val="00E47589"/>
    <w:rsid w:val="00E64915"/>
    <w:rsid w:val="00E661D4"/>
    <w:rsid w:val="00E70091"/>
    <w:rsid w:val="00E720F5"/>
    <w:rsid w:val="00E76D47"/>
    <w:rsid w:val="00E849F7"/>
    <w:rsid w:val="00E90302"/>
    <w:rsid w:val="00E9597F"/>
    <w:rsid w:val="00E97396"/>
    <w:rsid w:val="00EA185E"/>
    <w:rsid w:val="00EA592A"/>
    <w:rsid w:val="00EB14E4"/>
    <w:rsid w:val="00EB32A5"/>
    <w:rsid w:val="00EB34ED"/>
    <w:rsid w:val="00EB7BE0"/>
    <w:rsid w:val="00EC315E"/>
    <w:rsid w:val="00ED077C"/>
    <w:rsid w:val="00ED1190"/>
    <w:rsid w:val="00ED6544"/>
    <w:rsid w:val="00EE0277"/>
    <w:rsid w:val="00EE1DA9"/>
    <w:rsid w:val="00EE3E00"/>
    <w:rsid w:val="00EE5DD2"/>
    <w:rsid w:val="00EF41F1"/>
    <w:rsid w:val="00EF4F08"/>
    <w:rsid w:val="00EF573B"/>
    <w:rsid w:val="00F00A79"/>
    <w:rsid w:val="00F00E86"/>
    <w:rsid w:val="00F00F8B"/>
    <w:rsid w:val="00F07C1E"/>
    <w:rsid w:val="00F105DB"/>
    <w:rsid w:val="00F132BC"/>
    <w:rsid w:val="00F13D80"/>
    <w:rsid w:val="00F16AAA"/>
    <w:rsid w:val="00F21161"/>
    <w:rsid w:val="00F218EF"/>
    <w:rsid w:val="00F21BC7"/>
    <w:rsid w:val="00F266A2"/>
    <w:rsid w:val="00F273CB"/>
    <w:rsid w:val="00F32269"/>
    <w:rsid w:val="00F4457E"/>
    <w:rsid w:val="00F56A6F"/>
    <w:rsid w:val="00F5709C"/>
    <w:rsid w:val="00F64EF1"/>
    <w:rsid w:val="00F8765F"/>
    <w:rsid w:val="00F90767"/>
    <w:rsid w:val="00FA685B"/>
    <w:rsid w:val="00FB0C01"/>
    <w:rsid w:val="00FC18F2"/>
    <w:rsid w:val="00FC39E5"/>
    <w:rsid w:val="00FC3A78"/>
    <w:rsid w:val="00FC5FFE"/>
    <w:rsid w:val="00FD1005"/>
    <w:rsid w:val="00FD3180"/>
    <w:rsid w:val="00FD6C75"/>
    <w:rsid w:val="00FE71B3"/>
    <w:rsid w:val="00FF26DE"/>
    <w:rsid w:val="00FF42C5"/>
    <w:rsid w:val="00FF5EAE"/>
    <w:rsid w:val="00FF62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AF4333"/>
    <w:pPr>
      <w:jc w:val="both"/>
    </w:pPr>
    <w:rPr>
      <w:rFonts w:eastAsiaTheme="minorEastAsia"/>
      <w:sz w:val="24"/>
    </w:rPr>
  </w:style>
  <w:style w:type="paragraph" w:styleId="Heading1">
    <w:name w:val="heading 1"/>
    <w:basedOn w:val="Normal"/>
    <w:next w:val="Normal"/>
    <w:link w:val="Heading1Char"/>
    <w:uiPriority w:val="99"/>
    <w:semiHidden/>
    <w:rsid w:val="00AF4333"/>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AF4333"/>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AF4333"/>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AF4333"/>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AF4333"/>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AF4333"/>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AF4333"/>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AF4333"/>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AF4333"/>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F4333"/>
    <w:rPr>
      <w:rFonts w:ascii="Tahoma" w:hAnsi="Tahoma" w:cs="Tahoma"/>
      <w:sz w:val="16"/>
      <w:szCs w:val="16"/>
    </w:rPr>
  </w:style>
  <w:style w:type="character" w:customStyle="1" w:styleId="BalloonTextChar">
    <w:name w:val="Balloon Text Char"/>
    <w:basedOn w:val="DefaultParagraphFont"/>
    <w:link w:val="BalloonText"/>
    <w:uiPriority w:val="99"/>
    <w:semiHidden/>
    <w:rsid w:val="00AF4333"/>
    <w:rPr>
      <w:rFonts w:ascii="Tahoma" w:eastAsiaTheme="minorEastAsia" w:hAnsi="Tahoma" w:cs="Tahoma"/>
      <w:sz w:val="16"/>
      <w:szCs w:val="16"/>
    </w:rPr>
  </w:style>
  <w:style w:type="character" w:styleId="BookTitle">
    <w:name w:val="Book Title"/>
    <w:uiPriority w:val="99"/>
    <w:semiHidden/>
    <w:qFormat/>
    <w:rsid w:val="00AF4333"/>
    <w:rPr>
      <w:i/>
      <w:iCs/>
      <w:smallCaps/>
      <w:spacing w:val="5"/>
    </w:rPr>
  </w:style>
  <w:style w:type="paragraph" w:customStyle="1" w:styleId="ECHRHeader">
    <w:name w:val="ECHR_Header"/>
    <w:aliases w:val="Ju_Header"/>
    <w:basedOn w:val="Header"/>
    <w:uiPriority w:val="4"/>
    <w:qFormat/>
    <w:rsid w:val="00AF4333"/>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AF4333"/>
    <w:pPr>
      <w:jc w:val="left"/>
    </w:pPr>
    <w:rPr>
      <w:sz w:val="8"/>
    </w:rPr>
  </w:style>
  <w:style w:type="character" w:styleId="Strong">
    <w:name w:val="Strong"/>
    <w:uiPriority w:val="99"/>
    <w:semiHidden/>
    <w:qFormat/>
    <w:rsid w:val="00AF4333"/>
    <w:rPr>
      <w:b/>
      <w:bCs/>
    </w:rPr>
  </w:style>
  <w:style w:type="paragraph" w:styleId="NoSpacing">
    <w:name w:val="No Spacing"/>
    <w:basedOn w:val="Normal"/>
    <w:link w:val="NoSpacingChar"/>
    <w:semiHidden/>
    <w:qFormat/>
    <w:rsid w:val="00AF4333"/>
    <w:rPr>
      <w:sz w:val="22"/>
    </w:rPr>
  </w:style>
  <w:style w:type="character" w:customStyle="1" w:styleId="NoSpacingChar">
    <w:name w:val="No Spacing Char"/>
    <w:basedOn w:val="DefaultParagraphFont"/>
    <w:link w:val="NoSpacing"/>
    <w:semiHidden/>
    <w:rsid w:val="00AF4333"/>
    <w:rPr>
      <w:rFonts w:eastAsiaTheme="minorEastAsia"/>
    </w:rPr>
  </w:style>
  <w:style w:type="paragraph" w:customStyle="1" w:styleId="ECHRFooterLine">
    <w:name w:val="ECHR_Footer_Line"/>
    <w:aliases w:val="Footer_Line"/>
    <w:basedOn w:val="Normal"/>
    <w:next w:val="ECHRFooter"/>
    <w:uiPriority w:val="57"/>
    <w:semiHidden/>
    <w:rsid w:val="00AF4333"/>
    <w:pPr>
      <w:pBdr>
        <w:top w:val="single" w:sz="6" w:space="1" w:color="5F5F5F"/>
      </w:pBdr>
      <w:tabs>
        <w:tab w:val="center" w:pos="4536"/>
        <w:tab w:val="right" w:pos="9696"/>
      </w:tabs>
      <w:ind w:left="-680" w:right="-680"/>
      <w:jc w:val="left"/>
    </w:pPr>
    <w:rPr>
      <w:color w:val="5F5F5F"/>
    </w:rPr>
  </w:style>
  <w:style w:type="paragraph" w:customStyle="1" w:styleId="DecHTitle">
    <w:name w:val="Dec_H_Title"/>
    <w:basedOn w:val="ECHRTitleCentre1"/>
    <w:uiPriority w:val="7"/>
    <w:semiHidden/>
    <w:qFormat/>
    <w:rsid w:val="00AF4333"/>
  </w:style>
  <w:style w:type="paragraph" w:customStyle="1" w:styleId="DecList">
    <w:name w:val="Dec_List"/>
    <w:basedOn w:val="Normal"/>
    <w:uiPriority w:val="9"/>
    <w:semiHidden/>
    <w:qFormat/>
    <w:rsid w:val="00AF4333"/>
    <w:pPr>
      <w:spacing w:before="240"/>
      <w:ind w:left="284"/>
    </w:pPr>
  </w:style>
  <w:style w:type="paragraph" w:customStyle="1" w:styleId="DummyStyle">
    <w:name w:val="Dummy_Style"/>
    <w:basedOn w:val="Normal"/>
    <w:semiHidden/>
    <w:qFormat/>
    <w:rsid w:val="00AF4333"/>
    <w:rPr>
      <w:color w:val="00B050"/>
    </w:rPr>
  </w:style>
  <w:style w:type="paragraph" w:customStyle="1" w:styleId="ECHRTitleCentre3">
    <w:name w:val="ECHR_Title_Centre_3"/>
    <w:aliases w:val="Ju_H_Article"/>
    <w:basedOn w:val="Normal"/>
    <w:next w:val="ECHRParaQuote"/>
    <w:uiPriority w:val="27"/>
    <w:qFormat/>
    <w:rsid w:val="00AF4333"/>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AF4333"/>
    <w:pPr>
      <w:keepNext/>
      <w:keepLines/>
      <w:spacing w:after="240"/>
      <w:jc w:val="center"/>
      <w:outlineLvl w:val="0"/>
    </w:pPr>
    <w:rPr>
      <w:rFonts w:asciiTheme="majorHAnsi" w:hAnsiTheme="majorHAnsi"/>
      <w:sz w:val="28"/>
    </w:rPr>
  </w:style>
  <w:style w:type="paragraph" w:customStyle="1" w:styleId="JuAppQuestion">
    <w:name w:val="Ju_App_Question"/>
    <w:basedOn w:val="Normal"/>
    <w:uiPriority w:val="5"/>
    <w:semiHidden/>
    <w:qFormat/>
    <w:rsid w:val="00AF4333"/>
    <w:pPr>
      <w:numPr>
        <w:numId w:val="19"/>
      </w:numPr>
      <w:jc w:val="left"/>
    </w:pPr>
    <w:rPr>
      <w:b/>
    </w:rPr>
  </w:style>
  <w:style w:type="paragraph" w:customStyle="1" w:styleId="JuCourt">
    <w:name w:val="Ju_Court"/>
    <w:basedOn w:val="Normal"/>
    <w:next w:val="Normal"/>
    <w:uiPriority w:val="16"/>
    <w:qFormat/>
    <w:rsid w:val="00AF4333"/>
    <w:pPr>
      <w:tabs>
        <w:tab w:val="left" w:pos="907"/>
        <w:tab w:val="left" w:pos="1701"/>
        <w:tab w:val="right" w:pos="7371"/>
      </w:tabs>
      <w:spacing w:before="240"/>
      <w:ind w:left="397" w:hanging="397"/>
      <w:jc w:val="left"/>
    </w:pPr>
    <w:rPr>
      <w:lang w:bidi="en-US"/>
    </w:rPr>
  </w:style>
  <w:style w:type="paragraph" w:customStyle="1" w:styleId="JuHeaderLandscape">
    <w:name w:val="Ju_Header_Landscape"/>
    <w:basedOn w:val="ECHRHeader"/>
    <w:uiPriority w:val="4"/>
    <w:qFormat/>
    <w:rsid w:val="00AF4333"/>
    <w:pPr>
      <w:tabs>
        <w:tab w:val="clear" w:pos="3686"/>
        <w:tab w:val="clear" w:pos="7371"/>
        <w:tab w:val="center" w:pos="6146"/>
        <w:tab w:val="right" w:pos="12293"/>
      </w:tabs>
    </w:pPr>
  </w:style>
  <w:style w:type="paragraph" w:customStyle="1" w:styleId="ECHRTitleCentre2">
    <w:name w:val="ECHR_Title_Centre_2"/>
    <w:aliases w:val="Dec_H_Case"/>
    <w:basedOn w:val="Normal"/>
    <w:next w:val="ECHRPara"/>
    <w:uiPriority w:val="8"/>
    <w:qFormat/>
    <w:rsid w:val="00AF4333"/>
    <w:pPr>
      <w:spacing w:after="240"/>
      <w:jc w:val="center"/>
      <w:outlineLvl w:val="0"/>
    </w:pPr>
    <w:rPr>
      <w:rFonts w:asciiTheme="majorHAnsi" w:hAnsiTheme="majorHAnsi"/>
    </w:rPr>
  </w:style>
  <w:style w:type="paragraph" w:customStyle="1" w:styleId="JuInitialled">
    <w:name w:val="Ju_Initialled"/>
    <w:basedOn w:val="Normal"/>
    <w:uiPriority w:val="31"/>
    <w:qFormat/>
    <w:rsid w:val="00AF4333"/>
    <w:pPr>
      <w:tabs>
        <w:tab w:val="center" w:pos="6407"/>
      </w:tabs>
      <w:spacing w:before="720"/>
      <w:jc w:val="right"/>
    </w:pPr>
  </w:style>
  <w:style w:type="paragraph" w:styleId="Title">
    <w:name w:val="Title"/>
    <w:basedOn w:val="Normal"/>
    <w:next w:val="Normal"/>
    <w:link w:val="TitleChar"/>
    <w:uiPriority w:val="99"/>
    <w:semiHidden/>
    <w:qFormat/>
    <w:rsid w:val="00AF4333"/>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AF4333"/>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AF4333"/>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AF4333"/>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AF4333"/>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AF4333"/>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AF4333"/>
    <w:pPr>
      <w:keepNext/>
      <w:keepLines/>
      <w:spacing w:before="240" w:after="120"/>
      <w:ind w:left="1236"/>
    </w:pPr>
    <w:rPr>
      <w:sz w:val="20"/>
    </w:rPr>
  </w:style>
  <w:style w:type="character" w:customStyle="1" w:styleId="JuITMark">
    <w:name w:val="Ju_ITMark"/>
    <w:basedOn w:val="DefaultParagraphFont"/>
    <w:uiPriority w:val="38"/>
    <w:qFormat/>
    <w:rsid w:val="00AF4333"/>
    <w:rPr>
      <w:vanish w:val="0"/>
      <w:color w:val="auto"/>
      <w:sz w:val="14"/>
      <w:bdr w:val="none" w:sz="0" w:space="0" w:color="auto"/>
      <w:shd w:val="clear" w:color="auto" w:fill="BEE5FF" w:themeFill="background1" w:themeFillTint="33"/>
    </w:rPr>
  </w:style>
  <w:style w:type="character" w:customStyle="1" w:styleId="JUNAMES">
    <w:name w:val="JU_NAMES"/>
    <w:uiPriority w:val="17"/>
    <w:qFormat/>
    <w:rsid w:val="00AF4333"/>
    <w:rPr>
      <w:caps w:val="0"/>
      <w:smallCaps/>
    </w:rPr>
  </w:style>
  <w:style w:type="paragraph" w:customStyle="1" w:styleId="JuParaSub">
    <w:name w:val="Ju_Para_Sub"/>
    <w:basedOn w:val="ECHRPara"/>
    <w:uiPriority w:val="13"/>
    <w:qFormat/>
    <w:rsid w:val="00AF4333"/>
    <w:pPr>
      <w:ind w:left="284"/>
    </w:pPr>
  </w:style>
  <w:style w:type="paragraph" w:styleId="Header">
    <w:name w:val="header"/>
    <w:basedOn w:val="Normal"/>
    <w:link w:val="HeaderChar"/>
    <w:uiPriority w:val="57"/>
    <w:semiHidden/>
    <w:rsid w:val="00AF4333"/>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AF4333"/>
    <w:rPr>
      <w:sz w:val="24"/>
    </w:rPr>
  </w:style>
  <w:style w:type="character" w:customStyle="1" w:styleId="Heading1Char">
    <w:name w:val="Heading 1 Char"/>
    <w:basedOn w:val="DefaultParagraphFont"/>
    <w:link w:val="Heading1"/>
    <w:uiPriority w:val="99"/>
    <w:semiHidden/>
    <w:rsid w:val="00AF4333"/>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AF4333"/>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AF4333"/>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AF4333"/>
    <w:rPr>
      <w:rFonts w:asciiTheme="majorHAnsi" w:eastAsiaTheme="majorEastAsia" w:hAnsiTheme="majorHAnsi" w:cstheme="majorBidi"/>
      <w:b/>
      <w:bCs/>
      <w:color w:val="4D4D4D"/>
      <w:sz w:val="26"/>
      <w:szCs w:val="26"/>
    </w:rPr>
  </w:style>
  <w:style w:type="paragraph" w:customStyle="1" w:styleId="JuQuotSub">
    <w:name w:val="Ju_Quot_Sub"/>
    <w:basedOn w:val="ECHRParaQuote"/>
    <w:uiPriority w:val="15"/>
    <w:qFormat/>
    <w:rsid w:val="00AF4333"/>
    <w:pPr>
      <w:ind w:left="567"/>
    </w:pPr>
  </w:style>
  <w:style w:type="paragraph" w:customStyle="1" w:styleId="JuCase">
    <w:name w:val="Ju_Case"/>
    <w:basedOn w:val="Normal"/>
    <w:next w:val="ECHRPara"/>
    <w:uiPriority w:val="10"/>
    <w:rsid w:val="00AF4333"/>
    <w:pPr>
      <w:ind w:firstLine="284"/>
    </w:pPr>
    <w:rPr>
      <w:b/>
    </w:rPr>
  </w:style>
  <w:style w:type="character" w:customStyle="1" w:styleId="Heading3Char">
    <w:name w:val="Heading 3 Char"/>
    <w:basedOn w:val="DefaultParagraphFont"/>
    <w:link w:val="Heading3"/>
    <w:uiPriority w:val="99"/>
    <w:semiHidden/>
    <w:rsid w:val="00AF4333"/>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AF4333"/>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AF4333"/>
    <w:rPr>
      <w:rFonts w:asciiTheme="majorHAnsi" w:eastAsiaTheme="majorEastAsia" w:hAnsiTheme="majorHAnsi" w:cstheme="majorBidi"/>
      <w:b/>
      <w:bCs/>
      <w:color w:val="808080"/>
    </w:rPr>
  </w:style>
  <w:style w:type="character" w:styleId="SubtleEmphasis">
    <w:name w:val="Subtle Emphasis"/>
    <w:uiPriority w:val="99"/>
    <w:semiHidden/>
    <w:qFormat/>
    <w:rsid w:val="00AF4333"/>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AF4333"/>
    <w:pPr>
      <w:keepNext/>
      <w:keepLines/>
      <w:spacing w:before="720" w:after="240"/>
      <w:outlineLvl w:val="0"/>
    </w:pPr>
    <w:rPr>
      <w:rFonts w:asciiTheme="majorHAnsi" w:hAnsiTheme="majorHAnsi"/>
      <w:sz w:val="28"/>
    </w:rPr>
  </w:style>
  <w:style w:type="character" w:styleId="Emphasis">
    <w:name w:val="Emphasis"/>
    <w:uiPriority w:val="99"/>
    <w:semiHidden/>
    <w:qFormat/>
    <w:rsid w:val="00AF4333"/>
    <w:rPr>
      <w:b/>
      <w:bCs/>
      <w:i/>
      <w:iCs/>
      <w:spacing w:val="10"/>
      <w:bdr w:val="none" w:sz="0" w:space="0" w:color="auto"/>
      <w:shd w:val="clear" w:color="auto" w:fill="auto"/>
    </w:rPr>
  </w:style>
  <w:style w:type="paragraph" w:styleId="Footer">
    <w:name w:val="footer"/>
    <w:basedOn w:val="Normal"/>
    <w:link w:val="FooterChar"/>
    <w:uiPriority w:val="57"/>
    <w:semiHidden/>
    <w:rsid w:val="00AF4333"/>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AF4333"/>
    <w:rPr>
      <w:sz w:val="24"/>
    </w:rPr>
  </w:style>
  <w:style w:type="character" w:styleId="FootnoteReference">
    <w:name w:val="footnote reference"/>
    <w:basedOn w:val="DefaultParagraphFont"/>
    <w:uiPriority w:val="99"/>
    <w:semiHidden/>
    <w:rsid w:val="00AF4333"/>
    <w:rPr>
      <w:vertAlign w:val="superscript"/>
    </w:rPr>
  </w:style>
  <w:style w:type="paragraph" w:styleId="FootnoteText">
    <w:name w:val="footnote text"/>
    <w:basedOn w:val="Normal"/>
    <w:link w:val="FootnoteTextChar"/>
    <w:uiPriority w:val="99"/>
    <w:semiHidden/>
    <w:rsid w:val="00AF4333"/>
    <w:rPr>
      <w:sz w:val="20"/>
      <w:szCs w:val="20"/>
    </w:rPr>
  </w:style>
  <w:style w:type="character" w:customStyle="1" w:styleId="FootnoteTextChar">
    <w:name w:val="Footnote Text Char"/>
    <w:basedOn w:val="DefaultParagraphFont"/>
    <w:link w:val="FootnoteText"/>
    <w:uiPriority w:val="99"/>
    <w:semiHidden/>
    <w:rsid w:val="00AF4333"/>
    <w:rPr>
      <w:rFonts w:eastAsiaTheme="minorEastAsia"/>
      <w:sz w:val="20"/>
      <w:szCs w:val="20"/>
    </w:rPr>
  </w:style>
  <w:style w:type="character" w:customStyle="1" w:styleId="Heading6Char">
    <w:name w:val="Heading 6 Char"/>
    <w:basedOn w:val="DefaultParagraphFont"/>
    <w:link w:val="Heading6"/>
    <w:uiPriority w:val="99"/>
    <w:semiHidden/>
    <w:rsid w:val="00AF4333"/>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AF433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AF433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AF4333"/>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AF4333"/>
    <w:rPr>
      <w:color w:val="0072BC" w:themeColor="hyperlink"/>
      <w:u w:val="single"/>
    </w:rPr>
  </w:style>
  <w:style w:type="character" w:styleId="IntenseEmphasis">
    <w:name w:val="Intense Emphasis"/>
    <w:uiPriority w:val="99"/>
    <w:semiHidden/>
    <w:qFormat/>
    <w:rsid w:val="00AF4333"/>
    <w:rPr>
      <w:b/>
      <w:bCs/>
    </w:rPr>
  </w:style>
  <w:style w:type="paragraph" w:styleId="IntenseQuote">
    <w:name w:val="Intense Quote"/>
    <w:basedOn w:val="Normal"/>
    <w:next w:val="Normal"/>
    <w:link w:val="IntenseQuoteChar"/>
    <w:uiPriority w:val="99"/>
    <w:semiHidden/>
    <w:qFormat/>
    <w:rsid w:val="00AF4333"/>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AF4333"/>
    <w:rPr>
      <w:rFonts w:eastAsiaTheme="minorEastAsia"/>
      <w:b/>
      <w:bCs/>
      <w:i/>
      <w:iCs/>
      <w:lang w:bidi="en-US"/>
    </w:rPr>
  </w:style>
  <w:style w:type="character" w:styleId="IntenseReference">
    <w:name w:val="Intense Reference"/>
    <w:uiPriority w:val="99"/>
    <w:semiHidden/>
    <w:qFormat/>
    <w:rsid w:val="00AF4333"/>
    <w:rPr>
      <w:smallCaps/>
      <w:spacing w:val="5"/>
      <w:u w:val="single"/>
    </w:rPr>
  </w:style>
  <w:style w:type="paragraph" w:styleId="ListParagraph">
    <w:name w:val="List Paragraph"/>
    <w:basedOn w:val="Normal"/>
    <w:uiPriority w:val="99"/>
    <w:semiHidden/>
    <w:qFormat/>
    <w:rsid w:val="00AF4333"/>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AF4333"/>
    <w:pPr>
      <w:spacing w:before="200"/>
      <w:ind w:left="360" w:right="360"/>
    </w:pPr>
    <w:rPr>
      <w:i/>
      <w:iCs/>
      <w:sz w:val="22"/>
      <w:lang w:bidi="en-US"/>
    </w:rPr>
  </w:style>
  <w:style w:type="character" w:customStyle="1" w:styleId="QuoteChar">
    <w:name w:val="Quote Char"/>
    <w:basedOn w:val="DefaultParagraphFont"/>
    <w:link w:val="Quote"/>
    <w:uiPriority w:val="99"/>
    <w:semiHidden/>
    <w:rsid w:val="00AF4333"/>
    <w:rPr>
      <w:rFonts w:eastAsiaTheme="minorEastAsia"/>
      <w:i/>
      <w:iCs/>
      <w:lang w:bidi="en-US"/>
    </w:rPr>
  </w:style>
  <w:style w:type="character" w:styleId="SubtleReference">
    <w:name w:val="Subtle Reference"/>
    <w:uiPriority w:val="99"/>
    <w:semiHidden/>
    <w:qFormat/>
    <w:rsid w:val="00AF4333"/>
    <w:rPr>
      <w:smallCaps/>
    </w:rPr>
  </w:style>
  <w:style w:type="table" w:styleId="TableGrid">
    <w:name w:val="Table Grid"/>
    <w:basedOn w:val="TableNormal"/>
    <w:uiPriority w:val="59"/>
    <w:semiHidden/>
    <w:rsid w:val="00AF4333"/>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AF4333"/>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AF4333"/>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AF4333"/>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AF4333"/>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AF4333"/>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AF4333"/>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AF4333"/>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uiPriority w:val="14"/>
    <w:qFormat/>
    <w:rsid w:val="00AF4333"/>
    <w:pPr>
      <w:spacing w:before="120" w:after="120"/>
      <w:ind w:left="425" w:firstLine="142"/>
    </w:pPr>
    <w:rPr>
      <w:sz w:val="20"/>
    </w:rPr>
  </w:style>
  <w:style w:type="paragraph" w:customStyle="1" w:styleId="ECHRPara">
    <w:name w:val="ECHR_Para"/>
    <w:aliases w:val="Ju_Para"/>
    <w:basedOn w:val="Normal"/>
    <w:link w:val="ECHRParaChar"/>
    <w:uiPriority w:val="12"/>
    <w:qFormat/>
    <w:rsid w:val="00AF4333"/>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AF4333"/>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AF4333"/>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AF4333"/>
    <w:pPr>
      <w:ind w:left="340" w:hanging="340"/>
    </w:pPr>
  </w:style>
  <w:style w:type="paragraph" w:customStyle="1" w:styleId="JuSigned">
    <w:name w:val="Ju_Signed"/>
    <w:basedOn w:val="Normal"/>
    <w:next w:val="JuParaLast"/>
    <w:uiPriority w:val="32"/>
    <w:qFormat/>
    <w:rsid w:val="00AF4333"/>
    <w:pPr>
      <w:tabs>
        <w:tab w:val="center" w:pos="851"/>
        <w:tab w:val="center" w:pos="6407"/>
      </w:tabs>
      <w:spacing w:before="720"/>
      <w:jc w:val="left"/>
    </w:pPr>
  </w:style>
  <w:style w:type="paragraph" w:customStyle="1" w:styleId="JuParaLast">
    <w:name w:val="Ju_Para_Last"/>
    <w:basedOn w:val="Normal"/>
    <w:next w:val="ECHRPara"/>
    <w:uiPriority w:val="30"/>
    <w:qFormat/>
    <w:rsid w:val="00AF4333"/>
    <w:pPr>
      <w:keepNext/>
      <w:keepLines/>
      <w:spacing w:before="240"/>
      <w:ind w:firstLine="284"/>
    </w:pPr>
  </w:style>
  <w:style w:type="paragraph" w:customStyle="1" w:styleId="JuTitle">
    <w:name w:val="Ju_Title"/>
    <w:basedOn w:val="Normal"/>
    <w:next w:val="ECHRPara"/>
    <w:uiPriority w:val="3"/>
    <w:semiHidden/>
    <w:qFormat/>
    <w:rsid w:val="00AF4333"/>
    <w:pPr>
      <w:spacing w:before="720" w:after="240"/>
      <w:jc w:val="center"/>
      <w:outlineLvl w:val="0"/>
    </w:pPr>
    <w:rPr>
      <w:rFonts w:asciiTheme="majorHAnsi" w:hAnsiTheme="majorHAnsi"/>
      <w:b/>
      <w:cap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AF4333"/>
    <w:pPr>
      <w:ind w:left="346" w:firstLine="0"/>
    </w:pPr>
  </w:style>
  <w:style w:type="paragraph" w:customStyle="1" w:styleId="JuListi">
    <w:name w:val="Ju_List_i"/>
    <w:basedOn w:val="Normal"/>
    <w:next w:val="JuLista"/>
    <w:uiPriority w:val="28"/>
    <w:qFormat/>
    <w:rsid w:val="00AF4333"/>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paragraph" w:customStyle="1" w:styleId="OpiH1">
    <w:name w:val="Opi_H_1"/>
    <w:basedOn w:val="ECHRHeading2"/>
    <w:uiPriority w:val="42"/>
    <w:qFormat/>
    <w:rsid w:val="00AF4333"/>
    <w:pPr>
      <w:ind w:left="635" w:hanging="357"/>
      <w:outlineLvl w:val="2"/>
    </w:pPr>
  </w:style>
  <w:style w:type="paragraph" w:styleId="ListBullet">
    <w:name w:val="List Bullet"/>
    <w:basedOn w:val="Normal"/>
    <w:uiPriority w:val="99"/>
    <w:semiHidden/>
    <w:rsid w:val="00014566"/>
    <w:pPr>
      <w:numPr>
        <w:numId w:val="1"/>
      </w:numPr>
    </w:pPr>
  </w:style>
  <w:style w:type="paragraph" w:customStyle="1" w:styleId="OpiHa">
    <w:name w:val="Opi_H_a"/>
    <w:basedOn w:val="ECHRHeading3"/>
    <w:uiPriority w:val="43"/>
    <w:qFormat/>
    <w:rsid w:val="00AF4333"/>
    <w:pPr>
      <w:ind w:left="833" w:hanging="357"/>
      <w:outlineLvl w:val="3"/>
    </w:pPr>
    <w:rPr>
      <w:b/>
      <w:i w:val="0"/>
      <w:sz w:val="20"/>
    </w:rPr>
  </w:style>
  <w:style w:type="paragraph" w:styleId="Subtitle">
    <w:name w:val="Subtitle"/>
    <w:basedOn w:val="Normal"/>
    <w:next w:val="Normal"/>
    <w:link w:val="SubtitleChar"/>
    <w:uiPriority w:val="99"/>
    <w:semiHidden/>
    <w:qFormat/>
    <w:rsid w:val="00AF4333"/>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AF4333"/>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AF4333"/>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AF4333"/>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AF4333"/>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HA0">
    <w:name w:val="Opi_H_A"/>
    <w:basedOn w:val="ECHRHeading1"/>
    <w:next w:val="OpiPara"/>
    <w:uiPriority w:val="41"/>
    <w:qFormat/>
    <w:rsid w:val="00AF4333"/>
    <w:pPr>
      <w:tabs>
        <w:tab w:val="clear" w:pos="357"/>
      </w:tabs>
      <w:outlineLvl w:val="1"/>
    </w:pPr>
    <w:rPr>
      <w:b/>
    </w:rPr>
  </w:style>
  <w:style w:type="paragraph" w:customStyle="1" w:styleId="OpiHi">
    <w:name w:val="Opi_H_i"/>
    <w:basedOn w:val="ECHRHeading4"/>
    <w:uiPriority w:val="44"/>
    <w:qFormat/>
    <w:rsid w:val="00AF4333"/>
    <w:pPr>
      <w:ind w:left="1037" w:hanging="357"/>
      <w:outlineLvl w:val="4"/>
    </w:pPr>
    <w:rPr>
      <w:b w:val="0"/>
      <w:i/>
    </w:rPr>
  </w:style>
  <w:style w:type="paragraph" w:customStyle="1" w:styleId="OpiPara">
    <w:name w:val="Opi_Para"/>
    <w:basedOn w:val="ECHRPara"/>
    <w:uiPriority w:val="46"/>
    <w:qFormat/>
    <w:rsid w:val="00AF4333"/>
  </w:style>
  <w:style w:type="paragraph" w:customStyle="1" w:styleId="OpiParaSub">
    <w:name w:val="Opi_Para_Sub"/>
    <w:basedOn w:val="JuParaSub"/>
    <w:uiPriority w:val="47"/>
    <w:qFormat/>
    <w:rsid w:val="00AF4333"/>
  </w:style>
  <w:style w:type="paragraph" w:customStyle="1" w:styleId="OpiQuot">
    <w:name w:val="Opi_Quot"/>
    <w:basedOn w:val="ECHRParaQuote"/>
    <w:uiPriority w:val="48"/>
    <w:qFormat/>
    <w:rsid w:val="00AF4333"/>
  </w:style>
  <w:style w:type="paragraph" w:customStyle="1" w:styleId="OpiQuotSub">
    <w:name w:val="Opi_Quot_Sub"/>
    <w:basedOn w:val="JuQuotSub"/>
    <w:uiPriority w:val="49"/>
    <w:qFormat/>
    <w:rsid w:val="00AF4333"/>
  </w:style>
  <w:style w:type="paragraph" w:customStyle="1" w:styleId="OpiTranslation">
    <w:name w:val="Opi_Translation"/>
    <w:basedOn w:val="Normal"/>
    <w:next w:val="OpiPara"/>
    <w:uiPriority w:val="40"/>
    <w:qFormat/>
    <w:rsid w:val="00AF4333"/>
    <w:pPr>
      <w:jc w:val="center"/>
      <w:outlineLvl w:val="0"/>
    </w:pPr>
    <w:rPr>
      <w:i/>
    </w:rPr>
  </w:style>
  <w:style w:type="character" w:customStyle="1" w:styleId="ECHRParaChar">
    <w:name w:val="ECHR_Para Char"/>
    <w:aliases w:val="Ju_Para Char"/>
    <w:link w:val="ECHRPara"/>
    <w:uiPriority w:val="12"/>
    <w:rsid w:val="00DD0F02"/>
    <w:rPr>
      <w:rFonts w:eastAsiaTheme="minorEastAsia"/>
      <w:sz w:val="24"/>
    </w:rPr>
  </w:style>
  <w:style w:type="character" w:customStyle="1" w:styleId="JuParaCar">
    <w:name w:val="Ju_Para Car"/>
    <w:uiPriority w:val="12"/>
    <w:rsid w:val="008103F7"/>
    <w:rPr>
      <w:rFonts w:eastAsiaTheme="minorEastAsia"/>
      <w:sz w:val="24"/>
    </w:rPr>
  </w:style>
  <w:style w:type="paragraph" w:styleId="Revision">
    <w:name w:val="Revision"/>
    <w:hidden/>
    <w:uiPriority w:val="99"/>
    <w:semiHidden/>
    <w:rsid w:val="00D34203"/>
    <w:rPr>
      <w:rFonts w:eastAsiaTheme="minorEastAsia"/>
      <w:sz w:val="24"/>
    </w:rPr>
  </w:style>
  <w:style w:type="paragraph" w:customStyle="1" w:styleId="jupara">
    <w:name w:val="jupara"/>
    <w:basedOn w:val="Normal"/>
    <w:rsid w:val="00A862AC"/>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A862AC"/>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1DFFAA-B0F1-47CE-AFF0-D469BB18DB1C}"/>
</file>

<file path=customXml/itemProps2.xml><?xml version="1.0" encoding="utf-8"?>
<ds:datastoreItem xmlns:ds="http://schemas.openxmlformats.org/officeDocument/2006/customXml" ds:itemID="{757DD5F0-4839-4239-9332-60AF69A4F81C}"/>
</file>

<file path=customXml/itemProps3.xml><?xml version="1.0" encoding="utf-8"?>
<ds:datastoreItem xmlns:ds="http://schemas.openxmlformats.org/officeDocument/2006/customXml" ds:itemID="{D52FC0AF-6FE5-4F94-B690-FD59B063EC7D}"/>
</file>

<file path=customXml/itemProps4.xml><?xml version="1.0" encoding="utf-8"?>
<ds:datastoreItem xmlns:ds="http://schemas.openxmlformats.org/officeDocument/2006/customXml" ds:itemID="{29F986C7-9229-4B5E-ACA9-0E67A0240E18}"/>
</file>

<file path=docProps/app.xml><?xml version="1.0" encoding="utf-8"?>
<Properties xmlns="http://schemas.openxmlformats.org/officeDocument/2006/extended-properties" xmlns:vt="http://schemas.openxmlformats.org/officeDocument/2006/docPropsVTypes">
  <Template>Normal.dotm</Template>
  <TotalTime>0</TotalTime>
  <Pages>1</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2017-06-16T09:22:00Z</dcterms:created>
  <dcterms:modified xsi:type="dcterms:W3CDTF">2017-06-16T09:22:00Z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