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header4.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Pr="00E2240E" w:rsidR="0098410D" w:rsidP="00E2240E" w:rsidRDefault="0098410D">
      <w:pPr>
        <w:jc w:val="center"/>
        <w:rPr>
          <w:lang w:val="en-GB"/>
        </w:rPr>
      </w:pPr>
      <w:bookmarkStart w:name="_GoBack" w:id="0"/>
      <w:bookmarkEnd w:id="0"/>
    </w:p>
    <w:p w:rsidRPr="00E2240E" w:rsidR="0098410D" w:rsidP="00E2240E" w:rsidRDefault="0098410D">
      <w:pPr>
        <w:jc w:val="center"/>
        <w:rPr>
          <w:lang w:val="en-GB"/>
        </w:rPr>
      </w:pPr>
    </w:p>
    <w:p w:rsidRPr="00E2240E" w:rsidR="007156A2" w:rsidP="00E2240E" w:rsidRDefault="007156A2">
      <w:pPr>
        <w:jc w:val="center"/>
        <w:rPr>
          <w:lang w:val="en-GB"/>
        </w:rPr>
      </w:pPr>
    </w:p>
    <w:p w:rsidRPr="00E2240E" w:rsidR="0098410D" w:rsidP="00E2240E" w:rsidRDefault="002F1E3A">
      <w:pPr>
        <w:tabs>
          <w:tab w:val="left" w:pos="5529"/>
        </w:tabs>
        <w:jc w:val="center"/>
        <w:rPr>
          <w:lang w:val="en-GB"/>
        </w:rPr>
      </w:pPr>
      <w:r w:rsidRPr="00E2240E">
        <w:rPr>
          <w:lang w:val="en-GB"/>
        </w:rPr>
        <w:t>SECOND SECTION</w:t>
      </w:r>
    </w:p>
    <w:p w:rsidRPr="00E2240E" w:rsidR="0098410D" w:rsidP="00E2240E" w:rsidRDefault="0098410D">
      <w:pPr>
        <w:jc w:val="center"/>
        <w:rPr>
          <w:lang w:val="en-GB"/>
        </w:rPr>
      </w:pPr>
    </w:p>
    <w:p w:rsidRPr="00E2240E" w:rsidR="0098410D" w:rsidP="00E2240E" w:rsidRDefault="0098410D">
      <w:pPr>
        <w:jc w:val="center"/>
        <w:rPr>
          <w:lang w:val="en-GB"/>
        </w:rPr>
      </w:pPr>
    </w:p>
    <w:p w:rsidRPr="00E2240E" w:rsidR="0098410D" w:rsidP="00E2240E" w:rsidRDefault="0098410D">
      <w:pPr>
        <w:jc w:val="center"/>
        <w:rPr>
          <w:lang w:val="en-GB"/>
        </w:rPr>
      </w:pPr>
    </w:p>
    <w:p w:rsidRPr="00E2240E" w:rsidR="0098410D" w:rsidP="00E2240E" w:rsidRDefault="0098410D">
      <w:pPr>
        <w:jc w:val="center"/>
        <w:rPr>
          <w:lang w:val="en-GB"/>
        </w:rPr>
      </w:pPr>
    </w:p>
    <w:p w:rsidRPr="00E2240E" w:rsidR="0098410D" w:rsidP="00E2240E" w:rsidRDefault="0098410D">
      <w:pPr>
        <w:jc w:val="center"/>
        <w:rPr>
          <w:lang w:val="en-GB"/>
        </w:rPr>
      </w:pPr>
    </w:p>
    <w:p w:rsidRPr="00E2240E" w:rsidR="00FB6150" w:rsidP="00E2240E" w:rsidRDefault="00FB6150">
      <w:pPr>
        <w:jc w:val="center"/>
        <w:rPr>
          <w:lang w:val="en-GB"/>
        </w:rPr>
      </w:pPr>
    </w:p>
    <w:p w:rsidRPr="00E2240E" w:rsidR="007156A2" w:rsidP="00E2240E" w:rsidRDefault="007156A2">
      <w:pPr>
        <w:jc w:val="center"/>
        <w:rPr>
          <w:lang w:val="en-GB"/>
        </w:rPr>
      </w:pPr>
    </w:p>
    <w:p w:rsidRPr="00E2240E" w:rsidR="0098410D" w:rsidP="00E2240E" w:rsidRDefault="0098410D">
      <w:pPr>
        <w:jc w:val="center"/>
        <w:outlineLvl w:val="0"/>
        <w:rPr>
          <w:b/>
          <w:lang w:val="en-GB"/>
        </w:rPr>
      </w:pPr>
      <w:r w:rsidRPr="00E2240E">
        <w:rPr>
          <w:b/>
          <w:lang w:val="en-GB"/>
        </w:rPr>
        <w:t xml:space="preserve">CASE OF </w:t>
      </w:r>
      <w:r w:rsidRPr="00E2240E" w:rsidR="00A63264">
        <w:rPr>
          <w:b/>
          <w:lang w:val="en-GB"/>
        </w:rPr>
        <w:t xml:space="preserve">STANKA </w:t>
      </w:r>
      <w:r w:rsidRPr="00E2240E" w:rsidR="002F1E3A">
        <w:rPr>
          <w:b/>
          <w:lang w:val="en-GB"/>
        </w:rPr>
        <w:t>MIRKOVIĆ AND OTHERS v. MONTENEGRO</w:t>
      </w:r>
    </w:p>
    <w:p w:rsidRPr="00E2240E" w:rsidR="0098410D" w:rsidP="00E2240E" w:rsidRDefault="0098410D">
      <w:pPr>
        <w:jc w:val="center"/>
        <w:rPr>
          <w:lang w:val="en-GB"/>
        </w:rPr>
      </w:pPr>
    </w:p>
    <w:p w:rsidRPr="00E2240E" w:rsidR="0098410D" w:rsidP="00E2240E" w:rsidRDefault="0098410D">
      <w:pPr>
        <w:jc w:val="center"/>
        <w:rPr>
          <w:i/>
          <w:lang w:val="en-GB"/>
        </w:rPr>
      </w:pPr>
      <w:r w:rsidRPr="00E2240E">
        <w:rPr>
          <w:i/>
          <w:lang w:val="en-GB"/>
        </w:rPr>
        <w:t>(Application</w:t>
      </w:r>
      <w:r w:rsidRPr="00E2240E" w:rsidR="00B55860">
        <w:rPr>
          <w:i/>
          <w:lang w:val="en-GB"/>
        </w:rPr>
        <w:t>s</w:t>
      </w:r>
      <w:r w:rsidRPr="00E2240E">
        <w:rPr>
          <w:i/>
          <w:lang w:val="en-GB"/>
        </w:rPr>
        <w:t xml:space="preserve"> no</w:t>
      </w:r>
      <w:r w:rsidRPr="00E2240E" w:rsidR="00B55860">
        <w:rPr>
          <w:i/>
          <w:lang w:val="en-GB"/>
        </w:rPr>
        <w:t>s</w:t>
      </w:r>
      <w:r w:rsidRPr="00E2240E">
        <w:rPr>
          <w:i/>
          <w:lang w:val="en-GB"/>
        </w:rPr>
        <w:t xml:space="preserve">. </w:t>
      </w:r>
      <w:r w:rsidRPr="00E2240E" w:rsidR="002F1E3A">
        <w:rPr>
          <w:i/>
          <w:lang w:val="en-GB"/>
        </w:rPr>
        <w:t>33781/15</w:t>
      </w:r>
      <w:r w:rsidRPr="00E2240E" w:rsidR="00CB4CAC">
        <w:rPr>
          <w:i/>
          <w:lang w:val="en-GB"/>
        </w:rPr>
        <w:t xml:space="preserve"> and 3 others – see appended list</w:t>
      </w:r>
      <w:r w:rsidRPr="00E2240E">
        <w:rPr>
          <w:i/>
          <w:lang w:val="en-GB"/>
        </w:rPr>
        <w:t>)</w:t>
      </w:r>
    </w:p>
    <w:p w:rsidRPr="00E2240E" w:rsidR="0098410D" w:rsidP="00E2240E" w:rsidRDefault="0098410D">
      <w:pPr>
        <w:jc w:val="center"/>
        <w:rPr>
          <w:lang w:val="en-GB"/>
        </w:rPr>
      </w:pPr>
    </w:p>
    <w:p w:rsidRPr="00E2240E" w:rsidR="0098410D" w:rsidP="00E2240E" w:rsidRDefault="0098410D">
      <w:pPr>
        <w:jc w:val="center"/>
        <w:rPr>
          <w:lang w:val="en-GB"/>
        </w:rPr>
      </w:pPr>
    </w:p>
    <w:p w:rsidRPr="00E2240E" w:rsidR="0098410D" w:rsidP="00E2240E" w:rsidRDefault="0098410D">
      <w:pPr>
        <w:jc w:val="center"/>
        <w:rPr>
          <w:lang w:val="en-GB"/>
        </w:rPr>
      </w:pPr>
    </w:p>
    <w:p w:rsidRPr="00E2240E" w:rsidR="00FB6150" w:rsidP="00E2240E" w:rsidRDefault="00FB6150">
      <w:pPr>
        <w:jc w:val="center"/>
        <w:rPr>
          <w:lang w:val="en-GB"/>
        </w:rPr>
      </w:pPr>
    </w:p>
    <w:p w:rsidRPr="00E2240E" w:rsidR="00FB6150" w:rsidP="00E2240E" w:rsidRDefault="00FB6150">
      <w:pPr>
        <w:jc w:val="center"/>
        <w:rPr>
          <w:lang w:val="en-GB"/>
        </w:rPr>
      </w:pPr>
    </w:p>
    <w:p w:rsidRPr="00E2240E" w:rsidR="0098410D" w:rsidP="00E2240E" w:rsidRDefault="0098410D">
      <w:pPr>
        <w:jc w:val="center"/>
        <w:rPr>
          <w:lang w:val="en-GB"/>
        </w:rPr>
      </w:pPr>
    </w:p>
    <w:p w:rsidRPr="00E2240E" w:rsidR="0098410D" w:rsidP="00E2240E" w:rsidRDefault="0098410D">
      <w:pPr>
        <w:jc w:val="center"/>
        <w:rPr>
          <w:lang w:val="en-GB"/>
        </w:rPr>
      </w:pPr>
    </w:p>
    <w:p w:rsidRPr="00E2240E" w:rsidR="0098410D" w:rsidP="00E2240E" w:rsidRDefault="0098410D">
      <w:pPr>
        <w:jc w:val="center"/>
        <w:rPr>
          <w:lang w:val="en-GB"/>
        </w:rPr>
      </w:pPr>
    </w:p>
    <w:p w:rsidRPr="00E2240E" w:rsidR="0098410D" w:rsidP="00E2240E" w:rsidRDefault="0098410D">
      <w:pPr>
        <w:jc w:val="center"/>
        <w:outlineLvl w:val="0"/>
        <w:rPr>
          <w:lang w:val="en-GB"/>
        </w:rPr>
      </w:pPr>
      <w:r w:rsidRPr="00E2240E">
        <w:rPr>
          <w:lang w:val="en-GB"/>
        </w:rPr>
        <w:t>JUDGMENT</w:t>
      </w:r>
    </w:p>
    <w:p w:rsidRPr="00E2240E" w:rsidR="0098410D" w:rsidP="00E2240E" w:rsidRDefault="0098410D">
      <w:pPr>
        <w:jc w:val="center"/>
        <w:rPr>
          <w:lang w:val="en-GB"/>
        </w:rPr>
      </w:pPr>
    </w:p>
    <w:p w:rsidRPr="00E2240E" w:rsidR="007156A2" w:rsidP="00E2240E" w:rsidRDefault="007156A2">
      <w:pPr>
        <w:jc w:val="center"/>
        <w:rPr>
          <w:lang w:val="en-GB"/>
        </w:rPr>
      </w:pPr>
    </w:p>
    <w:p w:rsidRPr="00E2240E" w:rsidR="0098410D" w:rsidP="00E2240E" w:rsidRDefault="0098410D">
      <w:pPr>
        <w:jc w:val="center"/>
        <w:outlineLvl w:val="0"/>
        <w:rPr>
          <w:lang w:val="en-GB"/>
        </w:rPr>
      </w:pPr>
      <w:r w:rsidRPr="00E2240E">
        <w:rPr>
          <w:lang w:val="en-GB"/>
        </w:rPr>
        <w:t>STRASBOURG</w:t>
      </w:r>
    </w:p>
    <w:p w:rsidRPr="00E2240E" w:rsidR="0098410D" w:rsidP="00E2240E" w:rsidRDefault="0098410D">
      <w:pPr>
        <w:jc w:val="center"/>
        <w:rPr>
          <w:lang w:val="en-GB"/>
        </w:rPr>
      </w:pPr>
    </w:p>
    <w:p w:rsidRPr="00E2240E" w:rsidR="0098410D" w:rsidP="00E2240E" w:rsidRDefault="002F1E3A">
      <w:pPr>
        <w:jc w:val="center"/>
        <w:rPr>
          <w:lang w:val="en-GB"/>
        </w:rPr>
      </w:pPr>
      <w:r w:rsidRPr="00E2240E">
        <w:rPr>
          <w:lang w:val="en-GB"/>
        </w:rPr>
        <w:t>7 March 2017</w:t>
      </w:r>
    </w:p>
    <w:p w:rsidRPr="00E2240E" w:rsidR="0098410D" w:rsidP="00E2240E" w:rsidRDefault="0098410D">
      <w:pPr>
        <w:jc w:val="center"/>
        <w:rPr>
          <w:lang w:val="en-GB"/>
        </w:rPr>
      </w:pPr>
    </w:p>
    <w:p w:rsidRPr="00E2240E" w:rsidR="0098410D" w:rsidP="00E2240E" w:rsidRDefault="0098410D">
      <w:pPr>
        <w:jc w:val="center"/>
        <w:rPr>
          <w:lang w:val="en-GB"/>
        </w:rPr>
      </w:pPr>
    </w:p>
    <w:p w:rsidRPr="00E2240E" w:rsidR="00E2240E" w:rsidP="00E2240E" w:rsidRDefault="00E2240E">
      <w:pPr>
        <w:pStyle w:val="jucase0"/>
        <w:ind w:firstLine="0"/>
        <w:jc w:val="center"/>
        <w:rPr>
          <w:color w:val="FF0000"/>
          <w:sz w:val="28"/>
          <w:szCs w:val="28"/>
          <w:u w:val="single"/>
        </w:rPr>
      </w:pPr>
      <w:r w:rsidRPr="00E2240E">
        <w:rPr>
          <w:color w:val="FF0000"/>
          <w:sz w:val="28"/>
          <w:szCs w:val="28"/>
          <w:u w:val="single"/>
        </w:rPr>
        <w:t>FINAL</w:t>
      </w:r>
    </w:p>
    <w:p w:rsidRPr="00E2240E" w:rsidR="00E2240E" w:rsidP="00E2240E" w:rsidRDefault="00E2240E">
      <w:pPr>
        <w:pStyle w:val="jupara"/>
        <w:tabs>
          <w:tab w:val="left" w:pos="4650"/>
        </w:tabs>
        <w:ind w:firstLine="0"/>
        <w:jc w:val="center"/>
        <w:rPr>
          <w:color w:val="FF0000"/>
          <w:sz w:val="28"/>
          <w:szCs w:val="28"/>
        </w:rPr>
      </w:pPr>
    </w:p>
    <w:p w:rsidRPr="00E2240E" w:rsidR="00E2240E" w:rsidP="00E2240E" w:rsidRDefault="00E2240E">
      <w:pPr>
        <w:pStyle w:val="jupara"/>
        <w:ind w:firstLine="0"/>
        <w:jc w:val="center"/>
        <w:rPr>
          <w:color w:val="FF0000"/>
          <w:sz w:val="28"/>
          <w:szCs w:val="28"/>
        </w:rPr>
      </w:pPr>
      <w:r w:rsidRPr="00E2240E">
        <w:rPr>
          <w:color w:val="FF0000"/>
          <w:sz w:val="28"/>
          <w:szCs w:val="28"/>
        </w:rPr>
        <w:t>07/06/2017</w:t>
      </w:r>
    </w:p>
    <w:p w:rsidRPr="00E2240E" w:rsidR="00E2240E" w:rsidP="00E2240E" w:rsidRDefault="00E2240E">
      <w:pPr>
        <w:pStyle w:val="jupara"/>
        <w:ind w:firstLine="0"/>
        <w:jc w:val="center"/>
      </w:pPr>
    </w:p>
    <w:p w:rsidRPr="00E2240E" w:rsidR="00E2240E" w:rsidP="00E2240E" w:rsidRDefault="00E2240E">
      <w:pPr>
        <w:jc w:val="center"/>
        <w:rPr>
          <w:i/>
          <w:iCs/>
          <w:sz w:val="22"/>
        </w:rPr>
      </w:pPr>
      <w:r w:rsidRPr="00E2240E">
        <w:rPr>
          <w:i/>
          <w:iCs/>
          <w:sz w:val="22"/>
        </w:rPr>
        <w:t>This judgment has become final under Article 44 § 2 of the Convention. It may be subject to editorial revision.</w:t>
      </w:r>
    </w:p>
    <w:p w:rsidRPr="00E2240E" w:rsidR="00FB6150" w:rsidP="00E2240E" w:rsidRDefault="00FB6150">
      <w:pPr>
        <w:rPr>
          <w:lang w:val="en-GB"/>
        </w:rPr>
      </w:pPr>
    </w:p>
    <w:p w:rsidRPr="00E2240E" w:rsidR="00FB6150" w:rsidP="00E2240E" w:rsidRDefault="00FB6150">
      <w:pPr>
        <w:rPr>
          <w:lang w:val="en-GB"/>
        </w:rPr>
        <w:sectPr w:rsidRPr="00E2240E" w:rsidR="00FB6150">
          <w:headerReference w:type="default" r:id="rId8"/>
          <w:footerReference w:type="default" r:id="rId9"/>
          <w:headerReference w:type="first" r:id="rId10"/>
          <w:footnotePr>
            <w:numRestart w:val="eachSect"/>
          </w:footnotePr>
          <w:pgSz w:w="11906" w:h="16838" w:code="9"/>
          <w:pgMar w:top="2274" w:right="2274" w:bottom="2274" w:left="2274" w:header="1701" w:footer="720" w:gutter="0"/>
          <w:pgNumType w:start="1"/>
          <w:cols w:space="720"/>
          <w:noEndnote/>
        </w:sectPr>
      </w:pPr>
    </w:p>
    <w:p w:rsidRPr="00E2240E" w:rsidR="0098410D" w:rsidP="00E2240E" w:rsidRDefault="0098410D">
      <w:pPr>
        <w:pStyle w:val="JuCase"/>
        <w:rPr>
          <w:lang w:val="en-GB"/>
        </w:rPr>
      </w:pPr>
      <w:r w:rsidRPr="00E2240E">
        <w:rPr>
          <w:lang w:val="en-GB"/>
        </w:rPr>
        <w:t xml:space="preserve">In the case of </w:t>
      </w:r>
      <w:proofErr w:type="spellStart"/>
      <w:r w:rsidRPr="00E2240E" w:rsidR="00CB4CAC">
        <w:rPr>
          <w:lang w:val="en-GB"/>
        </w:rPr>
        <w:t>Stanka</w:t>
      </w:r>
      <w:proofErr w:type="spellEnd"/>
      <w:r w:rsidRPr="00E2240E" w:rsidR="00CB4CAC">
        <w:rPr>
          <w:lang w:val="en-GB"/>
        </w:rPr>
        <w:t xml:space="preserve"> </w:t>
      </w:r>
      <w:proofErr w:type="spellStart"/>
      <w:r w:rsidRPr="00E2240E" w:rsidR="002F1E3A">
        <w:rPr>
          <w:lang w:val="en-GB"/>
        </w:rPr>
        <w:t>Mirković</w:t>
      </w:r>
      <w:proofErr w:type="spellEnd"/>
      <w:r w:rsidRPr="00E2240E" w:rsidR="002F1E3A">
        <w:rPr>
          <w:lang w:val="en-GB"/>
        </w:rPr>
        <w:t xml:space="preserve"> and Others v. Montenegro</w:t>
      </w:r>
      <w:r w:rsidRPr="00E2240E">
        <w:rPr>
          <w:lang w:val="en-GB"/>
        </w:rPr>
        <w:t>,</w:t>
      </w:r>
    </w:p>
    <w:p w:rsidRPr="00E2240E" w:rsidR="007156A2" w:rsidP="00E2240E" w:rsidRDefault="007156A2">
      <w:pPr>
        <w:pStyle w:val="ECHRPara"/>
        <w:rPr>
          <w:lang w:val="en-GB"/>
        </w:rPr>
      </w:pPr>
      <w:r w:rsidRPr="00E2240E">
        <w:rPr>
          <w:lang w:val="en-GB"/>
        </w:rPr>
        <w:t>The European Court of Human Rights (Second Section), sitting as a Chamber composed of:</w:t>
      </w:r>
    </w:p>
    <w:p w:rsidRPr="00E2240E" w:rsidR="007156A2" w:rsidP="00E2240E" w:rsidRDefault="007156A2">
      <w:pPr>
        <w:pStyle w:val="ECHRDecisionBody"/>
        <w:rPr>
          <w:lang w:val="en-GB"/>
        </w:rPr>
      </w:pPr>
      <w:r w:rsidRPr="00E2240E">
        <w:tab/>
      </w:r>
      <w:proofErr w:type="spellStart"/>
      <w:r w:rsidRPr="00E2240E">
        <w:t>Işıl</w:t>
      </w:r>
      <w:proofErr w:type="spellEnd"/>
      <w:r w:rsidRPr="00E2240E">
        <w:t xml:space="preserve"> </w:t>
      </w:r>
      <w:proofErr w:type="spellStart"/>
      <w:r w:rsidRPr="00E2240E">
        <w:t>Karakaş</w:t>
      </w:r>
      <w:proofErr w:type="spellEnd"/>
      <w:r w:rsidRPr="00E2240E">
        <w:t>,</w:t>
      </w:r>
      <w:r w:rsidRPr="00E2240E">
        <w:rPr>
          <w:i/>
        </w:rPr>
        <w:t xml:space="preserve"> President,</w:t>
      </w:r>
      <w:r w:rsidRPr="00E2240E">
        <w:rPr>
          <w:i/>
        </w:rPr>
        <w:br/>
      </w:r>
      <w:r w:rsidRPr="00E2240E">
        <w:tab/>
        <w:t>Julia Laffranque,</w:t>
      </w:r>
      <w:r w:rsidRPr="00E2240E">
        <w:rPr>
          <w:i/>
        </w:rPr>
        <w:br/>
      </w:r>
      <w:r w:rsidRPr="00E2240E">
        <w:tab/>
      </w:r>
      <w:proofErr w:type="spellStart"/>
      <w:r w:rsidRPr="00E2240E">
        <w:t>Nebojša</w:t>
      </w:r>
      <w:proofErr w:type="spellEnd"/>
      <w:r w:rsidRPr="00E2240E">
        <w:t xml:space="preserve"> </w:t>
      </w:r>
      <w:proofErr w:type="spellStart"/>
      <w:r w:rsidRPr="00E2240E">
        <w:t>Vučinić</w:t>
      </w:r>
      <w:proofErr w:type="spellEnd"/>
      <w:r w:rsidRPr="00E2240E">
        <w:t>,</w:t>
      </w:r>
      <w:r w:rsidRPr="00E2240E">
        <w:rPr>
          <w:i/>
        </w:rPr>
        <w:br/>
      </w:r>
      <w:r w:rsidRPr="00E2240E">
        <w:tab/>
      </w:r>
      <w:proofErr w:type="spellStart"/>
      <w:r w:rsidRPr="00E2240E">
        <w:t>Valeriu</w:t>
      </w:r>
      <w:proofErr w:type="spellEnd"/>
      <w:r w:rsidRPr="00E2240E">
        <w:t xml:space="preserve"> </w:t>
      </w:r>
      <w:proofErr w:type="spellStart"/>
      <w:r w:rsidRPr="00E2240E">
        <w:t>Griţco</w:t>
      </w:r>
      <w:proofErr w:type="spellEnd"/>
      <w:r w:rsidRPr="00E2240E">
        <w:t>,</w:t>
      </w:r>
      <w:r w:rsidRPr="00E2240E">
        <w:rPr>
          <w:i/>
        </w:rPr>
        <w:br/>
      </w:r>
      <w:r w:rsidRPr="00E2240E">
        <w:tab/>
      </w:r>
      <w:proofErr w:type="spellStart"/>
      <w:r w:rsidRPr="00E2240E">
        <w:t>Ksenija</w:t>
      </w:r>
      <w:proofErr w:type="spellEnd"/>
      <w:r w:rsidRPr="00E2240E">
        <w:t xml:space="preserve"> </w:t>
      </w:r>
      <w:proofErr w:type="spellStart"/>
      <w:r w:rsidRPr="00E2240E">
        <w:t>Turković</w:t>
      </w:r>
      <w:proofErr w:type="spellEnd"/>
      <w:r w:rsidRPr="00E2240E">
        <w:t>,</w:t>
      </w:r>
      <w:r w:rsidRPr="00E2240E">
        <w:rPr>
          <w:i/>
        </w:rPr>
        <w:br/>
      </w:r>
      <w:r w:rsidRPr="00E2240E">
        <w:tab/>
        <w:t xml:space="preserve">Jon </w:t>
      </w:r>
      <w:proofErr w:type="spellStart"/>
      <w:r w:rsidRPr="00E2240E">
        <w:t>Fridrik</w:t>
      </w:r>
      <w:proofErr w:type="spellEnd"/>
      <w:r w:rsidRPr="00E2240E">
        <w:t xml:space="preserve"> </w:t>
      </w:r>
      <w:proofErr w:type="spellStart"/>
      <w:r w:rsidRPr="00E2240E">
        <w:t>Kjølbro</w:t>
      </w:r>
      <w:proofErr w:type="spellEnd"/>
      <w:r w:rsidRPr="00E2240E">
        <w:t>,</w:t>
      </w:r>
      <w:r w:rsidRPr="00E2240E">
        <w:rPr>
          <w:i/>
        </w:rPr>
        <w:br/>
      </w:r>
      <w:r w:rsidRPr="00E2240E">
        <w:tab/>
        <w:t xml:space="preserve">Stéphanie </w:t>
      </w:r>
      <w:proofErr w:type="spellStart"/>
      <w:r w:rsidRPr="00E2240E">
        <w:t>Mourou-Vikström</w:t>
      </w:r>
      <w:proofErr w:type="spellEnd"/>
      <w:r w:rsidRPr="00E2240E">
        <w:t>,</w:t>
      </w:r>
      <w:r w:rsidRPr="00E2240E">
        <w:rPr>
          <w:i/>
        </w:rPr>
        <w:t xml:space="preserve"> judges,</w:t>
      </w:r>
      <w:r w:rsidRPr="00E2240E">
        <w:rPr>
          <w:szCs w:val="24"/>
          <w:lang w:val="en-GB"/>
        </w:rPr>
        <w:br/>
      </w:r>
      <w:r w:rsidRPr="00E2240E">
        <w:rPr>
          <w:lang w:val="en-GB"/>
        </w:rPr>
        <w:t xml:space="preserve">and </w:t>
      </w:r>
      <w:r w:rsidRPr="00E2240E" w:rsidR="009C35FF">
        <w:t xml:space="preserve">Hasan </w:t>
      </w:r>
      <w:proofErr w:type="spellStart"/>
      <w:r w:rsidRPr="00E2240E" w:rsidR="009C35FF">
        <w:t>Bakırcı</w:t>
      </w:r>
      <w:proofErr w:type="spellEnd"/>
      <w:r w:rsidRPr="00E2240E" w:rsidR="009C35FF">
        <w:t xml:space="preserve">, </w:t>
      </w:r>
      <w:r w:rsidRPr="00E2240E" w:rsidR="009C35FF">
        <w:rPr>
          <w:i/>
        </w:rPr>
        <w:t>Deputy Section Registrar,</w:t>
      </w:r>
    </w:p>
    <w:p w:rsidRPr="00E2240E" w:rsidR="007156A2" w:rsidP="00E2240E" w:rsidRDefault="007156A2">
      <w:pPr>
        <w:pStyle w:val="ECHRPara"/>
        <w:rPr>
          <w:lang w:val="en-GB"/>
        </w:rPr>
      </w:pPr>
      <w:r w:rsidRPr="00E2240E">
        <w:rPr>
          <w:lang w:val="en-GB"/>
        </w:rPr>
        <w:t xml:space="preserve">Having deliberated in private on </w:t>
      </w:r>
      <w:r w:rsidRPr="00E2240E" w:rsidR="00A63264">
        <w:rPr>
          <w:lang w:val="en-GB"/>
        </w:rPr>
        <w:t>7 February 2017</w:t>
      </w:r>
      <w:r w:rsidRPr="00E2240E">
        <w:rPr>
          <w:lang w:val="en-GB"/>
        </w:rPr>
        <w:t>,</w:t>
      </w:r>
    </w:p>
    <w:p w:rsidRPr="00E2240E" w:rsidR="007156A2" w:rsidP="00E2240E" w:rsidRDefault="007156A2">
      <w:pPr>
        <w:pStyle w:val="ECHRPara"/>
        <w:rPr>
          <w:lang w:val="en-GB"/>
        </w:rPr>
      </w:pPr>
      <w:r w:rsidRPr="00E2240E">
        <w:rPr>
          <w:lang w:val="en-GB"/>
        </w:rPr>
        <w:t>Delivers the following judgment, which was adopted on that date:</w:t>
      </w:r>
    </w:p>
    <w:p w:rsidRPr="00E2240E" w:rsidR="007156A2" w:rsidP="00E2240E" w:rsidRDefault="007156A2">
      <w:pPr>
        <w:pStyle w:val="ECHRTitle1"/>
        <w:rPr>
          <w:lang w:val="en-GB"/>
        </w:rPr>
      </w:pPr>
      <w:r w:rsidRPr="00E2240E">
        <w:rPr>
          <w:lang w:val="en-GB"/>
        </w:rPr>
        <w:t>PROCEDURE</w:t>
      </w:r>
    </w:p>
    <w:p w:rsidRPr="00E2240E" w:rsidR="007156A2" w:rsidP="00E2240E" w:rsidRDefault="007156A2">
      <w:pPr>
        <w:pStyle w:val="ECHRPara"/>
        <w:rPr>
          <w:lang w:val="en-GB"/>
        </w:rPr>
      </w:pPr>
      <w:r w:rsidRPr="00E2240E">
        <w:rPr>
          <w:lang w:val="en-GB"/>
        </w:rPr>
        <w:fldChar w:fldCharType="begin"/>
      </w:r>
      <w:r w:rsidRPr="00E2240E">
        <w:rPr>
          <w:lang w:val="en-GB"/>
        </w:rPr>
        <w:instrText xml:space="preserve"> SEQ level0 \*arabic </w:instrText>
      </w:r>
      <w:r w:rsidRPr="00E2240E">
        <w:rPr>
          <w:lang w:val="en-GB"/>
        </w:rPr>
        <w:fldChar w:fldCharType="separate"/>
      </w:r>
      <w:r w:rsidRPr="00E2240E" w:rsidR="00E2240E">
        <w:rPr>
          <w:noProof/>
          <w:lang w:val="en-GB"/>
        </w:rPr>
        <w:t>1</w:t>
      </w:r>
      <w:r w:rsidRPr="00E2240E">
        <w:rPr>
          <w:lang w:val="en-GB"/>
        </w:rPr>
        <w:fldChar w:fldCharType="end"/>
      </w:r>
      <w:r w:rsidRPr="00E2240E">
        <w:rPr>
          <w:lang w:val="en-GB"/>
        </w:rPr>
        <w:t xml:space="preserve">.  The case originated in four applications (nos. 33781/15, 33785/15, 34369/15 and 34371/15) against Montenegro lodged with the Court under Article 34 of the Convention for the Protection of Human Rights and Fundamental Freedoms (“the Convention”) by two Montenegrin nationals, Ms </w:t>
      </w:r>
      <w:proofErr w:type="spellStart"/>
      <w:r w:rsidRPr="00E2240E">
        <w:rPr>
          <w:lang w:val="en-GB"/>
        </w:rPr>
        <w:t>Stanka</w:t>
      </w:r>
      <w:proofErr w:type="spellEnd"/>
      <w:r w:rsidRPr="00E2240E">
        <w:rPr>
          <w:lang w:val="en-GB"/>
        </w:rPr>
        <w:t xml:space="preserve"> </w:t>
      </w:r>
      <w:proofErr w:type="spellStart"/>
      <w:r w:rsidRPr="00E2240E">
        <w:rPr>
          <w:lang w:val="en-GB"/>
        </w:rPr>
        <w:t>Mirković</w:t>
      </w:r>
      <w:proofErr w:type="spellEnd"/>
      <w:r w:rsidRPr="00E2240E">
        <w:rPr>
          <w:lang w:val="en-GB"/>
        </w:rPr>
        <w:t xml:space="preserve"> and Mr Oliver </w:t>
      </w:r>
      <w:proofErr w:type="spellStart"/>
      <w:r w:rsidRPr="00E2240E">
        <w:rPr>
          <w:lang w:val="en-GB"/>
        </w:rPr>
        <w:t>Mirković</w:t>
      </w:r>
      <w:proofErr w:type="spellEnd"/>
      <w:r w:rsidRPr="00E2240E">
        <w:rPr>
          <w:lang w:val="en-GB"/>
        </w:rPr>
        <w:t xml:space="preserve">, and two Serbian nationals, Ms </w:t>
      </w:r>
      <w:proofErr w:type="spellStart"/>
      <w:r w:rsidRPr="00E2240E">
        <w:rPr>
          <w:lang w:val="en-GB"/>
        </w:rPr>
        <w:t>Darinka</w:t>
      </w:r>
      <w:proofErr w:type="spellEnd"/>
      <w:r w:rsidRPr="00E2240E">
        <w:rPr>
          <w:lang w:val="en-GB"/>
        </w:rPr>
        <w:t xml:space="preserve"> </w:t>
      </w:r>
      <w:proofErr w:type="spellStart"/>
      <w:r w:rsidRPr="00E2240E">
        <w:rPr>
          <w:lang w:val="en-GB"/>
        </w:rPr>
        <w:t>Marjanović</w:t>
      </w:r>
      <w:proofErr w:type="spellEnd"/>
      <w:r w:rsidRPr="00E2240E">
        <w:rPr>
          <w:lang w:val="en-GB"/>
        </w:rPr>
        <w:t xml:space="preserve"> and Mr Igor </w:t>
      </w:r>
      <w:proofErr w:type="spellStart"/>
      <w:r w:rsidRPr="00E2240E">
        <w:rPr>
          <w:lang w:val="en-GB"/>
        </w:rPr>
        <w:t>Mirković</w:t>
      </w:r>
      <w:proofErr w:type="spellEnd"/>
      <w:r w:rsidRPr="00E2240E">
        <w:rPr>
          <w:lang w:val="en-GB"/>
        </w:rPr>
        <w:t>, on 30 June 2015.</w:t>
      </w:r>
    </w:p>
    <w:p w:rsidRPr="00E2240E" w:rsidR="007156A2" w:rsidP="00E2240E" w:rsidRDefault="007156A2">
      <w:pPr>
        <w:pStyle w:val="ECHRPara"/>
        <w:rPr>
          <w:lang w:val="en-GB"/>
        </w:rPr>
      </w:pPr>
      <w:r w:rsidRPr="00E2240E">
        <w:rPr>
          <w:lang w:val="en-GB"/>
        </w:rPr>
        <w:fldChar w:fldCharType="begin"/>
      </w:r>
      <w:r w:rsidRPr="00E2240E">
        <w:rPr>
          <w:lang w:val="en-GB"/>
        </w:rPr>
        <w:instrText xml:space="preserve"> SEQ level0 \*arabic </w:instrText>
      </w:r>
      <w:r w:rsidRPr="00E2240E">
        <w:rPr>
          <w:lang w:val="en-GB"/>
        </w:rPr>
        <w:fldChar w:fldCharType="separate"/>
      </w:r>
      <w:r w:rsidRPr="00E2240E" w:rsidR="00E2240E">
        <w:rPr>
          <w:noProof/>
          <w:lang w:val="en-GB"/>
        </w:rPr>
        <w:t>2</w:t>
      </w:r>
      <w:r w:rsidRPr="00E2240E">
        <w:rPr>
          <w:lang w:val="en-GB"/>
        </w:rPr>
        <w:fldChar w:fldCharType="end"/>
      </w:r>
      <w:r w:rsidRPr="00E2240E">
        <w:rPr>
          <w:lang w:val="en-GB"/>
        </w:rPr>
        <w:t xml:space="preserve">.  The applicants were represented by Mr J. </w:t>
      </w:r>
      <w:proofErr w:type="spellStart"/>
      <w:r w:rsidRPr="00E2240E">
        <w:rPr>
          <w:lang w:val="en-GB"/>
        </w:rPr>
        <w:t>Mićković</w:t>
      </w:r>
      <w:proofErr w:type="spellEnd"/>
      <w:r w:rsidRPr="00E2240E">
        <w:rPr>
          <w:lang w:val="en-GB"/>
        </w:rPr>
        <w:t xml:space="preserve">, a lawyer practising in </w:t>
      </w:r>
      <w:proofErr w:type="spellStart"/>
      <w:r w:rsidRPr="00E2240E">
        <w:rPr>
          <w:lang w:val="en-GB"/>
        </w:rPr>
        <w:t>Pljevlja</w:t>
      </w:r>
      <w:proofErr w:type="spellEnd"/>
      <w:r w:rsidRPr="00E2240E">
        <w:rPr>
          <w:lang w:val="en-GB"/>
        </w:rPr>
        <w:t xml:space="preserve"> (Montenegro). The Montenegrin Government (“the Government”) were represented by their Agent, Mrs V. </w:t>
      </w:r>
      <w:proofErr w:type="spellStart"/>
      <w:r w:rsidRPr="00E2240E">
        <w:rPr>
          <w:lang w:val="en-GB"/>
        </w:rPr>
        <w:t>Pavli</w:t>
      </w:r>
      <w:r w:rsidRPr="00E2240E">
        <w:rPr>
          <w:rFonts w:cstheme="minorHAnsi"/>
          <w:lang w:val="en-GB"/>
        </w:rPr>
        <w:t>č</w:t>
      </w:r>
      <w:r w:rsidRPr="00E2240E">
        <w:rPr>
          <w:lang w:val="en-GB"/>
        </w:rPr>
        <w:t>ić</w:t>
      </w:r>
      <w:proofErr w:type="spellEnd"/>
      <w:r w:rsidRPr="00E2240E">
        <w:rPr>
          <w:lang w:val="en-GB"/>
        </w:rPr>
        <w:t>.</w:t>
      </w:r>
    </w:p>
    <w:p w:rsidRPr="00E2240E" w:rsidR="007156A2" w:rsidP="00E2240E" w:rsidRDefault="007156A2">
      <w:pPr>
        <w:pStyle w:val="ECHRPara"/>
        <w:rPr>
          <w:lang w:val="en-GB"/>
        </w:rPr>
      </w:pPr>
      <w:r w:rsidRPr="00E2240E">
        <w:rPr>
          <w:lang w:val="en-GB"/>
        </w:rPr>
        <w:fldChar w:fldCharType="begin"/>
      </w:r>
      <w:r w:rsidRPr="00E2240E">
        <w:rPr>
          <w:lang w:val="en-GB"/>
        </w:rPr>
        <w:instrText xml:space="preserve"> SEQ level0 \*arabic </w:instrText>
      </w:r>
      <w:r w:rsidRPr="00E2240E">
        <w:rPr>
          <w:lang w:val="en-GB"/>
        </w:rPr>
        <w:fldChar w:fldCharType="separate"/>
      </w:r>
      <w:r w:rsidRPr="00E2240E" w:rsidR="00E2240E">
        <w:rPr>
          <w:noProof/>
          <w:lang w:val="en-GB"/>
        </w:rPr>
        <w:t>3</w:t>
      </w:r>
      <w:r w:rsidRPr="00E2240E">
        <w:rPr>
          <w:lang w:val="en-GB"/>
        </w:rPr>
        <w:fldChar w:fldCharType="end"/>
      </w:r>
      <w:r w:rsidRPr="00E2240E">
        <w:rPr>
          <w:lang w:val="en-GB"/>
        </w:rPr>
        <w:t>.  The applicants complained regarding the overall length of administrative proceedings which had been delayed by repeated remittals of the case, and the lack of an effective remedy in that regard.</w:t>
      </w:r>
    </w:p>
    <w:p w:rsidRPr="00E2240E" w:rsidR="007156A2" w:rsidP="00E2240E" w:rsidRDefault="007156A2">
      <w:pPr>
        <w:pStyle w:val="ECHRPara"/>
        <w:rPr>
          <w:lang w:val="en-GB"/>
        </w:rPr>
      </w:pPr>
      <w:r w:rsidRPr="00E2240E">
        <w:rPr>
          <w:lang w:val="en-GB"/>
        </w:rPr>
        <w:fldChar w:fldCharType="begin"/>
      </w:r>
      <w:r w:rsidRPr="00E2240E">
        <w:rPr>
          <w:lang w:val="en-GB"/>
        </w:rPr>
        <w:instrText xml:space="preserve"> SEQ level0 \*arabic </w:instrText>
      </w:r>
      <w:r w:rsidRPr="00E2240E">
        <w:rPr>
          <w:lang w:val="en-GB"/>
        </w:rPr>
        <w:fldChar w:fldCharType="separate"/>
      </w:r>
      <w:r w:rsidRPr="00E2240E" w:rsidR="00E2240E">
        <w:rPr>
          <w:noProof/>
          <w:lang w:val="en-GB"/>
        </w:rPr>
        <w:t>4</w:t>
      </w:r>
      <w:r w:rsidRPr="00E2240E">
        <w:rPr>
          <w:lang w:val="en-GB"/>
        </w:rPr>
        <w:fldChar w:fldCharType="end"/>
      </w:r>
      <w:r w:rsidRPr="00E2240E">
        <w:rPr>
          <w:lang w:val="en-GB"/>
        </w:rPr>
        <w:t>.  </w:t>
      </w:r>
      <w:r w:rsidRPr="00E2240E">
        <w:t>Notified under Article 36 § 1 of the Convention and Rule 44 § 1 (a) of the Rules of Court of their right to intervene in the present case, the Serbian Government expressed no wish to do so.</w:t>
      </w:r>
    </w:p>
    <w:p w:rsidRPr="00E2240E" w:rsidR="007156A2" w:rsidP="00E2240E" w:rsidRDefault="007156A2">
      <w:pPr>
        <w:pStyle w:val="ECHRTitle1"/>
        <w:rPr>
          <w:lang w:val="en-GB"/>
        </w:rPr>
      </w:pPr>
      <w:r w:rsidRPr="00E2240E">
        <w:rPr>
          <w:lang w:val="en-GB"/>
        </w:rPr>
        <w:t>THE FACTS</w:t>
      </w:r>
    </w:p>
    <w:p w:rsidRPr="00E2240E" w:rsidR="007156A2" w:rsidP="00E2240E" w:rsidRDefault="007156A2">
      <w:pPr>
        <w:pStyle w:val="ECHRHeading1"/>
        <w:rPr>
          <w:lang w:val="en-GB"/>
        </w:rPr>
      </w:pPr>
      <w:r w:rsidRPr="00E2240E">
        <w:rPr>
          <w:lang w:val="en-GB"/>
        </w:rPr>
        <w:t>I.  THE CIRCUMSTANCES OF THE CASE</w:t>
      </w:r>
    </w:p>
    <w:p w:rsidRPr="00E2240E" w:rsidR="007156A2" w:rsidP="00E2240E" w:rsidRDefault="007156A2">
      <w:pPr>
        <w:pStyle w:val="ECHRPara"/>
        <w:rPr>
          <w:lang w:val="en-GB"/>
        </w:rPr>
      </w:pPr>
      <w:r w:rsidRPr="00E2240E">
        <w:rPr>
          <w:lang w:val="en-GB"/>
        </w:rPr>
        <w:fldChar w:fldCharType="begin"/>
      </w:r>
      <w:r w:rsidRPr="00E2240E">
        <w:rPr>
          <w:lang w:val="en-GB"/>
        </w:rPr>
        <w:instrText xml:space="preserve"> SEQ level0 \*arabic </w:instrText>
      </w:r>
      <w:r w:rsidRPr="00E2240E">
        <w:rPr>
          <w:lang w:val="en-GB"/>
        </w:rPr>
        <w:fldChar w:fldCharType="separate"/>
      </w:r>
      <w:r w:rsidRPr="00E2240E" w:rsidR="00E2240E">
        <w:rPr>
          <w:noProof/>
          <w:lang w:val="en-GB"/>
        </w:rPr>
        <w:t>5</w:t>
      </w:r>
      <w:r w:rsidRPr="00E2240E">
        <w:rPr>
          <w:lang w:val="en-GB"/>
        </w:rPr>
        <w:fldChar w:fldCharType="end"/>
      </w:r>
      <w:r w:rsidRPr="00E2240E">
        <w:rPr>
          <w:lang w:val="en-GB"/>
        </w:rPr>
        <w:t>.  Details of the applicants are set out in the appendix.</w:t>
      </w:r>
    </w:p>
    <w:p w:rsidRPr="00E2240E" w:rsidR="007156A2" w:rsidP="00E2240E" w:rsidRDefault="007156A2">
      <w:pPr>
        <w:pStyle w:val="ECHRPara"/>
        <w:rPr>
          <w:lang w:val="en-GB"/>
        </w:rPr>
      </w:pPr>
      <w:r w:rsidRPr="00E2240E">
        <w:rPr>
          <w:lang w:val="en-GB"/>
        </w:rPr>
        <w:fldChar w:fldCharType="begin"/>
      </w:r>
      <w:r w:rsidRPr="00E2240E">
        <w:rPr>
          <w:lang w:val="en-GB"/>
        </w:rPr>
        <w:instrText xml:space="preserve"> SEQ level0 \*arabic </w:instrText>
      </w:r>
      <w:r w:rsidRPr="00E2240E">
        <w:rPr>
          <w:lang w:val="en-GB"/>
        </w:rPr>
        <w:fldChar w:fldCharType="separate"/>
      </w:r>
      <w:r w:rsidRPr="00E2240E" w:rsidR="00E2240E">
        <w:rPr>
          <w:noProof/>
          <w:lang w:val="en-GB"/>
        </w:rPr>
        <w:t>6</w:t>
      </w:r>
      <w:r w:rsidRPr="00E2240E">
        <w:rPr>
          <w:lang w:val="en-GB"/>
        </w:rPr>
        <w:fldChar w:fldCharType="end"/>
      </w:r>
      <w:r w:rsidRPr="00E2240E">
        <w:rPr>
          <w:lang w:val="en-GB"/>
        </w:rPr>
        <w:t>.  The facts of the case, as submitted by the parties, may be summarised as follows.</w:t>
      </w:r>
    </w:p>
    <w:p w:rsidRPr="00E2240E" w:rsidR="007156A2" w:rsidP="00E2240E" w:rsidRDefault="007156A2">
      <w:pPr>
        <w:pStyle w:val="ECHRPara"/>
        <w:rPr>
          <w:lang w:val="en-GB"/>
        </w:rPr>
      </w:pPr>
      <w:r w:rsidRPr="00E2240E">
        <w:rPr>
          <w:lang w:val="en-GB"/>
        </w:rPr>
        <w:fldChar w:fldCharType="begin"/>
      </w:r>
      <w:r w:rsidRPr="00E2240E">
        <w:rPr>
          <w:lang w:val="en-GB"/>
        </w:rPr>
        <w:instrText xml:space="preserve"> SEQ level0 \*arabic </w:instrText>
      </w:r>
      <w:r w:rsidRPr="00E2240E">
        <w:rPr>
          <w:lang w:val="en-GB"/>
        </w:rPr>
        <w:fldChar w:fldCharType="separate"/>
      </w:r>
      <w:r w:rsidRPr="00E2240E" w:rsidR="00E2240E">
        <w:rPr>
          <w:noProof/>
          <w:lang w:val="en-GB"/>
        </w:rPr>
        <w:t>7</w:t>
      </w:r>
      <w:r w:rsidRPr="00E2240E">
        <w:rPr>
          <w:lang w:val="en-GB"/>
        </w:rPr>
        <w:fldChar w:fldCharType="end"/>
      </w:r>
      <w:r w:rsidRPr="00E2240E">
        <w:rPr>
          <w:lang w:val="en-GB"/>
        </w:rPr>
        <w:t>.  On 3 December 2004 the third and fourth applicants filed a request with the Restitution and Compensation Commission (hereinafter “the Commission”), seeking compensation for land expropriated from their legal predecessor in 1946.</w:t>
      </w:r>
    </w:p>
    <w:p w:rsidRPr="00E2240E" w:rsidR="007156A2" w:rsidP="00E2240E" w:rsidRDefault="007156A2">
      <w:pPr>
        <w:pStyle w:val="ECHRPara"/>
        <w:rPr>
          <w:lang w:val="en-GB"/>
        </w:rPr>
      </w:pPr>
      <w:r w:rsidRPr="00E2240E">
        <w:rPr>
          <w:lang w:val="en-GB"/>
        </w:rPr>
        <w:fldChar w:fldCharType="begin"/>
      </w:r>
      <w:r w:rsidRPr="00E2240E">
        <w:rPr>
          <w:lang w:val="en-GB"/>
        </w:rPr>
        <w:instrText xml:space="preserve"> SEQ level0 \*arabic </w:instrText>
      </w:r>
      <w:r w:rsidRPr="00E2240E">
        <w:rPr>
          <w:lang w:val="en-GB"/>
        </w:rPr>
        <w:fldChar w:fldCharType="separate"/>
      </w:r>
      <w:r w:rsidRPr="00E2240E" w:rsidR="00E2240E">
        <w:rPr>
          <w:noProof/>
          <w:lang w:val="en-GB"/>
        </w:rPr>
        <w:t>8</w:t>
      </w:r>
      <w:r w:rsidRPr="00E2240E">
        <w:rPr>
          <w:lang w:val="en-GB"/>
        </w:rPr>
        <w:fldChar w:fldCharType="end"/>
      </w:r>
      <w:r w:rsidRPr="00E2240E">
        <w:rPr>
          <w:lang w:val="en-GB"/>
        </w:rPr>
        <w:t>.  Between 17 July and 12 August 2005 the first and second applicants made statements waiving their rights in respect of the property belonging to the same legal predecessor in favour of the third and fourth applicants.</w:t>
      </w:r>
    </w:p>
    <w:p w:rsidRPr="00E2240E" w:rsidR="007156A2" w:rsidP="00E2240E" w:rsidRDefault="007156A2">
      <w:pPr>
        <w:pStyle w:val="ECHRPara"/>
        <w:rPr>
          <w:lang w:val="en-GB"/>
        </w:rPr>
      </w:pPr>
      <w:r w:rsidRPr="00E2240E">
        <w:rPr>
          <w:lang w:val="en-GB"/>
        </w:rPr>
        <w:fldChar w:fldCharType="begin"/>
      </w:r>
      <w:r w:rsidRPr="00E2240E">
        <w:rPr>
          <w:lang w:val="en-GB"/>
        </w:rPr>
        <w:instrText xml:space="preserve"> SEQ level0 \*arabic </w:instrText>
      </w:r>
      <w:r w:rsidRPr="00E2240E">
        <w:rPr>
          <w:lang w:val="en-GB"/>
        </w:rPr>
        <w:fldChar w:fldCharType="separate"/>
      </w:r>
      <w:r w:rsidRPr="00E2240E" w:rsidR="00E2240E">
        <w:rPr>
          <w:noProof/>
          <w:lang w:val="en-GB"/>
        </w:rPr>
        <w:t>9</w:t>
      </w:r>
      <w:r w:rsidRPr="00E2240E">
        <w:rPr>
          <w:lang w:val="en-GB"/>
        </w:rPr>
        <w:fldChar w:fldCharType="end"/>
      </w:r>
      <w:r w:rsidRPr="00E2240E">
        <w:rPr>
          <w:lang w:val="en-GB"/>
        </w:rPr>
        <w:t>.  On 28 August 2005 the Commission ruled in favour of the third and fourth applicants.</w:t>
      </w:r>
    </w:p>
    <w:p w:rsidRPr="00E2240E" w:rsidR="007156A2" w:rsidP="00E2240E" w:rsidRDefault="007156A2">
      <w:pPr>
        <w:pStyle w:val="ECHRPara"/>
        <w:rPr>
          <w:lang w:val="en-GB"/>
        </w:rPr>
      </w:pPr>
      <w:r w:rsidRPr="00E2240E">
        <w:rPr>
          <w:lang w:val="en-GB"/>
        </w:rPr>
        <w:fldChar w:fldCharType="begin"/>
      </w:r>
      <w:r w:rsidRPr="00E2240E">
        <w:rPr>
          <w:lang w:val="en-GB"/>
        </w:rPr>
        <w:instrText xml:space="preserve"> SEQ level0 \*arabic </w:instrText>
      </w:r>
      <w:r w:rsidRPr="00E2240E">
        <w:rPr>
          <w:lang w:val="en-GB"/>
        </w:rPr>
        <w:fldChar w:fldCharType="separate"/>
      </w:r>
      <w:r w:rsidRPr="00E2240E" w:rsidR="00E2240E">
        <w:rPr>
          <w:noProof/>
          <w:lang w:val="en-GB"/>
        </w:rPr>
        <w:t>10</w:t>
      </w:r>
      <w:r w:rsidRPr="00E2240E">
        <w:rPr>
          <w:lang w:val="en-GB"/>
        </w:rPr>
        <w:fldChar w:fldCharType="end"/>
      </w:r>
      <w:r w:rsidRPr="00E2240E">
        <w:rPr>
          <w:lang w:val="en-GB"/>
        </w:rPr>
        <w:t>.  On 14 October 2005 the Ministry of Finance quashed that decision upon an appeal filed on 19 September 2005 by the Supreme State Prosecutor (</w:t>
      </w:r>
      <w:proofErr w:type="spellStart"/>
      <w:r w:rsidRPr="00E2240E">
        <w:rPr>
          <w:i/>
          <w:lang w:val="en-GB"/>
        </w:rPr>
        <w:t>Vrhovni</w:t>
      </w:r>
      <w:proofErr w:type="spellEnd"/>
      <w:r w:rsidRPr="00E2240E">
        <w:rPr>
          <w:i/>
          <w:lang w:val="en-GB"/>
        </w:rPr>
        <w:t xml:space="preserve"> </w:t>
      </w:r>
      <w:proofErr w:type="spellStart"/>
      <w:r w:rsidRPr="00E2240E">
        <w:rPr>
          <w:i/>
          <w:lang w:val="en-GB"/>
        </w:rPr>
        <w:t>državni</w:t>
      </w:r>
      <w:proofErr w:type="spellEnd"/>
      <w:r w:rsidRPr="00E2240E">
        <w:rPr>
          <w:i/>
          <w:lang w:val="en-GB"/>
        </w:rPr>
        <w:t xml:space="preserve"> </w:t>
      </w:r>
      <w:proofErr w:type="spellStart"/>
      <w:r w:rsidRPr="00E2240E">
        <w:rPr>
          <w:i/>
          <w:lang w:val="en-GB"/>
        </w:rPr>
        <w:t>tužilac</w:t>
      </w:r>
      <w:proofErr w:type="spellEnd"/>
      <w:r w:rsidRPr="00E2240E">
        <w:rPr>
          <w:lang w:val="en-GB"/>
        </w:rPr>
        <w:t>) in his capacity as legal representative of the respondent State.</w:t>
      </w:r>
    </w:p>
    <w:p w:rsidRPr="00E2240E" w:rsidR="007156A2" w:rsidP="00E2240E" w:rsidRDefault="007156A2">
      <w:pPr>
        <w:pStyle w:val="ECHRPara"/>
        <w:rPr>
          <w:lang w:val="en-GB"/>
        </w:rPr>
      </w:pPr>
      <w:r w:rsidRPr="00E2240E">
        <w:rPr>
          <w:lang w:val="en-GB"/>
        </w:rPr>
        <w:fldChar w:fldCharType="begin"/>
      </w:r>
      <w:r w:rsidRPr="00E2240E">
        <w:rPr>
          <w:lang w:val="en-GB"/>
        </w:rPr>
        <w:instrText xml:space="preserve"> SEQ level0 \*arabic </w:instrText>
      </w:r>
      <w:r w:rsidRPr="00E2240E">
        <w:rPr>
          <w:lang w:val="en-GB"/>
        </w:rPr>
        <w:fldChar w:fldCharType="separate"/>
      </w:r>
      <w:r w:rsidRPr="00E2240E" w:rsidR="00E2240E">
        <w:rPr>
          <w:noProof/>
          <w:lang w:val="en-GB"/>
        </w:rPr>
        <w:t>11</w:t>
      </w:r>
      <w:r w:rsidRPr="00E2240E">
        <w:rPr>
          <w:lang w:val="en-GB"/>
        </w:rPr>
        <w:fldChar w:fldCharType="end"/>
      </w:r>
      <w:r w:rsidRPr="00E2240E">
        <w:rPr>
          <w:lang w:val="en-GB"/>
        </w:rPr>
        <w:t>.  On 17 April 2006 the Commission issued a new decision, awarding compensation to all the applicants as they were all heirs of the legal predecessor. In so doing, it also examined the waiver statements of the first and second applicants made in 2005, but consi</w:t>
      </w:r>
      <w:r w:rsidRPr="00E2240E" w:rsidR="008E1395">
        <w:rPr>
          <w:lang w:val="en-GB"/>
        </w:rPr>
        <w:t>dered that, pursuant to section </w:t>
      </w:r>
      <w:r w:rsidRPr="00E2240E">
        <w:rPr>
          <w:lang w:val="en-GB"/>
        </w:rPr>
        <w:t>40 of the Restitution of Expropriated Property Rights and Compensation Act, such waiver statements could only be validly made in non-contentious proceedings before a competent court (see paragraph 20 below).</w:t>
      </w:r>
    </w:p>
    <w:p w:rsidRPr="00E2240E" w:rsidR="007156A2" w:rsidP="00E2240E" w:rsidRDefault="007156A2">
      <w:pPr>
        <w:pStyle w:val="ECHRPara"/>
        <w:rPr>
          <w:lang w:val="en-GB"/>
        </w:rPr>
      </w:pPr>
      <w:r w:rsidRPr="00E2240E">
        <w:rPr>
          <w:lang w:val="en-GB"/>
        </w:rPr>
        <w:fldChar w:fldCharType="begin"/>
      </w:r>
      <w:r w:rsidRPr="00E2240E">
        <w:rPr>
          <w:lang w:val="en-GB"/>
        </w:rPr>
        <w:instrText xml:space="preserve"> SEQ level0 \*arabic </w:instrText>
      </w:r>
      <w:r w:rsidRPr="00E2240E">
        <w:rPr>
          <w:lang w:val="en-GB"/>
        </w:rPr>
        <w:fldChar w:fldCharType="separate"/>
      </w:r>
      <w:r w:rsidRPr="00E2240E" w:rsidR="00E2240E">
        <w:rPr>
          <w:noProof/>
          <w:lang w:val="en-GB"/>
        </w:rPr>
        <w:t>12</w:t>
      </w:r>
      <w:r w:rsidRPr="00E2240E">
        <w:rPr>
          <w:lang w:val="en-GB"/>
        </w:rPr>
        <w:fldChar w:fldCharType="end"/>
      </w:r>
      <w:r w:rsidRPr="00E2240E">
        <w:rPr>
          <w:lang w:val="en-GB"/>
        </w:rPr>
        <w:t xml:space="preserve">.  Between 12 June 2006 and 27 </w:t>
      </w:r>
      <w:r w:rsidRPr="00E2240E" w:rsidR="008E1395">
        <w:rPr>
          <w:lang w:val="en-GB"/>
        </w:rPr>
        <w:t>March 2014 the competent second</w:t>
      </w:r>
      <w:r w:rsidRPr="00E2240E" w:rsidR="008E1395">
        <w:rPr>
          <w:lang w:val="en-GB"/>
        </w:rPr>
        <w:noBreakHyphen/>
      </w:r>
      <w:r w:rsidRPr="00E2240E">
        <w:rPr>
          <w:lang w:val="en-GB"/>
        </w:rPr>
        <w:t>instance administrative body (firstly the Ministry of Finance and later the Appeals Commission) and the Administrative Court, before which the case was first brought on an unspecified date in 2006, issued sixteen decisions in total (eight decisions each). The second-instance body ruled upon a series of appeals and gave decisions within 55 days, 65 days, 30 days, 53 days, 14 days, 78 days, 94 days, and 132 days. The Administrative Court gave rulings within 1 year 8 months and 17 days, 7 months and 22 days, 7 months and 27 days, 3 months and 23 days, 5 months, 5 months and 19 days, 4 months and 16 days, and 4 months and 23 days.</w:t>
      </w:r>
    </w:p>
    <w:p w:rsidRPr="00E2240E" w:rsidR="007156A2" w:rsidP="00E2240E" w:rsidRDefault="007156A2">
      <w:pPr>
        <w:pStyle w:val="ECHRPara"/>
        <w:rPr>
          <w:lang w:val="en-GB"/>
        </w:rPr>
      </w:pPr>
      <w:r w:rsidRPr="00E2240E">
        <w:rPr>
          <w:lang w:val="en-GB"/>
        </w:rPr>
        <w:fldChar w:fldCharType="begin"/>
      </w:r>
      <w:r w:rsidRPr="00E2240E">
        <w:rPr>
          <w:lang w:val="en-GB"/>
        </w:rPr>
        <w:instrText xml:space="preserve"> SEQ level0 \*arabic </w:instrText>
      </w:r>
      <w:r w:rsidRPr="00E2240E">
        <w:rPr>
          <w:lang w:val="en-GB"/>
        </w:rPr>
        <w:fldChar w:fldCharType="separate"/>
      </w:r>
      <w:r w:rsidRPr="00E2240E" w:rsidR="00E2240E">
        <w:rPr>
          <w:noProof/>
          <w:lang w:val="en-GB"/>
        </w:rPr>
        <w:t>13</w:t>
      </w:r>
      <w:r w:rsidRPr="00E2240E">
        <w:rPr>
          <w:lang w:val="en-GB"/>
        </w:rPr>
        <w:fldChar w:fldCharType="end"/>
      </w:r>
      <w:r w:rsidRPr="00E2240E">
        <w:rPr>
          <w:lang w:val="en-GB"/>
        </w:rPr>
        <w:t>.  On at least four occasions, when initiating an administrative dispute before the Administrative Court, the applicants explicitly referred to section 37 and/or section 58 of the Administrative Disputes Act (see paragraph 26 below) and urged the Administrative Court to decide on the merits of their request. The Administrative Court never ruled on the merits of the initial compensation request, but instead quashed or upheld the quashing of the first-instance decision of the Commission. Its last decision was issued on 27 March 2014, in substance remitting the case once again to the Commission.</w:t>
      </w:r>
    </w:p>
    <w:p w:rsidRPr="00E2240E" w:rsidR="007156A2" w:rsidP="00E2240E" w:rsidRDefault="007156A2">
      <w:pPr>
        <w:pStyle w:val="ECHRPara"/>
        <w:rPr>
          <w:lang w:val="en-GB"/>
        </w:rPr>
      </w:pPr>
      <w:r w:rsidRPr="00E2240E">
        <w:rPr>
          <w:lang w:val="en-GB"/>
        </w:rPr>
        <w:fldChar w:fldCharType="begin"/>
      </w:r>
      <w:r w:rsidRPr="00E2240E">
        <w:rPr>
          <w:lang w:val="en-GB"/>
        </w:rPr>
        <w:instrText xml:space="preserve"> SEQ level0 \*arabic </w:instrText>
      </w:r>
      <w:r w:rsidRPr="00E2240E">
        <w:rPr>
          <w:lang w:val="en-GB"/>
        </w:rPr>
        <w:fldChar w:fldCharType="separate"/>
      </w:r>
      <w:r w:rsidRPr="00E2240E" w:rsidR="00E2240E">
        <w:rPr>
          <w:noProof/>
          <w:lang w:val="en-GB"/>
        </w:rPr>
        <w:t>14</w:t>
      </w:r>
      <w:r w:rsidRPr="00E2240E">
        <w:rPr>
          <w:lang w:val="en-GB"/>
        </w:rPr>
        <w:fldChar w:fldCharType="end"/>
      </w:r>
      <w:r w:rsidRPr="00E2240E">
        <w:rPr>
          <w:lang w:val="en-GB"/>
        </w:rPr>
        <w:t>.  On 27 June 2014 the Supreme Court upheld the Administrative Court</w:t>
      </w:r>
      <w:r w:rsidRPr="00E2240E" w:rsidR="00E2240E">
        <w:rPr>
          <w:lang w:val="en-GB"/>
        </w:rPr>
        <w:t>’</w:t>
      </w:r>
      <w:r w:rsidRPr="00E2240E">
        <w:rPr>
          <w:lang w:val="en-GB"/>
        </w:rPr>
        <w:t>s decision. The Supreme Court</w:t>
      </w:r>
      <w:r w:rsidRPr="00E2240E" w:rsidR="00E2240E">
        <w:rPr>
          <w:lang w:val="en-GB"/>
        </w:rPr>
        <w:t>’</w:t>
      </w:r>
      <w:r w:rsidRPr="00E2240E">
        <w:rPr>
          <w:lang w:val="en-GB"/>
        </w:rPr>
        <w:t>s decision was served on the applicants on 8 July 2014.</w:t>
      </w:r>
    </w:p>
    <w:p w:rsidRPr="00E2240E" w:rsidR="007156A2" w:rsidP="00E2240E" w:rsidRDefault="007156A2">
      <w:pPr>
        <w:pStyle w:val="ECHRPara"/>
        <w:rPr>
          <w:lang w:val="en-GB"/>
        </w:rPr>
      </w:pPr>
      <w:r w:rsidRPr="00E2240E">
        <w:rPr>
          <w:lang w:val="en-GB"/>
        </w:rPr>
        <w:fldChar w:fldCharType="begin"/>
      </w:r>
      <w:r w:rsidRPr="00E2240E">
        <w:rPr>
          <w:lang w:val="en-GB"/>
        </w:rPr>
        <w:instrText xml:space="preserve"> SEQ level0 \*arabic </w:instrText>
      </w:r>
      <w:r w:rsidRPr="00E2240E">
        <w:rPr>
          <w:lang w:val="en-GB"/>
        </w:rPr>
        <w:fldChar w:fldCharType="separate"/>
      </w:r>
      <w:r w:rsidRPr="00E2240E" w:rsidR="00E2240E">
        <w:rPr>
          <w:noProof/>
          <w:lang w:val="en-GB"/>
        </w:rPr>
        <w:t>15</w:t>
      </w:r>
      <w:r w:rsidRPr="00E2240E">
        <w:rPr>
          <w:lang w:val="en-GB"/>
        </w:rPr>
        <w:fldChar w:fldCharType="end"/>
      </w:r>
      <w:r w:rsidRPr="00E2240E">
        <w:rPr>
          <w:lang w:val="en-GB"/>
        </w:rPr>
        <w:t xml:space="preserve">.  On 25 July 2014 the applicants each lodged a constitutional appeal against the decision of the Supreme Court, relying on, </w:t>
      </w:r>
      <w:r w:rsidRPr="00E2240E">
        <w:rPr>
          <w:i/>
          <w:lang w:val="en-GB"/>
        </w:rPr>
        <w:t>inter alia</w:t>
      </w:r>
      <w:r w:rsidRPr="00E2240E">
        <w:rPr>
          <w:lang w:val="en-GB"/>
        </w:rPr>
        <w:t>, Articles 6 and 13 of the Convention. The Government submitted that, on the same day, in addition to those constitutional appeals against the Supreme Court</w:t>
      </w:r>
      <w:r w:rsidRPr="00E2240E" w:rsidR="00E2240E">
        <w:rPr>
          <w:lang w:val="en-GB"/>
        </w:rPr>
        <w:t>’</w:t>
      </w:r>
      <w:r w:rsidRPr="00E2240E">
        <w:rPr>
          <w:lang w:val="en-GB"/>
        </w:rPr>
        <w:t>s decision, the applicants had also each lodged a second constitutional appeal against the decision of the Administrative Court of 27 March 2014. No copies of those second constitutional appeals were provided by either party.</w:t>
      </w:r>
    </w:p>
    <w:p w:rsidRPr="00E2240E" w:rsidR="007156A2" w:rsidP="00E2240E" w:rsidRDefault="007156A2">
      <w:pPr>
        <w:pStyle w:val="ECHRPara"/>
        <w:rPr>
          <w:lang w:val="en-GB"/>
        </w:rPr>
      </w:pPr>
      <w:r w:rsidRPr="00E2240E">
        <w:rPr>
          <w:lang w:val="en-GB"/>
        </w:rPr>
        <w:fldChar w:fldCharType="begin"/>
      </w:r>
      <w:r w:rsidRPr="00E2240E">
        <w:rPr>
          <w:lang w:val="en-GB"/>
        </w:rPr>
        <w:instrText xml:space="preserve"> SEQ level0 \*arabic </w:instrText>
      </w:r>
      <w:r w:rsidRPr="00E2240E">
        <w:rPr>
          <w:lang w:val="en-GB"/>
        </w:rPr>
        <w:fldChar w:fldCharType="separate"/>
      </w:r>
      <w:r w:rsidRPr="00E2240E" w:rsidR="00E2240E">
        <w:rPr>
          <w:noProof/>
          <w:lang w:val="en-GB"/>
        </w:rPr>
        <w:t>16</w:t>
      </w:r>
      <w:r w:rsidRPr="00E2240E">
        <w:rPr>
          <w:lang w:val="en-GB"/>
        </w:rPr>
        <w:fldChar w:fldCharType="end"/>
      </w:r>
      <w:r w:rsidRPr="00E2240E">
        <w:rPr>
          <w:lang w:val="en-GB"/>
        </w:rPr>
        <w:t>.  On 28 October 2014 the Constitutional Court rejected the applicants</w:t>
      </w:r>
      <w:r w:rsidRPr="00E2240E" w:rsidR="00E2240E">
        <w:rPr>
          <w:lang w:val="en-GB"/>
        </w:rPr>
        <w:t>’</w:t>
      </w:r>
      <w:r w:rsidRPr="00E2240E">
        <w:rPr>
          <w:lang w:val="en-GB"/>
        </w:rPr>
        <w:t xml:space="preserve"> constitutional appeals against the Supreme Court</w:t>
      </w:r>
      <w:r w:rsidRPr="00E2240E" w:rsidR="00E2240E">
        <w:rPr>
          <w:lang w:val="en-GB"/>
        </w:rPr>
        <w:t>’</w:t>
      </w:r>
      <w:r w:rsidRPr="00E2240E">
        <w:rPr>
          <w:lang w:val="en-GB"/>
        </w:rPr>
        <w:t>s decision as premature, given that the Commission was still considering their compensation request.</w:t>
      </w:r>
    </w:p>
    <w:p w:rsidRPr="00E2240E" w:rsidR="007156A2" w:rsidP="00E2240E" w:rsidRDefault="007156A2">
      <w:pPr>
        <w:pStyle w:val="ECHRPara"/>
        <w:rPr>
          <w:lang w:val="en-GB"/>
        </w:rPr>
      </w:pPr>
      <w:r w:rsidRPr="00E2240E">
        <w:rPr>
          <w:lang w:val="en-GB"/>
        </w:rPr>
        <w:fldChar w:fldCharType="begin"/>
      </w:r>
      <w:r w:rsidRPr="00E2240E">
        <w:rPr>
          <w:lang w:val="en-GB"/>
        </w:rPr>
        <w:instrText xml:space="preserve"> SEQ level0 \*arabic </w:instrText>
      </w:r>
      <w:r w:rsidRPr="00E2240E">
        <w:rPr>
          <w:lang w:val="en-GB"/>
        </w:rPr>
        <w:fldChar w:fldCharType="separate"/>
      </w:r>
      <w:r w:rsidRPr="00E2240E" w:rsidR="00E2240E">
        <w:rPr>
          <w:noProof/>
          <w:lang w:val="en-GB"/>
        </w:rPr>
        <w:t>17</w:t>
      </w:r>
      <w:r w:rsidRPr="00E2240E">
        <w:rPr>
          <w:lang w:val="en-GB"/>
        </w:rPr>
        <w:fldChar w:fldCharType="end"/>
      </w:r>
      <w:r w:rsidRPr="00E2240E">
        <w:rPr>
          <w:lang w:val="en-GB"/>
        </w:rPr>
        <w:t>.  On 28 December 2015 the Constitutional Court issued another decision dismissing the applicants</w:t>
      </w:r>
      <w:r w:rsidRPr="00E2240E" w:rsidR="00E2240E">
        <w:rPr>
          <w:lang w:val="en-GB"/>
        </w:rPr>
        <w:t>’</w:t>
      </w:r>
      <w:r w:rsidRPr="00E2240E">
        <w:rPr>
          <w:lang w:val="en-GB"/>
        </w:rPr>
        <w:t xml:space="preserve"> constitutional appeals. The decision stated that the applicants</w:t>
      </w:r>
      <w:r w:rsidRPr="00E2240E" w:rsidR="00E2240E">
        <w:rPr>
          <w:lang w:val="en-GB"/>
        </w:rPr>
        <w:t>’</w:t>
      </w:r>
      <w:r w:rsidRPr="00E2240E">
        <w:rPr>
          <w:lang w:val="en-GB"/>
        </w:rPr>
        <w:t xml:space="preserve"> constitutional appeals had been filed against the judgments of the Administrative Court and the Supreme Court. In its ruling, the Constitutional Court constantly referred to the “impugned judgments”. There is no information in the case file as to when that decision was served on the applicants.</w:t>
      </w:r>
    </w:p>
    <w:p w:rsidRPr="00E2240E" w:rsidR="007156A2" w:rsidP="00E2240E" w:rsidRDefault="007156A2">
      <w:pPr>
        <w:pStyle w:val="ECHRPara"/>
        <w:rPr>
          <w:lang w:val="en-GB"/>
        </w:rPr>
      </w:pPr>
      <w:r w:rsidRPr="00E2240E">
        <w:rPr>
          <w:lang w:val="en-GB"/>
        </w:rPr>
        <w:fldChar w:fldCharType="begin"/>
      </w:r>
      <w:r w:rsidRPr="00E2240E">
        <w:rPr>
          <w:lang w:val="en-GB"/>
        </w:rPr>
        <w:instrText xml:space="preserve"> SEQ level0 \*arabic </w:instrText>
      </w:r>
      <w:r w:rsidRPr="00E2240E">
        <w:rPr>
          <w:lang w:val="en-GB"/>
        </w:rPr>
        <w:fldChar w:fldCharType="separate"/>
      </w:r>
      <w:r w:rsidRPr="00E2240E" w:rsidR="00E2240E">
        <w:rPr>
          <w:noProof/>
          <w:lang w:val="en-GB"/>
        </w:rPr>
        <w:t>18</w:t>
      </w:r>
      <w:r w:rsidRPr="00E2240E">
        <w:rPr>
          <w:lang w:val="en-GB"/>
        </w:rPr>
        <w:fldChar w:fldCharType="end"/>
      </w:r>
      <w:r w:rsidRPr="00E2240E">
        <w:rPr>
          <w:lang w:val="en-GB"/>
        </w:rPr>
        <w:t>.  On 31 March 2016, at a hearing before the Commission, the proceedings were adjourned at the applicants</w:t>
      </w:r>
      <w:r w:rsidRPr="00E2240E" w:rsidR="00E2240E">
        <w:rPr>
          <w:lang w:val="en-GB"/>
        </w:rPr>
        <w:t>’</w:t>
      </w:r>
      <w:r w:rsidRPr="00E2240E">
        <w:rPr>
          <w:lang w:val="en-GB"/>
        </w:rPr>
        <w:t xml:space="preserve"> request until this Court ruled on their applications.</w:t>
      </w:r>
    </w:p>
    <w:p w:rsidRPr="00E2240E" w:rsidR="007156A2" w:rsidP="00E2240E" w:rsidRDefault="007156A2">
      <w:pPr>
        <w:pStyle w:val="ECHRHeading1"/>
        <w:rPr>
          <w:lang w:val="en-GB"/>
        </w:rPr>
      </w:pPr>
      <w:r w:rsidRPr="00E2240E">
        <w:rPr>
          <w:lang w:val="en-GB"/>
        </w:rPr>
        <w:t>II.</w:t>
      </w:r>
      <w:proofErr w:type="gramStart"/>
      <w:r w:rsidRPr="00E2240E">
        <w:rPr>
          <w:lang w:val="en-GB"/>
        </w:rPr>
        <w:t>  RELEVANT</w:t>
      </w:r>
      <w:proofErr w:type="gramEnd"/>
      <w:r w:rsidRPr="00E2240E">
        <w:rPr>
          <w:lang w:val="en-GB"/>
        </w:rPr>
        <w:t xml:space="preserve"> DOMESTIC LAW</w:t>
      </w:r>
    </w:p>
    <w:p w:rsidRPr="00E2240E" w:rsidR="007156A2" w:rsidP="00E2240E" w:rsidRDefault="007156A2">
      <w:pPr>
        <w:pStyle w:val="ECHRHeading2"/>
      </w:pPr>
      <w:r w:rsidRPr="00E2240E">
        <w:t>A.</w:t>
      </w:r>
      <w:r w:rsidRPr="00E2240E" w:rsidR="00FB6150">
        <w:t>  </w:t>
      </w:r>
      <w:r w:rsidRPr="00E2240E">
        <w:t>The Restitution of Expropriated Property Rights and Compensation Act (</w:t>
      </w:r>
      <w:proofErr w:type="spellStart"/>
      <w:r w:rsidRPr="00E2240E">
        <w:rPr>
          <w:i/>
        </w:rPr>
        <w:t>Zakon</w:t>
      </w:r>
      <w:proofErr w:type="spellEnd"/>
      <w:r w:rsidRPr="00E2240E">
        <w:rPr>
          <w:i/>
        </w:rPr>
        <w:t xml:space="preserve"> o </w:t>
      </w:r>
      <w:proofErr w:type="spellStart"/>
      <w:r w:rsidRPr="00E2240E">
        <w:rPr>
          <w:i/>
        </w:rPr>
        <w:t>povraćaju</w:t>
      </w:r>
      <w:proofErr w:type="spellEnd"/>
      <w:r w:rsidRPr="00E2240E">
        <w:rPr>
          <w:i/>
        </w:rPr>
        <w:t xml:space="preserve"> </w:t>
      </w:r>
      <w:proofErr w:type="spellStart"/>
      <w:r w:rsidRPr="00E2240E">
        <w:rPr>
          <w:i/>
        </w:rPr>
        <w:t>oduzetih</w:t>
      </w:r>
      <w:proofErr w:type="spellEnd"/>
      <w:r w:rsidRPr="00E2240E">
        <w:rPr>
          <w:i/>
        </w:rPr>
        <w:t xml:space="preserve"> </w:t>
      </w:r>
      <w:proofErr w:type="spellStart"/>
      <w:r w:rsidRPr="00E2240E">
        <w:rPr>
          <w:i/>
        </w:rPr>
        <w:t>imovinskih</w:t>
      </w:r>
      <w:proofErr w:type="spellEnd"/>
      <w:r w:rsidRPr="00E2240E">
        <w:rPr>
          <w:i/>
        </w:rPr>
        <w:t xml:space="preserve"> </w:t>
      </w:r>
      <w:proofErr w:type="spellStart"/>
      <w:r w:rsidRPr="00E2240E">
        <w:rPr>
          <w:i/>
        </w:rPr>
        <w:t>prava</w:t>
      </w:r>
      <w:proofErr w:type="spellEnd"/>
      <w:r w:rsidRPr="00E2240E">
        <w:rPr>
          <w:i/>
        </w:rPr>
        <w:t xml:space="preserve"> </w:t>
      </w:r>
      <w:proofErr w:type="spellStart"/>
      <w:r w:rsidRPr="00E2240E">
        <w:rPr>
          <w:i/>
        </w:rPr>
        <w:t>i</w:t>
      </w:r>
      <w:proofErr w:type="spellEnd"/>
      <w:r w:rsidRPr="00E2240E">
        <w:rPr>
          <w:i/>
        </w:rPr>
        <w:t xml:space="preserve"> </w:t>
      </w:r>
      <w:proofErr w:type="spellStart"/>
      <w:r w:rsidRPr="00E2240E">
        <w:rPr>
          <w:i/>
        </w:rPr>
        <w:t>obeštećenju</w:t>
      </w:r>
      <w:proofErr w:type="spellEnd"/>
      <w:r w:rsidRPr="00E2240E">
        <w:t>, published in the Official Gazette of the Republic of Montenegro - OG RM - nos. 21</w:t>
      </w:r>
      <w:r w:rsidRPr="00E2240E" w:rsidR="00B3269C">
        <w:rPr>
          <w:rFonts w:cstheme="majorHAnsi"/>
        </w:rPr>
        <w:t>⁄</w:t>
      </w:r>
      <w:r w:rsidRPr="00E2240E">
        <w:t>04, 49</w:t>
      </w:r>
      <w:r w:rsidRPr="00E2240E" w:rsidR="00B3269C">
        <w:rPr>
          <w:rFonts w:cstheme="majorHAnsi"/>
        </w:rPr>
        <w:t>⁄</w:t>
      </w:r>
      <w:r w:rsidRPr="00E2240E" w:rsidR="00E85351">
        <w:t>07 and 60</w:t>
      </w:r>
      <w:r w:rsidRPr="00E2240E" w:rsidR="00E85351">
        <w:rPr>
          <w:rFonts w:cstheme="majorHAnsi"/>
        </w:rPr>
        <w:t>⁄</w:t>
      </w:r>
      <w:r w:rsidRPr="00E2240E">
        <w:t>07)</w:t>
      </w:r>
    </w:p>
    <w:p w:rsidRPr="00E2240E" w:rsidR="007156A2" w:rsidP="00E2240E" w:rsidRDefault="00E2240E">
      <w:pPr>
        <w:pStyle w:val="ECHRPara"/>
      </w:pPr>
      <w:fldSimple w:instr=" SEQ level0 \*arabic ">
        <w:r w:rsidRPr="00E2240E">
          <w:rPr>
            <w:noProof/>
          </w:rPr>
          <w:t>19</w:t>
        </w:r>
      </w:fldSimple>
      <w:r w:rsidRPr="00E2240E" w:rsidR="007156A2">
        <w:t xml:space="preserve">.  Section 4 provides, </w:t>
      </w:r>
      <w:r w:rsidRPr="00E2240E" w:rsidR="007156A2">
        <w:rPr>
          <w:i/>
        </w:rPr>
        <w:t>inter alia</w:t>
      </w:r>
      <w:r w:rsidRPr="00E2240E" w:rsidR="007156A2">
        <w:t>, that the General Administrative Proceedings Act shall be applied to restitution/compensation procedures.</w:t>
      </w:r>
    </w:p>
    <w:p w:rsidRPr="00E2240E" w:rsidR="007156A2" w:rsidP="00E2240E" w:rsidRDefault="00E2240E">
      <w:pPr>
        <w:pStyle w:val="ECHRPara"/>
      </w:pPr>
      <w:fldSimple w:instr=" SEQ level0 \*arabic ">
        <w:r w:rsidRPr="00E2240E">
          <w:rPr>
            <w:noProof/>
          </w:rPr>
          <w:t>20</w:t>
        </w:r>
      </w:fldSimple>
      <w:r w:rsidRPr="00E2240E" w:rsidR="007156A2">
        <w:t xml:space="preserve">.  Section 40 provides, </w:t>
      </w:r>
      <w:r w:rsidRPr="00E2240E" w:rsidR="007156A2">
        <w:rPr>
          <w:i/>
        </w:rPr>
        <w:t>inter alia</w:t>
      </w:r>
      <w:r w:rsidRPr="00E2240E" w:rsidR="007156A2">
        <w:t>, that inheritance issues in respect of a late owner</w:t>
      </w:r>
      <w:r w:rsidRPr="00E2240E">
        <w:t>’</w:t>
      </w:r>
      <w:r w:rsidRPr="00E2240E" w:rsidR="007156A2">
        <w:t>s property shall be examined by a competent court in accordance with the Non-Contentious Proceedings Act.</w:t>
      </w:r>
    </w:p>
    <w:p w:rsidRPr="00E2240E" w:rsidR="007156A2" w:rsidP="00E2240E" w:rsidRDefault="00E2240E">
      <w:pPr>
        <w:pStyle w:val="ECHRPara"/>
      </w:pPr>
      <w:fldSimple w:instr=" SEQ level0 \*arabic ">
        <w:r w:rsidRPr="00E2240E">
          <w:rPr>
            <w:noProof/>
          </w:rPr>
          <w:t>21</w:t>
        </w:r>
      </w:fldSimple>
      <w:r w:rsidRPr="00E2240E" w:rsidR="007156A2">
        <w:t>.  The Act entered into force on 8 April 2004.</w:t>
      </w:r>
    </w:p>
    <w:p w:rsidRPr="00E2240E" w:rsidR="007156A2" w:rsidP="00E2240E" w:rsidRDefault="007156A2">
      <w:pPr>
        <w:pStyle w:val="ECHRHeading2"/>
      </w:pPr>
      <w:r w:rsidRPr="00E2240E">
        <w:t>B.</w:t>
      </w:r>
      <w:r w:rsidRPr="00E2240E" w:rsidR="00FB6150">
        <w:t>  </w:t>
      </w:r>
      <w:r w:rsidRPr="00E2240E">
        <w:t>The General Administrative Proceedings Act (</w:t>
      </w:r>
      <w:proofErr w:type="spellStart"/>
      <w:r w:rsidRPr="00E2240E">
        <w:rPr>
          <w:i/>
        </w:rPr>
        <w:t>Zakon</w:t>
      </w:r>
      <w:proofErr w:type="spellEnd"/>
      <w:r w:rsidRPr="00E2240E">
        <w:rPr>
          <w:i/>
        </w:rPr>
        <w:t xml:space="preserve"> o </w:t>
      </w:r>
      <w:proofErr w:type="spellStart"/>
      <w:r w:rsidRPr="00E2240E">
        <w:rPr>
          <w:i/>
        </w:rPr>
        <w:t>opštem</w:t>
      </w:r>
      <w:proofErr w:type="spellEnd"/>
      <w:r w:rsidRPr="00E2240E">
        <w:rPr>
          <w:i/>
        </w:rPr>
        <w:t xml:space="preserve"> </w:t>
      </w:r>
      <w:proofErr w:type="spellStart"/>
      <w:r w:rsidRPr="00E2240E">
        <w:rPr>
          <w:i/>
        </w:rPr>
        <w:t>upravnom</w:t>
      </w:r>
      <w:proofErr w:type="spellEnd"/>
      <w:r w:rsidRPr="00E2240E">
        <w:rPr>
          <w:i/>
        </w:rPr>
        <w:t xml:space="preserve"> </w:t>
      </w:r>
      <w:proofErr w:type="spellStart"/>
      <w:r w:rsidRPr="00E2240E">
        <w:rPr>
          <w:i/>
        </w:rPr>
        <w:t>postupku</w:t>
      </w:r>
      <w:proofErr w:type="spellEnd"/>
      <w:r w:rsidRPr="00E2240E" w:rsidR="00E85351">
        <w:t>, published in the OG RM no. 60</w:t>
      </w:r>
      <w:r w:rsidRPr="00E2240E" w:rsidR="00E85351">
        <w:rPr>
          <w:rFonts w:cstheme="majorHAnsi"/>
        </w:rPr>
        <w:t>⁄</w:t>
      </w:r>
      <w:r w:rsidRPr="00E2240E">
        <w:t>03 and the Official Gazett</w:t>
      </w:r>
      <w:r w:rsidRPr="00E2240E" w:rsidR="00E85351">
        <w:t>e of Montenegro - OGM - nos. 73</w:t>
      </w:r>
      <w:r w:rsidRPr="00E2240E" w:rsidR="00E85351">
        <w:rPr>
          <w:rFonts w:cstheme="majorHAnsi"/>
        </w:rPr>
        <w:t>⁄</w:t>
      </w:r>
      <w:r w:rsidRPr="00E2240E" w:rsidR="00E85351">
        <w:t>10 and 32</w:t>
      </w:r>
      <w:r w:rsidRPr="00E2240E" w:rsidR="00E85351">
        <w:rPr>
          <w:rFonts w:cstheme="majorHAnsi"/>
        </w:rPr>
        <w:t>⁄</w:t>
      </w:r>
      <w:r w:rsidRPr="00E2240E">
        <w:t>11)</w:t>
      </w:r>
    </w:p>
    <w:p w:rsidRPr="00E2240E" w:rsidR="007156A2" w:rsidP="00E2240E" w:rsidRDefault="00E2240E">
      <w:pPr>
        <w:pStyle w:val="ECHRPara"/>
      </w:pPr>
      <w:fldSimple w:instr=" SEQ level0 \*arabic ">
        <w:r w:rsidRPr="00E2240E">
          <w:rPr>
            <w:noProof/>
          </w:rPr>
          <w:t>22</w:t>
        </w:r>
      </w:fldSimple>
      <w:r w:rsidRPr="00E2240E" w:rsidR="007156A2">
        <w:t>.  Section 212(1) provided that, in simple matters, an administrative body was obliged to issue a decision within one month of a party</w:t>
      </w:r>
      <w:r w:rsidRPr="00E2240E">
        <w:t>’</w:t>
      </w:r>
      <w:r w:rsidRPr="00E2240E" w:rsidR="007156A2">
        <w:t xml:space="preserve">s lodging a request, unless a </w:t>
      </w:r>
      <w:proofErr w:type="spellStart"/>
      <w:r w:rsidRPr="00E2240E" w:rsidR="007156A2">
        <w:rPr>
          <w:i/>
        </w:rPr>
        <w:t>lex</w:t>
      </w:r>
      <w:proofErr w:type="spellEnd"/>
      <w:r w:rsidRPr="00E2240E" w:rsidR="007156A2">
        <w:rPr>
          <w:i/>
        </w:rPr>
        <w:t xml:space="preserve"> </w:t>
      </w:r>
      <w:proofErr w:type="spellStart"/>
      <w:r w:rsidRPr="00E2240E" w:rsidR="007156A2">
        <w:rPr>
          <w:i/>
        </w:rPr>
        <w:t>specialis</w:t>
      </w:r>
      <w:proofErr w:type="spellEnd"/>
      <w:r w:rsidRPr="00E2240E" w:rsidR="007156A2">
        <w:t xml:space="preserve"> provided for a shorter time-limit (</w:t>
      </w:r>
      <w:proofErr w:type="spellStart"/>
      <w:r w:rsidRPr="00E2240E" w:rsidR="007156A2">
        <w:rPr>
          <w:i/>
        </w:rPr>
        <w:t>ako</w:t>
      </w:r>
      <w:proofErr w:type="spellEnd"/>
      <w:r w:rsidRPr="00E2240E" w:rsidR="007156A2">
        <w:rPr>
          <w:i/>
        </w:rPr>
        <w:t xml:space="preserve"> </w:t>
      </w:r>
      <w:proofErr w:type="spellStart"/>
      <w:r w:rsidRPr="00E2240E" w:rsidR="007156A2">
        <w:rPr>
          <w:i/>
        </w:rPr>
        <w:t>posebnim</w:t>
      </w:r>
      <w:proofErr w:type="spellEnd"/>
      <w:r w:rsidRPr="00E2240E" w:rsidR="007156A2">
        <w:rPr>
          <w:i/>
        </w:rPr>
        <w:t xml:space="preserve"> </w:t>
      </w:r>
      <w:proofErr w:type="spellStart"/>
      <w:r w:rsidRPr="00E2240E" w:rsidR="007156A2">
        <w:rPr>
          <w:i/>
        </w:rPr>
        <w:t>zakonom</w:t>
      </w:r>
      <w:proofErr w:type="spellEnd"/>
      <w:r w:rsidRPr="00E2240E" w:rsidR="007156A2">
        <w:rPr>
          <w:i/>
        </w:rPr>
        <w:t xml:space="preserve"> </w:t>
      </w:r>
      <w:proofErr w:type="spellStart"/>
      <w:r w:rsidRPr="00E2240E" w:rsidR="007156A2">
        <w:rPr>
          <w:i/>
        </w:rPr>
        <w:t>nije</w:t>
      </w:r>
      <w:proofErr w:type="spellEnd"/>
      <w:r w:rsidRPr="00E2240E" w:rsidR="007156A2">
        <w:rPr>
          <w:i/>
        </w:rPr>
        <w:t xml:space="preserve"> </w:t>
      </w:r>
      <w:proofErr w:type="spellStart"/>
      <w:r w:rsidRPr="00E2240E" w:rsidR="007156A2">
        <w:rPr>
          <w:i/>
        </w:rPr>
        <w:t>određen</w:t>
      </w:r>
      <w:proofErr w:type="spellEnd"/>
      <w:r w:rsidRPr="00E2240E" w:rsidR="007156A2">
        <w:rPr>
          <w:i/>
        </w:rPr>
        <w:t xml:space="preserve"> </w:t>
      </w:r>
      <w:proofErr w:type="spellStart"/>
      <w:r w:rsidRPr="00E2240E" w:rsidR="007156A2">
        <w:rPr>
          <w:i/>
        </w:rPr>
        <w:t>kraći</w:t>
      </w:r>
      <w:proofErr w:type="spellEnd"/>
      <w:r w:rsidRPr="00E2240E" w:rsidR="007156A2">
        <w:rPr>
          <w:i/>
        </w:rPr>
        <w:t xml:space="preserve"> </w:t>
      </w:r>
      <w:proofErr w:type="spellStart"/>
      <w:r w:rsidRPr="00E2240E" w:rsidR="007156A2">
        <w:rPr>
          <w:i/>
        </w:rPr>
        <w:t>rok</w:t>
      </w:r>
      <w:proofErr w:type="spellEnd"/>
      <w:r w:rsidRPr="00E2240E" w:rsidR="007156A2">
        <w:t>). In all other cases, the administrative body was obliged to issue a decision within two months of the request being lodged. Amendments whi</w:t>
      </w:r>
      <w:r w:rsidRPr="00E2240E" w:rsidR="0050194E">
        <w:t>ch entered into force on 9 July </w:t>
      </w:r>
      <w:r w:rsidRPr="00E2240E" w:rsidR="007156A2">
        <w:t>2011 reduced these time-limits; the administrative body was obliged to issue a decision within twenty days of a party</w:t>
      </w:r>
      <w:r w:rsidRPr="00E2240E">
        <w:t>’</w:t>
      </w:r>
      <w:r w:rsidRPr="00E2240E" w:rsidR="007156A2">
        <w:t>s lodging a request in relation to simple matters, and within one month in all other cases.</w:t>
      </w:r>
    </w:p>
    <w:p w:rsidRPr="00E2240E" w:rsidR="007156A2" w:rsidP="00E2240E" w:rsidRDefault="00E2240E">
      <w:pPr>
        <w:pStyle w:val="ECHRPara"/>
      </w:pPr>
      <w:fldSimple w:instr=" SEQ level0 \*arabic ">
        <w:r w:rsidRPr="00E2240E">
          <w:rPr>
            <w:noProof/>
          </w:rPr>
          <w:t>23</w:t>
        </w:r>
      </w:fldSimple>
      <w:r w:rsidRPr="00E2240E" w:rsidR="007156A2">
        <w:t>.  Section 212(2) enables a party whose request has not been decided within the periods established in the previous paragraph to lodge an appeal with the appellate body as if his request had been refused. If the appeal is not allowed, the appellant can directly initiate an administrative dispute before the court with jurisdiction.</w:t>
      </w:r>
    </w:p>
    <w:p w:rsidRPr="00E2240E" w:rsidR="007156A2" w:rsidP="00E2240E" w:rsidRDefault="00E2240E">
      <w:pPr>
        <w:pStyle w:val="ECHRPara"/>
      </w:pPr>
      <w:fldSimple w:instr=" SEQ level0 \*arabic ">
        <w:r w:rsidRPr="00E2240E">
          <w:rPr>
            <w:noProof/>
          </w:rPr>
          <w:t>24</w:t>
        </w:r>
      </w:fldSimple>
      <w:r w:rsidRPr="00E2240E" w:rsidR="007156A2">
        <w:t>.  The Act entered into force on 5 November 2003.</w:t>
      </w:r>
    </w:p>
    <w:p w:rsidRPr="00E2240E" w:rsidR="007156A2" w:rsidP="00E2240E" w:rsidRDefault="007156A2">
      <w:pPr>
        <w:pStyle w:val="ECHRHeading2"/>
      </w:pPr>
      <w:r w:rsidRPr="00E2240E">
        <w:t>C.</w:t>
      </w:r>
      <w:r w:rsidRPr="00E2240E" w:rsidR="00FB6150">
        <w:t>  </w:t>
      </w:r>
      <w:r w:rsidRPr="00E2240E">
        <w:t>The Administrative Disputes Act (</w:t>
      </w:r>
      <w:proofErr w:type="spellStart"/>
      <w:r w:rsidRPr="00E2240E">
        <w:rPr>
          <w:i/>
        </w:rPr>
        <w:t>Zakon</w:t>
      </w:r>
      <w:proofErr w:type="spellEnd"/>
      <w:r w:rsidRPr="00E2240E">
        <w:rPr>
          <w:i/>
        </w:rPr>
        <w:t xml:space="preserve"> o </w:t>
      </w:r>
      <w:proofErr w:type="spellStart"/>
      <w:r w:rsidRPr="00E2240E">
        <w:rPr>
          <w:i/>
        </w:rPr>
        <w:t>upravnom</w:t>
      </w:r>
      <w:proofErr w:type="spellEnd"/>
      <w:r w:rsidRPr="00E2240E">
        <w:rPr>
          <w:i/>
        </w:rPr>
        <w:t xml:space="preserve"> </w:t>
      </w:r>
      <w:proofErr w:type="spellStart"/>
      <w:r w:rsidRPr="00E2240E">
        <w:rPr>
          <w:i/>
        </w:rPr>
        <w:t>sporu</w:t>
      </w:r>
      <w:proofErr w:type="spellEnd"/>
      <w:r w:rsidRPr="00E2240E">
        <w:t xml:space="preserve">, published </w:t>
      </w:r>
      <w:r w:rsidRPr="00E2240E" w:rsidR="00E85351">
        <w:t>in the OG RM no. 60</w:t>
      </w:r>
      <w:r w:rsidRPr="00E2240E" w:rsidR="00E85351">
        <w:rPr>
          <w:rFonts w:cstheme="majorHAnsi"/>
        </w:rPr>
        <w:t>⁄</w:t>
      </w:r>
      <w:r w:rsidRPr="00E2240E" w:rsidR="00E85351">
        <w:t>03, and OGM nos. 73</w:t>
      </w:r>
      <w:r w:rsidRPr="00E2240E" w:rsidR="00E85351">
        <w:rPr>
          <w:rFonts w:cstheme="majorHAnsi"/>
        </w:rPr>
        <w:t>⁄</w:t>
      </w:r>
      <w:r w:rsidRPr="00E2240E" w:rsidR="00E85351">
        <w:t>10 and 32</w:t>
      </w:r>
      <w:r w:rsidRPr="00E2240E" w:rsidR="00E85351">
        <w:rPr>
          <w:rFonts w:cstheme="majorHAnsi"/>
        </w:rPr>
        <w:t>⁄</w:t>
      </w:r>
      <w:r w:rsidRPr="00E2240E">
        <w:t>11)</w:t>
      </w:r>
    </w:p>
    <w:p w:rsidRPr="00E2240E" w:rsidR="007156A2" w:rsidP="00E2240E" w:rsidRDefault="00E2240E">
      <w:pPr>
        <w:pStyle w:val="ECHRPara"/>
      </w:pPr>
      <w:fldSimple w:instr=" SEQ level0 \*arabic ">
        <w:r w:rsidRPr="00E2240E">
          <w:rPr>
            <w:noProof/>
          </w:rPr>
          <w:t>25</w:t>
        </w:r>
      </w:fldSimple>
      <w:r w:rsidRPr="00E2240E" w:rsidR="007156A2">
        <w:t>.  Section 18 provided that a party could institute an administrative dispute before the Administrative Court if the appellate body did not issue a decision within sixty days or within an additional period of seven days; or if the first-instance body did not issue a decision and there was no right to an appeal. Amendments which entered into force on 9 July 2011 reduced the sixty-day time-limit to thirty days.</w:t>
      </w:r>
    </w:p>
    <w:p w:rsidRPr="00E2240E" w:rsidR="007156A2" w:rsidP="00E2240E" w:rsidRDefault="007156A2">
      <w:pPr>
        <w:pStyle w:val="ECHRPara"/>
        <w:rPr>
          <w:lang w:val="en-GB"/>
        </w:rPr>
      </w:pPr>
      <w:r w:rsidRPr="00E2240E">
        <w:rPr>
          <w:lang w:val="en-GB"/>
        </w:rPr>
        <w:fldChar w:fldCharType="begin"/>
      </w:r>
      <w:r w:rsidRPr="00E2240E">
        <w:rPr>
          <w:lang w:val="en-GB"/>
        </w:rPr>
        <w:instrText xml:space="preserve"> SEQ level0 \*arabic </w:instrText>
      </w:r>
      <w:r w:rsidRPr="00E2240E">
        <w:rPr>
          <w:lang w:val="en-GB"/>
        </w:rPr>
        <w:fldChar w:fldCharType="separate"/>
      </w:r>
      <w:r w:rsidRPr="00E2240E" w:rsidR="00E2240E">
        <w:rPr>
          <w:noProof/>
          <w:lang w:val="en-GB"/>
        </w:rPr>
        <w:t>26</w:t>
      </w:r>
      <w:r w:rsidRPr="00E2240E">
        <w:rPr>
          <w:lang w:val="en-GB"/>
        </w:rPr>
        <w:fldChar w:fldCharType="end"/>
      </w:r>
      <w:r w:rsidRPr="00E2240E">
        <w:rPr>
          <w:lang w:val="en-GB"/>
        </w:rPr>
        <w:t>.  Sections 37 and 58 of the Administrative Disputes Act provide, in substance, that the Administrative Court can rule on the merits of an initial request when quashing a lower body</w:t>
      </w:r>
      <w:r w:rsidRPr="00E2240E" w:rsidR="00E2240E">
        <w:rPr>
          <w:lang w:val="en-GB"/>
        </w:rPr>
        <w:t>’</w:t>
      </w:r>
      <w:r w:rsidRPr="00E2240E">
        <w:rPr>
          <w:lang w:val="en-GB"/>
        </w:rPr>
        <w:t>s decision, and that, in principle, it shall rule on the merits when it has already quashed an impugned decision once and the competent administrative body, in re-examination, has failed to issue another decision in accordance with the Administrative Court</w:t>
      </w:r>
      <w:r w:rsidRPr="00E2240E" w:rsidR="00E2240E">
        <w:rPr>
          <w:lang w:val="en-GB"/>
        </w:rPr>
        <w:t>’</w:t>
      </w:r>
      <w:r w:rsidRPr="00E2240E">
        <w:rPr>
          <w:lang w:val="en-GB"/>
        </w:rPr>
        <w:t>s previous judgment.</w:t>
      </w:r>
    </w:p>
    <w:p w:rsidRPr="00E2240E" w:rsidR="007156A2" w:rsidP="00E2240E" w:rsidRDefault="00E2240E">
      <w:pPr>
        <w:pStyle w:val="ECHRPara"/>
      </w:pPr>
      <w:fldSimple w:instr=" SEQ level0 \*arabic ">
        <w:r w:rsidRPr="00E2240E">
          <w:rPr>
            <w:noProof/>
          </w:rPr>
          <w:t>27</w:t>
        </w:r>
      </w:fldSimple>
      <w:r w:rsidRPr="00E2240E" w:rsidR="007156A2">
        <w:t>.  The Act entered into force in January 2005.</w:t>
      </w:r>
    </w:p>
    <w:p w:rsidRPr="00E2240E" w:rsidR="007156A2" w:rsidP="00E2240E" w:rsidRDefault="007156A2">
      <w:pPr>
        <w:pStyle w:val="ECHRHeading2"/>
        <w:rPr>
          <w:lang w:val="en-GB"/>
        </w:rPr>
      </w:pPr>
      <w:r w:rsidRPr="00E2240E">
        <w:rPr>
          <w:lang w:val="en-GB"/>
        </w:rPr>
        <w:t>D.</w:t>
      </w:r>
      <w:r w:rsidRPr="00E2240E" w:rsidR="00FB6150">
        <w:rPr>
          <w:lang w:val="en-GB"/>
        </w:rPr>
        <w:t>  </w:t>
      </w:r>
      <w:r w:rsidRPr="00E2240E">
        <w:t>Right to a Trial within a Reasonable Time Act (</w:t>
      </w:r>
      <w:proofErr w:type="spellStart"/>
      <w:r w:rsidRPr="00E2240E">
        <w:rPr>
          <w:i/>
        </w:rPr>
        <w:t>Zakon</w:t>
      </w:r>
      <w:proofErr w:type="spellEnd"/>
      <w:r w:rsidRPr="00E2240E">
        <w:rPr>
          <w:i/>
        </w:rPr>
        <w:t xml:space="preserve"> o </w:t>
      </w:r>
      <w:proofErr w:type="spellStart"/>
      <w:r w:rsidRPr="00E2240E">
        <w:rPr>
          <w:i/>
        </w:rPr>
        <w:t>zaštiti</w:t>
      </w:r>
      <w:proofErr w:type="spellEnd"/>
      <w:r w:rsidRPr="00E2240E">
        <w:rPr>
          <w:i/>
        </w:rPr>
        <w:t xml:space="preserve"> </w:t>
      </w:r>
      <w:proofErr w:type="spellStart"/>
      <w:r w:rsidRPr="00E2240E">
        <w:rPr>
          <w:i/>
        </w:rPr>
        <w:t>prava</w:t>
      </w:r>
      <w:proofErr w:type="spellEnd"/>
      <w:r w:rsidRPr="00E2240E">
        <w:rPr>
          <w:i/>
        </w:rPr>
        <w:t xml:space="preserve"> </w:t>
      </w:r>
      <w:proofErr w:type="spellStart"/>
      <w:proofErr w:type="gramStart"/>
      <w:r w:rsidRPr="00E2240E">
        <w:rPr>
          <w:i/>
        </w:rPr>
        <w:t>na</w:t>
      </w:r>
      <w:proofErr w:type="spellEnd"/>
      <w:proofErr w:type="gramEnd"/>
      <w:r w:rsidRPr="00E2240E">
        <w:rPr>
          <w:i/>
        </w:rPr>
        <w:t xml:space="preserve"> </w:t>
      </w:r>
      <w:proofErr w:type="spellStart"/>
      <w:r w:rsidRPr="00E2240E">
        <w:rPr>
          <w:i/>
        </w:rPr>
        <w:t>suđenje</w:t>
      </w:r>
      <w:proofErr w:type="spellEnd"/>
      <w:r w:rsidRPr="00E2240E">
        <w:rPr>
          <w:i/>
        </w:rPr>
        <w:t xml:space="preserve"> u </w:t>
      </w:r>
      <w:proofErr w:type="spellStart"/>
      <w:r w:rsidRPr="00E2240E">
        <w:rPr>
          <w:i/>
        </w:rPr>
        <w:t>razumnom</w:t>
      </w:r>
      <w:proofErr w:type="spellEnd"/>
      <w:r w:rsidRPr="00E2240E">
        <w:rPr>
          <w:i/>
        </w:rPr>
        <w:t xml:space="preserve"> </w:t>
      </w:r>
      <w:proofErr w:type="spellStart"/>
      <w:r w:rsidRPr="00E2240E">
        <w:rPr>
          <w:i/>
        </w:rPr>
        <w:t>roku</w:t>
      </w:r>
      <w:proofErr w:type="spellEnd"/>
      <w:r w:rsidRPr="00E2240E">
        <w:t>,</w:t>
      </w:r>
      <w:r w:rsidRPr="00E2240E" w:rsidR="0050194E">
        <w:t xml:space="preserve"> published in the OGM no. </w:t>
      </w:r>
      <w:r w:rsidRPr="00E2240E" w:rsidR="00E85351">
        <w:t>11</w:t>
      </w:r>
      <w:r w:rsidRPr="00E2240E" w:rsidR="00E85351">
        <w:rPr>
          <w:rFonts w:cstheme="majorHAnsi"/>
        </w:rPr>
        <w:t>⁄</w:t>
      </w:r>
      <w:r w:rsidRPr="00E2240E">
        <w:t>07)</w:t>
      </w:r>
    </w:p>
    <w:p w:rsidRPr="00E2240E" w:rsidR="007156A2" w:rsidP="00E2240E" w:rsidRDefault="007156A2">
      <w:pPr>
        <w:pStyle w:val="ECHRPara"/>
        <w:rPr>
          <w:lang w:val="en-GB"/>
        </w:rPr>
      </w:pPr>
      <w:r w:rsidRPr="00E2240E">
        <w:rPr>
          <w:lang w:val="en-GB"/>
        </w:rPr>
        <w:fldChar w:fldCharType="begin"/>
      </w:r>
      <w:r w:rsidRPr="00E2240E">
        <w:rPr>
          <w:lang w:val="en-GB"/>
        </w:rPr>
        <w:instrText xml:space="preserve"> SEQ level0 \*arabic </w:instrText>
      </w:r>
      <w:r w:rsidRPr="00E2240E">
        <w:rPr>
          <w:lang w:val="en-GB"/>
        </w:rPr>
        <w:fldChar w:fldCharType="separate"/>
      </w:r>
      <w:r w:rsidRPr="00E2240E" w:rsidR="00E2240E">
        <w:rPr>
          <w:noProof/>
          <w:lang w:val="en-GB"/>
        </w:rPr>
        <w:t>28</w:t>
      </w:r>
      <w:r w:rsidRPr="00E2240E">
        <w:rPr>
          <w:lang w:val="en-GB"/>
        </w:rPr>
        <w:fldChar w:fldCharType="end"/>
      </w:r>
      <w:r w:rsidRPr="00E2240E">
        <w:rPr>
          <w:lang w:val="en-GB"/>
        </w:rPr>
        <w:t xml:space="preserve">.  Section 2 provides, </w:t>
      </w:r>
      <w:r w:rsidRPr="00E2240E">
        <w:rPr>
          <w:i/>
          <w:lang w:val="en-GB"/>
        </w:rPr>
        <w:t>inter alia</w:t>
      </w:r>
      <w:r w:rsidRPr="00E2240E">
        <w:rPr>
          <w:lang w:val="en-GB"/>
        </w:rPr>
        <w:t>, that parties and interested persons in an administrative dispute are entitled to the judicial protection afforded by this Act. Section 3 provides for a request for review (</w:t>
      </w:r>
      <w:proofErr w:type="spellStart"/>
      <w:r w:rsidRPr="00E2240E">
        <w:rPr>
          <w:i/>
        </w:rPr>
        <w:t>kontrolni</w:t>
      </w:r>
      <w:proofErr w:type="spellEnd"/>
      <w:r w:rsidRPr="00E2240E">
        <w:rPr>
          <w:i/>
        </w:rPr>
        <w:t xml:space="preserve"> </w:t>
      </w:r>
      <w:proofErr w:type="spellStart"/>
      <w:r w:rsidRPr="00E2240E">
        <w:rPr>
          <w:i/>
        </w:rPr>
        <w:t>zahtjev</w:t>
      </w:r>
      <w:proofErr w:type="spellEnd"/>
      <w:r w:rsidRPr="00E2240E">
        <w:t>)</w:t>
      </w:r>
      <w:r w:rsidRPr="00E2240E">
        <w:rPr>
          <w:lang w:val="en-GB"/>
        </w:rPr>
        <w:t>, a remedy aimed at expediting proceedings.</w:t>
      </w:r>
    </w:p>
    <w:p w:rsidRPr="00E2240E" w:rsidR="007156A2" w:rsidP="00E2240E" w:rsidRDefault="007156A2">
      <w:pPr>
        <w:pStyle w:val="ECHRHeading2"/>
      </w:pPr>
      <w:r w:rsidRPr="00E2240E">
        <w:t>E.</w:t>
      </w:r>
      <w:r w:rsidRPr="00E2240E" w:rsidR="00FB6150">
        <w:t>  </w:t>
      </w:r>
      <w:r w:rsidRPr="00E2240E">
        <w:t>The Inspection Act (</w:t>
      </w:r>
      <w:proofErr w:type="spellStart"/>
      <w:r w:rsidRPr="00E2240E">
        <w:rPr>
          <w:i/>
        </w:rPr>
        <w:t>Zakon</w:t>
      </w:r>
      <w:proofErr w:type="spellEnd"/>
      <w:r w:rsidRPr="00E2240E">
        <w:rPr>
          <w:i/>
        </w:rPr>
        <w:t xml:space="preserve"> o </w:t>
      </w:r>
      <w:proofErr w:type="spellStart"/>
      <w:r w:rsidRPr="00E2240E">
        <w:rPr>
          <w:i/>
        </w:rPr>
        <w:t>inspekcijskom</w:t>
      </w:r>
      <w:proofErr w:type="spellEnd"/>
      <w:r w:rsidRPr="00E2240E">
        <w:rPr>
          <w:i/>
        </w:rPr>
        <w:t xml:space="preserve"> </w:t>
      </w:r>
      <w:proofErr w:type="spellStart"/>
      <w:r w:rsidRPr="00E2240E">
        <w:rPr>
          <w:i/>
        </w:rPr>
        <w:t>nadzoru</w:t>
      </w:r>
      <w:proofErr w:type="spellEnd"/>
      <w:r w:rsidRPr="00E2240E">
        <w:t>, p</w:t>
      </w:r>
      <w:r w:rsidRPr="00E2240E" w:rsidR="00E85351">
        <w:t>ublished in OG RM nos. 39</w:t>
      </w:r>
      <w:r w:rsidRPr="00E2240E" w:rsidR="00E85351">
        <w:rPr>
          <w:rFonts w:cstheme="majorHAnsi"/>
        </w:rPr>
        <w:t>⁄</w:t>
      </w:r>
      <w:r w:rsidRPr="00E2240E" w:rsidR="00E85351">
        <w:t>03, 76</w:t>
      </w:r>
      <w:r w:rsidRPr="00E2240E" w:rsidR="00E85351">
        <w:rPr>
          <w:rFonts w:cstheme="majorHAnsi"/>
        </w:rPr>
        <w:t>⁄</w:t>
      </w:r>
      <w:r w:rsidRPr="00E2240E" w:rsidR="00E85351">
        <w:t>09, 57</w:t>
      </w:r>
      <w:r w:rsidRPr="00E2240E" w:rsidR="00E85351">
        <w:rPr>
          <w:rFonts w:cstheme="majorHAnsi"/>
        </w:rPr>
        <w:t>⁄</w:t>
      </w:r>
      <w:r w:rsidRPr="00E2240E" w:rsidR="00E85351">
        <w:t>11, 18</w:t>
      </w:r>
      <w:r w:rsidRPr="00E2240E" w:rsidR="00E85351">
        <w:rPr>
          <w:rFonts w:cstheme="majorHAnsi"/>
        </w:rPr>
        <w:t>⁄</w:t>
      </w:r>
      <w:r w:rsidRPr="00E2240E" w:rsidR="00E85351">
        <w:t>14, 11</w:t>
      </w:r>
      <w:r w:rsidRPr="00E2240E" w:rsidR="00E85351">
        <w:rPr>
          <w:rFonts w:cstheme="majorHAnsi"/>
        </w:rPr>
        <w:t>⁄</w:t>
      </w:r>
      <w:r w:rsidRPr="00E2240E" w:rsidR="00E85351">
        <w:t>15 and 52</w:t>
      </w:r>
      <w:r w:rsidRPr="00E2240E" w:rsidR="00E85351">
        <w:rPr>
          <w:rFonts w:cstheme="majorHAnsi"/>
        </w:rPr>
        <w:t>⁄</w:t>
      </w:r>
      <w:r w:rsidRPr="00E2240E">
        <w:t>16)</w:t>
      </w:r>
    </w:p>
    <w:p w:rsidRPr="00E2240E" w:rsidR="007156A2" w:rsidP="00E2240E" w:rsidRDefault="00E2240E">
      <w:pPr>
        <w:pStyle w:val="ECHRPara"/>
      </w:pPr>
      <w:fldSimple w:instr=" SEQ level0 \*arabic ">
        <w:r w:rsidRPr="00E2240E">
          <w:rPr>
            <w:noProof/>
          </w:rPr>
          <w:t>29</w:t>
        </w:r>
      </w:fldSimple>
      <w:r w:rsidRPr="00E2240E" w:rsidR="007156A2">
        <w:t>.  Section 10 provides that anybody can request inspection.</w:t>
      </w:r>
    </w:p>
    <w:p w:rsidRPr="00E2240E" w:rsidR="007156A2" w:rsidP="00E2240E" w:rsidRDefault="00E2240E">
      <w:pPr>
        <w:pStyle w:val="ECHRPara"/>
      </w:pPr>
      <w:fldSimple w:instr=" SEQ level0 \*arabic ">
        <w:r w:rsidRPr="00E2240E">
          <w:rPr>
            <w:noProof/>
          </w:rPr>
          <w:t>30</w:t>
        </w:r>
      </w:fldSimple>
      <w:r w:rsidRPr="00E2240E" w:rsidR="007156A2">
        <w:t xml:space="preserve">.  Sections 13-19 specify the rights and duties of inspectors, which, </w:t>
      </w:r>
      <w:r w:rsidRPr="00E2240E" w:rsidR="007156A2">
        <w:rPr>
          <w:i/>
        </w:rPr>
        <w:t>inter alia</w:t>
      </w:r>
      <w:r w:rsidRPr="00E2240E" w:rsidR="007156A2">
        <w:t>, include their right to identify irregularities and order that adequate measures be implemented and adequate fines imposed.</w:t>
      </w:r>
    </w:p>
    <w:p w:rsidRPr="00E2240E" w:rsidR="007156A2" w:rsidP="00E2240E" w:rsidRDefault="007156A2">
      <w:pPr>
        <w:pStyle w:val="ECHRTitle1"/>
        <w:rPr>
          <w:lang w:val="en-GB"/>
        </w:rPr>
      </w:pPr>
      <w:r w:rsidRPr="00E2240E">
        <w:rPr>
          <w:lang w:val="en-GB"/>
        </w:rPr>
        <w:t>THE LAW</w:t>
      </w:r>
    </w:p>
    <w:p w:rsidRPr="00E2240E" w:rsidR="007156A2" w:rsidP="00E2240E" w:rsidRDefault="007156A2">
      <w:pPr>
        <w:pStyle w:val="ECHRHeading1"/>
        <w:rPr>
          <w:lang w:val="en-GB"/>
        </w:rPr>
      </w:pPr>
      <w:r w:rsidRPr="00E2240E">
        <w:rPr>
          <w:lang w:val="en-GB"/>
        </w:rPr>
        <w:t>I.  JOINDER OF THE APPLICATIONS</w:t>
      </w:r>
    </w:p>
    <w:p w:rsidRPr="00E2240E" w:rsidR="007156A2" w:rsidP="00E2240E" w:rsidRDefault="007156A2">
      <w:pPr>
        <w:pStyle w:val="ECHRPara"/>
        <w:rPr>
          <w:lang w:val="en-GB"/>
        </w:rPr>
      </w:pPr>
      <w:r w:rsidRPr="00E2240E">
        <w:rPr>
          <w:lang w:val="en-GB"/>
        </w:rPr>
        <w:fldChar w:fldCharType="begin"/>
      </w:r>
      <w:r w:rsidRPr="00E2240E">
        <w:rPr>
          <w:lang w:val="en-GB"/>
        </w:rPr>
        <w:instrText xml:space="preserve"> SEQ level0 \*arabic </w:instrText>
      </w:r>
      <w:r w:rsidRPr="00E2240E">
        <w:rPr>
          <w:lang w:val="en-GB"/>
        </w:rPr>
        <w:fldChar w:fldCharType="separate"/>
      </w:r>
      <w:r w:rsidRPr="00E2240E" w:rsidR="00E2240E">
        <w:rPr>
          <w:noProof/>
          <w:lang w:val="en-GB"/>
        </w:rPr>
        <w:t>31</w:t>
      </w:r>
      <w:r w:rsidRPr="00E2240E">
        <w:rPr>
          <w:lang w:val="en-GB"/>
        </w:rPr>
        <w:fldChar w:fldCharType="end"/>
      </w:r>
      <w:r w:rsidRPr="00E2240E">
        <w:rPr>
          <w:lang w:val="en-GB"/>
        </w:rPr>
        <w:t>.  </w:t>
      </w:r>
      <w:r w:rsidRPr="00E2240E">
        <w:t>The Court considers that, in accordance with Rule 42 § 1 of the Rules of Court, the applications should be joined, given their similar factual and legal background.</w:t>
      </w:r>
    </w:p>
    <w:p w:rsidRPr="00E2240E" w:rsidR="007156A2" w:rsidP="00E2240E" w:rsidRDefault="007156A2">
      <w:pPr>
        <w:pStyle w:val="ECHRHeading1"/>
        <w:rPr>
          <w:lang w:val="en-GB"/>
        </w:rPr>
      </w:pPr>
      <w:r w:rsidRPr="00E2240E">
        <w:rPr>
          <w:lang w:val="en-GB"/>
        </w:rPr>
        <w:t>II.</w:t>
      </w:r>
      <w:proofErr w:type="gramStart"/>
      <w:r w:rsidRPr="00E2240E">
        <w:rPr>
          <w:lang w:val="en-GB"/>
        </w:rPr>
        <w:t>  ALLEGED</w:t>
      </w:r>
      <w:proofErr w:type="gramEnd"/>
      <w:r w:rsidRPr="00E2240E">
        <w:rPr>
          <w:lang w:val="en-GB"/>
        </w:rPr>
        <w:t xml:space="preserve"> VIOLATION OF ARTICLE 6 § 1 OF THE CONVENTION</w:t>
      </w:r>
    </w:p>
    <w:p w:rsidRPr="00E2240E" w:rsidR="007156A2" w:rsidP="00E2240E" w:rsidRDefault="007156A2">
      <w:pPr>
        <w:pStyle w:val="ECHRPara"/>
      </w:pPr>
      <w:r w:rsidRPr="00E2240E">
        <w:rPr>
          <w:lang w:val="en-GB"/>
        </w:rPr>
        <w:fldChar w:fldCharType="begin"/>
      </w:r>
      <w:r w:rsidRPr="00E2240E">
        <w:rPr>
          <w:lang w:val="en-GB"/>
        </w:rPr>
        <w:instrText xml:space="preserve"> SEQ level0 \*arabic </w:instrText>
      </w:r>
      <w:r w:rsidRPr="00E2240E">
        <w:rPr>
          <w:lang w:val="en-GB"/>
        </w:rPr>
        <w:fldChar w:fldCharType="separate"/>
      </w:r>
      <w:r w:rsidRPr="00E2240E" w:rsidR="00E2240E">
        <w:rPr>
          <w:noProof/>
          <w:lang w:val="en-GB"/>
        </w:rPr>
        <w:t>32</w:t>
      </w:r>
      <w:r w:rsidRPr="00E2240E">
        <w:rPr>
          <w:lang w:val="en-GB"/>
        </w:rPr>
        <w:fldChar w:fldCharType="end"/>
      </w:r>
      <w:r w:rsidRPr="00E2240E">
        <w:rPr>
          <w:lang w:val="en-GB"/>
        </w:rPr>
        <w:t>.  </w:t>
      </w:r>
      <w:r w:rsidRPr="00E2240E">
        <w:t>The applicants complained regarding the overall length of the administrative proceedings owing to the case being repeatedly remitted. They relied on Article 6 § 1 of the Convention, which reads:</w:t>
      </w:r>
    </w:p>
    <w:p w:rsidRPr="00E2240E" w:rsidR="007156A2" w:rsidP="00E2240E" w:rsidRDefault="007156A2">
      <w:pPr>
        <w:pStyle w:val="ECHRParaQuote"/>
        <w:rPr>
          <w:lang w:val="en-GB"/>
        </w:rPr>
      </w:pPr>
      <w:r w:rsidRPr="00E2240E">
        <w:t>“In the determination of his civil rights and obligations ... everyone is entitled to a ... hearing within a reasonable time by [a] ... tribunal ...”</w:t>
      </w:r>
    </w:p>
    <w:p w:rsidRPr="00E2240E" w:rsidR="007156A2" w:rsidP="00E2240E" w:rsidRDefault="007156A2">
      <w:pPr>
        <w:pStyle w:val="ECHRPara"/>
        <w:rPr>
          <w:lang w:val="en-GB"/>
        </w:rPr>
      </w:pPr>
      <w:r w:rsidRPr="00E2240E">
        <w:rPr>
          <w:lang w:val="en-GB"/>
        </w:rPr>
        <w:fldChar w:fldCharType="begin"/>
      </w:r>
      <w:r w:rsidRPr="00E2240E">
        <w:rPr>
          <w:lang w:val="en-GB"/>
        </w:rPr>
        <w:instrText xml:space="preserve"> SEQ level0 \*arabic </w:instrText>
      </w:r>
      <w:r w:rsidRPr="00E2240E">
        <w:rPr>
          <w:lang w:val="en-GB"/>
        </w:rPr>
        <w:fldChar w:fldCharType="separate"/>
      </w:r>
      <w:r w:rsidRPr="00E2240E" w:rsidR="00E2240E">
        <w:rPr>
          <w:noProof/>
          <w:lang w:val="en-GB"/>
        </w:rPr>
        <w:t>33</w:t>
      </w:r>
      <w:r w:rsidRPr="00E2240E">
        <w:rPr>
          <w:lang w:val="en-GB"/>
        </w:rPr>
        <w:fldChar w:fldCharType="end"/>
      </w:r>
      <w:r w:rsidRPr="00E2240E">
        <w:rPr>
          <w:lang w:val="en-GB"/>
        </w:rPr>
        <w:t>.  The Government contested that argument.</w:t>
      </w:r>
    </w:p>
    <w:p w:rsidRPr="00E2240E" w:rsidR="007156A2" w:rsidP="00E2240E" w:rsidRDefault="007156A2">
      <w:pPr>
        <w:pStyle w:val="ECHRHeading2"/>
        <w:rPr>
          <w:lang w:val="en-GB"/>
        </w:rPr>
      </w:pPr>
      <w:r w:rsidRPr="00E2240E">
        <w:rPr>
          <w:lang w:val="en-GB"/>
        </w:rPr>
        <w:t>A.  Admissibility</w:t>
      </w:r>
    </w:p>
    <w:p w:rsidRPr="00E2240E" w:rsidR="007156A2" w:rsidP="00E2240E" w:rsidRDefault="007156A2">
      <w:pPr>
        <w:pStyle w:val="ECHRHeading3"/>
        <w:rPr>
          <w:lang w:val="en-GB"/>
        </w:rPr>
      </w:pPr>
      <w:r w:rsidRPr="00E2240E">
        <w:rPr>
          <w:lang w:val="en-GB"/>
        </w:rPr>
        <w:t>1.</w:t>
      </w:r>
      <w:r w:rsidRPr="00E2240E" w:rsidR="00FB6150">
        <w:rPr>
          <w:lang w:val="en-GB"/>
        </w:rPr>
        <w:t>  </w:t>
      </w:r>
      <w:r w:rsidRPr="00E2240E">
        <w:rPr>
          <w:lang w:val="en-GB"/>
        </w:rPr>
        <w:t>The parties</w:t>
      </w:r>
      <w:r w:rsidRPr="00E2240E" w:rsidR="00E2240E">
        <w:rPr>
          <w:lang w:val="en-GB"/>
        </w:rPr>
        <w:t>’</w:t>
      </w:r>
      <w:r w:rsidRPr="00E2240E">
        <w:rPr>
          <w:lang w:val="en-GB"/>
        </w:rPr>
        <w:t xml:space="preserve"> submissions</w:t>
      </w:r>
    </w:p>
    <w:p w:rsidRPr="00E2240E" w:rsidR="00A31AAF" w:rsidP="00E2240E" w:rsidRDefault="007156A2">
      <w:pPr>
        <w:pStyle w:val="ECHRPara"/>
        <w:rPr>
          <w:lang w:val="en-GB"/>
        </w:rPr>
      </w:pPr>
      <w:r w:rsidRPr="00E2240E">
        <w:rPr>
          <w:lang w:val="en-GB"/>
        </w:rPr>
        <w:fldChar w:fldCharType="begin"/>
      </w:r>
      <w:r w:rsidRPr="00E2240E">
        <w:rPr>
          <w:lang w:val="en-GB"/>
        </w:rPr>
        <w:instrText xml:space="preserve"> SEQ level0 \*arabic </w:instrText>
      </w:r>
      <w:r w:rsidRPr="00E2240E">
        <w:rPr>
          <w:lang w:val="en-GB"/>
        </w:rPr>
        <w:fldChar w:fldCharType="separate"/>
      </w:r>
      <w:r w:rsidRPr="00E2240E" w:rsidR="00E2240E">
        <w:rPr>
          <w:noProof/>
          <w:lang w:val="en-GB"/>
        </w:rPr>
        <w:t>34</w:t>
      </w:r>
      <w:r w:rsidRPr="00E2240E">
        <w:rPr>
          <w:lang w:val="en-GB"/>
        </w:rPr>
        <w:fldChar w:fldCharType="end"/>
      </w:r>
      <w:r w:rsidRPr="00E2240E">
        <w:rPr>
          <w:lang w:val="en-GB"/>
        </w:rPr>
        <w:t>.  The Government submitted that the first and second applicants had no victim status, given that they had waived their property rights in 2005 (see paragraph 8 above).</w:t>
      </w:r>
    </w:p>
    <w:p w:rsidRPr="00E2240E" w:rsidR="007156A2" w:rsidP="00E2240E" w:rsidRDefault="007156A2">
      <w:pPr>
        <w:pStyle w:val="ECHRPara"/>
        <w:rPr>
          <w:lang w:val="en-GB"/>
        </w:rPr>
      </w:pPr>
      <w:r w:rsidRPr="00E2240E">
        <w:rPr>
          <w:lang w:val="en-GB"/>
        </w:rPr>
        <w:fldChar w:fldCharType="begin"/>
      </w:r>
      <w:r w:rsidRPr="00E2240E">
        <w:rPr>
          <w:lang w:val="en-GB"/>
        </w:rPr>
        <w:instrText xml:space="preserve"> SEQ level0 \*arabic </w:instrText>
      </w:r>
      <w:r w:rsidRPr="00E2240E">
        <w:rPr>
          <w:lang w:val="en-GB"/>
        </w:rPr>
        <w:fldChar w:fldCharType="separate"/>
      </w:r>
      <w:r w:rsidRPr="00E2240E" w:rsidR="00E2240E">
        <w:rPr>
          <w:noProof/>
          <w:lang w:val="en-GB"/>
        </w:rPr>
        <w:t>35</w:t>
      </w:r>
      <w:r w:rsidRPr="00E2240E">
        <w:rPr>
          <w:lang w:val="en-GB"/>
        </w:rPr>
        <w:fldChar w:fldCharType="end"/>
      </w:r>
      <w:r w:rsidRPr="00E2240E">
        <w:rPr>
          <w:lang w:val="en-GB"/>
        </w:rPr>
        <w:t>.  They further maintained that the applications had been submitted outside of the six-month time-limit. In particular, a constitutional appeal had not been an effective domestic remedy at the material time, and the last effective remedy had therefore been the Supreme Court</w:t>
      </w:r>
      <w:r w:rsidRPr="00E2240E" w:rsidR="00E2240E">
        <w:rPr>
          <w:lang w:val="en-GB"/>
        </w:rPr>
        <w:t>’</w:t>
      </w:r>
      <w:r w:rsidRPr="00E2240E">
        <w:rPr>
          <w:lang w:val="en-GB"/>
        </w:rPr>
        <w:t>s decision, which had been served on the applicants on 8 July 2014, whereas the applications had been lodged on 30 June 2015.</w:t>
      </w:r>
    </w:p>
    <w:p w:rsidRPr="00E2240E" w:rsidR="007156A2" w:rsidP="00E2240E" w:rsidRDefault="007156A2">
      <w:pPr>
        <w:pStyle w:val="ECHRPara"/>
        <w:rPr>
          <w:lang w:val="en-GB"/>
        </w:rPr>
      </w:pPr>
      <w:r w:rsidRPr="00E2240E">
        <w:rPr>
          <w:lang w:val="en-GB"/>
        </w:rPr>
        <w:fldChar w:fldCharType="begin"/>
      </w:r>
      <w:r w:rsidRPr="00E2240E">
        <w:rPr>
          <w:lang w:val="en-GB"/>
        </w:rPr>
        <w:instrText xml:space="preserve"> SEQ level0 \*arabic </w:instrText>
      </w:r>
      <w:r w:rsidRPr="00E2240E">
        <w:rPr>
          <w:lang w:val="en-GB"/>
        </w:rPr>
        <w:fldChar w:fldCharType="separate"/>
      </w:r>
      <w:r w:rsidRPr="00E2240E" w:rsidR="00E2240E">
        <w:rPr>
          <w:noProof/>
          <w:lang w:val="en-GB"/>
        </w:rPr>
        <w:t>36</w:t>
      </w:r>
      <w:r w:rsidRPr="00E2240E">
        <w:rPr>
          <w:lang w:val="en-GB"/>
        </w:rPr>
        <w:fldChar w:fldCharType="end"/>
      </w:r>
      <w:r w:rsidRPr="00E2240E">
        <w:rPr>
          <w:lang w:val="en-GB"/>
        </w:rPr>
        <w:t>.  The Government also maintained that the applicants had failed to exhaust all available domestic remedies, in particular requesting the inspection of the impugned proceedings and using the remedies provided for in cases concerning the “silence of administration”, that is when an administrative body fails to decide on an issue within the statutory time</w:t>
      </w:r>
      <w:r w:rsidRPr="00E2240E" w:rsidR="00CE713A">
        <w:rPr>
          <w:lang w:val="en-GB"/>
        </w:rPr>
        <w:noBreakHyphen/>
      </w:r>
      <w:r w:rsidRPr="00E2240E">
        <w:rPr>
          <w:lang w:val="en-GB"/>
        </w:rPr>
        <w:t>limits, both remedies which could have expedited the proceedings.</w:t>
      </w:r>
    </w:p>
    <w:p w:rsidRPr="00E2240E" w:rsidR="007156A2" w:rsidP="00E2240E" w:rsidRDefault="007156A2">
      <w:pPr>
        <w:pStyle w:val="ECHRPara"/>
        <w:rPr>
          <w:lang w:val="en-GB"/>
        </w:rPr>
      </w:pPr>
      <w:r w:rsidRPr="00E2240E">
        <w:rPr>
          <w:lang w:val="en-GB"/>
        </w:rPr>
        <w:fldChar w:fldCharType="begin"/>
      </w:r>
      <w:r w:rsidRPr="00E2240E">
        <w:rPr>
          <w:lang w:val="en-GB"/>
        </w:rPr>
        <w:instrText xml:space="preserve"> SEQ level0 \*arabic </w:instrText>
      </w:r>
      <w:r w:rsidRPr="00E2240E">
        <w:rPr>
          <w:lang w:val="en-GB"/>
        </w:rPr>
        <w:fldChar w:fldCharType="separate"/>
      </w:r>
      <w:r w:rsidRPr="00E2240E" w:rsidR="00E2240E">
        <w:rPr>
          <w:noProof/>
          <w:lang w:val="en-GB"/>
        </w:rPr>
        <w:t>37</w:t>
      </w:r>
      <w:r w:rsidRPr="00E2240E">
        <w:rPr>
          <w:lang w:val="en-GB"/>
        </w:rPr>
        <w:fldChar w:fldCharType="end"/>
      </w:r>
      <w:r w:rsidRPr="00E2240E">
        <w:rPr>
          <w:lang w:val="en-GB"/>
        </w:rPr>
        <w:t>.  Lastly, the Government contested the applicants</w:t>
      </w:r>
      <w:r w:rsidRPr="00E2240E" w:rsidR="00E2240E">
        <w:rPr>
          <w:lang w:val="en-GB"/>
        </w:rPr>
        <w:t>’</w:t>
      </w:r>
      <w:r w:rsidRPr="00E2240E">
        <w:rPr>
          <w:lang w:val="en-GB"/>
        </w:rPr>
        <w:t xml:space="preserve"> additional complaint that the Constitutional Court had ruled twice on the same set of constitutional appeals. They maintained that the applicants had each submitted two constitutional appeals (see paragraph 15 above), one set of appeals had been rejected and the other set had been dismissed. In view of that, the Government maintained that the applications to the Court had been premature, given that the second set of constitutional appeals by the applicants had still been under consideration at the time the applications had been submitted.</w:t>
      </w:r>
    </w:p>
    <w:p w:rsidRPr="00E2240E" w:rsidR="007156A2" w:rsidP="00E2240E" w:rsidRDefault="007156A2">
      <w:pPr>
        <w:pStyle w:val="ECHRPara"/>
        <w:rPr>
          <w:lang w:val="en-GB"/>
        </w:rPr>
      </w:pPr>
      <w:r w:rsidRPr="00E2240E">
        <w:rPr>
          <w:lang w:val="en-GB"/>
        </w:rPr>
        <w:fldChar w:fldCharType="begin"/>
      </w:r>
      <w:r w:rsidRPr="00E2240E">
        <w:rPr>
          <w:lang w:val="en-GB"/>
        </w:rPr>
        <w:instrText xml:space="preserve"> SEQ level0 \*arabic </w:instrText>
      </w:r>
      <w:r w:rsidRPr="00E2240E">
        <w:rPr>
          <w:lang w:val="en-GB"/>
        </w:rPr>
        <w:fldChar w:fldCharType="separate"/>
      </w:r>
      <w:r w:rsidRPr="00E2240E" w:rsidR="00E2240E">
        <w:rPr>
          <w:noProof/>
          <w:lang w:val="en-GB"/>
        </w:rPr>
        <w:t>38</w:t>
      </w:r>
      <w:r w:rsidRPr="00E2240E">
        <w:rPr>
          <w:lang w:val="en-GB"/>
        </w:rPr>
        <w:fldChar w:fldCharType="end"/>
      </w:r>
      <w:r w:rsidRPr="00E2240E">
        <w:rPr>
          <w:lang w:val="en-GB"/>
        </w:rPr>
        <w:t>.  The applicants contested the Government</w:t>
      </w:r>
      <w:r w:rsidRPr="00E2240E" w:rsidR="00E2240E">
        <w:rPr>
          <w:lang w:val="en-GB"/>
        </w:rPr>
        <w:t>’</w:t>
      </w:r>
      <w:r w:rsidRPr="00E2240E">
        <w:rPr>
          <w:lang w:val="en-GB"/>
        </w:rPr>
        <w:t>s submissions. In particular, they submitted that the first and second applicants</w:t>
      </w:r>
      <w:r w:rsidRPr="00E2240E" w:rsidR="00E2240E">
        <w:rPr>
          <w:lang w:val="en-GB"/>
        </w:rPr>
        <w:t>’</w:t>
      </w:r>
      <w:r w:rsidRPr="00E2240E">
        <w:rPr>
          <w:lang w:val="en-GB"/>
        </w:rPr>
        <w:t xml:space="preserve"> statements waiving their property rights had not been accepted in the impugned proceedings, and that they had been duly awarded compensation. As regards the exhaustion of domestic remedies, the applicants maintained that the proceedings before each body individually had not been excessive, but that the problem was the total length of the proceedings as a whole, owing to the case</w:t>
      </w:r>
      <w:r w:rsidRPr="00E2240E" w:rsidDel="00D900FE">
        <w:rPr>
          <w:lang w:val="en-GB"/>
        </w:rPr>
        <w:t xml:space="preserve"> </w:t>
      </w:r>
      <w:r w:rsidRPr="00E2240E">
        <w:rPr>
          <w:lang w:val="en-GB"/>
        </w:rPr>
        <w:t>being repeatedly remitted.</w:t>
      </w:r>
    </w:p>
    <w:p w:rsidRPr="00E2240E" w:rsidR="007156A2" w:rsidP="00E2240E" w:rsidRDefault="007156A2">
      <w:pPr>
        <w:pStyle w:val="ECHRPara"/>
        <w:rPr>
          <w:lang w:val="en-GB"/>
        </w:rPr>
      </w:pPr>
      <w:r w:rsidRPr="00E2240E">
        <w:rPr>
          <w:lang w:val="en-GB"/>
        </w:rPr>
        <w:fldChar w:fldCharType="begin"/>
      </w:r>
      <w:r w:rsidRPr="00E2240E">
        <w:rPr>
          <w:lang w:val="en-GB"/>
        </w:rPr>
        <w:instrText xml:space="preserve"> SEQ level0 \*arabic </w:instrText>
      </w:r>
      <w:r w:rsidRPr="00E2240E">
        <w:rPr>
          <w:lang w:val="en-GB"/>
        </w:rPr>
        <w:fldChar w:fldCharType="separate"/>
      </w:r>
      <w:r w:rsidRPr="00E2240E" w:rsidR="00E2240E">
        <w:rPr>
          <w:noProof/>
          <w:lang w:val="en-GB"/>
        </w:rPr>
        <w:t>39</w:t>
      </w:r>
      <w:r w:rsidRPr="00E2240E">
        <w:rPr>
          <w:lang w:val="en-GB"/>
        </w:rPr>
        <w:fldChar w:fldCharType="end"/>
      </w:r>
      <w:r w:rsidRPr="00E2240E">
        <w:rPr>
          <w:lang w:val="en-GB"/>
        </w:rPr>
        <w:t>.  In their observations, the applicants also complained regarding the Constitutional Court ruling twice on their constitutional appeals, the second time dismissing them on the merits.</w:t>
      </w:r>
    </w:p>
    <w:p w:rsidRPr="00E2240E" w:rsidR="007156A2" w:rsidP="00E2240E" w:rsidRDefault="007156A2">
      <w:pPr>
        <w:pStyle w:val="ECHRHeading3"/>
        <w:rPr>
          <w:lang w:val="en-GB"/>
        </w:rPr>
      </w:pPr>
      <w:r w:rsidRPr="00E2240E">
        <w:rPr>
          <w:lang w:val="en-GB"/>
        </w:rPr>
        <w:t>2.</w:t>
      </w:r>
      <w:r w:rsidRPr="00E2240E" w:rsidR="00FB6150">
        <w:rPr>
          <w:lang w:val="en-GB"/>
        </w:rPr>
        <w:t>  </w:t>
      </w:r>
      <w:r w:rsidRPr="00E2240E">
        <w:rPr>
          <w:lang w:val="en-GB"/>
        </w:rPr>
        <w:t>The Court</w:t>
      </w:r>
      <w:r w:rsidRPr="00E2240E" w:rsidR="00E2240E">
        <w:rPr>
          <w:lang w:val="en-GB"/>
        </w:rPr>
        <w:t>’</w:t>
      </w:r>
      <w:r w:rsidRPr="00E2240E">
        <w:rPr>
          <w:lang w:val="en-GB"/>
        </w:rPr>
        <w:t>s conclusion</w:t>
      </w:r>
    </w:p>
    <w:p w:rsidRPr="00E2240E" w:rsidR="007156A2" w:rsidP="00E2240E" w:rsidRDefault="007156A2">
      <w:pPr>
        <w:pStyle w:val="ECHRHeading4"/>
        <w:rPr>
          <w:lang w:val="en-GB"/>
        </w:rPr>
      </w:pPr>
      <w:r w:rsidRPr="00E2240E">
        <w:rPr>
          <w:lang w:val="en-GB"/>
        </w:rPr>
        <w:t>(a)</w:t>
      </w:r>
      <w:r w:rsidRPr="00E2240E" w:rsidR="00FB6150">
        <w:rPr>
          <w:lang w:val="en-GB"/>
        </w:rPr>
        <w:t>  </w:t>
      </w:r>
      <w:r w:rsidRPr="00E2240E">
        <w:rPr>
          <w:lang w:val="en-GB"/>
        </w:rPr>
        <w:t>The first and second applicants</w:t>
      </w:r>
      <w:r w:rsidRPr="00E2240E" w:rsidR="00E2240E">
        <w:rPr>
          <w:lang w:val="en-GB"/>
        </w:rPr>
        <w:t>’</w:t>
      </w:r>
      <w:r w:rsidRPr="00E2240E">
        <w:rPr>
          <w:lang w:val="en-GB"/>
        </w:rPr>
        <w:t xml:space="preserve"> victim status</w:t>
      </w:r>
    </w:p>
    <w:p w:rsidRPr="00E2240E" w:rsidR="007156A2" w:rsidP="00E2240E" w:rsidRDefault="007156A2">
      <w:pPr>
        <w:pStyle w:val="ECHRPara"/>
        <w:rPr>
          <w:i/>
          <w:lang w:val="en-GB"/>
        </w:rPr>
      </w:pPr>
      <w:r w:rsidRPr="00E2240E">
        <w:rPr>
          <w:lang w:val="en-GB"/>
        </w:rPr>
        <w:fldChar w:fldCharType="begin"/>
      </w:r>
      <w:r w:rsidRPr="00E2240E">
        <w:rPr>
          <w:lang w:val="en-GB"/>
        </w:rPr>
        <w:instrText xml:space="preserve"> SEQ level0 \*arabic </w:instrText>
      </w:r>
      <w:r w:rsidRPr="00E2240E">
        <w:rPr>
          <w:lang w:val="en-GB"/>
        </w:rPr>
        <w:fldChar w:fldCharType="separate"/>
      </w:r>
      <w:r w:rsidRPr="00E2240E" w:rsidR="00E2240E">
        <w:rPr>
          <w:noProof/>
          <w:lang w:val="en-GB"/>
        </w:rPr>
        <w:t>40</w:t>
      </w:r>
      <w:r w:rsidRPr="00E2240E">
        <w:rPr>
          <w:lang w:val="en-GB"/>
        </w:rPr>
        <w:fldChar w:fldCharType="end"/>
      </w:r>
      <w:r w:rsidRPr="00E2240E">
        <w:rPr>
          <w:lang w:val="en-GB"/>
        </w:rPr>
        <w:t xml:space="preserve">.  The relevant principles in this regard are set out in </w:t>
      </w:r>
      <w:proofErr w:type="spellStart"/>
      <w:r w:rsidRPr="00E2240E">
        <w:rPr>
          <w:bCs/>
          <w:i/>
          <w:color w:val="000000"/>
          <w:lang w:val="en-GB"/>
        </w:rPr>
        <w:t>Vallianatos</w:t>
      </w:r>
      <w:proofErr w:type="spellEnd"/>
      <w:r w:rsidRPr="00E2240E">
        <w:rPr>
          <w:bCs/>
          <w:i/>
          <w:color w:val="000000"/>
          <w:lang w:val="en-GB"/>
        </w:rPr>
        <w:t xml:space="preserve"> </w:t>
      </w:r>
      <w:r w:rsidRPr="00E2240E">
        <w:rPr>
          <w:i/>
          <w:lang w:val="en-GB"/>
        </w:rPr>
        <w:t xml:space="preserve">and Others v. Greece </w:t>
      </w:r>
      <w:r w:rsidRPr="00E2240E">
        <w:rPr>
          <w:lang w:val="en-GB"/>
        </w:rPr>
        <w:t>[GC], nos. 29381/09 and 32684/09</w:t>
      </w:r>
      <w:r w:rsidRPr="00E2240E">
        <w:rPr>
          <w:snapToGrid w:val="0"/>
          <w:lang w:val="en-GB"/>
        </w:rPr>
        <w:t xml:space="preserve">, § 47, </w:t>
      </w:r>
      <w:r w:rsidRPr="00E2240E">
        <w:rPr>
          <w:lang w:val="en-GB"/>
        </w:rPr>
        <w:t>ECHR 2013 (extracts)</w:t>
      </w:r>
      <w:r w:rsidRPr="00E2240E">
        <w:rPr>
          <w:snapToGrid w:val="0"/>
          <w:lang w:val="en-GB"/>
        </w:rPr>
        <w:t>.</w:t>
      </w:r>
    </w:p>
    <w:p w:rsidRPr="00E2240E" w:rsidR="007156A2" w:rsidP="00E2240E" w:rsidRDefault="007156A2">
      <w:pPr>
        <w:pStyle w:val="ECHRPara"/>
        <w:rPr>
          <w:lang w:val="en-GB"/>
        </w:rPr>
      </w:pPr>
      <w:r w:rsidRPr="00E2240E">
        <w:rPr>
          <w:lang w:val="en-GB"/>
        </w:rPr>
        <w:fldChar w:fldCharType="begin"/>
      </w:r>
      <w:r w:rsidRPr="00E2240E">
        <w:rPr>
          <w:lang w:val="en-GB"/>
        </w:rPr>
        <w:instrText xml:space="preserve"> SEQ level0 \*arabic </w:instrText>
      </w:r>
      <w:r w:rsidRPr="00E2240E">
        <w:rPr>
          <w:lang w:val="en-GB"/>
        </w:rPr>
        <w:fldChar w:fldCharType="separate"/>
      </w:r>
      <w:r w:rsidRPr="00E2240E" w:rsidR="00E2240E">
        <w:rPr>
          <w:noProof/>
          <w:lang w:val="en-GB"/>
        </w:rPr>
        <w:t>41</w:t>
      </w:r>
      <w:r w:rsidRPr="00E2240E">
        <w:rPr>
          <w:lang w:val="en-GB"/>
        </w:rPr>
        <w:fldChar w:fldCharType="end"/>
      </w:r>
      <w:r w:rsidRPr="00E2240E">
        <w:rPr>
          <w:lang w:val="en-GB"/>
        </w:rPr>
        <w:t>.  The Court notes that the first and second applicants</w:t>
      </w:r>
      <w:r w:rsidRPr="00E2240E" w:rsidR="00E2240E">
        <w:rPr>
          <w:lang w:val="en-GB"/>
        </w:rPr>
        <w:t>’</w:t>
      </w:r>
      <w:r w:rsidRPr="00E2240E">
        <w:rPr>
          <w:lang w:val="en-GB"/>
        </w:rPr>
        <w:t xml:space="preserve"> waiver statements were duly examined in the administrative proceedings, and indeed were not accepted on the grounds that a waiver statement could only be validly made before judicial bodies in the relevant proceedings. In view of that, the Commission, when ruling on the initial application, awarded compensation not only to the third and fourth applicants, but also the first and second applicants as early as 2006 (see paragraph 11 above). The impugned proceedings, in which the applicants are all parties, are still ongoing.</w:t>
      </w:r>
    </w:p>
    <w:p w:rsidRPr="00E2240E" w:rsidR="007156A2" w:rsidP="00E2240E" w:rsidRDefault="00E2240E">
      <w:pPr>
        <w:pStyle w:val="ECHRPara"/>
      </w:pPr>
      <w:fldSimple w:instr=" SEQ level0 \*arabic ">
        <w:r w:rsidRPr="00E2240E">
          <w:rPr>
            <w:noProof/>
          </w:rPr>
          <w:t>42</w:t>
        </w:r>
      </w:fldSimple>
      <w:r w:rsidRPr="00E2240E" w:rsidR="007156A2">
        <w:t>.  In view of the above, the Court considers that the ongoing proceedings directly concern the first and second applicants, and they have a legitimate personal interest in seeing the proceedings brought to an end. Accordingly, and without prejudging the merits of the case, it concludes that they should be considered “victims” of the alleged violation within the meaning of Article 34 of the Convention. The Government</w:t>
      </w:r>
      <w:r w:rsidRPr="00E2240E">
        <w:t>’</w:t>
      </w:r>
      <w:r w:rsidRPr="00E2240E" w:rsidR="007156A2">
        <w:t>s objection must therefore be dismissed.</w:t>
      </w:r>
    </w:p>
    <w:p w:rsidRPr="00E2240E" w:rsidR="007156A2" w:rsidP="00E2240E" w:rsidRDefault="007156A2">
      <w:pPr>
        <w:pStyle w:val="ECHRHeading4"/>
        <w:rPr>
          <w:lang w:val="en-GB"/>
        </w:rPr>
      </w:pPr>
      <w:r w:rsidRPr="00E2240E">
        <w:rPr>
          <w:lang w:val="en-GB"/>
        </w:rPr>
        <w:t>(</w:t>
      </w:r>
      <w:proofErr w:type="gramStart"/>
      <w:r w:rsidRPr="00E2240E">
        <w:rPr>
          <w:lang w:val="en-GB"/>
        </w:rPr>
        <w:t>b</w:t>
      </w:r>
      <w:proofErr w:type="gramEnd"/>
      <w:r w:rsidRPr="00E2240E">
        <w:rPr>
          <w:lang w:val="en-GB"/>
        </w:rPr>
        <w:t>)</w:t>
      </w:r>
      <w:r w:rsidRPr="00E2240E" w:rsidR="00FB6150">
        <w:rPr>
          <w:lang w:val="en-GB"/>
        </w:rPr>
        <w:t>  </w:t>
      </w:r>
      <w:r w:rsidRPr="00E2240E">
        <w:rPr>
          <w:lang w:val="en-GB"/>
        </w:rPr>
        <w:t>Six-month time-limit</w:t>
      </w:r>
    </w:p>
    <w:p w:rsidRPr="00E2240E" w:rsidR="007156A2" w:rsidP="00E2240E" w:rsidRDefault="007156A2">
      <w:pPr>
        <w:pStyle w:val="ECHRPara"/>
        <w:rPr>
          <w:lang w:val="en-GB"/>
        </w:rPr>
      </w:pPr>
      <w:r w:rsidRPr="00E2240E">
        <w:rPr>
          <w:lang w:val="en-GB"/>
        </w:rPr>
        <w:fldChar w:fldCharType="begin"/>
      </w:r>
      <w:r w:rsidRPr="00E2240E">
        <w:rPr>
          <w:lang w:val="en-GB"/>
        </w:rPr>
        <w:instrText xml:space="preserve"> SEQ level0 \*arabic </w:instrText>
      </w:r>
      <w:r w:rsidRPr="00E2240E">
        <w:rPr>
          <w:lang w:val="en-GB"/>
        </w:rPr>
        <w:fldChar w:fldCharType="separate"/>
      </w:r>
      <w:r w:rsidRPr="00E2240E" w:rsidR="00E2240E">
        <w:rPr>
          <w:noProof/>
          <w:lang w:val="en-GB"/>
        </w:rPr>
        <w:t>43</w:t>
      </w:r>
      <w:r w:rsidRPr="00E2240E">
        <w:rPr>
          <w:lang w:val="en-GB"/>
        </w:rPr>
        <w:fldChar w:fldCharType="end"/>
      </w:r>
      <w:r w:rsidRPr="00E2240E">
        <w:rPr>
          <w:lang w:val="en-GB"/>
        </w:rPr>
        <w:t xml:space="preserve">.  The relevant principles in this regard are set out in </w:t>
      </w:r>
      <w:proofErr w:type="spellStart"/>
      <w:r w:rsidRPr="00E2240E">
        <w:rPr>
          <w:i/>
          <w:snapToGrid w:val="0"/>
          <w:lang w:val="en-GB"/>
        </w:rPr>
        <w:t>Mocanu</w:t>
      </w:r>
      <w:proofErr w:type="spellEnd"/>
      <w:r w:rsidRPr="00E2240E">
        <w:rPr>
          <w:i/>
          <w:snapToGrid w:val="0"/>
          <w:lang w:val="en-GB"/>
        </w:rPr>
        <w:t xml:space="preserve"> and Others v. Romania </w:t>
      </w:r>
      <w:r w:rsidRPr="00E2240E">
        <w:rPr>
          <w:snapToGrid w:val="0"/>
          <w:lang w:val="en-GB"/>
        </w:rPr>
        <w:t>[GC], nos. 10865/09, 45886/07 and 32431/08</w:t>
      </w:r>
      <w:r w:rsidRPr="00E2240E">
        <w:rPr>
          <w:lang w:val="en-GB"/>
        </w:rPr>
        <w:t>, §§</w:t>
      </w:r>
      <w:r w:rsidRPr="00E2240E" w:rsidR="00CE713A">
        <w:rPr>
          <w:lang w:val="en-GB"/>
        </w:rPr>
        <w:t> </w:t>
      </w:r>
      <w:r w:rsidRPr="00E2240E">
        <w:rPr>
          <w:lang w:val="en-GB"/>
        </w:rPr>
        <w:t>258</w:t>
      </w:r>
      <w:r w:rsidRPr="00E2240E" w:rsidR="00CE713A">
        <w:rPr>
          <w:lang w:val="en-GB"/>
        </w:rPr>
        <w:noBreakHyphen/>
      </w:r>
      <w:r w:rsidRPr="00E2240E">
        <w:rPr>
          <w:lang w:val="en-GB"/>
        </w:rPr>
        <w:t>261, ECHR 2014 (extracts).</w:t>
      </w:r>
    </w:p>
    <w:p w:rsidRPr="00E2240E" w:rsidR="007156A2" w:rsidP="00E2240E" w:rsidRDefault="007156A2">
      <w:pPr>
        <w:pStyle w:val="ECHRPara"/>
        <w:rPr>
          <w:lang w:val="en-GB"/>
        </w:rPr>
      </w:pPr>
      <w:r w:rsidRPr="00E2240E">
        <w:rPr>
          <w:lang w:val="en-GB"/>
        </w:rPr>
        <w:fldChar w:fldCharType="begin"/>
      </w:r>
      <w:r w:rsidRPr="00E2240E">
        <w:rPr>
          <w:lang w:val="en-GB"/>
        </w:rPr>
        <w:instrText xml:space="preserve"> SEQ level0 \*arabic </w:instrText>
      </w:r>
      <w:r w:rsidRPr="00E2240E">
        <w:rPr>
          <w:lang w:val="en-GB"/>
        </w:rPr>
        <w:fldChar w:fldCharType="separate"/>
      </w:r>
      <w:r w:rsidRPr="00E2240E" w:rsidR="00E2240E">
        <w:rPr>
          <w:noProof/>
          <w:lang w:val="en-GB"/>
        </w:rPr>
        <w:t>44</w:t>
      </w:r>
      <w:r w:rsidRPr="00E2240E">
        <w:rPr>
          <w:lang w:val="en-GB"/>
        </w:rPr>
        <w:fldChar w:fldCharType="end"/>
      </w:r>
      <w:r w:rsidRPr="00E2240E">
        <w:rPr>
          <w:lang w:val="en-GB"/>
        </w:rPr>
        <w:t>.  The Court notes that, following the Administrative Court and the Supreme Court upholding the decision that the case should be remitted, the case is once again before the Commission acting as a first-instance administrative body. The six-month time-limit can therefore not yet have started to run (</w:t>
      </w:r>
      <w:r w:rsidRPr="00E2240E">
        <w:t xml:space="preserve">see </w:t>
      </w:r>
      <w:proofErr w:type="spellStart"/>
      <w:r w:rsidRPr="00E2240E">
        <w:rPr>
          <w:i/>
        </w:rPr>
        <w:t>Mocanu</w:t>
      </w:r>
      <w:proofErr w:type="spellEnd"/>
      <w:r w:rsidRPr="00E2240E">
        <w:t xml:space="preserve"> [GC], cited above, § 261, and the authorities cited therein)</w:t>
      </w:r>
      <w:r w:rsidRPr="00E2240E">
        <w:rPr>
          <w:lang w:val="en-GB"/>
        </w:rPr>
        <w:t xml:space="preserve"> and accordingly the Government</w:t>
      </w:r>
      <w:r w:rsidRPr="00E2240E" w:rsidR="00E2240E">
        <w:rPr>
          <w:lang w:val="en-GB"/>
        </w:rPr>
        <w:t>’</w:t>
      </w:r>
      <w:r w:rsidRPr="00E2240E">
        <w:rPr>
          <w:lang w:val="en-GB"/>
        </w:rPr>
        <w:t>s objection in this regard must be dismissed.</w:t>
      </w:r>
    </w:p>
    <w:p w:rsidRPr="00E2240E" w:rsidR="007156A2" w:rsidP="00E2240E" w:rsidRDefault="007156A2">
      <w:pPr>
        <w:pStyle w:val="ECHRHeading4"/>
        <w:rPr>
          <w:lang w:val="en-GB"/>
        </w:rPr>
      </w:pPr>
      <w:r w:rsidRPr="00E2240E">
        <w:rPr>
          <w:lang w:val="en-GB"/>
        </w:rPr>
        <w:t>(c)</w:t>
      </w:r>
      <w:r w:rsidRPr="00E2240E" w:rsidR="00FB6150">
        <w:rPr>
          <w:lang w:val="en-GB"/>
        </w:rPr>
        <w:t>  </w:t>
      </w:r>
      <w:r w:rsidRPr="00E2240E">
        <w:rPr>
          <w:lang w:val="en-GB"/>
        </w:rPr>
        <w:t>Non-exhaustion of domestic remedies</w:t>
      </w:r>
    </w:p>
    <w:p w:rsidRPr="00E2240E" w:rsidR="007156A2" w:rsidP="00E2240E" w:rsidRDefault="007156A2">
      <w:pPr>
        <w:pStyle w:val="ECHRPara"/>
        <w:rPr>
          <w:lang w:val="en-GB"/>
        </w:rPr>
      </w:pPr>
      <w:r w:rsidRPr="00E2240E">
        <w:rPr>
          <w:lang w:val="en-GB"/>
        </w:rPr>
        <w:fldChar w:fldCharType="begin"/>
      </w:r>
      <w:r w:rsidRPr="00E2240E">
        <w:rPr>
          <w:lang w:val="en-GB"/>
        </w:rPr>
        <w:instrText xml:space="preserve"> SEQ level0 \*arabic </w:instrText>
      </w:r>
      <w:r w:rsidRPr="00E2240E">
        <w:rPr>
          <w:lang w:val="en-GB"/>
        </w:rPr>
        <w:fldChar w:fldCharType="separate"/>
      </w:r>
      <w:r w:rsidRPr="00E2240E" w:rsidR="00E2240E">
        <w:rPr>
          <w:noProof/>
          <w:lang w:val="en-GB"/>
        </w:rPr>
        <w:t>45</w:t>
      </w:r>
      <w:r w:rsidRPr="00E2240E">
        <w:rPr>
          <w:lang w:val="en-GB"/>
        </w:rPr>
        <w:fldChar w:fldCharType="end"/>
      </w:r>
      <w:r w:rsidRPr="00E2240E">
        <w:rPr>
          <w:lang w:val="en-GB"/>
        </w:rPr>
        <w:t xml:space="preserve">.  The relevant principles in this regard are set out in detail in </w:t>
      </w:r>
      <w:proofErr w:type="spellStart"/>
      <w:r w:rsidRPr="00E2240E">
        <w:rPr>
          <w:i/>
          <w:lang w:val="en-GB"/>
        </w:rPr>
        <w:t>Vučković</w:t>
      </w:r>
      <w:proofErr w:type="spellEnd"/>
      <w:r w:rsidRPr="00E2240E">
        <w:rPr>
          <w:i/>
          <w:lang w:val="en-GB"/>
        </w:rPr>
        <w:t xml:space="preserve"> and Others v. Serbia </w:t>
      </w:r>
      <w:r w:rsidRPr="00E2240E">
        <w:rPr>
          <w:lang w:val="en-GB"/>
        </w:rPr>
        <w:t>(preliminary objection) [GC], nos. 17153/11 and 29 others</w:t>
      </w:r>
      <w:r w:rsidRPr="00E2240E">
        <w:rPr>
          <w:snapToGrid w:val="0"/>
          <w:color w:val="000000"/>
          <w:lang w:val="en-GB"/>
        </w:rPr>
        <w:t xml:space="preserve">, §§ 69-75, </w:t>
      </w:r>
      <w:r w:rsidRPr="00E2240E">
        <w:rPr>
          <w:color w:val="000000"/>
          <w:lang w:val="en-GB"/>
        </w:rPr>
        <w:t>25</w:t>
      </w:r>
      <w:r w:rsidRPr="00E2240E">
        <w:rPr>
          <w:snapToGrid w:val="0"/>
          <w:color w:val="000000"/>
          <w:lang w:val="en-GB"/>
        </w:rPr>
        <w:t xml:space="preserve"> </w:t>
      </w:r>
      <w:r w:rsidRPr="00E2240E">
        <w:rPr>
          <w:color w:val="000000"/>
          <w:lang w:val="en-GB"/>
        </w:rPr>
        <w:t>March</w:t>
      </w:r>
      <w:r w:rsidRPr="00E2240E">
        <w:rPr>
          <w:snapToGrid w:val="0"/>
          <w:color w:val="000000"/>
          <w:lang w:val="en-GB"/>
        </w:rPr>
        <w:t xml:space="preserve"> 2014.</w:t>
      </w:r>
    </w:p>
    <w:p w:rsidRPr="00E2240E" w:rsidR="007156A2" w:rsidP="00E2240E" w:rsidRDefault="007156A2">
      <w:pPr>
        <w:pStyle w:val="ECHRPara"/>
        <w:rPr>
          <w:i/>
          <w:szCs w:val="24"/>
          <w:lang w:val="en-GB"/>
        </w:rPr>
      </w:pPr>
      <w:r w:rsidRPr="00E2240E">
        <w:rPr>
          <w:lang w:val="en-GB"/>
        </w:rPr>
        <w:fldChar w:fldCharType="begin"/>
      </w:r>
      <w:r w:rsidRPr="00E2240E">
        <w:rPr>
          <w:lang w:val="en-GB"/>
        </w:rPr>
        <w:instrText xml:space="preserve"> SEQ level0 \*arabic </w:instrText>
      </w:r>
      <w:r w:rsidRPr="00E2240E">
        <w:rPr>
          <w:lang w:val="en-GB"/>
        </w:rPr>
        <w:fldChar w:fldCharType="separate"/>
      </w:r>
      <w:r w:rsidRPr="00E2240E" w:rsidR="00E2240E">
        <w:rPr>
          <w:noProof/>
          <w:lang w:val="en-GB"/>
        </w:rPr>
        <w:t>46</w:t>
      </w:r>
      <w:r w:rsidRPr="00E2240E">
        <w:rPr>
          <w:lang w:val="en-GB"/>
        </w:rPr>
        <w:fldChar w:fldCharType="end"/>
      </w:r>
      <w:r w:rsidRPr="00E2240E">
        <w:rPr>
          <w:lang w:val="en-GB"/>
        </w:rPr>
        <w:t>.  In another case, the Court observed that attempts to have lengthy administrative proceedings expedited by means of inspection had failed</w:t>
      </w:r>
      <w:r w:rsidRPr="00E2240E">
        <w:rPr>
          <w:snapToGrid w:val="0"/>
          <w:lang w:val="en-GB"/>
        </w:rPr>
        <w:t>, and dismissed the Government</w:t>
      </w:r>
      <w:r w:rsidRPr="00E2240E" w:rsidR="00E2240E">
        <w:rPr>
          <w:snapToGrid w:val="0"/>
          <w:lang w:val="en-GB"/>
        </w:rPr>
        <w:t>’</w:t>
      </w:r>
      <w:r w:rsidRPr="00E2240E">
        <w:rPr>
          <w:snapToGrid w:val="0"/>
          <w:lang w:val="en-GB"/>
        </w:rPr>
        <w:t xml:space="preserve">s objection as to non-exhaustion of domestic remedies </w:t>
      </w:r>
      <w:r w:rsidRPr="00E2240E">
        <w:rPr>
          <w:lang w:val="en-GB"/>
        </w:rPr>
        <w:t xml:space="preserve">(see </w:t>
      </w:r>
      <w:proofErr w:type="spellStart"/>
      <w:r w:rsidRPr="00E2240E">
        <w:rPr>
          <w:i/>
          <w:lang w:val="en-GB"/>
        </w:rPr>
        <w:t>Živaljević</w:t>
      </w:r>
      <w:proofErr w:type="spellEnd"/>
      <w:r w:rsidRPr="00E2240E">
        <w:rPr>
          <w:i/>
          <w:lang w:val="en-GB"/>
        </w:rPr>
        <w:t xml:space="preserve"> v. Montenegro</w:t>
      </w:r>
      <w:r w:rsidRPr="00E2240E">
        <w:rPr>
          <w:lang w:val="en-GB"/>
        </w:rPr>
        <w:t>, no. 17229/04</w:t>
      </w:r>
      <w:r w:rsidRPr="00E2240E">
        <w:rPr>
          <w:snapToGrid w:val="0"/>
          <w:lang w:val="en-GB"/>
        </w:rPr>
        <w:t>, § 15 and §§ 58-59, 8 March 2011). As the Government have provided no domestic case-law to the contrary in the instant case, the Court sees no reason to depart from its earlier finding. The Government</w:t>
      </w:r>
      <w:r w:rsidRPr="00E2240E" w:rsidR="00E2240E">
        <w:rPr>
          <w:snapToGrid w:val="0"/>
          <w:lang w:val="en-GB"/>
        </w:rPr>
        <w:t>’</w:t>
      </w:r>
      <w:r w:rsidRPr="00E2240E">
        <w:rPr>
          <w:snapToGrid w:val="0"/>
          <w:lang w:val="en-GB"/>
        </w:rPr>
        <w:t>s objection must therefore be dismissed.</w:t>
      </w:r>
    </w:p>
    <w:p w:rsidRPr="00E2240E" w:rsidR="007156A2" w:rsidP="00E2240E" w:rsidRDefault="007156A2">
      <w:pPr>
        <w:pStyle w:val="ECHRPara"/>
        <w:rPr>
          <w:lang w:val="en-GB"/>
        </w:rPr>
      </w:pPr>
      <w:r w:rsidRPr="00E2240E">
        <w:rPr>
          <w:lang w:val="en-GB"/>
        </w:rPr>
        <w:fldChar w:fldCharType="begin"/>
      </w:r>
      <w:r w:rsidRPr="00E2240E">
        <w:rPr>
          <w:lang w:val="en-GB"/>
        </w:rPr>
        <w:instrText xml:space="preserve"> SEQ level0 \*arabic </w:instrText>
      </w:r>
      <w:r w:rsidRPr="00E2240E">
        <w:rPr>
          <w:lang w:val="en-GB"/>
        </w:rPr>
        <w:fldChar w:fldCharType="separate"/>
      </w:r>
      <w:r w:rsidRPr="00E2240E" w:rsidR="00E2240E">
        <w:rPr>
          <w:noProof/>
          <w:lang w:val="en-GB"/>
        </w:rPr>
        <w:t>47</w:t>
      </w:r>
      <w:r w:rsidRPr="00E2240E">
        <w:rPr>
          <w:lang w:val="en-GB"/>
        </w:rPr>
        <w:fldChar w:fldCharType="end"/>
      </w:r>
      <w:r w:rsidRPr="00E2240E">
        <w:rPr>
          <w:lang w:val="en-GB"/>
        </w:rPr>
        <w:t>.  As regards the General Administrative Proceedings Act and the Administrative Disputes Act, they provide for remedies in cases where a single administrative body fails to issue a decision within a certain time</w:t>
      </w:r>
      <w:r w:rsidRPr="00E2240E" w:rsidR="008D2574">
        <w:rPr>
          <w:lang w:val="en-GB"/>
        </w:rPr>
        <w:noBreakHyphen/>
      </w:r>
      <w:r w:rsidRPr="00E2240E">
        <w:rPr>
          <w:lang w:val="en-GB"/>
        </w:rPr>
        <w:t xml:space="preserve">limit (see paragraphs 22-23 and 25 above). While the said remedies are generally effective (see </w:t>
      </w:r>
      <w:proofErr w:type="spellStart"/>
      <w:r w:rsidRPr="00E2240E">
        <w:rPr>
          <w:i/>
          <w:lang w:val="en-GB"/>
        </w:rPr>
        <w:t>Vukovi</w:t>
      </w:r>
      <w:r w:rsidRPr="00E2240E">
        <w:rPr>
          <w:rFonts w:cstheme="minorHAnsi"/>
          <w:i/>
          <w:lang w:val="en-GB"/>
        </w:rPr>
        <w:t>ć</w:t>
      </w:r>
      <w:proofErr w:type="spellEnd"/>
      <w:r w:rsidRPr="00E2240E">
        <w:rPr>
          <w:i/>
          <w:lang w:val="en-GB"/>
        </w:rPr>
        <w:t xml:space="preserve"> v. Montenegro</w:t>
      </w:r>
      <w:r w:rsidRPr="00E2240E">
        <w:rPr>
          <w:lang w:val="en-GB"/>
        </w:rPr>
        <w:t xml:space="preserve"> (</w:t>
      </w:r>
      <w:proofErr w:type="spellStart"/>
      <w:r w:rsidRPr="00E2240E">
        <w:rPr>
          <w:lang w:val="en-GB"/>
        </w:rPr>
        <w:t>dec.</w:t>
      </w:r>
      <w:proofErr w:type="spellEnd"/>
      <w:r w:rsidRPr="00E2240E">
        <w:rPr>
          <w:lang w:val="en-GB"/>
        </w:rPr>
        <w:t xml:space="preserve">), no. </w:t>
      </w:r>
      <w:r w:rsidRPr="00E2240E">
        <w:t>18626/11</w:t>
      </w:r>
      <w:r w:rsidRPr="00E2240E">
        <w:rPr>
          <w:lang w:val="en-GB"/>
        </w:rPr>
        <w:t>, §§</w:t>
      </w:r>
      <w:r w:rsidRPr="00E2240E" w:rsidR="008D2574">
        <w:rPr>
          <w:lang w:val="en-GB"/>
        </w:rPr>
        <w:t> </w:t>
      </w:r>
      <w:r w:rsidRPr="00E2240E">
        <w:rPr>
          <w:lang w:val="en-GB"/>
        </w:rPr>
        <w:t>30</w:t>
      </w:r>
      <w:r w:rsidRPr="00E2240E" w:rsidR="008D2574">
        <w:rPr>
          <w:lang w:val="en-GB"/>
        </w:rPr>
        <w:noBreakHyphen/>
      </w:r>
      <w:r w:rsidRPr="00E2240E">
        <w:rPr>
          <w:lang w:val="en-GB"/>
        </w:rPr>
        <w:t>31, 27 November 2012, in which the Commission had failed to rule on the applicant</w:t>
      </w:r>
      <w:r w:rsidRPr="00E2240E" w:rsidR="00E2240E">
        <w:rPr>
          <w:lang w:val="en-GB"/>
        </w:rPr>
        <w:t>’</w:t>
      </w:r>
      <w:r w:rsidRPr="00E2240E">
        <w:rPr>
          <w:lang w:val="en-GB"/>
        </w:rPr>
        <w:t>s request for more than seven years and six months), the Court considers that they were not applicable to the applicants</w:t>
      </w:r>
      <w:r w:rsidRPr="00E2240E" w:rsidR="00E2240E">
        <w:rPr>
          <w:lang w:val="en-GB"/>
        </w:rPr>
        <w:t>’</w:t>
      </w:r>
      <w:r w:rsidRPr="00E2240E">
        <w:rPr>
          <w:lang w:val="en-GB"/>
        </w:rPr>
        <w:t xml:space="preserve"> case, since most of the bodies did rule within the statutory time-limits (see </w:t>
      </w:r>
      <w:r w:rsidRPr="00E2240E" w:rsidR="008D2574">
        <w:rPr>
          <w:lang w:val="en-GB"/>
        </w:rPr>
        <w:t>paragraph </w:t>
      </w:r>
      <w:r w:rsidRPr="00E2240E">
        <w:rPr>
          <w:lang w:val="en-GB"/>
        </w:rPr>
        <w:t xml:space="preserve">12 above). As for the few exceptions where this did not happen, the Court considers that, even if the proceedings could have been slightly expedited on these </w:t>
      </w:r>
      <w:proofErr w:type="gramStart"/>
      <w:r w:rsidRPr="00E2240E">
        <w:rPr>
          <w:lang w:val="en-GB"/>
        </w:rPr>
        <w:t>occasions, that</w:t>
      </w:r>
      <w:proofErr w:type="gramEnd"/>
      <w:r w:rsidRPr="00E2240E">
        <w:rPr>
          <w:lang w:val="en-GB"/>
        </w:rPr>
        <w:t xml:space="preserve"> would not have prevented the repeated remittals of the case and the consequent overall delay, which is the issue in the present case. In view of that, the Court considers that the Government</w:t>
      </w:r>
      <w:r w:rsidRPr="00E2240E" w:rsidR="00E2240E">
        <w:rPr>
          <w:lang w:val="en-GB"/>
        </w:rPr>
        <w:t>’</w:t>
      </w:r>
      <w:r w:rsidRPr="00E2240E">
        <w:rPr>
          <w:lang w:val="en-GB"/>
        </w:rPr>
        <w:t>s objection in this regard must also be dismissed.</w:t>
      </w:r>
    </w:p>
    <w:p w:rsidRPr="00E2240E" w:rsidR="007156A2" w:rsidP="00E2240E" w:rsidRDefault="00E2240E">
      <w:pPr>
        <w:pStyle w:val="ECHRPara"/>
        <w:rPr>
          <w:lang w:val="en-GB"/>
        </w:rPr>
      </w:pPr>
      <w:fldSimple w:instr=" SEQ level0 \*arabic ">
        <w:r w:rsidRPr="00E2240E">
          <w:rPr>
            <w:noProof/>
          </w:rPr>
          <w:t>48</w:t>
        </w:r>
      </w:fldSimple>
      <w:r w:rsidRPr="00E2240E" w:rsidR="007156A2">
        <w:t>.  As regards the Government</w:t>
      </w:r>
      <w:r w:rsidRPr="00E2240E">
        <w:t>’</w:t>
      </w:r>
      <w:r w:rsidRPr="00E2240E" w:rsidR="007156A2">
        <w:t>s objection that the applicants</w:t>
      </w:r>
      <w:r w:rsidRPr="00E2240E">
        <w:t>’</w:t>
      </w:r>
      <w:r w:rsidRPr="00E2240E" w:rsidR="007156A2">
        <w:t xml:space="preserve"> complaint was premature, given that the second set of constitutional appeals was still being considered at the time when they lodged their applications, the Court reiterates that, while the requirement for an applicant to exhaust domestic remedies is normally determined with reference to the date on which an application is lodged with the Court (</w:t>
      </w:r>
      <w:r w:rsidRPr="00E2240E" w:rsidR="007156A2">
        <w:rPr>
          <w:i/>
          <w:lang w:val="en-GB"/>
        </w:rPr>
        <w:t>Baumann v. France</w:t>
      </w:r>
      <w:r w:rsidRPr="00E2240E" w:rsidR="007156A2">
        <w:rPr>
          <w:lang w:val="en-GB"/>
        </w:rPr>
        <w:t>, no.</w:t>
      </w:r>
      <w:r w:rsidRPr="00E2240E" w:rsidR="00C3531A">
        <w:rPr>
          <w:lang w:val="en-GB"/>
        </w:rPr>
        <w:t> </w:t>
      </w:r>
      <w:r w:rsidRPr="00E2240E" w:rsidR="007156A2">
        <w:rPr>
          <w:lang w:val="en-GB"/>
        </w:rPr>
        <w:t>33592/96, § 47, ECHR 2001</w:t>
      </w:r>
      <w:r w:rsidRPr="00E2240E" w:rsidR="007156A2">
        <w:rPr>
          <w:lang w:val="en-GB"/>
        </w:rPr>
        <w:noBreakHyphen/>
        <w:t xml:space="preserve">V (extracts)), </w:t>
      </w:r>
      <w:r w:rsidRPr="00E2240E" w:rsidR="007156A2">
        <w:t>it also accepts that the last stage of such remedies may also be reached after the lodging of the application, but before the Court determines the issue of admissibility (</w:t>
      </w:r>
      <w:proofErr w:type="spellStart"/>
      <w:r w:rsidRPr="00E2240E" w:rsidR="007156A2">
        <w:rPr>
          <w:i/>
        </w:rPr>
        <w:t>Karoussiotis</w:t>
      </w:r>
      <w:proofErr w:type="spellEnd"/>
      <w:r w:rsidRPr="00E2240E" w:rsidR="007156A2">
        <w:rPr>
          <w:i/>
        </w:rPr>
        <w:t xml:space="preserve"> v. Portugal</w:t>
      </w:r>
      <w:r w:rsidRPr="00E2240E" w:rsidR="007156A2">
        <w:t>, no. 23205/08, § 57, ECHR 2011 (extracts)). This objection by the Government must therefore also be dismissed.</w:t>
      </w:r>
    </w:p>
    <w:p w:rsidRPr="00E2240E" w:rsidR="007156A2" w:rsidP="00E2240E" w:rsidRDefault="007156A2">
      <w:pPr>
        <w:pStyle w:val="ECHRPara"/>
        <w:rPr>
          <w:lang w:val="en-GB"/>
        </w:rPr>
      </w:pPr>
      <w:r w:rsidRPr="00E2240E">
        <w:rPr>
          <w:lang w:val="en-GB"/>
        </w:rPr>
        <w:fldChar w:fldCharType="begin"/>
      </w:r>
      <w:r w:rsidRPr="00E2240E">
        <w:rPr>
          <w:lang w:val="en-GB"/>
        </w:rPr>
        <w:instrText xml:space="preserve"> SEQ level0 \*arabic </w:instrText>
      </w:r>
      <w:r w:rsidRPr="00E2240E">
        <w:rPr>
          <w:lang w:val="en-GB"/>
        </w:rPr>
        <w:fldChar w:fldCharType="separate"/>
      </w:r>
      <w:r w:rsidRPr="00E2240E" w:rsidR="00E2240E">
        <w:rPr>
          <w:noProof/>
          <w:lang w:val="en-GB"/>
        </w:rPr>
        <w:t>49</w:t>
      </w:r>
      <w:r w:rsidRPr="00E2240E">
        <w:rPr>
          <w:lang w:val="en-GB"/>
        </w:rPr>
        <w:fldChar w:fldCharType="end"/>
      </w:r>
      <w:r w:rsidRPr="00E2240E">
        <w:rPr>
          <w:lang w:val="en-GB"/>
        </w:rPr>
        <w:t xml:space="preserve">.  Lastly, the Court observes that the Government were explicitly asked to provide their opinion on whether a request for review was an effective domestic remedy in respect of administrative proceedings </w:t>
      </w:r>
      <w:r w:rsidRPr="00E2240E">
        <w:t xml:space="preserve">not only before the Administrative Court but also while they are pending before various administrative bodies beforehand </w:t>
      </w:r>
      <w:r w:rsidRPr="00E2240E">
        <w:rPr>
          <w:lang w:val="en-GB"/>
        </w:rPr>
        <w:t>(</w:t>
      </w:r>
      <w:r w:rsidRPr="00E2240E">
        <w:rPr>
          <w:i/>
          <w:iCs/>
          <w:lang w:val="en-GB"/>
        </w:rPr>
        <w:t xml:space="preserve">u </w:t>
      </w:r>
      <w:proofErr w:type="spellStart"/>
      <w:r w:rsidRPr="00E2240E">
        <w:rPr>
          <w:i/>
          <w:iCs/>
          <w:lang w:val="en-GB"/>
        </w:rPr>
        <w:t>upravnom</w:t>
      </w:r>
      <w:proofErr w:type="spellEnd"/>
      <w:r w:rsidRPr="00E2240E">
        <w:rPr>
          <w:i/>
          <w:iCs/>
          <w:lang w:val="en-GB"/>
        </w:rPr>
        <w:t xml:space="preserve"> </w:t>
      </w:r>
      <w:proofErr w:type="spellStart"/>
      <w:r w:rsidRPr="00E2240E">
        <w:rPr>
          <w:i/>
          <w:iCs/>
          <w:lang w:val="en-GB"/>
        </w:rPr>
        <w:t>postupku</w:t>
      </w:r>
      <w:proofErr w:type="spellEnd"/>
      <w:r w:rsidRPr="00E2240E">
        <w:rPr>
          <w:lang w:val="en-GB"/>
        </w:rPr>
        <w:t xml:space="preserve">). </w:t>
      </w:r>
      <w:r w:rsidRPr="00E2240E">
        <w:t xml:space="preserve"> They were also invited to submit to the Court the relevant domestic case-law, if any. </w:t>
      </w:r>
      <w:r w:rsidRPr="00E2240E">
        <w:rPr>
          <w:lang w:val="en-GB"/>
        </w:rPr>
        <w:t>The Government provided no comment whatsoever in this regard, nor did they refer to any relevant domestic case-law. In view of that, and similarly to the remedies provided for in the General Administrative Proceedings Act and the Administrative Dispute Act, the Court considers that the request for review could have been of little use to the applicants given that the Administrative Court in principle ruled within the statutory time-limits. While a request for review could have perhaps slightly expedited only that particular part of the proceedings on those few occasions when the Administrative Court failed to rule within the said limits, in any event it could not have expedited the proceedings ongoing before various administrative bodies beforehand, nor could it have prevented the repeated remittals of the case and the consequent overall delay, which is the issue in the present case. As noted above the Government offered no comment or case-law to the contrary. In view of that, the Court cannot but conclude that, whereas the said remedy could be used in order to expedite only the proceedings before the Administrative Court itself, that is an administrative dispute (</w:t>
      </w:r>
      <w:r w:rsidRPr="00E2240E">
        <w:rPr>
          <w:i/>
          <w:iCs/>
          <w:lang w:val="en-GB"/>
        </w:rPr>
        <w:t xml:space="preserve">u </w:t>
      </w:r>
      <w:proofErr w:type="spellStart"/>
      <w:r w:rsidRPr="00E2240E">
        <w:rPr>
          <w:i/>
          <w:iCs/>
          <w:lang w:val="en-GB"/>
        </w:rPr>
        <w:t>upravnom</w:t>
      </w:r>
      <w:proofErr w:type="spellEnd"/>
      <w:r w:rsidRPr="00E2240E">
        <w:rPr>
          <w:i/>
          <w:iCs/>
          <w:lang w:val="en-GB"/>
        </w:rPr>
        <w:t xml:space="preserve"> </w:t>
      </w:r>
      <w:proofErr w:type="spellStart"/>
      <w:r w:rsidRPr="00E2240E">
        <w:rPr>
          <w:i/>
          <w:iCs/>
          <w:lang w:val="en-GB"/>
        </w:rPr>
        <w:t>sporu</w:t>
      </w:r>
      <w:proofErr w:type="spellEnd"/>
      <w:r w:rsidRPr="00E2240E">
        <w:rPr>
          <w:lang w:val="en-GB"/>
        </w:rPr>
        <w:t xml:space="preserve">) (see </w:t>
      </w:r>
      <w:proofErr w:type="spellStart"/>
      <w:r w:rsidRPr="00E2240E">
        <w:rPr>
          <w:i/>
          <w:iCs/>
          <w:lang w:val="en-GB"/>
        </w:rPr>
        <w:t>Vukelić</w:t>
      </w:r>
      <w:proofErr w:type="spellEnd"/>
      <w:r w:rsidRPr="00E2240E">
        <w:rPr>
          <w:i/>
          <w:iCs/>
          <w:lang w:val="en-GB"/>
        </w:rPr>
        <w:t xml:space="preserve"> v. Montenegro</w:t>
      </w:r>
      <w:r w:rsidRPr="00E2240E">
        <w:rPr>
          <w:lang w:val="en-GB"/>
        </w:rPr>
        <w:t>, no. 58258/09, § 85, 4 June 2013), it cannot be used and hence considered an effective domestic remedy in respect of the part of the proceedings that are ongoing before various administrative bodies beforehand.</w:t>
      </w:r>
    </w:p>
    <w:p w:rsidRPr="00E2240E" w:rsidR="007156A2" w:rsidP="00E2240E" w:rsidRDefault="007156A2">
      <w:pPr>
        <w:pStyle w:val="ECHRHeading4"/>
        <w:rPr>
          <w:snapToGrid w:val="0"/>
          <w:lang w:val="en-GB"/>
        </w:rPr>
      </w:pPr>
      <w:r w:rsidRPr="00E2240E">
        <w:rPr>
          <w:lang w:val="en-GB"/>
        </w:rPr>
        <w:t>(d)</w:t>
      </w:r>
      <w:r w:rsidRPr="00E2240E" w:rsidR="00FB6150">
        <w:rPr>
          <w:lang w:val="en-GB"/>
        </w:rPr>
        <w:t>  </w:t>
      </w:r>
      <w:r w:rsidRPr="00E2240E">
        <w:rPr>
          <w:lang w:val="en-GB"/>
        </w:rPr>
        <w:t>The Court</w:t>
      </w:r>
      <w:r w:rsidRPr="00E2240E" w:rsidR="00E2240E">
        <w:rPr>
          <w:lang w:val="en-GB"/>
        </w:rPr>
        <w:t>’</w:t>
      </w:r>
      <w:r w:rsidRPr="00E2240E">
        <w:rPr>
          <w:lang w:val="en-GB"/>
        </w:rPr>
        <w:t>s conclusion</w:t>
      </w:r>
    </w:p>
    <w:p w:rsidRPr="00E2240E" w:rsidR="007156A2" w:rsidP="00E2240E" w:rsidRDefault="007156A2">
      <w:pPr>
        <w:pStyle w:val="ECHRPara"/>
        <w:rPr>
          <w:lang w:val="en-GB"/>
        </w:rPr>
      </w:pPr>
      <w:r w:rsidRPr="00E2240E">
        <w:rPr>
          <w:lang w:val="en-GB"/>
        </w:rPr>
        <w:fldChar w:fldCharType="begin"/>
      </w:r>
      <w:r w:rsidRPr="00E2240E">
        <w:rPr>
          <w:lang w:val="en-GB"/>
        </w:rPr>
        <w:instrText xml:space="preserve"> SEQ level0 \*arabic </w:instrText>
      </w:r>
      <w:r w:rsidRPr="00E2240E">
        <w:rPr>
          <w:lang w:val="en-GB"/>
        </w:rPr>
        <w:fldChar w:fldCharType="separate"/>
      </w:r>
      <w:r w:rsidRPr="00E2240E" w:rsidR="00E2240E">
        <w:rPr>
          <w:noProof/>
          <w:lang w:val="en-GB"/>
        </w:rPr>
        <w:t>50</w:t>
      </w:r>
      <w:r w:rsidRPr="00E2240E">
        <w:rPr>
          <w:lang w:val="en-GB"/>
        </w:rPr>
        <w:fldChar w:fldCharType="end"/>
      </w:r>
      <w:r w:rsidRPr="00E2240E">
        <w:rPr>
          <w:lang w:val="en-GB"/>
        </w:rPr>
        <w:t>.  The Court notes that this complaint is not manifestly ill-founded within the meaning of Article 35 § 3 (a) of the Convention. It further notes that it is not inadmissible on any other grounds. It must therefore be declared admissible.</w:t>
      </w:r>
    </w:p>
    <w:p w:rsidRPr="00E2240E" w:rsidR="007156A2" w:rsidP="00E2240E" w:rsidRDefault="007156A2">
      <w:pPr>
        <w:pStyle w:val="ECHRHeading2"/>
        <w:rPr>
          <w:lang w:val="en-GB"/>
        </w:rPr>
      </w:pPr>
      <w:r w:rsidRPr="00E2240E">
        <w:rPr>
          <w:lang w:val="en-GB"/>
        </w:rPr>
        <w:t>B.  Merits</w:t>
      </w:r>
    </w:p>
    <w:p w:rsidRPr="00E2240E" w:rsidR="007156A2" w:rsidP="00E2240E" w:rsidRDefault="007156A2">
      <w:pPr>
        <w:pStyle w:val="ECHRPara"/>
        <w:rPr>
          <w:lang w:val="en-GB"/>
        </w:rPr>
      </w:pPr>
      <w:r w:rsidRPr="00E2240E">
        <w:rPr>
          <w:lang w:val="en-GB"/>
        </w:rPr>
        <w:fldChar w:fldCharType="begin"/>
      </w:r>
      <w:r w:rsidRPr="00E2240E">
        <w:rPr>
          <w:lang w:val="en-GB"/>
        </w:rPr>
        <w:instrText xml:space="preserve"> SEQ level0 \*arabic </w:instrText>
      </w:r>
      <w:r w:rsidRPr="00E2240E">
        <w:rPr>
          <w:lang w:val="en-GB"/>
        </w:rPr>
        <w:fldChar w:fldCharType="separate"/>
      </w:r>
      <w:r w:rsidRPr="00E2240E" w:rsidR="00E2240E">
        <w:rPr>
          <w:noProof/>
          <w:lang w:val="en-GB"/>
        </w:rPr>
        <w:t>51</w:t>
      </w:r>
      <w:r w:rsidRPr="00E2240E">
        <w:rPr>
          <w:lang w:val="en-GB"/>
        </w:rPr>
        <w:fldChar w:fldCharType="end"/>
      </w:r>
      <w:r w:rsidRPr="00E2240E">
        <w:rPr>
          <w:lang w:val="en-GB"/>
        </w:rPr>
        <w:t>.  The applicants complained about the length of the proceedings.</w:t>
      </w:r>
    </w:p>
    <w:p w:rsidRPr="00E2240E" w:rsidR="007156A2" w:rsidP="00E2240E" w:rsidRDefault="007156A2">
      <w:pPr>
        <w:pStyle w:val="ECHRPara"/>
        <w:rPr>
          <w:lang w:val="en-GB"/>
        </w:rPr>
      </w:pPr>
      <w:r w:rsidRPr="00E2240E">
        <w:rPr>
          <w:lang w:val="en-GB"/>
        </w:rPr>
        <w:fldChar w:fldCharType="begin"/>
      </w:r>
      <w:r w:rsidRPr="00E2240E">
        <w:rPr>
          <w:lang w:val="en-GB"/>
        </w:rPr>
        <w:instrText xml:space="preserve"> SEQ level0 \*arabic </w:instrText>
      </w:r>
      <w:r w:rsidRPr="00E2240E">
        <w:rPr>
          <w:lang w:val="en-GB"/>
        </w:rPr>
        <w:fldChar w:fldCharType="separate"/>
      </w:r>
      <w:r w:rsidRPr="00E2240E" w:rsidR="00E2240E">
        <w:rPr>
          <w:noProof/>
          <w:lang w:val="en-GB"/>
        </w:rPr>
        <w:t>52</w:t>
      </w:r>
      <w:r w:rsidRPr="00E2240E">
        <w:rPr>
          <w:lang w:val="en-GB"/>
        </w:rPr>
        <w:fldChar w:fldCharType="end"/>
      </w:r>
      <w:r w:rsidRPr="00E2240E">
        <w:rPr>
          <w:lang w:val="en-GB"/>
        </w:rPr>
        <w:t>.  The Government made no comment in this regard.</w:t>
      </w:r>
    </w:p>
    <w:p w:rsidRPr="00E2240E" w:rsidR="007156A2" w:rsidP="00E2240E" w:rsidRDefault="007156A2">
      <w:pPr>
        <w:pStyle w:val="ECHRPara"/>
        <w:rPr>
          <w:lang w:val="en-GB"/>
        </w:rPr>
      </w:pPr>
      <w:r w:rsidRPr="00E2240E">
        <w:rPr>
          <w:lang w:val="en-GB"/>
        </w:rPr>
        <w:fldChar w:fldCharType="begin"/>
      </w:r>
      <w:r w:rsidRPr="00E2240E">
        <w:rPr>
          <w:lang w:val="en-GB"/>
        </w:rPr>
        <w:instrText xml:space="preserve"> SEQ level0 \*arabic </w:instrText>
      </w:r>
      <w:r w:rsidRPr="00E2240E">
        <w:rPr>
          <w:lang w:val="en-GB"/>
        </w:rPr>
        <w:fldChar w:fldCharType="separate"/>
      </w:r>
      <w:r w:rsidRPr="00E2240E" w:rsidR="00E2240E">
        <w:rPr>
          <w:noProof/>
          <w:lang w:val="en-GB"/>
        </w:rPr>
        <w:t>53</w:t>
      </w:r>
      <w:r w:rsidRPr="00E2240E">
        <w:rPr>
          <w:lang w:val="en-GB"/>
        </w:rPr>
        <w:fldChar w:fldCharType="end"/>
      </w:r>
      <w:r w:rsidRPr="00E2240E">
        <w:rPr>
          <w:lang w:val="en-GB"/>
        </w:rPr>
        <w:t>.  The relevant principles in this regard are set out in detail in</w:t>
      </w:r>
      <w:r w:rsidRPr="00E2240E">
        <w:t xml:space="preserve">, among many other authorities, </w:t>
      </w:r>
      <w:proofErr w:type="spellStart"/>
      <w:r w:rsidRPr="00E2240E">
        <w:rPr>
          <w:i/>
          <w:lang w:val="en-GB"/>
        </w:rPr>
        <w:t>Frydlender</w:t>
      </w:r>
      <w:proofErr w:type="spellEnd"/>
      <w:r w:rsidRPr="00E2240E">
        <w:rPr>
          <w:i/>
          <w:lang w:val="en-GB"/>
        </w:rPr>
        <w:t xml:space="preserve"> v. France</w:t>
      </w:r>
      <w:r w:rsidRPr="00E2240E">
        <w:rPr>
          <w:lang w:val="en-GB"/>
        </w:rPr>
        <w:t xml:space="preserve"> [GC], no. 30979/96, § 43, ECHR 2000</w:t>
      </w:r>
      <w:r w:rsidRPr="00E2240E">
        <w:rPr>
          <w:lang w:val="en-GB"/>
        </w:rPr>
        <w:noBreakHyphen/>
        <w:t xml:space="preserve">VII. </w:t>
      </w:r>
      <w:r w:rsidRPr="00E2240E">
        <w:t>In particular, the repeated re-examination of a single case following remittal may in itself disclose a serious deficiency in a State</w:t>
      </w:r>
      <w:r w:rsidRPr="00E2240E" w:rsidR="00E2240E">
        <w:t>’</w:t>
      </w:r>
      <w:r w:rsidRPr="00E2240E">
        <w:t xml:space="preserve">s judicial system (see </w:t>
      </w:r>
      <w:proofErr w:type="spellStart"/>
      <w:r w:rsidRPr="00E2240E">
        <w:rPr>
          <w:i/>
          <w:lang w:val="en-GB"/>
        </w:rPr>
        <w:t>Pavlyulynets</w:t>
      </w:r>
      <w:proofErr w:type="spellEnd"/>
      <w:r w:rsidRPr="00E2240E">
        <w:rPr>
          <w:i/>
          <w:lang w:val="en-GB"/>
        </w:rPr>
        <w:t xml:space="preserve"> v. Ukraine</w:t>
      </w:r>
      <w:r w:rsidRPr="00E2240E">
        <w:rPr>
          <w:lang w:val="en-GB"/>
        </w:rPr>
        <w:t>, no. 70767/01, § 51, 6 September 2005).</w:t>
      </w:r>
    </w:p>
    <w:p w:rsidRPr="00E2240E" w:rsidR="007156A2" w:rsidP="00E2240E" w:rsidRDefault="007156A2">
      <w:pPr>
        <w:pStyle w:val="ECHRPara"/>
        <w:rPr>
          <w:szCs w:val="24"/>
          <w:lang w:val="en-GB"/>
        </w:rPr>
      </w:pPr>
      <w:r w:rsidRPr="00E2240E">
        <w:rPr>
          <w:lang w:val="en-GB"/>
        </w:rPr>
        <w:fldChar w:fldCharType="begin"/>
      </w:r>
      <w:r w:rsidRPr="00E2240E">
        <w:rPr>
          <w:lang w:val="en-GB"/>
        </w:rPr>
        <w:instrText xml:space="preserve"> SEQ level0 \*arabic </w:instrText>
      </w:r>
      <w:r w:rsidRPr="00E2240E">
        <w:rPr>
          <w:lang w:val="en-GB"/>
        </w:rPr>
        <w:fldChar w:fldCharType="separate"/>
      </w:r>
      <w:r w:rsidRPr="00E2240E" w:rsidR="00E2240E">
        <w:rPr>
          <w:noProof/>
          <w:lang w:val="en-GB"/>
        </w:rPr>
        <w:t>54</w:t>
      </w:r>
      <w:r w:rsidRPr="00E2240E">
        <w:rPr>
          <w:lang w:val="en-GB"/>
        </w:rPr>
        <w:fldChar w:fldCharType="end"/>
      </w:r>
      <w:r w:rsidRPr="00E2240E">
        <w:rPr>
          <w:lang w:val="en-GB"/>
        </w:rPr>
        <w:t xml:space="preserve">.  Turning to the present case, the Court notes that the </w:t>
      </w:r>
      <w:r w:rsidRPr="00E2240E">
        <w:t xml:space="preserve">period to be taken into account began on 19 September 2005, the date on which an appeal was lodged against the administrative decision rendered at first instance </w:t>
      </w:r>
      <w:r w:rsidRPr="00E2240E">
        <w:rPr>
          <w:lang w:val="en-GB"/>
        </w:rPr>
        <w:t xml:space="preserve">(see, </w:t>
      </w:r>
      <w:r w:rsidRPr="00E2240E">
        <w:rPr>
          <w:i/>
          <w:lang w:val="en-GB"/>
        </w:rPr>
        <w:t>mutatis mutandis</w:t>
      </w:r>
      <w:r w:rsidRPr="00E2240E">
        <w:rPr>
          <w:lang w:val="en-GB"/>
        </w:rPr>
        <w:t xml:space="preserve">, </w:t>
      </w:r>
      <w:proofErr w:type="spellStart"/>
      <w:r w:rsidRPr="00E2240E">
        <w:rPr>
          <w:i/>
          <w:szCs w:val="24"/>
          <w:lang w:val="en-GB"/>
        </w:rPr>
        <w:t>Počuča</w:t>
      </w:r>
      <w:proofErr w:type="spellEnd"/>
      <w:r w:rsidRPr="00E2240E">
        <w:rPr>
          <w:i/>
          <w:szCs w:val="24"/>
          <w:lang w:val="en-GB"/>
        </w:rPr>
        <w:t xml:space="preserve"> v. Croatia</w:t>
      </w:r>
      <w:r w:rsidRPr="00E2240E">
        <w:rPr>
          <w:szCs w:val="24"/>
          <w:lang w:val="en-GB"/>
        </w:rPr>
        <w:t>, no. 38550/02, § 30, 29</w:t>
      </w:r>
      <w:r w:rsidRPr="00E2240E" w:rsidR="00C3531A">
        <w:rPr>
          <w:szCs w:val="24"/>
          <w:lang w:val="en-GB"/>
        </w:rPr>
        <w:t> </w:t>
      </w:r>
      <w:r w:rsidRPr="00E2240E">
        <w:rPr>
          <w:szCs w:val="24"/>
          <w:lang w:val="en-GB"/>
        </w:rPr>
        <w:t>June 2006), and is still ongoing. Given that on 31 March 2016 the proceedings were adjourned at the applicants</w:t>
      </w:r>
      <w:r w:rsidRPr="00E2240E" w:rsidR="00E2240E">
        <w:rPr>
          <w:szCs w:val="24"/>
          <w:lang w:val="en-GB"/>
        </w:rPr>
        <w:t>’</w:t>
      </w:r>
      <w:r w:rsidRPr="00E2240E">
        <w:rPr>
          <w:szCs w:val="24"/>
          <w:lang w:val="en-GB"/>
        </w:rPr>
        <w:t xml:space="preserve"> request, the duration of the proceedings after that date can only be attributed to the applicants.</w:t>
      </w:r>
    </w:p>
    <w:p w:rsidRPr="00E2240E" w:rsidR="007156A2" w:rsidP="00E2240E" w:rsidRDefault="007156A2">
      <w:pPr>
        <w:pStyle w:val="ECHRPara"/>
        <w:rPr>
          <w:lang w:val="en-GB"/>
        </w:rPr>
      </w:pPr>
      <w:r w:rsidRPr="00E2240E">
        <w:rPr>
          <w:szCs w:val="24"/>
          <w:lang w:val="en-GB"/>
        </w:rPr>
        <w:fldChar w:fldCharType="begin"/>
      </w:r>
      <w:r w:rsidRPr="00E2240E">
        <w:rPr>
          <w:szCs w:val="24"/>
          <w:lang w:val="en-GB"/>
        </w:rPr>
        <w:instrText xml:space="preserve"> SEQ level0 \*arabic </w:instrText>
      </w:r>
      <w:r w:rsidRPr="00E2240E">
        <w:rPr>
          <w:szCs w:val="24"/>
          <w:lang w:val="en-GB"/>
        </w:rPr>
        <w:fldChar w:fldCharType="separate"/>
      </w:r>
      <w:r w:rsidRPr="00E2240E" w:rsidR="00E2240E">
        <w:rPr>
          <w:noProof/>
          <w:szCs w:val="24"/>
          <w:lang w:val="en-GB"/>
        </w:rPr>
        <w:t>55</w:t>
      </w:r>
      <w:r w:rsidRPr="00E2240E">
        <w:rPr>
          <w:szCs w:val="24"/>
          <w:lang w:val="en-GB"/>
        </w:rPr>
        <w:fldChar w:fldCharType="end"/>
      </w:r>
      <w:r w:rsidRPr="00E2240E">
        <w:rPr>
          <w:szCs w:val="24"/>
          <w:lang w:val="en-GB"/>
        </w:rPr>
        <w:t xml:space="preserve">.  Prior to the adjournment, over the course of ten years, six months and eleven days the domestic bodies issued twenty-one decisions (including two decisions of the Constitutional Court) and remitted the case nine times, and once again the case is before the first-instance administrative body awaiting a decision. </w:t>
      </w:r>
      <w:r w:rsidRPr="00E2240E">
        <w:t>The Court considers that neither the complexity of the case nor the applicants</w:t>
      </w:r>
      <w:r w:rsidRPr="00E2240E" w:rsidR="00E2240E">
        <w:t>’</w:t>
      </w:r>
      <w:r w:rsidRPr="00E2240E">
        <w:t xml:space="preserve"> conduct explains the length of the proceedings. The Government did not supply any explanation for the delay or comment whatsoever on this matter.</w:t>
      </w:r>
    </w:p>
    <w:p w:rsidRPr="00E2240E" w:rsidR="007156A2" w:rsidP="00E2240E" w:rsidRDefault="007156A2">
      <w:pPr>
        <w:pStyle w:val="ECHRPara"/>
        <w:rPr>
          <w:lang w:val="en-GB"/>
        </w:rPr>
      </w:pPr>
      <w:r w:rsidRPr="00E2240E">
        <w:rPr>
          <w:lang w:val="en-GB"/>
        </w:rPr>
        <w:fldChar w:fldCharType="begin"/>
      </w:r>
      <w:r w:rsidRPr="00E2240E">
        <w:rPr>
          <w:lang w:val="en-GB"/>
        </w:rPr>
        <w:instrText xml:space="preserve"> SEQ level0 \*arabic </w:instrText>
      </w:r>
      <w:r w:rsidRPr="00E2240E">
        <w:rPr>
          <w:lang w:val="en-GB"/>
        </w:rPr>
        <w:fldChar w:fldCharType="separate"/>
      </w:r>
      <w:r w:rsidRPr="00E2240E" w:rsidR="00E2240E">
        <w:rPr>
          <w:noProof/>
          <w:lang w:val="en-GB"/>
        </w:rPr>
        <w:t>56</w:t>
      </w:r>
      <w:r w:rsidRPr="00E2240E">
        <w:rPr>
          <w:lang w:val="en-GB"/>
        </w:rPr>
        <w:fldChar w:fldCharType="end"/>
      </w:r>
      <w:r w:rsidRPr="00E2240E">
        <w:rPr>
          <w:lang w:val="en-GB"/>
        </w:rPr>
        <w:t xml:space="preserve">.  In view of the above, the Court considers that </w:t>
      </w:r>
      <w:r w:rsidRPr="00E2240E">
        <w:t xml:space="preserve">accordingly </w:t>
      </w:r>
      <w:r w:rsidRPr="00E2240E">
        <w:rPr>
          <w:lang w:val="en-GB"/>
        </w:rPr>
        <w:t>t</w:t>
      </w:r>
      <w:r w:rsidRPr="00E2240E">
        <w:t>here has been a violation of Article 6 § 1 of the Convention.</w:t>
      </w:r>
    </w:p>
    <w:p w:rsidRPr="00E2240E" w:rsidR="007156A2" w:rsidP="00E2240E" w:rsidRDefault="007156A2">
      <w:pPr>
        <w:pStyle w:val="ECHRHeading1"/>
        <w:rPr>
          <w:lang w:val="en-GB"/>
        </w:rPr>
      </w:pPr>
      <w:r w:rsidRPr="00E2240E">
        <w:rPr>
          <w:lang w:val="en-GB"/>
        </w:rPr>
        <w:t>III.</w:t>
      </w:r>
      <w:proofErr w:type="gramStart"/>
      <w:r w:rsidRPr="00E2240E">
        <w:rPr>
          <w:lang w:val="en-GB"/>
        </w:rPr>
        <w:t>  ALLEGED</w:t>
      </w:r>
      <w:proofErr w:type="gramEnd"/>
      <w:r w:rsidRPr="00E2240E">
        <w:rPr>
          <w:lang w:val="en-GB"/>
        </w:rPr>
        <w:t xml:space="preserve"> VIOLATION OF ARTICLE 13 OF THE CONVENTION</w:t>
      </w:r>
    </w:p>
    <w:p w:rsidRPr="00E2240E" w:rsidR="007156A2" w:rsidP="00E2240E" w:rsidRDefault="007156A2">
      <w:pPr>
        <w:pStyle w:val="ECHRPara"/>
        <w:rPr>
          <w:lang w:val="en-GB"/>
        </w:rPr>
      </w:pPr>
      <w:r w:rsidRPr="00E2240E">
        <w:rPr>
          <w:lang w:val="en-GB"/>
        </w:rPr>
        <w:fldChar w:fldCharType="begin"/>
      </w:r>
      <w:r w:rsidRPr="00E2240E">
        <w:rPr>
          <w:lang w:val="en-GB"/>
        </w:rPr>
        <w:instrText xml:space="preserve"> SEQ level0 \*arabic </w:instrText>
      </w:r>
      <w:r w:rsidRPr="00E2240E">
        <w:rPr>
          <w:lang w:val="en-GB"/>
        </w:rPr>
        <w:fldChar w:fldCharType="separate"/>
      </w:r>
      <w:r w:rsidRPr="00E2240E" w:rsidR="00E2240E">
        <w:rPr>
          <w:noProof/>
          <w:lang w:val="en-GB"/>
        </w:rPr>
        <w:t>57</w:t>
      </w:r>
      <w:r w:rsidRPr="00E2240E">
        <w:rPr>
          <w:lang w:val="en-GB"/>
        </w:rPr>
        <w:fldChar w:fldCharType="end"/>
      </w:r>
      <w:r w:rsidRPr="00E2240E">
        <w:rPr>
          <w:lang w:val="en-GB"/>
        </w:rPr>
        <w:t>.  The applicants complained of the lack of an effective domestic remedy, relying on Article 13 of the Convention, which provides:</w:t>
      </w:r>
    </w:p>
    <w:p w:rsidRPr="00E2240E" w:rsidR="007156A2" w:rsidP="00E2240E" w:rsidRDefault="007156A2">
      <w:pPr>
        <w:pStyle w:val="ECHRParaQuote"/>
        <w:rPr>
          <w:lang w:val="en-GB"/>
        </w:rPr>
      </w:pPr>
      <w:r w:rsidRPr="00E2240E">
        <w:t>“Everyone whose rights and freedoms as set forth in [the] Convention are violated shall have an effective remedy before a national authority notwithstanding that the violation has been committed by persons acting in an official capacity.”</w:t>
      </w:r>
    </w:p>
    <w:p w:rsidRPr="00E2240E" w:rsidR="007156A2" w:rsidP="00E2240E" w:rsidRDefault="007156A2">
      <w:pPr>
        <w:pStyle w:val="ECHRHeading2"/>
      </w:pPr>
      <w:r w:rsidRPr="00E2240E">
        <w:t>A.</w:t>
      </w:r>
      <w:r w:rsidRPr="00E2240E" w:rsidR="00FB6150">
        <w:t>  </w:t>
      </w:r>
      <w:r w:rsidRPr="00E2240E">
        <w:t>Admissibility</w:t>
      </w:r>
    </w:p>
    <w:p w:rsidRPr="00E2240E" w:rsidR="007156A2" w:rsidP="00E2240E" w:rsidRDefault="00E2240E">
      <w:pPr>
        <w:pStyle w:val="ECHRPara"/>
      </w:pPr>
      <w:fldSimple w:instr=" SEQ level0 \*arabic ">
        <w:r w:rsidRPr="00E2240E">
          <w:rPr>
            <w:noProof/>
          </w:rPr>
          <w:t>58</w:t>
        </w:r>
      </w:fldSimple>
      <w:r w:rsidRPr="00E2240E" w:rsidR="007156A2">
        <w:t>.  The Court notes that the applicants</w:t>
      </w:r>
      <w:r w:rsidRPr="00E2240E">
        <w:t>’</w:t>
      </w:r>
      <w:r w:rsidRPr="00E2240E" w:rsidR="007156A2">
        <w:t xml:space="preserve"> complaint raises issues of fact and law under the Convention, the determination of which requires an examination of the merits. It also considers that the applicants</w:t>
      </w:r>
      <w:r w:rsidRPr="00E2240E">
        <w:t>’</w:t>
      </w:r>
      <w:r w:rsidRPr="00E2240E" w:rsidR="007156A2">
        <w:t xml:space="preserve"> complaint is not manifestly ill-founded within the meaning of Article 35 § 3 (a) of the Convention and cannot be rejected on any other grounds. The complaint must therefore be declared admissible.</w:t>
      </w:r>
    </w:p>
    <w:p w:rsidRPr="00E2240E" w:rsidR="007156A2" w:rsidP="00E2240E" w:rsidRDefault="007156A2">
      <w:pPr>
        <w:pStyle w:val="ECHRHeading2"/>
      </w:pPr>
      <w:r w:rsidRPr="00E2240E">
        <w:t>B.</w:t>
      </w:r>
      <w:r w:rsidRPr="00E2240E" w:rsidR="00FB6150">
        <w:t>  </w:t>
      </w:r>
      <w:r w:rsidRPr="00E2240E">
        <w:t>Merits</w:t>
      </w:r>
    </w:p>
    <w:p w:rsidRPr="00E2240E" w:rsidR="00A31AAF" w:rsidP="00E2240E" w:rsidRDefault="00E2240E">
      <w:pPr>
        <w:pStyle w:val="ECHRPara"/>
      </w:pPr>
      <w:fldSimple w:instr=" SEQ level0 \*arabic ">
        <w:r w:rsidRPr="00E2240E">
          <w:rPr>
            <w:noProof/>
          </w:rPr>
          <w:t>59</w:t>
        </w:r>
      </w:fldSimple>
      <w:r w:rsidRPr="00E2240E" w:rsidR="007156A2">
        <w:t>.  The applicants reaffirmed their complaint.</w:t>
      </w:r>
    </w:p>
    <w:p w:rsidRPr="00E2240E" w:rsidR="007156A2" w:rsidP="00E2240E" w:rsidRDefault="00E2240E">
      <w:pPr>
        <w:pStyle w:val="ECHRPara"/>
      </w:pPr>
      <w:fldSimple w:instr=" SEQ level0 \*arabic ">
        <w:r w:rsidRPr="00E2240E">
          <w:rPr>
            <w:noProof/>
          </w:rPr>
          <w:t>60</w:t>
        </w:r>
      </w:fldSimple>
      <w:r w:rsidRPr="00E2240E" w:rsidR="007156A2">
        <w:t>.  The Government made no separate comment in this regard.</w:t>
      </w:r>
    </w:p>
    <w:p w:rsidRPr="00E2240E" w:rsidR="007156A2" w:rsidP="00E2240E" w:rsidRDefault="00E2240E">
      <w:pPr>
        <w:pStyle w:val="ECHRPara"/>
      </w:pPr>
      <w:fldSimple w:instr=" SEQ level0 \*arabic ">
        <w:r w:rsidRPr="00E2240E">
          <w:rPr>
            <w:noProof/>
          </w:rPr>
          <w:t>61</w:t>
        </w:r>
      </w:fldSimple>
      <w:r w:rsidRPr="00E2240E" w:rsidR="007156A2">
        <w:t xml:space="preserve">.  The relevant principles in this regard are set out in </w:t>
      </w:r>
      <w:proofErr w:type="spellStart"/>
      <w:r w:rsidRPr="00E2240E" w:rsidR="007156A2">
        <w:rPr>
          <w:i/>
          <w:szCs w:val="24"/>
          <w:lang w:val="en-GB"/>
        </w:rPr>
        <w:t>Sürmeli</w:t>
      </w:r>
      <w:proofErr w:type="spellEnd"/>
      <w:r w:rsidRPr="00E2240E" w:rsidR="007156A2">
        <w:rPr>
          <w:i/>
          <w:szCs w:val="24"/>
          <w:lang w:val="en-GB"/>
        </w:rPr>
        <w:t xml:space="preserve"> v. Germany </w:t>
      </w:r>
      <w:r w:rsidRPr="00E2240E" w:rsidR="007156A2">
        <w:rPr>
          <w:szCs w:val="24"/>
          <w:lang w:val="en-GB"/>
        </w:rPr>
        <w:t xml:space="preserve">[GC], no. 75529/01, §§ 99-100, </w:t>
      </w:r>
      <w:r w:rsidRPr="00E2240E" w:rsidR="007156A2">
        <w:rPr>
          <w:lang w:val="en-GB"/>
        </w:rPr>
        <w:t>ECHR 2006</w:t>
      </w:r>
      <w:r w:rsidRPr="00E2240E" w:rsidR="007156A2">
        <w:rPr>
          <w:lang w:val="en-GB"/>
        </w:rPr>
        <w:noBreakHyphen/>
        <w:t xml:space="preserve">VII, and </w:t>
      </w:r>
      <w:r w:rsidRPr="00E2240E" w:rsidR="007156A2">
        <w:rPr>
          <w:i/>
          <w:snapToGrid w:val="0"/>
          <w:lang w:val="en-GB"/>
        </w:rPr>
        <w:t xml:space="preserve">McFarlane v. Ireland </w:t>
      </w:r>
      <w:r w:rsidRPr="00E2240E" w:rsidR="007156A2">
        <w:rPr>
          <w:snapToGrid w:val="0"/>
          <w:lang w:val="en-GB"/>
        </w:rPr>
        <w:t>[GC]</w:t>
      </w:r>
      <w:r w:rsidRPr="00E2240E" w:rsidR="007156A2">
        <w:rPr>
          <w:snapToGrid w:val="0"/>
          <w:szCs w:val="24"/>
          <w:lang w:val="en-GB"/>
        </w:rPr>
        <w:t xml:space="preserve">, </w:t>
      </w:r>
      <w:r w:rsidRPr="00E2240E" w:rsidR="007156A2">
        <w:rPr>
          <w:lang w:val="en-GB"/>
        </w:rPr>
        <w:t>no. 31333/06, § 107, 10 September 2010.</w:t>
      </w:r>
    </w:p>
    <w:p w:rsidRPr="00E2240E" w:rsidR="007156A2" w:rsidP="00E2240E" w:rsidRDefault="00E2240E">
      <w:pPr>
        <w:pStyle w:val="ECHRPara"/>
      </w:pPr>
      <w:fldSimple w:instr=" SEQ level0 \*arabic ">
        <w:r w:rsidRPr="00E2240E">
          <w:rPr>
            <w:noProof/>
          </w:rPr>
          <w:t>62</w:t>
        </w:r>
      </w:fldSimple>
      <w:r w:rsidRPr="00E2240E" w:rsidR="007156A2">
        <w:t>.  Turning to the present case, the Court notes that the Government asserted in their objections that there were remedies available in respect of the applicants</w:t>
      </w:r>
      <w:r w:rsidRPr="00E2240E">
        <w:t>’</w:t>
      </w:r>
      <w:r w:rsidRPr="00E2240E" w:rsidR="007156A2">
        <w:t xml:space="preserve"> complaint under Article 6 § 1 regarding the length of the proceedings. These objections were rejected on the grounds set out in paragraphs 46-49 above.</w:t>
      </w:r>
    </w:p>
    <w:p w:rsidRPr="00E2240E" w:rsidR="007156A2" w:rsidP="00E2240E" w:rsidRDefault="00E2240E">
      <w:pPr>
        <w:pStyle w:val="ECHRPara"/>
        <w:rPr>
          <w:i/>
          <w:szCs w:val="24"/>
          <w:lang w:val="en-GB"/>
        </w:rPr>
      </w:pPr>
      <w:fldSimple w:instr=" SEQ level0 \*arabic ">
        <w:r w:rsidRPr="00E2240E">
          <w:rPr>
            <w:noProof/>
          </w:rPr>
          <w:t>63</w:t>
        </w:r>
      </w:fldSimple>
      <w:r w:rsidRPr="00E2240E" w:rsidR="007156A2">
        <w:t>.  For the same reasons, the Court concludes that there has been a violation of Article 13 of the Convention, taken together with Article 6 § 1, on account of the lack of an effective remedy under domestic law for the applicants</w:t>
      </w:r>
      <w:r w:rsidRPr="00E2240E">
        <w:t>’</w:t>
      </w:r>
      <w:r w:rsidRPr="00E2240E" w:rsidR="007156A2">
        <w:t xml:space="preserve"> complaints concerning the length of the proceedings (see </w:t>
      </w:r>
      <w:proofErr w:type="spellStart"/>
      <w:r w:rsidRPr="00E2240E" w:rsidR="007156A2">
        <w:rPr>
          <w:i/>
          <w:lang w:val="en-GB"/>
        </w:rPr>
        <w:t>Stevanović</w:t>
      </w:r>
      <w:proofErr w:type="spellEnd"/>
      <w:r w:rsidRPr="00E2240E" w:rsidR="007156A2">
        <w:rPr>
          <w:i/>
          <w:lang w:val="en-GB"/>
        </w:rPr>
        <w:t xml:space="preserve"> v. Serbia</w:t>
      </w:r>
      <w:r w:rsidRPr="00E2240E" w:rsidR="007156A2">
        <w:rPr>
          <w:lang w:val="en-GB"/>
        </w:rPr>
        <w:t xml:space="preserve">, no. 26642/05, §§ 67-68, 9 October 2007, see also </w:t>
      </w:r>
      <w:proofErr w:type="spellStart"/>
      <w:r w:rsidRPr="00E2240E" w:rsidR="007156A2">
        <w:rPr>
          <w:i/>
          <w:lang w:val="en-GB"/>
        </w:rPr>
        <w:t>Stakić</w:t>
      </w:r>
      <w:proofErr w:type="spellEnd"/>
      <w:r w:rsidRPr="00E2240E" w:rsidR="007156A2">
        <w:rPr>
          <w:i/>
          <w:lang w:val="en-GB"/>
        </w:rPr>
        <w:t xml:space="preserve"> v. Montenegro</w:t>
      </w:r>
      <w:r w:rsidRPr="00E2240E" w:rsidR="007156A2">
        <w:rPr>
          <w:lang w:val="en-GB"/>
        </w:rPr>
        <w:t>, no. 49320/07</w:t>
      </w:r>
      <w:r w:rsidRPr="00E2240E" w:rsidR="007156A2">
        <w:rPr>
          <w:snapToGrid w:val="0"/>
          <w:lang w:val="en-GB"/>
        </w:rPr>
        <w:t>, §§ 59-60, 2 October 2012</w:t>
      </w:r>
      <w:r w:rsidRPr="00E2240E" w:rsidR="007156A2">
        <w:rPr>
          <w:lang w:val="en-GB"/>
        </w:rPr>
        <w:t>).</w:t>
      </w:r>
    </w:p>
    <w:p w:rsidRPr="00E2240E" w:rsidR="007156A2" w:rsidP="00E2240E" w:rsidRDefault="007156A2">
      <w:pPr>
        <w:pStyle w:val="ECHRHeading1"/>
        <w:rPr>
          <w:lang w:val="en-GB"/>
        </w:rPr>
      </w:pPr>
      <w:r w:rsidRPr="00E2240E">
        <w:rPr>
          <w:lang w:val="en-GB"/>
        </w:rPr>
        <w:t>IV.</w:t>
      </w:r>
      <w:proofErr w:type="gramStart"/>
      <w:r w:rsidRPr="00E2240E">
        <w:rPr>
          <w:lang w:val="en-GB"/>
        </w:rPr>
        <w:t>  OTHER</w:t>
      </w:r>
      <w:proofErr w:type="gramEnd"/>
      <w:r w:rsidRPr="00E2240E">
        <w:rPr>
          <w:lang w:val="en-GB"/>
        </w:rPr>
        <w:t xml:space="preserve"> ALLEGED VIOLATIONS OF THE CONVENTION</w:t>
      </w:r>
    </w:p>
    <w:p w:rsidRPr="00E2240E" w:rsidR="007156A2" w:rsidP="00E2240E" w:rsidRDefault="007156A2">
      <w:pPr>
        <w:pStyle w:val="ECHRPara"/>
        <w:rPr>
          <w:lang w:val="en-GB"/>
        </w:rPr>
      </w:pPr>
      <w:r w:rsidRPr="00E2240E">
        <w:rPr>
          <w:lang w:val="en-GB"/>
        </w:rPr>
        <w:fldChar w:fldCharType="begin"/>
      </w:r>
      <w:r w:rsidRPr="00E2240E">
        <w:rPr>
          <w:lang w:val="en-GB"/>
        </w:rPr>
        <w:instrText xml:space="preserve"> SEQ level0 \*arabic </w:instrText>
      </w:r>
      <w:r w:rsidRPr="00E2240E">
        <w:rPr>
          <w:lang w:val="en-GB"/>
        </w:rPr>
        <w:fldChar w:fldCharType="separate"/>
      </w:r>
      <w:r w:rsidRPr="00E2240E" w:rsidR="00E2240E">
        <w:rPr>
          <w:noProof/>
          <w:lang w:val="en-GB"/>
        </w:rPr>
        <w:t>64</w:t>
      </w:r>
      <w:r w:rsidRPr="00E2240E">
        <w:rPr>
          <w:lang w:val="en-GB"/>
        </w:rPr>
        <w:fldChar w:fldCharType="end"/>
      </w:r>
      <w:r w:rsidRPr="00E2240E">
        <w:rPr>
          <w:lang w:val="en-GB"/>
        </w:rPr>
        <w:t>.  On 4 July 2016, in their observations, the applicants complained for the first time regarding the Constitutional Court ruling twice upon the one set of constitutional appeals which they had lodged.</w:t>
      </w:r>
    </w:p>
    <w:p w:rsidRPr="00E2240E" w:rsidR="007156A2" w:rsidP="00E2240E" w:rsidRDefault="007156A2">
      <w:pPr>
        <w:pStyle w:val="ECHRPara"/>
        <w:rPr>
          <w:lang w:val="en-GB"/>
        </w:rPr>
      </w:pPr>
      <w:r w:rsidRPr="00E2240E">
        <w:rPr>
          <w:lang w:val="en-GB"/>
        </w:rPr>
        <w:fldChar w:fldCharType="begin"/>
      </w:r>
      <w:r w:rsidRPr="00E2240E">
        <w:rPr>
          <w:lang w:val="en-GB"/>
        </w:rPr>
        <w:instrText xml:space="preserve"> SEQ level0 \*arabic </w:instrText>
      </w:r>
      <w:r w:rsidRPr="00E2240E">
        <w:rPr>
          <w:lang w:val="en-GB"/>
        </w:rPr>
        <w:fldChar w:fldCharType="separate"/>
      </w:r>
      <w:r w:rsidRPr="00E2240E" w:rsidR="00E2240E">
        <w:rPr>
          <w:noProof/>
          <w:lang w:val="en-GB"/>
        </w:rPr>
        <w:t>65</w:t>
      </w:r>
      <w:r w:rsidRPr="00E2240E">
        <w:rPr>
          <w:lang w:val="en-GB"/>
        </w:rPr>
        <w:fldChar w:fldCharType="end"/>
      </w:r>
      <w:r w:rsidRPr="00E2240E">
        <w:rPr>
          <w:lang w:val="en-GB"/>
        </w:rPr>
        <w:t xml:space="preserve">.  The Government contested this complaint, maintaining that the applicants had each submitted two constitutional </w:t>
      </w:r>
      <w:proofErr w:type="gramStart"/>
      <w:r w:rsidRPr="00E2240E">
        <w:rPr>
          <w:lang w:val="en-GB"/>
        </w:rPr>
        <w:t>appeals,</w:t>
      </w:r>
      <w:proofErr w:type="gramEnd"/>
      <w:r w:rsidRPr="00E2240E">
        <w:rPr>
          <w:lang w:val="en-GB"/>
        </w:rPr>
        <w:t xml:space="preserve"> hence there had been two decisions, one for each of the two sets of appeals.</w:t>
      </w:r>
    </w:p>
    <w:p w:rsidRPr="00E2240E" w:rsidR="007156A2" w:rsidP="00E2240E" w:rsidRDefault="007156A2">
      <w:pPr>
        <w:pStyle w:val="ECHRPara"/>
        <w:rPr>
          <w:lang w:val="en-GB"/>
        </w:rPr>
      </w:pPr>
      <w:r w:rsidRPr="00E2240E">
        <w:rPr>
          <w:lang w:val="en-GB"/>
        </w:rPr>
        <w:fldChar w:fldCharType="begin"/>
      </w:r>
      <w:r w:rsidRPr="00E2240E">
        <w:rPr>
          <w:lang w:val="en-GB"/>
        </w:rPr>
        <w:instrText xml:space="preserve"> SEQ level0 \*arabic </w:instrText>
      </w:r>
      <w:r w:rsidRPr="00E2240E">
        <w:rPr>
          <w:lang w:val="en-GB"/>
        </w:rPr>
        <w:fldChar w:fldCharType="separate"/>
      </w:r>
      <w:r w:rsidRPr="00E2240E" w:rsidR="00E2240E">
        <w:rPr>
          <w:noProof/>
          <w:lang w:val="en-GB"/>
        </w:rPr>
        <w:t>66</w:t>
      </w:r>
      <w:r w:rsidRPr="00E2240E">
        <w:rPr>
          <w:lang w:val="en-GB"/>
        </w:rPr>
        <w:fldChar w:fldCharType="end"/>
      </w:r>
      <w:r w:rsidRPr="00E2240E">
        <w:rPr>
          <w:lang w:val="en-GB"/>
        </w:rPr>
        <w:t>.  </w:t>
      </w:r>
      <w:r w:rsidRPr="00E2240E">
        <w:t>The Court observes that these complaints were not included in the initial application, but were raised in the applicants</w:t>
      </w:r>
      <w:r w:rsidRPr="00E2240E" w:rsidR="00E2240E">
        <w:t>’</w:t>
      </w:r>
      <w:r w:rsidRPr="00E2240E">
        <w:t xml:space="preserve"> observations of </w:t>
      </w:r>
      <w:r w:rsidRPr="00E2240E" w:rsidR="00703F0B">
        <w:t>July </w:t>
      </w:r>
      <w:r w:rsidRPr="00E2240E">
        <w:t xml:space="preserve">2016. The Court therefore considers that it is not appropriate to take these matters up in the context of this application (see </w:t>
      </w:r>
      <w:proofErr w:type="spellStart"/>
      <w:r w:rsidRPr="00E2240E">
        <w:rPr>
          <w:i/>
        </w:rPr>
        <w:t>Mugoša</w:t>
      </w:r>
      <w:proofErr w:type="spellEnd"/>
      <w:r w:rsidRPr="00E2240E">
        <w:rPr>
          <w:i/>
        </w:rPr>
        <w:t xml:space="preserve"> v.</w:t>
      </w:r>
      <w:r w:rsidRPr="00E2240E" w:rsidR="00703F0B">
        <w:rPr>
          <w:i/>
        </w:rPr>
        <w:t> </w:t>
      </w:r>
      <w:r w:rsidRPr="00E2240E">
        <w:rPr>
          <w:i/>
        </w:rPr>
        <w:t>Montenegro</w:t>
      </w:r>
      <w:r w:rsidRPr="00E2240E">
        <w:t>, no. 76522/12</w:t>
      </w:r>
      <w:r w:rsidRPr="00E2240E">
        <w:rPr>
          <w:snapToGrid w:val="0"/>
        </w:rPr>
        <w:t xml:space="preserve">, §§ 70-71, 21 June 2016; </w:t>
      </w:r>
      <w:proofErr w:type="spellStart"/>
      <w:r w:rsidRPr="00E2240E">
        <w:rPr>
          <w:i/>
          <w:lang w:val="en-GB"/>
        </w:rPr>
        <w:t>Nuray</w:t>
      </w:r>
      <w:proofErr w:type="spellEnd"/>
      <w:r w:rsidRPr="00E2240E">
        <w:rPr>
          <w:i/>
          <w:lang w:val="en-GB"/>
        </w:rPr>
        <w:t xml:space="preserve"> </w:t>
      </w:r>
      <w:proofErr w:type="spellStart"/>
      <w:r w:rsidRPr="00E2240E">
        <w:rPr>
          <w:i/>
          <w:lang w:val="en-GB"/>
        </w:rPr>
        <w:t>Şen</w:t>
      </w:r>
      <w:proofErr w:type="spellEnd"/>
      <w:r w:rsidRPr="00E2240E">
        <w:rPr>
          <w:i/>
          <w:lang w:val="en-GB"/>
        </w:rPr>
        <w:t xml:space="preserve"> v. Turkey (no. 2)</w:t>
      </w:r>
      <w:r w:rsidRPr="00E2240E">
        <w:rPr>
          <w:lang w:val="en-GB"/>
        </w:rPr>
        <w:t xml:space="preserve">, no. 25354/94, § 200, 30 March 2004; </w:t>
      </w:r>
      <w:proofErr w:type="spellStart"/>
      <w:r w:rsidRPr="00E2240E">
        <w:rPr>
          <w:i/>
          <w:lang w:val="en-GB"/>
        </w:rPr>
        <w:t>Skubenko</w:t>
      </w:r>
      <w:proofErr w:type="spellEnd"/>
      <w:r w:rsidRPr="00E2240E">
        <w:rPr>
          <w:i/>
          <w:lang w:val="en-GB"/>
        </w:rPr>
        <w:t xml:space="preserve"> v. Ukraine</w:t>
      </w:r>
      <w:r w:rsidRPr="00E2240E">
        <w:rPr>
          <w:lang w:val="en-GB"/>
        </w:rPr>
        <w:t xml:space="preserve"> (</w:t>
      </w:r>
      <w:proofErr w:type="spellStart"/>
      <w:r w:rsidRPr="00E2240E">
        <w:rPr>
          <w:lang w:val="en-GB"/>
        </w:rPr>
        <w:t>dec.</w:t>
      </w:r>
      <w:proofErr w:type="spellEnd"/>
      <w:r w:rsidRPr="00E2240E">
        <w:rPr>
          <w:lang w:val="en-GB"/>
        </w:rPr>
        <w:t xml:space="preserve">), no. 41152/98, 6 April 2004; and </w:t>
      </w:r>
      <w:proofErr w:type="spellStart"/>
      <w:r w:rsidRPr="00E2240E">
        <w:rPr>
          <w:i/>
          <w:szCs w:val="24"/>
          <w:lang w:val="en-GB"/>
        </w:rPr>
        <w:t>Melnik</w:t>
      </w:r>
      <w:proofErr w:type="spellEnd"/>
      <w:r w:rsidRPr="00E2240E">
        <w:rPr>
          <w:i/>
          <w:szCs w:val="24"/>
          <w:lang w:val="en-GB"/>
        </w:rPr>
        <w:t xml:space="preserve"> v. Ukraine</w:t>
      </w:r>
      <w:r w:rsidRPr="00E2240E">
        <w:rPr>
          <w:szCs w:val="24"/>
          <w:lang w:val="en-GB"/>
        </w:rPr>
        <w:t>, no. 72286/01, §§ 61-63,</w:t>
      </w:r>
      <w:r w:rsidRPr="00E2240E" w:rsidR="00A31AAF">
        <w:rPr>
          <w:szCs w:val="24"/>
          <w:lang w:val="en-GB"/>
        </w:rPr>
        <w:t xml:space="preserve"> </w:t>
      </w:r>
      <w:r w:rsidRPr="00E2240E">
        <w:rPr>
          <w:szCs w:val="24"/>
          <w:lang w:val="en-GB"/>
        </w:rPr>
        <w:t>28 March 2006</w:t>
      </w:r>
      <w:r w:rsidRPr="00E2240E">
        <w:rPr>
          <w:lang w:val="en-GB"/>
        </w:rPr>
        <w:t>).</w:t>
      </w:r>
    </w:p>
    <w:p w:rsidRPr="00E2240E" w:rsidR="007156A2" w:rsidP="00E2240E" w:rsidRDefault="007156A2">
      <w:pPr>
        <w:pStyle w:val="ECHRHeading1"/>
        <w:rPr>
          <w:lang w:val="en-GB"/>
        </w:rPr>
      </w:pPr>
      <w:r w:rsidRPr="00E2240E">
        <w:rPr>
          <w:lang w:val="en-GB"/>
        </w:rPr>
        <w:t>V.  APPLICATION OF ARTICLE 41 OF THE CONVENTION</w:t>
      </w:r>
    </w:p>
    <w:p w:rsidRPr="00E2240E" w:rsidR="007156A2" w:rsidP="00E2240E" w:rsidRDefault="007156A2">
      <w:pPr>
        <w:pStyle w:val="ECHRPara"/>
        <w:rPr>
          <w:lang w:val="en-GB"/>
        </w:rPr>
      </w:pPr>
      <w:r w:rsidRPr="00E2240E">
        <w:rPr>
          <w:lang w:val="en-GB"/>
        </w:rPr>
        <w:fldChar w:fldCharType="begin"/>
      </w:r>
      <w:r w:rsidRPr="00E2240E">
        <w:rPr>
          <w:lang w:val="en-GB"/>
        </w:rPr>
        <w:instrText xml:space="preserve"> SEQ level0 \*arabic </w:instrText>
      </w:r>
      <w:r w:rsidRPr="00E2240E">
        <w:rPr>
          <w:lang w:val="en-GB"/>
        </w:rPr>
        <w:fldChar w:fldCharType="separate"/>
      </w:r>
      <w:r w:rsidRPr="00E2240E" w:rsidR="00E2240E">
        <w:rPr>
          <w:noProof/>
          <w:lang w:val="en-GB"/>
        </w:rPr>
        <w:t>67</w:t>
      </w:r>
      <w:r w:rsidRPr="00E2240E">
        <w:rPr>
          <w:lang w:val="en-GB"/>
        </w:rPr>
        <w:fldChar w:fldCharType="end"/>
      </w:r>
      <w:r w:rsidRPr="00E2240E">
        <w:rPr>
          <w:lang w:val="en-GB"/>
        </w:rPr>
        <w:t>.  Article 41 of the Convention provides:</w:t>
      </w:r>
    </w:p>
    <w:p w:rsidRPr="00E2240E" w:rsidR="007156A2" w:rsidP="00E2240E" w:rsidRDefault="007156A2">
      <w:pPr>
        <w:pStyle w:val="ECHRParaQuote"/>
        <w:keepNext/>
        <w:keepLines/>
        <w:rPr>
          <w:lang w:val="en-GB"/>
        </w:rPr>
      </w:pPr>
      <w:r w:rsidRPr="00E2240E">
        <w:rPr>
          <w:lang w:val="en-GB"/>
        </w:rPr>
        <w:t>“If the Court finds that there has been a violation of the Convention or the Protocols thereto, and if the internal law of the High Contracting Party concerned allows only partial reparation to be made, the Court shall, if necessary, afford just satisfaction to the injured party.”</w:t>
      </w:r>
    </w:p>
    <w:p w:rsidRPr="00E2240E" w:rsidR="007156A2" w:rsidP="00E2240E" w:rsidRDefault="007156A2">
      <w:pPr>
        <w:pStyle w:val="ECHRHeading2"/>
        <w:rPr>
          <w:lang w:val="en-GB"/>
        </w:rPr>
      </w:pPr>
      <w:r w:rsidRPr="00E2240E">
        <w:rPr>
          <w:lang w:val="en-GB"/>
        </w:rPr>
        <w:t>A.  Damage</w:t>
      </w:r>
    </w:p>
    <w:p w:rsidRPr="00E2240E" w:rsidR="007156A2" w:rsidP="00E2240E" w:rsidRDefault="007156A2">
      <w:pPr>
        <w:pStyle w:val="ECHRPara"/>
        <w:rPr>
          <w:lang w:val="en-GB"/>
        </w:rPr>
      </w:pPr>
      <w:r w:rsidRPr="00E2240E">
        <w:rPr>
          <w:lang w:val="en-GB"/>
        </w:rPr>
        <w:fldChar w:fldCharType="begin"/>
      </w:r>
      <w:r w:rsidRPr="00E2240E">
        <w:rPr>
          <w:lang w:val="en-GB"/>
        </w:rPr>
        <w:instrText xml:space="preserve"> SEQ level0 \*arabic </w:instrText>
      </w:r>
      <w:r w:rsidRPr="00E2240E">
        <w:rPr>
          <w:lang w:val="en-GB"/>
        </w:rPr>
        <w:fldChar w:fldCharType="separate"/>
      </w:r>
      <w:r w:rsidRPr="00E2240E" w:rsidR="00E2240E">
        <w:rPr>
          <w:noProof/>
          <w:lang w:val="en-GB"/>
        </w:rPr>
        <w:t>68</w:t>
      </w:r>
      <w:r w:rsidRPr="00E2240E">
        <w:rPr>
          <w:lang w:val="en-GB"/>
        </w:rPr>
        <w:fldChar w:fldCharType="end"/>
      </w:r>
      <w:r w:rsidRPr="00E2240E">
        <w:rPr>
          <w:lang w:val="en-GB"/>
        </w:rPr>
        <w:t>.  In respect of pecuniary damage, the first, third and fourth applicants claimed 26,688.01 euros (EUR) each and the second applicant claimed EUR</w:t>
      </w:r>
      <w:r w:rsidRPr="00E2240E" w:rsidR="00367AEA">
        <w:rPr>
          <w:lang w:val="en-GB"/>
        </w:rPr>
        <w:t> </w:t>
      </w:r>
      <w:r w:rsidRPr="00E2240E">
        <w:rPr>
          <w:lang w:val="en-GB"/>
        </w:rPr>
        <w:t>86,064.04. They also claimed EUR 3,000 each in respect of non</w:t>
      </w:r>
      <w:r w:rsidRPr="00E2240E" w:rsidR="00367AEA">
        <w:rPr>
          <w:lang w:val="en-GB"/>
        </w:rPr>
        <w:noBreakHyphen/>
      </w:r>
      <w:r w:rsidRPr="00E2240E">
        <w:rPr>
          <w:lang w:val="en-GB"/>
        </w:rPr>
        <w:t>pecuniary damage.</w:t>
      </w:r>
    </w:p>
    <w:p w:rsidRPr="00E2240E" w:rsidR="007156A2" w:rsidP="00E2240E" w:rsidRDefault="007156A2">
      <w:pPr>
        <w:pStyle w:val="ECHRPara"/>
        <w:rPr>
          <w:lang w:val="en-GB"/>
        </w:rPr>
      </w:pPr>
      <w:r w:rsidRPr="00E2240E">
        <w:rPr>
          <w:lang w:val="en-GB"/>
        </w:rPr>
        <w:fldChar w:fldCharType="begin"/>
      </w:r>
      <w:r w:rsidRPr="00E2240E">
        <w:rPr>
          <w:lang w:val="en-GB"/>
        </w:rPr>
        <w:instrText xml:space="preserve"> SEQ level0 \*arabic </w:instrText>
      </w:r>
      <w:r w:rsidRPr="00E2240E">
        <w:rPr>
          <w:lang w:val="en-GB"/>
        </w:rPr>
        <w:fldChar w:fldCharType="separate"/>
      </w:r>
      <w:r w:rsidRPr="00E2240E" w:rsidR="00E2240E">
        <w:rPr>
          <w:noProof/>
          <w:lang w:val="en-GB"/>
        </w:rPr>
        <w:t>69</w:t>
      </w:r>
      <w:r w:rsidRPr="00E2240E">
        <w:rPr>
          <w:lang w:val="en-GB"/>
        </w:rPr>
        <w:fldChar w:fldCharType="end"/>
      </w:r>
      <w:r w:rsidRPr="00E2240E">
        <w:rPr>
          <w:lang w:val="en-GB"/>
        </w:rPr>
        <w:t>.  The Government made no comment in this regard.</w:t>
      </w:r>
    </w:p>
    <w:p w:rsidRPr="00E2240E" w:rsidR="007156A2" w:rsidP="00E2240E" w:rsidRDefault="00E2240E">
      <w:pPr>
        <w:pStyle w:val="ECHRPara"/>
      </w:pPr>
      <w:fldSimple w:instr=" SEQ level0 \*arabic ">
        <w:r w:rsidRPr="00E2240E">
          <w:rPr>
            <w:noProof/>
          </w:rPr>
          <w:t>70</w:t>
        </w:r>
      </w:fldSimple>
      <w:r w:rsidRPr="00E2240E" w:rsidR="007156A2">
        <w:t xml:space="preserve">.  The Court is of the view that it has not been duly substantiated that the applicants sustained pecuniary damage as a result of the violation of Article 6 § 1 and Article 13. However, the Court accepts that the applicants have suffered some non-pecuniary damage which cannot be sufficiently compensated by the finding of a violation alone. Making its assessment on an equitable basis, the Court therefore awards the first, second and third applicants EUR 1,560 jointly under this head, and the fourth applicant </w:t>
      </w:r>
      <w:r w:rsidRPr="00E2240E" w:rsidR="001D7D1A">
        <w:t>EUR </w:t>
      </w:r>
      <w:r w:rsidRPr="00E2240E" w:rsidR="007156A2">
        <w:t>1,560.</w:t>
      </w:r>
    </w:p>
    <w:p w:rsidRPr="00E2240E" w:rsidR="007156A2" w:rsidP="00E2240E" w:rsidRDefault="007156A2">
      <w:pPr>
        <w:pStyle w:val="ECHRHeading2"/>
        <w:rPr>
          <w:lang w:val="en-GB"/>
        </w:rPr>
      </w:pPr>
      <w:r w:rsidRPr="00E2240E">
        <w:rPr>
          <w:lang w:val="en-GB"/>
        </w:rPr>
        <w:t>B.  Costs and expenses</w:t>
      </w:r>
    </w:p>
    <w:p w:rsidRPr="00E2240E" w:rsidR="007156A2" w:rsidP="00E2240E" w:rsidRDefault="007156A2">
      <w:pPr>
        <w:pStyle w:val="ECHRPara"/>
        <w:rPr>
          <w:lang w:val="en-GB"/>
        </w:rPr>
      </w:pPr>
      <w:r w:rsidRPr="00E2240E">
        <w:rPr>
          <w:lang w:val="en-GB"/>
        </w:rPr>
        <w:fldChar w:fldCharType="begin"/>
      </w:r>
      <w:r w:rsidRPr="00E2240E">
        <w:rPr>
          <w:lang w:val="en-GB"/>
        </w:rPr>
        <w:instrText xml:space="preserve"> SEQ level0 \*arabic </w:instrText>
      </w:r>
      <w:r w:rsidRPr="00E2240E">
        <w:rPr>
          <w:lang w:val="en-GB"/>
        </w:rPr>
        <w:fldChar w:fldCharType="separate"/>
      </w:r>
      <w:r w:rsidRPr="00E2240E" w:rsidR="00E2240E">
        <w:rPr>
          <w:noProof/>
          <w:lang w:val="en-GB"/>
        </w:rPr>
        <w:t>71</w:t>
      </w:r>
      <w:r w:rsidRPr="00E2240E">
        <w:rPr>
          <w:lang w:val="en-GB"/>
        </w:rPr>
        <w:fldChar w:fldCharType="end"/>
      </w:r>
      <w:r w:rsidRPr="00E2240E">
        <w:rPr>
          <w:lang w:val="en-GB"/>
        </w:rPr>
        <w:t>.  The applicants also claimed EUR 1,000 for costs and expenses incurred before the domestic courts, but submitted that they had kept no invoices in that respect, and EUR 625 in total for costs and expenses incurred before the Court.</w:t>
      </w:r>
    </w:p>
    <w:p w:rsidRPr="00E2240E" w:rsidR="007156A2" w:rsidP="00E2240E" w:rsidRDefault="007156A2">
      <w:pPr>
        <w:pStyle w:val="ECHRPara"/>
        <w:rPr>
          <w:lang w:val="en-GB"/>
        </w:rPr>
      </w:pPr>
      <w:r w:rsidRPr="00E2240E">
        <w:rPr>
          <w:lang w:val="en-GB"/>
        </w:rPr>
        <w:fldChar w:fldCharType="begin"/>
      </w:r>
      <w:r w:rsidRPr="00E2240E">
        <w:rPr>
          <w:lang w:val="en-GB"/>
        </w:rPr>
        <w:instrText xml:space="preserve"> SEQ level0 \*arabic </w:instrText>
      </w:r>
      <w:r w:rsidRPr="00E2240E">
        <w:rPr>
          <w:lang w:val="en-GB"/>
        </w:rPr>
        <w:fldChar w:fldCharType="separate"/>
      </w:r>
      <w:r w:rsidRPr="00E2240E" w:rsidR="00E2240E">
        <w:rPr>
          <w:noProof/>
          <w:lang w:val="en-GB"/>
        </w:rPr>
        <w:t>72</w:t>
      </w:r>
      <w:r w:rsidRPr="00E2240E">
        <w:rPr>
          <w:lang w:val="en-GB"/>
        </w:rPr>
        <w:fldChar w:fldCharType="end"/>
      </w:r>
      <w:r w:rsidRPr="00E2240E">
        <w:rPr>
          <w:lang w:val="en-GB"/>
        </w:rPr>
        <w:t>.  The Government made no comment in this regard.</w:t>
      </w:r>
    </w:p>
    <w:p w:rsidRPr="00E2240E" w:rsidR="007156A2" w:rsidP="00E2240E" w:rsidRDefault="007156A2">
      <w:pPr>
        <w:pStyle w:val="ECHRPara"/>
        <w:rPr>
          <w:lang w:val="en-GB"/>
        </w:rPr>
      </w:pPr>
      <w:r w:rsidRPr="00E2240E">
        <w:rPr>
          <w:lang w:val="en-GB"/>
        </w:rPr>
        <w:fldChar w:fldCharType="begin"/>
      </w:r>
      <w:r w:rsidRPr="00E2240E">
        <w:rPr>
          <w:lang w:val="en-GB"/>
        </w:rPr>
        <w:instrText xml:space="preserve"> SEQ level0 \*arabic </w:instrText>
      </w:r>
      <w:r w:rsidRPr="00E2240E">
        <w:rPr>
          <w:lang w:val="en-GB"/>
        </w:rPr>
        <w:fldChar w:fldCharType="separate"/>
      </w:r>
      <w:r w:rsidRPr="00E2240E" w:rsidR="00E2240E">
        <w:rPr>
          <w:noProof/>
          <w:lang w:val="en-GB"/>
        </w:rPr>
        <w:t>73</w:t>
      </w:r>
      <w:r w:rsidRPr="00E2240E">
        <w:rPr>
          <w:lang w:val="en-GB"/>
        </w:rPr>
        <w:fldChar w:fldCharType="end"/>
      </w:r>
      <w:r w:rsidRPr="00E2240E">
        <w:rPr>
          <w:lang w:val="en-GB"/>
        </w:rPr>
        <w:t>.  According to the Court</w:t>
      </w:r>
      <w:r w:rsidRPr="00E2240E" w:rsidR="00E2240E">
        <w:rPr>
          <w:lang w:val="en-GB"/>
        </w:rPr>
        <w:t>’</w:t>
      </w:r>
      <w:r w:rsidRPr="00E2240E">
        <w:rPr>
          <w:lang w:val="en-GB"/>
        </w:rPr>
        <w:t>s case-law, an applicant is entitled to the reimbursement of costs and expenses only in so far as it has been shown that these have been actually and necessarily incurred and are reasonable as to quantum. In the present case, regard being had to the documents in its possession and the above criteria, the Court rejects the claim for costs and expenses in the domestic proceedings and considers it reasonable to award to all the applicants jointly the sum of EUR 625 in respect of the proceedings before the Court.</w:t>
      </w:r>
    </w:p>
    <w:p w:rsidRPr="00E2240E" w:rsidR="007156A2" w:rsidP="00E2240E" w:rsidRDefault="007156A2">
      <w:pPr>
        <w:pStyle w:val="ECHRHeading2"/>
        <w:rPr>
          <w:lang w:val="en-GB"/>
        </w:rPr>
      </w:pPr>
      <w:r w:rsidRPr="00E2240E">
        <w:rPr>
          <w:lang w:val="en-GB"/>
        </w:rPr>
        <w:t>C.  Default interest</w:t>
      </w:r>
    </w:p>
    <w:p w:rsidRPr="00E2240E" w:rsidR="007156A2" w:rsidP="00E2240E" w:rsidRDefault="007156A2">
      <w:pPr>
        <w:pStyle w:val="ECHRPara"/>
        <w:rPr>
          <w:lang w:val="en-GB"/>
        </w:rPr>
      </w:pPr>
      <w:r w:rsidRPr="00E2240E">
        <w:rPr>
          <w:lang w:val="en-GB"/>
        </w:rPr>
        <w:fldChar w:fldCharType="begin"/>
      </w:r>
      <w:r w:rsidRPr="00E2240E">
        <w:rPr>
          <w:lang w:val="en-GB"/>
        </w:rPr>
        <w:instrText xml:space="preserve"> SEQ level0 \*arabic </w:instrText>
      </w:r>
      <w:r w:rsidRPr="00E2240E">
        <w:rPr>
          <w:lang w:val="en-GB"/>
        </w:rPr>
        <w:fldChar w:fldCharType="separate"/>
      </w:r>
      <w:r w:rsidRPr="00E2240E" w:rsidR="00E2240E">
        <w:rPr>
          <w:noProof/>
          <w:lang w:val="en-GB"/>
        </w:rPr>
        <w:t>74</w:t>
      </w:r>
      <w:r w:rsidRPr="00E2240E">
        <w:rPr>
          <w:lang w:val="en-GB"/>
        </w:rPr>
        <w:fldChar w:fldCharType="end"/>
      </w:r>
      <w:r w:rsidRPr="00E2240E">
        <w:rPr>
          <w:lang w:val="en-GB"/>
        </w:rPr>
        <w:t>.  The Court considers it appropriate that the default interest rate should be based on the marginal lending rate of the European Central Bank, to which should be added three percentage points.</w:t>
      </w:r>
    </w:p>
    <w:p w:rsidRPr="00E2240E" w:rsidR="007156A2" w:rsidP="00E2240E" w:rsidRDefault="007156A2">
      <w:pPr>
        <w:pStyle w:val="ECHRTitle1"/>
        <w:rPr>
          <w:lang w:val="en-GB"/>
        </w:rPr>
      </w:pPr>
      <w:r w:rsidRPr="00E2240E">
        <w:rPr>
          <w:lang w:val="en-GB"/>
        </w:rPr>
        <w:t>FOR THESE REASONS, THE COURT, UNANIMOUSLY,</w:t>
      </w:r>
    </w:p>
    <w:p w:rsidRPr="00E2240E" w:rsidR="007156A2" w:rsidP="00E2240E" w:rsidRDefault="007156A2">
      <w:pPr>
        <w:pStyle w:val="JuList"/>
        <w:rPr>
          <w:lang w:val="en-GB"/>
        </w:rPr>
      </w:pPr>
      <w:r w:rsidRPr="00E2240E">
        <w:rPr>
          <w:lang w:val="en-GB"/>
        </w:rPr>
        <w:t>1.  </w:t>
      </w:r>
      <w:r w:rsidRPr="00E2240E">
        <w:rPr>
          <w:i/>
        </w:rPr>
        <w:t>Decides</w:t>
      </w:r>
      <w:r w:rsidRPr="00E2240E">
        <w:t xml:space="preserve"> to join the applications;</w:t>
      </w:r>
    </w:p>
    <w:p w:rsidRPr="00E2240E" w:rsidR="007156A2" w:rsidP="00E2240E" w:rsidRDefault="007156A2">
      <w:pPr>
        <w:pStyle w:val="JuList"/>
        <w:rPr>
          <w:lang w:val="en-GB"/>
        </w:rPr>
      </w:pPr>
    </w:p>
    <w:p w:rsidRPr="00E2240E" w:rsidR="007156A2" w:rsidP="00E2240E" w:rsidRDefault="007156A2">
      <w:pPr>
        <w:pStyle w:val="JuList"/>
        <w:rPr>
          <w:lang w:val="en-GB"/>
        </w:rPr>
      </w:pPr>
      <w:r w:rsidRPr="00E2240E">
        <w:rPr>
          <w:lang w:val="en-GB"/>
        </w:rPr>
        <w:t>2.  </w:t>
      </w:r>
      <w:proofErr w:type="gramStart"/>
      <w:r w:rsidRPr="00E2240E">
        <w:rPr>
          <w:i/>
          <w:lang w:val="en-GB"/>
        </w:rPr>
        <w:t>Declares</w:t>
      </w:r>
      <w:proofErr w:type="gramEnd"/>
      <w:r w:rsidRPr="00E2240E">
        <w:rPr>
          <w:lang w:val="en-GB"/>
        </w:rPr>
        <w:t xml:space="preserve"> the applications admissible;</w:t>
      </w:r>
    </w:p>
    <w:p w:rsidRPr="00E2240E" w:rsidR="007156A2" w:rsidP="00E2240E" w:rsidRDefault="007156A2">
      <w:pPr>
        <w:pStyle w:val="JuList"/>
        <w:ind w:left="0" w:firstLine="0"/>
        <w:rPr>
          <w:lang w:val="en-GB"/>
        </w:rPr>
      </w:pPr>
    </w:p>
    <w:p w:rsidRPr="00E2240E" w:rsidR="007156A2" w:rsidP="00E2240E" w:rsidRDefault="007156A2">
      <w:pPr>
        <w:pStyle w:val="JuList"/>
        <w:rPr>
          <w:lang w:val="en-GB"/>
        </w:rPr>
      </w:pPr>
      <w:r w:rsidRPr="00E2240E">
        <w:rPr>
          <w:lang w:val="en-GB"/>
        </w:rPr>
        <w:t>3.  </w:t>
      </w:r>
      <w:r w:rsidRPr="00E2240E">
        <w:rPr>
          <w:i/>
          <w:lang w:val="en-GB"/>
        </w:rPr>
        <w:t>Holds</w:t>
      </w:r>
      <w:r w:rsidRPr="00E2240E">
        <w:rPr>
          <w:lang w:val="en-GB"/>
        </w:rPr>
        <w:t xml:space="preserve"> that there has been a violation of Article 6 § 1 of the Convention;</w:t>
      </w:r>
    </w:p>
    <w:p w:rsidRPr="00E2240E" w:rsidR="007156A2" w:rsidP="00E2240E" w:rsidRDefault="007156A2">
      <w:pPr>
        <w:pStyle w:val="JuList"/>
        <w:rPr>
          <w:lang w:val="en-GB"/>
        </w:rPr>
      </w:pPr>
    </w:p>
    <w:p w:rsidRPr="00E2240E" w:rsidR="007156A2" w:rsidP="00E2240E" w:rsidRDefault="007156A2">
      <w:pPr>
        <w:pStyle w:val="JuList"/>
        <w:rPr>
          <w:lang w:val="en-GB"/>
        </w:rPr>
      </w:pPr>
      <w:r w:rsidRPr="00E2240E">
        <w:rPr>
          <w:lang w:val="en-GB"/>
        </w:rPr>
        <w:t>4.  </w:t>
      </w:r>
      <w:proofErr w:type="gramStart"/>
      <w:r w:rsidRPr="00E2240E">
        <w:rPr>
          <w:i/>
          <w:lang w:val="en-GB"/>
        </w:rPr>
        <w:t>Holds</w:t>
      </w:r>
      <w:proofErr w:type="gramEnd"/>
      <w:r w:rsidRPr="00E2240E">
        <w:rPr>
          <w:lang w:val="en-GB"/>
        </w:rPr>
        <w:t xml:space="preserve"> that there has been a violation of Article 13 of the Convention;</w:t>
      </w:r>
    </w:p>
    <w:p w:rsidRPr="00E2240E" w:rsidR="007156A2" w:rsidP="00E2240E" w:rsidRDefault="007156A2">
      <w:pPr>
        <w:pStyle w:val="JuList"/>
        <w:rPr>
          <w:lang w:val="en-GB"/>
        </w:rPr>
      </w:pPr>
    </w:p>
    <w:p w:rsidRPr="00E2240E" w:rsidR="007156A2" w:rsidP="00E2240E" w:rsidRDefault="007156A2">
      <w:pPr>
        <w:pStyle w:val="JuList"/>
        <w:rPr>
          <w:lang w:val="en-GB"/>
        </w:rPr>
      </w:pPr>
      <w:r w:rsidRPr="00E2240E">
        <w:rPr>
          <w:lang w:val="en-GB"/>
        </w:rPr>
        <w:t>5.  </w:t>
      </w:r>
      <w:r w:rsidRPr="00E2240E">
        <w:rPr>
          <w:i/>
          <w:lang w:val="en-GB"/>
        </w:rPr>
        <w:t>Holds</w:t>
      </w:r>
    </w:p>
    <w:p w:rsidRPr="00E2240E" w:rsidR="007156A2" w:rsidP="00E2240E" w:rsidRDefault="007156A2">
      <w:pPr>
        <w:pStyle w:val="JuLista"/>
        <w:rPr>
          <w:lang w:val="en-GB"/>
        </w:rPr>
      </w:pPr>
      <w:r w:rsidRPr="00E2240E">
        <w:rPr>
          <w:lang w:val="en-GB"/>
        </w:rPr>
        <w:t>(a)  that the respondent State is to pay the applicants, within three months from the date on which the judgment becomes final in accordance with Article 44 § 2 of the Convention, the following amounts:</w:t>
      </w:r>
    </w:p>
    <w:p w:rsidRPr="00E2240E" w:rsidR="007156A2" w:rsidP="00E2240E" w:rsidRDefault="007156A2">
      <w:pPr>
        <w:pStyle w:val="JuListi"/>
        <w:rPr>
          <w:lang w:val="en-GB"/>
        </w:rPr>
      </w:pPr>
      <w:r w:rsidRPr="00E2240E">
        <w:rPr>
          <w:lang w:val="en-GB"/>
        </w:rPr>
        <w:t>(</w:t>
      </w:r>
      <w:proofErr w:type="spellStart"/>
      <w:r w:rsidRPr="00E2240E">
        <w:rPr>
          <w:lang w:val="en-GB"/>
        </w:rPr>
        <w:t>i</w:t>
      </w:r>
      <w:proofErr w:type="spellEnd"/>
      <w:r w:rsidRPr="00E2240E">
        <w:rPr>
          <w:lang w:val="en-GB"/>
        </w:rPr>
        <w:t>)  EUR 1,560 (one thousand five hundred and sixty euros) to the first, second and third applicants jointly, and EUR 1,560 (one thousand five hundred and sixty euros) to the fourth applicant alone, plus any tax that may be chargeable, in respect of non</w:t>
      </w:r>
      <w:r w:rsidRPr="00E2240E" w:rsidR="001D7D1A">
        <w:rPr>
          <w:lang w:val="en-GB"/>
        </w:rPr>
        <w:noBreakHyphen/>
      </w:r>
      <w:r w:rsidRPr="00E2240E">
        <w:rPr>
          <w:lang w:val="en-GB"/>
        </w:rPr>
        <w:t>pecuniary damage;</w:t>
      </w:r>
    </w:p>
    <w:p w:rsidRPr="00E2240E" w:rsidR="007156A2" w:rsidP="00E2240E" w:rsidRDefault="007156A2">
      <w:pPr>
        <w:pStyle w:val="JuListi"/>
        <w:rPr>
          <w:lang w:val="en-GB"/>
        </w:rPr>
      </w:pPr>
      <w:r w:rsidRPr="00E2240E">
        <w:rPr>
          <w:lang w:val="en-GB"/>
        </w:rPr>
        <w:t>(ii)  EUR 625 (six hundred and twenty-five euros) to all the applicants jointly, plus any tax that may be chargeable to the applicants, in respect of costs and expenses;</w:t>
      </w:r>
    </w:p>
    <w:p w:rsidRPr="00E2240E" w:rsidR="007156A2" w:rsidP="00E2240E" w:rsidRDefault="007156A2">
      <w:pPr>
        <w:pStyle w:val="JuLista"/>
        <w:rPr>
          <w:lang w:val="en-GB"/>
        </w:rPr>
      </w:pPr>
      <w:r w:rsidRPr="00E2240E">
        <w:rPr>
          <w:lang w:val="en-GB"/>
        </w:rPr>
        <w:t>(b)  that from the expiry of the above-mentioned three months until settlement simple interest shall be payable on the above amounts at a rate equal to the marginal lending rate of the European Central Bank during the default period plus three percentage points;</w:t>
      </w:r>
    </w:p>
    <w:p w:rsidRPr="00E2240E" w:rsidR="007156A2" w:rsidP="00E2240E" w:rsidRDefault="007156A2">
      <w:pPr>
        <w:pStyle w:val="JuList"/>
        <w:rPr>
          <w:lang w:val="en-GB"/>
        </w:rPr>
      </w:pPr>
    </w:p>
    <w:p w:rsidRPr="00E2240E" w:rsidR="007156A2" w:rsidP="00E2240E" w:rsidRDefault="007156A2">
      <w:pPr>
        <w:pStyle w:val="JuList"/>
        <w:rPr>
          <w:lang w:val="en-GB"/>
        </w:rPr>
      </w:pPr>
      <w:r w:rsidRPr="00E2240E">
        <w:rPr>
          <w:lang w:val="en-GB"/>
        </w:rPr>
        <w:t>6.  </w:t>
      </w:r>
      <w:r w:rsidRPr="00E2240E">
        <w:rPr>
          <w:i/>
          <w:lang w:val="en-GB"/>
        </w:rPr>
        <w:t>Dismisses</w:t>
      </w:r>
      <w:r w:rsidRPr="00E2240E">
        <w:rPr>
          <w:lang w:val="en-GB"/>
        </w:rPr>
        <w:t xml:space="preserve"> the remainder of the applicants</w:t>
      </w:r>
      <w:r w:rsidRPr="00E2240E" w:rsidR="00E2240E">
        <w:rPr>
          <w:lang w:val="en-GB"/>
        </w:rPr>
        <w:t>’</w:t>
      </w:r>
      <w:r w:rsidRPr="00E2240E">
        <w:rPr>
          <w:lang w:val="en-GB"/>
        </w:rPr>
        <w:t xml:space="preserve"> claim for just satisfaction.</w:t>
      </w:r>
    </w:p>
    <w:p w:rsidRPr="00E2240E" w:rsidR="007156A2" w:rsidP="00E2240E" w:rsidRDefault="007156A2">
      <w:pPr>
        <w:pStyle w:val="JuParaLast"/>
        <w:rPr>
          <w:lang w:val="en-GB"/>
        </w:rPr>
      </w:pPr>
      <w:r w:rsidRPr="00E2240E">
        <w:rPr>
          <w:lang w:val="en-GB"/>
        </w:rPr>
        <w:t xml:space="preserve">Done in English, and notified in writing on </w:t>
      </w:r>
      <w:r w:rsidRPr="00E2240E" w:rsidR="00A63264">
        <w:rPr>
          <w:lang w:val="en-GB"/>
        </w:rPr>
        <w:t>7 March 2017</w:t>
      </w:r>
      <w:r w:rsidRPr="00E2240E">
        <w:rPr>
          <w:lang w:val="en-GB"/>
        </w:rPr>
        <w:t>, pursuant to Rule 77 §§ 2 and 3 of the Rules of Court.</w:t>
      </w:r>
    </w:p>
    <w:p w:rsidRPr="00E2240E" w:rsidR="007156A2" w:rsidP="00E2240E" w:rsidRDefault="007156A2">
      <w:pPr>
        <w:pStyle w:val="JuSigned"/>
        <w:rPr>
          <w:lang w:val="en-GB"/>
        </w:rPr>
      </w:pPr>
      <w:r w:rsidRPr="00E2240E">
        <w:rPr>
          <w:lang w:val="en-GB"/>
        </w:rPr>
        <w:tab/>
      </w:r>
      <w:r w:rsidRPr="00E2240E" w:rsidR="009C35FF">
        <w:rPr>
          <w:lang w:val="en-GB"/>
        </w:rPr>
        <w:t xml:space="preserve">Hasan </w:t>
      </w:r>
      <w:proofErr w:type="spellStart"/>
      <w:r w:rsidRPr="00E2240E" w:rsidR="009C35FF">
        <w:rPr>
          <w:lang w:val="en-GB"/>
        </w:rPr>
        <w:t>Bakırcı</w:t>
      </w:r>
      <w:proofErr w:type="spellEnd"/>
      <w:r w:rsidRPr="00E2240E">
        <w:rPr>
          <w:lang w:val="en-GB"/>
        </w:rPr>
        <w:tab/>
      </w:r>
      <w:proofErr w:type="spellStart"/>
      <w:r w:rsidRPr="00E2240E">
        <w:rPr>
          <w:szCs w:val="24"/>
          <w:lang w:val="en-GB"/>
        </w:rPr>
        <w:t>Işıl</w:t>
      </w:r>
      <w:proofErr w:type="spellEnd"/>
      <w:r w:rsidRPr="00E2240E">
        <w:rPr>
          <w:szCs w:val="24"/>
          <w:lang w:val="en-GB"/>
        </w:rPr>
        <w:t xml:space="preserve"> </w:t>
      </w:r>
      <w:proofErr w:type="spellStart"/>
      <w:r w:rsidRPr="00E2240E">
        <w:rPr>
          <w:szCs w:val="24"/>
          <w:lang w:val="en-GB"/>
        </w:rPr>
        <w:t>Karakaş</w:t>
      </w:r>
      <w:proofErr w:type="spellEnd"/>
      <w:r w:rsidRPr="00E2240E">
        <w:rPr>
          <w:szCs w:val="24"/>
          <w:lang w:val="en-GB"/>
        </w:rPr>
        <w:br/>
      </w:r>
      <w:r w:rsidRPr="00E2240E">
        <w:rPr>
          <w:lang w:val="en-GB"/>
        </w:rPr>
        <w:tab/>
      </w:r>
      <w:r w:rsidRPr="00E2240E" w:rsidR="009C35FF">
        <w:rPr>
          <w:lang w:val="en-GB"/>
        </w:rPr>
        <w:t xml:space="preserve">Deputy </w:t>
      </w:r>
      <w:r w:rsidRPr="00E2240E">
        <w:rPr>
          <w:iCs/>
          <w:lang w:val="en-GB"/>
        </w:rPr>
        <w:t>Registrar</w:t>
      </w:r>
      <w:r w:rsidRPr="00E2240E">
        <w:rPr>
          <w:lang w:val="en-GB"/>
        </w:rPr>
        <w:tab/>
        <w:t>President</w:t>
      </w:r>
    </w:p>
    <w:p w:rsidRPr="00E2240E" w:rsidR="007156A2" w:rsidP="00E2240E" w:rsidRDefault="007156A2">
      <w:pPr>
        <w:rPr>
          <w:lang w:val="en-GB"/>
        </w:rPr>
      </w:pPr>
    </w:p>
    <w:p w:rsidRPr="00E2240E" w:rsidR="007156A2" w:rsidP="00E2240E" w:rsidRDefault="007156A2">
      <w:pPr>
        <w:rPr>
          <w:lang w:val="en-GB"/>
        </w:rPr>
      </w:pPr>
    </w:p>
    <w:p w:rsidRPr="00E2240E" w:rsidR="007156A2" w:rsidP="00E2240E" w:rsidRDefault="007156A2">
      <w:pPr>
        <w:rPr>
          <w:lang w:val="en-GB"/>
        </w:rPr>
      </w:pPr>
    </w:p>
    <w:p w:rsidRPr="00E2240E" w:rsidR="007156A2" w:rsidP="00E2240E" w:rsidRDefault="007156A2">
      <w:pPr>
        <w:pStyle w:val="JuTitle"/>
        <w:keepNext/>
        <w:keepLines/>
        <w:rPr>
          <w:lang w:val="en-GB"/>
        </w:rPr>
      </w:pPr>
      <w:r w:rsidRPr="00E2240E">
        <w:rPr>
          <w:lang w:val="en-GB"/>
        </w:rPr>
        <w:t>APPENDIX</w:t>
      </w:r>
    </w:p>
    <w:p w:rsidRPr="00E2240E" w:rsidR="007156A2" w:rsidP="00E2240E" w:rsidRDefault="007156A2">
      <w:pPr>
        <w:keepNext/>
        <w:keepLines/>
        <w:rPr>
          <w:lang w:val="en-GB"/>
        </w:rPr>
      </w:pPr>
    </w:p>
    <w:p w:rsidRPr="00E2240E" w:rsidR="007156A2" w:rsidP="00E2240E" w:rsidRDefault="007156A2">
      <w:pPr>
        <w:keepNext/>
        <w:keepLines/>
        <w:rPr>
          <w:lang w:val="en-GB"/>
        </w:rPr>
      </w:pPr>
    </w:p>
    <w:p w:rsidRPr="00E2240E" w:rsidR="007156A2" w:rsidP="00E2240E" w:rsidRDefault="007156A2">
      <w:pPr>
        <w:keepNext/>
        <w:keepLines/>
        <w:rPr>
          <w:lang w:val="en-GB"/>
        </w:rPr>
      </w:pPr>
    </w:p>
    <w:tbl>
      <w:tblPr>
        <w:tblStyle w:val="ECHRListTable"/>
        <w:tblW w:w="7763" w:type="dxa"/>
        <w:tblLook w:val="05E0" w:firstRow="1" w:lastRow="1" w:firstColumn="1" w:lastColumn="1" w:noHBand="0" w:noVBand="1"/>
      </w:tblPr>
      <w:tblGrid>
        <w:gridCol w:w="510"/>
        <w:gridCol w:w="1429"/>
        <w:gridCol w:w="1379"/>
        <w:gridCol w:w="2602"/>
        <w:gridCol w:w="1843"/>
      </w:tblGrid>
      <w:tr w:rsidRPr="00E2240E" w:rsidR="007156A2" w:rsidTr="00A63264">
        <w:trPr>
          <w:cnfStyle w:val="100000000000" w:firstRow="1" w:lastRow="0" w:firstColumn="0" w:lastColumn="0" w:oddVBand="0" w:evenVBand="0" w:oddHBand="0" w:evenHBand="0" w:firstRowFirstColumn="0" w:firstRowLastColumn="0" w:lastRowFirstColumn="0" w:lastRowLastColumn="0"/>
        </w:trPr>
        <w:tc>
          <w:tcPr>
            <w:tcW w:w="510" w:type="dxa"/>
          </w:tcPr>
          <w:p w:rsidRPr="00E2240E" w:rsidR="007156A2" w:rsidP="00E2240E" w:rsidRDefault="007156A2">
            <w:pPr>
              <w:keepNext/>
              <w:keepLines/>
              <w:jc w:val="left"/>
              <w:rPr>
                <w:lang w:val="en-GB"/>
              </w:rPr>
            </w:pPr>
            <w:bookmarkStart w:name="TableStart" w:id="1"/>
            <w:bookmarkEnd w:id="1"/>
            <w:r w:rsidRPr="00E2240E">
              <w:rPr>
                <w:lang w:val="en-GB"/>
              </w:rPr>
              <w:t>No</w:t>
            </w:r>
          </w:p>
        </w:tc>
        <w:tc>
          <w:tcPr>
            <w:tcW w:w="1429" w:type="dxa"/>
          </w:tcPr>
          <w:p w:rsidRPr="00E2240E" w:rsidR="007156A2" w:rsidP="00E2240E" w:rsidRDefault="007156A2">
            <w:pPr>
              <w:keepNext/>
              <w:keepLines/>
              <w:jc w:val="left"/>
              <w:rPr>
                <w:lang w:val="en-GB"/>
              </w:rPr>
            </w:pPr>
            <w:r w:rsidRPr="00E2240E">
              <w:rPr>
                <w:lang w:val="en-GB"/>
              </w:rPr>
              <w:t>Application No</w:t>
            </w:r>
          </w:p>
        </w:tc>
        <w:tc>
          <w:tcPr>
            <w:tcW w:w="1379" w:type="dxa"/>
          </w:tcPr>
          <w:p w:rsidRPr="00E2240E" w:rsidR="007156A2" w:rsidP="00E2240E" w:rsidRDefault="007156A2">
            <w:pPr>
              <w:keepNext/>
              <w:keepLines/>
              <w:jc w:val="left"/>
              <w:rPr>
                <w:lang w:val="en-GB"/>
              </w:rPr>
            </w:pPr>
            <w:r w:rsidRPr="00E2240E">
              <w:rPr>
                <w:lang w:val="en-GB"/>
              </w:rPr>
              <w:t>Lodged on</w:t>
            </w:r>
          </w:p>
        </w:tc>
        <w:tc>
          <w:tcPr>
            <w:tcW w:w="2602" w:type="dxa"/>
          </w:tcPr>
          <w:p w:rsidRPr="00E2240E" w:rsidR="007156A2" w:rsidP="00E2240E" w:rsidRDefault="007156A2">
            <w:pPr>
              <w:keepNext/>
              <w:keepLines/>
              <w:jc w:val="left"/>
              <w:rPr>
                <w:lang w:val="en-GB"/>
              </w:rPr>
            </w:pPr>
            <w:r w:rsidRPr="00E2240E">
              <w:rPr>
                <w:lang w:val="en-GB"/>
              </w:rPr>
              <w:t>Applicant</w:t>
            </w:r>
          </w:p>
          <w:p w:rsidRPr="00E2240E" w:rsidR="007156A2" w:rsidP="00E2240E" w:rsidRDefault="007156A2">
            <w:pPr>
              <w:keepNext/>
              <w:keepLines/>
              <w:jc w:val="left"/>
              <w:rPr>
                <w:lang w:val="en-GB"/>
              </w:rPr>
            </w:pPr>
            <w:r w:rsidRPr="00E2240E">
              <w:rPr>
                <w:lang w:val="en-GB"/>
              </w:rPr>
              <w:t>Date of birth</w:t>
            </w:r>
          </w:p>
          <w:p w:rsidRPr="00E2240E" w:rsidR="007156A2" w:rsidP="00E2240E" w:rsidRDefault="007156A2">
            <w:pPr>
              <w:keepNext/>
              <w:keepLines/>
              <w:jc w:val="left"/>
              <w:rPr>
                <w:lang w:val="en-GB"/>
              </w:rPr>
            </w:pPr>
            <w:r w:rsidRPr="00E2240E">
              <w:rPr>
                <w:lang w:val="en-GB"/>
              </w:rPr>
              <w:t>Place of residence</w:t>
            </w:r>
          </w:p>
          <w:p w:rsidRPr="00E2240E" w:rsidR="007156A2" w:rsidP="00E2240E" w:rsidRDefault="007156A2">
            <w:pPr>
              <w:keepNext/>
              <w:keepLines/>
              <w:jc w:val="left"/>
              <w:rPr>
                <w:lang w:val="en-GB"/>
              </w:rPr>
            </w:pPr>
            <w:r w:rsidRPr="00E2240E">
              <w:rPr>
                <w:lang w:val="en-GB"/>
              </w:rPr>
              <w:t>Nationality</w:t>
            </w:r>
          </w:p>
        </w:tc>
        <w:tc>
          <w:tcPr>
            <w:tcW w:w="1843" w:type="dxa"/>
          </w:tcPr>
          <w:p w:rsidRPr="00E2240E" w:rsidR="007156A2" w:rsidP="00E2240E" w:rsidRDefault="007156A2">
            <w:pPr>
              <w:keepNext/>
              <w:keepLines/>
              <w:jc w:val="left"/>
              <w:rPr>
                <w:lang w:val="en-GB"/>
              </w:rPr>
            </w:pPr>
            <w:r w:rsidRPr="00E2240E">
              <w:rPr>
                <w:lang w:val="en-GB"/>
              </w:rPr>
              <w:t>Represented by</w:t>
            </w:r>
          </w:p>
        </w:tc>
      </w:tr>
      <w:tr w:rsidRPr="00E2240E" w:rsidR="007156A2" w:rsidTr="00A63264">
        <w:tc>
          <w:tcPr>
            <w:tcW w:w="510" w:type="dxa"/>
          </w:tcPr>
          <w:p w:rsidRPr="00E2240E" w:rsidR="007156A2" w:rsidP="00E2240E" w:rsidRDefault="007156A2">
            <w:pPr>
              <w:pStyle w:val="ListParagraph"/>
              <w:keepNext/>
              <w:keepLines/>
              <w:numPr>
                <w:ilvl w:val="0"/>
                <w:numId w:val="22"/>
              </w:numPr>
              <w:tabs>
                <w:tab w:val="num" w:pos="283"/>
              </w:tabs>
              <w:ind w:left="0" w:firstLine="0"/>
              <w:jc w:val="left"/>
              <w:rPr>
                <w:lang w:val="en-GB"/>
              </w:rPr>
            </w:pPr>
            <w:bookmarkStart w:name="_Ref468271166" w:id="2"/>
          </w:p>
        </w:tc>
        <w:bookmarkEnd w:id="2"/>
        <w:tc>
          <w:tcPr>
            <w:tcW w:w="1429" w:type="dxa"/>
          </w:tcPr>
          <w:p w:rsidRPr="00E2240E" w:rsidR="007156A2" w:rsidP="00E2240E" w:rsidRDefault="007156A2">
            <w:pPr>
              <w:keepNext/>
              <w:keepLines/>
              <w:jc w:val="left"/>
              <w:rPr>
                <w:lang w:val="en-GB"/>
              </w:rPr>
            </w:pPr>
            <w:r w:rsidRPr="00E2240E">
              <w:rPr>
                <w:lang w:val="en-GB"/>
              </w:rPr>
              <w:t>33781/15</w:t>
            </w:r>
          </w:p>
        </w:tc>
        <w:tc>
          <w:tcPr>
            <w:tcW w:w="1379" w:type="dxa"/>
          </w:tcPr>
          <w:p w:rsidRPr="00E2240E" w:rsidR="007156A2" w:rsidP="00E2240E" w:rsidRDefault="007156A2">
            <w:pPr>
              <w:keepNext/>
              <w:keepLines/>
              <w:jc w:val="left"/>
              <w:rPr>
                <w:lang w:val="en-GB"/>
              </w:rPr>
            </w:pPr>
            <w:r w:rsidRPr="00E2240E">
              <w:rPr>
                <w:lang w:val="en-GB"/>
              </w:rPr>
              <w:t>30/06/2015</w:t>
            </w:r>
          </w:p>
        </w:tc>
        <w:tc>
          <w:tcPr>
            <w:tcW w:w="2602" w:type="dxa"/>
          </w:tcPr>
          <w:p w:rsidRPr="00E2240E" w:rsidR="00A31AAF" w:rsidP="00E2240E" w:rsidRDefault="007156A2">
            <w:pPr>
              <w:keepNext/>
              <w:keepLines/>
              <w:jc w:val="left"/>
              <w:rPr>
                <w:b/>
                <w:lang w:val="en-GB"/>
              </w:rPr>
            </w:pPr>
            <w:proofErr w:type="spellStart"/>
            <w:r w:rsidRPr="00E2240E">
              <w:rPr>
                <w:b/>
                <w:lang w:val="en-GB"/>
              </w:rPr>
              <w:t>Stanka</w:t>
            </w:r>
            <w:proofErr w:type="spellEnd"/>
            <w:r w:rsidRPr="00E2240E">
              <w:rPr>
                <w:b/>
                <w:lang w:val="en-GB"/>
              </w:rPr>
              <w:t xml:space="preserve"> MIRKOVIĆ</w:t>
            </w:r>
          </w:p>
          <w:p w:rsidRPr="00E2240E" w:rsidR="007156A2" w:rsidP="00E2240E" w:rsidRDefault="007156A2">
            <w:pPr>
              <w:keepNext/>
              <w:keepLines/>
              <w:jc w:val="left"/>
              <w:rPr>
                <w:lang w:val="en-GB"/>
              </w:rPr>
            </w:pPr>
            <w:r w:rsidRPr="00E2240E">
              <w:rPr>
                <w:lang w:val="en-GB"/>
              </w:rPr>
              <w:t>29/11/1939</w:t>
            </w:r>
          </w:p>
          <w:p w:rsidRPr="00E2240E" w:rsidR="007156A2" w:rsidP="00E2240E" w:rsidRDefault="007156A2">
            <w:pPr>
              <w:keepNext/>
              <w:keepLines/>
              <w:jc w:val="left"/>
              <w:rPr>
                <w:lang w:val="en-GB"/>
              </w:rPr>
            </w:pPr>
            <w:r w:rsidRPr="00E2240E">
              <w:rPr>
                <w:lang w:val="en-GB"/>
              </w:rPr>
              <w:t>Belgrade (Serbia)</w:t>
            </w:r>
          </w:p>
          <w:p w:rsidRPr="00E2240E" w:rsidR="007156A2" w:rsidP="00E2240E" w:rsidRDefault="007156A2">
            <w:pPr>
              <w:keepNext/>
              <w:keepLines/>
              <w:jc w:val="left"/>
              <w:rPr>
                <w:lang w:val="en-GB"/>
              </w:rPr>
            </w:pPr>
            <w:r w:rsidRPr="00E2240E">
              <w:rPr>
                <w:lang w:val="en-GB"/>
              </w:rPr>
              <w:t>Montenegrin</w:t>
            </w:r>
          </w:p>
          <w:p w:rsidRPr="00E2240E" w:rsidR="007156A2" w:rsidP="00E2240E" w:rsidRDefault="007156A2">
            <w:pPr>
              <w:keepNext/>
              <w:keepLines/>
              <w:jc w:val="left"/>
              <w:rPr>
                <w:lang w:val="en-GB"/>
              </w:rPr>
            </w:pPr>
            <w:r w:rsidRPr="00E2240E">
              <w:rPr>
                <w:lang w:val="en-GB"/>
              </w:rPr>
              <w:t>(“the first applicant”)</w:t>
            </w:r>
          </w:p>
          <w:p w:rsidRPr="00E2240E" w:rsidR="007156A2" w:rsidP="00E2240E" w:rsidRDefault="007156A2">
            <w:pPr>
              <w:keepNext/>
              <w:keepLines/>
              <w:jc w:val="left"/>
              <w:rPr>
                <w:lang w:val="en-GB"/>
              </w:rPr>
            </w:pPr>
          </w:p>
        </w:tc>
        <w:tc>
          <w:tcPr>
            <w:tcW w:w="1843" w:type="dxa"/>
          </w:tcPr>
          <w:p w:rsidRPr="00E2240E" w:rsidR="007156A2" w:rsidP="00E2240E" w:rsidRDefault="007156A2">
            <w:pPr>
              <w:keepNext/>
              <w:keepLines/>
              <w:jc w:val="left"/>
              <w:rPr>
                <w:lang w:val="en-GB"/>
              </w:rPr>
            </w:pPr>
            <w:proofErr w:type="spellStart"/>
            <w:r w:rsidRPr="00E2240E">
              <w:rPr>
                <w:lang w:val="en-GB"/>
              </w:rPr>
              <w:t>Josif</w:t>
            </w:r>
            <w:proofErr w:type="spellEnd"/>
            <w:r w:rsidRPr="00E2240E">
              <w:rPr>
                <w:lang w:val="en-GB"/>
              </w:rPr>
              <w:t xml:space="preserve"> MIĆKOVIĆ</w:t>
            </w:r>
          </w:p>
        </w:tc>
      </w:tr>
      <w:tr w:rsidRPr="00E2240E" w:rsidR="007156A2" w:rsidTr="00A63264">
        <w:tc>
          <w:tcPr>
            <w:tcW w:w="510" w:type="dxa"/>
          </w:tcPr>
          <w:p w:rsidRPr="00E2240E" w:rsidR="007156A2" w:rsidP="00E2240E" w:rsidRDefault="007156A2">
            <w:pPr>
              <w:pStyle w:val="ListParagraph"/>
              <w:numPr>
                <w:ilvl w:val="0"/>
                <w:numId w:val="22"/>
              </w:numPr>
              <w:tabs>
                <w:tab w:val="num" w:pos="283"/>
              </w:tabs>
              <w:ind w:left="0" w:firstLine="0"/>
              <w:jc w:val="left"/>
              <w:rPr>
                <w:lang w:val="en-GB"/>
              </w:rPr>
            </w:pPr>
          </w:p>
        </w:tc>
        <w:tc>
          <w:tcPr>
            <w:tcW w:w="1429" w:type="dxa"/>
          </w:tcPr>
          <w:p w:rsidRPr="00E2240E" w:rsidR="007156A2" w:rsidP="00E2240E" w:rsidRDefault="007156A2">
            <w:pPr>
              <w:jc w:val="left"/>
              <w:rPr>
                <w:lang w:val="en-GB"/>
              </w:rPr>
            </w:pPr>
            <w:r w:rsidRPr="00E2240E">
              <w:rPr>
                <w:lang w:val="en-GB"/>
              </w:rPr>
              <w:t>33785/15</w:t>
            </w:r>
          </w:p>
        </w:tc>
        <w:tc>
          <w:tcPr>
            <w:tcW w:w="1379" w:type="dxa"/>
          </w:tcPr>
          <w:p w:rsidRPr="00E2240E" w:rsidR="007156A2" w:rsidP="00E2240E" w:rsidRDefault="007156A2">
            <w:pPr>
              <w:jc w:val="left"/>
              <w:rPr>
                <w:lang w:val="en-GB"/>
              </w:rPr>
            </w:pPr>
            <w:r w:rsidRPr="00E2240E">
              <w:rPr>
                <w:lang w:val="en-GB"/>
              </w:rPr>
              <w:t>30/06/2015</w:t>
            </w:r>
          </w:p>
        </w:tc>
        <w:tc>
          <w:tcPr>
            <w:tcW w:w="2602" w:type="dxa"/>
          </w:tcPr>
          <w:p w:rsidRPr="00E2240E" w:rsidR="00A31AAF" w:rsidP="00E2240E" w:rsidRDefault="007156A2">
            <w:pPr>
              <w:jc w:val="left"/>
              <w:rPr>
                <w:b/>
                <w:lang w:val="en-GB"/>
              </w:rPr>
            </w:pPr>
            <w:proofErr w:type="spellStart"/>
            <w:r w:rsidRPr="00E2240E">
              <w:rPr>
                <w:b/>
                <w:lang w:val="en-GB"/>
              </w:rPr>
              <w:t>Darinka</w:t>
            </w:r>
            <w:proofErr w:type="spellEnd"/>
            <w:r w:rsidRPr="00E2240E">
              <w:rPr>
                <w:b/>
                <w:lang w:val="en-GB"/>
              </w:rPr>
              <w:t xml:space="preserve"> MARJANOVIĆ</w:t>
            </w:r>
          </w:p>
          <w:p w:rsidRPr="00E2240E" w:rsidR="007156A2" w:rsidP="00E2240E" w:rsidRDefault="007156A2">
            <w:pPr>
              <w:jc w:val="left"/>
              <w:rPr>
                <w:lang w:val="en-GB"/>
              </w:rPr>
            </w:pPr>
            <w:r w:rsidRPr="00E2240E">
              <w:rPr>
                <w:lang w:val="en-GB"/>
              </w:rPr>
              <w:t>26/10/1931</w:t>
            </w:r>
          </w:p>
          <w:p w:rsidRPr="00E2240E" w:rsidR="007156A2" w:rsidP="00E2240E" w:rsidRDefault="007156A2">
            <w:pPr>
              <w:jc w:val="left"/>
              <w:rPr>
                <w:lang w:val="en-GB"/>
              </w:rPr>
            </w:pPr>
            <w:r w:rsidRPr="00E2240E">
              <w:rPr>
                <w:lang w:val="en-GB"/>
              </w:rPr>
              <w:t>Belgrade (Serbia)</w:t>
            </w:r>
          </w:p>
          <w:p w:rsidRPr="00E2240E" w:rsidR="007156A2" w:rsidP="00E2240E" w:rsidRDefault="007156A2">
            <w:pPr>
              <w:jc w:val="left"/>
              <w:rPr>
                <w:lang w:val="en-GB"/>
              </w:rPr>
            </w:pPr>
            <w:r w:rsidRPr="00E2240E">
              <w:rPr>
                <w:lang w:val="en-GB"/>
              </w:rPr>
              <w:t>Serbian</w:t>
            </w:r>
          </w:p>
          <w:p w:rsidRPr="00E2240E" w:rsidR="007156A2" w:rsidP="00E2240E" w:rsidRDefault="007156A2">
            <w:pPr>
              <w:jc w:val="left"/>
              <w:rPr>
                <w:lang w:val="en-GB"/>
              </w:rPr>
            </w:pPr>
            <w:r w:rsidRPr="00E2240E">
              <w:rPr>
                <w:lang w:val="en-GB"/>
              </w:rPr>
              <w:t>(“the second applicant”)</w:t>
            </w:r>
          </w:p>
          <w:p w:rsidRPr="00E2240E" w:rsidR="007156A2" w:rsidP="00E2240E" w:rsidRDefault="007156A2">
            <w:pPr>
              <w:jc w:val="left"/>
              <w:rPr>
                <w:lang w:val="en-GB"/>
              </w:rPr>
            </w:pPr>
          </w:p>
        </w:tc>
        <w:tc>
          <w:tcPr>
            <w:tcW w:w="1843" w:type="dxa"/>
          </w:tcPr>
          <w:p w:rsidRPr="00E2240E" w:rsidR="007156A2" w:rsidP="00E2240E" w:rsidRDefault="007156A2">
            <w:pPr>
              <w:jc w:val="left"/>
              <w:rPr>
                <w:lang w:val="en-GB"/>
              </w:rPr>
            </w:pPr>
            <w:proofErr w:type="spellStart"/>
            <w:r w:rsidRPr="00E2240E">
              <w:rPr>
                <w:lang w:val="en-GB"/>
              </w:rPr>
              <w:t>Josif</w:t>
            </w:r>
            <w:proofErr w:type="spellEnd"/>
            <w:r w:rsidRPr="00E2240E">
              <w:rPr>
                <w:lang w:val="en-GB"/>
              </w:rPr>
              <w:t xml:space="preserve"> MIĆKOVIĆ</w:t>
            </w:r>
          </w:p>
        </w:tc>
      </w:tr>
      <w:tr w:rsidRPr="00E2240E" w:rsidR="007156A2" w:rsidTr="00A63264">
        <w:tc>
          <w:tcPr>
            <w:tcW w:w="510" w:type="dxa"/>
          </w:tcPr>
          <w:p w:rsidRPr="00E2240E" w:rsidR="007156A2" w:rsidP="00E2240E" w:rsidRDefault="007156A2">
            <w:pPr>
              <w:pStyle w:val="ListParagraph"/>
              <w:numPr>
                <w:ilvl w:val="0"/>
                <w:numId w:val="22"/>
              </w:numPr>
              <w:tabs>
                <w:tab w:val="num" w:pos="283"/>
              </w:tabs>
              <w:ind w:left="0" w:firstLine="0"/>
              <w:jc w:val="left"/>
              <w:rPr>
                <w:lang w:val="en-GB"/>
              </w:rPr>
            </w:pPr>
          </w:p>
        </w:tc>
        <w:tc>
          <w:tcPr>
            <w:tcW w:w="1429" w:type="dxa"/>
          </w:tcPr>
          <w:p w:rsidRPr="00E2240E" w:rsidR="007156A2" w:rsidP="00E2240E" w:rsidRDefault="007156A2">
            <w:pPr>
              <w:jc w:val="left"/>
              <w:rPr>
                <w:lang w:val="en-GB"/>
              </w:rPr>
            </w:pPr>
            <w:r w:rsidRPr="00E2240E">
              <w:rPr>
                <w:lang w:val="en-GB"/>
              </w:rPr>
              <w:t>34369/15</w:t>
            </w:r>
          </w:p>
        </w:tc>
        <w:tc>
          <w:tcPr>
            <w:tcW w:w="1379" w:type="dxa"/>
          </w:tcPr>
          <w:p w:rsidRPr="00E2240E" w:rsidR="007156A2" w:rsidP="00E2240E" w:rsidRDefault="007156A2">
            <w:pPr>
              <w:jc w:val="left"/>
              <w:rPr>
                <w:lang w:val="en-GB"/>
              </w:rPr>
            </w:pPr>
            <w:r w:rsidRPr="00E2240E">
              <w:rPr>
                <w:lang w:val="en-GB"/>
              </w:rPr>
              <w:t>30/06/2015</w:t>
            </w:r>
          </w:p>
        </w:tc>
        <w:tc>
          <w:tcPr>
            <w:tcW w:w="2602" w:type="dxa"/>
          </w:tcPr>
          <w:p w:rsidRPr="00E2240E" w:rsidR="00A31AAF" w:rsidP="00E2240E" w:rsidRDefault="007156A2">
            <w:pPr>
              <w:jc w:val="left"/>
              <w:rPr>
                <w:b/>
                <w:lang w:val="en-GB"/>
              </w:rPr>
            </w:pPr>
            <w:r w:rsidRPr="00E2240E">
              <w:rPr>
                <w:b/>
                <w:lang w:val="en-GB"/>
              </w:rPr>
              <w:t>Igor MIRKOVIĆ</w:t>
            </w:r>
          </w:p>
          <w:p w:rsidRPr="00E2240E" w:rsidR="007156A2" w:rsidP="00E2240E" w:rsidRDefault="007156A2">
            <w:pPr>
              <w:jc w:val="left"/>
              <w:rPr>
                <w:lang w:val="en-GB"/>
              </w:rPr>
            </w:pPr>
            <w:r w:rsidRPr="00E2240E">
              <w:rPr>
                <w:lang w:val="en-GB"/>
              </w:rPr>
              <w:t>26/05/1961</w:t>
            </w:r>
          </w:p>
          <w:p w:rsidRPr="00E2240E" w:rsidR="007156A2" w:rsidP="00E2240E" w:rsidRDefault="007156A2">
            <w:pPr>
              <w:jc w:val="left"/>
              <w:rPr>
                <w:lang w:val="en-GB"/>
              </w:rPr>
            </w:pPr>
            <w:r w:rsidRPr="00E2240E">
              <w:rPr>
                <w:lang w:val="en-GB"/>
              </w:rPr>
              <w:t>Belgrade (Serbia)</w:t>
            </w:r>
          </w:p>
          <w:p w:rsidRPr="00E2240E" w:rsidR="007156A2" w:rsidP="00E2240E" w:rsidRDefault="007156A2">
            <w:pPr>
              <w:jc w:val="left"/>
              <w:rPr>
                <w:lang w:val="en-GB"/>
              </w:rPr>
            </w:pPr>
            <w:r w:rsidRPr="00E2240E">
              <w:rPr>
                <w:lang w:val="en-GB"/>
              </w:rPr>
              <w:t>Serbian</w:t>
            </w:r>
          </w:p>
          <w:p w:rsidRPr="00E2240E" w:rsidR="007156A2" w:rsidP="00E2240E" w:rsidRDefault="007156A2">
            <w:pPr>
              <w:jc w:val="left"/>
              <w:rPr>
                <w:lang w:val="en-GB"/>
              </w:rPr>
            </w:pPr>
            <w:r w:rsidRPr="00E2240E">
              <w:rPr>
                <w:lang w:val="en-GB"/>
              </w:rPr>
              <w:t>(“the third applicant”)</w:t>
            </w:r>
          </w:p>
          <w:p w:rsidRPr="00E2240E" w:rsidR="007156A2" w:rsidP="00E2240E" w:rsidRDefault="007156A2">
            <w:pPr>
              <w:jc w:val="left"/>
              <w:rPr>
                <w:lang w:val="en-GB"/>
              </w:rPr>
            </w:pPr>
          </w:p>
        </w:tc>
        <w:tc>
          <w:tcPr>
            <w:tcW w:w="1843" w:type="dxa"/>
          </w:tcPr>
          <w:p w:rsidRPr="00E2240E" w:rsidR="007156A2" w:rsidP="00E2240E" w:rsidRDefault="007156A2">
            <w:pPr>
              <w:jc w:val="left"/>
              <w:rPr>
                <w:lang w:val="en-GB"/>
              </w:rPr>
            </w:pPr>
            <w:proofErr w:type="spellStart"/>
            <w:r w:rsidRPr="00E2240E">
              <w:rPr>
                <w:lang w:val="en-GB"/>
              </w:rPr>
              <w:t>Josif</w:t>
            </w:r>
            <w:proofErr w:type="spellEnd"/>
            <w:r w:rsidRPr="00E2240E">
              <w:rPr>
                <w:lang w:val="en-GB"/>
              </w:rPr>
              <w:t xml:space="preserve"> MIĆKOVIĆ</w:t>
            </w:r>
          </w:p>
        </w:tc>
      </w:tr>
      <w:tr w:rsidRPr="00E2240E" w:rsidR="007156A2" w:rsidTr="00A63264">
        <w:tc>
          <w:tcPr>
            <w:tcW w:w="510" w:type="dxa"/>
          </w:tcPr>
          <w:p w:rsidRPr="00E2240E" w:rsidR="007156A2" w:rsidP="00E2240E" w:rsidRDefault="007156A2">
            <w:pPr>
              <w:pStyle w:val="ListParagraph"/>
              <w:numPr>
                <w:ilvl w:val="0"/>
                <w:numId w:val="22"/>
              </w:numPr>
              <w:tabs>
                <w:tab w:val="num" w:pos="283"/>
              </w:tabs>
              <w:ind w:left="0" w:firstLine="0"/>
              <w:jc w:val="left"/>
              <w:rPr>
                <w:lang w:val="en-GB"/>
              </w:rPr>
            </w:pPr>
            <w:bookmarkStart w:name="_Ref468271458" w:id="3"/>
          </w:p>
        </w:tc>
        <w:bookmarkEnd w:id="3"/>
        <w:tc>
          <w:tcPr>
            <w:tcW w:w="1429" w:type="dxa"/>
          </w:tcPr>
          <w:p w:rsidRPr="00E2240E" w:rsidR="007156A2" w:rsidP="00E2240E" w:rsidRDefault="007156A2">
            <w:pPr>
              <w:jc w:val="left"/>
              <w:rPr>
                <w:lang w:val="en-GB"/>
              </w:rPr>
            </w:pPr>
            <w:r w:rsidRPr="00E2240E">
              <w:rPr>
                <w:lang w:val="en-GB"/>
              </w:rPr>
              <w:t>34371/15</w:t>
            </w:r>
          </w:p>
        </w:tc>
        <w:tc>
          <w:tcPr>
            <w:tcW w:w="1379" w:type="dxa"/>
          </w:tcPr>
          <w:p w:rsidRPr="00E2240E" w:rsidR="007156A2" w:rsidP="00E2240E" w:rsidRDefault="007156A2">
            <w:pPr>
              <w:jc w:val="left"/>
              <w:rPr>
                <w:lang w:val="en-GB"/>
              </w:rPr>
            </w:pPr>
            <w:r w:rsidRPr="00E2240E">
              <w:rPr>
                <w:lang w:val="en-GB"/>
              </w:rPr>
              <w:t>30/06/2015</w:t>
            </w:r>
          </w:p>
        </w:tc>
        <w:tc>
          <w:tcPr>
            <w:tcW w:w="2602" w:type="dxa"/>
          </w:tcPr>
          <w:p w:rsidRPr="00E2240E" w:rsidR="00A31AAF" w:rsidP="00E2240E" w:rsidRDefault="007156A2">
            <w:pPr>
              <w:jc w:val="left"/>
              <w:rPr>
                <w:b/>
                <w:lang w:val="en-GB"/>
              </w:rPr>
            </w:pPr>
            <w:r w:rsidRPr="00E2240E">
              <w:rPr>
                <w:b/>
                <w:lang w:val="en-GB"/>
              </w:rPr>
              <w:t>Oliver MIRKOVIĆ</w:t>
            </w:r>
          </w:p>
          <w:p w:rsidRPr="00E2240E" w:rsidR="007156A2" w:rsidP="00E2240E" w:rsidRDefault="007156A2">
            <w:pPr>
              <w:jc w:val="left"/>
              <w:rPr>
                <w:lang w:val="en-GB"/>
              </w:rPr>
            </w:pPr>
            <w:r w:rsidRPr="00E2240E">
              <w:rPr>
                <w:lang w:val="en-GB"/>
              </w:rPr>
              <w:t>03/04/1963</w:t>
            </w:r>
          </w:p>
          <w:p w:rsidRPr="00E2240E" w:rsidR="007156A2" w:rsidP="00E2240E" w:rsidRDefault="007156A2">
            <w:pPr>
              <w:jc w:val="left"/>
              <w:rPr>
                <w:lang w:val="en-GB"/>
              </w:rPr>
            </w:pPr>
            <w:proofErr w:type="spellStart"/>
            <w:r w:rsidRPr="00E2240E">
              <w:rPr>
                <w:lang w:val="en-GB"/>
              </w:rPr>
              <w:t>Pljevlja</w:t>
            </w:r>
            <w:proofErr w:type="spellEnd"/>
            <w:r w:rsidRPr="00E2240E">
              <w:rPr>
                <w:lang w:val="en-GB"/>
              </w:rPr>
              <w:t xml:space="preserve"> (Montenegro)</w:t>
            </w:r>
          </w:p>
          <w:p w:rsidRPr="00E2240E" w:rsidR="007156A2" w:rsidP="00E2240E" w:rsidRDefault="007156A2">
            <w:pPr>
              <w:jc w:val="left"/>
              <w:rPr>
                <w:lang w:val="en-GB"/>
              </w:rPr>
            </w:pPr>
            <w:r w:rsidRPr="00E2240E">
              <w:rPr>
                <w:lang w:val="en-GB"/>
              </w:rPr>
              <w:t>Montenegrin</w:t>
            </w:r>
          </w:p>
          <w:p w:rsidRPr="00E2240E" w:rsidR="007156A2" w:rsidP="00E2240E" w:rsidRDefault="007156A2">
            <w:pPr>
              <w:jc w:val="left"/>
              <w:rPr>
                <w:lang w:val="en-GB"/>
              </w:rPr>
            </w:pPr>
            <w:r w:rsidRPr="00E2240E">
              <w:rPr>
                <w:lang w:val="en-GB"/>
              </w:rPr>
              <w:t>(“the fourth applicant”)</w:t>
            </w:r>
          </w:p>
          <w:p w:rsidRPr="00E2240E" w:rsidR="007156A2" w:rsidP="00E2240E" w:rsidRDefault="007156A2">
            <w:pPr>
              <w:jc w:val="left"/>
              <w:rPr>
                <w:lang w:val="en-GB"/>
              </w:rPr>
            </w:pPr>
          </w:p>
        </w:tc>
        <w:tc>
          <w:tcPr>
            <w:tcW w:w="1843" w:type="dxa"/>
          </w:tcPr>
          <w:p w:rsidRPr="00E2240E" w:rsidR="007156A2" w:rsidP="00E2240E" w:rsidRDefault="007156A2">
            <w:pPr>
              <w:jc w:val="left"/>
              <w:rPr>
                <w:lang w:val="en-GB"/>
              </w:rPr>
            </w:pPr>
            <w:bookmarkStart w:name="TableEnd" w:id="4"/>
            <w:bookmarkEnd w:id="4"/>
            <w:proofErr w:type="spellStart"/>
            <w:r w:rsidRPr="00E2240E">
              <w:rPr>
                <w:lang w:val="en-GB"/>
              </w:rPr>
              <w:t>Josif</w:t>
            </w:r>
            <w:proofErr w:type="spellEnd"/>
            <w:r w:rsidRPr="00E2240E">
              <w:rPr>
                <w:lang w:val="en-GB"/>
              </w:rPr>
              <w:t xml:space="preserve"> MIĆKOVIĆ</w:t>
            </w:r>
          </w:p>
        </w:tc>
      </w:tr>
    </w:tbl>
    <w:p w:rsidRPr="00E2240E" w:rsidR="00EB447C" w:rsidP="00E2240E" w:rsidRDefault="00EB447C">
      <w:pPr>
        <w:rPr>
          <w:lang w:val="en-GB"/>
        </w:rPr>
      </w:pPr>
    </w:p>
    <w:p w:rsidRPr="00E2240E" w:rsidR="00FB6150" w:rsidP="00E2240E" w:rsidRDefault="00FB6150">
      <w:pPr>
        <w:rPr>
          <w:lang w:val="en-GB"/>
        </w:rPr>
      </w:pPr>
    </w:p>
    <w:sectPr w:rsidRPr="00E2240E" w:rsidR="00FB6150" w:rsidSect="000B7195">
      <w:headerReference w:type="even" r:id="rId11"/>
      <w:headerReference w:type="default" r:id="rId12"/>
      <w:footerReference w:type="even" r:id="rId13"/>
      <w:footerReference w:type="default" r:id="rId14"/>
      <w:footnotePr>
        <w:numRestart w:val="eachSect"/>
      </w:footnotePr>
      <w:pgSz w:w="11906" w:h="16838" w:code="9"/>
      <w:pgMar w:top="2274" w:right="2274" w:bottom="2274" w:left="2274" w:header="1701" w:footer="720" w:gutter="0"/>
      <w:pgNumType w:start="1"/>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F1E3A" w:rsidRPr="00951AA3" w:rsidRDefault="002F1E3A" w:rsidP="0098410D">
      <w:pPr>
        <w:rPr>
          <w:lang w:val="en-GB"/>
        </w:rPr>
      </w:pPr>
      <w:r w:rsidRPr="00951AA3">
        <w:rPr>
          <w:lang w:val="en-GB"/>
        </w:rPr>
        <w:separator/>
      </w:r>
    </w:p>
  </w:endnote>
  <w:endnote w:type="continuationSeparator" w:id="0">
    <w:p w:rsidR="002F1E3A" w:rsidRPr="00951AA3" w:rsidRDefault="002F1E3A" w:rsidP="0098410D">
      <w:pPr>
        <w:rPr>
          <w:lang w:val="en-GB"/>
        </w:rPr>
      </w:pPr>
      <w:r w:rsidRPr="00951AA3">
        <w:rPr>
          <w:lang w:val="en-GB"/>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1E3A" w:rsidRPr="00150BFA" w:rsidRDefault="002F1E3A" w:rsidP="0020718E">
    <w:pPr>
      <w:jc w:val="center"/>
    </w:pPr>
    <w:r>
      <w:rPr>
        <w:noProof/>
        <w:lang w:eastAsia="ja-JP"/>
      </w:rPr>
      <w:drawing>
        <wp:inline distT="0" distB="0" distL="0" distR="0" wp14:anchorId="569352BC" wp14:editId="6CD9E75C">
          <wp:extent cx="771525" cy="619125"/>
          <wp:effectExtent l="0" t="0" r="9525" b="9525"/>
          <wp:docPr id="7" name="Picture 7" descr="R:\1_Graphics&amp;Web\Court_Graphic_Charter\2013\ECHR_Stationery\Documents_and_Letters\Cover_Pages_And_Docs\White_600_dpi\ECHR_CoverpageCS61_ECHR_Coverpage_Footer_COE_Bl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1_Graphics&amp;Web\Court_Graphic_Charter\2013\ECHR_Stationery\Documents_and_Letters\Cover_Pages_And_Docs\White_600_dpi\ECHR_CoverpageCS61_ECHR_Coverpage_Footer_COE_Blac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1525" cy="619125"/>
                  </a:xfrm>
                  <a:prstGeom prst="rect">
                    <a:avLst/>
                  </a:prstGeom>
                  <a:noFill/>
                  <a:ln>
                    <a:noFill/>
                  </a:ln>
                </pic:spPr>
              </pic:pic>
            </a:graphicData>
          </a:graphic>
        </wp:inline>
      </w:drawing>
    </w:r>
  </w:p>
  <w:p w:rsidR="0098410D" w:rsidRPr="00951AA3" w:rsidRDefault="0098410D" w:rsidP="00AF12C5">
    <w:pPr>
      <w:pStyle w:val="Footer"/>
      <w:jc w:val="center"/>
      <w:rPr>
        <w:sz w:val="4"/>
        <w:szCs w:val="4"/>
        <w:lang w:val="en-GB"/>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26D3D" w:rsidRDefault="00874181">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26D3D" w:rsidRPr="000B7195" w:rsidRDefault="00874181" w:rsidP="00AF12C5">
    <w:pPr>
      <w:pStyle w:val="Footer"/>
      <w:rPr>
        <w:lang w:val="en-GB"/>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F1E3A" w:rsidRPr="00951AA3" w:rsidRDefault="002F1E3A" w:rsidP="0098410D">
      <w:pPr>
        <w:rPr>
          <w:lang w:val="en-GB"/>
        </w:rPr>
      </w:pPr>
      <w:r w:rsidRPr="00951AA3">
        <w:rPr>
          <w:lang w:val="en-GB"/>
        </w:rPr>
        <w:separator/>
      </w:r>
    </w:p>
  </w:footnote>
  <w:footnote w:type="continuationSeparator" w:id="0">
    <w:p w:rsidR="002F1E3A" w:rsidRPr="00951AA3" w:rsidRDefault="002F1E3A" w:rsidP="0098410D">
      <w:pPr>
        <w:rPr>
          <w:lang w:val="en-GB"/>
        </w:rPr>
      </w:pPr>
      <w:r w:rsidRPr="00951AA3">
        <w:rPr>
          <w:lang w:val="en-GB"/>
        </w:rP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1E3A" w:rsidRPr="00A45145" w:rsidRDefault="002F1E3A" w:rsidP="00A45145">
    <w:pPr>
      <w:jc w:val="center"/>
    </w:pPr>
    <w:r>
      <w:rPr>
        <w:noProof/>
        <w:lang w:eastAsia="ja-JP"/>
      </w:rPr>
      <w:drawing>
        <wp:inline distT="0" distB="0" distL="0" distR="0" wp14:anchorId="095ABB4A" wp14:editId="78CFCA5D">
          <wp:extent cx="2962275" cy="1219200"/>
          <wp:effectExtent l="0" t="0" r="9525" b="0"/>
          <wp:docPr id="6" name="Picture 6" descr="R:\1_Graphics&amp;Web\Court_Graphic_Charter\2013\ECHR_Stationery\Documents_and_Letters\Cover_Pages_And_Docs\White_600_dpi\ECHR_CoverpageCS61_ECHR_Coverpage_Header_Bl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1_Graphics&amp;Web\Court_Graphic_Charter\2013\ECHR_Stationery\Documents_and_Letters\Cover_Pages_And_Docs\White_600_dpi\ECHR_CoverpageCS61_ECHR_Coverpage_Header_Blac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62275" cy="1219200"/>
                  </a:xfrm>
                  <a:prstGeom prst="rect">
                    <a:avLst/>
                  </a:prstGeom>
                  <a:noFill/>
                  <a:ln>
                    <a:noFill/>
                  </a:ln>
                </pic:spPr>
              </pic:pic>
            </a:graphicData>
          </a:graphic>
        </wp:inline>
      </w:drawing>
    </w:r>
  </w:p>
  <w:p w:rsidR="0098410D" w:rsidRPr="00951AA3" w:rsidRDefault="0098410D" w:rsidP="00B14793">
    <w:pPr>
      <w:jc w:val="center"/>
      <w:rPr>
        <w:sz w:val="4"/>
        <w:szCs w:val="4"/>
        <w:lang w:val="en-GB"/>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1E3A" w:rsidRPr="00A45145" w:rsidRDefault="002F1E3A" w:rsidP="00A45145">
    <w:pPr>
      <w:jc w:val="center"/>
    </w:pPr>
    <w:r>
      <w:rPr>
        <w:noProof/>
        <w:lang w:eastAsia="ja-JP"/>
      </w:rPr>
      <w:drawing>
        <wp:inline distT="0" distB="0" distL="0" distR="0" wp14:anchorId="7E8DB84B" wp14:editId="1DE40976">
          <wp:extent cx="2962275" cy="1219200"/>
          <wp:effectExtent l="0" t="0" r="9525" b="0"/>
          <wp:docPr id="1" name="Picture 1" descr="R:\1_Graphics&amp;Web\Court_Graphic_Charter\2013\ECHR_Stationery\Documents_and_Letters\Cover_Pages_And_Docs\White_600_dpi\ECHR_CoverpageCS61_ECHR_Coverpage_Header_Bl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1_Graphics&amp;Web\Court_Graphic_Charter\2013\ECHR_Stationery\Documents_and_Letters\Cover_Pages_And_Docs\White_600_dpi\ECHR_CoverpageCS61_ECHR_Coverpage_Header_Blac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62275" cy="1219200"/>
                  </a:xfrm>
                  <a:prstGeom prst="rect">
                    <a:avLst/>
                  </a:prstGeom>
                  <a:noFill/>
                  <a:ln>
                    <a:noFill/>
                  </a:ln>
                </pic:spPr>
              </pic:pic>
            </a:graphicData>
          </a:graphic>
        </wp:inline>
      </w:drawing>
    </w:r>
  </w:p>
  <w:p w:rsidR="0098410D" w:rsidRPr="00951AA3" w:rsidRDefault="0098410D">
    <w:pPr>
      <w:rPr>
        <w:lang w:val="en-GB"/>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26D3D" w:rsidRPr="004D0EC7" w:rsidRDefault="002F1E3A" w:rsidP="004D0EC7">
    <w:pPr>
      <w:pStyle w:val="ECHRHeader"/>
      <w:rPr>
        <w:lang w:val="en-GB"/>
      </w:rPr>
    </w:pPr>
    <w:r>
      <w:rPr>
        <w:rStyle w:val="PageNumber"/>
        <w:lang w:val="en-GB"/>
      </w:rPr>
      <w:fldChar w:fldCharType="begin"/>
    </w:r>
    <w:r>
      <w:rPr>
        <w:rStyle w:val="PageNumber"/>
        <w:lang w:val="en-GB"/>
      </w:rPr>
      <w:instrText xml:space="preserve"> PAGE </w:instrText>
    </w:r>
    <w:r>
      <w:rPr>
        <w:rStyle w:val="PageNumber"/>
        <w:lang w:val="en-GB"/>
      </w:rPr>
      <w:fldChar w:fldCharType="separate"/>
    </w:r>
    <w:r w:rsidR="00E2240E">
      <w:rPr>
        <w:rStyle w:val="PageNumber"/>
        <w:noProof/>
        <w:lang w:val="en-GB"/>
      </w:rPr>
      <w:t>12</w:t>
    </w:r>
    <w:r>
      <w:rPr>
        <w:rStyle w:val="PageNumber"/>
        <w:lang w:val="en-GB"/>
      </w:rPr>
      <w:fldChar w:fldCharType="end"/>
    </w:r>
    <w:r w:rsidR="00882CD5" w:rsidRPr="004D0EC7">
      <w:rPr>
        <w:lang w:val="en-GB"/>
      </w:rPr>
      <w:tab/>
    </w:r>
    <w:r w:rsidR="00A63264">
      <w:rPr>
        <w:lang w:val="en-GB"/>
      </w:rPr>
      <w:t xml:space="preserve">STANKA </w:t>
    </w:r>
    <w:r>
      <w:rPr>
        <w:lang w:val="en-GB"/>
      </w:rPr>
      <w:t>MIRKOVIĆ AND OTHERS v. MONTENEGRO</w:t>
    </w:r>
    <w:r w:rsidR="00882CD5" w:rsidRPr="004D0EC7">
      <w:rPr>
        <w:lang w:val="en-GB"/>
      </w:rPr>
      <w:t xml:space="preserve"> </w:t>
    </w:r>
    <w:r w:rsidR="008E3A08">
      <w:rPr>
        <w:lang w:val="en-GB"/>
      </w:rPr>
      <w:t>JUDGMENT</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26D3D" w:rsidRPr="00882CD5" w:rsidRDefault="00882CD5" w:rsidP="00882CD5">
    <w:pPr>
      <w:pStyle w:val="ECHRHeader"/>
      <w:rPr>
        <w:lang w:val="en-GB"/>
      </w:rPr>
    </w:pPr>
    <w:r w:rsidRPr="00882CD5">
      <w:rPr>
        <w:lang w:val="en-GB"/>
      </w:rPr>
      <w:tab/>
    </w:r>
    <w:r w:rsidR="00A63264">
      <w:rPr>
        <w:lang w:val="en-GB"/>
      </w:rPr>
      <w:t xml:space="preserve">STANKA </w:t>
    </w:r>
    <w:r w:rsidR="002F1E3A">
      <w:rPr>
        <w:lang w:val="en-GB"/>
      </w:rPr>
      <w:t>MIRKOVIĆ AND OTHERS v. MONTENEGRO</w:t>
    </w:r>
    <w:r w:rsidRPr="00882CD5">
      <w:rPr>
        <w:lang w:val="en-GB"/>
      </w:rPr>
      <w:t xml:space="preserve"> JUDGMENT</w:t>
    </w:r>
    <w:r w:rsidRPr="00882CD5">
      <w:rPr>
        <w:lang w:val="en-GB"/>
      </w:rPr>
      <w:tab/>
    </w:r>
    <w:r w:rsidR="002F1E3A">
      <w:rPr>
        <w:rStyle w:val="PageNumber"/>
        <w:lang w:val="en-GB"/>
      </w:rPr>
      <w:fldChar w:fldCharType="begin"/>
    </w:r>
    <w:r w:rsidR="002F1E3A">
      <w:rPr>
        <w:rStyle w:val="PageNumber"/>
        <w:lang w:val="en-GB"/>
      </w:rPr>
      <w:instrText xml:space="preserve"> PAGE </w:instrText>
    </w:r>
    <w:r w:rsidR="002F1E3A">
      <w:rPr>
        <w:rStyle w:val="PageNumber"/>
        <w:lang w:val="en-GB"/>
      </w:rPr>
      <w:fldChar w:fldCharType="separate"/>
    </w:r>
    <w:r w:rsidR="00E2240E">
      <w:rPr>
        <w:rStyle w:val="PageNumber"/>
        <w:noProof/>
        <w:lang w:val="en-GB"/>
      </w:rPr>
      <w:t>13</w:t>
    </w:r>
    <w:r w:rsidR="002F1E3A">
      <w:rPr>
        <w:rStyle w:val="PageNumber"/>
        <w:lang w:val="en-GB"/>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D6701916"/>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23283F32"/>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2F369A7C"/>
    <w:lvl w:ilvl="0">
      <w:start w:val="1"/>
      <w:numFmt w:val="decimal"/>
      <w:pStyle w:val="ListNumber3"/>
      <w:lvlText w:val="%1."/>
      <w:lvlJc w:val="left"/>
      <w:pPr>
        <w:tabs>
          <w:tab w:val="num" w:pos="926"/>
        </w:tabs>
        <w:ind w:left="926" w:hanging="360"/>
      </w:pPr>
    </w:lvl>
  </w:abstractNum>
  <w:abstractNum w:abstractNumId="3">
    <w:nsid w:val="FFFFFF7F"/>
    <w:multiLevelType w:val="singleLevel"/>
    <w:tmpl w:val="3346880A"/>
    <w:lvl w:ilvl="0">
      <w:start w:val="1"/>
      <w:numFmt w:val="decimal"/>
      <w:pStyle w:val="ListNumber2"/>
      <w:lvlText w:val="%1."/>
      <w:lvlJc w:val="left"/>
      <w:pPr>
        <w:tabs>
          <w:tab w:val="num" w:pos="643"/>
        </w:tabs>
        <w:ind w:left="643" w:hanging="360"/>
      </w:pPr>
    </w:lvl>
  </w:abstractNum>
  <w:abstractNum w:abstractNumId="4">
    <w:nsid w:val="FFFFFF80"/>
    <w:multiLevelType w:val="singleLevel"/>
    <w:tmpl w:val="552A83EC"/>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085AC83C"/>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87486FE2"/>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4A528BA6"/>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366C20B0"/>
    <w:lvl w:ilvl="0">
      <w:start w:val="1"/>
      <w:numFmt w:val="decimal"/>
      <w:pStyle w:val="ListNumber"/>
      <w:lvlText w:val="%1."/>
      <w:lvlJc w:val="left"/>
      <w:pPr>
        <w:tabs>
          <w:tab w:val="num" w:pos="360"/>
        </w:tabs>
        <w:ind w:left="360" w:hanging="360"/>
      </w:pPr>
    </w:lvl>
  </w:abstractNum>
  <w:abstractNum w:abstractNumId="9">
    <w:nsid w:val="089914AD"/>
    <w:multiLevelType w:val="hybridMultilevel"/>
    <w:tmpl w:val="B5E828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C641157"/>
    <w:multiLevelType w:val="multilevel"/>
    <w:tmpl w:val="9B34AC6C"/>
    <w:lvl w:ilvl="0">
      <w:start w:val="1"/>
      <w:numFmt w:val="decimal"/>
      <w:lvlText w:val="%1."/>
      <w:lvlJc w:val="left"/>
      <w:pPr>
        <w:tabs>
          <w:tab w:val="num" w:pos="964"/>
        </w:tabs>
        <w:ind w:left="964" w:hanging="397"/>
      </w:pPr>
      <w:rPr>
        <w:rFonts w:hint="default"/>
      </w:rPr>
    </w:lvl>
    <w:lvl w:ilvl="1">
      <w:start w:val="1"/>
      <w:numFmt w:val="lowerLetter"/>
      <w:lvlText w:val="%2."/>
      <w:lvlJc w:val="left"/>
      <w:pPr>
        <w:tabs>
          <w:tab w:val="num" w:pos="1361"/>
        </w:tabs>
        <w:ind w:left="1361" w:hanging="397"/>
      </w:pPr>
      <w:rPr>
        <w:rFonts w:hint="default"/>
      </w:rPr>
    </w:lvl>
    <w:lvl w:ilvl="2">
      <w:start w:val="1"/>
      <w:numFmt w:val="lowerRoman"/>
      <w:lvlText w:val="%3."/>
      <w:lvlJc w:val="left"/>
      <w:pPr>
        <w:tabs>
          <w:tab w:val="num" w:pos="1758"/>
        </w:tabs>
        <w:ind w:left="1758" w:hanging="397"/>
      </w:pPr>
      <w:rPr>
        <w:rFonts w:hint="default"/>
      </w:rPr>
    </w:lvl>
    <w:lvl w:ilvl="3">
      <w:start w:val="1"/>
      <w:numFmt w:val="decimal"/>
      <w:lvlText w:val="(%4)"/>
      <w:lvlJc w:val="left"/>
      <w:pPr>
        <w:tabs>
          <w:tab w:val="num" w:pos="1703"/>
        </w:tabs>
        <w:ind w:left="1703" w:hanging="284"/>
      </w:pPr>
      <w:rPr>
        <w:rFonts w:hint="default"/>
      </w:rPr>
    </w:lvl>
    <w:lvl w:ilvl="4">
      <w:start w:val="1"/>
      <w:numFmt w:val="lowerLetter"/>
      <w:lvlText w:val="(%5)"/>
      <w:lvlJc w:val="left"/>
      <w:pPr>
        <w:tabs>
          <w:tab w:val="num" w:pos="1987"/>
        </w:tabs>
        <w:ind w:left="1987" w:hanging="284"/>
      </w:pPr>
      <w:rPr>
        <w:rFonts w:hint="default"/>
      </w:rPr>
    </w:lvl>
    <w:lvl w:ilvl="5">
      <w:start w:val="1"/>
      <w:numFmt w:val="lowerRoman"/>
      <w:lvlText w:val="(%6)"/>
      <w:lvlJc w:val="left"/>
      <w:pPr>
        <w:tabs>
          <w:tab w:val="num" w:pos="2271"/>
        </w:tabs>
        <w:ind w:left="2271" w:hanging="284"/>
      </w:pPr>
      <w:rPr>
        <w:rFonts w:hint="default"/>
      </w:rPr>
    </w:lvl>
    <w:lvl w:ilvl="6">
      <w:start w:val="1"/>
      <w:numFmt w:val="decimal"/>
      <w:lvlText w:val="%7."/>
      <w:lvlJc w:val="left"/>
      <w:pPr>
        <w:tabs>
          <w:tab w:val="num" w:pos="2555"/>
        </w:tabs>
        <w:ind w:left="2555" w:hanging="284"/>
      </w:pPr>
      <w:rPr>
        <w:rFonts w:hint="default"/>
      </w:rPr>
    </w:lvl>
    <w:lvl w:ilvl="7">
      <w:start w:val="1"/>
      <w:numFmt w:val="lowerLetter"/>
      <w:lvlText w:val="%8."/>
      <w:lvlJc w:val="left"/>
      <w:pPr>
        <w:tabs>
          <w:tab w:val="num" w:pos="2839"/>
        </w:tabs>
        <w:ind w:left="2839" w:hanging="284"/>
      </w:pPr>
      <w:rPr>
        <w:rFonts w:hint="default"/>
      </w:rPr>
    </w:lvl>
    <w:lvl w:ilvl="8">
      <w:start w:val="1"/>
      <w:numFmt w:val="lowerRoman"/>
      <w:lvlText w:val="%9."/>
      <w:lvlJc w:val="left"/>
      <w:pPr>
        <w:tabs>
          <w:tab w:val="num" w:pos="3123"/>
        </w:tabs>
        <w:ind w:left="3123" w:hanging="284"/>
      </w:pPr>
      <w:rPr>
        <w:rFonts w:hint="default"/>
      </w:rPr>
    </w:lvl>
  </w:abstractNum>
  <w:abstractNum w:abstractNumId="11">
    <w:nsid w:val="1AA96CEA"/>
    <w:multiLevelType w:val="multilevel"/>
    <w:tmpl w:val="040C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nsid w:val="1D27094A"/>
    <w:multiLevelType w:val="multilevel"/>
    <w:tmpl w:val="040C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nsid w:val="388D47DE"/>
    <w:multiLevelType w:val="multilevel"/>
    <w:tmpl w:val="8012C870"/>
    <w:lvl w:ilvl="0">
      <w:start w:val="1"/>
      <w:numFmt w:val="decimal"/>
      <w:lvlText w:val="%1."/>
      <w:lvlJc w:val="left"/>
      <w:pPr>
        <w:ind w:left="992" w:hanging="425"/>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nsid w:val="40B939E1"/>
    <w:multiLevelType w:val="multilevel"/>
    <w:tmpl w:val="040C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67FD1241"/>
    <w:multiLevelType w:val="hybridMultilevel"/>
    <w:tmpl w:val="F6D86CC2"/>
    <w:lvl w:ilvl="0" w:tplc="E4205412">
      <w:start w:val="1"/>
      <w:numFmt w:val="bullet"/>
      <w:pStyle w:val="ListBullet"/>
      <w:lvlText w:val=""/>
      <w:lvlJc w:val="left"/>
      <w:pPr>
        <w:tabs>
          <w:tab w:val="num" w:pos="851"/>
        </w:tabs>
        <w:ind w:left="568" w:firstLine="0"/>
      </w:pPr>
      <w:rPr>
        <w:rFonts w:ascii="Wingdings" w:hAnsi="Wingdings" w:hint="default"/>
        <w:color w:val="808080"/>
        <w:sz w:val="16"/>
      </w:rPr>
    </w:lvl>
    <w:lvl w:ilvl="1" w:tplc="08090003" w:tentative="1">
      <w:start w:val="1"/>
      <w:numFmt w:val="bullet"/>
      <w:lvlText w:val="o"/>
      <w:lvlJc w:val="left"/>
      <w:pPr>
        <w:tabs>
          <w:tab w:val="num" w:pos="1724"/>
        </w:tabs>
        <w:ind w:left="1724" w:hanging="360"/>
      </w:pPr>
      <w:rPr>
        <w:rFonts w:ascii="Courier New" w:hAnsi="Courier New" w:cs="Courier New" w:hint="default"/>
      </w:rPr>
    </w:lvl>
    <w:lvl w:ilvl="2" w:tplc="08090005" w:tentative="1">
      <w:start w:val="1"/>
      <w:numFmt w:val="bullet"/>
      <w:lvlText w:val=""/>
      <w:lvlJc w:val="left"/>
      <w:pPr>
        <w:tabs>
          <w:tab w:val="num" w:pos="2444"/>
        </w:tabs>
        <w:ind w:left="2444" w:hanging="360"/>
      </w:pPr>
      <w:rPr>
        <w:rFonts w:ascii="Wingdings" w:hAnsi="Wingdings" w:hint="default"/>
      </w:rPr>
    </w:lvl>
    <w:lvl w:ilvl="3" w:tplc="08090001" w:tentative="1">
      <w:start w:val="1"/>
      <w:numFmt w:val="bullet"/>
      <w:lvlText w:val=""/>
      <w:lvlJc w:val="left"/>
      <w:pPr>
        <w:tabs>
          <w:tab w:val="num" w:pos="3164"/>
        </w:tabs>
        <w:ind w:left="3164" w:hanging="360"/>
      </w:pPr>
      <w:rPr>
        <w:rFonts w:ascii="Symbol" w:hAnsi="Symbol" w:hint="default"/>
      </w:rPr>
    </w:lvl>
    <w:lvl w:ilvl="4" w:tplc="08090003" w:tentative="1">
      <w:start w:val="1"/>
      <w:numFmt w:val="bullet"/>
      <w:lvlText w:val="o"/>
      <w:lvlJc w:val="left"/>
      <w:pPr>
        <w:tabs>
          <w:tab w:val="num" w:pos="3884"/>
        </w:tabs>
        <w:ind w:left="3884" w:hanging="360"/>
      </w:pPr>
      <w:rPr>
        <w:rFonts w:ascii="Courier New" w:hAnsi="Courier New" w:cs="Courier New" w:hint="default"/>
      </w:rPr>
    </w:lvl>
    <w:lvl w:ilvl="5" w:tplc="08090005" w:tentative="1">
      <w:start w:val="1"/>
      <w:numFmt w:val="bullet"/>
      <w:lvlText w:val=""/>
      <w:lvlJc w:val="left"/>
      <w:pPr>
        <w:tabs>
          <w:tab w:val="num" w:pos="4604"/>
        </w:tabs>
        <w:ind w:left="4604" w:hanging="360"/>
      </w:pPr>
      <w:rPr>
        <w:rFonts w:ascii="Wingdings" w:hAnsi="Wingdings" w:hint="default"/>
      </w:rPr>
    </w:lvl>
    <w:lvl w:ilvl="6" w:tplc="08090001" w:tentative="1">
      <w:start w:val="1"/>
      <w:numFmt w:val="bullet"/>
      <w:lvlText w:val=""/>
      <w:lvlJc w:val="left"/>
      <w:pPr>
        <w:tabs>
          <w:tab w:val="num" w:pos="5324"/>
        </w:tabs>
        <w:ind w:left="5324" w:hanging="360"/>
      </w:pPr>
      <w:rPr>
        <w:rFonts w:ascii="Symbol" w:hAnsi="Symbol" w:hint="default"/>
      </w:rPr>
    </w:lvl>
    <w:lvl w:ilvl="7" w:tplc="08090003" w:tentative="1">
      <w:start w:val="1"/>
      <w:numFmt w:val="bullet"/>
      <w:lvlText w:val="o"/>
      <w:lvlJc w:val="left"/>
      <w:pPr>
        <w:tabs>
          <w:tab w:val="num" w:pos="6044"/>
        </w:tabs>
        <w:ind w:left="6044" w:hanging="360"/>
      </w:pPr>
      <w:rPr>
        <w:rFonts w:ascii="Courier New" w:hAnsi="Courier New" w:cs="Courier New" w:hint="default"/>
      </w:rPr>
    </w:lvl>
    <w:lvl w:ilvl="8" w:tplc="08090005" w:tentative="1">
      <w:start w:val="1"/>
      <w:numFmt w:val="bullet"/>
      <w:lvlText w:val=""/>
      <w:lvlJc w:val="left"/>
      <w:pPr>
        <w:tabs>
          <w:tab w:val="num" w:pos="6764"/>
        </w:tabs>
        <w:ind w:left="6764" w:hanging="360"/>
      </w:pPr>
      <w:rPr>
        <w:rFonts w:ascii="Wingdings" w:hAnsi="Wingdings" w:hint="default"/>
      </w:rPr>
    </w:lvl>
  </w:abstractNum>
  <w:abstractNum w:abstractNumId="16">
    <w:nsid w:val="76903243"/>
    <w:multiLevelType w:val="multilevel"/>
    <w:tmpl w:val="E884A926"/>
    <w:lvl w:ilvl="0">
      <w:start w:val="1"/>
      <w:numFmt w:val="decimal"/>
      <w:pStyle w:val="JuAppQuestion"/>
      <w:lvlText w:val="%1."/>
      <w:lvlJc w:val="left"/>
      <w:pPr>
        <w:tabs>
          <w:tab w:val="num" w:pos="720"/>
        </w:tabs>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7">
    <w:nsid w:val="7C970851"/>
    <w:multiLevelType w:val="multilevel"/>
    <w:tmpl w:val="F842BC8C"/>
    <w:lvl w:ilvl="0">
      <w:start w:val="1"/>
      <w:numFmt w:val="bullet"/>
      <w:lvlText w:val=""/>
      <w:lvlJc w:val="left"/>
      <w:pPr>
        <w:tabs>
          <w:tab w:val="num" w:pos="851"/>
        </w:tabs>
        <w:ind w:left="851" w:hanging="284"/>
      </w:pPr>
      <w:rPr>
        <w:rFonts w:ascii="Wingdings" w:hAnsi="Wingdings" w:hint="default"/>
        <w:color w:val="0072BC" w:themeColor="background1"/>
      </w:rPr>
    </w:lvl>
    <w:lvl w:ilvl="1">
      <w:start w:val="1"/>
      <w:numFmt w:val="bullet"/>
      <w:lvlText w:val=""/>
      <w:lvlJc w:val="left"/>
      <w:pPr>
        <w:tabs>
          <w:tab w:val="num" w:pos="1134"/>
        </w:tabs>
        <w:ind w:left="1135" w:hanging="284"/>
      </w:pPr>
      <w:rPr>
        <w:rFonts w:ascii="Wingdings" w:hAnsi="Wingdings" w:hint="default"/>
        <w:color w:val="0072BC" w:themeColor="background1"/>
      </w:rPr>
    </w:lvl>
    <w:lvl w:ilvl="2">
      <w:start w:val="1"/>
      <w:numFmt w:val="bullet"/>
      <w:lvlText w:val=""/>
      <w:lvlJc w:val="left"/>
      <w:pPr>
        <w:tabs>
          <w:tab w:val="num" w:pos="1418"/>
        </w:tabs>
        <w:ind w:left="1419" w:hanging="284"/>
      </w:pPr>
      <w:rPr>
        <w:rFonts w:ascii="Wingdings" w:hAnsi="Wingdings" w:hint="default"/>
        <w:color w:val="7F7F7F" w:themeColor="text1" w:themeTint="80"/>
      </w:rPr>
    </w:lvl>
    <w:lvl w:ilvl="3">
      <w:start w:val="1"/>
      <w:numFmt w:val="bullet"/>
      <w:lvlText w:val=""/>
      <w:lvlJc w:val="left"/>
      <w:pPr>
        <w:tabs>
          <w:tab w:val="num" w:pos="1701"/>
        </w:tabs>
        <w:ind w:left="1703" w:hanging="284"/>
      </w:pPr>
      <w:rPr>
        <w:rFonts w:ascii="Wingdings" w:hAnsi="Wingdings" w:hint="default"/>
        <w:color w:val="7F7F7F" w:themeColor="text1" w:themeTint="80"/>
      </w:rPr>
    </w:lvl>
    <w:lvl w:ilvl="4">
      <w:start w:val="1"/>
      <w:numFmt w:val="bullet"/>
      <w:lvlText w:val=""/>
      <w:lvlJc w:val="left"/>
      <w:pPr>
        <w:tabs>
          <w:tab w:val="num" w:pos="1760"/>
        </w:tabs>
        <w:ind w:left="1987" w:hanging="284"/>
      </w:pPr>
      <w:rPr>
        <w:rFonts w:ascii="Wingdings" w:hAnsi="Wingdings" w:hint="default"/>
        <w:color w:val="0072BC" w:themeColor="background1"/>
      </w:rPr>
    </w:lvl>
    <w:lvl w:ilvl="5">
      <w:start w:val="1"/>
      <w:numFmt w:val="bullet"/>
      <w:lvlText w:val=""/>
      <w:lvlJc w:val="left"/>
      <w:pPr>
        <w:tabs>
          <w:tab w:val="num" w:pos="2044"/>
        </w:tabs>
        <w:ind w:left="2271" w:hanging="284"/>
      </w:pPr>
      <w:rPr>
        <w:rFonts w:ascii="Wingdings" w:hAnsi="Wingdings" w:hint="default"/>
        <w:color w:val="5F5F5F" w:themeColor="accent5"/>
      </w:rPr>
    </w:lvl>
    <w:lvl w:ilvl="6">
      <w:start w:val="1"/>
      <w:numFmt w:val="bullet"/>
      <w:lvlText w:val=""/>
      <w:lvlJc w:val="left"/>
      <w:pPr>
        <w:tabs>
          <w:tab w:val="num" w:pos="2328"/>
        </w:tabs>
        <w:ind w:left="2555" w:hanging="284"/>
      </w:pPr>
      <w:rPr>
        <w:rFonts w:ascii="Symbol" w:hAnsi="Symbol" w:hint="default"/>
      </w:rPr>
    </w:lvl>
    <w:lvl w:ilvl="7">
      <w:start w:val="1"/>
      <w:numFmt w:val="bullet"/>
      <w:lvlText w:val="o"/>
      <w:lvlJc w:val="left"/>
      <w:pPr>
        <w:tabs>
          <w:tab w:val="num" w:pos="2612"/>
        </w:tabs>
        <w:ind w:left="2839" w:hanging="284"/>
      </w:pPr>
      <w:rPr>
        <w:rFonts w:ascii="Courier New" w:hAnsi="Courier New" w:hint="default"/>
      </w:rPr>
    </w:lvl>
    <w:lvl w:ilvl="8">
      <w:start w:val="1"/>
      <w:numFmt w:val="bullet"/>
      <w:lvlText w:val=""/>
      <w:lvlJc w:val="left"/>
      <w:pPr>
        <w:tabs>
          <w:tab w:val="num" w:pos="2896"/>
        </w:tabs>
        <w:ind w:left="3123" w:hanging="284"/>
      </w:pPr>
      <w:rPr>
        <w:rFonts w:ascii="Wingdings" w:hAnsi="Wingdings" w:hint="default"/>
      </w:rPr>
    </w:lvl>
  </w:abstractNum>
  <w:num w:numId="1">
    <w:abstractNumId w:val="13"/>
  </w:num>
  <w:num w:numId="2">
    <w:abstractNumId w:val="17"/>
  </w:num>
  <w:num w:numId="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7"/>
  </w:num>
  <w:num w:numId="5">
    <w:abstractNumId w:val="10"/>
  </w:num>
  <w:num w:numId="6">
    <w:abstractNumId w:val="17"/>
  </w:num>
  <w:num w:numId="7">
    <w:abstractNumId w:val="10"/>
  </w:num>
  <w:num w:numId="8">
    <w:abstractNumId w:val="6"/>
  </w:num>
  <w:num w:numId="9">
    <w:abstractNumId w:val="15"/>
  </w:num>
  <w:num w:numId="10">
    <w:abstractNumId w:val="14"/>
  </w:num>
  <w:num w:numId="11">
    <w:abstractNumId w:val="12"/>
  </w:num>
  <w:num w:numId="12">
    <w:abstractNumId w:val="11"/>
  </w:num>
  <w:num w:numId="13">
    <w:abstractNumId w:val="7"/>
  </w:num>
  <w:num w:numId="14">
    <w:abstractNumId w:val="5"/>
  </w:num>
  <w:num w:numId="15">
    <w:abstractNumId w:val="4"/>
  </w:num>
  <w:num w:numId="16">
    <w:abstractNumId w:val="8"/>
  </w:num>
  <w:num w:numId="17">
    <w:abstractNumId w:val="3"/>
  </w:num>
  <w:num w:numId="18">
    <w:abstractNumId w:val="2"/>
  </w:num>
  <w:num w:numId="19">
    <w:abstractNumId w:val="1"/>
  </w:num>
  <w:num w:numId="20">
    <w:abstractNumId w:val="0"/>
  </w:num>
  <w:num w:numId="21">
    <w:abstractNumId w:val="16"/>
  </w:num>
  <w:num w:numId="22">
    <w:abstractNumId w:val="9"/>
  </w:num>
  <w:num w:numId="23">
    <w:abstractNumId w:val="16"/>
  </w:num>
  <w:num w:numId="24">
    <w:abstractNumId w:val="16"/>
  </w:num>
  <w:num w:numId="25">
    <w:abstractNumId w:val="16"/>
  </w:num>
  <w:num w:numId="26">
    <w:abstractNumId w:val="16"/>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removePersonalInformation/>
  <w:proofState w:spelling="clean" w:grammar="clean"/>
  <w:stylePaneFormatFilter w:val="D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1"/>
  <w:defaultTabStop w:val="720"/>
  <w:hyphenationZone w:val="425"/>
  <w:evenAndOddHeaders/>
  <w:drawingGridHorizontalSpacing w:val="110"/>
  <w:displayHorizontalDrawingGridEvery w:val="2"/>
  <w:displayVerticalDrawingGridEvery w:val="2"/>
  <w:characterSpacingControl w:val="doNotCompress"/>
  <w:hdrShapeDefaults>
    <o:shapedefaults v:ext="edit" spidmax="16385"/>
  </w:hdrShapeDefaults>
  <w:footnotePr>
    <w:numRestart w:val="eachSect"/>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AppNatAutre" w:val="0"/>
    <w:docVar w:name="DocVarPREMATURE" w:val="1"/>
    <w:docVar w:name="EMM" w:val="0"/>
    <w:docVar w:name="ETRANSMISSION" w:val="BY E-TRANSMISSION ONLY"/>
    <w:docVar w:name="L4_1Annex" w:val="0"/>
    <w:docVar w:name="L4_1Anonymity" w:val="0"/>
    <w:docVar w:name="NBEMMDOC" w:val="0"/>
    <w:docVar w:name="SignForeName" w:val="0"/>
  </w:docVars>
  <w:rsids>
    <w:rsidRoot w:val="002F1E3A"/>
    <w:rsid w:val="000041F8"/>
    <w:rsid w:val="000042A8"/>
    <w:rsid w:val="00004308"/>
    <w:rsid w:val="00005BF0"/>
    <w:rsid w:val="00007154"/>
    <w:rsid w:val="000103AE"/>
    <w:rsid w:val="00011D69"/>
    <w:rsid w:val="00012AD3"/>
    <w:rsid w:val="00015C2D"/>
    <w:rsid w:val="00015F00"/>
    <w:rsid w:val="00022C1D"/>
    <w:rsid w:val="00034987"/>
    <w:rsid w:val="000520CE"/>
    <w:rsid w:val="000602DF"/>
    <w:rsid w:val="00061B05"/>
    <w:rsid w:val="000632D5"/>
    <w:rsid w:val="000644EE"/>
    <w:rsid w:val="000925AD"/>
    <w:rsid w:val="000A24EB"/>
    <w:rsid w:val="000B6923"/>
    <w:rsid w:val="000B7195"/>
    <w:rsid w:val="000C5F3C"/>
    <w:rsid w:val="000C6DCC"/>
    <w:rsid w:val="000D47AA"/>
    <w:rsid w:val="000D721F"/>
    <w:rsid w:val="000E069B"/>
    <w:rsid w:val="000E0E82"/>
    <w:rsid w:val="000E1DC5"/>
    <w:rsid w:val="000E223F"/>
    <w:rsid w:val="000E7D45"/>
    <w:rsid w:val="000F7851"/>
    <w:rsid w:val="00101505"/>
    <w:rsid w:val="00104E23"/>
    <w:rsid w:val="0011080E"/>
    <w:rsid w:val="00110DA8"/>
    <w:rsid w:val="00111B0C"/>
    <w:rsid w:val="00120D6C"/>
    <w:rsid w:val="001257EC"/>
    <w:rsid w:val="00133D33"/>
    <w:rsid w:val="00134D64"/>
    <w:rsid w:val="00135A30"/>
    <w:rsid w:val="0013612C"/>
    <w:rsid w:val="00137FF6"/>
    <w:rsid w:val="00141650"/>
    <w:rsid w:val="00162A12"/>
    <w:rsid w:val="00166530"/>
    <w:rsid w:val="001832BD"/>
    <w:rsid w:val="001943B5"/>
    <w:rsid w:val="00195134"/>
    <w:rsid w:val="001A145B"/>
    <w:rsid w:val="001A674C"/>
    <w:rsid w:val="001B3B24"/>
    <w:rsid w:val="001C0F98"/>
    <w:rsid w:val="001C2A42"/>
    <w:rsid w:val="001D63ED"/>
    <w:rsid w:val="001D7348"/>
    <w:rsid w:val="001D7D1A"/>
    <w:rsid w:val="001E035B"/>
    <w:rsid w:val="001E0961"/>
    <w:rsid w:val="001E3EAE"/>
    <w:rsid w:val="001E6F32"/>
    <w:rsid w:val="001F2145"/>
    <w:rsid w:val="001F6262"/>
    <w:rsid w:val="001F67B0"/>
    <w:rsid w:val="001F7B3D"/>
    <w:rsid w:val="00205F9F"/>
    <w:rsid w:val="00210338"/>
    <w:rsid w:val="002115FC"/>
    <w:rsid w:val="0021423C"/>
    <w:rsid w:val="00230D00"/>
    <w:rsid w:val="00231DF7"/>
    <w:rsid w:val="00231FD1"/>
    <w:rsid w:val="002339E0"/>
    <w:rsid w:val="00233CF8"/>
    <w:rsid w:val="0023575D"/>
    <w:rsid w:val="00237148"/>
    <w:rsid w:val="0024222D"/>
    <w:rsid w:val="00244B0E"/>
    <w:rsid w:val="00244F6C"/>
    <w:rsid w:val="002532C5"/>
    <w:rsid w:val="00260C03"/>
    <w:rsid w:val="0026540E"/>
    <w:rsid w:val="00275123"/>
    <w:rsid w:val="00282240"/>
    <w:rsid w:val="00287AD5"/>
    <w:rsid w:val="002948AD"/>
    <w:rsid w:val="002A01CC"/>
    <w:rsid w:val="002A61B1"/>
    <w:rsid w:val="002A663C"/>
    <w:rsid w:val="002B444B"/>
    <w:rsid w:val="002B5887"/>
    <w:rsid w:val="002C0E27"/>
    <w:rsid w:val="002C3040"/>
    <w:rsid w:val="002C4433"/>
    <w:rsid w:val="002D022D"/>
    <w:rsid w:val="002D24BB"/>
    <w:rsid w:val="002E46DA"/>
    <w:rsid w:val="002F1E3A"/>
    <w:rsid w:val="002F2AF7"/>
    <w:rsid w:val="002F7E1C"/>
    <w:rsid w:val="00301A75"/>
    <w:rsid w:val="00302F70"/>
    <w:rsid w:val="0030336F"/>
    <w:rsid w:val="0030375E"/>
    <w:rsid w:val="00312A30"/>
    <w:rsid w:val="00320F72"/>
    <w:rsid w:val="0032463E"/>
    <w:rsid w:val="00326224"/>
    <w:rsid w:val="00337EE4"/>
    <w:rsid w:val="00340FFD"/>
    <w:rsid w:val="00345C41"/>
    <w:rsid w:val="003506B1"/>
    <w:rsid w:val="00356AC7"/>
    <w:rsid w:val="003609FA"/>
    <w:rsid w:val="00367AEA"/>
    <w:rsid w:val="003710C8"/>
    <w:rsid w:val="003750BE"/>
    <w:rsid w:val="00387B9D"/>
    <w:rsid w:val="0039364F"/>
    <w:rsid w:val="00396686"/>
    <w:rsid w:val="0039778E"/>
    <w:rsid w:val="003B4941"/>
    <w:rsid w:val="003C5714"/>
    <w:rsid w:val="003C6B9F"/>
    <w:rsid w:val="003C6E2A"/>
    <w:rsid w:val="003D0299"/>
    <w:rsid w:val="003E6D80"/>
    <w:rsid w:val="003F05FA"/>
    <w:rsid w:val="003F244A"/>
    <w:rsid w:val="003F30B8"/>
    <w:rsid w:val="003F4C45"/>
    <w:rsid w:val="003F5F7B"/>
    <w:rsid w:val="003F7D64"/>
    <w:rsid w:val="00414300"/>
    <w:rsid w:val="00420703"/>
    <w:rsid w:val="00425C67"/>
    <w:rsid w:val="00427E7A"/>
    <w:rsid w:val="00436C49"/>
    <w:rsid w:val="00445366"/>
    <w:rsid w:val="00447F5B"/>
    <w:rsid w:val="00461DB0"/>
    <w:rsid w:val="00463926"/>
    <w:rsid w:val="00464C9A"/>
    <w:rsid w:val="00474F3D"/>
    <w:rsid w:val="00477E3A"/>
    <w:rsid w:val="00483E5F"/>
    <w:rsid w:val="00485FF9"/>
    <w:rsid w:val="004907F0"/>
    <w:rsid w:val="0049140B"/>
    <w:rsid w:val="004923A5"/>
    <w:rsid w:val="00496BFB"/>
    <w:rsid w:val="004A15C7"/>
    <w:rsid w:val="004B013B"/>
    <w:rsid w:val="004B112B"/>
    <w:rsid w:val="004C01E4"/>
    <w:rsid w:val="004C086C"/>
    <w:rsid w:val="004C1F56"/>
    <w:rsid w:val="004C27BC"/>
    <w:rsid w:val="004D0EC7"/>
    <w:rsid w:val="004D15F3"/>
    <w:rsid w:val="004D5311"/>
    <w:rsid w:val="004D5DCC"/>
    <w:rsid w:val="004D7E45"/>
    <w:rsid w:val="004F10AF"/>
    <w:rsid w:val="004F11A4"/>
    <w:rsid w:val="004F2389"/>
    <w:rsid w:val="004F304D"/>
    <w:rsid w:val="004F61BE"/>
    <w:rsid w:val="004F66B1"/>
    <w:rsid w:val="0050194E"/>
    <w:rsid w:val="00511C07"/>
    <w:rsid w:val="005173A6"/>
    <w:rsid w:val="00520BAA"/>
    <w:rsid w:val="005217D8"/>
    <w:rsid w:val="00525208"/>
    <w:rsid w:val="005257A5"/>
    <w:rsid w:val="005264C0"/>
    <w:rsid w:val="00526A8A"/>
    <w:rsid w:val="00531DF2"/>
    <w:rsid w:val="00537476"/>
    <w:rsid w:val="005442EE"/>
    <w:rsid w:val="00545DA6"/>
    <w:rsid w:val="00547353"/>
    <w:rsid w:val="005474E7"/>
    <w:rsid w:val="005512A3"/>
    <w:rsid w:val="005578CE"/>
    <w:rsid w:val="00562781"/>
    <w:rsid w:val="00562B6C"/>
    <w:rsid w:val="0057271C"/>
    <w:rsid w:val="00572845"/>
    <w:rsid w:val="00592772"/>
    <w:rsid w:val="0059574A"/>
    <w:rsid w:val="005A1B9B"/>
    <w:rsid w:val="005A6751"/>
    <w:rsid w:val="005B092E"/>
    <w:rsid w:val="005B152C"/>
    <w:rsid w:val="005B1EE0"/>
    <w:rsid w:val="005B2B24"/>
    <w:rsid w:val="005B4425"/>
    <w:rsid w:val="005B4B94"/>
    <w:rsid w:val="005C3EE8"/>
    <w:rsid w:val="005D34F9"/>
    <w:rsid w:val="005D4190"/>
    <w:rsid w:val="005D67A3"/>
    <w:rsid w:val="005E2988"/>
    <w:rsid w:val="005E3085"/>
    <w:rsid w:val="005F51E1"/>
    <w:rsid w:val="00611C80"/>
    <w:rsid w:val="00620692"/>
    <w:rsid w:val="006242CA"/>
    <w:rsid w:val="00627507"/>
    <w:rsid w:val="00633717"/>
    <w:rsid w:val="006344E1"/>
    <w:rsid w:val="0064393B"/>
    <w:rsid w:val="006545C4"/>
    <w:rsid w:val="00661971"/>
    <w:rsid w:val="00661CE8"/>
    <w:rsid w:val="006623D9"/>
    <w:rsid w:val="0066550C"/>
    <w:rsid w:val="006716F2"/>
    <w:rsid w:val="00682BF2"/>
    <w:rsid w:val="006859CE"/>
    <w:rsid w:val="00691270"/>
    <w:rsid w:val="00694BA8"/>
    <w:rsid w:val="006A037C"/>
    <w:rsid w:val="006A36F4"/>
    <w:rsid w:val="006A406F"/>
    <w:rsid w:val="006A5D3A"/>
    <w:rsid w:val="006C23D4"/>
    <w:rsid w:val="006C7BB0"/>
    <w:rsid w:val="006D3237"/>
    <w:rsid w:val="006E2E37"/>
    <w:rsid w:val="006E3CF1"/>
    <w:rsid w:val="006E7E80"/>
    <w:rsid w:val="006F48CA"/>
    <w:rsid w:val="006F64DD"/>
    <w:rsid w:val="006F712D"/>
    <w:rsid w:val="00703F0B"/>
    <w:rsid w:val="00715127"/>
    <w:rsid w:val="007156A2"/>
    <w:rsid w:val="00715E8E"/>
    <w:rsid w:val="00723580"/>
    <w:rsid w:val="00723755"/>
    <w:rsid w:val="0073136C"/>
    <w:rsid w:val="00731F0F"/>
    <w:rsid w:val="00733250"/>
    <w:rsid w:val="00741404"/>
    <w:rsid w:val="007449E5"/>
    <w:rsid w:val="0074750E"/>
    <w:rsid w:val="00747FF0"/>
    <w:rsid w:val="00764D4E"/>
    <w:rsid w:val="00765A1F"/>
    <w:rsid w:val="00775B6D"/>
    <w:rsid w:val="00776D68"/>
    <w:rsid w:val="007850EE"/>
    <w:rsid w:val="00785B95"/>
    <w:rsid w:val="00790E96"/>
    <w:rsid w:val="00793366"/>
    <w:rsid w:val="007A716F"/>
    <w:rsid w:val="007B270A"/>
    <w:rsid w:val="007C0695"/>
    <w:rsid w:val="007C419A"/>
    <w:rsid w:val="007C4CC8"/>
    <w:rsid w:val="007C5426"/>
    <w:rsid w:val="007C5798"/>
    <w:rsid w:val="007D4832"/>
    <w:rsid w:val="007E21B2"/>
    <w:rsid w:val="007E2C4E"/>
    <w:rsid w:val="007F1905"/>
    <w:rsid w:val="00802C64"/>
    <w:rsid w:val="00805E52"/>
    <w:rsid w:val="008061D0"/>
    <w:rsid w:val="00810B38"/>
    <w:rsid w:val="008204C7"/>
    <w:rsid w:val="00820992"/>
    <w:rsid w:val="00823602"/>
    <w:rsid w:val="008255F5"/>
    <w:rsid w:val="0083014E"/>
    <w:rsid w:val="0083214A"/>
    <w:rsid w:val="00834220"/>
    <w:rsid w:val="00845723"/>
    <w:rsid w:val="00851EF9"/>
    <w:rsid w:val="008577FD"/>
    <w:rsid w:val="00860B03"/>
    <w:rsid w:val="0086497A"/>
    <w:rsid w:val="008713A1"/>
    <w:rsid w:val="008754AB"/>
    <w:rsid w:val="0088060C"/>
    <w:rsid w:val="00882CD5"/>
    <w:rsid w:val="00893576"/>
    <w:rsid w:val="00893E73"/>
    <w:rsid w:val="008B02DC"/>
    <w:rsid w:val="008B57CE"/>
    <w:rsid w:val="008C26DE"/>
    <w:rsid w:val="008D2225"/>
    <w:rsid w:val="008D2574"/>
    <w:rsid w:val="008D4752"/>
    <w:rsid w:val="008E1395"/>
    <w:rsid w:val="008E271C"/>
    <w:rsid w:val="008E3A08"/>
    <w:rsid w:val="008E418E"/>
    <w:rsid w:val="008E5BC6"/>
    <w:rsid w:val="008E6A25"/>
    <w:rsid w:val="008F3AEC"/>
    <w:rsid w:val="008F5193"/>
    <w:rsid w:val="009013A7"/>
    <w:rsid w:val="009017FB"/>
    <w:rsid w:val="009017FC"/>
    <w:rsid w:val="0090506B"/>
    <w:rsid w:val="009050C9"/>
    <w:rsid w:val="009066FC"/>
    <w:rsid w:val="009140A3"/>
    <w:rsid w:val="009144A2"/>
    <w:rsid w:val="0091510C"/>
    <w:rsid w:val="009259AC"/>
    <w:rsid w:val="00926F38"/>
    <w:rsid w:val="00927BEB"/>
    <w:rsid w:val="00934301"/>
    <w:rsid w:val="00936CD1"/>
    <w:rsid w:val="00941747"/>
    <w:rsid w:val="00941EFB"/>
    <w:rsid w:val="00947AFB"/>
    <w:rsid w:val="00951AA3"/>
    <w:rsid w:val="00951D7D"/>
    <w:rsid w:val="009630C7"/>
    <w:rsid w:val="00972B55"/>
    <w:rsid w:val="009743B7"/>
    <w:rsid w:val="0098228B"/>
    <w:rsid w:val="009828DA"/>
    <w:rsid w:val="0098410D"/>
    <w:rsid w:val="00985BAB"/>
    <w:rsid w:val="009B1B5F"/>
    <w:rsid w:val="009B6673"/>
    <w:rsid w:val="009C191B"/>
    <w:rsid w:val="009C2BD6"/>
    <w:rsid w:val="009C35FF"/>
    <w:rsid w:val="009E1F32"/>
    <w:rsid w:val="009E776C"/>
    <w:rsid w:val="00A1726E"/>
    <w:rsid w:val="00A204CF"/>
    <w:rsid w:val="00A23D49"/>
    <w:rsid w:val="00A27004"/>
    <w:rsid w:val="00A30C29"/>
    <w:rsid w:val="00A31AAF"/>
    <w:rsid w:val="00A34DD6"/>
    <w:rsid w:val="00A36819"/>
    <w:rsid w:val="00A36989"/>
    <w:rsid w:val="00A43628"/>
    <w:rsid w:val="00A54192"/>
    <w:rsid w:val="00A6035E"/>
    <w:rsid w:val="00A6144C"/>
    <w:rsid w:val="00A63264"/>
    <w:rsid w:val="00A66617"/>
    <w:rsid w:val="00A671F8"/>
    <w:rsid w:val="00A673A4"/>
    <w:rsid w:val="00A724AE"/>
    <w:rsid w:val="00A73329"/>
    <w:rsid w:val="00A82359"/>
    <w:rsid w:val="00A865D2"/>
    <w:rsid w:val="00A90BCD"/>
    <w:rsid w:val="00A94C20"/>
    <w:rsid w:val="00AA227F"/>
    <w:rsid w:val="00AA3BC7"/>
    <w:rsid w:val="00AA754A"/>
    <w:rsid w:val="00AB099E"/>
    <w:rsid w:val="00AB2979"/>
    <w:rsid w:val="00AB4328"/>
    <w:rsid w:val="00AE0A2E"/>
    <w:rsid w:val="00AE354C"/>
    <w:rsid w:val="00AF4B07"/>
    <w:rsid w:val="00AF6186"/>
    <w:rsid w:val="00AF7A3A"/>
    <w:rsid w:val="00B160DB"/>
    <w:rsid w:val="00B20836"/>
    <w:rsid w:val="00B235BB"/>
    <w:rsid w:val="00B27A44"/>
    <w:rsid w:val="00B30BBF"/>
    <w:rsid w:val="00B3269C"/>
    <w:rsid w:val="00B33C03"/>
    <w:rsid w:val="00B44E56"/>
    <w:rsid w:val="00B46543"/>
    <w:rsid w:val="00B47D33"/>
    <w:rsid w:val="00B52BE0"/>
    <w:rsid w:val="00B54133"/>
    <w:rsid w:val="00B55860"/>
    <w:rsid w:val="00B701ED"/>
    <w:rsid w:val="00B748F7"/>
    <w:rsid w:val="00B8086C"/>
    <w:rsid w:val="00B861B4"/>
    <w:rsid w:val="00B86DFE"/>
    <w:rsid w:val="00B90990"/>
    <w:rsid w:val="00B922FF"/>
    <w:rsid w:val="00B9281E"/>
    <w:rsid w:val="00B93925"/>
    <w:rsid w:val="00B95187"/>
    <w:rsid w:val="00BA2D55"/>
    <w:rsid w:val="00BA71B1"/>
    <w:rsid w:val="00BB0637"/>
    <w:rsid w:val="00BB345F"/>
    <w:rsid w:val="00BB68EA"/>
    <w:rsid w:val="00BC1C27"/>
    <w:rsid w:val="00BC6BBF"/>
    <w:rsid w:val="00BD1572"/>
    <w:rsid w:val="00BE14E3"/>
    <w:rsid w:val="00BE3774"/>
    <w:rsid w:val="00BE41E5"/>
    <w:rsid w:val="00BF4109"/>
    <w:rsid w:val="00BF4CC3"/>
    <w:rsid w:val="00C054C7"/>
    <w:rsid w:val="00C057B5"/>
    <w:rsid w:val="00C22687"/>
    <w:rsid w:val="00C32E4D"/>
    <w:rsid w:val="00C333A0"/>
    <w:rsid w:val="00C3531A"/>
    <w:rsid w:val="00C36A81"/>
    <w:rsid w:val="00C41974"/>
    <w:rsid w:val="00C53F4A"/>
    <w:rsid w:val="00C54125"/>
    <w:rsid w:val="00C55B54"/>
    <w:rsid w:val="00C6098E"/>
    <w:rsid w:val="00C6152C"/>
    <w:rsid w:val="00C74810"/>
    <w:rsid w:val="00C90D68"/>
    <w:rsid w:val="00C939FE"/>
    <w:rsid w:val="00CA4BDA"/>
    <w:rsid w:val="00CB1F66"/>
    <w:rsid w:val="00CB2951"/>
    <w:rsid w:val="00CB4CAC"/>
    <w:rsid w:val="00CC74AC"/>
    <w:rsid w:val="00CD282B"/>
    <w:rsid w:val="00CD4C35"/>
    <w:rsid w:val="00CD7369"/>
    <w:rsid w:val="00CE0B0E"/>
    <w:rsid w:val="00CE3831"/>
    <w:rsid w:val="00CE713A"/>
    <w:rsid w:val="00CF2397"/>
    <w:rsid w:val="00D00ABB"/>
    <w:rsid w:val="00D02EEC"/>
    <w:rsid w:val="00D03551"/>
    <w:rsid w:val="00D06A63"/>
    <w:rsid w:val="00D07E0E"/>
    <w:rsid w:val="00D11478"/>
    <w:rsid w:val="00D15ED0"/>
    <w:rsid w:val="00D21B3E"/>
    <w:rsid w:val="00D21FED"/>
    <w:rsid w:val="00D24251"/>
    <w:rsid w:val="00D343E2"/>
    <w:rsid w:val="00D361A2"/>
    <w:rsid w:val="00D44C2E"/>
    <w:rsid w:val="00D45414"/>
    <w:rsid w:val="00D50A0A"/>
    <w:rsid w:val="00D566BD"/>
    <w:rsid w:val="00D57A4D"/>
    <w:rsid w:val="00D60AA7"/>
    <w:rsid w:val="00D6435F"/>
    <w:rsid w:val="00D75E28"/>
    <w:rsid w:val="00D772C2"/>
    <w:rsid w:val="00D8008E"/>
    <w:rsid w:val="00D82C45"/>
    <w:rsid w:val="00D908A8"/>
    <w:rsid w:val="00D977B6"/>
    <w:rsid w:val="00DA4A31"/>
    <w:rsid w:val="00DA7B04"/>
    <w:rsid w:val="00DB36C2"/>
    <w:rsid w:val="00DC169B"/>
    <w:rsid w:val="00DC2AB9"/>
    <w:rsid w:val="00DC63F0"/>
    <w:rsid w:val="00DD6EE5"/>
    <w:rsid w:val="00DE386C"/>
    <w:rsid w:val="00DE4D35"/>
    <w:rsid w:val="00DF098B"/>
    <w:rsid w:val="00DF11C4"/>
    <w:rsid w:val="00DF210C"/>
    <w:rsid w:val="00DF4B6A"/>
    <w:rsid w:val="00E02C09"/>
    <w:rsid w:val="00E04D59"/>
    <w:rsid w:val="00E07DA1"/>
    <w:rsid w:val="00E123CB"/>
    <w:rsid w:val="00E20E13"/>
    <w:rsid w:val="00E21DBC"/>
    <w:rsid w:val="00E2240E"/>
    <w:rsid w:val="00E275D7"/>
    <w:rsid w:val="00E27DBE"/>
    <w:rsid w:val="00E32AB1"/>
    <w:rsid w:val="00E36C71"/>
    <w:rsid w:val="00E40404"/>
    <w:rsid w:val="00E459C6"/>
    <w:rsid w:val="00E47589"/>
    <w:rsid w:val="00E64915"/>
    <w:rsid w:val="00E661D4"/>
    <w:rsid w:val="00E70091"/>
    <w:rsid w:val="00E720F5"/>
    <w:rsid w:val="00E76D47"/>
    <w:rsid w:val="00E849F7"/>
    <w:rsid w:val="00E85351"/>
    <w:rsid w:val="00E90302"/>
    <w:rsid w:val="00E97396"/>
    <w:rsid w:val="00EA185E"/>
    <w:rsid w:val="00EA592A"/>
    <w:rsid w:val="00EB14E4"/>
    <w:rsid w:val="00EB32A5"/>
    <w:rsid w:val="00EB34ED"/>
    <w:rsid w:val="00EB447C"/>
    <w:rsid w:val="00EB66F9"/>
    <w:rsid w:val="00EB7BE0"/>
    <w:rsid w:val="00EC315E"/>
    <w:rsid w:val="00ED077C"/>
    <w:rsid w:val="00ED1190"/>
    <w:rsid w:val="00ED6544"/>
    <w:rsid w:val="00EE0277"/>
    <w:rsid w:val="00EE3E00"/>
    <w:rsid w:val="00EE5DD2"/>
    <w:rsid w:val="00EF3DB4"/>
    <w:rsid w:val="00F00A79"/>
    <w:rsid w:val="00F00E86"/>
    <w:rsid w:val="00F07C1E"/>
    <w:rsid w:val="00F105DB"/>
    <w:rsid w:val="00F132BC"/>
    <w:rsid w:val="00F13D80"/>
    <w:rsid w:val="00F16AAA"/>
    <w:rsid w:val="00F1709C"/>
    <w:rsid w:val="00F21161"/>
    <w:rsid w:val="00F218EF"/>
    <w:rsid w:val="00F21BC7"/>
    <w:rsid w:val="00F266A2"/>
    <w:rsid w:val="00F32269"/>
    <w:rsid w:val="00F56A6F"/>
    <w:rsid w:val="00F5709C"/>
    <w:rsid w:val="00F64EF1"/>
    <w:rsid w:val="00F8765F"/>
    <w:rsid w:val="00F90767"/>
    <w:rsid w:val="00FA685B"/>
    <w:rsid w:val="00FB0C01"/>
    <w:rsid w:val="00FB291E"/>
    <w:rsid w:val="00FB6150"/>
    <w:rsid w:val="00FC18F2"/>
    <w:rsid w:val="00FC39E5"/>
    <w:rsid w:val="00FC3A78"/>
    <w:rsid w:val="00FD1005"/>
    <w:rsid w:val="00FD6C75"/>
    <w:rsid w:val="00FE71B3"/>
    <w:rsid w:val="00FF42C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638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0" w:unhideWhenUsed="1"/>
    <w:lsdException w:name="header" w:semiHidden="1" w:uiPriority="57" w:unhideWhenUsed="1"/>
    <w:lsdException w:name="footer" w:semiHidden="1" w:uiPriority="57"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qFormat="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emiHidden/>
    <w:rsid w:val="00AB2979"/>
    <w:pPr>
      <w:jc w:val="both"/>
    </w:pPr>
    <w:rPr>
      <w:rFonts w:eastAsiaTheme="minorEastAsia"/>
      <w:sz w:val="24"/>
    </w:rPr>
  </w:style>
  <w:style w:type="paragraph" w:styleId="Heading1">
    <w:name w:val="heading 1"/>
    <w:basedOn w:val="Normal"/>
    <w:next w:val="Normal"/>
    <w:link w:val="Heading1Char"/>
    <w:uiPriority w:val="99"/>
    <w:semiHidden/>
    <w:rsid w:val="00AB2979"/>
    <w:pPr>
      <w:spacing w:before="480"/>
      <w:contextualSpacing/>
      <w:outlineLvl w:val="0"/>
    </w:pPr>
    <w:rPr>
      <w:rFonts w:asciiTheme="majorHAnsi" w:eastAsiaTheme="majorEastAsia" w:hAnsiTheme="majorHAnsi" w:cstheme="majorBidi"/>
      <w:b/>
      <w:bCs/>
      <w:color w:val="333333"/>
      <w:sz w:val="28"/>
      <w:szCs w:val="28"/>
    </w:rPr>
  </w:style>
  <w:style w:type="paragraph" w:styleId="Heading2">
    <w:name w:val="heading 2"/>
    <w:basedOn w:val="Normal"/>
    <w:next w:val="Normal"/>
    <w:link w:val="Heading2Char"/>
    <w:uiPriority w:val="99"/>
    <w:semiHidden/>
    <w:rsid w:val="00AB2979"/>
    <w:pPr>
      <w:spacing w:before="200"/>
      <w:outlineLvl w:val="1"/>
    </w:pPr>
    <w:rPr>
      <w:rFonts w:asciiTheme="majorHAnsi" w:eastAsiaTheme="majorEastAsia" w:hAnsiTheme="majorHAnsi" w:cstheme="majorBidi"/>
      <w:b/>
      <w:bCs/>
      <w:color w:val="4D4D4D"/>
      <w:sz w:val="26"/>
      <w:szCs w:val="26"/>
    </w:rPr>
  </w:style>
  <w:style w:type="paragraph" w:styleId="Heading3">
    <w:name w:val="heading 3"/>
    <w:basedOn w:val="Normal"/>
    <w:next w:val="Normal"/>
    <w:link w:val="Heading3Char"/>
    <w:uiPriority w:val="99"/>
    <w:semiHidden/>
    <w:rsid w:val="00AB2979"/>
    <w:pPr>
      <w:spacing w:before="200" w:line="271" w:lineRule="auto"/>
      <w:outlineLvl w:val="2"/>
    </w:pPr>
    <w:rPr>
      <w:rFonts w:asciiTheme="majorHAnsi" w:eastAsiaTheme="majorEastAsia" w:hAnsiTheme="majorHAnsi" w:cstheme="majorBidi"/>
      <w:b/>
      <w:bCs/>
      <w:color w:val="5F5F5F"/>
    </w:rPr>
  </w:style>
  <w:style w:type="paragraph" w:styleId="Heading4">
    <w:name w:val="heading 4"/>
    <w:basedOn w:val="Normal"/>
    <w:next w:val="Normal"/>
    <w:link w:val="Heading4Char"/>
    <w:uiPriority w:val="99"/>
    <w:semiHidden/>
    <w:rsid w:val="00AB2979"/>
    <w:pPr>
      <w:spacing w:before="200"/>
      <w:outlineLvl w:val="3"/>
    </w:pPr>
    <w:rPr>
      <w:rFonts w:asciiTheme="majorHAnsi" w:eastAsiaTheme="majorEastAsia" w:hAnsiTheme="majorHAnsi" w:cstheme="majorBidi"/>
      <w:b/>
      <w:bCs/>
      <w:i/>
      <w:iCs/>
      <w:color w:val="777777"/>
    </w:rPr>
  </w:style>
  <w:style w:type="paragraph" w:styleId="Heading5">
    <w:name w:val="heading 5"/>
    <w:basedOn w:val="Normal"/>
    <w:next w:val="Normal"/>
    <w:link w:val="Heading5Char"/>
    <w:uiPriority w:val="99"/>
    <w:semiHidden/>
    <w:qFormat/>
    <w:rsid w:val="00AB2979"/>
    <w:pPr>
      <w:spacing w:before="200"/>
      <w:outlineLvl w:val="4"/>
    </w:pPr>
    <w:rPr>
      <w:rFonts w:asciiTheme="majorHAnsi" w:eastAsiaTheme="majorEastAsia" w:hAnsiTheme="majorHAnsi" w:cstheme="majorBidi"/>
      <w:b/>
      <w:bCs/>
      <w:color w:val="808080"/>
      <w:sz w:val="22"/>
    </w:rPr>
  </w:style>
  <w:style w:type="paragraph" w:styleId="Heading6">
    <w:name w:val="heading 6"/>
    <w:basedOn w:val="Normal"/>
    <w:next w:val="Normal"/>
    <w:link w:val="Heading6Char"/>
    <w:uiPriority w:val="99"/>
    <w:semiHidden/>
    <w:rsid w:val="00AB2979"/>
    <w:pPr>
      <w:spacing w:line="271" w:lineRule="auto"/>
      <w:outlineLvl w:val="5"/>
    </w:pPr>
    <w:rPr>
      <w:rFonts w:asciiTheme="majorHAnsi" w:eastAsiaTheme="majorEastAsia" w:hAnsiTheme="majorHAnsi" w:cstheme="majorBidi"/>
      <w:b/>
      <w:bCs/>
      <w:i/>
      <w:iCs/>
      <w:color w:val="7F7F7F" w:themeColor="text1" w:themeTint="80"/>
      <w:lang w:bidi="en-US"/>
    </w:rPr>
  </w:style>
  <w:style w:type="paragraph" w:styleId="Heading7">
    <w:name w:val="heading 7"/>
    <w:basedOn w:val="Normal"/>
    <w:next w:val="Normal"/>
    <w:link w:val="Heading7Char"/>
    <w:uiPriority w:val="99"/>
    <w:semiHidden/>
    <w:qFormat/>
    <w:rsid w:val="00AB2979"/>
    <w:pPr>
      <w:outlineLvl w:val="6"/>
    </w:pPr>
    <w:rPr>
      <w:rFonts w:asciiTheme="majorHAnsi" w:eastAsiaTheme="majorEastAsia" w:hAnsiTheme="majorHAnsi" w:cstheme="majorBidi"/>
      <w:i/>
      <w:iCs/>
      <w:sz w:val="22"/>
      <w:lang w:bidi="en-US"/>
    </w:rPr>
  </w:style>
  <w:style w:type="paragraph" w:styleId="Heading8">
    <w:name w:val="heading 8"/>
    <w:basedOn w:val="Normal"/>
    <w:next w:val="Normal"/>
    <w:link w:val="Heading8Char"/>
    <w:uiPriority w:val="99"/>
    <w:semiHidden/>
    <w:qFormat/>
    <w:rsid w:val="00AB2979"/>
    <w:pPr>
      <w:outlineLvl w:val="7"/>
    </w:pPr>
    <w:rPr>
      <w:rFonts w:asciiTheme="majorHAnsi" w:eastAsiaTheme="majorEastAsia" w:hAnsiTheme="majorHAnsi" w:cstheme="majorBidi"/>
      <w:sz w:val="20"/>
      <w:szCs w:val="20"/>
      <w:lang w:bidi="en-US"/>
    </w:rPr>
  </w:style>
  <w:style w:type="paragraph" w:styleId="Heading9">
    <w:name w:val="heading 9"/>
    <w:basedOn w:val="Normal"/>
    <w:next w:val="Normal"/>
    <w:link w:val="Heading9Char"/>
    <w:uiPriority w:val="99"/>
    <w:semiHidden/>
    <w:qFormat/>
    <w:rsid w:val="00AB2979"/>
    <w:pPr>
      <w:outlineLvl w:val="8"/>
    </w:pPr>
    <w:rPr>
      <w:rFonts w:asciiTheme="majorHAnsi" w:eastAsiaTheme="majorEastAsia" w:hAnsiTheme="majorHAnsi" w:cstheme="majorBidi"/>
      <w:i/>
      <w:iCs/>
      <w:spacing w:val="5"/>
      <w:sz w:val="20"/>
      <w:szCs w:val="20"/>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AB2979"/>
    <w:rPr>
      <w:rFonts w:ascii="Tahoma" w:hAnsi="Tahoma" w:cs="Tahoma"/>
      <w:sz w:val="16"/>
      <w:szCs w:val="16"/>
    </w:rPr>
  </w:style>
  <w:style w:type="character" w:customStyle="1" w:styleId="BalloonTextChar">
    <w:name w:val="Balloon Text Char"/>
    <w:basedOn w:val="DefaultParagraphFont"/>
    <w:link w:val="BalloonText"/>
    <w:uiPriority w:val="99"/>
    <w:semiHidden/>
    <w:rsid w:val="00AB2979"/>
    <w:rPr>
      <w:rFonts w:ascii="Tahoma" w:eastAsiaTheme="minorEastAsia" w:hAnsi="Tahoma" w:cs="Tahoma"/>
      <w:sz w:val="16"/>
      <w:szCs w:val="16"/>
    </w:rPr>
  </w:style>
  <w:style w:type="character" w:styleId="BookTitle">
    <w:name w:val="Book Title"/>
    <w:uiPriority w:val="99"/>
    <w:semiHidden/>
    <w:qFormat/>
    <w:rsid w:val="00AB2979"/>
    <w:rPr>
      <w:i/>
      <w:iCs/>
      <w:smallCaps/>
      <w:spacing w:val="5"/>
    </w:rPr>
  </w:style>
  <w:style w:type="paragraph" w:customStyle="1" w:styleId="ECHRHeader">
    <w:name w:val="ECHR_Header"/>
    <w:aliases w:val="Ju_Header"/>
    <w:basedOn w:val="Header"/>
    <w:uiPriority w:val="4"/>
    <w:qFormat/>
    <w:rsid w:val="00AB2979"/>
    <w:pPr>
      <w:tabs>
        <w:tab w:val="clear" w:pos="4536"/>
        <w:tab w:val="clear" w:pos="9072"/>
        <w:tab w:val="center" w:pos="3686"/>
        <w:tab w:val="right" w:pos="7371"/>
      </w:tabs>
      <w:jc w:val="left"/>
    </w:pPr>
    <w:rPr>
      <w:sz w:val="18"/>
    </w:rPr>
  </w:style>
  <w:style w:type="paragraph" w:customStyle="1" w:styleId="DecHTitle">
    <w:name w:val="Dec_H_Title"/>
    <w:basedOn w:val="ECHRTitleCentre1"/>
    <w:uiPriority w:val="7"/>
    <w:semiHidden/>
    <w:qFormat/>
    <w:rsid w:val="00AB2979"/>
  </w:style>
  <w:style w:type="character" w:styleId="Strong">
    <w:name w:val="Strong"/>
    <w:uiPriority w:val="99"/>
    <w:semiHidden/>
    <w:qFormat/>
    <w:rsid w:val="00AB2979"/>
    <w:rPr>
      <w:b/>
      <w:bCs/>
    </w:rPr>
  </w:style>
  <w:style w:type="paragraph" w:styleId="NoSpacing">
    <w:name w:val="No Spacing"/>
    <w:basedOn w:val="Normal"/>
    <w:link w:val="NoSpacingChar"/>
    <w:semiHidden/>
    <w:qFormat/>
    <w:rsid w:val="00AB2979"/>
    <w:rPr>
      <w:sz w:val="22"/>
    </w:rPr>
  </w:style>
  <w:style w:type="character" w:customStyle="1" w:styleId="NoSpacingChar">
    <w:name w:val="No Spacing Char"/>
    <w:basedOn w:val="DefaultParagraphFont"/>
    <w:link w:val="NoSpacing"/>
    <w:semiHidden/>
    <w:rsid w:val="00AB2979"/>
    <w:rPr>
      <w:rFonts w:eastAsiaTheme="minorEastAsia"/>
    </w:rPr>
  </w:style>
  <w:style w:type="paragraph" w:customStyle="1" w:styleId="ECHRParaQuote">
    <w:name w:val="ECHR_Para_Quote"/>
    <w:aliases w:val="Ju_Quot"/>
    <w:basedOn w:val="Normal"/>
    <w:uiPriority w:val="14"/>
    <w:qFormat/>
    <w:rsid w:val="00AB2979"/>
    <w:pPr>
      <w:spacing w:before="120" w:after="120"/>
      <w:ind w:left="425" w:firstLine="142"/>
    </w:pPr>
    <w:rPr>
      <w:sz w:val="20"/>
    </w:rPr>
  </w:style>
  <w:style w:type="paragraph" w:customStyle="1" w:styleId="DecList">
    <w:name w:val="Dec_List"/>
    <w:basedOn w:val="Normal"/>
    <w:uiPriority w:val="9"/>
    <w:semiHidden/>
    <w:qFormat/>
    <w:rsid w:val="00AB2979"/>
    <w:pPr>
      <w:spacing w:before="240"/>
      <w:ind w:left="284"/>
    </w:pPr>
  </w:style>
  <w:style w:type="paragraph" w:customStyle="1" w:styleId="DummyStyle">
    <w:name w:val="Dummy_Style"/>
    <w:basedOn w:val="Normal"/>
    <w:semiHidden/>
    <w:qFormat/>
    <w:rsid w:val="00AB2979"/>
    <w:rPr>
      <w:color w:val="00B050"/>
    </w:rPr>
  </w:style>
  <w:style w:type="paragraph" w:customStyle="1" w:styleId="JuAppQuestion">
    <w:name w:val="Ju_App_Question"/>
    <w:basedOn w:val="Normal"/>
    <w:uiPriority w:val="5"/>
    <w:semiHidden/>
    <w:qFormat/>
    <w:rsid w:val="00AB2979"/>
    <w:pPr>
      <w:numPr>
        <w:numId w:val="26"/>
      </w:numPr>
      <w:jc w:val="left"/>
    </w:pPr>
    <w:rPr>
      <w:b/>
    </w:rPr>
  </w:style>
  <w:style w:type="paragraph" w:customStyle="1" w:styleId="JuCourt">
    <w:name w:val="Ju_Court"/>
    <w:basedOn w:val="Normal"/>
    <w:next w:val="Normal"/>
    <w:uiPriority w:val="16"/>
    <w:qFormat/>
    <w:rsid w:val="00AB2979"/>
    <w:pPr>
      <w:tabs>
        <w:tab w:val="left" w:pos="907"/>
        <w:tab w:val="left" w:pos="1701"/>
        <w:tab w:val="right" w:pos="7371"/>
      </w:tabs>
      <w:spacing w:before="240"/>
      <w:ind w:left="397" w:hanging="397"/>
      <w:jc w:val="left"/>
    </w:pPr>
    <w:rPr>
      <w:lang w:bidi="en-US"/>
    </w:rPr>
  </w:style>
  <w:style w:type="paragraph" w:customStyle="1" w:styleId="ECHRTitleCentre3">
    <w:name w:val="ECHR_Title_Centre_3"/>
    <w:aliases w:val="Ju_H_Article"/>
    <w:basedOn w:val="Normal"/>
    <w:next w:val="ECHRParaQuote"/>
    <w:uiPriority w:val="27"/>
    <w:qFormat/>
    <w:rsid w:val="00AB2979"/>
    <w:pPr>
      <w:keepNext/>
      <w:keepLines/>
      <w:spacing w:before="240" w:after="120"/>
      <w:jc w:val="center"/>
      <w:outlineLvl w:val="3"/>
    </w:pPr>
    <w:rPr>
      <w:rFonts w:asciiTheme="majorHAnsi" w:hAnsiTheme="majorHAnsi"/>
      <w:b/>
      <w:sz w:val="20"/>
      <w:lang w:bidi="en-US"/>
    </w:rPr>
  </w:style>
  <w:style w:type="paragraph" w:customStyle="1" w:styleId="ECHRTitleCentre1">
    <w:name w:val="ECHR_Title_Centre_1"/>
    <w:aliases w:val="Opi_H_Head"/>
    <w:basedOn w:val="Normal"/>
    <w:next w:val="OpiPara"/>
    <w:uiPriority w:val="39"/>
    <w:qFormat/>
    <w:rsid w:val="00AB2979"/>
    <w:pPr>
      <w:keepNext/>
      <w:keepLines/>
      <w:spacing w:after="240"/>
      <w:jc w:val="center"/>
      <w:outlineLvl w:val="0"/>
    </w:pPr>
    <w:rPr>
      <w:rFonts w:asciiTheme="majorHAnsi" w:hAnsiTheme="majorHAnsi"/>
      <w:sz w:val="28"/>
    </w:rPr>
  </w:style>
  <w:style w:type="paragraph" w:customStyle="1" w:styleId="JuHeaderLandscape">
    <w:name w:val="Ju_Header_Landscape"/>
    <w:basedOn w:val="ECHRHeader"/>
    <w:uiPriority w:val="4"/>
    <w:qFormat/>
    <w:rsid w:val="00AB2979"/>
    <w:pPr>
      <w:tabs>
        <w:tab w:val="clear" w:pos="3686"/>
        <w:tab w:val="clear" w:pos="7371"/>
        <w:tab w:val="center" w:pos="6146"/>
        <w:tab w:val="right" w:pos="12293"/>
      </w:tabs>
    </w:pPr>
  </w:style>
  <w:style w:type="paragraph" w:customStyle="1" w:styleId="ECHRTitle1">
    <w:name w:val="ECHR_Title_1"/>
    <w:aliases w:val="Ju_H_Head"/>
    <w:basedOn w:val="Normal"/>
    <w:next w:val="ECHRPara"/>
    <w:uiPriority w:val="18"/>
    <w:qFormat/>
    <w:rsid w:val="00AB2979"/>
    <w:pPr>
      <w:keepNext/>
      <w:keepLines/>
      <w:spacing w:before="720" w:after="240"/>
      <w:outlineLvl w:val="0"/>
    </w:pPr>
    <w:rPr>
      <w:rFonts w:asciiTheme="majorHAnsi" w:hAnsiTheme="majorHAnsi"/>
      <w:sz w:val="28"/>
    </w:rPr>
  </w:style>
  <w:style w:type="paragraph" w:customStyle="1" w:styleId="JuInitialled">
    <w:name w:val="Ju_Initialled"/>
    <w:basedOn w:val="Normal"/>
    <w:uiPriority w:val="31"/>
    <w:qFormat/>
    <w:rsid w:val="00AB2979"/>
    <w:pPr>
      <w:tabs>
        <w:tab w:val="center" w:pos="6407"/>
      </w:tabs>
      <w:spacing w:before="720"/>
      <w:jc w:val="right"/>
    </w:pPr>
  </w:style>
  <w:style w:type="paragraph" w:customStyle="1" w:styleId="JuSigned">
    <w:name w:val="Ju_Signed"/>
    <w:basedOn w:val="Normal"/>
    <w:next w:val="JuParaLast"/>
    <w:uiPriority w:val="32"/>
    <w:qFormat/>
    <w:rsid w:val="00AB2979"/>
    <w:pPr>
      <w:tabs>
        <w:tab w:val="center" w:pos="851"/>
        <w:tab w:val="center" w:pos="6407"/>
      </w:tabs>
      <w:spacing w:before="720"/>
      <w:jc w:val="left"/>
    </w:pPr>
  </w:style>
  <w:style w:type="paragraph" w:styleId="Title">
    <w:name w:val="Title"/>
    <w:basedOn w:val="Normal"/>
    <w:next w:val="Normal"/>
    <w:link w:val="TitleChar"/>
    <w:uiPriority w:val="99"/>
    <w:semiHidden/>
    <w:qFormat/>
    <w:rsid w:val="00AB2979"/>
    <w:pPr>
      <w:pBdr>
        <w:bottom w:val="single" w:sz="4" w:space="1" w:color="auto"/>
      </w:pBdr>
      <w:contextualSpacing/>
    </w:pPr>
    <w:rPr>
      <w:rFonts w:asciiTheme="majorHAnsi" w:eastAsiaTheme="majorEastAsia" w:hAnsiTheme="majorHAnsi" w:cstheme="majorBidi"/>
      <w:spacing w:val="5"/>
      <w:sz w:val="52"/>
      <w:szCs w:val="52"/>
      <w:lang w:bidi="en-US"/>
    </w:rPr>
  </w:style>
  <w:style w:type="character" w:customStyle="1" w:styleId="TitleChar">
    <w:name w:val="Title Char"/>
    <w:basedOn w:val="DefaultParagraphFont"/>
    <w:link w:val="Title"/>
    <w:uiPriority w:val="99"/>
    <w:semiHidden/>
    <w:rsid w:val="00AB2979"/>
    <w:rPr>
      <w:rFonts w:asciiTheme="majorHAnsi" w:eastAsiaTheme="majorEastAsia" w:hAnsiTheme="majorHAnsi" w:cstheme="majorBidi"/>
      <w:spacing w:val="5"/>
      <w:sz w:val="52"/>
      <w:szCs w:val="52"/>
      <w:lang w:bidi="en-US"/>
    </w:rPr>
  </w:style>
  <w:style w:type="character" w:customStyle="1" w:styleId="JuITMark">
    <w:name w:val="Ju_ITMark"/>
    <w:basedOn w:val="DefaultParagraphFont"/>
    <w:uiPriority w:val="38"/>
    <w:qFormat/>
    <w:rsid w:val="00AB2979"/>
    <w:rPr>
      <w:vanish w:val="0"/>
      <w:color w:val="auto"/>
      <w:sz w:val="14"/>
      <w:bdr w:val="none" w:sz="0" w:space="0" w:color="auto"/>
      <w:shd w:val="clear" w:color="auto" w:fill="BEE5FF" w:themeFill="background1" w:themeFillTint="33"/>
    </w:rPr>
  </w:style>
  <w:style w:type="character" w:customStyle="1" w:styleId="JUNAMES">
    <w:name w:val="JU_NAMES"/>
    <w:uiPriority w:val="17"/>
    <w:qFormat/>
    <w:rsid w:val="00AB2979"/>
    <w:rPr>
      <w:caps w:val="0"/>
      <w:smallCaps/>
    </w:rPr>
  </w:style>
  <w:style w:type="paragraph" w:customStyle="1" w:styleId="JuParaSub">
    <w:name w:val="Ju_Para_Sub"/>
    <w:basedOn w:val="ECHRPara"/>
    <w:uiPriority w:val="13"/>
    <w:qFormat/>
    <w:rsid w:val="00AB2979"/>
    <w:pPr>
      <w:ind w:left="284"/>
    </w:pPr>
  </w:style>
  <w:style w:type="paragraph" w:customStyle="1" w:styleId="JuQuotSub">
    <w:name w:val="Ju_Quot_Sub"/>
    <w:basedOn w:val="ECHRParaQuote"/>
    <w:uiPriority w:val="15"/>
    <w:qFormat/>
    <w:rsid w:val="00AB2979"/>
    <w:pPr>
      <w:ind w:left="567"/>
    </w:pPr>
  </w:style>
  <w:style w:type="paragraph" w:customStyle="1" w:styleId="OpiH1">
    <w:name w:val="Opi_H_1"/>
    <w:basedOn w:val="ECHRHeading2"/>
    <w:uiPriority w:val="42"/>
    <w:qFormat/>
    <w:rsid w:val="00AB2979"/>
    <w:pPr>
      <w:ind w:left="635" w:hanging="357"/>
      <w:outlineLvl w:val="2"/>
    </w:pPr>
  </w:style>
  <w:style w:type="paragraph" w:customStyle="1" w:styleId="ECHRHeading1">
    <w:name w:val="ECHR_Heading_1"/>
    <w:aliases w:val="Ju_H_I_Roman"/>
    <w:basedOn w:val="Heading1"/>
    <w:next w:val="ECHRPara"/>
    <w:uiPriority w:val="19"/>
    <w:qFormat/>
    <w:rsid w:val="00AB2979"/>
    <w:pPr>
      <w:keepNext/>
      <w:keepLines/>
      <w:tabs>
        <w:tab w:val="left" w:pos="357"/>
      </w:tabs>
      <w:spacing w:before="360" w:after="240"/>
      <w:ind w:left="357" w:hanging="357"/>
      <w:contextualSpacing w:val="0"/>
    </w:pPr>
    <w:rPr>
      <w:b w:val="0"/>
      <w:color w:val="auto"/>
      <w:sz w:val="24"/>
    </w:rPr>
  </w:style>
  <w:style w:type="paragraph" w:customStyle="1" w:styleId="ECHRHeading2">
    <w:name w:val="ECHR_Heading_2"/>
    <w:aliases w:val="Ju_H_A"/>
    <w:basedOn w:val="Heading2"/>
    <w:next w:val="ECHRPara"/>
    <w:uiPriority w:val="20"/>
    <w:qFormat/>
    <w:rsid w:val="00AB2979"/>
    <w:pPr>
      <w:keepNext/>
      <w:keepLines/>
      <w:tabs>
        <w:tab w:val="left" w:pos="584"/>
      </w:tabs>
      <w:spacing w:before="360" w:after="240"/>
      <w:ind w:left="584" w:hanging="352"/>
    </w:pPr>
    <w:rPr>
      <w:color w:val="auto"/>
      <w:sz w:val="24"/>
    </w:rPr>
  </w:style>
  <w:style w:type="paragraph" w:customStyle="1" w:styleId="ECHRHeading3">
    <w:name w:val="ECHR_Heading_3"/>
    <w:aliases w:val="Ju_H_1."/>
    <w:basedOn w:val="Heading3"/>
    <w:next w:val="ECHRPara"/>
    <w:uiPriority w:val="21"/>
    <w:qFormat/>
    <w:rsid w:val="00AB2979"/>
    <w:pPr>
      <w:keepNext/>
      <w:keepLines/>
      <w:tabs>
        <w:tab w:val="left" w:pos="731"/>
      </w:tabs>
      <w:spacing w:before="240" w:after="120" w:line="240" w:lineRule="auto"/>
      <w:ind w:left="732" w:hanging="301"/>
    </w:pPr>
    <w:rPr>
      <w:b w:val="0"/>
      <w:i/>
      <w:color w:val="auto"/>
    </w:rPr>
  </w:style>
  <w:style w:type="paragraph" w:styleId="Header">
    <w:name w:val="header"/>
    <w:basedOn w:val="Normal"/>
    <w:link w:val="HeaderChar"/>
    <w:uiPriority w:val="57"/>
    <w:semiHidden/>
    <w:rsid w:val="00AB2979"/>
    <w:pPr>
      <w:tabs>
        <w:tab w:val="center" w:pos="4536"/>
        <w:tab w:val="right" w:pos="9072"/>
      </w:tabs>
    </w:pPr>
    <w:rPr>
      <w:rFonts w:eastAsiaTheme="minorHAnsi"/>
    </w:rPr>
  </w:style>
  <w:style w:type="character" w:customStyle="1" w:styleId="HeaderChar">
    <w:name w:val="Header Char"/>
    <w:basedOn w:val="DefaultParagraphFont"/>
    <w:link w:val="Header"/>
    <w:uiPriority w:val="57"/>
    <w:semiHidden/>
    <w:rsid w:val="00AB2979"/>
    <w:rPr>
      <w:sz w:val="24"/>
    </w:rPr>
  </w:style>
  <w:style w:type="character" w:customStyle="1" w:styleId="Heading1Char">
    <w:name w:val="Heading 1 Char"/>
    <w:basedOn w:val="DefaultParagraphFont"/>
    <w:link w:val="Heading1"/>
    <w:uiPriority w:val="99"/>
    <w:semiHidden/>
    <w:rsid w:val="00AB2979"/>
    <w:rPr>
      <w:rFonts w:asciiTheme="majorHAnsi" w:eastAsiaTheme="majorEastAsia" w:hAnsiTheme="majorHAnsi" w:cstheme="majorBidi"/>
      <w:b/>
      <w:bCs/>
      <w:color w:val="333333"/>
      <w:sz w:val="28"/>
      <w:szCs w:val="28"/>
    </w:rPr>
  </w:style>
  <w:style w:type="paragraph" w:customStyle="1" w:styleId="ECHRHeading4">
    <w:name w:val="ECHR_Heading_4"/>
    <w:aliases w:val="Ju_H_a"/>
    <w:basedOn w:val="Heading4"/>
    <w:next w:val="ECHRPara"/>
    <w:uiPriority w:val="22"/>
    <w:qFormat/>
    <w:rsid w:val="00AB2979"/>
    <w:pPr>
      <w:keepNext/>
      <w:keepLines/>
      <w:tabs>
        <w:tab w:val="left" w:pos="975"/>
      </w:tabs>
      <w:spacing w:before="240" w:after="120"/>
      <w:ind w:left="975" w:hanging="340"/>
    </w:pPr>
    <w:rPr>
      <w:i w:val="0"/>
      <w:color w:val="auto"/>
      <w:sz w:val="20"/>
    </w:rPr>
  </w:style>
  <w:style w:type="paragraph" w:customStyle="1" w:styleId="ECHRHeading5">
    <w:name w:val="ECHR_Heading_5"/>
    <w:aliases w:val="Ju_H_i"/>
    <w:basedOn w:val="Heading5"/>
    <w:next w:val="ECHRPara"/>
    <w:uiPriority w:val="23"/>
    <w:qFormat/>
    <w:rsid w:val="00AB2979"/>
    <w:pPr>
      <w:keepNext/>
      <w:keepLines/>
      <w:tabs>
        <w:tab w:val="left" w:pos="1191"/>
      </w:tabs>
      <w:spacing w:before="240" w:after="120"/>
      <w:ind w:left="1190" w:hanging="357"/>
    </w:pPr>
    <w:rPr>
      <w:b w:val="0"/>
      <w:i/>
      <w:color w:val="auto"/>
      <w:sz w:val="20"/>
    </w:rPr>
  </w:style>
  <w:style w:type="character" w:customStyle="1" w:styleId="Heading2Char">
    <w:name w:val="Heading 2 Char"/>
    <w:basedOn w:val="DefaultParagraphFont"/>
    <w:link w:val="Heading2"/>
    <w:uiPriority w:val="99"/>
    <w:semiHidden/>
    <w:rsid w:val="00AB2979"/>
    <w:rPr>
      <w:rFonts w:asciiTheme="majorHAnsi" w:eastAsiaTheme="majorEastAsia" w:hAnsiTheme="majorHAnsi" w:cstheme="majorBidi"/>
      <w:b/>
      <w:bCs/>
      <w:color w:val="4D4D4D"/>
      <w:sz w:val="26"/>
      <w:szCs w:val="26"/>
    </w:rPr>
  </w:style>
  <w:style w:type="paragraph" w:customStyle="1" w:styleId="ECHRHeading6">
    <w:name w:val="ECHR_Heading_6"/>
    <w:aliases w:val="Ju_H_alpha"/>
    <w:basedOn w:val="Heading6"/>
    <w:next w:val="ECHRPara"/>
    <w:uiPriority w:val="24"/>
    <w:qFormat/>
    <w:rsid w:val="00AB2979"/>
    <w:pPr>
      <w:keepNext/>
      <w:keepLines/>
      <w:tabs>
        <w:tab w:val="left" w:pos="1372"/>
      </w:tabs>
      <w:spacing w:before="240" w:after="120" w:line="240" w:lineRule="auto"/>
      <w:ind w:left="1373" w:hanging="335"/>
    </w:pPr>
    <w:rPr>
      <w:b w:val="0"/>
      <w:color w:val="auto"/>
      <w:sz w:val="20"/>
    </w:rPr>
  </w:style>
  <w:style w:type="paragraph" w:customStyle="1" w:styleId="ECHRHeading7">
    <w:name w:val="ECHR_Heading_7"/>
    <w:aliases w:val="Ju_H_–"/>
    <w:basedOn w:val="Heading7"/>
    <w:next w:val="ECHRPara"/>
    <w:uiPriority w:val="25"/>
    <w:qFormat/>
    <w:rsid w:val="00AB2979"/>
    <w:pPr>
      <w:keepNext/>
      <w:keepLines/>
      <w:spacing w:before="240" w:after="120"/>
      <w:ind w:left="1236"/>
    </w:pPr>
    <w:rPr>
      <w:sz w:val="20"/>
    </w:rPr>
  </w:style>
  <w:style w:type="character" w:customStyle="1" w:styleId="Heading3Char">
    <w:name w:val="Heading 3 Char"/>
    <w:basedOn w:val="DefaultParagraphFont"/>
    <w:link w:val="Heading3"/>
    <w:uiPriority w:val="99"/>
    <w:semiHidden/>
    <w:rsid w:val="00AB2979"/>
    <w:rPr>
      <w:rFonts w:asciiTheme="majorHAnsi" w:eastAsiaTheme="majorEastAsia" w:hAnsiTheme="majorHAnsi" w:cstheme="majorBidi"/>
      <w:b/>
      <w:bCs/>
      <w:color w:val="5F5F5F"/>
      <w:sz w:val="24"/>
    </w:rPr>
  </w:style>
  <w:style w:type="paragraph" w:customStyle="1" w:styleId="JuParaLast">
    <w:name w:val="Ju_Para_Last"/>
    <w:basedOn w:val="Normal"/>
    <w:next w:val="ECHRPara"/>
    <w:uiPriority w:val="30"/>
    <w:qFormat/>
    <w:rsid w:val="00AB2979"/>
    <w:pPr>
      <w:keepNext/>
      <w:keepLines/>
      <w:spacing w:before="240"/>
      <w:ind w:firstLine="284"/>
    </w:pPr>
  </w:style>
  <w:style w:type="paragraph" w:customStyle="1" w:styleId="ECHRDecisionBody">
    <w:name w:val="ECHR_Decision_Body"/>
    <w:aliases w:val="Ju_Judges"/>
    <w:basedOn w:val="Normal"/>
    <w:uiPriority w:val="11"/>
    <w:qFormat/>
    <w:rsid w:val="00AB2979"/>
    <w:pPr>
      <w:tabs>
        <w:tab w:val="left" w:pos="567"/>
        <w:tab w:val="left" w:pos="1134"/>
      </w:tabs>
      <w:jc w:val="left"/>
    </w:pPr>
  </w:style>
  <w:style w:type="character" w:customStyle="1" w:styleId="Heading4Char">
    <w:name w:val="Heading 4 Char"/>
    <w:basedOn w:val="DefaultParagraphFont"/>
    <w:link w:val="Heading4"/>
    <w:uiPriority w:val="99"/>
    <w:semiHidden/>
    <w:rsid w:val="00AB2979"/>
    <w:rPr>
      <w:rFonts w:asciiTheme="majorHAnsi" w:eastAsiaTheme="majorEastAsia" w:hAnsiTheme="majorHAnsi" w:cstheme="majorBidi"/>
      <w:b/>
      <w:bCs/>
      <w:i/>
      <w:iCs/>
      <w:color w:val="777777"/>
      <w:sz w:val="24"/>
    </w:rPr>
  </w:style>
  <w:style w:type="paragraph" w:customStyle="1" w:styleId="JuList">
    <w:name w:val="Ju_List"/>
    <w:basedOn w:val="Normal"/>
    <w:uiPriority w:val="28"/>
    <w:qFormat/>
    <w:rsid w:val="00AB2979"/>
    <w:pPr>
      <w:ind w:left="340" w:hanging="340"/>
    </w:pPr>
  </w:style>
  <w:style w:type="character" w:customStyle="1" w:styleId="Heading5Char">
    <w:name w:val="Heading 5 Char"/>
    <w:basedOn w:val="DefaultParagraphFont"/>
    <w:link w:val="Heading5"/>
    <w:uiPriority w:val="99"/>
    <w:semiHidden/>
    <w:rsid w:val="00AB2979"/>
    <w:rPr>
      <w:rFonts w:asciiTheme="majorHAnsi" w:eastAsiaTheme="majorEastAsia" w:hAnsiTheme="majorHAnsi" w:cstheme="majorBidi"/>
      <w:b/>
      <w:bCs/>
      <w:color w:val="808080"/>
    </w:rPr>
  </w:style>
  <w:style w:type="paragraph" w:customStyle="1" w:styleId="JuLista">
    <w:name w:val="Ju_List_a"/>
    <w:basedOn w:val="JuList"/>
    <w:uiPriority w:val="28"/>
    <w:qFormat/>
    <w:rsid w:val="00AB2979"/>
    <w:pPr>
      <w:ind w:left="346" w:firstLine="0"/>
    </w:pPr>
  </w:style>
  <w:style w:type="paragraph" w:customStyle="1" w:styleId="JuListi">
    <w:name w:val="Ju_List_i"/>
    <w:basedOn w:val="Normal"/>
    <w:next w:val="JuLista"/>
    <w:uiPriority w:val="28"/>
    <w:qFormat/>
    <w:rsid w:val="00AB2979"/>
    <w:pPr>
      <w:ind w:left="794"/>
    </w:pPr>
  </w:style>
  <w:style w:type="character" w:styleId="SubtleEmphasis">
    <w:name w:val="Subtle Emphasis"/>
    <w:uiPriority w:val="99"/>
    <w:semiHidden/>
    <w:qFormat/>
    <w:rsid w:val="00AB2979"/>
    <w:rPr>
      <w:i/>
      <w:iCs/>
    </w:rPr>
  </w:style>
  <w:style w:type="paragraph" w:customStyle="1" w:styleId="OpiHa">
    <w:name w:val="Opi_H_a"/>
    <w:basedOn w:val="ECHRHeading3"/>
    <w:uiPriority w:val="43"/>
    <w:qFormat/>
    <w:rsid w:val="00AB2979"/>
    <w:pPr>
      <w:ind w:left="833" w:hanging="357"/>
      <w:outlineLvl w:val="3"/>
    </w:pPr>
    <w:rPr>
      <w:b/>
      <w:i w:val="0"/>
      <w:sz w:val="20"/>
    </w:rPr>
  </w:style>
  <w:style w:type="table" w:customStyle="1" w:styleId="ECHRTable">
    <w:name w:val="ECHR_Table"/>
    <w:basedOn w:val="TableNormal"/>
    <w:rsid w:val="00860B03"/>
    <w:rPr>
      <w:rFonts w:eastAsia="Times New Roman" w:cs="Times New Roman"/>
      <w:sz w:val="20"/>
      <w:szCs w:val="20"/>
      <w:lang w:val="en-GB"/>
    </w:rPr>
    <w:tblPr>
      <w:tblStyleRowBandSize w:val="1"/>
      <w:tblStyleColBandSize w:val="1"/>
      <w:tbl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blBorders>
      <w:tblCellMar>
        <w:top w:w="28" w:type="dxa"/>
        <w:bottom w:w="28" w:type="dxa"/>
      </w:tblCellMar>
    </w:tblPr>
    <w:tblStylePr w:type="firstRow">
      <w:rPr>
        <w:rFonts w:asciiTheme="majorHAnsi" w:hAnsiTheme="majorHAnsi"/>
        <w:b/>
        <w:i w:val="0"/>
        <w:color w:val="474747" w:themeColor="accent3" w:themeShade="BF"/>
        <w:sz w:val="22"/>
      </w:rPr>
      <w:tblPr/>
      <w:tcPr>
        <w:tc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l2br w:val="nil"/>
          <w:tr2bl w:val="nil"/>
        </w:tcBorders>
        <w:shd w:val="clear" w:color="auto" w:fill="DFDFDF" w:themeFill="background2" w:themeFillShade="E6"/>
      </w:tcPr>
    </w:tblStylePr>
    <w:tblStylePr w:type="firstCol">
      <w:rPr>
        <w:b/>
      </w:rPr>
    </w:tblStylePr>
    <w:tblStylePr w:type="band2Vert">
      <w:tblPr/>
      <w:tcPr>
        <w:tcBorders>
          <w:top w:val="nil"/>
          <w:left w:val="nil"/>
          <w:bottom w:val="nil"/>
          <w:right w:val="nil"/>
          <w:insideH w:val="nil"/>
          <w:insideV w:val="nil"/>
          <w:tl2br w:val="nil"/>
          <w:tr2bl w:val="nil"/>
        </w:tcBorders>
        <w:shd w:val="clear" w:color="auto" w:fill="DFDFDF" w:themeFill="background2" w:themeFillShade="E6"/>
      </w:tcPr>
    </w:tblStylePr>
    <w:tblStylePr w:type="band2Horz">
      <w:tblPr/>
      <w:tcPr>
        <w:tc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l2br w:val="nil"/>
          <w:tr2bl w:val="nil"/>
        </w:tcBorders>
        <w:shd w:val="clear" w:color="auto" w:fill="DFDFDF" w:themeFill="background2" w:themeFillShade="E6"/>
      </w:tcPr>
    </w:tblStylePr>
  </w:style>
  <w:style w:type="table" w:customStyle="1" w:styleId="ECHRTableBoxHeader">
    <w:name w:val="ECHR_Table_Box_Header"/>
    <w:basedOn w:val="TableNormal"/>
    <w:rsid w:val="004C086C"/>
    <w:rPr>
      <w:rFonts w:ascii="Verdana" w:eastAsia="Times New Roman" w:hAnsi="Verdana" w:cs="Times New Roman"/>
      <w:sz w:val="20"/>
      <w:szCs w:val="20"/>
      <w:lang w:val="en-GB"/>
    </w:rPr>
    <w:tblPr>
      <w:tblCellMar>
        <w:top w:w="57" w:type="dxa"/>
        <w:left w:w="57" w:type="dxa"/>
        <w:bottom w:w="57" w:type="dxa"/>
        <w:right w:w="57" w:type="dxa"/>
      </w:tblCellMar>
    </w:tblPr>
    <w:tcPr>
      <w:shd w:val="clear" w:color="auto" w:fill="F8F8F8" w:themeFill="background2"/>
    </w:tcPr>
    <w:tblStylePr w:type="firstCol">
      <w:rPr>
        <w:b/>
        <w:color w:val="5F5F5F" w:themeColor="accent3"/>
      </w:rPr>
    </w:tblStylePr>
  </w:style>
  <w:style w:type="paragraph" w:customStyle="1" w:styleId="OpiHA0">
    <w:name w:val="Opi_H_A"/>
    <w:basedOn w:val="ECHRHeading1"/>
    <w:next w:val="OpiPara"/>
    <w:uiPriority w:val="41"/>
    <w:qFormat/>
    <w:rsid w:val="00AB2979"/>
    <w:pPr>
      <w:tabs>
        <w:tab w:val="clear" w:pos="357"/>
      </w:tabs>
      <w:outlineLvl w:val="1"/>
    </w:pPr>
    <w:rPr>
      <w:b/>
    </w:rPr>
  </w:style>
  <w:style w:type="paragraph" w:customStyle="1" w:styleId="OpiHi">
    <w:name w:val="Opi_H_i"/>
    <w:basedOn w:val="ECHRHeading4"/>
    <w:uiPriority w:val="44"/>
    <w:qFormat/>
    <w:rsid w:val="00AB2979"/>
    <w:pPr>
      <w:ind w:left="1037" w:hanging="357"/>
      <w:outlineLvl w:val="4"/>
    </w:pPr>
    <w:rPr>
      <w:b w:val="0"/>
      <w:i/>
    </w:rPr>
  </w:style>
  <w:style w:type="paragraph" w:customStyle="1" w:styleId="OpiPara">
    <w:name w:val="Opi_Para"/>
    <w:basedOn w:val="ECHRPara"/>
    <w:uiPriority w:val="46"/>
    <w:qFormat/>
    <w:rsid w:val="00AB2979"/>
  </w:style>
  <w:style w:type="character" w:styleId="Emphasis">
    <w:name w:val="Emphasis"/>
    <w:uiPriority w:val="99"/>
    <w:semiHidden/>
    <w:qFormat/>
    <w:rsid w:val="00AB2979"/>
    <w:rPr>
      <w:b/>
      <w:bCs/>
      <w:i/>
      <w:iCs/>
      <w:spacing w:val="10"/>
      <w:bdr w:val="none" w:sz="0" w:space="0" w:color="auto"/>
      <w:shd w:val="clear" w:color="auto" w:fill="auto"/>
    </w:rPr>
  </w:style>
  <w:style w:type="paragraph" w:styleId="Footer">
    <w:name w:val="footer"/>
    <w:basedOn w:val="Normal"/>
    <w:link w:val="FooterChar"/>
    <w:uiPriority w:val="57"/>
    <w:semiHidden/>
    <w:rsid w:val="00AB2979"/>
    <w:pPr>
      <w:tabs>
        <w:tab w:val="center" w:pos="4536"/>
        <w:tab w:val="right" w:pos="9696"/>
      </w:tabs>
      <w:ind w:left="-680" w:right="-680"/>
    </w:pPr>
    <w:rPr>
      <w:rFonts w:eastAsiaTheme="minorHAnsi"/>
    </w:rPr>
  </w:style>
  <w:style w:type="character" w:customStyle="1" w:styleId="FooterChar">
    <w:name w:val="Footer Char"/>
    <w:basedOn w:val="DefaultParagraphFont"/>
    <w:link w:val="Footer"/>
    <w:uiPriority w:val="57"/>
    <w:semiHidden/>
    <w:rsid w:val="00AB2979"/>
    <w:rPr>
      <w:sz w:val="24"/>
    </w:rPr>
  </w:style>
  <w:style w:type="character" w:styleId="FootnoteReference">
    <w:name w:val="footnote reference"/>
    <w:basedOn w:val="DefaultParagraphFont"/>
    <w:uiPriority w:val="99"/>
    <w:semiHidden/>
    <w:rsid w:val="00AB2979"/>
    <w:rPr>
      <w:vertAlign w:val="superscript"/>
    </w:rPr>
  </w:style>
  <w:style w:type="paragraph" w:styleId="FootnoteText">
    <w:name w:val="footnote text"/>
    <w:basedOn w:val="Normal"/>
    <w:link w:val="FootnoteTextChar"/>
    <w:uiPriority w:val="99"/>
    <w:semiHidden/>
    <w:rsid w:val="00AB2979"/>
    <w:rPr>
      <w:sz w:val="20"/>
      <w:szCs w:val="20"/>
    </w:rPr>
  </w:style>
  <w:style w:type="character" w:customStyle="1" w:styleId="FootnoteTextChar">
    <w:name w:val="Footnote Text Char"/>
    <w:basedOn w:val="DefaultParagraphFont"/>
    <w:link w:val="FootnoteText"/>
    <w:uiPriority w:val="99"/>
    <w:semiHidden/>
    <w:rsid w:val="00AB2979"/>
    <w:rPr>
      <w:rFonts w:eastAsiaTheme="minorEastAsia"/>
      <w:sz w:val="20"/>
      <w:szCs w:val="20"/>
    </w:rPr>
  </w:style>
  <w:style w:type="character" w:customStyle="1" w:styleId="Heading6Char">
    <w:name w:val="Heading 6 Char"/>
    <w:basedOn w:val="DefaultParagraphFont"/>
    <w:link w:val="Heading6"/>
    <w:uiPriority w:val="99"/>
    <w:semiHidden/>
    <w:rsid w:val="00AB2979"/>
    <w:rPr>
      <w:rFonts w:asciiTheme="majorHAnsi" w:eastAsiaTheme="majorEastAsia" w:hAnsiTheme="majorHAnsi" w:cstheme="majorBidi"/>
      <w:b/>
      <w:bCs/>
      <w:i/>
      <w:iCs/>
      <w:color w:val="7F7F7F" w:themeColor="text1" w:themeTint="80"/>
      <w:sz w:val="24"/>
      <w:lang w:bidi="en-US"/>
    </w:rPr>
  </w:style>
  <w:style w:type="character" w:customStyle="1" w:styleId="Heading7Char">
    <w:name w:val="Heading 7 Char"/>
    <w:basedOn w:val="DefaultParagraphFont"/>
    <w:link w:val="Heading7"/>
    <w:uiPriority w:val="99"/>
    <w:semiHidden/>
    <w:rsid w:val="00AB2979"/>
    <w:rPr>
      <w:rFonts w:asciiTheme="majorHAnsi" w:eastAsiaTheme="majorEastAsia" w:hAnsiTheme="majorHAnsi" w:cstheme="majorBidi"/>
      <w:i/>
      <w:iCs/>
      <w:lang w:bidi="en-US"/>
    </w:rPr>
  </w:style>
  <w:style w:type="character" w:customStyle="1" w:styleId="Heading8Char">
    <w:name w:val="Heading 8 Char"/>
    <w:basedOn w:val="DefaultParagraphFont"/>
    <w:link w:val="Heading8"/>
    <w:uiPriority w:val="99"/>
    <w:semiHidden/>
    <w:rsid w:val="00AB2979"/>
    <w:rPr>
      <w:rFonts w:asciiTheme="majorHAnsi" w:eastAsiaTheme="majorEastAsia" w:hAnsiTheme="majorHAnsi" w:cstheme="majorBidi"/>
      <w:sz w:val="20"/>
      <w:szCs w:val="20"/>
      <w:lang w:bidi="en-US"/>
    </w:rPr>
  </w:style>
  <w:style w:type="character" w:customStyle="1" w:styleId="Heading9Char">
    <w:name w:val="Heading 9 Char"/>
    <w:basedOn w:val="DefaultParagraphFont"/>
    <w:link w:val="Heading9"/>
    <w:uiPriority w:val="99"/>
    <w:semiHidden/>
    <w:rsid w:val="00AB2979"/>
    <w:rPr>
      <w:rFonts w:asciiTheme="majorHAnsi" w:eastAsiaTheme="majorEastAsia" w:hAnsiTheme="majorHAnsi" w:cstheme="majorBidi"/>
      <w:i/>
      <w:iCs/>
      <w:spacing w:val="5"/>
      <w:sz w:val="20"/>
      <w:szCs w:val="20"/>
      <w:lang w:bidi="en-US"/>
    </w:rPr>
  </w:style>
  <w:style w:type="character" w:styleId="Hyperlink">
    <w:name w:val="Hyperlink"/>
    <w:basedOn w:val="DefaultParagraphFont"/>
    <w:uiPriority w:val="99"/>
    <w:semiHidden/>
    <w:rsid w:val="00AB2979"/>
    <w:rPr>
      <w:color w:val="0072BC" w:themeColor="hyperlink"/>
      <w:u w:val="single"/>
    </w:rPr>
  </w:style>
  <w:style w:type="character" w:styleId="IntenseEmphasis">
    <w:name w:val="Intense Emphasis"/>
    <w:uiPriority w:val="99"/>
    <w:semiHidden/>
    <w:qFormat/>
    <w:rsid w:val="00AB2979"/>
    <w:rPr>
      <w:b/>
      <w:bCs/>
    </w:rPr>
  </w:style>
  <w:style w:type="paragraph" w:styleId="IntenseQuote">
    <w:name w:val="Intense Quote"/>
    <w:basedOn w:val="Normal"/>
    <w:next w:val="Normal"/>
    <w:link w:val="IntenseQuoteChar"/>
    <w:uiPriority w:val="99"/>
    <w:semiHidden/>
    <w:qFormat/>
    <w:rsid w:val="00AB2979"/>
    <w:pPr>
      <w:pBdr>
        <w:bottom w:val="single" w:sz="4" w:space="1" w:color="auto"/>
      </w:pBdr>
      <w:spacing w:before="200" w:after="280"/>
      <w:ind w:left="1008" w:right="1152"/>
    </w:pPr>
    <w:rPr>
      <w:b/>
      <w:bCs/>
      <w:i/>
      <w:iCs/>
      <w:sz w:val="22"/>
      <w:lang w:bidi="en-US"/>
    </w:rPr>
  </w:style>
  <w:style w:type="character" w:customStyle="1" w:styleId="IntenseQuoteChar">
    <w:name w:val="Intense Quote Char"/>
    <w:basedOn w:val="DefaultParagraphFont"/>
    <w:link w:val="IntenseQuote"/>
    <w:uiPriority w:val="99"/>
    <w:semiHidden/>
    <w:rsid w:val="00AB2979"/>
    <w:rPr>
      <w:rFonts w:eastAsiaTheme="minorEastAsia"/>
      <w:b/>
      <w:bCs/>
      <w:i/>
      <w:iCs/>
      <w:lang w:bidi="en-US"/>
    </w:rPr>
  </w:style>
  <w:style w:type="character" w:styleId="IntenseReference">
    <w:name w:val="Intense Reference"/>
    <w:uiPriority w:val="99"/>
    <w:semiHidden/>
    <w:qFormat/>
    <w:rsid w:val="00AB2979"/>
    <w:rPr>
      <w:smallCaps/>
      <w:spacing w:val="5"/>
      <w:u w:val="single"/>
    </w:rPr>
  </w:style>
  <w:style w:type="paragraph" w:styleId="ListParagraph">
    <w:name w:val="List Paragraph"/>
    <w:basedOn w:val="Normal"/>
    <w:uiPriority w:val="99"/>
    <w:semiHidden/>
    <w:qFormat/>
    <w:rsid w:val="00AB2979"/>
    <w:pPr>
      <w:ind w:left="720"/>
      <w:contextualSpacing/>
    </w:pPr>
  </w:style>
  <w:style w:type="table" w:customStyle="1" w:styleId="LtrTableAddress">
    <w:name w:val="Ltr_Table_Address"/>
    <w:basedOn w:val="TableNormal"/>
    <w:uiPriority w:val="99"/>
    <w:rsid w:val="001E6F32"/>
    <w:tblPr>
      <w:tblInd w:w="5103" w:type="dxa"/>
    </w:tblPr>
  </w:style>
  <w:style w:type="paragraph" w:styleId="Quote">
    <w:name w:val="Quote"/>
    <w:basedOn w:val="Normal"/>
    <w:next w:val="Normal"/>
    <w:link w:val="QuoteChar"/>
    <w:uiPriority w:val="99"/>
    <w:semiHidden/>
    <w:qFormat/>
    <w:rsid w:val="00AB2979"/>
    <w:pPr>
      <w:spacing w:before="200"/>
      <w:ind w:left="360" w:right="360"/>
    </w:pPr>
    <w:rPr>
      <w:i/>
      <w:iCs/>
      <w:sz w:val="22"/>
      <w:lang w:bidi="en-US"/>
    </w:rPr>
  </w:style>
  <w:style w:type="character" w:customStyle="1" w:styleId="QuoteChar">
    <w:name w:val="Quote Char"/>
    <w:basedOn w:val="DefaultParagraphFont"/>
    <w:link w:val="Quote"/>
    <w:uiPriority w:val="99"/>
    <w:semiHidden/>
    <w:rsid w:val="00AB2979"/>
    <w:rPr>
      <w:rFonts w:eastAsiaTheme="minorEastAsia"/>
      <w:i/>
      <w:iCs/>
      <w:lang w:bidi="en-US"/>
    </w:rPr>
  </w:style>
  <w:style w:type="character" w:styleId="SubtleReference">
    <w:name w:val="Subtle Reference"/>
    <w:uiPriority w:val="99"/>
    <w:semiHidden/>
    <w:qFormat/>
    <w:rsid w:val="00AB2979"/>
    <w:rPr>
      <w:smallCaps/>
    </w:rPr>
  </w:style>
  <w:style w:type="table" w:styleId="TableGrid">
    <w:name w:val="Table Grid"/>
    <w:basedOn w:val="TableNormal"/>
    <w:uiPriority w:val="59"/>
    <w:semiHidden/>
    <w:rsid w:val="00AB2979"/>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99"/>
    <w:semiHidden/>
    <w:rsid w:val="00AB2979"/>
    <w:pPr>
      <w:keepNext/>
      <w:tabs>
        <w:tab w:val="right" w:leader="dot" w:pos="7371"/>
      </w:tabs>
      <w:spacing w:before="160" w:after="60" w:line="240" w:lineRule="exact"/>
      <w:ind w:left="340" w:right="567" w:hanging="340"/>
    </w:pPr>
    <w:rPr>
      <w:b/>
      <w:sz w:val="22"/>
    </w:rPr>
  </w:style>
  <w:style w:type="paragraph" w:styleId="TOC2">
    <w:name w:val="toc 2"/>
    <w:basedOn w:val="Normal"/>
    <w:next w:val="Normal"/>
    <w:autoRedefine/>
    <w:uiPriority w:val="99"/>
    <w:semiHidden/>
    <w:rsid w:val="00AB2979"/>
    <w:pPr>
      <w:keepNext/>
      <w:tabs>
        <w:tab w:val="right" w:leader="dot" w:pos="7371"/>
      </w:tabs>
      <w:spacing w:after="60" w:line="240" w:lineRule="exact"/>
      <w:ind w:left="680" w:right="567" w:hanging="340"/>
    </w:pPr>
    <w:rPr>
      <w:sz w:val="22"/>
    </w:rPr>
  </w:style>
  <w:style w:type="paragraph" w:styleId="TOC3">
    <w:name w:val="toc 3"/>
    <w:basedOn w:val="Normal"/>
    <w:next w:val="Normal"/>
    <w:autoRedefine/>
    <w:uiPriority w:val="99"/>
    <w:semiHidden/>
    <w:rsid w:val="00AB2979"/>
    <w:pPr>
      <w:keepNext/>
      <w:tabs>
        <w:tab w:val="right" w:leader="dot" w:pos="7371"/>
      </w:tabs>
      <w:spacing w:after="60" w:line="240" w:lineRule="exact"/>
      <w:ind w:left="1020" w:right="567" w:hanging="340"/>
    </w:pPr>
    <w:rPr>
      <w:sz w:val="20"/>
    </w:rPr>
  </w:style>
  <w:style w:type="paragraph" w:styleId="TOC4">
    <w:name w:val="toc 4"/>
    <w:basedOn w:val="Normal"/>
    <w:next w:val="Normal"/>
    <w:autoRedefine/>
    <w:uiPriority w:val="99"/>
    <w:semiHidden/>
    <w:rsid w:val="00AB2979"/>
    <w:pPr>
      <w:tabs>
        <w:tab w:val="right" w:leader="dot" w:pos="7371"/>
      </w:tabs>
      <w:spacing w:after="60" w:line="240" w:lineRule="exact"/>
      <w:ind w:left="1361" w:right="567" w:hanging="340"/>
    </w:pPr>
    <w:rPr>
      <w:sz w:val="20"/>
    </w:rPr>
  </w:style>
  <w:style w:type="paragraph" w:styleId="TOC5">
    <w:name w:val="toc 5"/>
    <w:basedOn w:val="Normal"/>
    <w:next w:val="Normal"/>
    <w:autoRedefine/>
    <w:uiPriority w:val="99"/>
    <w:semiHidden/>
    <w:rsid w:val="00AB2979"/>
    <w:pPr>
      <w:tabs>
        <w:tab w:val="right" w:leader="dot" w:pos="7371"/>
      </w:tabs>
      <w:spacing w:after="60" w:line="240" w:lineRule="exact"/>
      <w:ind w:left="1701" w:right="567" w:hanging="340"/>
    </w:pPr>
    <w:rPr>
      <w:sz w:val="20"/>
    </w:rPr>
  </w:style>
  <w:style w:type="paragraph" w:styleId="TOCHeading">
    <w:name w:val="TOC Heading"/>
    <w:basedOn w:val="Normal"/>
    <w:next w:val="Normal"/>
    <w:uiPriority w:val="99"/>
    <w:semiHidden/>
    <w:qFormat/>
    <w:rsid w:val="00AB2979"/>
    <w:pPr>
      <w:keepNext/>
      <w:keepLines/>
      <w:spacing w:before="240"/>
      <w:contextualSpacing/>
      <w:jc w:val="center"/>
    </w:pPr>
    <w:rPr>
      <w:rFonts w:asciiTheme="majorHAnsi" w:eastAsiaTheme="minorHAnsi" w:hAnsiTheme="majorHAnsi"/>
      <w:b/>
      <w:color w:val="474747" w:themeColor="accent3" w:themeShade="BF"/>
      <w:sz w:val="28"/>
    </w:rPr>
  </w:style>
  <w:style w:type="table" w:customStyle="1" w:styleId="UGTable">
    <w:name w:val="UG_Table"/>
    <w:basedOn w:val="TableNormal"/>
    <w:uiPriority w:val="99"/>
    <w:rsid w:val="00572845"/>
    <w:rPr>
      <w:rFonts w:eastAsiaTheme="minorEastAsia"/>
      <w:sz w:val="20"/>
      <w:lang w:val="en-GB" w:eastAsia="en-GB"/>
    </w:rPr>
    <w:tblPr>
      <w:tblInd w:w="-964" w:type="dxa"/>
      <w:tblCellMar>
        <w:left w:w="57" w:type="dxa"/>
        <w:bottom w:w="57" w:type="dxa"/>
        <w:right w:w="113" w:type="dxa"/>
      </w:tblCellMar>
    </w:tblPr>
    <w:tblStylePr w:type="swCell">
      <w:tblPr/>
      <w:tcPr>
        <w:tcBorders>
          <w:top w:val="nil"/>
          <w:left w:val="nil"/>
          <w:bottom w:val="nil"/>
          <w:right w:val="nil"/>
          <w:insideH w:val="nil"/>
          <w:insideV w:val="nil"/>
          <w:tl2br w:val="nil"/>
          <w:tr2bl w:val="nil"/>
        </w:tcBorders>
        <w:shd w:val="clear" w:color="auto" w:fill="EAEAEA"/>
      </w:tcPr>
    </w:tblStylePr>
  </w:style>
  <w:style w:type="table" w:customStyle="1" w:styleId="UGTableWhiteBox">
    <w:name w:val="UG_Table_White_Box"/>
    <w:basedOn w:val="TableNormal"/>
    <w:uiPriority w:val="99"/>
    <w:rsid w:val="003609FA"/>
    <w:rPr>
      <w:rFonts w:eastAsiaTheme="minorEastAsia"/>
      <w:lang w:val="en-GB" w:eastAsia="en-GB"/>
    </w:rPr>
    <w:tblPr>
      <w:tblInd w:w="113" w:type="dxa"/>
      <w:tblBorders>
        <w:top w:val="single" w:sz="4" w:space="0" w:color="B9B9B9" w:themeColor="background2" w:themeShade="BF"/>
        <w:left w:val="single" w:sz="4" w:space="0" w:color="B9B9B9" w:themeColor="background2" w:themeShade="BF"/>
        <w:bottom w:val="single" w:sz="4" w:space="0" w:color="B9B9B9" w:themeColor="background2" w:themeShade="BF"/>
        <w:right w:val="single" w:sz="4" w:space="0" w:color="B9B9B9" w:themeColor="background2" w:themeShade="BF"/>
      </w:tblBorders>
      <w:tblCellMar>
        <w:top w:w="113" w:type="dxa"/>
        <w:left w:w="113" w:type="dxa"/>
        <w:bottom w:w="113" w:type="dxa"/>
        <w:right w:w="113" w:type="dxa"/>
      </w:tblCellMar>
    </w:tblPr>
    <w:tcPr>
      <w:shd w:val="clear" w:color="auto" w:fill="FFFFFF"/>
    </w:tcPr>
  </w:style>
  <w:style w:type="table" w:customStyle="1" w:styleId="PCFTableStyle">
    <w:name w:val="PCF_Table_Style"/>
    <w:basedOn w:val="TableNormal"/>
    <w:uiPriority w:val="99"/>
    <w:rsid w:val="00810B38"/>
    <w:rPr>
      <w:color w:val="000000" w:themeColor="text1"/>
      <w:sz w:val="18"/>
    </w:rPr>
    <w:tblPr>
      <w:tblBorders>
        <w:top w:val="single" w:sz="8" w:space="0" w:color="9F9F9F" w:themeColor="accent3" w:themeTint="99"/>
        <w:left w:val="single" w:sz="8" w:space="0" w:color="9F9F9F" w:themeColor="accent3" w:themeTint="99"/>
        <w:bottom w:val="single" w:sz="8" w:space="0" w:color="9F9F9F" w:themeColor="accent3" w:themeTint="99"/>
        <w:right w:val="single" w:sz="8" w:space="0" w:color="9F9F9F" w:themeColor="accent3" w:themeTint="99"/>
        <w:insideH w:val="single" w:sz="8" w:space="0" w:color="9F9F9F" w:themeColor="accent3" w:themeTint="99"/>
        <w:insideV w:val="single" w:sz="8" w:space="0" w:color="9F9F9F" w:themeColor="accent3" w:themeTint="99"/>
      </w:tblBorders>
    </w:tblPr>
    <w:tblStylePr w:type="firstRow">
      <w:pPr>
        <w:wordWrap/>
        <w:spacing w:beforeLines="0" w:before="120" w:beforeAutospacing="0" w:afterLines="0" w:after="120" w:afterAutospacing="0" w:line="240" w:lineRule="auto"/>
        <w:contextualSpacing/>
        <w:jc w:val="center"/>
      </w:pPr>
      <w:rPr>
        <w:b/>
        <w:i w:val="0"/>
        <w:color w:val="FFFFFF"/>
        <w:sz w:val="20"/>
      </w:rPr>
      <w:tblPr/>
      <w:tcPr>
        <w:tcBorders>
          <w:top w:val="nil"/>
          <w:left w:val="nil"/>
          <w:bottom w:val="nil"/>
          <w:right w:val="nil"/>
          <w:insideH w:val="nil"/>
          <w:insideV w:val="nil"/>
          <w:tl2br w:val="nil"/>
          <w:tr2bl w:val="nil"/>
        </w:tcBorders>
        <w:shd w:val="clear" w:color="auto" w:fill="0072BC" w:themeFill="accent1"/>
        <w:vAlign w:val="center"/>
      </w:tcPr>
    </w:tblStylePr>
    <w:tblStylePr w:type="firstCol">
      <w:pPr>
        <w:jc w:val="left"/>
      </w:pPr>
      <w:tblPr/>
      <w:tcPr>
        <w:vAlign w:val="center"/>
      </w:tcPr>
    </w:tblStylePr>
  </w:style>
  <w:style w:type="table" w:customStyle="1" w:styleId="ECHRTableFax">
    <w:name w:val="ECHR_Table_Fax"/>
    <w:basedOn w:val="TableNormal"/>
    <w:uiPriority w:val="99"/>
    <w:rsid w:val="00893576"/>
    <w:rPr>
      <w:color w:val="000000" w:themeColor="text1"/>
    </w:rPr>
    <w:tblPr>
      <w:tblInd w:w="-680" w:type="dxa"/>
      <w:tblBorders>
        <w:insideH w:val="single" w:sz="4" w:space="0" w:color="C6C6C6" w:themeColor="text2"/>
        <w:insideV w:val="single" w:sz="4" w:space="0" w:color="C6C6C6" w:themeColor="text2"/>
      </w:tblBorders>
      <w:tblCellMar>
        <w:top w:w="142" w:type="dxa"/>
        <w:bottom w:w="142" w:type="dxa"/>
      </w:tblCellMar>
    </w:tblPr>
    <w:trPr>
      <w:cantSplit/>
    </w:trPr>
  </w:style>
  <w:style w:type="table" w:customStyle="1" w:styleId="ECHRTableMemo">
    <w:name w:val="ECHR_Table_Memo"/>
    <w:basedOn w:val="TableNormal"/>
    <w:uiPriority w:val="99"/>
    <w:rsid w:val="00210338"/>
    <w:tblPr>
      <w:jc w:val="center"/>
      <w:tblCellMar>
        <w:top w:w="113" w:type="dxa"/>
        <w:left w:w="0" w:type="dxa"/>
        <w:bottom w:w="113" w:type="dxa"/>
        <w:right w:w="0" w:type="dxa"/>
      </w:tblCellMar>
    </w:tblPr>
    <w:trPr>
      <w:jc w:val="center"/>
    </w:trPr>
    <w:tblStylePr w:type="lastRow">
      <w:tblPr/>
      <w:tcPr>
        <w:tcBorders>
          <w:top w:val="nil"/>
          <w:left w:val="nil"/>
          <w:bottom w:val="single" w:sz="4" w:space="0" w:color="949494" w:themeColor="text2" w:themeShade="BF"/>
          <w:right w:val="nil"/>
          <w:insideH w:val="nil"/>
          <w:insideV w:val="nil"/>
          <w:tl2br w:val="nil"/>
          <w:tr2bl w:val="nil"/>
        </w:tcBorders>
      </w:tcPr>
    </w:tblStylePr>
  </w:style>
  <w:style w:type="table" w:customStyle="1" w:styleId="ECHRDNTable">
    <w:name w:val="ECHR_DN_Table"/>
    <w:aliases w:val="DN_Table"/>
    <w:basedOn w:val="TableNormal"/>
    <w:uiPriority w:val="99"/>
    <w:rsid w:val="0090506B"/>
    <w:tblPr>
      <w:jc w:val="center"/>
      <w:tblBorders>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blBorders>
      <w:tblCellMar>
        <w:top w:w="57" w:type="dxa"/>
        <w:bottom w:w="57" w:type="dxa"/>
      </w:tblCellMar>
    </w:tblPr>
    <w:trPr>
      <w:jc w:val="center"/>
    </w:trPr>
    <w:tcPr>
      <w:vAlign w:val="center"/>
    </w:tcPr>
    <w:tblStylePr w:type="firstRow">
      <w:pPr>
        <w:wordWrap/>
        <w:spacing w:beforeLines="0"/>
        <w:ind w:leftChars="0" w:left="0"/>
      </w:pPr>
      <w:rPr>
        <w:rFonts w:asciiTheme="majorHAnsi" w:hAnsiTheme="majorHAnsi"/>
        <w:b/>
        <w:i w:val="0"/>
        <w:color w:val="474747" w:themeColor="accent3" w:themeShade="BF"/>
        <w:sz w:val="24"/>
      </w:rPr>
      <w:tblPr/>
      <w:tcPr>
        <w:tcBorders>
          <w:top w:val="single" w:sz="4" w:space="0" w:color="949494" w:themeColor="text2" w:themeShade="BF"/>
          <w:left w:val="single" w:sz="4" w:space="0" w:color="949494" w:themeColor="text2" w:themeShade="BF"/>
          <w:bottom w:val="nil"/>
          <w:right w:val="single" w:sz="4" w:space="0" w:color="949494" w:themeColor="text2" w:themeShade="BF"/>
          <w:insideH w:val="nil"/>
          <w:insideV w:val="nil"/>
          <w:tl2br w:val="nil"/>
          <w:tr2bl w:val="nil"/>
        </w:tcBorders>
        <w:shd w:val="clear" w:color="auto" w:fill="DFDFDF" w:themeFill="background2" w:themeFillShade="E6"/>
      </w:tcPr>
    </w:tblStylePr>
  </w:style>
  <w:style w:type="paragraph" w:styleId="TOAHeading">
    <w:name w:val="toa heading"/>
    <w:basedOn w:val="Normal"/>
    <w:next w:val="Normal"/>
    <w:uiPriority w:val="99"/>
    <w:semiHidden/>
    <w:rsid w:val="00AB2979"/>
    <w:pPr>
      <w:keepNext/>
      <w:keepLines/>
      <w:spacing w:before="240"/>
      <w:contextualSpacing/>
      <w:jc w:val="center"/>
    </w:pPr>
    <w:rPr>
      <w:rFonts w:asciiTheme="majorHAnsi" w:eastAsiaTheme="majorEastAsia" w:hAnsiTheme="majorHAnsi" w:cstheme="majorBidi"/>
      <w:b/>
      <w:bCs/>
      <w:color w:val="474747" w:themeColor="accent3" w:themeShade="BF"/>
      <w:sz w:val="28"/>
      <w:szCs w:val="24"/>
    </w:rPr>
  </w:style>
  <w:style w:type="paragraph" w:styleId="Subtitle">
    <w:name w:val="Subtitle"/>
    <w:basedOn w:val="Normal"/>
    <w:next w:val="Normal"/>
    <w:link w:val="SubtitleChar"/>
    <w:uiPriority w:val="99"/>
    <w:semiHidden/>
    <w:qFormat/>
    <w:rsid w:val="00AB2979"/>
    <w:pPr>
      <w:spacing w:after="600"/>
    </w:pPr>
    <w:rPr>
      <w:rFonts w:asciiTheme="majorHAnsi" w:eastAsiaTheme="majorEastAsia" w:hAnsiTheme="majorHAnsi" w:cstheme="majorBidi"/>
      <w:i/>
      <w:iCs/>
      <w:spacing w:val="13"/>
      <w:szCs w:val="24"/>
      <w:lang w:bidi="en-US"/>
    </w:rPr>
  </w:style>
  <w:style w:type="character" w:customStyle="1" w:styleId="SubtitleChar">
    <w:name w:val="Subtitle Char"/>
    <w:basedOn w:val="DefaultParagraphFont"/>
    <w:link w:val="Subtitle"/>
    <w:uiPriority w:val="99"/>
    <w:semiHidden/>
    <w:rsid w:val="00AB2979"/>
    <w:rPr>
      <w:rFonts w:asciiTheme="majorHAnsi" w:eastAsiaTheme="majorEastAsia" w:hAnsiTheme="majorHAnsi" w:cstheme="majorBidi"/>
      <w:i/>
      <w:iCs/>
      <w:spacing w:val="13"/>
      <w:sz w:val="24"/>
      <w:szCs w:val="24"/>
      <w:lang w:bidi="en-US"/>
    </w:rPr>
  </w:style>
  <w:style w:type="numbering" w:styleId="111111">
    <w:name w:val="Outline List 2"/>
    <w:basedOn w:val="NoList"/>
    <w:uiPriority w:val="99"/>
    <w:semiHidden/>
    <w:unhideWhenUsed/>
    <w:rsid w:val="0098410D"/>
    <w:pPr>
      <w:numPr>
        <w:numId w:val="10"/>
      </w:numPr>
    </w:pPr>
  </w:style>
  <w:style w:type="paragraph" w:customStyle="1" w:styleId="ECHRPara">
    <w:name w:val="ECHR_Para"/>
    <w:aliases w:val="Ju_Para"/>
    <w:basedOn w:val="Normal"/>
    <w:link w:val="ECHRParaChar"/>
    <w:uiPriority w:val="12"/>
    <w:qFormat/>
    <w:rsid w:val="00AB2979"/>
    <w:pPr>
      <w:ind w:firstLine="284"/>
    </w:pPr>
  </w:style>
  <w:style w:type="numbering" w:styleId="1ai">
    <w:name w:val="Outline List 1"/>
    <w:basedOn w:val="NoList"/>
    <w:uiPriority w:val="99"/>
    <w:semiHidden/>
    <w:unhideWhenUsed/>
    <w:rsid w:val="0098410D"/>
    <w:pPr>
      <w:numPr>
        <w:numId w:val="11"/>
      </w:numPr>
    </w:pPr>
  </w:style>
  <w:style w:type="table" w:customStyle="1" w:styleId="ECHRTableSimpleBox">
    <w:name w:val="ECHR_Table_Simple_Box"/>
    <w:basedOn w:val="TableNormal"/>
    <w:uiPriority w:val="99"/>
    <w:rsid w:val="00AE354C"/>
    <w:tblPr>
      <w:tblBorders>
        <w:top w:val="single" w:sz="4" w:space="0" w:color="9F9F9F" w:themeColor="accent3" w:themeTint="99"/>
        <w:left w:val="single" w:sz="4" w:space="0" w:color="9F9F9F" w:themeColor="accent3" w:themeTint="99"/>
        <w:bottom w:val="single" w:sz="4" w:space="0" w:color="9F9F9F" w:themeColor="accent3" w:themeTint="99"/>
        <w:right w:val="single" w:sz="4" w:space="0" w:color="9F9F9F" w:themeColor="accent3" w:themeTint="99"/>
      </w:tblBorders>
      <w:tblCellMar>
        <w:top w:w="113" w:type="dxa"/>
        <w:bottom w:w="113" w:type="dxa"/>
      </w:tblCellMar>
    </w:tblPr>
  </w:style>
  <w:style w:type="table" w:customStyle="1" w:styleId="ECHRTableNoLines">
    <w:name w:val="ECHR_Table_No_Lines"/>
    <w:basedOn w:val="TableNormal"/>
    <w:uiPriority w:val="99"/>
    <w:rsid w:val="00F218EF"/>
    <w:tblPr>
      <w:tblCellMar>
        <w:top w:w="85" w:type="dxa"/>
        <w:left w:w="142" w:type="dxa"/>
        <w:bottom w:w="28" w:type="dxa"/>
        <w:right w:w="142" w:type="dxa"/>
      </w:tblCellMar>
    </w:tblPr>
    <w:tblStylePr w:type="firstRow">
      <w:rPr>
        <w:rFonts w:asciiTheme="majorHAnsi" w:hAnsiTheme="majorHAnsi"/>
        <w:b/>
        <w:i w:val="0"/>
        <w:color w:val="474747" w:themeColor="accent3" w:themeShade="BF"/>
        <w:sz w:val="24"/>
      </w:rPr>
      <w:tblPr/>
      <w:tcPr>
        <w:tc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nil"/>
          <w:insideV w:val="nil"/>
          <w:tl2br w:val="nil"/>
          <w:tr2bl w:val="nil"/>
        </w:tcBorders>
        <w:shd w:val="clear" w:color="auto" w:fill="DFDFDF" w:themeFill="background2" w:themeFillShade="E6"/>
      </w:tcPr>
    </w:tblStylePr>
    <w:tblStylePr w:type="firstCol">
      <w:tblPr/>
      <w:tcPr>
        <w:tc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cBorders>
      </w:tcPr>
    </w:tblStylePr>
  </w:style>
  <w:style w:type="numbering" w:styleId="ArticleSection">
    <w:name w:val="Outline List 3"/>
    <w:basedOn w:val="NoList"/>
    <w:uiPriority w:val="99"/>
    <w:semiHidden/>
    <w:unhideWhenUsed/>
    <w:rsid w:val="0098410D"/>
    <w:pPr>
      <w:numPr>
        <w:numId w:val="12"/>
      </w:numPr>
    </w:pPr>
  </w:style>
  <w:style w:type="table" w:customStyle="1" w:styleId="ECHRTableForInternalUse">
    <w:name w:val="ECHR_Table_For_Internal_Use"/>
    <w:basedOn w:val="TableNormal"/>
    <w:uiPriority w:val="99"/>
    <w:rsid w:val="005474E7"/>
    <w:rPr>
      <w:color w:val="636363" w:themeColor="text2" w:themeShade="80"/>
      <w:sz w:val="18"/>
    </w:rPr>
    <w:tblPr>
      <w:tblStyleColBandSize w:val="1"/>
      <w:jc w:val="right"/>
      <w:tblCellMar>
        <w:top w:w="113" w:type="dxa"/>
        <w:bottom w:w="28" w:type="dxa"/>
      </w:tblCellMar>
    </w:tblPr>
    <w:trPr>
      <w:jc w:val="right"/>
    </w:trPr>
    <w:tblStylePr w:type="firstRow">
      <w:rPr>
        <w:b/>
      </w:rPr>
    </w:tblStylePr>
    <w:tblStylePr w:type="lastCol">
      <w:pPr>
        <w:jc w:val="right"/>
      </w:pPr>
      <w:tblPr/>
      <w:tcPr>
        <w:tc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l2br w:val="nil"/>
          <w:tr2bl w:val="nil"/>
        </w:tcBorders>
      </w:tcPr>
    </w:tblStylePr>
    <w:tblStylePr w:type="band1Vert">
      <w:tblPr/>
      <w:tcPr>
        <w:tc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l2br w:val="nil"/>
          <w:tr2bl w:val="nil"/>
        </w:tcBorders>
      </w:tcPr>
    </w:tblStylePr>
  </w:style>
  <w:style w:type="table" w:customStyle="1" w:styleId="ECHRListTable">
    <w:name w:val="ECHR_List_Table"/>
    <w:basedOn w:val="TableNormal"/>
    <w:uiPriority w:val="99"/>
    <w:rsid w:val="00AB2979"/>
    <w:tblPr>
      <w:tbl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blBorders>
      <w:tblCellMar>
        <w:top w:w="28" w:type="dxa"/>
        <w:bottom w:w="28" w:type="dxa"/>
      </w:tblCellMar>
    </w:tblPr>
    <w:tblStylePr w:type="firstRow">
      <w:rPr>
        <w:b/>
        <w:color w:val="474747" w:themeColor="accent3" w:themeShade="BF"/>
      </w:rPr>
      <w:tblPr/>
      <w:trPr>
        <w:tblHeader/>
      </w:trPr>
      <w:tcPr>
        <w:tc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cBorders>
        <w:shd w:val="clear" w:color="auto" w:fill="DFDFDF" w:themeFill="background2" w:themeFillShade="E6"/>
      </w:tcPr>
    </w:tblStylePr>
  </w:style>
  <w:style w:type="paragraph" w:styleId="Bibliography">
    <w:name w:val="Bibliography"/>
    <w:basedOn w:val="Normal"/>
    <w:next w:val="Normal"/>
    <w:uiPriority w:val="99"/>
    <w:semiHidden/>
    <w:rsid w:val="0098410D"/>
  </w:style>
  <w:style w:type="paragraph" w:styleId="BlockText">
    <w:name w:val="Block Text"/>
    <w:basedOn w:val="Normal"/>
    <w:uiPriority w:val="99"/>
    <w:semiHidden/>
    <w:rsid w:val="0098410D"/>
    <w:pPr>
      <w:pBdr>
        <w:top w:val="single" w:sz="2" w:space="10" w:color="0072BC" w:themeColor="accent1" w:shadow="1" w:frame="1"/>
        <w:left w:val="single" w:sz="2" w:space="10" w:color="0072BC" w:themeColor="accent1" w:shadow="1" w:frame="1"/>
        <w:bottom w:val="single" w:sz="2" w:space="10" w:color="0072BC" w:themeColor="accent1" w:shadow="1" w:frame="1"/>
        <w:right w:val="single" w:sz="2" w:space="10" w:color="0072BC" w:themeColor="accent1" w:shadow="1" w:frame="1"/>
      </w:pBdr>
      <w:ind w:left="1152" w:right="1152"/>
    </w:pPr>
    <w:rPr>
      <w:i/>
      <w:iCs/>
      <w:color w:val="0072BC" w:themeColor="accent1"/>
    </w:rPr>
  </w:style>
  <w:style w:type="table" w:customStyle="1" w:styleId="ECHRHeaderTable">
    <w:name w:val="ECHR_Header_Table"/>
    <w:basedOn w:val="TableNormal"/>
    <w:uiPriority w:val="99"/>
    <w:rsid w:val="00661971"/>
    <w:tblPr>
      <w:tblInd w:w="-680" w:type="dxa"/>
      <w:tblBorders>
        <w:bottom w:val="single" w:sz="6" w:space="0" w:color="949494" w:themeColor="text2" w:themeShade="BF"/>
      </w:tblBorders>
      <w:tblCellMar>
        <w:left w:w="0" w:type="dxa"/>
        <w:bottom w:w="28" w:type="dxa"/>
        <w:right w:w="0" w:type="dxa"/>
      </w:tblCellMar>
    </w:tblPr>
    <w:tcPr>
      <w:vAlign w:val="bottom"/>
    </w:tcPr>
    <w:tblStylePr w:type="lastCol">
      <w:pPr>
        <w:wordWrap/>
        <w:jc w:val="both"/>
      </w:pPr>
    </w:tblStylePr>
  </w:style>
  <w:style w:type="paragraph" w:styleId="BodyText">
    <w:name w:val="Body Text"/>
    <w:basedOn w:val="Normal"/>
    <w:link w:val="BodyTextChar"/>
    <w:uiPriority w:val="99"/>
    <w:semiHidden/>
    <w:rsid w:val="0098410D"/>
    <w:pPr>
      <w:spacing w:after="120"/>
    </w:pPr>
  </w:style>
  <w:style w:type="character" w:customStyle="1" w:styleId="BodyTextChar">
    <w:name w:val="Body Text Char"/>
    <w:basedOn w:val="DefaultParagraphFont"/>
    <w:link w:val="BodyText"/>
    <w:uiPriority w:val="99"/>
    <w:semiHidden/>
    <w:rsid w:val="0098410D"/>
    <w:rPr>
      <w:rFonts w:eastAsiaTheme="minorEastAsia"/>
      <w:sz w:val="24"/>
    </w:rPr>
  </w:style>
  <w:style w:type="table" w:customStyle="1" w:styleId="ECHRTableOddBanded">
    <w:name w:val="ECHR_Table_Odd_Banded"/>
    <w:basedOn w:val="TableNormal"/>
    <w:uiPriority w:val="99"/>
    <w:rsid w:val="00860B03"/>
    <w:tblPr>
      <w:tblStyleRowBandSize w:val="1"/>
      <w:tblStyleColBandSize w:val="1"/>
      <w:tbl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blBorders>
      <w:tblCellMar>
        <w:top w:w="28" w:type="dxa"/>
        <w:bottom w:w="28" w:type="dxa"/>
      </w:tblCellMar>
    </w:tblPr>
    <w:tblStylePr w:type="firstRow">
      <w:rPr>
        <w:rFonts w:asciiTheme="majorHAnsi" w:hAnsiTheme="majorHAnsi"/>
        <w:b/>
        <w:i w:val="0"/>
        <w:color w:val="474747" w:themeColor="accent3" w:themeShade="BF"/>
        <w:sz w:val="22"/>
      </w:rPr>
      <w:tblPr/>
      <w:tcPr>
        <w:tc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nil"/>
          <w:insideV w:val="single" w:sz="4" w:space="0" w:color="949494" w:themeColor="text2" w:themeShade="BF"/>
          <w:tl2br w:val="nil"/>
          <w:tr2bl w:val="nil"/>
        </w:tcBorders>
        <w:shd w:val="clear" w:color="auto" w:fill="DFDFDF" w:themeFill="background2" w:themeFillShade="E6"/>
      </w:tcPr>
    </w:tblStylePr>
    <w:tblStylePr w:type="band1Vert">
      <w:tblPr/>
      <w:tcPr>
        <w:tcBorders>
          <w:top w:val="nil"/>
          <w:left w:val="nil"/>
          <w:bottom w:val="nil"/>
          <w:right w:val="nil"/>
          <w:insideH w:val="nil"/>
          <w:insideV w:val="nil"/>
          <w:tl2br w:val="nil"/>
          <w:tr2bl w:val="nil"/>
        </w:tcBorders>
        <w:shd w:val="clear" w:color="auto" w:fill="DFDFDF" w:themeFill="background2" w:themeFillShade="E6"/>
      </w:tcPr>
    </w:tblStylePr>
    <w:tblStylePr w:type="band1Horz">
      <w:rPr>
        <w:b/>
      </w:rPr>
      <w:tblPr/>
      <w:tcPr>
        <w:shd w:val="clear" w:color="auto" w:fill="DFDFDF" w:themeFill="background2" w:themeFillShade="E6"/>
      </w:tcPr>
    </w:tblStylePr>
  </w:style>
  <w:style w:type="paragraph" w:styleId="BodyText2">
    <w:name w:val="Body Text 2"/>
    <w:basedOn w:val="Normal"/>
    <w:link w:val="BodyText2Char"/>
    <w:uiPriority w:val="99"/>
    <w:semiHidden/>
    <w:rsid w:val="0098410D"/>
    <w:pPr>
      <w:spacing w:after="120" w:line="480" w:lineRule="auto"/>
    </w:pPr>
  </w:style>
  <w:style w:type="table" w:customStyle="1" w:styleId="ECHRHeaderTableReduced">
    <w:name w:val="ECHR_Header_Table_Reduced"/>
    <w:basedOn w:val="TableNormal"/>
    <w:uiPriority w:val="99"/>
    <w:rsid w:val="00B52BE0"/>
    <w:tblPr>
      <w:tblInd w:w="-680" w:type="dxa"/>
      <w:tblCellMar>
        <w:left w:w="0" w:type="dxa"/>
        <w:right w:w="0" w:type="dxa"/>
      </w:tblCellMar>
    </w:tblPr>
    <w:tcPr>
      <w:vAlign w:val="bottom"/>
    </w:tcPr>
    <w:tblStylePr w:type="firstRow">
      <w:tblPr/>
      <w:tcPr>
        <w:tcBorders>
          <w:top w:val="nil"/>
          <w:left w:val="nil"/>
          <w:bottom w:val="single" w:sz="6" w:space="0" w:color="949494" w:themeColor="text2" w:themeShade="BF"/>
          <w:right w:val="nil"/>
          <w:insideH w:val="nil"/>
          <w:insideV w:val="nil"/>
          <w:tl2br w:val="nil"/>
          <w:tr2bl w:val="nil"/>
        </w:tcBorders>
      </w:tcPr>
    </w:tblStylePr>
    <w:tblStylePr w:type="lastRow">
      <w:pPr>
        <w:jc w:val="right"/>
      </w:pPr>
      <w:tblPr/>
      <w:tcPr>
        <w:tcBorders>
          <w:top w:val="single" w:sz="6" w:space="0" w:color="949494" w:themeColor="text2" w:themeShade="BF"/>
          <w:left w:val="nil"/>
          <w:bottom w:val="nil"/>
          <w:right w:val="nil"/>
          <w:insideH w:val="nil"/>
          <w:insideV w:val="nil"/>
          <w:tl2br w:val="nil"/>
          <w:tr2bl w:val="nil"/>
        </w:tcBorders>
      </w:tcPr>
    </w:tblStylePr>
  </w:style>
  <w:style w:type="paragraph" w:customStyle="1" w:styleId="JuCase">
    <w:name w:val="Ju_Case"/>
    <w:basedOn w:val="Normal"/>
    <w:next w:val="ECHRPara"/>
    <w:uiPriority w:val="10"/>
    <w:rsid w:val="00AB2979"/>
    <w:pPr>
      <w:ind w:firstLine="284"/>
    </w:pPr>
    <w:rPr>
      <w:b/>
    </w:rPr>
  </w:style>
  <w:style w:type="character" w:styleId="PageNumber">
    <w:name w:val="page number"/>
    <w:uiPriority w:val="99"/>
    <w:semiHidden/>
    <w:rsid w:val="0098410D"/>
    <w:rPr>
      <w:sz w:val="18"/>
    </w:rPr>
  </w:style>
  <w:style w:type="paragraph" w:styleId="ListBullet">
    <w:name w:val="List Bullet"/>
    <w:basedOn w:val="Normal"/>
    <w:uiPriority w:val="99"/>
    <w:semiHidden/>
    <w:rsid w:val="0098410D"/>
    <w:pPr>
      <w:numPr>
        <w:numId w:val="9"/>
      </w:numPr>
    </w:pPr>
  </w:style>
  <w:style w:type="paragraph" w:styleId="ListBullet3">
    <w:name w:val="List Bullet 3"/>
    <w:basedOn w:val="Normal"/>
    <w:uiPriority w:val="99"/>
    <w:semiHidden/>
    <w:rsid w:val="0098410D"/>
    <w:pPr>
      <w:numPr>
        <w:numId w:val="8"/>
      </w:numPr>
      <w:contextualSpacing/>
    </w:pPr>
  </w:style>
  <w:style w:type="character" w:customStyle="1" w:styleId="BodyText2Char">
    <w:name w:val="Body Text 2 Char"/>
    <w:basedOn w:val="DefaultParagraphFont"/>
    <w:link w:val="BodyText2"/>
    <w:uiPriority w:val="99"/>
    <w:semiHidden/>
    <w:rsid w:val="0098410D"/>
    <w:rPr>
      <w:rFonts w:eastAsiaTheme="minorEastAsia"/>
      <w:sz w:val="24"/>
    </w:rPr>
  </w:style>
  <w:style w:type="paragraph" w:styleId="BodyText3">
    <w:name w:val="Body Text 3"/>
    <w:basedOn w:val="Normal"/>
    <w:link w:val="BodyText3Char"/>
    <w:uiPriority w:val="99"/>
    <w:semiHidden/>
    <w:rsid w:val="0098410D"/>
    <w:pPr>
      <w:spacing w:after="120"/>
    </w:pPr>
    <w:rPr>
      <w:sz w:val="16"/>
      <w:szCs w:val="16"/>
    </w:rPr>
  </w:style>
  <w:style w:type="character" w:customStyle="1" w:styleId="BodyText3Char">
    <w:name w:val="Body Text 3 Char"/>
    <w:basedOn w:val="DefaultParagraphFont"/>
    <w:link w:val="BodyText3"/>
    <w:uiPriority w:val="99"/>
    <w:semiHidden/>
    <w:rsid w:val="0098410D"/>
    <w:rPr>
      <w:rFonts w:eastAsiaTheme="minorEastAsia"/>
      <w:sz w:val="16"/>
      <w:szCs w:val="16"/>
    </w:rPr>
  </w:style>
  <w:style w:type="paragraph" w:styleId="BodyTextFirstIndent">
    <w:name w:val="Body Text First Indent"/>
    <w:basedOn w:val="BodyText"/>
    <w:link w:val="BodyTextFirstIndentChar"/>
    <w:uiPriority w:val="99"/>
    <w:semiHidden/>
    <w:rsid w:val="0098410D"/>
    <w:pPr>
      <w:spacing w:after="0"/>
      <w:ind w:firstLine="360"/>
    </w:pPr>
  </w:style>
  <w:style w:type="character" w:customStyle="1" w:styleId="BodyTextFirstIndentChar">
    <w:name w:val="Body Text First Indent Char"/>
    <w:basedOn w:val="BodyTextChar"/>
    <w:link w:val="BodyTextFirstIndent"/>
    <w:uiPriority w:val="99"/>
    <w:semiHidden/>
    <w:rsid w:val="0098410D"/>
    <w:rPr>
      <w:rFonts w:eastAsiaTheme="minorEastAsia"/>
      <w:sz w:val="24"/>
    </w:rPr>
  </w:style>
  <w:style w:type="paragraph" w:styleId="BodyTextIndent">
    <w:name w:val="Body Text Indent"/>
    <w:basedOn w:val="Normal"/>
    <w:link w:val="BodyTextIndentChar"/>
    <w:uiPriority w:val="99"/>
    <w:semiHidden/>
    <w:rsid w:val="0098410D"/>
    <w:pPr>
      <w:spacing w:after="120"/>
      <w:ind w:left="283"/>
    </w:pPr>
  </w:style>
  <w:style w:type="character" w:customStyle="1" w:styleId="BodyTextIndentChar">
    <w:name w:val="Body Text Indent Char"/>
    <w:basedOn w:val="DefaultParagraphFont"/>
    <w:link w:val="BodyTextIndent"/>
    <w:uiPriority w:val="99"/>
    <w:semiHidden/>
    <w:rsid w:val="0098410D"/>
    <w:rPr>
      <w:rFonts w:eastAsiaTheme="minorEastAsia"/>
      <w:sz w:val="24"/>
    </w:rPr>
  </w:style>
  <w:style w:type="paragraph" w:styleId="BodyTextFirstIndent2">
    <w:name w:val="Body Text First Indent 2"/>
    <w:basedOn w:val="BodyTextIndent"/>
    <w:link w:val="BodyTextFirstIndent2Char"/>
    <w:uiPriority w:val="99"/>
    <w:semiHidden/>
    <w:rsid w:val="0098410D"/>
    <w:pPr>
      <w:spacing w:after="0"/>
      <w:ind w:left="360" w:firstLine="360"/>
    </w:pPr>
  </w:style>
  <w:style w:type="character" w:customStyle="1" w:styleId="BodyTextFirstIndent2Char">
    <w:name w:val="Body Text First Indent 2 Char"/>
    <w:basedOn w:val="BodyTextIndentChar"/>
    <w:link w:val="BodyTextFirstIndent2"/>
    <w:uiPriority w:val="99"/>
    <w:semiHidden/>
    <w:rsid w:val="0098410D"/>
    <w:rPr>
      <w:rFonts w:eastAsiaTheme="minorEastAsia"/>
      <w:sz w:val="24"/>
    </w:rPr>
  </w:style>
  <w:style w:type="paragraph" w:styleId="BodyTextIndent2">
    <w:name w:val="Body Text Indent 2"/>
    <w:basedOn w:val="Normal"/>
    <w:link w:val="BodyTextIndent2Char"/>
    <w:uiPriority w:val="99"/>
    <w:semiHidden/>
    <w:rsid w:val="0098410D"/>
    <w:pPr>
      <w:spacing w:after="120" w:line="480" w:lineRule="auto"/>
      <w:ind w:left="283"/>
    </w:pPr>
  </w:style>
  <w:style w:type="character" w:customStyle="1" w:styleId="BodyTextIndent2Char">
    <w:name w:val="Body Text Indent 2 Char"/>
    <w:basedOn w:val="DefaultParagraphFont"/>
    <w:link w:val="BodyTextIndent2"/>
    <w:uiPriority w:val="99"/>
    <w:semiHidden/>
    <w:rsid w:val="0098410D"/>
    <w:rPr>
      <w:rFonts w:eastAsiaTheme="minorEastAsia"/>
      <w:sz w:val="24"/>
    </w:rPr>
  </w:style>
  <w:style w:type="paragraph" w:styleId="BodyTextIndent3">
    <w:name w:val="Body Text Indent 3"/>
    <w:basedOn w:val="Normal"/>
    <w:link w:val="BodyTextIndent3Char"/>
    <w:uiPriority w:val="99"/>
    <w:semiHidden/>
    <w:rsid w:val="0098410D"/>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98410D"/>
    <w:rPr>
      <w:rFonts w:eastAsiaTheme="minorEastAsia"/>
      <w:sz w:val="16"/>
      <w:szCs w:val="16"/>
    </w:rPr>
  </w:style>
  <w:style w:type="paragraph" w:styleId="Caption">
    <w:name w:val="caption"/>
    <w:basedOn w:val="Normal"/>
    <w:next w:val="Normal"/>
    <w:uiPriority w:val="99"/>
    <w:semiHidden/>
    <w:qFormat/>
    <w:rsid w:val="0098410D"/>
    <w:pPr>
      <w:spacing w:after="200"/>
    </w:pPr>
    <w:rPr>
      <w:b/>
      <w:bCs/>
      <w:color w:val="0072BC" w:themeColor="accent1"/>
      <w:sz w:val="18"/>
      <w:szCs w:val="18"/>
    </w:rPr>
  </w:style>
  <w:style w:type="paragraph" w:styleId="Closing">
    <w:name w:val="Closing"/>
    <w:basedOn w:val="Normal"/>
    <w:link w:val="ClosingChar"/>
    <w:uiPriority w:val="99"/>
    <w:semiHidden/>
    <w:rsid w:val="0098410D"/>
    <w:pPr>
      <w:ind w:left="4252"/>
    </w:pPr>
  </w:style>
  <w:style w:type="character" w:customStyle="1" w:styleId="ClosingChar">
    <w:name w:val="Closing Char"/>
    <w:basedOn w:val="DefaultParagraphFont"/>
    <w:link w:val="Closing"/>
    <w:uiPriority w:val="99"/>
    <w:semiHidden/>
    <w:rsid w:val="0098410D"/>
    <w:rPr>
      <w:rFonts w:eastAsiaTheme="minorEastAsia"/>
      <w:sz w:val="24"/>
    </w:rPr>
  </w:style>
  <w:style w:type="table" w:styleId="ColorfulGrid">
    <w:name w:val="Colorful Grid"/>
    <w:basedOn w:val="TableNormal"/>
    <w:uiPriority w:val="99"/>
    <w:semiHidden/>
    <w:rsid w:val="0098410D"/>
    <w:rPr>
      <w:color w:val="000000" w:themeColor="text1"/>
    </w:rPr>
    <w:tblPr>
      <w:tblStyleRowBandSize w:val="1"/>
      <w:tblStyleColBandSize w:val="1"/>
      <w:tblBorders>
        <w:insideH w:val="single" w:sz="4" w:space="0" w:color="0072BC"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0072BC" w:themeColor="background1"/>
      </w:rPr>
      <w:tblPr/>
      <w:tcPr>
        <w:shd w:val="clear" w:color="auto" w:fill="000000" w:themeFill="text1" w:themeFillShade="BF"/>
      </w:tcPr>
    </w:tblStylePr>
    <w:tblStylePr w:type="lastCol">
      <w:rPr>
        <w:color w:val="0072BC"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99"/>
    <w:semiHidden/>
    <w:rsid w:val="0098410D"/>
    <w:rPr>
      <w:color w:val="000000" w:themeColor="text1"/>
    </w:rPr>
    <w:tblPr>
      <w:tblStyleRowBandSize w:val="1"/>
      <w:tblStyleColBandSize w:val="1"/>
      <w:tblBorders>
        <w:insideH w:val="single" w:sz="4" w:space="0" w:color="0072BC" w:themeColor="background1"/>
      </w:tblBorders>
    </w:tblPr>
    <w:tcPr>
      <w:shd w:val="clear" w:color="auto" w:fill="BEE5FF" w:themeFill="accent1" w:themeFillTint="33"/>
    </w:tcPr>
    <w:tblStylePr w:type="firstRow">
      <w:rPr>
        <w:b/>
        <w:bCs/>
      </w:rPr>
      <w:tblPr/>
      <w:tcPr>
        <w:shd w:val="clear" w:color="auto" w:fill="7ECBFF" w:themeFill="accent1" w:themeFillTint="66"/>
      </w:tcPr>
    </w:tblStylePr>
    <w:tblStylePr w:type="lastRow">
      <w:rPr>
        <w:b/>
        <w:bCs/>
        <w:color w:val="000000" w:themeColor="text1"/>
      </w:rPr>
      <w:tblPr/>
      <w:tcPr>
        <w:shd w:val="clear" w:color="auto" w:fill="7ECBFF" w:themeFill="accent1" w:themeFillTint="66"/>
      </w:tcPr>
    </w:tblStylePr>
    <w:tblStylePr w:type="firstCol">
      <w:rPr>
        <w:color w:val="0072BC" w:themeColor="background1"/>
      </w:rPr>
      <w:tblPr/>
      <w:tcPr>
        <w:shd w:val="clear" w:color="auto" w:fill="00548C" w:themeFill="accent1" w:themeFillShade="BF"/>
      </w:tcPr>
    </w:tblStylePr>
    <w:tblStylePr w:type="lastCol">
      <w:rPr>
        <w:color w:val="0072BC" w:themeColor="background1"/>
      </w:rPr>
      <w:tblPr/>
      <w:tcPr>
        <w:shd w:val="clear" w:color="auto" w:fill="00548C" w:themeFill="accent1" w:themeFillShade="BF"/>
      </w:tcPr>
    </w:tblStylePr>
    <w:tblStylePr w:type="band1Vert">
      <w:tblPr/>
      <w:tcPr>
        <w:shd w:val="clear" w:color="auto" w:fill="5EBFFF" w:themeFill="accent1" w:themeFillTint="7F"/>
      </w:tcPr>
    </w:tblStylePr>
    <w:tblStylePr w:type="band1Horz">
      <w:tblPr/>
      <w:tcPr>
        <w:shd w:val="clear" w:color="auto" w:fill="5EBFFF" w:themeFill="accent1" w:themeFillTint="7F"/>
      </w:tcPr>
    </w:tblStylePr>
  </w:style>
  <w:style w:type="table" w:styleId="ColorfulGrid-Accent2">
    <w:name w:val="Colorful Grid Accent 2"/>
    <w:basedOn w:val="TableNormal"/>
    <w:uiPriority w:val="99"/>
    <w:semiHidden/>
    <w:rsid w:val="0098410D"/>
    <w:rPr>
      <w:color w:val="000000" w:themeColor="text1"/>
    </w:rPr>
    <w:tblPr>
      <w:tblStyleRowBandSize w:val="1"/>
      <w:tblStyleColBandSize w:val="1"/>
      <w:tblBorders>
        <w:insideH w:val="single" w:sz="4" w:space="0" w:color="0072BC" w:themeColor="background1"/>
      </w:tblBorders>
    </w:tblPr>
    <w:tcPr>
      <w:shd w:val="clear" w:color="auto" w:fill="FFBFBF" w:themeFill="accent2" w:themeFillTint="33"/>
    </w:tcPr>
    <w:tblStylePr w:type="firstRow">
      <w:rPr>
        <w:b/>
        <w:bCs/>
      </w:rPr>
      <w:tblPr/>
      <w:tcPr>
        <w:shd w:val="clear" w:color="auto" w:fill="FF7F7F" w:themeFill="accent2" w:themeFillTint="66"/>
      </w:tcPr>
    </w:tblStylePr>
    <w:tblStylePr w:type="lastRow">
      <w:rPr>
        <w:b/>
        <w:bCs/>
        <w:color w:val="000000" w:themeColor="text1"/>
      </w:rPr>
      <w:tblPr/>
      <w:tcPr>
        <w:shd w:val="clear" w:color="auto" w:fill="FF7F7F" w:themeFill="accent2" w:themeFillTint="66"/>
      </w:tcPr>
    </w:tblStylePr>
    <w:tblStylePr w:type="firstCol">
      <w:rPr>
        <w:color w:val="0072BC" w:themeColor="background1"/>
      </w:rPr>
      <w:tblPr/>
      <w:tcPr>
        <w:shd w:val="clear" w:color="auto" w:fill="8F0000" w:themeFill="accent2" w:themeFillShade="BF"/>
      </w:tcPr>
    </w:tblStylePr>
    <w:tblStylePr w:type="lastCol">
      <w:rPr>
        <w:color w:val="0072BC" w:themeColor="background1"/>
      </w:rPr>
      <w:tblPr/>
      <w:tcPr>
        <w:shd w:val="clear" w:color="auto" w:fill="8F0000" w:themeFill="accent2" w:themeFillShade="BF"/>
      </w:tcPr>
    </w:tblStylePr>
    <w:tblStylePr w:type="band1Vert">
      <w:tblPr/>
      <w:tcPr>
        <w:shd w:val="clear" w:color="auto" w:fill="FF6060" w:themeFill="accent2" w:themeFillTint="7F"/>
      </w:tcPr>
    </w:tblStylePr>
    <w:tblStylePr w:type="band1Horz">
      <w:tblPr/>
      <w:tcPr>
        <w:shd w:val="clear" w:color="auto" w:fill="FF6060" w:themeFill="accent2" w:themeFillTint="7F"/>
      </w:tcPr>
    </w:tblStylePr>
  </w:style>
  <w:style w:type="table" w:styleId="ColorfulGrid-Accent3">
    <w:name w:val="Colorful Grid Accent 3"/>
    <w:basedOn w:val="TableNormal"/>
    <w:uiPriority w:val="99"/>
    <w:semiHidden/>
    <w:rsid w:val="0098410D"/>
    <w:rPr>
      <w:color w:val="000000" w:themeColor="text1"/>
    </w:rPr>
    <w:tblPr>
      <w:tblStyleRowBandSize w:val="1"/>
      <w:tblStyleColBandSize w:val="1"/>
      <w:tblBorders>
        <w:insideH w:val="single" w:sz="4" w:space="0" w:color="0072BC" w:themeColor="background1"/>
      </w:tblBorders>
    </w:tblPr>
    <w:tcPr>
      <w:shd w:val="clear" w:color="auto" w:fill="DFDFDF" w:themeFill="accent3" w:themeFillTint="33"/>
    </w:tcPr>
    <w:tblStylePr w:type="firstRow">
      <w:rPr>
        <w:b/>
        <w:bCs/>
      </w:rPr>
      <w:tblPr/>
      <w:tcPr>
        <w:shd w:val="clear" w:color="auto" w:fill="BFBFBF" w:themeFill="accent3" w:themeFillTint="66"/>
      </w:tcPr>
    </w:tblStylePr>
    <w:tblStylePr w:type="lastRow">
      <w:rPr>
        <w:b/>
        <w:bCs/>
        <w:color w:val="000000" w:themeColor="text1"/>
      </w:rPr>
      <w:tblPr/>
      <w:tcPr>
        <w:shd w:val="clear" w:color="auto" w:fill="BFBFBF" w:themeFill="accent3" w:themeFillTint="66"/>
      </w:tcPr>
    </w:tblStylePr>
    <w:tblStylePr w:type="firstCol">
      <w:rPr>
        <w:color w:val="0072BC" w:themeColor="background1"/>
      </w:rPr>
      <w:tblPr/>
      <w:tcPr>
        <w:shd w:val="clear" w:color="auto" w:fill="474747" w:themeFill="accent3" w:themeFillShade="BF"/>
      </w:tcPr>
    </w:tblStylePr>
    <w:tblStylePr w:type="lastCol">
      <w:rPr>
        <w:color w:val="0072BC" w:themeColor="background1"/>
      </w:rPr>
      <w:tblPr/>
      <w:tcPr>
        <w:shd w:val="clear" w:color="auto" w:fill="474747" w:themeFill="accent3" w:themeFillShade="BF"/>
      </w:tcPr>
    </w:tblStylePr>
    <w:tblStylePr w:type="band1Vert">
      <w:tblPr/>
      <w:tcPr>
        <w:shd w:val="clear" w:color="auto" w:fill="AFAFAF" w:themeFill="accent3" w:themeFillTint="7F"/>
      </w:tcPr>
    </w:tblStylePr>
    <w:tblStylePr w:type="band1Horz">
      <w:tblPr/>
      <w:tcPr>
        <w:shd w:val="clear" w:color="auto" w:fill="AFAFAF" w:themeFill="accent3" w:themeFillTint="7F"/>
      </w:tcPr>
    </w:tblStylePr>
  </w:style>
  <w:style w:type="table" w:styleId="ColorfulGrid-Accent4">
    <w:name w:val="Colorful Grid Accent 4"/>
    <w:basedOn w:val="TableNormal"/>
    <w:uiPriority w:val="99"/>
    <w:semiHidden/>
    <w:rsid w:val="0098410D"/>
    <w:rPr>
      <w:color w:val="000000" w:themeColor="text1"/>
    </w:rPr>
    <w:tblPr>
      <w:tblStyleRowBandSize w:val="1"/>
      <w:tblStyleColBandSize w:val="1"/>
      <w:tblBorders>
        <w:insideH w:val="single" w:sz="4" w:space="0" w:color="0072BC" w:themeColor="background1"/>
      </w:tblBorders>
    </w:tblPr>
    <w:tcPr>
      <w:shd w:val="clear" w:color="auto" w:fill="EAEAEA" w:themeFill="accent4" w:themeFillTint="33"/>
    </w:tcPr>
    <w:tblStylePr w:type="firstRow">
      <w:rPr>
        <w:b/>
        <w:bCs/>
      </w:rPr>
      <w:tblPr/>
      <w:tcPr>
        <w:shd w:val="clear" w:color="auto" w:fill="D5D5D5" w:themeFill="accent4" w:themeFillTint="66"/>
      </w:tcPr>
    </w:tblStylePr>
    <w:tblStylePr w:type="lastRow">
      <w:rPr>
        <w:b/>
        <w:bCs/>
        <w:color w:val="000000" w:themeColor="text1"/>
      </w:rPr>
      <w:tblPr/>
      <w:tcPr>
        <w:shd w:val="clear" w:color="auto" w:fill="D5D5D5" w:themeFill="accent4" w:themeFillTint="66"/>
      </w:tcPr>
    </w:tblStylePr>
    <w:tblStylePr w:type="firstCol">
      <w:rPr>
        <w:color w:val="0072BC" w:themeColor="background1"/>
      </w:rPr>
      <w:tblPr/>
      <w:tcPr>
        <w:shd w:val="clear" w:color="auto" w:fill="707070" w:themeFill="accent4" w:themeFillShade="BF"/>
      </w:tcPr>
    </w:tblStylePr>
    <w:tblStylePr w:type="lastCol">
      <w:rPr>
        <w:color w:val="0072BC" w:themeColor="background1"/>
      </w:rPr>
      <w:tblPr/>
      <w:tcPr>
        <w:shd w:val="clear" w:color="auto" w:fill="707070" w:themeFill="accent4" w:themeFillShade="BF"/>
      </w:tcPr>
    </w:tblStylePr>
    <w:tblStylePr w:type="band1Vert">
      <w:tblPr/>
      <w:tcPr>
        <w:shd w:val="clear" w:color="auto" w:fill="CACACA" w:themeFill="accent4" w:themeFillTint="7F"/>
      </w:tcPr>
    </w:tblStylePr>
    <w:tblStylePr w:type="band1Horz">
      <w:tblPr/>
      <w:tcPr>
        <w:shd w:val="clear" w:color="auto" w:fill="CACACA" w:themeFill="accent4" w:themeFillTint="7F"/>
      </w:tcPr>
    </w:tblStylePr>
  </w:style>
  <w:style w:type="table" w:styleId="ColorfulGrid-Accent5">
    <w:name w:val="Colorful Grid Accent 5"/>
    <w:basedOn w:val="TableNormal"/>
    <w:uiPriority w:val="99"/>
    <w:semiHidden/>
    <w:rsid w:val="0098410D"/>
    <w:rPr>
      <w:color w:val="000000" w:themeColor="text1"/>
    </w:rPr>
    <w:tblPr>
      <w:tblStyleRowBandSize w:val="1"/>
      <w:tblStyleColBandSize w:val="1"/>
      <w:tblBorders>
        <w:insideH w:val="single" w:sz="4" w:space="0" w:color="0072BC" w:themeColor="background1"/>
      </w:tblBorders>
    </w:tblPr>
    <w:tcPr>
      <w:shd w:val="clear" w:color="auto" w:fill="DFDFDF" w:themeFill="accent5" w:themeFillTint="33"/>
    </w:tcPr>
    <w:tblStylePr w:type="firstRow">
      <w:rPr>
        <w:b/>
        <w:bCs/>
      </w:rPr>
      <w:tblPr/>
      <w:tcPr>
        <w:shd w:val="clear" w:color="auto" w:fill="BFBFBF" w:themeFill="accent5" w:themeFillTint="66"/>
      </w:tcPr>
    </w:tblStylePr>
    <w:tblStylePr w:type="lastRow">
      <w:rPr>
        <w:b/>
        <w:bCs/>
        <w:color w:val="000000" w:themeColor="text1"/>
      </w:rPr>
      <w:tblPr/>
      <w:tcPr>
        <w:shd w:val="clear" w:color="auto" w:fill="BFBFBF" w:themeFill="accent5" w:themeFillTint="66"/>
      </w:tcPr>
    </w:tblStylePr>
    <w:tblStylePr w:type="firstCol">
      <w:rPr>
        <w:color w:val="0072BC" w:themeColor="background1"/>
      </w:rPr>
      <w:tblPr/>
      <w:tcPr>
        <w:shd w:val="clear" w:color="auto" w:fill="474747" w:themeFill="accent5" w:themeFillShade="BF"/>
      </w:tcPr>
    </w:tblStylePr>
    <w:tblStylePr w:type="lastCol">
      <w:rPr>
        <w:color w:val="0072BC" w:themeColor="background1"/>
      </w:rPr>
      <w:tblPr/>
      <w:tcPr>
        <w:shd w:val="clear" w:color="auto" w:fill="474747" w:themeFill="accent5" w:themeFillShade="BF"/>
      </w:tc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ColorfulGrid-Accent6">
    <w:name w:val="Colorful Grid Accent 6"/>
    <w:basedOn w:val="TableNormal"/>
    <w:uiPriority w:val="99"/>
    <w:semiHidden/>
    <w:rsid w:val="0098410D"/>
    <w:rPr>
      <w:color w:val="000000" w:themeColor="text1"/>
    </w:rPr>
    <w:tblPr>
      <w:tblStyleRowBandSize w:val="1"/>
      <w:tblStyleColBandSize w:val="1"/>
      <w:tblBorders>
        <w:insideH w:val="single" w:sz="4" w:space="0" w:color="0072BC" w:themeColor="background1"/>
      </w:tblBorders>
    </w:tblPr>
    <w:tcPr>
      <w:shd w:val="clear" w:color="auto" w:fill="DBDBDB" w:themeFill="accent6" w:themeFillTint="33"/>
    </w:tcPr>
    <w:tblStylePr w:type="firstRow">
      <w:rPr>
        <w:b/>
        <w:bCs/>
      </w:rPr>
      <w:tblPr/>
      <w:tcPr>
        <w:shd w:val="clear" w:color="auto" w:fill="B7B7B7" w:themeFill="accent6" w:themeFillTint="66"/>
      </w:tcPr>
    </w:tblStylePr>
    <w:tblStylePr w:type="lastRow">
      <w:rPr>
        <w:b/>
        <w:bCs/>
        <w:color w:val="000000" w:themeColor="text1"/>
      </w:rPr>
      <w:tblPr/>
      <w:tcPr>
        <w:shd w:val="clear" w:color="auto" w:fill="B7B7B7" w:themeFill="accent6" w:themeFillTint="66"/>
      </w:tcPr>
    </w:tblStylePr>
    <w:tblStylePr w:type="firstCol">
      <w:rPr>
        <w:color w:val="0072BC" w:themeColor="background1"/>
      </w:rPr>
      <w:tblPr/>
      <w:tcPr>
        <w:shd w:val="clear" w:color="auto" w:fill="393939" w:themeFill="accent6" w:themeFillShade="BF"/>
      </w:tcPr>
    </w:tblStylePr>
    <w:tblStylePr w:type="lastCol">
      <w:rPr>
        <w:color w:val="0072BC" w:themeColor="background1"/>
      </w:rPr>
      <w:tblPr/>
      <w:tcPr>
        <w:shd w:val="clear" w:color="auto" w:fill="393939" w:themeFill="accent6" w:themeFillShade="BF"/>
      </w:tc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table" w:styleId="ColorfulList">
    <w:name w:val="Colorful List"/>
    <w:basedOn w:val="TableNormal"/>
    <w:uiPriority w:val="99"/>
    <w:semiHidden/>
    <w:rsid w:val="0098410D"/>
    <w:rPr>
      <w:color w:val="000000" w:themeColor="text1"/>
    </w:rPr>
    <w:tblPr>
      <w:tblStyleRowBandSize w:val="1"/>
      <w:tblStyleColBandSize w:val="1"/>
    </w:tblPr>
    <w:tcPr>
      <w:shd w:val="clear" w:color="auto" w:fill="E6E6E6" w:themeFill="text1" w:themeFillTint="19"/>
    </w:tcPr>
    <w:tblStylePr w:type="firstRow">
      <w:rPr>
        <w:b/>
        <w:bCs/>
        <w:color w:val="0072BC" w:themeColor="background1"/>
      </w:rPr>
      <w:tblPr/>
      <w:tcPr>
        <w:tcBorders>
          <w:bottom w:val="single" w:sz="12" w:space="0" w:color="0072BC" w:themeColor="background1"/>
        </w:tcBorders>
        <w:shd w:val="clear" w:color="auto" w:fill="990000" w:themeFill="accent2" w:themeFillShade="CC"/>
      </w:tcPr>
    </w:tblStylePr>
    <w:tblStylePr w:type="lastRow">
      <w:rPr>
        <w:b/>
        <w:bCs/>
        <w:color w:val="990000" w:themeColor="accent2" w:themeShade="CC"/>
      </w:rPr>
      <w:tblPr/>
      <w:tcPr>
        <w:tcBorders>
          <w:top w:val="single" w:sz="12" w:space="0" w:color="000000" w:themeColor="text1"/>
        </w:tcBorders>
        <w:shd w:val="clear" w:color="auto" w:fill="0072BC"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99"/>
    <w:semiHidden/>
    <w:rsid w:val="0098410D"/>
    <w:rPr>
      <w:color w:val="000000" w:themeColor="text1"/>
    </w:rPr>
    <w:tblPr>
      <w:tblStyleRowBandSize w:val="1"/>
      <w:tblStyleColBandSize w:val="1"/>
    </w:tblPr>
    <w:tcPr>
      <w:shd w:val="clear" w:color="auto" w:fill="DFF2FF" w:themeFill="accent1" w:themeFillTint="19"/>
    </w:tcPr>
    <w:tblStylePr w:type="firstRow">
      <w:rPr>
        <w:b/>
        <w:bCs/>
        <w:color w:val="0072BC" w:themeColor="background1"/>
      </w:rPr>
      <w:tblPr/>
      <w:tcPr>
        <w:tcBorders>
          <w:bottom w:val="single" w:sz="12" w:space="0" w:color="0072BC" w:themeColor="background1"/>
        </w:tcBorders>
        <w:shd w:val="clear" w:color="auto" w:fill="990000" w:themeFill="accent2" w:themeFillShade="CC"/>
      </w:tcPr>
    </w:tblStylePr>
    <w:tblStylePr w:type="lastRow">
      <w:rPr>
        <w:b/>
        <w:bCs/>
        <w:color w:val="990000" w:themeColor="accent2" w:themeShade="CC"/>
      </w:rPr>
      <w:tblPr/>
      <w:tcPr>
        <w:tcBorders>
          <w:top w:val="single" w:sz="12" w:space="0" w:color="000000" w:themeColor="text1"/>
        </w:tcBorders>
        <w:shd w:val="clear" w:color="auto" w:fill="0072BC"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FDFFF" w:themeFill="accent1" w:themeFillTint="3F"/>
      </w:tcPr>
    </w:tblStylePr>
    <w:tblStylePr w:type="band1Horz">
      <w:tblPr/>
      <w:tcPr>
        <w:shd w:val="clear" w:color="auto" w:fill="BEE5FF" w:themeFill="accent1" w:themeFillTint="33"/>
      </w:tcPr>
    </w:tblStylePr>
  </w:style>
  <w:style w:type="table" w:styleId="ColorfulList-Accent2">
    <w:name w:val="Colorful List Accent 2"/>
    <w:basedOn w:val="TableNormal"/>
    <w:uiPriority w:val="99"/>
    <w:semiHidden/>
    <w:rsid w:val="0098410D"/>
    <w:rPr>
      <w:color w:val="000000" w:themeColor="text1"/>
    </w:rPr>
    <w:tblPr>
      <w:tblStyleRowBandSize w:val="1"/>
      <w:tblStyleColBandSize w:val="1"/>
    </w:tblPr>
    <w:tcPr>
      <w:shd w:val="clear" w:color="auto" w:fill="FFDFDF" w:themeFill="accent2" w:themeFillTint="19"/>
    </w:tcPr>
    <w:tblStylePr w:type="firstRow">
      <w:rPr>
        <w:b/>
        <w:bCs/>
        <w:color w:val="0072BC" w:themeColor="background1"/>
      </w:rPr>
      <w:tblPr/>
      <w:tcPr>
        <w:tcBorders>
          <w:bottom w:val="single" w:sz="12" w:space="0" w:color="0072BC" w:themeColor="background1"/>
        </w:tcBorders>
        <w:shd w:val="clear" w:color="auto" w:fill="990000" w:themeFill="accent2" w:themeFillShade="CC"/>
      </w:tcPr>
    </w:tblStylePr>
    <w:tblStylePr w:type="lastRow">
      <w:rPr>
        <w:b/>
        <w:bCs/>
        <w:color w:val="990000" w:themeColor="accent2" w:themeShade="CC"/>
      </w:rPr>
      <w:tblPr/>
      <w:tcPr>
        <w:tcBorders>
          <w:top w:val="single" w:sz="12" w:space="0" w:color="000000" w:themeColor="text1"/>
        </w:tcBorders>
        <w:shd w:val="clear" w:color="auto" w:fill="0072BC"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B0B0" w:themeFill="accent2" w:themeFillTint="3F"/>
      </w:tcPr>
    </w:tblStylePr>
    <w:tblStylePr w:type="band1Horz">
      <w:tblPr/>
      <w:tcPr>
        <w:shd w:val="clear" w:color="auto" w:fill="FFBFBF" w:themeFill="accent2" w:themeFillTint="33"/>
      </w:tcPr>
    </w:tblStylePr>
  </w:style>
  <w:style w:type="table" w:styleId="ColorfulList-Accent3">
    <w:name w:val="Colorful List Accent 3"/>
    <w:basedOn w:val="TableNormal"/>
    <w:uiPriority w:val="99"/>
    <w:semiHidden/>
    <w:rsid w:val="0098410D"/>
    <w:rPr>
      <w:color w:val="000000" w:themeColor="text1"/>
    </w:rPr>
    <w:tblPr>
      <w:tblStyleRowBandSize w:val="1"/>
      <w:tblStyleColBandSize w:val="1"/>
    </w:tblPr>
    <w:tcPr>
      <w:shd w:val="clear" w:color="auto" w:fill="EFEFEF" w:themeFill="accent3" w:themeFillTint="19"/>
    </w:tcPr>
    <w:tblStylePr w:type="firstRow">
      <w:rPr>
        <w:b/>
        <w:bCs/>
        <w:color w:val="0072BC" w:themeColor="background1"/>
      </w:rPr>
      <w:tblPr/>
      <w:tcPr>
        <w:tcBorders>
          <w:bottom w:val="single" w:sz="12" w:space="0" w:color="0072BC" w:themeColor="background1"/>
        </w:tcBorders>
        <w:shd w:val="clear" w:color="auto" w:fill="787878" w:themeFill="accent4" w:themeFillShade="CC"/>
      </w:tcPr>
    </w:tblStylePr>
    <w:tblStylePr w:type="lastRow">
      <w:rPr>
        <w:b/>
        <w:bCs/>
        <w:color w:val="787878" w:themeColor="accent4" w:themeShade="CC"/>
      </w:rPr>
      <w:tblPr/>
      <w:tcPr>
        <w:tcBorders>
          <w:top w:val="single" w:sz="12" w:space="0" w:color="000000" w:themeColor="text1"/>
        </w:tcBorders>
        <w:shd w:val="clear" w:color="auto" w:fill="0072BC"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D7D7" w:themeFill="accent3" w:themeFillTint="3F"/>
      </w:tcPr>
    </w:tblStylePr>
    <w:tblStylePr w:type="band1Horz">
      <w:tblPr/>
      <w:tcPr>
        <w:shd w:val="clear" w:color="auto" w:fill="DFDFDF" w:themeFill="accent3" w:themeFillTint="33"/>
      </w:tcPr>
    </w:tblStylePr>
  </w:style>
  <w:style w:type="table" w:styleId="ColorfulList-Accent4">
    <w:name w:val="Colorful List Accent 4"/>
    <w:basedOn w:val="TableNormal"/>
    <w:uiPriority w:val="99"/>
    <w:semiHidden/>
    <w:rsid w:val="0098410D"/>
    <w:rPr>
      <w:color w:val="000000" w:themeColor="text1"/>
    </w:rPr>
    <w:tblPr>
      <w:tblStyleRowBandSize w:val="1"/>
      <w:tblStyleColBandSize w:val="1"/>
    </w:tblPr>
    <w:tcPr>
      <w:shd w:val="clear" w:color="auto" w:fill="F4F4F4" w:themeFill="accent4" w:themeFillTint="19"/>
    </w:tcPr>
    <w:tblStylePr w:type="firstRow">
      <w:rPr>
        <w:b/>
        <w:bCs/>
        <w:color w:val="0072BC" w:themeColor="background1"/>
      </w:rPr>
      <w:tblPr/>
      <w:tcPr>
        <w:tcBorders>
          <w:bottom w:val="single" w:sz="12" w:space="0" w:color="0072BC" w:themeColor="background1"/>
        </w:tcBorders>
        <w:shd w:val="clear" w:color="auto" w:fill="4C4C4C" w:themeFill="accent3" w:themeFillShade="CC"/>
      </w:tcPr>
    </w:tblStylePr>
    <w:tblStylePr w:type="lastRow">
      <w:rPr>
        <w:b/>
        <w:bCs/>
        <w:color w:val="4C4C4C" w:themeColor="accent3" w:themeShade="CC"/>
      </w:rPr>
      <w:tblPr/>
      <w:tcPr>
        <w:tcBorders>
          <w:top w:val="single" w:sz="12" w:space="0" w:color="000000" w:themeColor="text1"/>
        </w:tcBorders>
        <w:shd w:val="clear" w:color="auto" w:fill="0072BC"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5" w:themeFill="accent4" w:themeFillTint="3F"/>
      </w:tcPr>
    </w:tblStylePr>
    <w:tblStylePr w:type="band1Horz">
      <w:tblPr/>
      <w:tcPr>
        <w:shd w:val="clear" w:color="auto" w:fill="EAEAEA" w:themeFill="accent4" w:themeFillTint="33"/>
      </w:tcPr>
    </w:tblStylePr>
  </w:style>
  <w:style w:type="table" w:styleId="ColorfulList-Accent5">
    <w:name w:val="Colorful List Accent 5"/>
    <w:basedOn w:val="TableNormal"/>
    <w:uiPriority w:val="99"/>
    <w:semiHidden/>
    <w:rsid w:val="0098410D"/>
    <w:rPr>
      <w:color w:val="000000" w:themeColor="text1"/>
    </w:rPr>
    <w:tblPr>
      <w:tblStyleRowBandSize w:val="1"/>
      <w:tblStyleColBandSize w:val="1"/>
    </w:tblPr>
    <w:tcPr>
      <w:shd w:val="clear" w:color="auto" w:fill="EFEFEF" w:themeFill="accent5" w:themeFillTint="19"/>
    </w:tcPr>
    <w:tblStylePr w:type="firstRow">
      <w:rPr>
        <w:b/>
        <w:bCs/>
        <w:color w:val="0072BC" w:themeColor="background1"/>
      </w:rPr>
      <w:tblPr/>
      <w:tcPr>
        <w:tcBorders>
          <w:bottom w:val="single" w:sz="12" w:space="0" w:color="0072BC" w:themeColor="background1"/>
        </w:tcBorders>
        <w:shd w:val="clear" w:color="auto" w:fill="3D3D3D" w:themeFill="accent6" w:themeFillShade="CC"/>
      </w:tcPr>
    </w:tblStylePr>
    <w:tblStylePr w:type="lastRow">
      <w:rPr>
        <w:b/>
        <w:bCs/>
        <w:color w:val="3D3D3D" w:themeColor="accent6" w:themeShade="CC"/>
      </w:rPr>
      <w:tblPr/>
      <w:tcPr>
        <w:tcBorders>
          <w:top w:val="single" w:sz="12" w:space="0" w:color="000000" w:themeColor="text1"/>
        </w:tcBorders>
        <w:shd w:val="clear" w:color="auto" w:fill="0072BC"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D7D7" w:themeFill="accent5" w:themeFillTint="3F"/>
      </w:tcPr>
    </w:tblStylePr>
    <w:tblStylePr w:type="band1Horz">
      <w:tblPr/>
      <w:tcPr>
        <w:shd w:val="clear" w:color="auto" w:fill="DFDFDF" w:themeFill="accent5" w:themeFillTint="33"/>
      </w:tcPr>
    </w:tblStylePr>
  </w:style>
  <w:style w:type="table" w:styleId="ColorfulList-Accent6">
    <w:name w:val="Colorful List Accent 6"/>
    <w:basedOn w:val="TableNormal"/>
    <w:uiPriority w:val="99"/>
    <w:semiHidden/>
    <w:rsid w:val="0098410D"/>
    <w:rPr>
      <w:color w:val="000000" w:themeColor="text1"/>
    </w:rPr>
    <w:tblPr>
      <w:tblStyleRowBandSize w:val="1"/>
      <w:tblStyleColBandSize w:val="1"/>
    </w:tblPr>
    <w:tcPr>
      <w:shd w:val="clear" w:color="auto" w:fill="EDEDED" w:themeFill="accent6" w:themeFillTint="19"/>
    </w:tcPr>
    <w:tblStylePr w:type="firstRow">
      <w:rPr>
        <w:b/>
        <w:bCs/>
        <w:color w:val="0072BC" w:themeColor="background1"/>
      </w:rPr>
      <w:tblPr/>
      <w:tcPr>
        <w:tcBorders>
          <w:bottom w:val="single" w:sz="12" w:space="0" w:color="0072BC" w:themeColor="background1"/>
        </w:tcBorders>
        <w:shd w:val="clear" w:color="auto" w:fill="4C4C4C" w:themeFill="accent5" w:themeFillShade="CC"/>
      </w:tcPr>
    </w:tblStylePr>
    <w:tblStylePr w:type="lastRow">
      <w:rPr>
        <w:b/>
        <w:bCs/>
        <w:color w:val="4C4C4C" w:themeColor="accent5" w:themeShade="CC"/>
      </w:rPr>
      <w:tblPr/>
      <w:tcPr>
        <w:tcBorders>
          <w:top w:val="single" w:sz="12" w:space="0" w:color="000000" w:themeColor="text1"/>
        </w:tcBorders>
        <w:shd w:val="clear" w:color="auto" w:fill="0072BC"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3D3" w:themeFill="accent6" w:themeFillTint="3F"/>
      </w:tcPr>
    </w:tblStylePr>
    <w:tblStylePr w:type="band1Horz">
      <w:tblPr/>
      <w:tcPr>
        <w:shd w:val="clear" w:color="auto" w:fill="DBDBDB" w:themeFill="accent6" w:themeFillTint="33"/>
      </w:tcPr>
    </w:tblStylePr>
  </w:style>
  <w:style w:type="table" w:styleId="ColorfulShading">
    <w:name w:val="Colorful Shading"/>
    <w:basedOn w:val="TableNormal"/>
    <w:uiPriority w:val="99"/>
    <w:semiHidden/>
    <w:rsid w:val="0098410D"/>
    <w:rPr>
      <w:color w:val="000000" w:themeColor="text1"/>
    </w:rPr>
    <w:tblPr>
      <w:tblStyleRowBandSize w:val="1"/>
      <w:tblStyleColBandSize w:val="1"/>
      <w:tblBorders>
        <w:top w:val="single" w:sz="24" w:space="0" w:color="C00000" w:themeColor="accent2"/>
        <w:left w:val="single" w:sz="4" w:space="0" w:color="000000" w:themeColor="text1"/>
        <w:bottom w:val="single" w:sz="4" w:space="0" w:color="000000" w:themeColor="text1"/>
        <w:right w:val="single" w:sz="4" w:space="0" w:color="000000" w:themeColor="text1"/>
        <w:insideH w:val="single" w:sz="4" w:space="0" w:color="0072BC" w:themeColor="background1"/>
        <w:insideV w:val="single" w:sz="4" w:space="0" w:color="0072BC" w:themeColor="background1"/>
      </w:tblBorders>
    </w:tblPr>
    <w:tcPr>
      <w:shd w:val="clear" w:color="auto" w:fill="E6E6E6" w:themeFill="text1" w:themeFillTint="19"/>
    </w:tcPr>
    <w:tblStylePr w:type="firstRow">
      <w:rPr>
        <w:b/>
        <w:bCs/>
      </w:rPr>
      <w:tblPr/>
      <w:tcPr>
        <w:tcBorders>
          <w:top w:val="nil"/>
          <w:left w:val="nil"/>
          <w:bottom w:val="single" w:sz="24" w:space="0" w:color="C00000" w:themeColor="accent2"/>
          <w:right w:val="nil"/>
          <w:insideH w:val="nil"/>
          <w:insideV w:val="nil"/>
        </w:tcBorders>
        <w:shd w:val="clear" w:color="auto" w:fill="0072BC" w:themeFill="background1"/>
      </w:tcPr>
    </w:tblStylePr>
    <w:tblStylePr w:type="lastRow">
      <w:rPr>
        <w:b/>
        <w:bCs/>
        <w:color w:val="0072BC" w:themeColor="background1"/>
      </w:rPr>
      <w:tblPr/>
      <w:tcPr>
        <w:tcBorders>
          <w:top w:val="single" w:sz="6" w:space="0" w:color="0072BC" w:themeColor="background1"/>
        </w:tcBorders>
        <w:shd w:val="clear" w:color="auto" w:fill="000000" w:themeFill="text1" w:themeFillShade="99"/>
      </w:tcPr>
    </w:tblStylePr>
    <w:tblStylePr w:type="firstCol">
      <w:rPr>
        <w:color w:val="0072BC"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0072BC"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99"/>
    <w:semiHidden/>
    <w:rsid w:val="0098410D"/>
    <w:rPr>
      <w:color w:val="000000" w:themeColor="text1"/>
    </w:rPr>
    <w:tblPr>
      <w:tblStyleRowBandSize w:val="1"/>
      <w:tblStyleColBandSize w:val="1"/>
      <w:tblBorders>
        <w:top w:val="single" w:sz="24" w:space="0" w:color="C00000" w:themeColor="accent2"/>
        <w:left w:val="single" w:sz="4" w:space="0" w:color="0072BC" w:themeColor="accent1"/>
        <w:bottom w:val="single" w:sz="4" w:space="0" w:color="0072BC" w:themeColor="accent1"/>
        <w:right w:val="single" w:sz="4" w:space="0" w:color="0072BC" w:themeColor="accent1"/>
        <w:insideH w:val="single" w:sz="4" w:space="0" w:color="0072BC" w:themeColor="background1"/>
        <w:insideV w:val="single" w:sz="4" w:space="0" w:color="0072BC" w:themeColor="background1"/>
      </w:tblBorders>
    </w:tblPr>
    <w:tcPr>
      <w:shd w:val="clear" w:color="auto" w:fill="DFF2FF" w:themeFill="accent1" w:themeFillTint="19"/>
    </w:tcPr>
    <w:tblStylePr w:type="firstRow">
      <w:rPr>
        <w:b/>
        <w:bCs/>
      </w:rPr>
      <w:tblPr/>
      <w:tcPr>
        <w:tcBorders>
          <w:top w:val="nil"/>
          <w:left w:val="nil"/>
          <w:bottom w:val="single" w:sz="24" w:space="0" w:color="C00000" w:themeColor="accent2"/>
          <w:right w:val="nil"/>
          <w:insideH w:val="nil"/>
          <w:insideV w:val="nil"/>
        </w:tcBorders>
        <w:shd w:val="clear" w:color="auto" w:fill="0072BC" w:themeFill="background1"/>
      </w:tcPr>
    </w:tblStylePr>
    <w:tblStylePr w:type="lastRow">
      <w:rPr>
        <w:b/>
        <w:bCs/>
        <w:color w:val="0072BC" w:themeColor="background1"/>
      </w:rPr>
      <w:tblPr/>
      <w:tcPr>
        <w:tcBorders>
          <w:top w:val="single" w:sz="6" w:space="0" w:color="0072BC" w:themeColor="background1"/>
        </w:tcBorders>
        <w:shd w:val="clear" w:color="auto" w:fill="004470" w:themeFill="accent1" w:themeFillShade="99"/>
      </w:tcPr>
    </w:tblStylePr>
    <w:tblStylePr w:type="firstCol">
      <w:rPr>
        <w:color w:val="0072BC" w:themeColor="background1"/>
      </w:rPr>
      <w:tblPr/>
      <w:tcPr>
        <w:tcBorders>
          <w:top w:val="nil"/>
          <w:left w:val="nil"/>
          <w:bottom w:val="nil"/>
          <w:right w:val="nil"/>
          <w:insideH w:val="single" w:sz="4" w:space="0" w:color="004470" w:themeColor="accent1" w:themeShade="99"/>
          <w:insideV w:val="nil"/>
        </w:tcBorders>
        <w:shd w:val="clear" w:color="auto" w:fill="004470" w:themeFill="accent1" w:themeFillShade="99"/>
      </w:tcPr>
    </w:tblStylePr>
    <w:tblStylePr w:type="lastCol">
      <w:rPr>
        <w:color w:val="0072BC" w:themeColor="background1"/>
      </w:rPr>
      <w:tblPr/>
      <w:tcPr>
        <w:tcBorders>
          <w:top w:val="nil"/>
          <w:left w:val="nil"/>
          <w:bottom w:val="nil"/>
          <w:right w:val="nil"/>
          <w:insideH w:val="nil"/>
          <w:insideV w:val="nil"/>
        </w:tcBorders>
        <w:shd w:val="clear" w:color="auto" w:fill="004470" w:themeFill="accent1" w:themeFillShade="99"/>
      </w:tcPr>
    </w:tblStylePr>
    <w:tblStylePr w:type="band1Vert">
      <w:tblPr/>
      <w:tcPr>
        <w:shd w:val="clear" w:color="auto" w:fill="7ECBFF" w:themeFill="accent1" w:themeFillTint="66"/>
      </w:tcPr>
    </w:tblStylePr>
    <w:tblStylePr w:type="band1Horz">
      <w:tblPr/>
      <w:tcPr>
        <w:shd w:val="clear" w:color="auto" w:fill="5EBFFF"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99"/>
    <w:semiHidden/>
    <w:rsid w:val="0098410D"/>
    <w:rPr>
      <w:color w:val="000000" w:themeColor="text1"/>
    </w:rPr>
    <w:tblPr>
      <w:tblStyleRowBandSize w:val="1"/>
      <w:tblStyleColBandSize w:val="1"/>
      <w:tblBorders>
        <w:top w:val="single" w:sz="24" w:space="0" w:color="C00000" w:themeColor="accent2"/>
        <w:left w:val="single" w:sz="4" w:space="0" w:color="C00000" w:themeColor="accent2"/>
        <w:bottom w:val="single" w:sz="4" w:space="0" w:color="C00000" w:themeColor="accent2"/>
        <w:right w:val="single" w:sz="4" w:space="0" w:color="C00000" w:themeColor="accent2"/>
        <w:insideH w:val="single" w:sz="4" w:space="0" w:color="0072BC" w:themeColor="background1"/>
        <w:insideV w:val="single" w:sz="4" w:space="0" w:color="0072BC" w:themeColor="background1"/>
      </w:tblBorders>
    </w:tblPr>
    <w:tcPr>
      <w:shd w:val="clear" w:color="auto" w:fill="FFDFDF" w:themeFill="accent2" w:themeFillTint="19"/>
    </w:tcPr>
    <w:tblStylePr w:type="firstRow">
      <w:rPr>
        <w:b/>
        <w:bCs/>
      </w:rPr>
      <w:tblPr/>
      <w:tcPr>
        <w:tcBorders>
          <w:top w:val="nil"/>
          <w:left w:val="nil"/>
          <w:bottom w:val="single" w:sz="24" w:space="0" w:color="C00000" w:themeColor="accent2"/>
          <w:right w:val="nil"/>
          <w:insideH w:val="nil"/>
          <w:insideV w:val="nil"/>
        </w:tcBorders>
        <w:shd w:val="clear" w:color="auto" w:fill="0072BC" w:themeFill="background1"/>
      </w:tcPr>
    </w:tblStylePr>
    <w:tblStylePr w:type="lastRow">
      <w:rPr>
        <w:b/>
        <w:bCs/>
        <w:color w:val="0072BC" w:themeColor="background1"/>
      </w:rPr>
      <w:tblPr/>
      <w:tcPr>
        <w:tcBorders>
          <w:top w:val="single" w:sz="6" w:space="0" w:color="0072BC" w:themeColor="background1"/>
        </w:tcBorders>
        <w:shd w:val="clear" w:color="auto" w:fill="730000" w:themeFill="accent2" w:themeFillShade="99"/>
      </w:tcPr>
    </w:tblStylePr>
    <w:tblStylePr w:type="firstCol">
      <w:rPr>
        <w:color w:val="0072BC" w:themeColor="background1"/>
      </w:rPr>
      <w:tblPr/>
      <w:tcPr>
        <w:tcBorders>
          <w:top w:val="nil"/>
          <w:left w:val="nil"/>
          <w:bottom w:val="nil"/>
          <w:right w:val="nil"/>
          <w:insideH w:val="single" w:sz="4" w:space="0" w:color="730000" w:themeColor="accent2" w:themeShade="99"/>
          <w:insideV w:val="nil"/>
        </w:tcBorders>
        <w:shd w:val="clear" w:color="auto" w:fill="730000" w:themeFill="accent2" w:themeFillShade="99"/>
      </w:tcPr>
    </w:tblStylePr>
    <w:tblStylePr w:type="lastCol">
      <w:rPr>
        <w:color w:val="0072BC" w:themeColor="background1"/>
      </w:rPr>
      <w:tblPr/>
      <w:tcPr>
        <w:tcBorders>
          <w:top w:val="nil"/>
          <w:left w:val="nil"/>
          <w:bottom w:val="nil"/>
          <w:right w:val="nil"/>
          <w:insideH w:val="nil"/>
          <w:insideV w:val="nil"/>
        </w:tcBorders>
        <w:shd w:val="clear" w:color="auto" w:fill="730000" w:themeFill="accent2" w:themeFillShade="99"/>
      </w:tcPr>
    </w:tblStylePr>
    <w:tblStylePr w:type="band1Vert">
      <w:tblPr/>
      <w:tcPr>
        <w:shd w:val="clear" w:color="auto" w:fill="FF7F7F" w:themeFill="accent2" w:themeFillTint="66"/>
      </w:tcPr>
    </w:tblStylePr>
    <w:tblStylePr w:type="band1Horz">
      <w:tblPr/>
      <w:tcPr>
        <w:shd w:val="clear" w:color="auto" w:fill="FF6060"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99"/>
    <w:semiHidden/>
    <w:rsid w:val="0098410D"/>
    <w:rPr>
      <w:color w:val="000000" w:themeColor="text1"/>
    </w:rPr>
    <w:tblPr>
      <w:tblStyleRowBandSize w:val="1"/>
      <w:tblStyleColBandSize w:val="1"/>
      <w:tblBorders>
        <w:top w:val="single" w:sz="24" w:space="0" w:color="969696" w:themeColor="accent4"/>
        <w:left w:val="single" w:sz="4" w:space="0" w:color="5F5F5F" w:themeColor="accent3"/>
        <w:bottom w:val="single" w:sz="4" w:space="0" w:color="5F5F5F" w:themeColor="accent3"/>
        <w:right w:val="single" w:sz="4" w:space="0" w:color="5F5F5F" w:themeColor="accent3"/>
        <w:insideH w:val="single" w:sz="4" w:space="0" w:color="0072BC" w:themeColor="background1"/>
        <w:insideV w:val="single" w:sz="4" w:space="0" w:color="0072BC" w:themeColor="background1"/>
      </w:tblBorders>
    </w:tblPr>
    <w:tcPr>
      <w:shd w:val="clear" w:color="auto" w:fill="EFEFEF" w:themeFill="accent3" w:themeFillTint="19"/>
    </w:tcPr>
    <w:tblStylePr w:type="firstRow">
      <w:rPr>
        <w:b/>
        <w:bCs/>
      </w:rPr>
      <w:tblPr/>
      <w:tcPr>
        <w:tcBorders>
          <w:top w:val="nil"/>
          <w:left w:val="nil"/>
          <w:bottom w:val="single" w:sz="24" w:space="0" w:color="969696" w:themeColor="accent4"/>
          <w:right w:val="nil"/>
          <w:insideH w:val="nil"/>
          <w:insideV w:val="nil"/>
        </w:tcBorders>
        <w:shd w:val="clear" w:color="auto" w:fill="0072BC" w:themeFill="background1"/>
      </w:tcPr>
    </w:tblStylePr>
    <w:tblStylePr w:type="lastRow">
      <w:rPr>
        <w:b/>
        <w:bCs/>
        <w:color w:val="0072BC" w:themeColor="background1"/>
      </w:rPr>
      <w:tblPr/>
      <w:tcPr>
        <w:tcBorders>
          <w:top w:val="single" w:sz="6" w:space="0" w:color="0072BC" w:themeColor="background1"/>
        </w:tcBorders>
        <w:shd w:val="clear" w:color="auto" w:fill="393939" w:themeFill="accent3" w:themeFillShade="99"/>
      </w:tcPr>
    </w:tblStylePr>
    <w:tblStylePr w:type="firstCol">
      <w:rPr>
        <w:color w:val="0072BC" w:themeColor="background1"/>
      </w:rPr>
      <w:tblPr/>
      <w:tcPr>
        <w:tcBorders>
          <w:top w:val="nil"/>
          <w:left w:val="nil"/>
          <w:bottom w:val="nil"/>
          <w:right w:val="nil"/>
          <w:insideH w:val="single" w:sz="4" w:space="0" w:color="393939" w:themeColor="accent3" w:themeShade="99"/>
          <w:insideV w:val="nil"/>
        </w:tcBorders>
        <w:shd w:val="clear" w:color="auto" w:fill="393939" w:themeFill="accent3" w:themeFillShade="99"/>
      </w:tcPr>
    </w:tblStylePr>
    <w:tblStylePr w:type="lastCol">
      <w:rPr>
        <w:color w:val="0072BC" w:themeColor="background1"/>
      </w:rPr>
      <w:tblPr/>
      <w:tcPr>
        <w:tcBorders>
          <w:top w:val="nil"/>
          <w:left w:val="nil"/>
          <w:bottom w:val="nil"/>
          <w:right w:val="nil"/>
          <w:insideH w:val="nil"/>
          <w:insideV w:val="nil"/>
        </w:tcBorders>
        <w:shd w:val="clear" w:color="auto" w:fill="393939" w:themeFill="accent3" w:themeFillShade="99"/>
      </w:tcPr>
    </w:tblStylePr>
    <w:tblStylePr w:type="band1Vert">
      <w:tblPr/>
      <w:tcPr>
        <w:shd w:val="clear" w:color="auto" w:fill="BFBFBF" w:themeFill="accent3" w:themeFillTint="66"/>
      </w:tcPr>
    </w:tblStylePr>
    <w:tblStylePr w:type="band1Horz">
      <w:tblPr/>
      <w:tcPr>
        <w:shd w:val="clear" w:color="auto" w:fill="AFAFAF" w:themeFill="accent3" w:themeFillTint="7F"/>
      </w:tcPr>
    </w:tblStylePr>
  </w:style>
  <w:style w:type="table" w:styleId="ColorfulShading-Accent4">
    <w:name w:val="Colorful Shading Accent 4"/>
    <w:basedOn w:val="TableNormal"/>
    <w:uiPriority w:val="99"/>
    <w:semiHidden/>
    <w:rsid w:val="0098410D"/>
    <w:rPr>
      <w:color w:val="000000" w:themeColor="text1"/>
    </w:rPr>
    <w:tblPr>
      <w:tblStyleRowBandSize w:val="1"/>
      <w:tblStyleColBandSize w:val="1"/>
      <w:tblBorders>
        <w:top w:val="single" w:sz="24" w:space="0" w:color="5F5F5F" w:themeColor="accent3"/>
        <w:left w:val="single" w:sz="4" w:space="0" w:color="969696" w:themeColor="accent4"/>
        <w:bottom w:val="single" w:sz="4" w:space="0" w:color="969696" w:themeColor="accent4"/>
        <w:right w:val="single" w:sz="4" w:space="0" w:color="969696" w:themeColor="accent4"/>
        <w:insideH w:val="single" w:sz="4" w:space="0" w:color="0072BC" w:themeColor="background1"/>
        <w:insideV w:val="single" w:sz="4" w:space="0" w:color="0072BC" w:themeColor="background1"/>
      </w:tblBorders>
    </w:tblPr>
    <w:tcPr>
      <w:shd w:val="clear" w:color="auto" w:fill="F4F4F4" w:themeFill="accent4" w:themeFillTint="19"/>
    </w:tcPr>
    <w:tblStylePr w:type="firstRow">
      <w:rPr>
        <w:b/>
        <w:bCs/>
      </w:rPr>
      <w:tblPr/>
      <w:tcPr>
        <w:tcBorders>
          <w:top w:val="nil"/>
          <w:left w:val="nil"/>
          <w:bottom w:val="single" w:sz="24" w:space="0" w:color="5F5F5F" w:themeColor="accent3"/>
          <w:right w:val="nil"/>
          <w:insideH w:val="nil"/>
          <w:insideV w:val="nil"/>
        </w:tcBorders>
        <w:shd w:val="clear" w:color="auto" w:fill="0072BC" w:themeFill="background1"/>
      </w:tcPr>
    </w:tblStylePr>
    <w:tblStylePr w:type="lastRow">
      <w:rPr>
        <w:b/>
        <w:bCs/>
        <w:color w:val="0072BC" w:themeColor="background1"/>
      </w:rPr>
      <w:tblPr/>
      <w:tcPr>
        <w:tcBorders>
          <w:top w:val="single" w:sz="6" w:space="0" w:color="0072BC" w:themeColor="background1"/>
        </w:tcBorders>
        <w:shd w:val="clear" w:color="auto" w:fill="5A5A5A" w:themeFill="accent4" w:themeFillShade="99"/>
      </w:tcPr>
    </w:tblStylePr>
    <w:tblStylePr w:type="firstCol">
      <w:rPr>
        <w:color w:val="0072BC" w:themeColor="background1"/>
      </w:rPr>
      <w:tblPr/>
      <w:tcPr>
        <w:tcBorders>
          <w:top w:val="nil"/>
          <w:left w:val="nil"/>
          <w:bottom w:val="nil"/>
          <w:right w:val="nil"/>
          <w:insideH w:val="single" w:sz="4" w:space="0" w:color="5A5A5A" w:themeColor="accent4" w:themeShade="99"/>
          <w:insideV w:val="nil"/>
        </w:tcBorders>
        <w:shd w:val="clear" w:color="auto" w:fill="5A5A5A" w:themeFill="accent4" w:themeFillShade="99"/>
      </w:tcPr>
    </w:tblStylePr>
    <w:tblStylePr w:type="lastCol">
      <w:rPr>
        <w:color w:val="0072BC" w:themeColor="background1"/>
      </w:rPr>
      <w:tblPr/>
      <w:tcPr>
        <w:tcBorders>
          <w:top w:val="nil"/>
          <w:left w:val="nil"/>
          <w:bottom w:val="nil"/>
          <w:right w:val="nil"/>
          <w:insideH w:val="nil"/>
          <w:insideV w:val="nil"/>
        </w:tcBorders>
        <w:shd w:val="clear" w:color="auto" w:fill="5A5A5A" w:themeFill="accent4" w:themeFillShade="99"/>
      </w:tcPr>
    </w:tblStylePr>
    <w:tblStylePr w:type="band1Vert">
      <w:tblPr/>
      <w:tcPr>
        <w:shd w:val="clear" w:color="auto" w:fill="D5D5D5" w:themeFill="accent4" w:themeFillTint="66"/>
      </w:tcPr>
    </w:tblStylePr>
    <w:tblStylePr w:type="band1Horz">
      <w:tblPr/>
      <w:tcPr>
        <w:shd w:val="clear" w:color="auto" w:fill="CACACA"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99"/>
    <w:semiHidden/>
    <w:rsid w:val="0098410D"/>
    <w:rPr>
      <w:color w:val="000000" w:themeColor="text1"/>
    </w:rPr>
    <w:tblPr>
      <w:tblStyleRowBandSize w:val="1"/>
      <w:tblStyleColBandSize w:val="1"/>
      <w:tblBorders>
        <w:top w:val="single" w:sz="24" w:space="0" w:color="4D4D4D" w:themeColor="accent6"/>
        <w:left w:val="single" w:sz="4" w:space="0" w:color="5F5F5F" w:themeColor="accent5"/>
        <w:bottom w:val="single" w:sz="4" w:space="0" w:color="5F5F5F" w:themeColor="accent5"/>
        <w:right w:val="single" w:sz="4" w:space="0" w:color="5F5F5F" w:themeColor="accent5"/>
        <w:insideH w:val="single" w:sz="4" w:space="0" w:color="0072BC" w:themeColor="background1"/>
        <w:insideV w:val="single" w:sz="4" w:space="0" w:color="0072BC" w:themeColor="background1"/>
      </w:tblBorders>
    </w:tblPr>
    <w:tcPr>
      <w:shd w:val="clear" w:color="auto" w:fill="EFEFEF" w:themeFill="accent5" w:themeFillTint="19"/>
    </w:tcPr>
    <w:tblStylePr w:type="firstRow">
      <w:rPr>
        <w:b/>
        <w:bCs/>
      </w:rPr>
      <w:tblPr/>
      <w:tcPr>
        <w:tcBorders>
          <w:top w:val="nil"/>
          <w:left w:val="nil"/>
          <w:bottom w:val="single" w:sz="24" w:space="0" w:color="4D4D4D" w:themeColor="accent6"/>
          <w:right w:val="nil"/>
          <w:insideH w:val="nil"/>
          <w:insideV w:val="nil"/>
        </w:tcBorders>
        <w:shd w:val="clear" w:color="auto" w:fill="0072BC" w:themeFill="background1"/>
      </w:tcPr>
    </w:tblStylePr>
    <w:tblStylePr w:type="lastRow">
      <w:rPr>
        <w:b/>
        <w:bCs/>
        <w:color w:val="0072BC" w:themeColor="background1"/>
      </w:rPr>
      <w:tblPr/>
      <w:tcPr>
        <w:tcBorders>
          <w:top w:val="single" w:sz="6" w:space="0" w:color="0072BC" w:themeColor="background1"/>
        </w:tcBorders>
        <w:shd w:val="clear" w:color="auto" w:fill="393939" w:themeFill="accent5" w:themeFillShade="99"/>
      </w:tcPr>
    </w:tblStylePr>
    <w:tblStylePr w:type="firstCol">
      <w:rPr>
        <w:color w:val="0072BC" w:themeColor="background1"/>
      </w:rPr>
      <w:tblPr/>
      <w:tcPr>
        <w:tcBorders>
          <w:top w:val="nil"/>
          <w:left w:val="nil"/>
          <w:bottom w:val="nil"/>
          <w:right w:val="nil"/>
          <w:insideH w:val="single" w:sz="4" w:space="0" w:color="393939" w:themeColor="accent5" w:themeShade="99"/>
          <w:insideV w:val="nil"/>
        </w:tcBorders>
        <w:shd w:val="clear" w:color="auto" w:fill="393939" w:themeFill="accent5" w:themeFillShade="99"/>
      </w:tcPr>
    </w:tblStylePr>
    <w:tblStylePr w:type="lastCol">
      <w:rPr>
        <w:color w:val="0072BC" w:themeColor="background1"/>
      </w:rPr>
      <w:tblPr/>
      <w:tcPr>
        <w:tcBorders>
          <w:top w:val="nil"/>
          <w:left w:val="nil"/>
          <w:bottom w:val="nil"/>
          <w:right w:val="nil"/>
          <w:insideH w:val="nil"/>
          <w:insideV w:val="nil"/>
        </w:tcBorders>
        <w:shd w:val="clear" w:color="auto" w:fill="393939" w:themeFill="accent5" w:themeFillShade="99"/>
      </w:tcPr>
    </w:tblStylePr>
    <w:tblStylePr w:type="band1Vert">
      <w:tblPr/>
      <w:tcPr>
        <w:shd w:val="clear" w:color="auto" w:fill="BFBFBF" w:themeFill="accent5" w:themeFillTint="66"/>
      </w:tcPr>
    </w:tblStylePr>
    <w:tblStylePr w:type="band1Horz">
      <w:tblPr/>
      <w:tcPr>
        <w:shd w:val="clear" w:color="auto" w:fill="AFAFAF"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99"/>
    <w:semiHidden/>
    <w:rsid w:val="0098410D"/>
    <w:rPr>
      <w:color w:val="000000" w:themeColor="text1"/>
    </w:rPr>
    <w:tblPr>
      <w:tblStyleRowBandSize w:val="1"/>
      <w:tblStyleColBandSize w:val="1"/>
      <w:tblBorders>
        <w:top w:val="single" w:sz="24" w:space="0" w:color="5F5F5F" w:themeColor="accent5"/>
        <w:left w:val="single" w:sz="4" w:space="0" w:color="4D4D4D" w:themeColor="accent6"/>
        <w:bottom w:val="single" w:sz="4" w:space="0" w:color="4D4D4D" w:themeColor="accent6"/>
        <w:right w:val="single" w:sz="4" w:space="0" w:color="4D4D4D" w:themeColor="accent6"/>
        <w:insideH w:val="single" w:sz="4" w:space="0" w:color="0072BC" w:themeColor="background1"/>
        <w:insideV w:val="single" w:sz="4" w:space="0" w:color="0072BC" w:themeColor="background1"/>
      </w:tblBorders>
    </w:tblPr>
    <w:tcPr>
      <w:shd w:val="clear" w:color="auto" w:fill="EDEDED" w:themeFill="accent6" w:themeFillTint="19"/>
    </w:tcPr>
    <w:tblStylePr w:type="firstRow">
      <w:rPr>
        <w:b/>
        <w:bCs/>
      </w:rPr>
      <w:tblPr/>
      <w:tcPr>
        <w:tcBorders>
          <w:top w:val="nil"/>
          <w:left w:val="nil"/>
          <w:bottom w:val="single" w:sz="24" w:space="0" w:color="5F5F5F" w:themeColor="accent5"/>
          <w:right w:val="nil"/>
          <w:insideH w:val="nil"/>
          <w:insideV w:val="nil"/>
        </w:tcBorders>
        <w:shd w:val="clear" w:color="auto" w:fill="0072BC" w:themeFill="background1"/>
      </w:tcPr>
    </w:tblStylePr>
    <w:tblStylePr w:type="lastRow">
      <w:rPr>
        <w:b/>
        <w:bCs/>
        <w:color w:val="0072BC" w:themeColor="background1"/>
      </w:rPr>
      <w:tblPr/>
      <w:tcPr>
        <w:tcBorders>
          <w:top w:val="single" w:sz="6" w:space="0" w:color="0072BC" w:themeColor="background1"/>
        </w:tcBorders>
        <w:shd w:val="clear" w:color="auto" w:fill="2E2E2E" w:themeFill="accent6" w:themeFillShade="99"/>
      </w:tcPr>
    </w:tblStylePr>
    <w:tblStylePr w:type="firstCol">
      <w:rPr>
        <w:color w:val="0072BC" w:themeColor="background1"/>
      </w:rPr>
      <w:tblPr/>
      <w:tcPr>
        <w:tcBorders>
          <w:top w:val="nil"/>
          <w:left w:val="nil"/>
          <w:bottom w:val="nil"/>
          <w:right w:val="nil"/>
          <w:insideH w:val="single" w:sz="4" w:space="0" w:color="2E2E2E" w:themeColor="accent6" w:themeShade="99"/>
          <w:insideV w:val="nil"/>
        </w:tcBorders>
        <w:shd w:val="clear" w:color="auto" w:fill="2E2E2E" w:themeFill="accent6" w:themeFillShade="99"/>
      </w:tcPr>
    </w:tblStylePr>
    <w:tblStylePr w:type="lastCol">
      <w:rPr>
        <w:color w:val="0072BC" w:themeColor="background1"/>
      </w:rPr>
      <w:tblPr/>
      <w:tcPr>
        <w:tcBorders>
          <w:top w:val="nil"/>
          <w:left w:val="nil"/>
          <w:bottom w:val="nil"/>
          <w:right w:val="nil"/>
          <w:insideH w:val="nil"/>
          <w:insideV w:val="nil"/>
        </w:tcBorders>
        <w:shd w:val="clear" w:color="auto" w:fill="2E2E2E" w:themeFill="accent6" w:themeFillShade="99"/>
      </w:tcPr>
    </w:tblStylePr>
    <w:tblStylePr w:type="band1Vert">
      <w:tblPr/>
      <w:tcPr>
        <w:shd w:val="clear" w:color="auto" w:fill="B7B7B7" w:themeFill="accent6" w:themeFillTint="66"/>
      </w:tcPr>
    </w:tblStylePr>
    <w:tblStylePr w:type="band1Horz">
      <w:tblPr/>
      <w:tcPr>
        <w:shd w:val="clear" w:color="auto" w:fill="A6A6A6"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rsid w:val="0098410D"/>
    <w:rPr>
      <w:sz w:val="16"/>
      <w:szCs w:val="16"/>
    </w:rPr>
  </w:style>
  <w:style w:type="paragraph" w:styleId="CommentText">
    <w:name w:val="annotation text"/>
    <w:basedOn w:val="Normal"/>
    <w:link w:val="CommentTextChar"/>
    <w:semiHidden/>
    <w:rsid w:val="0098410D"/>
    <w:rPr>
      <w:sz w:val="20"/>
      <w:szCs w:val="20"/>
    </w:rPr>
  </w:style>
  <w:style w:type="character" w:customStyle="1" w:styleId="CommentTextChar">
    <w:name w:val="Comment Text Char"/>
    <w:basedOn w:val="DefaultParagraphFont"/>
    <w:link w:val="CommentText"/>
    <w:semiHidden/>
    <w:rsid w:val="0098410D"/>
    <w:rPr>
      <w:rFonts w:eastAsiaTheme="minorEastAsia"/>
      <w:sz w:val="20"/>
      <w:szCs w:val="20"/>
    </w:rPr>
  </w:style>
  <w:style w:type="paragraph" w:styleId="CommentSubject">
    <w:name w:val="annotation subject"/>
    <w:basedOn w:val="CommentText"/>
    <w:next w:val="CommentText"/>
    <w:link w:val="CommentSubjectChar"/>
    <w:uiPriority w:val="99"/>
    <w:semiHidden/>
    <w:rsid w:val="0098410D"/>
    <w:rPr>
      <w:b/>
      <w:bCs/>
    </w:rPr>
  </w:style>
  <w:style w:type="character" w:customStyle="1" w:styleId="CommentSubjectChar">
    <w:name w:val="Comment Subject Char"/>
    <w:basedOn w:val="CommentTextChar"/>
    <w:link w:val="CommentSubject"/>
    <w:uiPriority w:val="99"/>
    <w:semiHidden/>
    <w:rsid w:val="0098410D"/>
    <w:rPr>
      <w:rFonts w:eastAsiaTheme="minorEastAsia"/>
      <w:b/>
      <w:bCs/>
      <w:sz w:val="20"/>
      <w:szCs w:val="20"/>
    </w:rPr>
  </w:style>
  <w:style w:type="table" w:styleId="DarkList">
    <w:name w:val="Dark List"/>
    <w:basedOn w:val="TableNormal"/>
    <w:uiPriority w:val="99"/>
    <w:semiHidden/>
    <w:rsid w:val="0098410D"/>
    <w:rPr>
      <w:color w:val="0072BC"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0072BC" w:themeColor="background1"/>
          <w:right w:val="nil"/>
          <w:insideH w:val="nil"/>
          <w:insideV w:val="nil"/>
        </w:tcBorders>
        <w:shd w:val="clear" w:color="auto" w:fill="000000" w:themeFill="text1"/>
      </w:tcPr>
    </w:tblStylePr>
    <w:tblStylePr w:type="lastRow">
      <w:tblPr/>
      <w:tcPr>
        <w:tcBorders>
          <w:top w:val="single" w:sz="18" w:space="0" w:color="0072BC"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0072BC" w:themeColor="background1"/>
          <w:insideH w:val="nil"/>
          <w:insideV w:val="nil"/>
        </w:tcBorders>
        <w:shd w:val="clear" w:color="auto" w:fill="000000" w:themeFill="text1" w:themeFillShade="BF"/>
      </w:tcPr>
    </w:tblStylePr>
    <w:tblStylePr w:type="lastCol">
      <w:tblPr/>
      <w:tcPr>
        <w:tcBorders>
          <w:top w:val="nil"/>
          <w:left w:val="single" w:sz="18" w:space="0" w:color="0072BC"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99"/>
    <w:semiHidden/>
    <w:rsid w:val="0098410D"/>
    <w:rPr>
      <w:color w:val="0072BC" w:themeColor="background1"/>
    </w:rPr>
    <w:tblPr>
      <w:tblStyleRowBandSize w:val="1"/>
      <w:tblStyleColBandSize w:val="1"/>
    </w:tblPr>
    <w:tcPr>
      <w:shd w:val="clear" w:color="auto" w:fill="0072BC" w:themeFill="accent1"/>
    </w:tcPr>
    <w:tblStylePr w:type="firstRow">
      <w:rPr>
        <w:b/>
        <w:bCs/>
      </w:rPr>
      <w:tblPr/>
      <w:tcPr>
        <w:tcBorders>
          <w:top w:val="nil"/>
          <w:left w:val="nil"/>
          <w:bottom w:val="single" w:sz="18" w:space="0" w:color="0072BC" w:themeColor="background1"/>
          <w:right w:val="nil"/>
          <w:insideH w:val="nil"/>
          <w:insideV w:val="nil"/>
        </w:tcBorders>
        <w:shd w:val="clear" w:color="auto" w:fill="000000" w:themeFill="text1"/>
      </w:tcPr>
    </w:tblStylePr>
    <w:tblStylePr w:type="lastRow">
      <w:tblPr/>
      <w:tcPr>
        <w:tcBorders>
          <w:top w:val="single" w:sz="18" w:space="0" w:color="0072BC" w:themeColor="background1"/>
          <w:left w:val="nil"/>
          <w:bottom w:val="nil"/>
          <w:right w:val="nil"/>
          <w:insideH w:val="nil"/>
          <w:insideV w:val="nil"/>
        </w:tcBorders>
        <w:shd w:val="clear" w:color="auto" w:fill="00385D" w:themeFill="accent1" w:themeFillShade="7F"/>
      </w:tcPr>
    </w:tblStylePr>
    <w:tblStylePr w:type="firstCol">
      <w:tblPr/>
      <w:tcPr>
        <w:tcBorders>
          <w:top w:val="nil"/>
          <w:left w:val="nil"/>
          <w:bottom w:val="nil"/>
          <w:right w:val="single" w:sz="18" w:space="0" w:color="0072BC" w:themeColor="background1"/>
          <w:insideH w:val="nil"/>
          <w:insideV w:val="nil"/>
        </w:tcBorders>
        <w:shd w:val="clear" w:color="auto" w:fill="00548C" w:themeFill="accent1" w:themeFillShade="BF"/>
      </w:tcPr>
    </w:tblStylePr>
    <w:tblStylePr w:type="lastCol">
      <w:tblPr/>
      <w:tcPr>
        <w:tcBorders>
          <w:top w:val="nil"/>
          <w:left w:val="single" w:sz="18" w:space="0" w:color="0072BC" w:themeColor="background1"/>
          <w:bottom w:val="nil"/>
          <w:right w:val="nil"/>
          <w:insideH w:val="nil"/>
          <w:insideV w:val="nil"/>
        </w:tcBorders>
        <w:shd w:val="clear" w:color="auto" w:fill="00548C" w:themeFill="accent1" w:themeFillShade="BF"/>
      </w:tcPr>
    </w:tblStylePr>
    <w:tblStylePr w:type="band1Vert">
      <w:tblPr/>
      <w:tcPr>
        <w:tcBorders>
          <w:top w:val="nil"/>
          <w:left w:val="nil"/>
          <w:bottom w:val="nil"/>
          <w:right w:val="nil"/>
          <w:insideH w:val="nil"/>
          <w:insideV w:val="nil"/>
        </w:tcBorders>
        <w:shd w:val="clear" w:color="auto" w:fill="00548C" w:themeFill="accent1" w:themeFillShade="BF"/>
      </w:tcPr>
    </w:tblStylePr>
    <w:tblStylePr w:type="band1Horz">
      <w:tblPr/>
      <w:tcPr>
        <w:tcBorders>
          <w:top w:val="nil"/>
          <w:left w:val="nil"/>
          <w:bottom w:val="nil"/>
          <w:right w:val="nil"/>
          <w:insideH w:val="nil"/>
          <w:insideV w:val="nil"/>
        </w:tcBorders>
        <w:shd w:val="clear" w:color="auto" w:fill="00548C" w:themeFill="accent1" w:themeFillShade="BF"/>
      </w:tcPr>
    </w:tblStylePr>
  </w:style>
  <w:style w:type="table" w:styleId="DarkList-Accent2">
    <w:name w:val="Dark List Accent 2"/>
    <w:basedOn w:val="TableNormal"/>
    <w:uiPriority w:val="99"/>
    <w:semiHidden/>
    <w:rsid w:val="0098410D"/>
    <w:rPr>
      <w:color w:val="0072BC" w:themeColor="background1"/>
    </w:rPr>
    <w:tblPr>
      <w:tblStyleRowBandSize w:val="1"/>
      <w:tblStyleColBandSize w:val="1"/>
    </w:tblPr>
    <w:tcPr>
      <w:shd w:val="clear" w:color="auto" w:fill="C00000" w:themeFill="accent2"/>
    </w:tcPr>
    <w:tblStylePr w:type="firstRow">
      <w:rPr>
        <w:b/>
        <w:bCs/>
      </w:rPr>
      <w:tblPr/>
      <w:tcPr>
        <w:tcBorders>
          <w:top w:val="nil"/>
          <w:left w:val="nil"/>
          <w:bottom w:val="single" w:sz="18" w:space="0" w:color="0072BC" w:themeColor="background1"/>
          <w:right w:val="nil"/>
          <w:insideH w:val="nil"/>
          <w:insideV w:val="nil"/>
        </w:tcBorders>
        <w:shd w:val="clear" w:color="auto" w:fill="000000" w:themeFill="text1"/>
      </w:tcPr>
    </w:tblStylePr>
    <w:tblStylePr w:type="lastRow">
      <w:tblPr/>
      <w:tcPr>
        <w:tcBorders>
          <w:top w:val="single" w:sz="18" w:space="0" w:color="0072BC" w:themeColor="background1"/>
          <w:left w:val="nil"/>
          <w:bottom w:val="nil"/>
          <w:right w:val="nil"/>
          <w:insideH w:val="nil"/>
          <w:insideV w:val="nil"/>
        </w:tcBorders>
        <w:shd w:val="clear" w:color="auto" w:fill="5F0000" w:themeFill="accent2" w:themeFillShade="7F"/>
      </w:tcPr>
    </w:tblStylePr>
    <w:tblStylePr w:type="firstCol">
      <w:tblPr/>
      <w:tcPr>
        <w:tcBorders>
          <w:top w:val="nil"/>
          <w:left w:val="nil"/>
          <w:bottom w:val="nil"/>
          <w:right w:val="single" w:sz="18" w:space="0" w:color="0072BC" w:themeColor="background1"/>
          <w:insideH w:val="nil"/>
          <w:insideV w:val="nil"/>
        </w:tcBorders>
        <w:shd w:val="clear" w:color="auto" w:fill="8F0000" w:themeFill="accent2" w:themeFillShade="BF"/>
      </w:tcPr>
    </w:tblStylePr>
    <w:tblStylePr w:type="lastCol">
      <w:tblPr/>
      <w:tcPr>
        <w:tcBorders>
          <w:top w:val="nil"/>
          <w:left w:val="single" w:sz="18" w:space="0" w:color="0072BC" w:themeColor="background1"/>
          <w:bottom w:val="nil"/>
          <w:right w:val="nil"/>
          <w:insideH w:val="nil"/>
          <w:insideV w:val="nil"/>
        </w:tcBorders>
        <w:shd w:val="clear" w:color="auto" w:fill="8F0000" w:themeFill="accent2" w:themeFillShade="BF"/>
      </w:tcPr>
    </w:tblStylePr>
    <w:tblStylePr w:type="band1Vert">
      <w:tblPr/>
      <w:tcPr>
        <w:tcBorders>
          <w:top w:val="nil"/>
          <w:left w:val="nil"/>
          <w:bottom w:val="nil"/>
          <w:right w:val="nil"/>
          <w:insideH w:val="nil"/>
          <w:insideV w:val="nil"/>
        </w:tcBorders>
        <w:shd w:val="clear" w:color="auto" w:fill="8F0000" w:themeFill="accent2" w:themeFillShade="BF"/>
      </w:tcPr>
    </w:tblStylePr>
    <w:tblStylePr w:type="band1Horz">
      <w:tblPr/>
      <w:tcPr>
        <w:tcBorders>
          <w:top w:val="nil"/>
          <w:left w:val="nil"/>
          <w:bottom w:val="nil"/>
          <w:right w:val="nil"/>
          <w:insideH w:val="nil"/>
          <w:insideV w:val="nil"/>
        </w:tcBorders>
        <w:shd w:val="clear" w:color="auto" w:fill="8F0000" w:themeFill="accent2" w:themeFillShade="BF"/>
      </w:tcPr>
    </w:tblStylePr>
  </w:style>
  <w:style w:type="table" w:styleId="DarkList-Accent3">
    <w:name w:val="Dark List Accent 3"/>
    <w:basedOn w:val="TableNormal"/>
    <w:uiPriority w:val="99"/>
    <w:semiHidden/>
    <w:rsid w:val="0098410D"/>
    <w:rPr>
      <w:color w:val="0072BC" w:themeColor="background1"/>
    </w:rPr>
    <w:tblPr>
      <w:tblStyleRowBandSize w:val="1"/>
      <w:tblStyleColBandSize w:val="1"/>
    </w:tblPr>
    <w:tcPr>
      <w:shd w:val="clear" w:color="auto" w:fill="5F5F5F" w:themeFill="accent3"/>
    </w:tcPr>
    <w:tblStylePr w:type="firstRow">
      <w:rPr>
        <w:b/>
        <w:bCs/>
      </w:rPr>
      <w:tblPr/>
      <w:tcPr>
        <w:tcBorders>
          <w:top w:val="nil"/>
          <w:left w:val="nil"/>
          <w:bottom w:val="single" w:sz="18" w:space="0" w:color="0072BC" w:themeColor="background1"/>
          <w:right w:val="nil"/>
          <w:insideH w:val="nil"/>
          <w:insideV w:val="nil"/>
        </w:tcBorders>
        <w:shd w:val="clear" w:color="auto" w:fill="000000" w:themeFill="text1"/>
      </w:tcPr>
    </w:tblStylePr>
    <w:tblStylePr w:type="lastRow">
      <w:tblPr/>
      <w:tcPr>
        <w:tcBorders>
          <w:top w:val="single" w:sz="18" w:space="0" w:color="0072BC" w:themeColor="background1"/>
          <w:left w:val="nil"/>
          <w:bottom w:val="nil"/>
          <w:right w:val="nil"/>
          <w:insideH w:val="nil"/>
          <w:insideV w:val="nil"/>
        </w:tcBorders>
        <w:shd w:val="clear" w:color="auto" w:fill="2F2F2F" w:themeFill="accent3" w:themeFillShade="7F"/>
      </w:tcPr>
    </w:tblStylePr>
    <w:tblStylePr w:type="firstCol">
      <w:tblPr/>
      <w:tcPr>
        <w:tcBorders>
          <w:top w:val="nil"/>
          <w:left w:val="nil"/>
          <w:bottom w:val="nil"/>
          <w:right w:val="single" w:sz="18" w:space="0" w:color="0072BC" w:themeColor="background1"/>
          <w:insideH w:val="nil"/>
          <w:insideV w:val="nil"/>
        </w:tcBorders>
        <w:shd w:val="clear" w:color="auto" w:fill="474747" w:themeFill="accent3" w:themeFillShade="BF"/>
      </w:tcPr>
    </w:tblStylePr>
    <w:tblStylePr w:type="lastCol">
      <w:tblPr/>
      <w:tcPr>
        <w:tcBorders>
          <w:top w:val="nil"/>
          <w:left w:val="single" w:sz="18" w:space="0" w:color="0072BC" w:themeColor="background1"/>
          <w:bottom w:val="nil"/>
          <w:right w:val="nil"/>
          <w:insideH w:val="nil"/>
          <w:insideV w:val="nil"/>
        </w:tcBorders>
        <w:shd w:val="clear" w:color="auto" w:fill="474747" w:themeFill="accent3" w:themeFillShade="BF"/>
      </w:tcPr>
    </w:tblStylePr>
    <w:tblStylePr w:type="band1Vert">
      <w:tblPr/>
      <w:tcPr>
        <w:tcBorders>
          <w:top w:val="nil"/>
          <w:left w:val="nil"/>
          <w:bottom w:val="nil"/>
          <w:right w:val="nil"/>
          <w:insideH w:val="nil"/>
          <w:insideV w:val="nil"/>
        </w:tcBorders>
        <w:shd w:val="clear" w:color="auto" w:fill="474747" w:themeFill="accent3" w:themeFillShade="BF"/>
      </w:tcPr>
    </w:tblStylePr>
    <w:tblStylePr w:type="band1Horz">
      <w:tblPr/>
      <w:tcPr>
        <w:tcBorders>
          <w:top w:val="nil"/>
          <w:left w:val="nil"/>
          <w:bottom w:val="nil"/>
          <w:right w:val="nil"/>
          <w:insideH w:val="nil"/>
          <w:insideV w:val="nil"/>
        </w:tcBorders>
        <w:shd w:val="clear" w:color="auto" w:fill="474747" w:themeFill="accent3" w:themeFillShade="BF"/>
      </w:tcPr>
    </w:tblStylePr>
  </w:style>
  <w:style w:type="table" w:styleId="DarkList-Accent4">
    <w:name w:val="Dark List Accent 4"/>
    <w:basedOn w:val="TableNormal"/>
    <w:uiPriority w:val="99"/>
    <w:semiHidden/>
    <w:rsid w:val="0098410D"/>
    <w:rPr>
      <w:color w:val="0072BC" w:themeColor="background1"/>
    </w:rPr>
    <w:tblPr>
      <w:tblStyleRowBandSize w:val="1"/>
      <w:tblStyleColBandSize w:val="1"/>
    </w:tblPr>
    <w:tcPr>
      <w:shd w:val="clear" w:color="auto" w:fill="969696" w:themeFill="accent4"/>
    </w:tcPr>
    <w:tblStylePr w:type="firstRow">
      <w:rPr>
        <w:b/>
        <w:bCs/>
      </w:rPr>
      <w:tblPr/>
      <w:tcPr>
        <w:tcBorders>
          <w:top w:val="nil"/>
          <w:left w:val="nil"/>
          <w:bottom w:val="single" w:sz="18" w:space="0" w:color="0072BC" w:themeColor="background1"/>
          <w:right w:val="nil"/>
          <w:insideH w:val="nil"/>
          <w:insideV w:val="nil"/>
        </w:tcBorders>
        <w:shd w:val="clear" w:color="auto" w:fill="000000" w:themeFill="text1"/>
      </w:tcPr>
    </w:tblStylePr>
    <w:tblStylePr w:type="lastRow">
      <w:tblPr/>
      <w:tcPr>
        <w:tcBorders>
          <w:top w:val="single" w:sz="18" w:space="0" w:color="0072BC" w:themeColor="background1"/>
          <w:left w:val="nil"/>
          <w:bottom w:val="nil"/>
          <w:right w:val="nil"/>
          <w:insideH w:val="nil"/>
          <w:insideV w:val="nil"/>
        </w:tcBorders>
        <w:shd w:val="clear" w:color="auto" w:fill="4A4A4A" w:themeFill="accent4" w:themeFillShade="7F"/>
      </w:tcPr>
    </w:tblStylePr>
    <w:tblStylePr w:type="firstCol">
      <w:tblPr/>
      <w:tcPr>
        <w:tcBorders>
          <w:top w:val="nil"/>
          <w:left w:val="nil"/>
          <w:bottom w:val="nil"/>
          <w:right w:val="single" w:sz="18" w:space="0" w:color="0072BC" w:themeColor="background1"/>
          <w:insideH w:val="nil"/>
          <w:insideV w:val="nil"/>
        </w:tcBorders>
        <w:shd w:val="clear" w:color="auto" w:fill="707070" w:themeFill="accent4" w:themeFillShade="BF"/>
      </w:tcPr>
    </w:tblStylePr>
    <w:tblStylePr w:type="lastCol">
      <w:tblPr/>
      <w:tcPr>
        <w:tcBorders>
          <w:top w:val="nil"/>
          <w:left w:val="single" w:sz="18" w:space="0" w:color="0072BC" w:themeColor="background1"/>
          <w:bottom w:val="nil"/>
          <w:right w:val="nil"/>
          <w:insideH w:val="nil"/>
          <w:insideV w:val="nil"/>
        </w:tcBorders>
        <w:shd w:val="clear" w:color="auto" w:fill="707070" w:themeFill="accent4" w:themeFillShade="BF"/>
      </w:tcPr>
    </w:tblStylePr>
    <w:tblStylePr w:type="band1Vert">
      <w:tblPr/>
      <w:tcPr>
        <w:tcBorders>
          <w:top w:val="nil"/>
          <w:left w:val="nil"/>
          <w:bottom w:val="nil"/>
          <w:right w:val="nil"/>
          <w:insideH w:val="nil"/>
          <w:insideV w:val="nil"/>
        </w:tcBorders>
        <w:shd w:val="clear" w:color="auto" w:fill="707070" w:themeFill="accent4" w:themeFillShade="BF"/>
      </w:tcPr>
    </w:tblStylePr>
    <w:tblStylePr w:type="band1Horz">
      <w:tblPr/>
      <w:tcPr>
        <w:tcBorders>
          <w:top w:val="nil"/>
          <w:left w:val="nil"/>
          <w:bottom w:val="nil"/>
          <w:right w:val="nil"/>
          <w:insideH w:val="nil"/>
          <w:insideV w:val="nil"/>
        </w:tcBorders>
        <w:shd w:val="clear" w:color="auto" w:fill="707070" w:themeFill="accent4" w:themeFillShade="BF"/>
      </w:tcPr>
    </w:tblStylePr>
  </w:style>
  <w:style w:type="table" w:styleId="DarkList-Accent5">
    <w:name w:val="Dark List Accent 5"/>
    <w:basedOn w:val="TableNormal"/>
    <w:uiPriority w:val="99"/>
    <w:semiHidden/>
    <w:rsid w:val="0098410D"/>
    <w:rPr>
      <w:color w:val="0072BC" w:themeColor="background1"/>
    </w:rPr>
    <w:tblPr>
      <w:tblStyleRowBandSize w:val="1"/>
      <w:tblStyleColBandSize w:val="1"/>
    </w:tblPr>
    <w:tcPr>
      <w:shd w:val="clear" w:color="auto" w:fill="5F5F5F" w:themeFill="accent5"/>
    </w:tcPr>
    <w:tblStylePr w:type="firstRow">
      <w:rPr>
        <w:b/>
        <w:bCs/>
      </w:rPr>
      <w:tblPr/>
      <w:tcPr>
        <w:tcBorders>
          <w:top w:val="nil"/>
          <w:left w:val="nil"/>
          <w:bottom w:val="single" w:sz="18" w:space="0" w:color="0072BC" w:themeColor="background1"/>
          <w:right w:val="nil"/>
          <w:insideH w:val="nil"/>
          <w:insideV w:val="nil"/>
        </w:tcBorders>
        <w:shd w:val="clear" w:color="auto" w:fill="000000" w:themeFill="text1"/>
      </w:tcPr>
    </w:tblStylePr>
    <w:tblStylePr w:type="lastRow">
      <w:tblPr/>
      <w:tcPr>
        <w:tcBorders>
          <w:top w:val="single" w:sz="18" w:space="0" w:color="0072BC" w:themeColor="background1"/>
          <w:left w:val="nil"/>
          <w:bottom w:val="nil"/>
          <w:right w:val="nil"/>
          <w:insideH w:val="nil"/>
          <w:insideV w:val="nil"/>
        </w:tcBorders>
        <w:shd w:val="clear" w:color="auto" w:fill="2F2F2F" w:themeFill="accent5" w:themeFillShade="7F"/>
      </w:tcPr>
    </w:tblStylePr>
    <w:tblStylePr w:type="firstCol">
      <w:tblPr/>
      <w:tcPr>
        <w:tcBorders>
          <w:top w:val="nil"/>
          <w:left w:val="nil"/>
          <w:bottom w:val="nil"/>
          <w:right w:val="single" w:sz="18" w:space="0" w:color="0072BC" w:themeColor="background1"/>
          <w:insideH w:val="nil"/>
          <w:insideV w:val="nil"/>
        </w:tcBorders>
        <w:shd w:val="clear" w:color="auto" w:fill="474747" w:themeFill="accent5" w:themeFillShade="BF"/>
      </w:tcPr>
    </w:tblStylePr>
    <w:tblStylePr w:type="lastCol">
      <w:tblPr/>
      <w:tcPr>
        <w:tcBorders>
          <w:top w:val="nil"/>
          <w:left w:val="single" w:sz="18" w:space="0" w:color="0072BC" w:themeColor="background1"/>
          <w:bottom w:val="nil"/>
          <w:right w:val="nil"/>
          <w:insideH w:val="nil"/>
          <w:insideV w:val="nil"/>
        </w:tcBorders>
        <w:shd w:val="clear" w:color="auto" w:fill="474747" w:themeFill="accent5" w:themeFillShade="BF"/>
      </w:tcPr>
    </w:tblStylePr>
    <w:tblStylePr w:type="band1Vert">
      <w:tblPr/>
      <w:tcPr>
        <w:tcBorders>
          <w:top w:val="nil"/>
          <w:left w:val="nil"/>
          <w:bottom w:val="nil"/>
          <w:right w:val="nil"/>
          <w:insideH w:val="nil"/>
          <w:insideV w:val="nil"/>
        </w:tcBorders>
        <w:shd w:val="clear" w:color="auto" w:fill="474747" w:themeFill="accent5" w:themeFillShade="BF"/>
      </w:tcPr>
    </w:tblStylePr>
    <w:tblStylePr w:type="band1Horz">
      <w:tblPr/>
      <w:tcPr>
        <w:tcBorders>
          <w:top w:val="nil"/>
          <w:left w:val="nil"/>
          <w:bottom w:val="nil"/>
          <w:right w:val="nil"/>
          <w:insideH w:val="nil"/>
          <w:insideV w:val="nil"/>
        </w:tcBorders>
        <w:shd w:val="clear" w:color="auto" w:fill="474747" w:themeFill="accent5" w:themeFillShade="BF"/>
      </w:tcPr>
    </w:tblStylePr>
  </w:style>
  <w:style w:type="table" w:styleId="DarkList-Accent6">
    <w:name w:val="Dark List Accent 6"/>
    <w:basedOn w:val="TableNormal"/>
    <w:uiPriority w:val="99"/>
    <w:semiHidden/>
    <w:rsid w:val="0098410D"/>
    <w:rPr>
      <w:color w:val="0072BC" w:themeColor="background1"/>
    </w:rPr>
    <w:tblPr>
      <w:tblStyleRowBandSize w:val="1"/>
      <w:tblStyleColBandSize w:val="1"/>
    </w:tblPr>
    <w:tcPr>
      <w:shd w:val="clear" w:color="auto" w:fill="4D4D4D" w:themeFill="accent6"/>
    </w:tcPr>
    <w:tblStylePr w:type="firstRow">
      <w:rPr>
        <w:b/>
        <w:bCs/>
      </w:rPr>
      <w:tblPr/>
      <w:tcPr>
        <w:tcBorders>
          <w:top w:val="nil"/>
          <w:left w:val="nil"/>
          <w:bottom w:val="single" w:sz="18" w:space="0" w:color="0072BC" w:themeColor="background1"/>
          <w:right w:val="nil"/>
          <w:insideH w:val="nil"/>
          <w:insideV w:val="nil"/>
        </w:tcBorders>
        <w:shd w:val="clear" w:color="auto" w:fill="000000" w:themeFill="text1"/>
      </w:tcPr>
    </w:tblStylePr>
    <w:tblStylePr w:type="lastRow">
      <w:tblPr/>
      <w:tcPr>
        <w:tcBorders>
          <w:top w:val="single" w:sz="18" w:space="0" w:color="0072BC" w:themeColor="background1"/>
          <w:left w:val="nil"/>
          <w:bottom w:val="nil"/>
          <w:right w:val="nil"/>
          <w:insideH w:val="nil"/>
          <w:insideV w:val="nil"/>
        </w:tcBorders>
        <w:shd w:val="clear" w:color="auto" w:fill="262626" w:themeFill="accent6" w:themeFillShade="7F"/>
      </w:tcPr>
    </w:tblStylePr>
    <w:tblStylePr w:type="firstCol">
      <w:tblPr/>
      <w:tcPr>
        <w:tcBorders>
          <w:top w:val="nil"/>
          <w:left w:val="nil"/>
          <w:bottom w:val="nil"/>
          <w:right w:val="single" w:sz="18" w:space="0" w:color="0072BC" w:themeColor="background1"/>
          <w:insideH w:val="nil"/>
          <w:insideV w:val="nil"/>
        </w:tcBorders>
        <w:shd w:val="clear" w:color="auto" w:fill="393939" w:themeFill="accent6" w:themeFillShade="BF"/>
      </w:tcPr>
    </w:tblStylePr>
    <w:tblStylePr w:type="lastCol">
      <w:tblPr/>
      <w:tcPr>
        <w:tcBorders>
          <w:top w:val="nil"/>
          <w:left w:val="single" w:sz="18" w:space="0" w:color="0072BC" w:themeColor="background1"/>
          <w:bottom w:val="nil"/>
          <w:right w:val="nil"/>
          <w:insideH w:val="nil"/>
          <w:insideV w:val="nil"/>
        </w:tcBorders>
        <w:shd w:val="clear" w:color="auto" w:fill="393939" w:themeFill="accent6" w:themeFillShade="BF"/>
      </w:tcPr>
    </w:tblStylePr>
    <w:tblStylePr w:type="band1Vert">
      <w:tblPr/>
      <w:tcPr>
        <w:tcBorders>
          <w:top w:val="nil"/>
          <w:left w:val="nil"/>
          <w:bottom w:val="nil"/>
          <w:right w:val="nil"/>
          <w:insideH w:val="nil"/>
          <w:insideV w:val="nil"/>
        </w:tcBorders>
        <w:shd w:val="clear" w:color="auto" w:fill="393939" w:themeFill="accent6" w:themeFillShade="BF"/>
      </w:tcPr>
    </w:tblStylePr>
    <w:tblStylePr w:type="band1Horz">
      <w:tblPr/>
      <w:tcPr>
        <w:tcBorders>
          <w:top w:val="nil"/>
          <w:left w:val="nil"/>
          <w:bottom w:val="nil"/>
          <w:right w:val="nil"/>
          <w:insideH w:val="nil"/>
          <w:insideV w:val="nil"/>
        </w:tcBorders>
        <w:shd w:val="clear" w:color="auto" w:fill="393939" w:themeFill="accent6" w:themeFillShade="BF"/>
      </w:tcPr>
    </w:tblStylePr>
  </w:style>
  <w:style w:type="paragraph" w:styleId="Date">
    <w:name w:val="Date"/>
    <w:basedOn w:val="Normal"/>
    <w:next w:val="Normal"/>
    <w:link w:val="DateChar"/>
    <w:uiPriority w:val="99"/>
    <w:semiHidden/>
    <w:rsid w:val="0098410D"/>
  </w:style>
  <w:style w:type="character" w:customStyle="1" w:styleId="DateChar">
    <w:name w:val="Date Char"/>
    <w:basedOn w:val="DefaultParagraphFont"/>
    <w:link w:val="Date"/>
    <w:uiPriority w:val="99"/>
    <w:semiHidden/>
    <w:rsid w:val="0098410D"/>
    <w:rPr>
      <w:rFonts w:eastAsiaTheme="minorEastAsia"/>
      <w:sz w:val="24"/>
    </w:rPr>
  </w:style>
  <w:style w:type="paragraph" w:styleId="DocumentMap">
    <w:name w:val="Document Map"/>
    <w:basedOn w:val="Normal"/>
    <w:link w:val="DocumentMapChar"/>
    <w:uiPriority w:val="99"/>
    <w:semiHidden/>
    <w:rsid w:val="0098410D"/>
    <w:rPr>
      <w:rFonts w:ascii="Tahoma" w:hAnsi="Tahoma" w:cs="Tahoma"/>
      <w:sz w:val="16"/>
      <w:szCs w:val="16"/>
    </w:rPr>
  </w:style>
  <w:style w:type="character" w:customStyle="1" w:styleId="DocumentMapChar">
    <w:name w:val="Document Map Char"/>
    <w:basedOn w:val="DefaultParagraphFont"/>
    <w:link w:val="DocumentMap"/>
    <w:uiPriority w:val="99"/>
    <w:semiHidden/>
    <w:rsid w:val="0098410D"/>
    <w:rPr>
      <w:rFonts w:ascii="Tahoma" w:eastAsiaTheme="minorEastAsia" w:hAnsi="Tahoma" w:cs="Tahoma"/>
      <w:sz w:val="16"/>
      <w:szCs w:val="16"/>
    </w:rPr>
  </w:style>
  <w:style w:type="paragraph" w:styleId="E-mailSignature">
    <w:name w:val="E-mail Signature"/>
    <w:basedOn w:val="Normal"/>
    <w:link w:val="E-mailSignatureChar"/>
    <w:uiPriority w:val="99"/>
    <w:semiHidden/>
    <w:rsid w:val="0098410D"/>
  </w:style>
  <w:style w:type="character" w:customStyle="1" w:styleId="E-mailSignatureChar">
    <w:name w:val="E-mail Signature Char"/>
    <w:basedOn w:val="DefaultParagraphFont"/>
    <w:link w:val="E-mailSignature"/>
    <w:uiPriority w:val="99"/>
    <w:semiHidden/>
    <w:rsid w:val="0098410D"/>
    <w:rPr>
      <w:rFonts w:eastAsiaTheme="minorEastAsia"/>
      <w:sz w:val="24"/>
    </w:rPr>
  </w:style>
  <w:style w:type="character" w:styleId="EndnoteReference">
    <w:name w:val="endnote reference"/>
    <w:basedOn w:val="DefaultParagraphFont"/>
    <w:uiPriority w:val="99"/>
    <w:semiHidden/>
    <w:rsid w:val="0098410D"/>
    <w:rPr>
      <w:vertAlign w:val="superscript"/>
    </w:rPr>
  </w:style>
  <w:style w:type="paragraph" w:styleId="EndnoteText">
    <w:name w:val="endnote text"/>
    <w:basedOn w:val="Normal"/>
    <w:link w:val="EndnoteTextChar"/>
    <w:uiPriority w:val="99"/>
    <w:semiHidden/>
    <w:rsid w:val="0098410D"/>
    <w:rPr>
      <w:sz w:val="20"/>
      <w:szCs w:val="20"/>
    </w:rPr>
  </w:style>
  <w:style w:type="character" w:customStyle="1" w:styleId="EndnoteTextChar">
    <w:name w:val="Endnote Text Char"/>
    <w:basedOn w:val="DefaultParagraphFont"/>
    <w:link w:val="EndnoteText"/>
    <w:uiPriority w:val="99"/>
    <w:semiHidden/>
    <w:rsid w:val="0098410D"/>
    <w:rPr>
      <w:rFonts w:eastAsiaTheme="minorEastAsia"/>
      <w:sz w:val="20"/>
      <w:szCs w:val="20"/>
    </w:rPr>
  </w:style>
  <w:style w:type="paragraph" w:styleId="EnvelopeAddress">
    <w:name w:val="envelope address"/>
    <w:basedOn w:val="Normal"/>
    <w:uiPriority w:val="99"/>
    <w:semiHidden/>
    <w:rsid w:val="0098410D"/>
    <w:pPr>
      <w:framePr w:w="7938" w:h="1985" w:hRule="exact" w:hSpace="141" w:wrap="auto" w:hAnchor="page" w:xAlign="center" w:yAlign="bottom"/>
      <w:ind w:left="2835"/>
    </w:pPr>
    <w:rPr>
      <w:rFonts w:asciiTheme="majorHAnsi" w:eastAsiaTheme="majorEastAsia" w:hAnsiTheme="majorHAnsi" w:cstheme="majorBidi"/>
      <w:szCs w:val="24"/>
    </w:rPr>
  </w:style>
  <w:style w:type="paragraph" w:styleId="EnvelopeReturn">
    <w:name w:val="envelope return"/>
    <w:basedOn w:val="Normal"/>
    <w:uiPriority w:val="99"/>
    <w:semiHidden/>
    <w:rsid w:val="0098410D"/>
    <w:rPr>
      <w:rFonts w:asciiTheme="majorHAnsi" w:eastAsiaTheme="majorEastAsia" w:hAnsiTheme="majorHAnsi" w:cstheme="majorBidi"/>
      <w:sz w:val="20"/>
      <w:szCs w:val="20"/>
    </w:rPr>
  </w:style>
  <w:style w:type="character" w:styleId="FollowedHyperlink">
    <w:name w:val="FollowedHyperlink"/>
    <w:basedOn w:val="DefaultParagraphFont"/>
    <w:uiPriority w:val="99"/>
    <w:semiHidden/>
    <w:rsid w:val="0098410D"/>
    <w:rPr>
      <w:color w:val="7030A0" w:themeColor="followedHyperlink"/>
      <w:u w:val="single"/>
    </w:rPr>
  </w:style>
  <w:style w:type="character" w:styleId="HTMLAcronym">
    <w:name w:val="HTML Acronym"/>
    <w:basedOn w:val="DefaultParagraphFont"/>
    <w:uiPriority w:val="99"/>
    <w:semiHidden/>
    <w:rsid w:val="0098410D"/>
  </w:style>
  <w:style w:type="paragraph" w:styleId="HTMLAddress">
    <w:name w:val="HTML Address"/>
    <w:basedOn w:val="Normal"/>
    <w:link w:val="HTMLAddressChar"/>
    <w:uiPriority w:val="99"/>
    <w:semiHidden/>
    <w:rsid w:val="0098410D"/>
    <w:rPr>
      <w:i/>
      <w:iCs/>
    </w:rPr>
  </w:style>
  <w:style w:type="character" w:customStyle="1" w:styleId="HTMLAddressChar">
    <w:name w:val="HTML Address Char"/>
    <w:basedOn w:val="DefaultParagraphFont"/>
    <w:link w:val="HTMLAddress"/>
    <w:uiPriority w:val="99"/>
    <w:semiHidden/>
    <w:rsid w:val="0098410D"/>
    <w:rPr>
      <w:rFonts w:eastAsiaTheme="minorEastAsia"/>
      <w:i/>
      <w:iCs/>
      <w:sz w:val="24"/>
    </w:rPr>
  </w:style>
  <w:style w:type="character" w:styleId="HTMLCite">
    <w:name w:val="HTML Cite"/>
    <w:basedOn w:val="DefaultParagraphFont"/>
    <w:uiPriority w:val="99"/>
    <w:semiHidden/>
    <w:rsid w:val="0098410D"/>
    <w:rPr>
      <w:i/>
      <w:iCs/>
    </w:rPr>
  </w:style>
  <w:style w:type="character" w:styleId="HTMLCode">
    <w:name w:val="HTML Code"/>
    <w:basedOn w:val="DefaultParagraphFont"/>
    <w:uiPriority w:val="99"/>
    <w:semiHidden/>
    <w:rsid w:val="0098410D"/>
    <w:rPr>
      <w:rFonts w:ascii="Consolas" w:hAnsi="Consolas" w:cs="Consolas"/>
      <w:sz w:val="20"/>
      <w:szCs w:val="20"/>
    </w:rPr>
  </w:style>
  <w:style w:type="character" w:styleId="HTMLDefinition">
    <w:name w:val="HTML Definition"/>
    <w:basedOn w:val="DefaultParagraphFont"/>
    <w:uiPriority w:val="99"/>
    <w:semiHidden/>
    <w:rsid w:val="0098410D"/>
    <w:rPr>
      <w:i/>
      <w:iCs/>
    </w:rPr>
  </w:style>
  <w:style w:type="character" w:styleId="HTMLKeyboard">
    <w:name w:val="HTML Keyboard"/>
    <w:basedOn w:val="DefaultParagraphFont"/>
    <w:uiPriority w:val="99"/>
    <w:semiHidden/>
    <w:rsid w:val="0098410D"/>
    <w:rPr>
      <w:rFonts w:ascii="Consolas" w:hAnsi="Consolas" w:cs="Consolas"/>
      <w:sz w:val="20"/>
      <w:szCs w:val="20"/>
    </w:rPr>
  </w:style>
  <w:style w:type="paragraph" w:styleId="HTMLPreformatted">
    <w:name w:val="HTML Preformatted"/>
    <w:basedOn w:val="Normal"/>
    <w:link w:val="HTMLPreformattedChar"/>
    <w:uiPriority w:val="99"/>
    <w:semiHidden/>
    <w:rsid w:val="0098410D"/>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98410D"/>
    <w:rPr>
      <w:rFonts w:ascii="Consolas" w:eastAsiaTheme="minorEastAsia" w:hAnsi="Consolas" w:cs="Consolas"/>
      <w:sz w:val="20"/>
      <w:szCs w:val="20"/>
    </w:rPr>
  </w:style>
  <w:style w:type="character" w:styleId="HTMLSample">
    <w:name w:val="HTML Sample"/>
    <w:basedOn w:val="DefaultParagraphFont"/>
    <w:uiPriority w:val="99"/>
    <w:semiHidden/>
    <w:rsid w:val="0098410D"/>
    <w:rPr>
      <w:rFonts w:ascii="Consolas" w:hAnsi="Consolas" w:cs="Consolas"/>
      <w:sz w:val="24"/>
      <w:szCs w:val="24"/>
    </w:rPr>
  </w:style>
  <w:style w:type="character" w:styleId="HTMLTypewriter">
    <w:name w:val="HTML Typewriter"/>
    <w:basedOn w:val="DefaultParagraphFont"/>
    <w:uiPriority w:val="99"/>
    <w:semiHidden/>
    <w:rsid w:val="0098410D"/>
    <w:rPr>
      <w:rFonts w:ascii="Consolas" w:hAnsi="Consolas" w:cs="Consolas"/>
      <w:sz w:val="20"/>
      <w:szCs w:val="20"/>
    </w:rPr>
  </w:style>
  <w:style w:type="character" w:styleId="HTMLVariable">
    <w:name w:val="HTML Variable"/>
    <w:basedOn w:val="DefaultParagraphFont"/>
    <w:uiPriority w:val="99"/>
    <w:semiHidden/>
    <w:rsid w:val="0098410D"/>
    <w:rPr>
      <w:i/>
      <w:iCs/>
    </w:rPr>
  </w:style>
  <w:style w:type="paragraph" w:styleId="Index1">
    <w:name w:val="index 1"/>
    <w:basedOn w:val="Normal"/>
    <w:next w:val="Normal"/>
    <w:autoRedefine/>
    <w:uiPriority w:val="99"/>
    <w:semiHidden/>
    <w:rsid w:val="0098410D"/>
    <w:pPr>
      <w:ind w:left="240" w:hanging="240"/>
    </w:pPr>
  </w:style>
  <w:style w:type="paragraph" w:styleId="Index2">
    <w:name w:val="index 2"/>
    <w:basedOn w:val="Normal"/>
    <w:next w:val="Normal"/>
    <w:autoRedefine/>
    <w:uiPriority w:val="99"/>
    <w:semiHidden/>
    <w:rsid w:val="0098410D"/>
    <w:pPr>
      <w:ind w:left="480" w:hanging="240"/>
    </w:pPr>
  </w:style>
  <w:style w:type="paragraph" w:styleId="Index3">
    <w:name w:val="index 3"/>
    <w:basedOn w:val="Normal"/>
    <w:next w:val="Normal"/>
    <w:autoRedefine/>
    <w:uiPriority w:val="99"/>
    <w:semiHidden/>
    <w:rsid w:val="0098410D"/>
    <w:pPr>
      <w:ind w:left="720" w:hanging="240"/>
    </w:pPr>
  </w:style>
  <w:style w:type="paragraph" w:styleId="Index4">
    <w:name w:val="index 4"/>
    <w:basedOn w:val="Normal"/>
    <w:next w:val="Normal"/>
    <w:autoRedefine/>
    <w:uiPriority w:val="99"/>
    <w:semiHidden/>
    <w:rsid w:val="0098410D"/>
    <w:pPr>
      <w:ind w:left="960" w:hanging="240"/>
    </w:pPr>
  </w:style>
  <w:style w:type="paragraph" w:styleId="Index5">
    <w:name w:val="index 5"/>
    <w:basedOn w:val="Normal"/>
    <w:next w:val="Normal"/>
    <w:autoRedefine/>
    <w:uiPriority w:val="99"/>
    <w:semiHidden/>
    <w:rsid w:val="0098410D"/>
    <w:pPr>
      <w:ind w:left="1200" w:hanging="240"/>
    </w:pPr>
  </w:style>
  <w:style w:type="paragraph" w:styleId="Index6">
    <w:name w:val="index 6"/>
    <w:basedOn w:val="Normal"/>
    <w:next w:val="Normal"/>
    <w:autoRedefine/>
    <w:uiPriority w:val="99"/>
    <w:semiHidden/>
    <w:rsid w:val="0098410D"/>
    <w:pPr>
      <w:ind w:left="1440" w:hanging="240"/>
    </w:pPr>
  </w:style>
  <w:style w:type="paragraph" w:styleId="Index7">
    <w:name w:val="index 7"/>
    <w:basedOn w:val="Normal"/>
    <w:next w:val="Normal"/>
    <w:autoRedefine/>
    <w:uiPriority w:val="99"/>
    <w:semiHidden/>
    <w:rsid w:val="0098410D"/>
    <w:pPr>
      <w:ind w:left="1680" w:hanging="240"/>
    </w:pPr>
  </w:style>
  <w:style w:type="paragraph" w:styleId="Index8">
    <w:name w:val="index 8"/>
    <w:basedOn w:val="Normal"/>
    <w:next w:val="Normal"/>
    <w:autoRedefine/>
    <w:uiPriority w:val="99"/>
    <w:semiHidden/>
    <w:rsid w:val="0098410D"/>
    <w:pPr>
      <w:ind w:left="1920" w:hanging="240"/>
    </w:pPr>
  </w:style>
  <w:style w:type="paragraph" w:styleId="Index9">
    <w:name w:val="index 9"/>
    <w:basedOn w:val="Normal"/>
    <w:next w:val="Normal"/>
    <w:autoRedefine/>
    <w:uiPriority w:val="99"/>
    <w:semiHidden/>
    <w:rsid w:val="0098410D"/>
    <w:pPr>
      <w:ind w:left="2160" w:hanging="240"/>
    </w:pPr>
  </w:style>
  <w:style w:type="paragraph" w:styleId="IndexHeading">
    <w:name w:val="index heading"/>
    <w:basedOn w:val="Normal"/>
    <w:next w:val="Index1"/>
    <w:uiPriority w:val="99"/>
    <w:semiHidden/>
    <w:rsid w:val="0098410D"/>
    <w:rPr>
      <w:rFonts w:asciiTheme="majorHAnsi" w:eastAsiaTheme="majorEastAsia" w:hAnsiTheme="majorHAnsi" w:cstheme="majorBidi"/>
      <w:b/>
      <w:bCs/>
    </w:rPr>
  </w:style>
  <w:style w:type="table" w:styleId="LightGrid">
    <w:name w:val="Light Grid"/>
    <w:basedOn w:val="TableNormal"/>
    <w:uiPriority w:val="99"/>
    <w:semiHidden/>
    <w:rsid w:val="0098410D"/>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99"/>
    <w:semiHidden/>
    <w:rsid w:val="0098410D"/>
    <w:tblPr>
      <w:tblStyleRowBandSize w:val="1"/>
      <w:tblStyleColBandSize w:val="1"/>
      <w:tblBorders>
        <w:top w:val="single" w:sz="8" w:space="0" w:color="0072BC" w:themeColor="accent1"/>
        <w:left w:val="single" w:sz="8" w:space="0" w:color="0072BC" w:themeColor="accent1"/>
        <w:bottom w:val="single" w:sz="8" w:space="0" w:color="0072BC" w:themeColor="accent1"/>
        <w:right w:val="single" w:sz="8" w:space="0" w:color="0072BC" w:themeColor="accent1"/>
        <w:insideH w:val="single" w:sz="8" w:space="0" w:color="0072BC" w:themeColor="accent1"/>
        <w:insideV w:val="single" w:sz="8" w:space="0" w:color="0072B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72BC" w:themeColor="accent1"/>
          <w:left w:val="single" w:sz="8" w:space="0" w:color="0072BC" w:themeColor="accent1"/>
          <w:bottom w:val="single" w:sz="18" w:space="0" w:color="0072BC" w:themeColor="accent1"/>
          <w:right w:val="single" w:sz="8" w:space="0" w:color="0072BC" w:themeColor="accent1"/>
          <w:insideH w:val="nil"/>
          <w:insideV w:val="single" w:sz="8" w:space="0" w:color="0072B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72BC" w:themeColor="accent1"/>
          <w:left w:val="single" w:sz="8" w:space="0" w:color="0072BC" w:themeColor="accent1"/>
          <w:bottom w:val="single" w:sz="8" w:space="0" w:color="0072BC" w:themeColor="accent1"/>
          <w:right w:val="single" w:sz="8" w:space="0" w:color="0072BC" w:themeColor="accent1"/>
          <w:insideH w:val="nil"/>
          <w:insideV w:val="single" w:sz="8" w:space="0" w:color="0072B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72BC" w:themeColor="accent1"/>
          <w:left w:val="single" w:sz="8" w:space="0" w:color="0072BC" w:themeColor="accent1"/>
          <w:bottom w:val="single" w:sz="8" w:space="0" w:color="0072BC" w:themeColor="accent1"/>
          <w:right w:val="single" w:sz="8" w:space="0" w:color="0072BC" w:themeColor="accent1"/>
        </w:tcBorders>
      </w:tcPr>
    </w:tblStylePr>
    <w:tblStylePr w:type="band1Vert">
      <w:tblPr/>
      <w:tcPr>
        <w:tcBorders>
          <w:top w:val="single" w:sz="8" w:space="0" w:color="0072BC" w:themeColor="accent1"/>
          <w:left w:val="single" w:sz="8" w:space="0" w:color="0072BC" w:themeColor="accent1"/>
          <w:bottom w:val="single" w:sz="8" w:space="0" w:color="0072BC" w:themeColor="accent1"/>
          <w:right w:val="single" w:sz="8" w:space="0" w:color="0072BC" w:themeColor="accent1"/>
        </w:tcBorders>
        <w:shd w:val="clear" w:color="auto" w:fill="AFDFFF" w:themeFill="accent1" w:themeFillTint="3F"/>
      </w:tcPr>
    </w:tblStylePr>
    <w:tblStylePr w:type="band1Horz">
      <w:tblPr/>
      <w:tcPr>
        <w:tcBorders>
          <w:top w:val="single" w:sz="8" w:space="0" w:color="0072BC" w:themeColor="accent1"/>
          <w:left w:val="single" w:sz="8" w:space="0" w:color="0072BC" w:themeColor="accent1"/>
          <w:bottom w:val="single" w:sz="8" w:space="0" w:color="0072BC" w:themeColor="accent1"/>
          <w:right w:val="single" w:sz="8" w:space="0" w:color="0072BC" w:themeColor="accent1"/>
          <w:insideV w:val="single" w:sz="8" w:space="0" w:color="0072BC" w:themeColor="accent1"/>
        </w:tcBorders>
        <w:shd w:val="clear" w:color="auto" w:fill="AFDFFF" w:themeFill="accent1" w:themeFillTint="3F"/>
      </w:tcPr>
    </w:tblStylePr>
    <w:tblStylePr w:type="band2Horz">
      <w:tblPr/>
      <w:tcPr>
        <w:tcBorders>
          <w:top w:val="single" w:sz="8" w:space="0" w:color="0072BC" w:themeColor="accent1"/>
          <w:left w:val="single" w:sz="8" w:space="0" w:color="0072BC" w:themeColor="accent1"/>
          <w:bottom w:val="single" w:sz="8" w:space="0" w:color="0072BC" w:themeColor="accent1"/>
          <w:right w:val="single" w:sz="8" w:space="0" w:color="0072BC" w:themeColor="accent1"/>
          <w:insideV w:val="single" w:sz="8" w:space="0" w:color="0072BC" w:themeColor="accent1"/>
        </w:tcBorders>
      </w:tcPr>
    </w:tblStylePr>
  </w:style>
  <w:style w:type="table" w:styleId="LightGrid-Accent2">
    <w:name w:val="Light Grid Accent 2"/>
    <w:basedOn w:val="TableNormal"/>
    <w:uiPriority w:val="99"/>
    <w:semiHidden/>
    <w:rsid w:val="0098410D"/>
    <w:tblPr>
      <w:tblStyleRowBandSize w:val="1"/>
      <w:tblStyleColBandSize w:val="1"/>
      <w:tblBorders>
        <w:top w:val="single" w:sz="8" w:space="0" w:color="C00000" w:themeColor="accent2"/>
        <w:left w:val="single" w:sz="8" w:space="0" w:color="C00000" w:themeColor="accent2"/>
        <w:bottom w:val="single" w:sz="8" w:space="0" w:color="C00000" w:themeColor="accent2"/>
        <w:right w:val="single" w:sz="8" w:space="0" w:color="C00000" w:themeColor="accent2"/>
        <w:insideH w:val="single" w:sz="8" w:space="0" w:color="C00000" w:themeColor="accent2"/>
        <w:insideV w:val="single" w:sz="8" w:space="0" w:color="C0000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0000" w:themeColor="accent2"/>
          <w:left w:val="single" w:sz="8" w:space="0" w:color="C00000" w:themeColor="accent2"/>
          <w:bottom w:val="single" w:sz="18" w:space="0" w:color="C00000" w:themeColor="accent2"/>
          <w:right w:val="single" w:sz="8" w:space="0" w:color="C00000" w:themeColor="accent2"/>
          <w:insideH w:val="nil"/>
          <w:insideV w:val="single" w:sz="8" w:space="0" w:color="C0000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0000" w:themeColor="accent2"/>
          <w:left w:val="single" w:sz="8" w:space="0" w:color="C00000" w:themeColor="accent2"/>
          <w:bottom w:val="single" w:sz="8" w:space="0" w:color="C00000" w:themeColor="accent2"/>
          <w:right w:val="single" w:sz="8" w:space="0" w:color="C00000" w:themeColor="accent2"/>
          <w:insideH w:val="nil"/>
          <w:insideV w:val="single" w:sz="8" w:space="0" w:color="C0000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0000" w:themeColor="accent2"/>
          <w:left w:val="single" w:sz="8" w:space="0" w:color="C00000" w:themeColor="accent2"/>
          <w:bottom w:val="single" w:sz="8" w:space="0" w:color="C00000" w:themeColor="accent2"/>
          <w:right w:val="single" w:sz="8" w:space="0" w:color="C00000" w:themeColor="accent2"/>
        </w:tcBorders>
      </w:tcPr>
    </w:tblStylePr>
    <w:tblStylePr w:type="band1Vert">
      <w:tblPr/>
      <w:tcPr>
        <w:tcBorders>
          <w:top w:val="single" w:sz="8" w:space="0" w:color="C00000" w:themeColor="accent2"/>
          <w:left w:val="single" w:sz="8" w:space="0" w:color="C00000" w:themeColor="accent2"/>
          <w:bottom w:val="single" w:sz="8" w:space="0" w:color="C00000" w:themeColor="accent2"/>
          <w:right w:val="single" w:sz="8" w:space="0" w:color="C00000" w:themeColor="accent2"/>
        </w:tcBorders>
        <w:shd w:val="clear" w:color="auto" w:fill="FFB0B0" w:themeFill="accent2" w:themeFillTint="3F"/>
      </w:tcPr>
    </w:tblStylePr>
    <w:tblStylePr w:type="band1Horz">
      <w:tblPr/>
      <w:tcPr>
        <w:tcBorders>
          <w:top w:val="single" w:sz="8" w:space="0" w:color="C00000" w:themeColor="accent2"/>
          <w:left w:val="single" w:sz="8" w:space="0" w:color="C00000" w:themeColor="accent2"/>
          <w:bottom w:val="single" w:sz="8" w:space="0" w:color="C00000" w:themeColor="accent2"/>
          <w:right w:val="single" w:sz="8" w:space="0" w:color="C00000" w:themeColor="accent2"/>
          <w:insideV w:val="single" w:sz="8" w:space="0" w:color="C00000" w:themeColor="accent2"/>
        </w:tcBorders>
        <w:shd w:val="clear" w:color="auto" w:fill="FFB0B0" w:themeFill="accent2" w:themeFillTint="3F"/>
      </w:tcPr>
    </w:tblStylePr>
    <w:tblStylePr w:type="band2Horz">
      <w:tblPr/>
      <w:tcPr>
        <w:tcBorders>
          <w:top w:val="single" w:sz="8" w:space="0" w:color="C00000" w:themeColor="accent2"/>
          <w:left w:val="single" w:sz="8" w:space="0" w:color="C00000" w:themeColor="accent2"/>
          <w:bottom w:val="single" w:sz="8" w:space="0" w:color="C00000" w:themeColor="accent2"/>
          <w:right w:val="single" w:sz="8" w:space="0" w:color="C00000" w:themeColor="accent2"/>
          <w:insideV w:val="single" w:sz="8" w:space="0" w:color="C00000" w:themeColor="accent2"/>
        </w:tcBorders>
      </w:tcPr>
    </w:tblStylePr>
  </w:style>
  <w:style w:type="table" w:styleId="LightGrid-Accent3">
    <w:name w:val="Light Grid Accent 3"/>
    <w:basedOn w:val="TableNormal"/>
    <w:uiPriority w:val="99"/>
    <w:semiHidden/>
    <w:rsid w:val="0098410D"/>
    <w:tblPr>
      <w:tblStyleRowBandSize w:val="1"/>
      <w:tblStyleColBandSize w:val="1"/>
      <w:tblBorders>
        <w:top w:val="single" w:sz="8" w:space="0" w:color="5F5F5F" w:themeColor="accent3"/>
        <w:left w:val="single" w:sz="8" w:space="0" w:color="5F5F5F" w:themeColor="accent3"/>
        <w:bottom w:val="single" w:sz="8" w:space="0" w:color="5F5F5F" w:themeColor="accent3"/>
        <w:right w:val="single" w:sz="8" w:space="0" w:color="5F5F5F" w:themeColor="accent3"/>
        <w:insideH w:val="single" w:sz="8" w:space="0" w:color="5F5F5F" w:themeColor="accent3"/>
        <w:insideV w:val="single" w:sz="8" w:space="0" w:color="5F5F5F"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F5F5F" w:themeColor="accent3"/>
          <w:left w:val="single" w:sz="8" w:space="0" w:color="5F5F5F" w:themeColor="accent3"/>
          <w:bottom w:val="single" w:sz="18" w:space="0" w:color="5F5F5F" w:themeColor="accent3"/>
          <w:right w:val="single" w:sz="8" w:space="0" w:color="5F5F5F" w:themeColor="accent3"/>
          <w:insideH w:val="nil"/>
          <w:insideV w:val="single" w:sz="8" w:space="0" w:color="5F5F5F"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F5F5F" w:themeColor="accent3"/>
          <w:left w:val="single" w:sz="8" w:space="0" w:color="5F5F5F" w:themeColor="accent3"/>
          <w:bottom w:val="single" w:sz="8" w:space="0" w:color="5F5F5F" w:themeColor="accent3"/>
          <w:right w:val="single" w:sz="8" w:space="0" w:color="5F5F5F" w:themeColor="accent3"/>
          <w:insideH w:val="nil"/>
          <w:insideV w:val="single" w:sz="8" w:space="0" w:color="5F5F5F"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F5F5F" w:themeColor="accent3"/>
          <w:left w:val="single" w:sz="8" w:space="0" w:color="5F5F5F" w:themeColor="accent3"/>
          <w:bottom w:val="single" w:sz="8" w:space="0" w:color="5F5F5F" w:themeColor="accent3"/>
          <w:right w:val="single" w:sz="8" w:space="0" w:color="5F5F5F" w:themeColor="accent3"/>
        </w:tcBorders>
      </w:tcPr>
    </w:tblStylePr>
    <w:tblStylePr w:type="band1Vert">
      <w:tblPr/>
      <w:tcPr>
        <w:tcBorders>
          <w:top w:val="single" w:sz="8" w:space="0" w:color="5F5F5F" w:themeColor="accent3"/>
          <w:left w:val="single" w:sz="8" w:space="0" w:color="5F5F5F" w:themeColor="accent3"/>
          <w:bottom w:val="single" w:sz="8" w:space="0" w:color="5F5F5F" w:themeColor="accent3"/>
          <w:right w:val="single" w:sz="8" w:space="0" w:color="5F5F5F" w:themeColor="accent3"/>
        </w:tcBorders>
        <w:shd w:val="clear" w:color="auto" w:fill="D7D7D7" w:themeFill="accent3" w:themeFillTint="3F"/>
      </w:tcPr>
    </w:tblStylePr>
    <w:tblStylePr w:type="band1Horz">
      <w:tblPr/>
      <w:tcPr>
        <w:tcBorders>
          <w:top w:val="single" w:sz="8" w:space="0" w:color="5F5F5F" w:themeColor="accent3"/>
          <w:left w:val="single" w:sz="8" w:space="0" w:color="5F5F5F" w:themeColor="accent3"/>
          <w:bottom w:val="single" w:sz="8" w:space="0" w:color="5F5F5F" w:themeColor="accent3"/>
          <w:right w:val="single" w:sz="8" w:space="0" w:color="5F5F5F" w:themeColor="accent3"/>
          <w:insideV w:val="single" w:sz="8" w:space="0" w:color="5F5F5F" w:themeColor="accent3"/>
        </w:tcBorders>
        <w:shd w:val="clear" w:color="auto" w:fill="D7D7D7" w:themeFill="accent3" w:themeFillTint="3F"/>
      </w:tcPr>
    </w:tblStylePr>
    <w:tblStylePr w:type="band2Horz">
      <w:tblPr/>
      <w:tcPr>
        <w:tcBorders>
          <w:top w:val="single" w:sz="8" w:space="0" w:color="5F5F5F" w:themeColor="accent3"/>
          <w:left w:val="single" w:sz="8" w:space="0" w:color="5F5F5F" w:themeColor="accent3"/>
          <w:bottom w:val="single" w:sz="8" w:space="0" w:color="5F5F5F" w:themeColor="accent3"/>
          <w:right w:val="single" w:sz="8" w:space="0" w:color="5F5F5F" w:themeColor="accent3"/>
          <w:insideV w:val="single" w:sz="8" w:space="0" w:color="5F5F5F" w:themeColor="accent3"/>
        </w:tcBorders>
      </w:tcPr>
    </w:tblStylePr>
  </w:style>
  <w:style w:type="table" w:styleId="LightGrid-Accent4">
    <w:name w:val="Light Grid Accent 4"/>
    <w:basedOn w:val="TableNormal"/>
    <w:uiPriority w:val="99"/>
    <w:semiHidden/>
    <w:rsid w:val="0098410D"/>
    <w:tblPr>
      <w:tblStyleRowBandSize w:val="1"/>
      <w:tblStyleColBandSize w:val="1"/>
      <w:tblBorders>
        <w:top w:val="single" w:sz="8" w:space="0" w:color="969696" w:themeColor="accent4"/>
        <w:left w:val="single" w:sz="8" w:space="0" w:color="969696" w:themeColor="accent4"/>
        <w:bottom w:val="single" w:sz="8" w:space="0" w:color="969696" w:themeColor="accent4"/>
        <w:right w:val="single" w:sz="8" w:space="0" w:color="969696" w:themeColor="accent4"/>
        <w:insideH w:val="single" w:sz="8" w:space="0" w:color="969696" w:themeColor="accent4"/>
        <w:insideV w:val="single" w:sz="8" w:space="0" w:color="969696"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69696" w:themeColor="accent4"/>
          <w:left w:val="single" w:sz="8" w:space="0" w:color="969696" w:themeColor="accent4"/>
          <w:bottom w:val="single" w:sz="18" w:space="0" w:color="969696" w:themeColor="accent4"/>
          <w:right w:val="single" w:sz="8" w:space="0" w:color="969696" w:themeColor="accent4"/>
          <w:insideH w:val="nil"/>
          <w:insideV w:val="single" w:sz="8" w:space="0" w:color="969696"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69696" w:themeColor="accent4"/>
          <w:left w:val="single" w:sz="8" w:space="0" w:color="969696" w:themeColor="accent4"/>
          <w:bottom w:val="single" w:sz="8" w:space="0" w:color="969696" w:themeColor="accent4"/>
          <w:right w:val="single" w:sz="8" w:space="0" w:color="969696" w:themeColor="accent4"/>
          <w:insideH w:val="nil"/>
          <w:insideV w:val="single" w:sz="8" w:space="0" w:color="969696"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69696" w:themeColor="accent4"/>
          <w:left w:val="single" w:sz="8" w:space="0" w:color="969696" w:themeColor="accent4"/>
          <w:bottom w:val="single" w:sz="8" w:space="0" w:color="969696" w:themeColor="accent4"/>
          <w:right w:val="single" w:sz="8" w:space="0" w:color="969696" w:themeColor="accent4"/>
        </w:tcBorders>
      </w:tcPr>
    </w:tblStylePr>
    <w:tblStylePr w:type="band1Vert">
      <w:tblPr/>
      <w:tcPr>
        <w:tcBorders>
          <w:top w:val="single" w:sz="8" w:space="0" w:color="969696" w:themeColor="accent4"/>
          <w:left w:val="single" w:sz="8" w:space="0" w:color="969696" w:themeColor="accent4"/>
          <w:bottom w:val="single" w:sz="8" w:space="0" w:color="969696" w:themeColor="accent4"/>
          <w:right w:val="single" w:sz="8" w:space="0" w:color="969696" w:themeColor="accent4"/>
        </w:tcBorders>
        <w:shd w:val="clear" w:color="auto" w:fill="E5E5E5" w:themeFill="accent4" w:themeFillTint="3F"/>
      </w:tcPr>
    </w:tblStylePr>
    <w:tblStylePr w:type="band1Horz">
      <w:tblPr/>
      <w:tcPr>
        <w:tcBorders>
          <w:top w:val="single" w:sz="8" w:space="0" w:color="969696" w:themeColor="accent4"/>
          <w:left w:val="single" w:sz="8" w:space="0" w:color="969696" w:themeColor="accent4"/>
          <w:bottom w:val="single" w:sz="8" w:space="0" w:color="969696" w:themeColor="accent4"/>
          <w:right w:val="single" w:sz="8" w:space="0" w:color="969696" w:themeColor="accent4"/>
          <w:insideV w:val="single" w:sz="8" w:space="0" w:color="969696" w:themeColor="accent4"/>
        </w:tcBorders>
        <w:shd w:val="clear" w:color="auto" w:fill="E5E5E5" w:themeFill="accent4" w:themeFillTint="3F"/>
      </w:tcPr>
    </w:tblStylePr>
    <w:tblStylePr w:type="band2Horz">
      <w:tblPr/>
      <w:tcPr>
        <w:tcBorders>
          <w:top w:val="single" w:sz="8" w:space="0" w:color="969696" w:themeColor="accent4"/>
          <w:left w:val="single" w:sz="8" w:space="0" w:color="969696" w:themeColor="accent4"/>
          <w:bottom w:val="single" w:sz="8" w:space="0" w:color="969696" w:themeColor="accent4"/>
          <w:right w:val="single" w:sz="8" w:space="0" w:color="969696" w:themeColor="accent4"/>
          <w:insideV w:val="single" w:sz="8" w:space="0" w:color="969696" w:themeColor="accent4"/>
        </w:tcBorders>
      </w:tcPr>
    </w:tblStylePr>
  </w:style>
  <w:style w:type="table" w:styleId="LightGrid-Accent5">
    <w:name w:val="Light Grid Accent 5"/>
    <w:basedOn w:val="TableNormal"/>
    <w:uiPriority w:val="99"/>
    <w:semiHidden/>
    <w:rsid w:val="0098410D"/>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18" w:space="0" w:color="5F5F5F" w:themeColor="accent5"/>
          <w:right w:val="single" w:sz="8" w:space="0" w:color="5F5F5F" w:themeColor="accent5"/>
          <w:insideH w:val="nil"/>
          <w:insideV w:val="single" w:sz="8" w:space="0" w:color="5F5F5F"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insideH w:val="nil"/>
          <w:insideV w:val="single" w:sz="8" w:space="0" w:color="5F5F5F"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shd w:val="clear" w:color="auto" w:fill="D7D7D7" w:themeFill="accent5" w:themeFillTint="3F"/>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shd w:val="clear" w:color="auto" w:fill="D7D7D7" w:themeFill="accent5" w:themeFillTint="3F"/>
      </w:tcPr>
    </w:tblStylePr>
    <w:tblStylePr w:type="band2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tcPr>
    </w:tblStylePr>
  </w:style>
  <w:style w:type="table" w:styleId="LightGrid-Accent6">
    <w:name w:val="Light Grid Accent 6"/>
    <w:basedOn w:val="TableNormal"/>
    <w:uiPriority w:val="99"/>
    <w:semiHidden/>
    <w:rsid w:val="0098410D"/>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18" w:space="0" w:color="4D4D4D" w:themeColor="accent6"/>
          <w:right w:val="single" w:sz="8" w:space="0" w:color="4D4D4D" w:themeColor="accent6"/>
          <w:insideH w:val="nil"/>
          <w:insideV w:val="single" w:sz="8" w:space="0" w:color="4D4D4D"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insideH w:val="nil"/>
          <w:insideV w:val="single" w:sz="8" w:space="0" w:color="4D4D4D"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shd w:val="clear" w:color="auto" w:fill="D3D3D3" w:themeFill="accent6" w:themeFillTint="3F"/>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shd w:val="clear" w:color="auto" w:fill="D3D3D3" w:themeFill="accent6" w:themeFillTint="3F"/>
      </w:tcPr>
    </w:tblStylePr>
    <w:tblStylePr w:type="band2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tcPr>
    </w:tblStylePr>
  </w:style>
  <w:style w:type="table" w:styleId="LightList">
    <w:name w:val="Light List"/>
    <w:basedOn w:val="TableNormal"/>
    <w:uiPriority w:val="99"/>
    <w:semiHidden/>
    <w:rsid w:val="0098410D"/>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0072BC"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99"/>
    <w:semiHidden/>
    <w:rsid w:val="0098410D"/>
    <w:tblPr>
      <w:tblStyleRowBandSize w:val="1"/>
      <w:tblStyleColBandSize w:val="1"/>
      <w:tblBorders>
        <w:top w:val="single" w:sz="8" w:space="0" w:color="0072BC" w:themeColor="accent1"/>
        <w:left w:val="single" w:sz="8" w:space="0" w:color="0072BC" w:themeColor="accent1"/>
        <w:bottom w:val="single" w:sz="8" w:space="0" w:color="0072BC" w:themeColor="accent1"/>
        <w:right w:val="single" w:sz="8" w:space="0" w:color="0072BC" w:themeColor="accent1"/>
      </w:tblBorders>
    </w:tblPr>
    <w:tblStylePr w:type="firstRow">
      <w:pPr>
        <w:spacing w:before="0" w:after="0" w:line="240" w:lineRule="auto"/>
      </w:pPr>
      <w:rPr>
        <w:b/>
        <w:bCs/>
        <w:color w:val="0072BC" w:themeColor="background1"/>
      </w:rPr>
      <w:tblPr/>
      <w:tcPr>
        <w:shd w:val="clear" w:color="auto" w:fill="0072BC" w:themeFill="accent1"/>
      </w:tcPr>
    </w:tblStylePr>
    <w:tblStylePr w:type="lastRow">
      <w:pPr>
        <w:spacing w:before="0" w:after="0" w:line="240" w:lineRule="auto"/>
      </w:pPr>
      <w:rPr>
        <w:b/>
        <w:bCs/>
      </w:rPr>
      <w:tblPr/>
      <w:tcPr>
        <w:tcBorders>
          <w:top w:val="double" w:sz="6" w:space="0" w:color="0072BC" w:themeColor="accent1"/>
          <w:left w:val="single" w:sz="8" w:space="0" w:color="0072BC" w:themeColor="accent1"/>
          <w:bottom w:val="single" w:sz="8" w:space="0" w:color="0072BC" w:themeColor="accent1"/>
          <w:right w:val="single" w:sz="8" w:space="0" w:color="0072BC" w:themeColor="accent1"/>
        </w:tcBorders>
      </w:tcPr>
    </w:tblStylePr>
    <w:tblStylePr w:type="firstCol">
      <w:rPr>
        <w:b/>
        <w:bCs/>
      </w:rPr>
    </w:tblStylePr>
    <w:tblStylePr w:type="lastCol">
      <w:rPr>
        <w:b/>
        <w:bCs/>
      </w:rPr>
    </w:tblStylePr>
    <w:tblStylePr w:type="band1Vert">
      <w:tblPr/>
      <w:tcPr>
        <w:tcBorders>
          <w:top w:val="single" w:sz="8" w:space="0" w:color="0072BC" w:themeColor="accent1"/>
          <w:left w:val="single" w:sz="8" w:space="0" w:color="0072BC" w:themeColor="accent1"/>
          <w:bottom w:val="single" w:sz="8" w:space="0" w:color="0072BC" w:themeColor="accent1"/>
          <w:right w:val="single" w:sz="8" w:space="0" w:color="0072BC" w:themeColor="accent1"/>
        </w:tcBorders>
      </w:tcPr>
    </w:tblStylePr>
    <w:tblStylePr w:type="band1Horz">
      <w:tblPr/>
      <w:tcPr>
        <w:tcBorders>
          <w:top w:val="single" w:sz="8" w:space="0" w:color="0072BC" w:themeColor="accent1"/>
          <w:left w:val="single" w:sz="8" w:space="0" w:color="0072BC" w:themeColor="accent1"/>
          <w:bottom w:val="single" w:sz="8" w:space="0" w:color="0072BC" w:themeColor="accent1"/>
          <w:right w:val="single" w:sz="8" w:space="0" w:color="0072BC" w:themeColor="accent1"/>
        </w:tcBorders>
      </w:tcPr>
    </w:tblStylePr>
  </w:style>
  <w:style w:type="table" w:styleId="LightList-Accent2">
    <w:name w:val="Light List Accent 2"/>
    <w:basedOn w:val="TableNormal"/>
    <w:uiPriority w:val="99"/>
    <w:semiHidden/>
    <w:rsid w:val="0098410D"/>
    <w:tblPr>
      <w:tblStyleRowBandSize w:val="1"/>
      <w:tblStyleColBandSize w:val="1"/>
      <w:tblBorders>
        <w:top w:val="single" w:sz="8" w:space="0" w:color="C00000" w:themeColor="accent2"/>
        <w:left w:val="single" w:sz="8" w:space="0" w:color="C00000" w:themeColor="accent2"/>
        <w:bottom w:val="single" w:sz="8" w:space="0" w:color="C00000" w:themeColor="accent2"/>
        <w:right w:val="single" w:sz="8" w:space="0" w:color="C00000" w:themeColor="accent2"/>
      </w:tblBorders>
    </w:tblPr>
    <w:tblStylePr w:type="firstRow">
      <w:pPr>
        <w:spacing w:before="0" w:after="0" w:line="240" w:lineRule="auto"/>
      </w:pPr>
      <w:rPr>
        <w:b/>
        <w:bCs/>
        <w:color w:val="0072BC" w:themeColor="background1"/>
      </w:rPr>
      <w:tblPr/>
      <w:tcPr>
        <w:shd w:val="clear" w:color="auto" w:fill="C00000" w:themeFill="accent2"/>
      </w:tcPr>
    </w:tblStylePr>
    <w:tblStylePr w:type="lastRow">
      <w:pPr>
        <w:spacing w:before="0" w:after="0" w:line="240" w:lineRule="auto"/>
      </w:pPr>
      <w:rPr>
        <w:b/>
        <w:bCs/>
      </w:rPr>
      <w:tblPr/>
      <w:tcPr>
        <w:tcBorders>
          <w:top w:val="double" w:sz="6" w:space="0" w:color="C00000" w:themeColor="accent2"/>
          <w:left w:val="single" w:sz="8" w:space="0" w:color="C00000" w:themeColor="accent2"/>
          <w:bottom w:val="single" w:sz="8" w:space="0" w:color="C00000" w:themeColor="accent2"/>
          <w:right w:val="single" w:sz="8" w:space="0" w:color="C00000" w:themeColor="accent2"/>
        </w:tcBorders>
      </w:tcPr>
    </w:tblStylePr>
    <w:tblStylePr w:type="firstCol">
      <w:rPr>
        <w:b/>
        <w:bCs/>
      </w:rPr>
    </w:tblStylePr>
    <w:tblStylePr w:type="lastCol">
      <w:rPr>
        <w:b/>
        <w:bCs/>
      </w:rPr>
    </w:tblStylePr>
    <w:tblStylePr w:type="band1Vert">
      <w:tblPr/>
      <w:tcPr>
        <w:tcBorders>
          <w:top w:val="single" w:sz="8" w:space="0" w:color="C00000" w:themeColor="accent2"/>
          <w:left w:val="single" w:sz="8" w:space="0" w:color="C00000" w:themeColor="accent2"/>
          <w:bottom w:val="single" w:sz="8" w:space="0" w:color="C00000" w:themeColor="accent2"/>
          <w:right w:val="single" w:sz="8" w:space="0" w:color="C00000" w:themeColor="accent2"/>
        </w:tcBorders>
      </w:tcPr>
    </w:tblStylePr>
    <w:tblStylePr w:type="band1Horz">
      <w:tblPr/>
      <w:tcPr>
        <w:tcBorders>
          <w:top w:val="single" w:sz="8" w:space="0" w:color="C00000" w:themeColor="accent2"/>
          <w:left w:val="single" w:sz="8" w:space="0" w:color="C00000" w:themeColor="accent2"/>
          <w:bottom w:val="single" w:sz="8" w:space="0" w:color="C00000" w:themeColor="accent2"/>
          <w:right w:val="single" w:sz="8" w:space="0" w:color="C00000" w:themeColor="accent2"/>
        </w:tcBorders>
      </w:tcPr>
    </w:tblStylePr>
  </w:style>
  <w:style w:type="table" w:styleId="LightList-Accent3">
    <w:name w:val="Light List Accent 3"/>
    <w:basedOn w:val="TableNormal"/>
    <w:uiPriority w:val="99"/>
    <w:semiHidden/>
    <w:rsid w:val="0098410D"/>
    <w:tblPr>
      <w:tblStyleRowBandSize w:val="1"/>
      <w:tblStyleColBandSize w:val="1"/>
      <w:tblBorders>
        <w:top w:val="single" w:sz="8" w:space="0" w:color="5F5F5F" w:themeColor="accent3"/>
        <w:left w:val="single" w:sz="8" w:space="0" w:color="5F5F5F" w:themeColor="accent3"/>
        <w:bottom w:val="single" w:sz="8" w:space="0" w:color="5F5F5F" w:themeColor="accent3"/>
        <w:right w:val="single" w:sz="8" w:space="0" w:color="5F5F5F" w:themeColor="accent3"/>
      </w:tblBorders>
    </w:tblPr>
    <w:tblStylePr w:type="firstRow">
      <w:pPr>
        <w:spacing w:before="0" w:after="0" w:line="240" w:lineRule="auto"/>
      </w:pPr>
      <w:rPr>
        <w:b/>
        <w:bCs/>
        <w:color w:val="0072BC" w:themeColor="background1"/>
      </w:rPr>
      <w:tblPr/>
      <w:tcPr>
        <w:shd w:val="clear" w:color="auto" w:fill="5F5F5F" w:themeFill="accent3"/>
      </w:tcPr>
    </w:tblStylePr>
    <w:tblStylePr w:type="lastRow">
      <w:pPr>
        <w:spacing w:before="0" w:after="0" w:line="240" w:lineRule="auto"/>
      </w:pPr>
      <w:rPr>
        <w:b/>
        <w:bCs/>
      </w:rPr>
      <w:tblPr/>
      <w:tcPr>
        <w:tcBorders>
          <w:top w:val="double" w:sz="6" w:space="0" w:color="5F5F5F" w:themeColor="accent3"/>
          <w:left w:val="single" w:sz="8" w:space="0" w:color="5F5F5F" w:themeColor="accent3"/>
          <w:bottom w:val="single" w:sz="8" w:space="0" w:color="5F5F5F" w:themeColor="accent3"/>
          <w:right w:val="single" w:sz="8" w:space="0" w:color="5F5F5F" w:themeColor="accent3"/>
        </w:tcBorders>
      </w:tcPr>
    </w:tblStylePr>
    <w:tblStylePr w:type="firstCol">
      <w:rPr>
        <w:b/>
        <w:bCs/>
      </w:rPr>
    </w:tblStylePr>
    <w:tblStylePr w:type="lastCol">
      <w:rPr>
        <w:b/>
        <w:bCs/>
      </w:rPr>
    </w:tblStylePr>
    <w:tblStylePr w:type="band1Vert">
      <w:tblPr/>
      <w:tcPr>
        <w:tcBorders>
          <w:top w:val="single" w:sz="8" w:space="0" w:color="5F5F5F" w:themeColor="accent3"/>
          <w:left w:val="single" w:sz="8" w:space="0" w:color="5F5F5F" w:themeColor="accent3"/>
          <w:bottom w:val="single" w:sz="8" w:space="0" w:color="5F5F5F" w:themeColor="accent3"/>
          <w:right w:val="single" w:sz="8" w:space="0" w:color="5F5F5F" w:themeColor="accent3"/>
        </w:tcBorders>
      </w:tcPr>
    </w:tblStylePr>
    <w:tblStylePr w:type="band1Horz">
      <w:tblPr/>
      <w:tcPr>
        <w:tcBorders>
          <w:top w:val="single" w:sz="8" w:space="0" w:color="5F5F5F" w:themeColor="accent3"/>
          <w:left w:val="single" w:sz="8" w:space="0" w:color="5F5F5F" w:themeColor="accent3"/>
          <w:bottom w:val="single" w:sz="8" w:space="0" w:color="5F5F5F" w:themeColor="accent3"/>
          <w:right w:val="single" w:sz="8" w:space="0" w:color="5F5F5F" w:themeColor="accent3"/>
        </w:tcBorders>
      </w:tcPr>
    </w:tblStylePr>
  </w:style>
  <w:style w:type="table" w:styleId="LightList-Accent4">
    <w:name w:val="Light List Accent 4"/>
    <w:basedOn w:val="TableNormal"/>
    <w:uiPriority w:val="99"/>
    <w:semiHidden/>
    <w:rsid w:val="0098410D"/>
    <w:tblPr>
      <w:tblStyleRowBandSize w:val="1"/>
      <w:tblStyleColBandSize w:val="1"/>
      <w:tblBorders>
        <w:top w:val="single" w:sz="8" w:space="0" w:color="969696" w:themeColor="accent4"/>
        <w:left w:val="single" w:sz="8" w:space="0" w:color="969696" w:themeColor="accent4"/>
        <w:bottom w:val="single" w:sz="8" w:space="0" w:color="969696" w:themeColor="accent4"/>
        <w:right w:val="single" w:sz="8" w:space="0" w:color="969696" w:themeColor="accent4"/>
      </w:tblBorders>
    </w:tblPr>
    <w:tblStylePr w:type="firstRow">
      <w:pPr>
        <w:spacing w:before="0" w:after="0" w:line="240" w:lineRule="auto"/>
      </w:pPr>
      <w:rPr>
        <w:b/>
        <w:bCs/>
        <w:color w:val="0072BC" w:themeColor="background1"/>
      </w:rPr>
      <w:tblPr/>
      <w:tcPr>
        <w:shd w:val="clear" w:color="auto" w:fill="969696" w:themeFill="accent4"/>
      </w:tcPr>
    </w:tblStylePr>
    <w:tblStylePr w:type="lastRow">
      <w:pPr>
        <w:spacing w:before="0" w:after="0" w:line="240" w:lineRule="auto"/>
      </w:pPr>
      <w:rPr>
        <w:b/>
        <w:bCs/>
      </w:rPr>
      <w:tblPr/>
      <w:tcPr>
        <w:tcBorders>
          <w:top w:val="double" w:sz="6" w:space="0" w:color="969696" w:themeColor="accent4"/>
          <w:left w:val="single" w:sz="8" w:space="0" w:color="969696" w:themeColor="accent4"/>
          <w:bottom w:val="single" w:sz="8" w:space="0" w:color="969696" w:themeColor="accent4"/>
          <w:right w:val="single" w:sz="8" w:space="0" w:color="969696" w:themeColor="accent4"/>
        </w:tcBorders>
      </w:tcPr>
    </w:tblStylePr>
    <w:tblStylePr w:type="firstCol">
      <w:rPr>
        <w:b/>
        <w:bCs/>
      </w:rPr>
    </w:tblStylePr>
    <w:tblStylePr w:type="lastCol">
      <w:rPr>
        <w:b/>
        <w:bCs/>
      </w:rPr>
    </w:tblStylePr>
    <w:tblStylePr w:type="band1Vert">
      <w:tblPr/>
      <w:tcPr>
        <w:tcBorders>
          <w:top w:val="single" w:sz="8" w:space="0" w:color="969696" w:themeColor="accent4"/>
          <w:left w:val="single" w:sz="8" w:space="0" w:color="969696" w:themeColor="accent4"/>
          <w:bottom w:val="single" w:sz="8" w:space="0" w:color="969696" w:themeColor="accent4"/>
          <w:right w:val="single" w:sz="8" w:space="0" w:color="969696" w:themeColor="accent4"/>
        </w:tcBorders>
      </w:tcPr>
    </w:tblStylePr>
    <w:tblStylePr w:type="band1Horz">
      <w:tblPr/>
      <w:tcPr>
        <w:tcBorders>
          <w:top w:val="single" w:sz="8" w:space="0" w:color="969696" w:themeColor="accent4"/>
          <w:left w:val="single" w:sz="8" w:space="0" w:color="969696" w:themeColor="accent4"/>
          <w:bottom w:val="single" w:sz="8" w:space="0" w:color="969696" w:themeColor="accent4"/>
          <w:right w:val="single" w:sz="8" w:space="0" w:color="969696" w:themeColor="accent4"/>
        </w:tcBorders>
      </w:tcPr>
    </w:tblStylePr>
  </w:style>
  <w:style w:type="table" w:styleId="LightList-Accent5">
    <w:name w:val="Light List Accent 5"/>
    <w:basedOn w:val="TableNormal"/>
    <w:uiPriority w:val="99"/>
    <w:semiHidden/>
    <w:rsid w:val="0098410D"/>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pPr>
        <w:spacing w:before="0" w:after="0" w:line="240" w:lineRule="auto"/>
      </w:pPr>
      <w:rPr>
        <w:b/>
        <w:bCs/>
        <w:color w:val="0072BC" w:themeColor="background1"/>
      </w:rPr>
      <w:tblPr/>
      <w:tcPr>
        <w:shd w:val="clear" w:color="auto" w:fill="5F5F5F" w:themeFill="accent5"/>
      </w:tcPr>
    </w:tblStylePr>
    <w:tblStylePr w:type="lastRow">
      <w:pPr>
        <w:spacing w:before="0" w:after="0" w:line="240" w:lineRule="auto"/>
      </w:pPr>
      <w:rPr>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tcBorders>
      </w:tcPr>
    </w:tblStylePr>
    <w:tblStylePr w:type="firstCol">
      <w:rPr>
        <w:b/>
        <w:bCs/>
      </w:rPr>
    </w:tblStylePr>
    <w:tblStylePr w:type="lastCol">
      <w:rPr>
        <w:b/>
        <w:bCs/>
      </w:r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style>
  <w:style w:type="table" w:styleId="LightList-Accent6">
    <w:name w:val="Light List Accent 6"/>
    <w:basedOn w:val="TableNormal"/>
    <w:uiPriority w:val="99"/>
    <w:semiHidden/>
    <w:rsid w:val="0098410D"/>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pPr>
        <w:spacing w:before="0" w:after="0" w:line="240" w:lineRule="auto"/>
      </w:pPr>
      <w:rPr>
        <w:b/>
        <w:bCs/>
        <w:color w:val="0072BC" w:themeColor="background1"/>
      </w:rPr>
      <w:tblPr/>
      <w:tcPr>
        <w:shd w:val="clear" w:color="auto" w:fill="4D4D4D" w:themeFill="accent6"/>
      </w:tcPr>
    </w:tblStylePr>
    <w:tblStylePr w:type="lastRow">
      <w:pPr>
        <w:spacing w:before="0" w:after="0" w:line="240" w:lineRule="auto"/>
      </w:pPr>
      <w:rPr>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tcBorders>
      </w:tcPr>
    </w:tblStylePr>
    <w:tblStylePr w:type="firstCol">
      <w:rPr>
        <w:b/>
        <w:bCs/>
      </w:rPr>
    </w:tblStylePr>
    <w:tblStylePr w:type="lastCol">
      <w:rPr>
        <w:b/>
        <w:bCs/>
      </w:r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style>
  <w:style w:type="table" w:styleId="LightShading">
    <w:name w:val="Light Shading"/>
    <w:basedOn w:val="TableNormal"/>
    <w:uiPriority w:val="99"/>
    <w:semiHidden/>
    <w:rsid w:val="0098410D"/>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99"/>
    <w:semiHidden/>
    <w:rsid w:val="0098410D"/>
    <w:rPr>
      <w:color w:val="00548C" w:themeColor="accent1" w:themeShade="BF"/>
    </w:rPr>
    <w:tblPr>
      <w:tblStyleRowBandSize w:val="1"/>
      <w:tblStyleColBandSize w:val="1"/>
      <w:tblBorders>
        <w:top w:val="single" w:sz="8" w:space="0" w:color="0072BC" w:themeColor="accent1"/>
        <w:bottom w:val="single" w:sz="8" w:space="0" w:color="0072BC" w:themeColor="accent1"/>
      </w:tblBorders>
    </w:tblPr>
    <w:tblStylePr w:type="firstRow">
      <w:pPr>
        <w:spacing w:before="0" w:after="0" w:line="240" w:lineRule="auto"/>
      </w:pPr>
      <w:rPr>
        <w:b/>
        <w:bCs/>
      </w:rPr>
      <w:tblPr/>
      <w:tcPr>
        <w:tcBorders>
          <w:top w:val="single" w:sz="8" w:space="0" w:color="0072BC" w:themeColor="accent1"/>
          <w:left w:val="nil"/>
          <w:bottom w:val="single" w:sz="8" w:space="0" w:color="0072BC" w:themeColor="accent1"/>
          <w:right w:val="nil"/>
          <w:insideH w:val="nil"/>
          <w:insideV w:val="nil"/>
        </w:tcBorders>
      </w:tcPr>
    </w:tblStylePr>
    <w:tblStylePr w:type="lastRow">
      <w:pPr>
        <w:spacing w:before="0" w:after="0" w:line="240" w:lineRule="auto"/>
      </w:pPr>
      <w:rPr>
        <w:b/>
        <w:bCs/>
      </w:rPr>
      <w:tblPr/>
      <w:tcPr>
        <w:tcBorders>
          <w:top w:val="single" w:sz="8" w:space="0" w:color="0072BC" w:themeColor="accent1"/>
          <w:left w:val="nil"/>
          <w:bottom w:val="single" w:sz="8" w:space="0" w:color="0072B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FDFFF" w:themeFill="accent1" w:themeFillTint="3F"/>
      </w:tcPr>
    </w:tblStylePr>
    <w:tblStylePr w:type="band1Horz">
      <w:tblPr/>
      <w:tcPr>
        <w:tcBorders>
          <w:left w:val="nil"/>
          <w:right w:val="nil"/>
          <w:insideH w:val="nil"/>
          <w:insideV w:val="nil"/>
        </w:tcBorders>
        <w:shd w:val="clear" w:color="auto" w:fill="AFDFFF" w:themeFill="accent1" w:themeFillTint="3F"/>
      </w:tcPr>
    </w:tblStylePr>
  </w:style>
  <w:style w:type="table" w:styleId="LightShading-Accent2">
    <w:name w:val="Light Shading Accent 2"/>
    <w:basedOn w:val="TableNormal"/>
    <w:uiPriority w:val="99"/>
    <w:semiHidden/>
    <w:rsid w:val="0098410D"/>
    <w:rPr>
      <w:color w:val="8F0000" w:themeColor="accent2" w:themeShade="BF"/>
    </w:rPr>
    <w:tblPr>
      <w:tblStyleRowBandSize w:val="1"/>
      <w:tblStyleColBandSize w:val="1"/>
      <w:tblBorders>
        <w:top w:val="single" w:sz="8" w:space="0" w:color="C00000" w:themeColor="accent2"/>
        <w:bottom w:val="single" w:sz="8" w:space="0" w:color="C00000" w:themeColor="accent2"/>
      </w:tblBorders>
    </w:tblPr>
    <w:tblStylePr w:type="firstRow">
      <w:pPr>
        <w:spacing w:before="0" w:after="0" w:line="240" w:lineRule="auto"/>
      </w:pPr>
      <w:rPr>
        <w:b/>
        <w:bCs/>
      </w:rPr>
      <w:tblPr/>
      <w:tcPr>
        <w:tcBorders>
          <w:top w:val="single" w:sz="8" w:space="0" w:color="C00000" w:themeColor="accent2"/>
          <w:left w:val="nil"/>
          <w:bottom w:val="single" w:sz="8" w:space="0" w:color="C00000" w:themeColor="accent2"/>
          <w:right w:val="nil"/>
          <w:insideH w:val="nil"/>
          <w:insideV w:val="nil"/>
        </w:tcBorders>
      </w:tcPr>
    </w:tblStylePr>
    <w:tblStylePr w:type="lastRow">
      <w:pPr>
        <w:spacing w:before="0" w:after="0" w:line="240" w:lineRule="auto"/>
      </w:pPr>
      <w:rPr>
        <w:b/>
        <w:bCs/>
      </w:rPr>
      <w:tblPr/>
      <w:tcPr>
        <w:tcBorders>
          <w:top w:val="single" w:sz="8" w:space="0" w:color="C00000" w:themeColor="accent2"/>
          <w:left w:val="nil"/>
          <w:bottom w:val="single" w:sz="8" w:space="0" w:color="C0000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B0B0" w:themeFill="accent2" w:themeFillTint="3F"/>
      </w:tcPr>
    </w:tblStylePr>
    <w:tblStylePr w:type="band1Horz">
      <w:tblPr/>
      <w:tcPr>
        <w:tcBorders>
          <w:left w:val="nil"/>
          <w:right w:val="nil"/>
          <w:insideH w:val="nil"/>
          <w:insideV w:val="nil"/>
        </w:tcBorders>
        <w:shd w:val="clear" w:color="auto" w:fill="FFB0B0" w:themeFill="accent2" w:themeFillTint="3F"/>
      </w:tcPr>
    </w:tblStylePr>
  </w:style>
  <w:style w:type="table" w:styleId="LightShading-Accent3">
    <w:name w:val="Light Shading Accent 3"/>
    <w:basedOn w:val="TableNormal"/>
    <w:uiPriority w:val="99"/>
    <w:semiHidden/>
    <w:rsid w:val="0098410D"/>
    <w:rPr>
      <w:color w:val="474747" w:themeColor="accent3" w:themeShade="BF"/>
    </w:rPr>
    <w:tblPr>
      <w:tblStyleRowBandSize w:val="1"/>
      <w:tblStyleColBandSize w:val="1"/>
      <w:tblBorders>
        <w:top w:val="single" w:sz="8" w:space="0" w:color="5F5F5F" w:themeColor="accent3"/>
        <w:bottom w:val="single" w:sz="8" w:space="0" w:color="5F5F5F" w:themeColor="accent3"/>
      </w:tblBorders>
    </w:tblPr>
    <w:tblStylePr w:type="firstRow">
      <w:pPr>
        <w:spacing w:before="0" w:after="0" w:line="240" w:lineRule="auto"/>
      </w:pPr>
      <w:rPr>
        <w:b/>
        <w:bCs/>
      </w:rPr>
      <w:tblPr/>
      <w:tcPr>
        <w:tcBorders>
          <w:top w:val="single" w:sz="8" w:space="0" w:color="5F5F5F" w:themeColor="accent3"/>
          <w:left w:val="nil"/>
          <w:bottom w:val="single" w:sz="8" w:space="0" w:color="5F5F5F" w:themeColor="accent3"/>
          <w:right w:val="nil"/>
          <w:insideH w:val="nil"/>
          <w:insideV w:val="nil"/>
        </w:tcBorders>
      </w:tcPr>
    </w:tblStylePr>
    <w:tblStylePr w:type="lastRow">
      <w:pPr>
        <w:spacing w:before="0" w:after="0" w:line="240" w:lineRule="auto"/>
      </w:pPr>
      <w:rPr>
        <w:b/>
        <w:bCs/>
      </w:rPr>
      <w:tblPr/>
      <w:tcPr>
        <w:tcBorders>
          <w:top w:val="single" w:sz="8" w:space="0" w:color="5F5F5F" w:themeColor="accent3"/>
          <w:left w:val="nil"/>
          <w:bottom w:val="single" w:sz="8" w:space="0" w:color="5F5F5F"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7D7" w:themeFill="accent3" w:themeFillTint="3F"/>
      </w:tcPr>
    </w:tblStylePr>
    <w:tblStylePr w:type="band1Horz">
      <w:tblPr/>
      <w:tcPr>
        <w:tcBorders>
          <w:left w:val="nil"/>
          <w:right w:val="nil"/>
          <w:insideH w:val="nil"/>
          <w:insideV w:val="nil"/>
        </w:tcBorders>
        <w:shd w:val="clear" w:color="auto" w:fill="D7D7D7" w:themeFill="accent3" w:themeFillTint="3F"/>
      </w:tcPr>
    </w:tblStylePr>
  </w:style>
  <w:style w:type="table" w:styleId="LightShading-Accent4">
    <w:name w:val="Light Shading Accent 4"/>
    <w:basedOn w:val="TableNormal"/>
    <w:uiPriority w:val="99"/>
    <w:semiHidden/>
    <w:rsid w:val="0098410D"/>
    <w:rPr>
      <w:color w:val="707070" w:themeColor="accent4" w:themeShade="BF"/>
    </w:rPr>
    <w:tblPr>
      <w:tblStyleRowBandSize w:val="1"/>
      <w:tblStyleColBandSize w:val="1"/>
      <w:tblBorders>
        <w:top w:val="single" w:sz="8" w:space="0" w:color="969696" w:themeColor="accent4"/>
        <w:bottom w:val="single" w:sz="8" w:space="0" w:color="969696" w:themeColor="accent4"/>
      </w:tblBorders>
    </w:tblPr>
    <w:tblStylePr w:type="firstRow">
      <w:pPr>
        <w:spacing w:before="0" w:after="0" w:line="240" w:lineRule="auto"/>
      </w:pPr>
      <w:rPr>
        <w:b/>
        <w:bCs/>
      </w:rPr>
      <w:tblPr/>
      <w:tcPr>
        <w:tcBorders>
          <w:top w:val="single" w:sz="8" w:space="0" w:color="969696" w:themeColor="accent4"/>
          <w:left w:val="nil"/>
          <w:bottom w:val="single" w:sz="8" w:space="0" w:color="969696" w:themeColor="accent4"/>
          <w:right w:val="nil"/>
          <w:insideH w:val="nil"/>
          <w:insideV w:val="nil"/>
        </w:tcBorders>
      </w:tcPr>
    </w:tblStylePr>
    <w:tblStylePr w:type="lastRow">
      <w:pPr>
        <w:spacing w:before="0" w:after="0" w:line="240" w:lineRule="auto"/>
      </w:pPr>
      <w:rPr>
        <w:b/>
        <w:bCs/>
      </w:rPr>
      <w:tblPr/>
      <w:tcPr>
        <w:tcBorders>
          <w:top w:val="single" w:sz="8" w:space="0" w:color="969696" w:themeColor="accent4"/>
          <w:left w:val="nil"/>
          <w:bottom w:val="single" w:sz="8" w:space="0" w:color="969696"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5" w:themeFill="accent4" w:themeFillTint="3F"/>
      </w:tcPr>
    </w:tblStylePr>
    <w:tblStylePr w:type="band1Horz">
      <w:tblPr/>
      <w:tcPr>
        <w:tcBorders>
          <w:left w:val="nil"/>
          <w:right w:val="nil"/>
          <w:insideH w:val="nil"/>
          <w:insideV w:val="nil"/>
        </w:tcBorders>
        <w:shd w:val="clear" w:color="auto" w:fill="E5E5E5" w:themeFill="accent4" w:themeFillTint="3F"/>
      </w:tcPr>
    </w:tblStylePr>
  </w:style>
  <w:style w:type="table" w:styleId="LightShading-Accent5">
    <w:name w:val="Light Shading Accent 5"/>
    <w:basedOn w:val="TableNormal"/>
    <w:uiPriority w:val="99"/>
    <w:semiHidden/>
    <w:rsid w:val="0098410D"/>
    <w:rPr>
      <w:color w:val="474747" w:themeColor="accent5" w:themeShade="BF"/>
    </w:rPr>
    <w:tblPr>
      <w:tblStyleRowBandSize w:val="1"/>
      <w:tblStyleColBandSize w:val="1"/>
      <w:tblBorders>
        <w:top w:val="single" w:sz="8" w:space="0" w:color="5F5F5F" w:themeColor="accent5"/>
        <w:bottom w:val="single" w:sz="8" w:space="0" w:color="5F5F5F" w:themeColor="accent5"/>
      </w:tblBorders>
    </w:tblPr>
    <w:tblStylePr w:type="fir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la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left w:val="nil"/>
          <w:right w:val="nil"/>
          <w:insideH w:val="nil"/>
          <w:insideV w:val="nil"/>
        </w:tcBorders>
        <w:shd w:val="clear" w:color="auto" w:fill="D7D7D7" w:themeFill="accent5" w:themeFillTint="3F"/>
      </w:tcPr>
    </w:tblStylePr>
  </w:style>
  <w:style w:type="table" w:styleId="LightShading-Accent6">
    <w:name w:val="Light Shading Accent 6"/>
    <w:basedOn w:val="TableNormal"/>
    <w:uiPriority w:val="99"/>
    <w:semiHidden/>
    <w:rsid w:val="0098410D"/>
    <w:rPr>
      <w:color w:val="393939" w:themeColor="accent6" w:themeShade="BF"/>
    </w:rPr>
    <w:tblPr>
      <w:tblStyleRowBandSize w:val="1"/>
      <w:tblStyleColBandSize w:val="1"/>
      <w:tblBorders>
        <w:top w:val="single" w:sz="8" w:space="0" w:color="4D4D4D" w:themeColor="accent6"/>
        <w:bottom w:val="single" w:sz="8" w:space="0" w:color="4D4D4D" w:themeColor="accent6"/>
      </w:tblBorders>
    </w:tblPr>
    <w:tblStylePr w:type="fir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la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left w:val="nil"/>
          <w:right w:val="nil"/>
          <w:insideH w:val="nil"/>
          <w:insideV w:val="nil"/>
        </w:tcBorders>
        <w:shd w:val="clear" w:color="auto" w:fill="D3D3D3" w:themeFill="accent6" w:themeFillTint="3F"/>
      </w:tcPr>
    </w:tblStylePr>
  </w:style>
  <w:style w:type="character" w:styleId="LineNumber">
    <w:name w:val="line number"/>
    <w:basedOn w:val="DefaultParagraphFont"/>
    <w:uiPriority w:val="99"/>
    <w:semiHidden/>
    <w:rsid w:val="0098410D"/>
  </w:style>
  <w:style w:type="paragraph" w:styleId="List">
    <w:name w:val="List"/>
    <w:basedOn w:val="Normal"/>
    <w:uiPriority w:val="99"/>
    <w:semiHidden/>
    <w:rsid w:val="0098410D"/>
    <w:pPr>
      <w:ind w:left="283" w:hanging="283"/>
      <w:contextualSpacing/>
    </w:pPr>
  </w:style>
  <w:style w:type="paragraph" w:styleId="List2">
    <w:name w:val="List 2"/>
    <w:basedOn w:val="Normal"/>
    <w:uiPriority w:val="99"/>
    <w:semiHidden/>
    <w:rsid w:val="0098410D"/>
    <w:pPr>
      <w:ind w:left="566" w:hanging="283"/>
      <w:contextualSpacing/>
    </w:pPr>
  </w:style>
  <w:style w:type="paragraph" w:styleId="List3">
    <w:name w:val="List 3"/>
    <w:basedOn w:val="Normal"/>
    <w:uiPriority w:val="99"/>
    <w:semiHidden/>
    <w:rsid w:val="0098410D"/>
    <w:pPr>
      <w:ind w:left="849" w:hanging="283"/>
      <w:contextualSpacing/>
    </w:pPr>
  </w:style>
  <w:style w:type="paragraph" w:styleId="List4">
    <w:name w:val="List 4"/>
    <w:basedOn w:val="Normal"/>
    <w:uiPriority w:val="99"/>
    <w:semiHidden/>
    <w:rsid w:val="0098410D"/>
    <w:pPr>
      <w:ind w:left="1132" w:hanging="283"/>
      <w:contextualSpacing/>
    </w:pPr>
  </w:style>
  <w:style w:type="paragraph" w:styleId="List5">
    <w:name w:val="List 5"/>
    <w:basedOn w:val="Normal"/>
    <w:uiPriority w:val="99"/>
    <w:semiHidden/>
    <w:rsid w:val="0098410D"/>
    <w:pPr>
      <w:ind w:left="1415" w:hanging="283"/>
      <w:contextualSpacing/>
    </w:pPr>
  </w:style>
  <w:style w:type="paragraph" w:styleId="ListBullet2">
    <w:name w:val="List Bullet 2"/>
    <w:basedOn w:val="Normal"/>
    <w:uiPriority w:val="99"/>
    <w:semiHidden/>
    <w:rsid w:val="0098410D"/>
    <w:pPr>
      <w:numPr>
        <w:numId w:val="13"/>
      </w:numPr>
      <w:contextualSpacing/>
    </w:pPr>
  </w:style>
  <w:style w:type="paragraph" w:styleId="ListBullet4">
    <w:name w:val="List Bullet 4"/>
    <w:basedOn w:val="Normal"/>
    <w:uiPriority w:val="99"/>
    <w:semiHidden/>
    <w:rsid w:val="0098410D"/>
    <w:pPr>
      <w:numPr>
        <w:numId w:val="14"/>
      </w:numPr>
      <w:contextualSpacing/>
    </w:pPr>
  </w:style>
  <w:style w:type="paragraph" w:styleId="ListBullet5">
    <w:name w:val="List Bullet 5"/>
    <w:basedOn w:val="Normal"/>
    <w:uiPriority w:val="99"/>
    <w:semiHidden/>
    <w:rsid w:val="0098410D"/>
    <w:pPr>
      <w:numPr>
        <w:numId w:val="15"/>
      </w:numPr>
      <w:contextualSpacing/>
    </w:pPr>
  </w:style>
  <w:style w:type="paragraph" w:styleId="ListContinue">
    <w:name w:val="List Continue"/>
    <w:basedOn w:val="Normal"/>
    <w:uiPriority w:val="99"/>
    <w:semiHidden/>
    <w:rsid w:val="0098410D"/>
    <w:pPr>
      <w:spacing w:after="120"/>
      <w:ind w:left="283"/>
      <w:contextualSpacing/>
    </w:pPr>
  </w:style>
  <w:style w:type="paragraph" w:styleId="ListContinue2">
    <w:name w:val="List Continue 2"/>
    <w:basedOn w:val="Normal"/>
    <w:uiPriority w:val="99"/>
    <w:semiHidden/>
    <w:rsid w:val="0098410D"/>
    <w:pPr>
      <w:spacing w:after="120"/>
      <w:ind w:left="566"/>
      <w:contextualSpacing/>
    </w:pPr>
  </w:style>
  <w:style w:type="paragraph" w:styleId="ListContinue3">
    <w:name w:val="List Continue 3"/>
    <w:basedOn w:val="Normal"/>
    <w:uiPriority w:val="99"/>
    <w:semiHidden/>
    <w:rsid w:val="0098410D"/>
    <w:pPr>
      <w:spacing w:after="120"/>
      <w:ind w:left="849"/>
      <w:contextualSpacing/>
    </w:pPr>
  </w:style>
  <w:style w:type="paragraph" w:styleId="ListContinue4">
    <w:name w:val="List Continue 4"/>
    <w:basedOn w:val="Normal"/>
    <w:uiPriority w:val="99"/>
    <w:semiHidden/>
    <w:rsid w:val="0098410D"/>
    <w:pPr>
      <w:spacing w:after="120"/>
      <w:ind w:left="1132"/>
      <w:contextualSpacing/>
    </w:pPr>
  </w:style>
  <w:style w:type="paragraph" w:styleId="ListContinue5">
    <w:name w:val="List Continue 5"/>
    <w:basedOn w:val="Normal"/>
    <w:uiPriority w:val="99"/>
    <w:semiHidden/>
    <w:rsid w:val="0098410D"/>
    <w:pPr>
      <w:spacing w:after="120"/>
      <w:ind w:left="1415"/>
      <w:contextualSpacing/>
    </w:pPr>
  </w:style>
  <w:style w:type="paragraph" w:styleId="ListNumber">
    <w:name w:val="List Number"/>
    <w:basedOn w:val="Normal"/>
    <w:uiPriority w:val="99"/>
    <w:semiHidden/>
    <w:rsid w:val="0098410D"/>
    <w:pPr>
      <w:numPr>
        <w:numId w:val="16"/>
      </w:numPr>
      <w:contextualSpacing/>
    </w:pPr>
  </w:style>
  <w:style w:type="paragraph" w:styleId="ListNumber2">
    <w:name w:val="List Number 2"/>
    <w:basedOn w:val="Normal"/>
    <w:uiPriority w:val="99"/>
    <w:semiHidden/>
    <w:rsid w:val="0098410D"/>
    <w:pPr>
      <w:numPr>
        <w:numId w:val="17"/>
      </w:numPr>
      <w:contextualSpacing/>
    </w:pPr>
  </w:style>
  <w:style w:type="paragraph" w:styleId="ListNumber3">
    <w:name w:val="List Number 3"/>
    <w:basedOn w:val="Normal"/>
    <w:uiPriority w:val="99"/>
    <w:semiHidden/>
    <w:rsid w:val="0098410D"/>
    <w:pPr>
      <w:numPr>
        <w:numId w:val="18"/>
      </w:numPr>
      <w:contextualSpacing/>
    </w:pPr>
  </w:style>
  <w:style w:type="paragraph" w:styleId="ListNumber4">
    <w:name w:val="List Number 4"/>
    <w:basedOn w:val="Normal"/>
    <w:uiPriority w:val="99"/>
    <w:semiHidden/>
    <w:rsid w:val="0098410D"/>
    <w:pPr>
      <w:numPr>
        <w:numId w:val="19"/>
      </w:numPr>
      <w:contextualSpacing/>
    </w:pPr>
  </w:style>
  <w:style w:type="paragraph" w:styleId="ListNumber5">
    <w:name w:val="List Number 5"/>
    <w:basedOn w:val="Normal"/>
    <w:uiPriority w:val="99"/>
    <w:semiHidden/>
    <w:rsid w:val="0098410D"/>
    <w:pPr>
      <w:numPr>
        <w:numId w:val="20"/>
      </w:numPr>
      <w:contextualSpacing/>
    </w:pPr>
  </w:style>
  <w:style w:type="paragraph" w:styleId="MacroText">
    <w:name w:val="macro"/>
    <w:link w:val="MacroTextChar"/>
    <w:uiPriority w:val="99"/>
    <w:semiHidden/>
    <w:rsid w:val="0098410D"/>
    <w:pPr>
      <w:tabs>
        <w:tab w:val="left" w:pos="480"/>
        <w:tab w:val="left" w:pos="960"/>
        <w:tab w:val="left" w:pos="1440"/>
        <w:tab w:val="left" w:pos="1920"/>
        <w:tab w:val="left" w:pos="2400"/>
        <w:tab w:val="left" w:pos="2880"/>
        <w:tab w:val="left" w:pos="3360"/>
        <w:tab w:val="left" w:pos="3840"/>
        <w:tab w:val="left" w:pos="4320"/>
      </w:tabs>
      <w:jc w:val="both"/>
    </w:pPr>
    <w:rPr>
      <w:rFonts w:ascii="Consolas" w:eastAsiaTheme="minorEastAsia" w:hAnsi="Consolas" w:cs="Consolas"/>
      <w:sz w:val="20"/>
      <w:szCs w:val="20"/>
    </w:rPr>
  </w:style>
  <w:style w:type="character" w:customStyle="1" w:styleId="MacroTextChar">
    <w:name w:val="Macro Text Char"/>
    <w:basedOn w:val="DefaultParagraphFont"/>
    <w:link w:val="MacroText"/>
    <w:uiPriority w:val="99"/>
    <w:semiHidden/>
    <w:rsid w:val="0098410D"/>
    <w:rPr>
      <w:rFonts w:ascii="Consolas" w:eastAsiaTheme="minorEastAsia" w:hAnsi="Consolas" w:cs="Consolas"/>
      <w:sz w:val="20"/>
      <w:szCs w:val="20"/>
    </w:rPr>
  </w:style>
  <w:style w:type="table" w:styleId="MediumGrid1">
    <w:name w:val="Medium Grid 1"/>
    <w:basedOn w:val="TableNormal"/>
    <w:uiPriority w:val="99"/>
    <w:semiHidden/>
    <w:rsid w:val="0098410D"/>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99"/>
    <w:semiHidden/>
    <w:rsid w:val="0098410D"/>
    <w:tblPr>
      <w:tblStyleRowBandSize w:val="1"/>
      <w:tblStyleColBandSize w:val="1"/>
      <w:tblBorders>
        <w:top w:val="single" w:sz="8" w:space="0" w:color="0D9FFF" w:themeColor="accent1" w:themeTint="BF"/>
        <w:left w:val="single" w:sz="8" w:space="0" w:color="0D9FFF" w:themeColor="accent1" w:themeTint="BF"/>
        <w:bottom w:val="single" w:sz="8" w:space="0" w:color="0D9FFF" w:themeColor="accent1" w:themeTint="BF"/>
        <w:right w:val="single" w:sz="8" w:space="0" w:color="0D9FFF" w:themeColor="accent1" w:themeTint="BF"/>
        <w:insideH w:val="single" w:sz="8" w:space="0" w:color="0D9FFF" w:themeColor="accent1" w:themeTint="BF"/>
        <w:insideV w:val="single" w:sz="8" w:space="0" w:color="0D9FFF" w:themeColor="accent1" w:themeTint="BF"/>
      </w:tblBorders>
    </w:tblPr>
    <w:tcPr>
      <w:shd w:val="clear" w:color="auto" w:fill="AFDFFF" w:themeFill="accent1" w:themeFillTint="3F"/>
    </w:tcPr>
    <w:tblStylePr w:type="firstRow">
      <w:rPr>
        <w:b/>
        <w:bCs/>
      </w:rPr>
    </w:tblStylePr>
    <w:tblStylePr w:type="lastRow">
      <w:rPr>
        <w:b/>
        <w:bCs/>
      </w:rPr>
      <w:tblPr/>
      <w:tcPr>
        <w:tcBorders>
          <w:top w:val="single" w:sz="18" w:space="0" w:color="0D9FFF" w:themeColor="accent1" w:themeTint="BF"/>
        </w:tcBorders>
      </w:tcPr>
    </w:tblStylePr>
    <w:tblStylePr w:type="firstCol">
      <w:rPr>
        <w:b/>
        <w:bCs/>
      </w:rPr>
    </w:tblStylePr>
    <w:tblStylePr w:type="lastCol">
      <w:rPr>
        <w:b/>
        <w:bCs/>
      </w:rPr>
    </w:tblStylePr>
    <w:tblStylePr w:type="band1Vert">
      <w:tblPr/>
      <w:tcPr>
        <w:shd w:val="clear" w:color="auto" w:fill="5EBFFF" w:themeFill="accent1" w:themeFillTint="7F"/>
      </w:tcPr>
    </w:tblStylePr>
    <w:tblStylePr w:type="band1Horz">
      <w:tblPr/>
      <w:tcPr>
        <w:shd w:val="clear" w:color="auto" w:fill="5EBFFF" w:themeFill="accent1" w:themeFillTint="7F"/>
      </w:tcPr>
    </w:tblStylePr>
  </w:style>
  <w:style w:type="table" w:styleId="MediumGrid1-Accent2">
    <w:name w:val="Medium Grid 1 Accent 2"/>
    <w:basedOn w:val="TableNormal"/>
    <w:uiPriority w:val="99"/>
    <w:semiHidden/>
    <w:rsid w:val="0098410D"/>
    <w:tblPr>
      <w:tblStyleRowBandSize w:val="1"/>
      <w:tblStyleColBandSize w:val="1"/>
      <w:tblBorders>
        <w:top w:val="single" w:sz="8" w:space="0" w:color="FF1010" w:themeColor="accent2" w:themeTint="BF"/>
        <w:left w:val="single" w:sz="8" w:space="0" w:color="FF1010" w:themeColor="accent2" w:themeTint="BF"/>
        <w:bottom w:val="single" w:sz="8" w:space="0" w:color="FF1010" w:themeColor="accent2" w:themeTint="BF"/>
        <w:right w:val="single" w:sz="8" w:space="0" w:color="FF1010" w:themeColor="accent2" w:themeTint="BF"/>
        <w:insideH w:val="single" w:sz="8" w:space="0" w:color="FF1010" w:themeColor="accent2" w:themeTint="BF"/>
        <w:insideV w:val="single" w:sz="8" w:space="0" w:color="FF1010" w:themeColor="accent2" w:themeTint="BF"/>
      </w:tblBorders>
    </w:tblPr>
    <w:tcPr>
      <w:shd w:val="clear" w:color="auto" w:fill="FFB0B0" w:themeFill="accent2" w:themeFillTint="3F"/>
    </w:tcPr>
    <w:tblStylePr w:type="firstRow">
      <w:rPr>
        <w:b/>
        <w:bCs/>
      </w:rPr>
    </w:tblStylePr>
    <w:tblStylePr w:type="lastRow">
      <w:rPr>
        <w:b/>
        <w:bCs/>
      </w:rPr>
      <w:tblPr/>
      <w:tcPr>
        <w:tcBorders>
          <w:top w:val="single" w:sz="18" w:space="0" w:color="FF1010" w:themeColor="accent2" w:themeTint="BF"/>
        </w:tcBorders>
      </w:tcPr>
    </w:tblStylePr>
    <w:tblStylePr w:type="firstCol">
      <w:rPr>
        <w:b/>
        <w:bCs/>
      </w:rPr>
    </w:tblStylePr>
    <w:tblStylePr w:type="lastCol">
      <w:rPr>
        <w:b/>
        <w:bCs/>
      </w:rPr>
    </w:tblStylePr>
    <w:tblStylePr w:type="band1Vert">
      <w:tblPr/>
      <w:tcPr>
        <w:shd w:val="clear" w:color="auto" w:fill="FF6060" w:themeFill="accent2" w:themeFillTint="7F"/>
      </w:tcPr>
    </w:tblStylePr>
    <w:tblStylePr w:type="band1Horz">
      <w:tblPr/>
      <w:tcPr>
        <w:shd w:val="clear" w:color="auto" w:fill="FF6060" w:themeFill="accent2" w:themeFillTint="7F"/>
      </w:tcPr>
    </w:tblStylePr>
  </w:style>
  <w:style w:type="table" w:styleId="MediumGrid1-Accent3">
    <w:name w:val="Medium Grid 1 Accent 3"/>
    <w:basedOn w:val="TableNormal"/>
    <w:uiPriority w:val="99"/>
    <w:semiHidden/>
    <w:rsid w:val="0098410D"/>
    <w:tblPr>
      <w:tblStyleRowBandSize w:val="1"/>
      <w:tblStyleColBandSize w:val="1"/>
      <w:tblBorders>
        <w:top w:val="single" w:sz="8" w:space="0" w:color="878787" w:themeColor="accent3" w:themeTint="BF"/>
        <w:left w:val="single" w:sz="8" w:space="0" w:color="878787" w:themeColor="accent3" w:themeTint="BF"/>
        <w:bottom w:val="single" w:sz="8" w:space="0" w:color="878787" w:themeColor="accent3" w:themeTint="BF"/>
        <w:right w:val="single" w:sz="8" w:space="0" w:color="878787" w:themeColor="accent3" w:themeTint="BF"/>
        <w:insideH w:val="single" w:sz="8" w:space="0" w:color="878787" w:themeColor="accent3" w:themeTint="BF"/>
        <w:insideV w:val="single" w:sz="8" w:space="0" w:color="878787" w:themeColor="accent3" w:themeTint="BF"/>
      </w:tblBorders>
    </w:tblPr>
    <w:tcPr>
      <w:shd w:val="clear" w:color="auto" w:fill="D7D7D7" w:themeFill="accent3" w:themeFillTint="3F"/>
    </w:tcPr>
    <w:tblStylePr w:type="firstRow">
      <w:rPr>
        <w:b/>
        <w:bCs/>
      </w:rPr>
    </w:tblStylePr>
    <w:tblStylePr w:type="lastRow">
      <w:rPr>
        <w:b/>
        <w:bCs/>
      </w:rPr>
      <w:tblPr/>
      <w:tcPr>
        <w:tcBorders>
          <w:top w:val="single" w:sz="18" w:space="0" w:color="878787" w:themeColor="accent3" w:themeTint="BF"/>
        </w:tcBorders>
      </w:tcPr>
    </w:tblStylePr>
    <w:tblStylePr w:type="firstCol">
      <w:rPr>
        <w:b/>
        <w:bCs/>
      </w:rPr>
    </w:tblStylePr>
    <w:tblStylePr w:type="lastCol">
      <w:rPr>
        <w:b/>
        <w:bCs/>
      </w:rPr>
    </w:tblStylePr>
    <w:tblStylePr w:type="band1Vert">
      <w:tblPr/>
      <w:tcPr>
        <w:shd w:val="clear" w:color="auto" w:fill="AFAFAF" w:themeFill="accent3" w:themeFillTint="7F"/>
      </w:tcPr>
    </w:tblStylePr>
    <w:tblStylePr w:type="band1Horz">
      <w:tblPr/>
      <w:tcPr>
        <w:shd w:val="clear" w:color="auto" w:fill="AFAFAF" w:themeFill="accent3" w:themeFillTint="7F"/>
      </w:tcPr>
    </w:tblStylePr>
  </w:style>
  <w:style w:type="table" w:styleId="MediumGrid1-Accent4">
    <w:name w:val="Medium Grid 1 Accent 4"/>
    <w:basedOn w:val="TableNormal"/>
    <w:uiPriority w:val="99"/>
    <w:semiHidden/>
    <w:rsid w:val="0098410D"/>
    <w:tblPr>
      <w:tblStyleRowBandSize w:val="1"/>
      <w:tblStyleColBandSize w:val="1"/>
      <w:tblBorders>
        <w:top w:val="single" w:sz="8" w:space="0" w:color="B0B0B0" w:themeColor="accent4" w:themeTint="BF"/>
        <w:left w:val="single" w:sz="8" w:space="0" w:color="B0B0B0" w:themeColor="accent4" w:themeTint="BF"/>
        <w:bottom w:val="single" w:sz="8" w:space="0" w:color="B0B0B0" w:themeColor="accent4" w:themeTint="BF"/>
        <w:right w:val="single" w:sz="8" w:space="0" w:color="B0B0B0" w:themeColor="accent4" w:themeTint="BF"/>
        <w:insideH w:val="single" w:sz="8" w:space="0" w:color="B0B0B0" w:themeColor="accent4" w:themeTint="BF"/>
        <w:insideV w:val="single" w:sz="8" w:space="0" w:color="B0B0B0" w:themeColor="accent4" w:themeTint="BF"/>
      </w:tblBorders>
    </w:tblPr>
    <w:tcPr>
      <w:shd w:val="clear" w:color="auto" w:fill="E5E5E5" w:themeFill="accent4" w:themeFillTint="3F"/>
    </w:tcPr>
    <w:tblStylePr w:type="firstRow">
      <w:rPr>
        <w:b/>
        <w:bCs/>
      </w:rPr>
    </w:tblStylePr>
    <w:tblStylePr w:type="lastRow">
      <w:rPr>
        <w:b/>
        <w:bCs/>
      </w:rPr>
      <w:tblPr/>
      <w:tcPr>
        <w:tcBorders>
          <w:top w:val="single" w:sz="18" w:space="0" w:color="B0B0B0" w:themeColor="accent4" w:themeTint="BF"/>
        </w:tcBorders>
      </w:tcPr>
    </w:tblStylePr>
    <w:tblStylePr w:type="firstCol">
      <w:rPr>
        <w:b/>
        <w:bCs/>
      </w:rPr>
    </w:tblStylePr>
    <w:tblStylePr w:type="lastCol">
      <w:rPr>
        <w:b/>
        <w:bCs/>
      </w:rPr>
    </w:tblStylePr>
    <w:tblStylePr w:type="band1Vert">
      <w:tblPr/>
      <w:tcPr>
        <w:shd w:val="clear" w:color="auto" w:fill="CACACA" w:themeFill="accent4" w:themeFillTint="7F"/>
      </w:tcPr>
    </w:tblStylePr>
    <w:tblStylePr w:type="band1Horz">
      <w:tblPr/>
      <w:tcPr>
        <w:shd w:val="clear" w:color="auto" w:fill="CACACA" w:themeFill="accent4" w:themeFillTint="7F"/>
      </w:tcPr>
    </w:tblStylePr>
  </w:style>
  <w:style w:type="table" w:styleId="MediumGrid1-Accent5">
    <w:name w:val="Medium Grid 1 Accent 5"/>
    <w:basedOn w:val="TableNormal"/>
    <w:uiPriority w:val="99"/>
    <w:semiHidden/>
    <w:rsid w:val="0098410D"/>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insideV w:val="single" w:sz="8" w:space="0" w:color="878787" w:themeColor="accent5" w:themeTint="BF"/>
      </w:tblBorders>
    </w:tblPr>
    <w:tcPr>
      <w:shd w:val="clear" w:color="auto" w:fill="D7D7D7" w:themeFill="accent5" w:themeFillTint="3F"/>
    </w:tcPr>
    <w:tblStylePr w:type="firstRow">
      <w:rPr>
        <w:b/>
        <w:bCs/>
      </w:rPr>
    </w:tblStylePr>
    <w:tblStylePr w:type="lastRow">
      <w:rPr>
        <w:b/>
        <w:bCs/>
      </w:rPr>
      <w:tblPr/>
      <w:tcPr>
        <w:tcBorders>
          <w:top w:val="single" w:sz="18" w:space="0" w:color="878787" w:themeColor="accent5" w:themeTint="BF"/>
        </w:tcBorders>
      </w:tcPr>
    </w:tblStylePr>
    <w:tblStylePr w:type="firstCol">
      <w:rPr>
        <w:b/>
        <w:bCs/>
      </w:rPr>
    </w:tblStylePr>
    <w:tblStylePr w:type="lastCol">
      <w:rPr>
        <w:b/>
        <w:bCs/>
      </w:r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MediumGrid1-Accent6">
    <w:name w:val="Medium Grid 1 Accent 6"/>
    <w:basedOn w:val="TableNormal"/>
    <w:uiPriority w:val="99"/>
    <w:semiHidden/>
    <w:rsid w:val="0098410D"/>
    <w:tblPr>
      <w:tblStyleRowBandSize w:val="1"/>
      <w:tblStyleColBandSize w:val="1"/>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insideV w:val="single" w:sz="8" w:space="0" w:color="797979" w:themeColor="accent6" w:themeTint="BF"/>
      </w:tblBorders>
    </w:tblPr>
    <w:tcPr>
      <w:shd w:val="clear" w:color="auto" w:fill="D3D3D3" w:themeFill="accent6" w:themeFillTint="3F"/>
    </w:tcPr>
    <w:tblStylePr w:type="firstRow">
      <w:rPr>
        <w:b/>
        <w:bCs/>
      </w:rPr>
    </w:tblStylePr>
    <w:tblStylePr w:type="lastRow">
      <w:rPr>
        <w:b/>
        <w:bCs/>
      </w:rPr>
      <w:tblPr/>
      <w:tcPr>
        <w:tcBorders>
          <w:top w:val="single" w:sz="18" w:space="0" w:color="797979" w:themeColor="accent6" w:themeTint="BF"/>
        </w:tcBorders>
      </w:tcPr>
    </w:tblStylePr>
    <w:tblStylePr w:type="firstCol">
      <w:rPr>
        <w:b/>
        <w:bCs/>
      </w:rPr>
    </w:tblStylePr>
    <w:tblStylePr w:type="lastCol">
      <w:rPr>
        <w:b/>
        <w:bCs/>
      </w:r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table" w:styleId="MediumGrid2">
    <w:name w:val="Medium Grid 2"/>
    <w:basedOn w:val="TableNormal"/>
    <w:uiPriority w:val="99"/>
    <w:semiHidden/>
    <w:rsid w:val="0098410D"/>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0072BC" w:themeFill="background1"/>
      </w:tcPr>
    </w:tblStylePr>
    <w:tblStylePr w:type="firstCol">
      <w:rPr>
        <w:b/>
        <w:bCs/>
        <w:color w:val="000000" w:themeColor="text1"/>
      </w:rPr>
      <w:tblPr/>
      <w:tcPr>
        <w:tcBorders>
          <w:top w:val="nil"/>
          <w:left w:val="nil"/>
          <w:bottom w:val="nil"/>
          <w:right w:val="nil"/>
          <w:insideH w:val="nil"/>
          <w:insideV w:val="nil"/>
        </w:tcBorders>
        <w:shd w:val="clear" w:color="auto" w:fill="0072BC"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0072BC" w:themeFill="background1"/>
      </w:tcPr>
    </w:tblStylePr>
  </w:style>
  <w:style w:type="table" w:styleId="MediumGrid2-Accent1">
    <w:name w:val="Medium Grid 2 Accent 1"/>
    <w:basedOn w:val="TableNormal"/>
    <w:uiPriority w:val="99"/>
    <w:semiHidden/>
    <w:rsid w:val="0098410D"/>
    <w:rPr>
      <w:rFonts w:asciiTheme="majorHAnsi" w:eastAsiaTheme="majorEastAsia" w:hAnsiTheme="majorHAnsi" w:cstheme="majorBidi"/>
      <w:color w:val="000000" w:themeColor="text1"/>
    </w:rPr>
    <w:tblPr>
      <w:tblStyleRowBandSize w:val="1"/>
      <w:tblStyleColBandSize w:val="1"/>
      <w:tblBorders>
        <w:top w:val="single" w:sz="8" w:space="0" w:color="0072BC" w:themeColor="accent1"/>
        <w:left w:val="single" w:sz="8" w:space="0" w:color="0072BC" w:themeColor="accent1"/>
        <w:bottom w:val="single" w:sz="8" w:space="0" w:color="0072BC" w:themeColor="accent1"/>
        <w:right w:val="single" w:sz="8" w:space="0" w:color="0072BC" w:themeColor="accent1"/>
        <w:insideH w:val="single" w:sz="8" w:space="0" w:color="0072BC" w:themeColor="accent1"/>
        <w:insideV w:val="single" w:sz="8" w:space="0" w:color="0072BC" w:themeColor="accent1"/>
      </w:tblBorders>
    </w:tblPr>
    <w:tcPr>
      <w:shd w:val="clear" w:color="auto" w:fill="AFDFFF" w:themeFill="accent1" w:themeFillTint="3F"/>
    </w:tcPr>
    <w:tblStylePr w:type="firstRow">
      <w:rPr>
        <w:b/>
        <w:bCs/>
        <w:color w:val="000000" w:themeColor="text1"/>
      </w:rPr>
      <w:tblPr/>
      <w:tcPr>
        <w:shd w:val="clear" w:color="auto" w:fill="DFF2FF"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0072BC" w:themeFill="background1"/>
      </w:tcPr>
    </w:tblStylePr>
    <w:tblStylePr w:type="firstCol">
      <w:rPr>
        <w:b/>
        <w:bCs/>
        <w:color w:val="000000" w:themeColor="text1"/>
      </w:rPr>
      <w:tblPr/>
      <w:tcPr>
        <w:tcBorders>
          <w:top w:val="nil"/>
          <w:left w:val="nil"/>
          <w:bottom w:val="nil"/>
          <w:right w:val="nil"/>
          <w:insideH w:val="nil"/>
          <w:insideV w:val="nil"/>
        </w:tcBorders>
        <w:shd w:val="clear" w:color="auto" w:fill="0072BC"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EE5FF" w:themeFill="accent1" w:themeFillTint="33"/>
      </w:tcPr>
    </w:tblStylePr>
    <w:tblStylePr w:type="band1Vert">
      <w:tblPr/>
      <w:tcPr>
        <w:shd w:val="clear" w:color="auto" w:fill="5EBFFF" w:themeFill="accent1" w:themeFillTint="7F"/>
      </w:tcPr>
    </w:tblStylePr>
    <w:tblStylePr w:type="band1Horz">
      <w:tblPr/>
      <w:tcPr>
        <w:tcBorders>
          <w:insideH w:val="single" w:sz="6" w:space="0" w:color="0072BC" w:themeColor="accent1"/>
          <w:insideV w:val="single" w:sz="6" w:space="0" w:color="0072BC" w:themeColor="accent1"/>
        </w:tcBorders>
        <w:shd w:val="clear" w:color="auto" w:fill="5EBFFF" w:themeFill="accent1" w:themeFillTint="7F"/>
      </w:tcPr>
    </w:tblStylePr>
    <w:tblStylePr w:type="nwCell">
      <w:tblPr/>
      <w:tcPr>
        <w:shd w:val="clear" w:color="auto" w:fill="0072BC" w:themeFill="background1"/>
      </w:tcPr>
    </w:tblStylePr>
  </w:style>
  <w:style w:type="table" w:styleId="MediumGrid2-Accent2">
    <w:name w:val="Medium Grid 2 Accent 2"/>
    <w:basedOn w:val="TableNormal"/>
    <w:uiPriority w:val="99"/>
    <w:semiHidden/>
    <w:rsid w:val="0098410D"/>
    <w:rPr>
      <w:rFonts w:asciiTheme="majorHAnsi" w:eastAsiaTheme="majorEastAsia" w:hAnsiTheme="majorHAnsi" w:cstheme="majorBidi"/>
      <w:color w:val="000000" w:themeColor="text1"/>
    </w:rPr>
    <w:tblPr>
      <w:tblStyleRowBandSize w:val="1"/>
      <w:tblStyleColBandSize w:val="1"/>
      <w:tblBorders>
        <w:top w:val="single" w:sz="8" w:space="0" w:color="C00000" w:themeColor="accent2"/>
        <w:left w:val="single" w:sz="8" w:space="0" w:color="C00000" w:themeColor="accent2"/>
        <w:bottom w:val="single" w:sz="8" w:space="0" w:color="C00000" w:themeColor="accent2"/>
        <w:right w:val="single" w:sz="8" w:space="0" w:color="C00000" w:themeColor="accent2"/>
        <w:insideH w:val="single" w:sz="8" w:space="0" w:color="C00000" w:themeColor="accent2"/>
        <w:insideV w:val="single" w:sz="8" w:space="0" w:color="C00000" w:themeColor="accent2"/>
      </w:tblBorders>
    </w:tblPr>
    <w:tcPr>
      <w:shd w:val="clear" w:color="auto" w:fill="FFB0B0" w:themeFill="accent2" w:themeFillTint="3F"/>
    </w:tcPr>
    <w:tblStylePr w:type="firstRow">
      <w:rPr>
        <w:b/>
        <w:bCs/>
        <w:color w:val="000000" w:themeColor="text1"/>
      </w:rPr>
      <w:tblPr/>
      <w:tcPr>
        <w:shd w:val="clear" w:color="auto" w:fill="FFDFD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0072BC" w:themeFill="background1"/>
      </w:tcPr>
    </w:tblStylePr>
    <w:tblStylePr w:type="firstCol">
      <w:rPr>
        <w:b/>
        <w:bCs/>
        <w:color w:val="000000" w:themeColor="text1"/>
      </w:rPr>
      <w:tblPr/>
      <w:tcPr>
        <w:tcBorders>
          <w:top w:val="nil"/>
          <w:left w:val="nil"/>
          <w:bottom w:val="nil"/>
          <w:right w:val="nil"/>
          <w:insideH w:val="nil"/>
          <w:insideV w:val="nil"/>
        </w:tcBorders>
        <w:shd w:val="clear" w:color="auto" w:fill="0072BC"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BFBF" w:themeFill="accent2" w:themeFillTint="33"/>
      </w:tcPr>
    </w:tblStylePr>
    <w:tblStylePr w:type="band1Vert">
      <w:tblPr/>
      <w:tcPr>
        <w:shd w:val="clear" w:color="auto" w:fill="FF6060" w:themeFill="accent2" w:themeFillTint="7F"/>
      </w:tcPr>
    </w:tblStylePr>
    <w:tblStylePr w:type="band1Horz">
      <w:tblPr/>
      <w:tcPr>
        <w:tcBorders>
          <w:insideH w:val="single" w:sz="6" w:space="0" w:color="C00000" w:themeColor="accent2"/>
          <w:insideV w:val="single" w:sz="6" w:space="0" w:color="C00000" w:themeColor="accent2"/>
        </w:tcBorders>
        <w:shd w:val="clear" w:color="auto" w:fill="FF6060" w:themeFill="accent2" w:themeFillTint="7F"/>
      </w:tcPr>
    </w:tblStylePr>
    <w:tblStylePr w:type="nwCell">
      <w:tblPr/>
      <w:tcPr>
        <w:shd w:val="clear" w:color="auto" w:fill="0072BC" w:themeFill="background1"/>
      </w:tcPr>
    </w:tblStylePr>
  </w:style>
  <w:style w:type="table" w:styleId="MediumGrid2-Accent3">
    <w:name w:val="Medium Grid 2 Accent 3"/>
    <w:basedOn w:val="TableNormal"/>
    <w:uiPriority w:val="99"/>
    <w:semiHidden/>
    <w:rsid w:val="0098410D"/>
    <w:rPr>
      <w:rFonts w:asciiTheme="majorHAnsi" w:eastAsiaTheme="majorEastAsia" w:hAnsiTheme="majorHAnsi" w:cstheme="majorBidi"/>
      <w:color w:val="000000" w:themeColor="text1"/>
    </w:rPr>
    <w:tblPr>
      <w:tblStyleRowBandSize w:val="1"/>
      <w:tblStyleColBandSize w:val="1"/>
      <w:tblBorders>
        <w:top w:val="single" w:sz="8" w:space="0" w:color="5F5F5F" w:themeColor="accent3"/>
        <w:left w:val="single" w:sz="8" w:space="0" w:color="5F5F5F" w:themeColor="accent3"/>
        <w:bottom w:val="single" w:sz="8" w:space="0" w:color="5F5F5F" w:themeColor="accent3"/>
        <w:right w:val="single" w:sz="8" w:space="0" w:color="5F5F5F" w:themeColor="accent3"/>
        <w:insideH w:val="single" w:sz="8" w:space="0" w:color="5F5F5F" w:themeColor="accent3"/>
        <w:insideV w:val="single" w:sz="8" w:space="0" w:color="5F5F5F" w:themeColor="accent3"/>
      </w:tblBorders>
    </w:tblPr>
    <w:tcPr>
      <w:shd w:val="clear" w:color="auto" w:fill="D7D7D7" w:themeFill="accent3" w:themeFillTint="3F"/>
    </w:tcPr>
    <w:tblStylePr w:type="firstRow">
      <w:rPr>
        <w:b/>
        <w:bCs/>
        <w:color w:val="000000" w:themeColor="text1"/>
      </w:rPr>
      <w:tblPr/>
      <w:tcPr>
        <w:shd w:val="clear" w:color="auto" w:fill="EFEFEF"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0072BC" w:themeFill="background1"/>
      </w:tcPr>
    </w:tblStylePr>
    <w:tblStylePr w:type="firstCol">
      <w:rPr>
        <w:b/>
        <w:bCs/>
        <w:color w:val="000000" w:themeColor="text1"/>
      </w:rPr>
      <w:tblPr/>
      <w:tcPr>
        <w:tcBorders>
          <w:top w:val="nil"/>
          <w:left w:val="nil"/>
          <w:bottom w:val="nil"/>
          <w:right w:val="nil"/>
          <w:insideH w:val="nil"/>
          <w:insideV w:val="nil"/>
        </w:tcBorders>
        <w:shd w:val="clear" w:color="auto" w:fill="0072BC"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DFDF" w:themeFill="accent3" w:themeFillTint="33"/>
      </w:tcPr>
    </w:tblStylePr>
    <w:tblStylePr w:type="band1Vert">
      <w:tblPr/>
      <w:tcPr>
        <w:shd w:val="clear" w:color="auto" w:fill="AFAFAF" w:themeFill="accent3" w:themeFillTint="7F"/>
      </w:tcPr>
    </w:tblStylePr>
    <w:tblStylePr w:type="band1Horz">
      <w:tblPr/>
      <w:tcPr>
        <w:tcBorders>
          <w:insideH w:val="single" w:sz="6" w:space="0" w:color="5F5F5F" w:themeColor="accent3"/>
          <w:insideV w:val="single" w:sz="6" w:space="0" w:color="5F5F5F" w:themeColor="accent3"/>
        </w:tcBorders>
        <w:shd w:val="clear" w:color="auto" w:fill="AFAFAF" w:themeFill="accent3" w:themeFillTint="7F"/>
      </w:tcPr>
    </w:tblStylePr>
    <w:tblStylePr w:type="nwCell">
      <w:tblPr/>
      <w:tcPr>
        <w:shd w:val="clear" w:color="auto" w:fill="0072BC" w:themeFill="background1"/>
      </w:tcPr>
    </w:tblStylePr>
  </w:style>
  <w:style w:type="table" w:styleId="MediumGrid2-Accent4">
    <w:name w:val="Medium Grid 2 Accent 4"/>
    <w:basedOn w:val="TableNormal"/>
    <w:uiPriority w:val="99"/>
    <w:semiHidden/>
    <w:rsid w:val="0098410D"/>
    <w:rPr>
      <w:rFonts w:asciiTheme="majorHAnsi" w:eastAsiaTheme="majorEastAsia" w:hAnsiTheme="majorHAnsi" w:cstheme="majorBidi"/>
      <w:color w:val="000000" w:themeColor="text1"/>
    </w:rPr>
    <w:tblPr>
      <w:tblStyleRowBandSize w:val="1"/>
      <w:tblStyleColBandSize w:val="1"/>
      <w:tblBorders>
        <w:top w:val="single" w:sz="8" w:space="0" w:color="969696" w:themeColor="accent4"/>
        <w:left w:val="single" w:sz="8" w:space="0" w:color="969696" w:themeColor="accent4"/>
        <w:bottom w:val="single" w:sz="8" w:space="0" w:color="969696" w:themeColor="accent4"/>
        <w:right w:val="single" w:sz="8" w:space="0" w:color="969696" w:themeColor="accent4"/>
        <w:insideH w:val="single" w:sz="8" w:space="0" w:color="969696" w:themeColor="accent4"/>
        <w:insideV w:val="single" w:sz="8" w:space="0" w:color="969696" w:themeColor="accent4"/>
      </w:tblBorders>
    </w:tblPr>
    <w:tcPr>
      <w:shd w:val="clear" w:color="auto" w:fill="E5E5E5" w:themeFill="accent4" w:themeFillTint="3F"/>
    </w:tcPr>
    <w:tblStylePr w:type="firstRow">
      <w:rPr>
        <w:b/>
        <w:bCs/>
        <w:color w:val="000000" w:themeColor="text1"/>
      </w:rPr>
      <w:tblPr/>
      <w:tcPr>
        <w:shd w:val="clear" w:color="auto" w:fill="F4F4F4"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0072BC" w:themeFill="background1"/>
      </w:tcPr>
    </w:tblStylePr>
    <w:tblStylePr w:type="firstCol">
      <w:rPr>
        <w:b/>
        <w:bCs/>
        <w:color w:val="000000" w:themeColor="text1"/>
      </w:rPr>
      <w:tblPr/>
      <w:tcPr>
        <w:tcBorders>
          <w:top w:val="nil"/>
          <w:left w:val="nil"/>
          <w:bottom w:val="nil"/>
          <w:right w:val="nil"/>
          <w:insideH w:val="nil"/>
          <w:insideV w:val="nil"/>
        </w:tcBorders>
        <w:shd w:val="clear" w:color="auto" w:fill="0072BC"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EAEA" w:themeFill="accent4" w:themeFillTint="33"/>
      </w:tcPr>
    </w:tblStylePr>
    <w:tblStylePr w:type="band1Vert">
      <w:tblPr/>
      <w:tcPr>
        <w:shd w:val="clear" w:color="auto" w:fill="CACACA" w:themeFill="accent4" w:themeFillTint="7F"/>
      </w:tcPr>
    </w:tblStylePr>
    <w:tblStylePr w:type="band1Horz">
      <w:tblPr/>
      <w:tcPr>
        <w:tcBorders>
          <w:insideH w:val="single" w:sz="6" w:space="0" w:color="969696" w:themeColor="accent4"/>
          <w:insideV w:val="single" w:sz="6" w:space="0" w:color="969696" w:themeColor="accent4"/>
        </w:tcBorders>
        <w:shd w:val="clear" w:color="auto" w:fill="CACACA" w:themeFill="accent4" w:themeFillTint="7F"/>
      </w:tcPr>
    </w:tblStylePr>
    <w:tblStylePr w:type="nwCell">
      <w:tblPr/>
      <w:tcPr>
        <w:shd w:val="clear" w:color="auto" w:fill="0072BC" w:themeFill="background1"/>
      </w:tcPr>
    </w:tblStylePr>
  </w:style>
  <w:style w:type="table" w:styleId="MediumGrid2-Accent5">
    <w:name w:val="Medium Grid 2 Accent 5"/>
    <w:basedOn w:val="TableNormal"/>
    <w:uiPriority w:val="99"/>
    <w:semiHidden/>
    <w:rsid w:val="0098410D"/>
    <w:rPr>
      <w:rFonts w:asciiTheme="majorHAnsi" w:eastAsiaTheme="majorEastAsia" w:hAnsiTheme="majorHAnsi" w:cstheme="majorBidi"/>
      <w:color w:val="000000" w:themeColor="text1"/>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cPr>
      <w:shd w:val="clear" w:color="auto" w:fill="D7D7D7" w:themeFill="accent5" w:themeFillTint="3F"/>
    </w:tcPr>
    <w:tblStylePr w:type="firstRow">
      <w:rPr>
        <w:b/>
        <w:bCs/>
        <w:color w:val="000000" w:themeColor="text1"/>
      </w:rPr>
      <w:tblPr/>
      <w:tcPr>
        <w:shd w:val="clear" w:color="auto" w:fill="EFEFEF"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0072BC" w:themeFill="background1"/>
      </w:tcPr>
    </w:tblStylePr>
    <w:tblStylePr w:type="firstCol">
      <w:rPr>
        <w:b/>
        <w:bCs/>
        <w:color w:val="000000" w:themeColor="text1"/>
      </w:rPr>
      <w:tblPr/>
      <w:tcPr>
        <w:tcBorders>
          <w:top w:val="nil"/>
          <w:left w:val="nil"/>
          <w:bottom w:val="nil"/>
          <w:right w:val="nil"/>
          <w:insideH w:val="nil"/>
          <w:insideV w:val="nil"/>
        </w:tcBorders>
        <w:shd w:val="clear" w:color="auto" w:fill="0072BC"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DFDF" w:themeFill="accent5" w:themeFillTint="33"/>
      </w:tcPr>
    </w:tblStylePr>
    <w:tblStylePr w:type="band1Vert">
      <w:tblPr/>
      <w:tcPr>
        <w:shd w:val="clear" w:color="auto" w:fill="AFAFAF" w:themeFill="accent5" w:themeFillTint="7F"/>
      </w:tcPr>
    </w:tblStylePr>
    <w:tblStylePr w:type="band1Horz">
      <w:tblPr/>
      <w:tcPr>
        <w:tcBorders>
          <w:insideH w:val="single" w:sz="6" w:space="0" w:color="5F5F5F" w:themeColor="accent5"/>
          <w:insideV w:val="single" w:sz="6" w:space="0" w:color="5F5F5F" w:themeColor="accent5"/>
        </w:tcBorders>
        <w:shd w:val="clear" w:color="auto" w:fill="AFAFAF" w:themeFill="accent5" w:themeFillTint="7F"/>
      </w:tcPr>
    </w:tblStylePr>
    <w:tblStylePr w:type="nwCell">
      <w:tblPr/>
      <w:tcPr>
        <w:shd w:val="clear" w:color="auto" w:fill="0072BC" w:themeFill="background1"/>
      </w:tcPr>
    </w:tblStylePr>
  </w:style>
  <w:style w:type="table" w:styleId="MediumGrid2-Accent6">
    <w:name w:val="Medium Grid 2 Accent 6"/>
    <w:basedOn w:val="TableNormal"/>
    <w:uiPriority w:val="99"/>
    <w:semiHidden/>
    <w:rsid w:val="0098410D"/>
    <w:rPr>
      <w:rFonts w:asciiTheme="majorHAnsi" w:eastAsiaTheme="majorEastAsia" w:hAnsiTheme="majorHAnsi" w:cstheme="majorBidi"/>
      <w:color w:val="000000" w:themeColor="text1"/>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cPr>
      <w:shd w:val="clear" w:color="auto" w:fill="D3D3D3" w:themeFill="accent6" w:themeFillTint="3F"/>
    </w:tcPr>
    <w:tblStylePr w:type="firstRow">
      <w:rPr>
        <w:b/>
        <w:bCs/>
        <w:color w:val="000000" w:themeColor="text1"/>
      </w:rPr>
      <w:tblPr/>
      <w:tcPr>
        <w:shd w:val="clear" w:color="auto" w:fill="EDEDED"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0072BC" w:themeFill="background1"/>
      </w:tcPr>
    </w:tblStylePr>
    <w:tblStylePr w:type="firstCol">
      <w:rPr>
        <w:b/>
        <w:bCs/>
        <w:color w:val="000000" w:themeColor="text1"/>
      </w:rPr>
      <w:tblPr/>
      <w:tcPr>
        <w:tcBorders>
          <w:top w:val="nil"/>
          <w:left w:val="nil"/>
          <w:bottom w:val="nil"/>
          <w:right w:val="nil"/>
          <w:insideH w:val="nil"/>
          <w:insideV w:val="nil"/>
        </w:tcBorders>
        <w:shd w:val="clear" w:color="auto" w:fill="0072BC"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DBDB" w:themeFill="accent6" w:themeFillTint="33"/>
      </w:tcPr>
    </w:tblStylePr>
    <w:tblStylePr w:type="band1Vert">
      <w:tblPr/>
      <w:tcPr>
        <w:shd w:val="clear" w:color="auto" w:fill="A6A6A6" w:themeFill="accent6" w:themeFillTint="7F"/>
      </w:tcPr>
    </w:tblStylePr>
    <w:tblStylePr w:type="band1Horz">
      <w:tblPr/>
      <w:tcPr>
        <w:tcBorders>
          <w:insideH w:val="single" w:sz="6" w:space="0" w:color="4D4D4D" w:themeColor="accent6"/>
          <w:insideV w:val="single" w:sz="6" w:space="0" w:color="4D4D4D" w:themeColor="accent6"/>
        </w:tcBorders>
        <w:shd w:val="clear" w:color="auto" w:fill="A6A6A6" w:themeFill="accent6" w:themeFillTint="7F"/>
      </w:tcPr>
    </w:tblStylePr>
    <w:tblStylePr w:type="nwCell">
      <w:tblPr/>
      <w:tcPr>
        <w:shd w:val="clear" w:color="auto" w:fill="0072BC" w:themeFill="background1"/>
      </w:tcPr>
    </w:tblStylePr>
  </w:style>
  <w:style w:type="table" w:styleId="MediumGrid3">
    <w:name w:val="Medium Grid 3"/>
    <w:basedOn w:val="TableNormal"/>
    <w:uiPriority w:val="99"/>
    <w:semiHidden/>
    <w:rsid w:val="0098410D"/>
    <w:tblPr>
      <w:tblStyleRowBandSize w:val="1"/>
      <w:tblStyleColBandSize w:val="1"/>
      <w:tbl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6" w:space="0" w:color="0072BC" w:themeColor="background1"/>
        <w:insideV w:val="single" w:sz="6" w:space="0" w:color="0072BC" w:themeColor="background1"/>
      </w:tblBorders>
    </w:tblPr>
    <w:tcPr>
      <w:shd w:val="clear" w:color="auto" w:fill="C0C0C0" w:themeFill="text1" w:themeFillTint="3F"/>
    </w:tcPr>
    <w:tblStylePr w:type="firstRow">
      <w:rPr>
        <w:b/>
        <w:bCs/>
        <w:i w:val="0"/>
        <w:iCs w:val="0"/>
        <w:color w:val="0072BC" w:themeColor="background1"/>
      </w:rPr>
      <w:tblPr/>
      <w:tcPr>
        <w:tcBorders>
          <w:top w:val="single" w:sz="8" w:space="0" w:color="0072BC" w:themeColor="background1"/>
          <w:left w:val="single" w:sz="8" w:space="0" w:color="0072BC" w:themeColor="background1"/>
          <w:bottom w:val="single" w:sz="24" w:space="0" w:color="0072BC" w:themeColor="background1"/>
          <w:right w:val="single" w:sz="8" w:space="0" w:color="0072BC" w:themeColor="background1"/>
          <w:insideH w:val="nil"/>
          <w:insideV w:val="single" w:sz="8" w:space="0" w:color="0072BC" w:themeColor="background1"/>
        </w:tcBorders>
        <w:shd w:val="clear" w:color="auto" w:fill="000000" w:themeFill="text1"/>
      </w:tcPr>
    </w:tblStylePr>
    <w:tblStylePr w:type="lastRow">
      <w:rPr>
        <w:b/>
        <w:bCs/>
        <w:i w:val="0"/>
        <w:iCs w:val="0"/>
        <w:color w:val="0072BC" w:themeColor="background1"/>
      </w:rPr>
      <w:tblPr/>
      <w:tcPr>
        <w:tcBorders>
          <w:top w:val="single" w:sz="24" w:space="0" w:color="0072BC" w:themeColor="background1"/>
          <w:left w:val="single" w:sz="8" w:space="0" w:color="0072BC" w:themeColor="background1"/>
          <w:bottom w:val="single" w:sz="8" w:space="0" w:color="0072BC" w:themeColor="background1"/>
          <w:right w:val="single" w:sz="8" w:space="0" w:color="0072BC" w:themeColor="background1"/>
          <w:insideH w:val="nil"/>
          <w:insideV w:val="single" w:sz="8" w:space="0" w:color="0072BC" w:themeColor="background1"/>
        </w:tcBorders>
        <w:shd w:val="clear" w:color="auto" w:fill="000000" w:themeFill="text1"/>
      </w:tcPr>
    </w:tblStylePr>
    <w:tblStylePr w:type="firstCol">
      <w:rPr>
        <w:b/>
        <w:bCs/>
        <w:i w:val="0"/>
        <w:iCs w:val="0"/>
        <w:color w:val="0072BC" w:themeColor="background1"/>
      </w:rPr>
      <w:tblPr/>
      <w:tcPr>
        <w:tcBorders>
          <w:left w:val="single" w:sz="8" w:space="0" w:color="0072BC" w:themeColor="background1"/>
          <w:right w:val="single" w:sz="24" w:space="0" w:color="0072BC" w:themeColor="background1"/>
          <w:insideH w:val="nil"/>
          <w:insideV w:val="nil"/>
        </w:tcBorders>
        <w:shd w:val="clear" w:color="auto" w:fill="000000" w:themeFill="text1"/>
      </w:tcPr>
    </w:tblStylePr>
    <w:tblStylePr w:type="lastCol">
      <w:rPr>
        <w:b/>
        <w:bCs/>
        <w:i w:val="0"/>
        <w:iCs w:val="0"/>
        <w:color w:val="0072BC" w:themeColor="background1"/>
      </w:rPr>
      <w:tblPr/>
      <w:tcPr>
        <w:tcBorders>
          <w:top w:val="nil"/>
          <w:left w:val="single" w:sz="24" w:space="0" w:color="0072BC" w:themeColor="background1"/>
          <w:bottom w:val="nil"/>
          <w:right w:val="nil"/>
          <w:insideH w:val="nil"/>
          <w:insideV w:val="nil"/>
        </w:tcBorders>
        <w:shd w:val="clear" w:color="auto" w:fill="000000" w:themeFill="text1"/>
      </w:tcPr>
    </w:tblStylePr>
    <w:tblStylePr w:type="band1Vert">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nil"/>
          <w:insideV w:val="nil"/>
        </w:tcBorders>
        <w:shd w:val="clear" w:color="auto" w:fill="808080" w:themeFill="text1" w:themeFillTint="7F"/>
      </w:tcPr>
    </w:tblStylePr>
    <w:tblStylePr w:type="band1Horz">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8" w:space="0" w:color="0072BC" w:themeColor="background1"/>
          <w:insideV w:val="single" w:sz="8" w:space="0" w:color="0072BC" w:themeColor="background1"/>
        </w:tcBorders>
        <w:shd w:val="clear" w:color="auto" w:fill="808080" w:themeFill="text1" w:themeFillTint="7F"/>
      </w:tcPr>
    </w:tblStylePr>
  </w:style>
  <w:style w:type="table" w:styleId="MediumGrid3-Accent1">
    <w:name w:val="Medium Grid 3 Accent 1"/>
    <w:basedOn w:val="TableNormal"/>
    <w:uiPriority w:val="99"/>
    <w:semiHidden/>
    <w:rsid w:val="0098410D"/>
    <w:tblPr>
      <w:tblStyleRowBandSize w:val="1"/>
      <w:tblStyleColBandSize w:val="1"/>
      <w:tbl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6" w:space="0" w:color="0072BC" w:themeColor="background1"/>
        <w:insideV w:val="single" w:sz="6" w:space="0" w:color="0072BC" w:themeColor="background1"/>
      </w:tblBorders>
    </w:tblPr>
    <w:tcPr>
      <w:shd w:val="clear" w:color="auto" w:fill="AFDFFF" w:themeFill="accent1" w:themeFillTint="3F"/>
    </w:tcPr>
    <w:tblStylePr w:type="firstRow">
      <w:rPr>
        <w:b/>
        <w:bCs/>
        <w:i w:val="0"/>
        <w:iCs w:val="0"/>
        <w:color w:val="0072BC" w:themeColor="background1"/>
      </w:rPr>
      <w:tblPr/>
      <w:tcPr>
        <w:tcBorders>
          <w:top w:val="single" w:sz="8" w:space="0" w:color="0072BC" w:themeColor="background1"/>
          <w:left w:val="single" w:sz="8" w:space="0" w:color="0072BC" w:themeColor="background1"/>
          <w:bottom w:val="single" w:sz="24" w:space="0" w:color="0072BC" w:themeColor="background1"/>
          <w:right w:val="single" w:sz="8" w:space="0" w:color="0072BC" w:themeColor="background1"/>
          <w:insideH w:val="nil"/>
          <w:insideV w:val="single" w:sz="8" w:space="0" w:color="0072BC" w:themeColor="background1"/>
        </w:tcBorders>
        <w:shd w:val="clear" w:color="auto" w:fill="0072BC" w:themeFill="accent1"/>
      </w:tcPr>
    </w:tblStylePr>
    <w:tblStylePr w:type="lastRow">
      <w:rPr>
        <w:b/>
        <w:bCs/>
        <w:i w:val="0"/>
        <w:iCs w:val="0"/>
        <w:color w:val="0072BC" w:themeColor="background1"/>
      </w:rPr>
      <w:tblPr/>
      <w:tcPr>
        <w:tcBorders>
          <w:top w:val="single" w:sz="24" w:space="0" w:color="0072BC" w:themeColor="background1"/>
          <w:left w:val="single" w:sz="8" w:space="0" w:color="0072BC" w:themeColor="background1"/>
          <w:bottom w:val="single" w:sz="8" w:space="0" w:color="0072BC" w:themeColor="background1"/>
          <w:right w:val="single" w:sz="8" w:space="0" w:color="0072BC" w:themeColor="background1"/>
          <w:insideH w:val="nil"/>
          <w:insideV w:val="single" w:sz="8" w:space="0" w:color="0072BC" w:themeColor="background1"/>
        </w:tcBorders>
        <w:shd w:val="clear" w:color="auto" w:fill="0072BC" w:themeFill="accent1"/>
      </w:tcPr>
    </w:tblStylePr>
    <w:tblStylePr w:type="firstCol">
      <w:rPr>
        <w:b/>
        <w:bCs/>
        <w:i w:val="0"/>
        <w:iCs w:val="0"/>
        <w:color w:val="0072BC" w:themeColor="background1"/>
      </w:rPr>
      <w:tblPr/>
      <w:tcPr>
        <w:tcBorders>
          <w:left w:val="single" w:sz="8" w:space="0" w:color="0072BC" w:themeColor="background1"/>
          <w:right w:val="single" w:sz="24" w:space="0" w:color="0072BC" w:themeColor="background1"/>
          <w:insideH w:val="nil"/>
          <w:insideV w:val="nil"/>
        </w:tcBorders>
        <w:shd w:val="clear" w:color="auto" w:fill="0072BC" w:themeFill="accent1"/>
      </w:tcPr>
    </w:tblStylePr>
    <w:tblStylePr w:type="lastCol">
      <w:rPr>
        <w:b/>
        <w:bCs/>
        <w:i w:val="0"/>
        <w:iCs w:val="0"/>
        <w:color w:val="0072BC" w:themeColor="background1"/>
      </w:rPr>
      <w:tblPr/>
      <w:tcPr>
        <w:tcBorders>
          <w:top w:val="nil"/>
          <w:left w:val="single" w:sz="24" w:space="0" w:color="0072BC" w:themeColor="background1"/>
          <w:bottom w:val="nil"/>
          <w:right w:val="nil"/>
          <w:insideH w:val="nil"/>
          <w:insideV w:val="nil"/>
        </w:tcBorders>
        <w:shd w:val="clear" w:color="auto" w:fill="0072BC" w:themeFill="accent1"/>
      </w:tcPr>
    </w:tblStylePr>
    <w:tblStylePr w:type="band1Vert">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nil"/>
          <w:insideV w:val="nil"/>
        </w:tcBorders>
        <w:shd w:val="clear" w:color="auto" w:fill="5EBFFF" w:themeFill="accent1" w:themeFillTint="7F"/>
      </w:tcPr>
    </w:tblStylePr>
    <w:tblStylePr w:type="band1Horz">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8" w:space="0" w:color="0072BC" w:themeColor="background1"/>
          <w:insideV w:val="single" w:sz="8" w:space="0" w:color="0072BC" w:themeColor="background1"/>
        </w:tcBorders>
        <w:shd w:val="clear" w:color="auto" w:fill="5EBFFF" w:themeFill="accent1" w:themeFillTint="7F"/>
      </w:tcPr>
    </w:tblStylePr>
  </w:style>
  <w:style w:type="table" w:styleId="MediumGrid3-Accent2">
    <w:name w:val="Medium Grid 3 Accent 2"/>
    <w:basedOn w:val="TableNormal"/>
    <w:uiPriority w:val="99"/>
    <w:semiHidden/>
    <w:rsid w:val="0098410D"/>
    <w:tblPr>
      <w:tblStyleRowBandSize w:val="1"/>
      <w:tblStyleColBandSize w:val="1"/>
      <w:tbl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6" w:space="0" w:color="0072BC" w:themeColor="background1"/>
        <w:insideV w:val="single" w:sz="6" w:space="0" w:color="0072BC" w:themeColor="background1"/>
      </w:tblBorders>
    </w:tblPr>
    <w:tcPr>
      <w:shd w:val="clear" w:color="auto" w:fill="FFB0B0" w:themeFill="accent2" w:themeFillTint="3F"/>
    </w:tcPr>
    <w:tblStylePr w:type="firstRow">
      <w:rPr>
        <w:b/>
        <w:bCs/>
        <w:i w:val="0"/>
        <w:iCs w:val="0"/>
        <w:color w:val="0072BC" w:themeColor="background1"/>
      </w:rPr>
      <w:tblPr/>
      <w:tcPr>
        <w:tcBorders>
          <w:top w:val="single" w:sz="8" w:space="0" w:color="0072BC" w:themeColor="background1"/>
          <w:left w:val="single" w:sz="8" w:space="0" w:color="0072BC" w:themeColor="background1"/>
          <w:bottom w:val="single" w:sz="24" w:space="0" w:color="0072BC" w:themeColor="background1"/>
          <w:right w:val="single" w:sz="8" w:space="0" w:color="0072BC" w:themeColor="background1"/>
          <w:insideH w:val="nil"/>
          <w:insideV w:val="single" w:sz="8" w:space="0" w:color="0072BC" w:themeColor="background1"/>
        </w:tcBorders>
        <w:shd w:val="clear" w:color="auto" w:fill="C00000" w:themeFill="accent2"/>
      </w:tcPr>
    </w:tblStylePr>
    <w:tblStylePr w:type="lastRow">
      <w:rPr>
        <w:b/>
        <w:bCs/>
        <w:i w:val="0"/>
        <w:iCs w:val="0"/>
        <w:color w:val="0072BC" w:themeColor="background1"/>
      </w:rPr>
      <w:tblPr/>
      <w:tcPr>
        <w:tcBorders>
          <w:top w:val="single" w:sz="24" w:space="0" w:color="0072BC" w:themeColor="background1"/>
          <w:left w:val="single" w:sz="8" w:space="0" w:color="0072BC" w:themeColor="background1"/>
          <w:bottom w:val="single" w:sz="8" w:space="0" w:color="0072BC" w:themeColor="background1"/>
          <w:right w:val="single" w:sz="8" w:space="0" w:color="0072BC" w:themeColor="background1"/>
          <w:insideH w:val="nil"/>
          <w:insideV w:val="single" w:sz="8" w:space="0" w:color="0072BC" w:themeColor="background1"/>
        </w:tcBorders>
        <w:shd w:val="clear" w:color="auto" w:fill="C00000" w:themeFill="accent2"/>
      </w:tcPr>
    </w:tblStylePr>
    <w:tblStylePr w:type="firstCol">
      <w:rPr>
        <w:b/>
        <w:bCs/>
        <w:i w:val="0"/>
        <w:iCs w:val="0"/>
        <w:color w:val="0072BC" w:themeColor="background1"/>
      </w:rPr>
      <w:tblPr/>
      <w:tcPr>
        <w:tcBorders>
          <w:left w:val="single" w:sz="8" w:space="0" w:color="0072BC" w:themeColor="background1"/>
          <w:right w:val="single" w:sz="24" w:space="0" w:color="0072BC" w:themeColor="background1"/>
          <w:insideH w:val="nil"/>
          <w:insideV w:val="nil"/>
        </w:tcBorders>
        <w:shd w:val="clear" w:color="auto" w:fill="C00000" w:themeFill="accent2"/>
      </w:tcPr>
    </w:tblStylePr>
    <w:tblStylePr w:type="lastCol">
      <w:rPr>
        <w:b/>
        <w:bCs/>
        <w:i w:val="0"/>
        <w:iCs w:val="0"/>
        <w:color w:val="0072BC" w:themeColor="background1"/>
      </w:rPr>
      <w:tblPr/>
      <w:tcPr>
        <w:tcBorders>
          <w:top w:val="nil"/>
          <w:left w:val="single" w:sz="24" w:space="0" w:color="0072BC" w:themeColor="background1"/>
          <w:bottom w:val="nil"/>
          <w:right w:val="nil"/>
          <w:insideH w:val="nil"/>
          <w:insideV w:val="nil"/>
        </w:tcBorders>
        <w:shd w:val="clear" w:color="auto" w:fill="C00000" w:themeFill="accent2"/>
      </w:tcPr>
    </w:tblStylePr>
    <w:tblStylePr w:type="band1Vert">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nil"/>
          <w:insideV w:val="nil"/>
        </w:tcBorders>
        <w:shd w:val="clear" w:color="auto" w:fill="FF6060" w:themeFill="accent2" w:themeFillTint="7F"/>
      </w:tcPr>
    </w:tblStylePr>
    <w:tblStylePr w:type="band1Horz">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8" w:space="0" w:color="0072BC" w:themeColor="background1"/>
          <w:insideV w:val="single" w:sz="8" w:space="0" w:color="0072BC" w:themeColor="background1"/>
        </w:tcBorders>
        <w:shd w:val="clear" w:color="auto" w:fill="FF6060" w:themeFill="accent2" w:themeFillTint="7F"/>
      </w:tcPr>
    </w:tblStylePr>
  </w:style>
  <w:style w:type="table" w:styleId="MediumGrid3-Accent3">
    <w:name w:val="Medium Grid 3 Accent 3"/>
    <w:basedOn w:val="TableNormal"/>
    <w:uiPriority w:val="99"/>
    <w:semiHidden/>
    <w:rsid w:val="0098410D"/>
    <w:tblPr>
      <w:tblStyleRowBandSize w:val="1"/>
      <w:tblStyleColBandSize w:val="1"/>
      <w:tbl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6" w:space="0" w:color="0072BC" w:themeColor="background1"/>
        <w:insideV w:val="single" w:sz="6" w:space="0" w:color="0072BC" w:themeColor="background1"/>
      </w:tblBorders>
    </w:tblPr>
    <w:tcPr>
      <w:shd w:val="clear" w:color="auto" w:fill="D7D7D7" w:themeFill="accent3" w:themeFillTint="3F"/>
    </w:tcPr>
    <w:tblStylePr w:type="firstRow">
      <w:rPr>
        <w:b/>
        <w:bCs/>
        <w:i w:val="0"/>
        <w:iCs w:val="0"/>
        <w:color w:val="0072BC" w:themeColor="background1"/>
      </w:rPr>
      <w:tblPr/>
      <w:tcPr>
        <w:tcBorders>
          <w:top w:val="single" w:sz="8" w:space="0" w:color="0072BC" w:themeColor="background1"/>
          <w:left w:val="single" w:sz="8" w:space="0" w:color="0072BC" w:themeColor="background1"/>
          <w:bottom w:val="single" w:sz="24" w:space="0" w:color="0072BC" w:themeColor="background1"/>
          <w:right w:val="single" w:sz="8" w:space="0" w:color="0072BC" w:themeColor="background1"/>
          <w:insideH w:val="nil"/>
          <w:insideV w:val="single" w:sz="8" w:space="0" w:color="0072BC" w:themeColor="background1"/>
        </w:tcBorders>
        <w:shd w:val="clear" w:color="auto" w:fill="5F5F5F" w:themeFill="accent3"/>
      </w:tcPr>
    </w:tblStylePr>
    <w:tblStylePr w:type="lastRow">
      <w:rPr>
        <w:b/>
        <w:bCs/>
        <w:i w:val="0"/>
        <w:iCs w:val="0"/>
        <w:color w:val="0072BC" w:themeColor="background1"/>
      </w:rPr>
      <w:tblPr/>
      <w:tcPr>
        <w:tcBorders>
          <w:top w:val="single" w:sz="24" w:space="0" w:color="0072BC" w:themeColor="background1"/>
          <w:left w:val="single" w:sz="8" w:space="0" w:color="0072BC" w:themeColor="background1"/>
          <w:bottom w:val="single" w:sz="8" w:space="0" w:color="0072BC" w:themeColor="background1"/>
          <w:right w:val="single" w:sz="8" w:space="0" w:color="0072BC" w:themeColor="background1"/>
          <w:insideH w:val="nil"/>
          <w:insideV w:val="single" w:sz="8" w:space="0" w:color="0072BC" w:themeColor="background1"/>
        </w:tcBorders>
        <w:shd w:val="clear" w:color="auto" w:fill="5F5F5F" w:themeFill="accent3"/>
      </w:tcPr>
    </w:tblStylePr>
    <w:tblStylePr w:type="firstCol">
      <w:rPr>
        <w:b/>
        <w:bCs/>
        <w:i w:val="0"/>
        <w:iCs w:val="0"/>
        <w:color w:val="0072BC" w:themeColor="background1"/>
      </w:rPr>
      <w:tblPr/>
      <w:tcPr>
        <w:tcBorders>
          <w:left w:val="single" w:sz="8" w:space="0" w:color="0072BC" w:themeColor="background1"/>
          <w:right w:val="single" w:sz="24" w:space="0" w:color="0072BC" w:themeColor="background1"/>
          <w:insideH w:val="nil"/>
          <w:insideV w:val="nil"/>
        </w:tcBorders>
        <w:shd w:val="clear" w:color="auto" w:fill="5F5F5F" w:themeFill="accent3"/>
      </w:tcPr>
    </w:tblStylePr>
    <w:tblStylePr w:type="lastCol">
      <w:rPr>
        <w:b/>
        <w:bCs/>
        <w:i w:val="0"/>
        <w:iCs w:val="0"/>
        <w:color w:val="0072BC" w:themeColor="background1"/>
      </w:rPr>
      <w:tblPr/>
      <w:tcPr>
        <w:tcBorders>
          <w:top w:val="nil"/>
          <w:left w:val="single" w:sz="24" w:space="0" w:color="0072BC" w:themeColor="background1"/>
          <w:bottom w:val="nil"/>
          <w:right w:val="nil"/>
          <w:insideH w:val="nil"/>
          <w:insideV w:val="nil"/>
        </w:tcBorders>
        <w:shd w:val="clear" w:color="auto" w:fill="5F5F5F" w:themeFill="accent3"/>
      </w:tcPr>
    </w:tblStylePr>
    <w:tblStylePr w:type="band1Vert">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nil"/>
          <w:insideV w:val="nil"/>
        </w:tcBorders>
        <w:shd w:val="clear" w:color="auto" w:fill="AFAFAF" w:themeFill="accent3" w:themeFillTint="7F"/>
      </w:tcPr>
    </w:tblStylePr>
    <w:tblStylePr w:type="band1Horz">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8" w:space="0" w:color="0072BC" w:themeColor="background1"/>
          <w:insideV w:val="single" w:sz="8" w:space="0" w:color="0072BC" w:themeColor="background1"/>
        </w:tcBorders>
        <w:shd w:val="clear" w:color="auto" w:fill="AFAFAF" w:themeFill="accent3" w:themeFillTint="7F"/>
      </w:tcPr>
    </w:tblStylePr>
  </w:style>
  <w:style w:type="table" w:styleId="MediumGrid3-Accent4">
    <w:name w:val="Medium Grid 3 Accent 4"/>
    <w:basedOn w:val="TableNormal"/>
    <w:uiPriority w:val="99"/>
    <w:semiHidden/>
    <w:rsid w:val="0098410D"/>
    <w:tblPr>
      <w:tblStyleRowBandSize w:val="1"/>
      <w:tblStyleColBandSize w:val="1"/>
      <w:tbl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6" w:space="0" w:color="0072BC" w:themeColor="background1"/>
        <w:insideV w:val="single" w:sz="6" w:space="0" w:color="0072BC" w:themeColor="background1"/>
      </w:tblBorders>
    </w:tblPr>
    <w:tcPr>
      <w:shd w:val="clear" w:color="auto" w:fill="E5E5E5" w:themeFill="accent4" w:themeFillTint="3F"/>
    </w:tcPr>
    <w:tblStylePr w:type="firstRow">
      <w:rPr>
        <w:b/>
        <w:bCs/>
        <w:i w:val="0"/>
        <w:iCs w:val="0"/>
        <w:color w:val="0072BC" w:themeColor="background1"/>
      </w:rPr>
      <w:tblPr/>
      <w:tcPr>
        <w:tcBorders>
          <w:top w:val="single" w:sz="8" w:space="0" w:color="0072BC" w:themeColor="background1"/>
          <w:left w:val="single" w:sz="8" w:space="0" w:color="0072BC" w:themeColor="background1"/>
          <w:bottom w:val="single" w:sz="24" w:space="0" w:color="0072BC" w:themeColor="background1"/>
          <w:right w:val="single" w:sz="8" w:space="0" w:color="0072BC" w:themeColor="background1"/>
          <w:insideH w:val="nil"/>
          <w:insideV w:val="single" w:sz="8" w:space="0" w:color="0072BC" w:themeColor="background1"/>
        </w:tcBorders>
        <w:shd w:val="clear" w:color="auto" w:fill="969696" w:themeFill="accent4"/>
      </w:tcPr>
    </w:tblStylePr>
    <w:tblStylePr w:type="lastRow">
      <w:rPr>
        <w:b/>
        <w:bCs/>
        <w:i w:val="0"/>
        <w:iCs w:val="0"/>
        <w:color w:val="0072BC" w:themeColor="background1"/>
      </w:rPr>
      <w:tblPr/>
      <w:tcPr>
        <w:tcBorders>
          <w:top w:val="single" w:sz="24" w:space="0" w:color="0072BC" w:themeColor="background1"/>
          <w:left w:val="single" w:sz="8" w:space="0" w:color="0072BC" w:themeColor="background1"/>
          <w:bottom w:val="single" w:sz="8" w:space="0" w:color="0072BC" w:themeColor="background1"/>
          <w:right w:val="single" w:sz="8" w:space="0" w:color="0072BC" w:themeColor="background1"/>
          <w:insideH w:val="nil"/>
          <w:insideV w:val="single" w:sz="8" w:space="0" w:color="0072BC" w:themeColor="background1"/>
        </w:tcBorders>
        <w:shd w:val="clear" w:color="auto" w:fill="969696" w:themeFill="accent4"/>
      </w:tcPr>
    </w:tblStylePr>
    <w:tblStylePr w:type="firstCol">
      <w:rPr>
        <w:b/>
        <w:bCs/>
        <w:i w:val="0"/>
        <w:iCs w:val="0"/>
        <w:color w:val="0072BC" w:themeColor="background1"/>
      </w:rPr>
      <w:tblPr/>
      <w:tcPr>
        <w:tcBorders>
          <w:left w:val="single" w:sz="8" w:space="0" w:color="0072BC" w:themeColor="background1"/>
          <w:right w:val="single" w:sz="24" w:space="0" w:color="0072BC" w:themeColor="background1"/>
          <w:insideH w:val="nil"/>
          <w:insideV w:val="nil"/>
        </w:tcBorders>
        <w:shd w:val="clear" w:color="auto" w:fill="969696" w:themeFill="accent4"/>
      </w:tcPr>
    </w:tblStylePr>
    <w:tblStylePr w:type="lastCol">
      <w:rPr>
        <w:b/>
        <w:bCs/>
        <w:i w:val="0"/>
        <w:iCs w:val="0"/>
        <w:color w:val="0072BC" w:themeColor="background1"/>
      </w:rPr>
      <w:tblPr/>
      <w:tcPr>
        <w:tcBorders>
          <w:top w:val="nil"/>
          <w:left w:val="single" w:sz="24" w:space="0" w:color="0072BC" w:themeColor="background1"/>
          <w:bottom w:val="nil"/>
          <w:right w:val="nil"/>
          <w:insideH w:val="nil"/>
          <w:insideV w:val="nil"/>
        </w:tcBorders>
        <w:shd w:val="clear" w:color="auto" w:fill="969696" w:themeFill="accent4"/>
      </w:tcPr>
    </w:tblStylePr>
    <w:tblStylePr w:type="band1Vert">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nil"/>
          <w:insideV w:val="nil"/>
        </w:tcBorders>
        <w:shd w:val="clear" w:color="auto" w:fill="CACACA" w:themeFill="accent4" w:themeFillTint="7F"/>
      </w:tcPr>
    </w:tblStylePr>
    <w:tblStylePr w:type="band1Horz">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8" w:space="0" w:color="0072BC" w:themeColor="background1"/>
          <w:insideV w:val="single" w:sz="8" w:space="0" w:color="0072BC" w:themeColor="background1"/>
        </w:tcBorders>
        <w:shd w:val="clear" w:color="auto" w:fill="CACACA" w:themeFill="accent4" w:themeFillTint="7F"/>
      </w:tcPr>
    </w:tblStylePr>
  </w:style>
  <w:style w:type="table" w:styleId="MediumGrid3-Accent5">
    <w:name w:val="Medium Grid 3 Accent 5"/>
    <w:basedOn w:val="TableNormal"/>
    <w:uiPriority w:val="99"/>
    <w:semiHidden/>
    <w:rsid w:val="0098410D"/>
    <w:tblPr>
      <w:tblStyleRowBandSize w:val="1"/>
      <w:tblStyleColBandSize w:val="1"/>
      <w:tbl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6" w:space="0" w:color="0072BC" w:themeColor="background1"/>
        <w:insideV w:val="single" w:sz="6" w:space="0" w:color="0072BC" w:themeColor="background1"/>
      </w:tblBorders>
    </w:tblPr>
    <w:tcPr>
      <w:shd w:val="clear" w:color="auto" w:fill="D7D7D7" w:themeFill="accent5" w:themeFillTint="3F"/>
    </w:tcPr>
    <w:tblStylePr w:type="firstRow">
      <w:rPr>
        <w:b/>
        <w:bCs/>
        <w:i w:val="0"/>
        <w:iCs w:val="0"/>
        <w:color w:val="0072BC" w:themeColor="background1"/>
      </w:rPr>
      <w:tblPr/>
      <w:tcPr>
        <w:tcBorders>
          <w:top w:val="single" w:sz="8" w:space="0" w:color="0072BC" w:themeColor="background1"/>
          <w:left w:val="single" w:sz="8" w:space="0" w:color="0072BC" w:themeColor="background1"/>
          <w:bottom w:val="single" w:sz="24" w:space="0" w:color="0072BC" w:themeColor="background1"/>
          <w:right w:val="single" w:sz="8" w:space="0" w:color="0072BC" w:themeColor="background1"/>
          <w:insideH w:val="nil"/>
          <w:insideV w:val="single" w:sz="8" w:space="0" w:color="0072BC" w:themeColor="background1"/>
        </w:tcBorders>
        <w:shd w:val="clear" w:color="auto" w:fill="5F5F5F" w:themeFill="accent5"/>
      </w:tcPr>
    </w:tblStylePr>
    <w:tblStylePr w:type="lastRow">
      <w:rPr>
        <w:b/>
        <w:bCs/>
        <w:i w:val="0"/>
        <w:iCs w:val="0"/>
        <w:color w:val="0072BC" w:themeColor="background1"/>
      </w:rPr>
      <w:tblPr/>
      <w:tcPr>
        <w:tcBorders>
          <w:top w:val="single" w:sz="24" w:space="0" w:color="0072BC" w:themeColor="background1"/>
          <w:left w:val="single" w:sz="8" w:space="0" w:color="0072BC" w:themeColor="background1"/>
          <w:bottom w:val="single" w:sz="8" w:space="0" w:color="0072BC" w:themeColor="background1"/>
          <w:right w:val="single" w:sz="8" w:space="0" w:color="0072BC" w:themeColor="background1"/>
          <w:insideH w:val="nil"/>
          <w:insideV w:val="single" w:sz="8" w:space="0" w:color="0072BC" w:themeColor="background1"/>
        </w:tcBorders>
        <w:shd w:val="clear" w:color="auto" w:fill="5F5F5F" w:themeFill="accent5"/>
      </w:tcPr>
    </w:tblStylePr>
    <w:tblStylePr w:type="firstCol">
      <w:rPr>
        <w:b/>
        <w:bCs/>
        <w:i w:val="0"/>
        <w:iCs w:val="0"/>
        <w:color w:val="0072BC" w:themeColor="background1"/>
      </w:rPr>
      <w:tblPr/>
      <w:tcPr>
        <w:tcBorders>
          <w:left w:val="single" w:sz="8" w:space="0" w:color="0072BC" w:themeColor="background1"/>
          <w:right w:val="single" w:sz="24" w:space="0" w:color="0072BC" w:themeColor="background1"/>
          <w:insideH w:val="nil"/>
          <w:insideV w:val="nil"/>
        </w:tcBorders>
        <w:shd w:val="clear" w:color="auto" w:fill="5F5F5F" w:themeFill="accent5"/>
      </w:tcPr>
    </w:tblStylePr>
    <w:tblStylePr w:type="lastCol">
      <w:rPr>
        <w:b/>
        <w:bCs/>
        <w:i w:val="0"/>
        <w:iCs w:val="0"/>
        <w:color w:val="0072BC" w:themeColor="background1"/>
      </w:rPr>
      <w:tblPr/>
      <w:tcPr>
        <w:tcBorders>
          <w:top w:val="nil"/>
          <w:left w:val="single" w:sz="24" w:space="0" w:color="0072BC" w:themeColor="background1"/>
          <w:bottom w:val="nil"/>
          <w:right w:val="nil"/>
          <w:insideH w:val="nil"/>
          <w:insideV w:val="nil"/>
        </w:tcBorders>
        <w:shd w:val="clear" w:color="auto" w:fill="5F5F5F" w:themeFill="accent5"/>
      </w:tcPr>
    </w:tblStylePr>
    <w:tblStylePr w:type="band1Vert">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nil"/>
          <w:insideV w:val="nil"/>
        </w:tcBorders>
        <w:shd w:val="clear" w:color="auto" w:fill="AFAFAF" w:themeFill="accent5" w:themeFillTint="7F"/>
      </w:tcPr>
    </w:tblStylePr>
    <w:tblStylePr w:type="band1Horz">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8" w:space="0" w:color="0072BC" w:themeColor="background1"/>
          <w:insideV w:val="single" w:sz="8" w:space="0" w:color="0072BC" w:themeColor="background1"/>
        </w:tcBorders>
        <w:shd w:val="clear" w:color="auto" w:fill="AFAFAF" w:themeFill="accent5" w:themeFillTint="7F"/>
      </w:tcPr>
    </w:tblStylePr>
  </w:style>
  <w:style w:type="table" w:styleId="MediumGrid3-Accent6">
    <w:name w:val="Medium Grid 3 Accent 6"/>
    <w:basedOn w:val="TableNormal"/>
    <w:uiPriority w:val="99"/>
    <w:semiHidden/>
    <w:rsid w:val="0098410D"/>
    <w:tblPr>
      <w:tblStyleRowBandSize w:val="1"/>
      <w:tblStyleColBandSize w:val="1"/>
      <w:tbl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6" w:space="0" w:color="0072BC" w:themeColor="background1"/>
        <w:insideV w:val="single" w:sz="6" w:space="0" w:color="0072BC" w:themeColor="background1"/>
      </w:tblBorders>
    </w:tblPr>
    <w:tcPr>
      <w:shd w:val="clear" w:color="auto" w:fill="D3D3D3" w:themeFill="accent6" w:themeFillTint="3F"/>
    </w:tcPr>
    <w:tblStylePr w:type="firstRow">
      <w:rPr>
        <w:b/>
        <w:bCs/>
        <w:i w:val="0"/>
        <w:iCs w:val="0"/>
        <w:color w:val="0072BC" w:themeColor="background1"/>
      </w:rPr>
      <w:tblPr/>
      <w:tcPr>
        <w:tcBorders>
          <w:top w:val="single" w:sz="8" w:space="0" w:color="0072BC" w:themeColor="background1"/>
          <w:left w:val="single" w:sz="8" w:space="0" w:color="0072BC" w:themeColor="background1"/>
          <w:bottom w:val="single" w:sz="24" w:space="0" w:color="0072BC" w:themeColor="background1"/>
          <w:right w:val="single" w:sz="8" w:space="0" w:color="0072BC" w:themeColor="background1"/>
          <w:insideH w:val="nil"/>
          <w:insideV w:val="single" w:sz="8" w:space="0" w:color="0072BC" w:themeColor="background1"/>
        </w:tcBorders>
        <w:shd w:val="clear" w:color="auto" w:fill="4D4D4D" w:themeFill="accent6"/>
      </w:tcPr>
    </w:tblStylePr>
    <w:tblStylePr w:type="lastRow">
      <w:rPr>
        <w:b/>
        <w:bCs/>
        <w:i w:val="0"/>
        <w:iCs w:val="0"/>
        <w:color w:val="0072BC" w:themeColor="background1"/>
      </w:rPr>
      <w:tblPr/>
      <w:tcPr>
        <w:tcBorders>
          <w:top w:val="single" w:sz="24" w:space="0" w:color="0072BC" w:themeColor="background1"/>
          <w:left w:val="single" w:sz="8" w:space="0" w:color="0072BC" w:themeColor="background1"/>
          <w:bottom w:val="single" w:sz="8" w:space="0" w:color="0072BC" w:themeColor="background1"/>
          <w:right w:val="single" w:sz="8" w:space="0" w:color="0072BC" w:themeColor="background1"/>
          <w:insideH w:val="nil"/>
          <w:insideV w:val="single" w:sz="8" w:space="0" w:color="0072BC" w:themeColor="background1"/>
        </w:tcBorders>
        <w:shd w:val="clear" w:color="auto" w:fill="4D4D4D" w:themeFill="accent6"/>
      </w:tcPr>
    </w:tblStylePr>
    <w:tblStylePr w:type="firstCol">
      <w:rPr>
        <w:b/>
        <w:bCs/>
        <w:i w:val="0"/>
        <w:iCs w:val="0"/>
        <w:color w:val="0072BC" w:themeColor="background1"/>
      </w:rPr>
      <w:tblPr/>
      <w:tcPr>
        <w:tcBorders>
          <w:left w:val="single" w:sz="8" w:space="0" w:color="0072BC" w:themeColor="background1"/>
          <w:right w:val="single" w:sz="24" w:space="0" w:color="0072BC" w:themeColor="background1"/>
          <w:insideH w:val="nil"/>
          <w:insideV w:val="nil"/>
        </w:tcBorders>
        <w:shd w:val="clear" w:color="auto" w:fill="4D4D4D" w:themeFill="accent6"/>
      </w:tcPr>
    </w:tblStylePr>
    <w:tblStylePr w:type="lastCol">
      <w:rPr>
        <w:b/>
        <w:bCs/>
        <w:i w:val="0"/>
        <w:iCs w:val="0"/>
        <w:color w:val="0072BC" w:themeColor="background1"/>
      </w:rPr>
      <w:tblPr/>
      <w:tcPr>
        <w:tcBorders>
          <w:top w:val="nil"/>
          <w:left w:val="single" w:sz="24" w:space="0" w:color="0072BC" w:themeColor="background1"/>
          <w:bottom w:val="nil"/>
          <w:right w:val="nil"/>
          <w:insideH w:val="nil"/>
          <w:insideV w:val="nil"/>
        </w:tcBorders>
        <w:shd w:val="clear" w:color="auto" w:fill="4D4D4D" w:themeFill="accent6"/>
      </w:tcPr>
    </w:tblStylePr>
    <w:tblStylePr w:type="band1Vert">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nil"/>
          <w:insideV w:val="nil"/>
        </w:tcBorders>
        <w:shd w:val="clear" w:color="auto" w:fill="A6A6A6" w:themeFill="accent6" w:themeFillTint="7F"/>
      </w:tcPr>
    </w:tblStylePr>
    <w:tblStylePr w:type="band1Horz">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8" w:space="0" w:color="0072BC" w:themeColor="background1"/>
          <w:insideV w:val="single" w:sz="8" w:space="0" w:color="0072BC" w:themeColor="background1"/>
        </w:tcBorders>
        <w:shd w:val="clear" w:color="auto" w:fill="A6A6A6" w:themeFill="accent6" w:themeFillTint="7F"/>
      </w:tcPr>
    </w:tblStylePr>
  </w:style>
  <w:style w:type="table" w:styleId="MediumList1">
    <w:name w:val="Medium List 1"/>
    <w:basedOn w:val="TableNormal"/>
    <w:uiPriority w:val="99"/>
    <w:semiHidden/>
    <w:rsid w:val="0098410D"/>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C6C6C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99"/>
    <w:semiHidden/>
    <w:rsid w:val="0098410D"/>
    <w:rPr>
      <w:color w:val="000000" w:themeColor="text1"/>
    </w:rPr>
    <w:tblPr>
      <w:tblStyleRowBandSize w:val="1"/>
      <w:tblStyleColBandSize w:val="1"/>
      <w:tblBorders>
        <w:top w:val="single" w:sz="8" w:space="0" w:color="0072BC" w:themeColor="accent1"/>
        <w:bottom w:val="single" w:sz="8" w:space="0" w:color="0072BC" w:themeColor="accent1"/>
      </w:tblBorders>
    </w:tblPr>
    <w:tblStylePr w:type="firstRow">
      <w:rPr>
        <w:rFonts w:asciiTheme="majorHAnsi" w:eastAsiaTheme="majorEastAsia" w:hAnsiTheme="majorHAnsi" w:cstheme="majorBidi"/>
      </w:rPr>
      <w:tblPr/>
      <w:tcPr>
        <w:tcBorders>
          <w:top w:val="nil"/>
          <w:bottom w:val="single" w:sz="8" w:space="0" w:color="0072BC" w:themeColor="accent1"/>
        </w:tcBorders>
      </w:tcPr>
    </w:tblStylePr>
    <w:tblStylePr w:type="lastRow">
      <w:rPr>
        <w:b/>
        <w:bCs/>
        <w:color w:val="C6C6C6" w:themeColor="text2"/>
      </w:rPr>
      <w:tblPr/>
      <w:tcPr>
        <w:tcBorders>
          <w:top w:val="single" w:sz="8" w:space="0" w:color="0072BC" w:themeColor="accent1"/>
          <w:bottom w:val="single" w:sz="8" w:space="0" w:color="0072BC" w:themeColor="accent1"/>
        </w:tcBorders>
      </w:tcPr>
    </w:tblStylePr>
    <w:tblStylePr w:type="firstCol">
      <w:rPr>
        <w:b/>
        <w:bCs/>
      </w:rPr>
    </w:tblStylePr>
    <w:tblStylePr w:type="lastCol">
      <w:rPr>
        <w:b/>
        <w:bCs/>
      </w:rPr>
      <w:tblPr/>
      <w:tcPr>
        <w:tcBorders>
          <w:top w:val="single" w:sz="8" w:space="0" w:color="0072BC" w:themeColor="accent1"/>
          <w:bottom w:val="single" w:sz="8" w:space="0" w:color="0072BC" w:themeColor="accent1"/>
        </w:tcBorders>
      </w:tcPr>
    </w:tblStylePr>
    <w:tblStylePr w:type="band1Vert">
      <w:tblPr/>
      <w:tcPr>
        <w:shd w:val="clear" w:color="auto" w:fill="AFDFFF" w:themeFill="accent1" w:themeFillTint="3F"/>
      </w:tcPr>
    </w:tblStylePr>
    <w:tblStylePr w:type="band1Horz">
      <w:tblPr/>
      <w:tcPr>
        <w:shd w:val="clear" w:color="auto" w:fill="AFDFFF" w:themeFill="accent1" w:themeFillTint="3F"/>
      </w:tcPr>
    </w:tblStylePr>
  </w:style>
  <w:style w:type="table" w:styleId="MediumList1-Accent2">
    <w:name w:val="Medium List 1 Accent 2"/>
    <w:basedOn w:val="TableNormal"/>
    <w:uiPriority w:val="99"/>
    <w:semiHidden/>
    <w:rsid w:val="0098410D"/>
    <w:rPr>
      <w:color w:val="000000" w:themeColor="text1"/>
    </w:rPr>
    <w:tblPr>
      <w:tblStyleRowBandSize w:val="1"/>
      <w:tblStyleColBandSize w:val="1"/>
      <w:tblBorders>
        <w:top w:val="single" w:sz="8" w:space="0" w:color="C00000" w:themeColor="accent2"/>
        <w:bottom w:val="single" w:sz="8" w:space="0" w:color="C00000" w:themeColor="accent2"/>
      </w:tblBorders>
    </w:tblPr>
    <w:tblStylePr w:type="firstRow">
      <w:rPr>
        <w:rFonts w:asciiTheme="majorHAnsi" w:eastAsiaTheme="majorEastAsia" w:hAnsiTheme="majorHAnsi" w:cstheme="majorBidi"/>
      </w:rPr>
      <w:tblPr/>
      <w:tcPr>
        <w:tcBorders>
          <w:top w:val="nil"/>
          <w:bottom w:val="single" w:sz="8" w:space="0" w:color="C00000" w:themeColor="accent2"/>
        </w:tcBorders>
      </w:tcPr>
    </w:tblStylePr>
    <w:tblStylePr w:type="lastRow">
      <w:rPr>
        <w:b/>
        <w:bCs/>
        <w:color w:val="C6C6C6" w:themeColor="text2"/>
      </w:rPr>
      <w:tblPr/>
      <w:tcPr>
        <w:tcBorders>
          <w:top w:val="single" w:sz="8" w:space="0" w:color="C00000" w:themeColor="accent2"/>
          <w:bottom w:val="single" w:sz="8" w:space="0" w:color="C00000" w:themeColor="accent2"/>
        </w:tcBorders>
      </w:tcPr>
    </w:tblStylePr>
    <w:tblStylePr w:type="firstCol">
      <w:rPr>
        <w:b/>
        <w:bCs/>
      </w:rPr>
    </w:tblStylePr>
    <w:tblStylePr w:type="lastCol">
      <w:rPr>
        <w:b/>
        <w:bCs/>
      </w:rPr>
      <w:tblPr/>
      <w:tcPr>
        <w:tcBorders>
          <w:top w:val="single" w:sz="8" w:space="0" w:color="C00000" w:themeColor="accent2"/>
          <w:bottom w:val="single" w:sz="8" w:space="0" w:color="C00000" w:themeColor="accent2"/>
        </w:tcBorders>
      </w:tcPr>
    </w:tblStylePr>
    <w:tblStylePr w:type="band1Vert">
      <w:tblPr/>
      <w:tcPr>
        <w:shd w:val="clear" w:color="auto" w:fill="FFB0B0" w:themeFill="accent2" w:themeFillTint="3F"/>
      </w:tcPr>
    </w:tblStylePr>
    <w:tblStylePr w:type="band1Horz">
      <w:tblPr/>
      <w:tcPr>
        <w:shd w:val="clear" w:color="auto" w:fill="FFB0B0" w:themeFill="accent2" w:themeFillTint="3F"/>
      </w:tcPr>
    </w:tblStylePr>
  </w:style>
  <w:style w:type="table" w:styleId="MediumList1-Accent3">
    <w:name w:val="Medium List 1 Accent 3"/>
    <w:basedOn w:val="TableNormal"/>
    <w:uiPriority w:val="99"/>
    <w:semiHidden/>
    <w:rsid w:val="0098410D"/>
    <w:rPr>
      <w:color w:val="000000" w:themeColor="text1"/>
    </w:rPr>
    <w:tblPr>
      <w:tblStyleRowBandSize w:val="1"/>
      <w:tblStyleColBandSize w:val="1"/>
      <w:tblBorders>
        <w:top w:val="single" w:sz="8" w:space="0" w:color="5F5F5F" w:themeColor="accent3"/>
        <w:bottom w:val="single" w:sz="8" w:space="0" w:color="5F5F5F" w:themeColor="accent3"/>
      </w:tblBorders>
    </w:tblPr>
    <w:tblStylePr w:type="firstRow">
      <w:rPr>
        <w:rFonts w:asciiTheme="majorHAnsi" w:eastAsiaTheme="majorEastAsia" w:hAnsiTheme="majorHAnsi" w:cstheme="majorBidi"/>
      </w:rPr>
      <w:tblPr/>
      <w:tcPr>
        <w:tcBorders>
          <w:top w:val="nil"/>
          <w:bottom w:val="single" w:sz="8" w:space="0" w:color="5F5F5F" w:themeColor="accent3"/>
        </w:tcBorders>
      </w:tcPr>
    </w:tblStylePr>
    <w:tblStylePr w:type="lastRow">
      <w:rPr>
        <w:b/>
        <w:bCs/>
        <w:color w:val="C6C6C6" w:themeColor="text2"/>
      </w:rPr>
      <w:tblPr/>
      <w:tcPr>
        <w:tcBorders>
          <w:top w:val="single" w:sz="8" w:space="0" w:color="5F5F5F" w:themeColor="accent3"/>
          <w:bottom w:val="single" w:sz="8" w:space="0" w:color="5F5F5F" w:themeColor="accent3"/>
        </w:tcBorders>
      </w:tcPr>
    </w:tblStylePr>
    <w:tblStylePr w:type="firstCol">
      <w:rPr>
        <w:b/>
        <w:bCs/>
      </w:rPr>
    </w:tblStylePr>
    <w:tblStylePr w:type="lastCol">
      <w:rPr>
        <w:b/>
        <w:bCs/>
      </w:rPr>
      <w:tblPr/>
      <w:tcPr>
        <w:tcBorders>
          <w:top w:val="single" w:sz="8" w:space="0" w:color="5F5F5F" w:themeColor="accent3"/>
          <w:bottom w:val="single" w:sz="8" w:space="0" w:color="5F5F5F" w:themeColor="accent3"/>
        </w:tcBorders>
      </w:tcPr>
    </w:tblStylePr>
    <w:tblStylePr w:type="band1Vert">
      <w:tblPr/>
      <w:tcPr>
        <w:shd w:val="clear" w:color="auto" w:fill="D7D7D7" w:themeFill="accent3" w:themeFillTint="3F"/>
      </w:tcPr>
    </w:tblStylePr>
    <w:tblStylePr w:type="band1Horz">
      <w:tblPr/>
      <w:tcPr>
        <w:shd w:val="clear" w:color="auto" w:fill="D7D7D7" w:themeFill="accent3" w:themeFillTint="3F"/>
      </w:tcPr>
    </w:tblStylePr>
  </w:style>
  <w:style w:type="table" w:styleId="MediumList1-Accent4">
    <w:name w:val="Medium List 1 Accent 4"/>
    <w:basedOn w:val="TableNormal"/>
    <w:uiPriority w:val="99"/>
    <w:semiHidden/>
    <w:rsid w:val="0098410D"/>
    <w:rPr>
      <w:color w:val="000000" w:themeColor="text1"/>
    </w:rPr>
    <w:tblPr>
      <w:tblStyleRowBandSize w:val="1"/>
      <w:tblStyleColBandSize w:val="1"/>
      <w:tblBorders>
        <w:top w:val="single" w:sz="8" w:space="0" w:color="969696" w:themeColor="accent4"/>
        <w:bottom w:val="single" w:sz="8" w:space="0" w:color="969696" w:themeColor="accent4"/>
      </w:tblBorders>
    </w:tblPr>
    <w:tblStylePr w:type="firstRow">
      <w:rPr>
        <w:rFonts w:asciiTheme="majorHAnsi" w:eastAsiaTheme="majorEastAsia" w:hAnsiTheme="majorHAnsi" w:cstheme="majorBidi"/>
      </w:rPr>
      <w:tblPr/>
      <w:tcPr>
        <w:tcBorders>
          <w:top w:val="nil"/>
          <w:bottom w:val="single" w:sz="8" w:space="0" w:color="969696" w:themeColor="accent4"/>
        </w:tcBorders>
      </w:tcPr>
    </w:tblStylePr>
    <w:tblStylePr w:type="lastRow">
      <w:rPr>
        <w:b/>
        <w:bCs/>
        <w:color w:val="C6C6C6" w:themeColor="text2"/>
      </w:rPr>
      <w:tblPr/>
      <w:tcPr>
        <w:tcBorders>
          <w:top w:val="single" w:sz="8" w:space="0" w:color="969696" w:themeColor="accent4"/>
          <w:bottom w:val="single" w:sz="8" w:space="0" w:color="969696" w:themeColor="accent4"/>
        </w:tcBorders>
      </w:tcPr>
    </w:tblStylePr>
    <w:tblStylePr w:type="firstCol">
      <w:rPr>
        <w:b/>
        <w:bCs/>
      </w:rPr>
    </w:tblStylePr>
    <w:tblStylePr w:type="lastCol">
      <w:rPr>
        <w:b/>
        <w:bCs/>
      </w:rPr>
      <w:tblPr/>
      <w:tcPr>
        <w:tcBorders>
          <w:top w:val="single" w:sz="8" w:space="0" w:color="969696" w:themeColor="accent4"/>
          <w:bottom w:val="single" w:sz="8" w:space="0" w:color="969696" w:themeColor="accent4"/>
        </w:tcBorders>
      </w:tcPr>
    </w:tblStylePr>
    <w:tblStylePr w:type="band1Vert">
      <w:tblPr/>
      <w:tcPr>
        <w:shd w:val="clear" w:color="auto" w:fill="E5E5E5" w:themeFill="accent4" w:themeFillTint="3F"/>
      </w:tcPr>
    </w:tblStylePr>
    <w:tblStylePr w:type="band1Horz">
      <w:tblPr/>
      <w:tcPr>
        <w:shd w:val="clear" w:color="auto" w:fill="E5E5E5" w:themeFill="accent4" w:themeFillTint="3F"/>
      </w:tcPr>
    </w:tblStylePr>
  </w:style>
  <w:style w:type="table" w:styleId="MediumList1-Accent5">
    <w:name w:val="Medium List 1 Accent 5"/>
    <w:basedOn w:val="TableNormal"/>
    <w:uiPriority w:val="99"/>
    <w:semiHidden/>
    <w:rsid w:val="0098410D"/>
    <w:rPr>
      <w:color w:val="000000" w:themeColor="text1"/>
    </w:rPr>
    <w:tblPr>
      <w:tblStyleRowBandSize w:val="1"/>
      <w:tblStyleColBandSize w:val="1"/>
      <w:tblBorders>
        <w:top w:val="single" w:sz="8" w:space="0" w:color="5F5F5F" w:themeColor="accent5"/>
        <w:bottom w:val="single" w:sz="8" w:space="0" w:color="5F5F5F" w:themeColor="accent5"/>
      </w:tblBorders>
    </w:tblPr>
    <w:tblStylePr w:type="firstRow">
      <w:rPr>
        <w:rFonts w:asciiTheme="majorHAnsi" w:eastAsiaTheme="majorEastAsia" w:hAnsiTheme="majorHAnsi" w:cstheme="majorBidi"/>
      </w:rPr>
      <w:tblPr/>
      <w:tcPr>
        <w:tcBorders>
          <w:top w:val="nil"/>
          <w:bottom w:val="single" w:sz="8" w:space="0" w:color="5F5F5F" w:themeColor="accent5"/>
        </w:tcBorders>
      </w:tcPr>
    </w:tblStylePr>
    <w:tblStylePr w:type="lastRow">
      <w:rPr>
        <w:b/>
        <w:bCs/>
        <w:color w:val="C6C6C6" w:themeColor="text2"/>
      </w:rPr>
      <w:tblPr/>
      <w:tcPr>
        <w:tcBorders>
          <w:top w:val="single" w:sz="8" w:space="0" w:color="5F5F5F" w:themeColor="accent5"/>
          <w:bottom w:val="single" w:sz="8" w:space="0" w:color="5F5F5F" w:themeColor="accent5"/>
        </w:tcBorders>
      </w:tcPr>
    </w:tblStylePr>
    <w:tblStylePr w:type="firstCol">
      <w:rPr>
        <w:b/>
        <w:bCs/>
      </w:rPr>
    </w:tblStylePr>
    <w:tblStylePr w:type="lastCol">
      <w:rPr>
        <w:b/>
        <w:bCs/>
      </w:rPr>
      <w:tblPr/>
      <w:tcPr>
        <w:tcBorders>
          <w:top w:val="single" w:sz="8" w:space="0" w:color="5F5F5F" w:themeColor="accent5"/>
          <w:bottom w:val="single" w:sz="8" w:space="0" w:color="5F5F5F" w:themeColor="accent5"/>
        </w:tcBorders>
      </w:tcPr>
    </w:tblStylePr>
    <w:tblStylePr w:type="band1Vert">
      <w:tblPr/>
      <w:tcPr>
        <w:shd w:val="clear" w:color="auto" w:fill="D7D7D7" w:themeFill="accent5" w:themeFillTint="3F"/>
      </w:tcPr>
    </w:tblStylePr>
    <w:tblStylePr w:type="band1Horz">
      <w:tblPr/>
      <w:tcPr>
        <w:shd w:val="clear" w:color="auto" w:fill="D7D7D7" w:themeFill="accent5" w:themeFillTint="3F"/>
      </w:tcPr>
    </w:tblStylePr>
  </w:style>
  <w:style w:type="table" w:styleId="MediumList1-Accent6">
    <w:name w:val="Medium List 1 Accent 6"/>
    <w:basedOn w:val="TableNormal"/>
    <w:uiPriority w:val="99"/>
    <w:semiHidden/>
    <w:rsid w:val="0098410D"/>
    <w:rPr>
      <w:color w:val="000000" w:themeColor="text1"/>
    </w:rPr>
    <w:tblPr>
      <w:tblStyleRowBandSize w:val="1"/>
      <w:tblStyleColBandSize w:val="1"/>
      <w:tblBorders>
        <w:top w:val="single" w:sz="8" w:space="0" w:color="4D4D4D" w:themeColor="accent6"/>
        <w:bottom w:val="single" w:sz="8" w:space="0" w:color="4D4D4D" w:themeColor="accent6"/>
      </w:tblBorders>
    </w:tblPr>
    <w:tblStylePr w:type="firstRow">
      <w:rPr>
        <w:rFonts w:asciiTheme="majorHAnsi" w:eastAsiaTheme="majorEastAsia" w:hAnsiTheme="majorHAnsi" w:cstheme="majorBidi"/>
      </w:rPr>
      <w:tblPr/>
      <w:tcPr>
        <w:tcBorders>
          <w:top w:val="nil"/>
          <w:bottom w:val="single" w:sz="8" w:space="0" w:color="4D4D4D" w:themeColor="accent6"/>
        </w:tcBorders>
      </w:tcPr>
    </w:tblStylePr>
    <w:tblStylePr w:type="lastRow">
      <w:rPr>
        <w:b/>
        <w:bCs/>
        <w:color w:val="C6C6C6" w:themeColor="text2"/>
      </w:rPr>
      <w:tblPr/>
      <w:tcPr>
        <w:tcBorders>
          <w:top w:val="single" w:sz="8" w:space="0" w:color="4D4D4D" w:themeColor="accent6"/>
          <w:bottom w:val="single" w:sz="8" w:space="0" w:color="4D4D4D" w:themeColor="accent6"/>
        </w:tcBorders>
      </w:tcPr>
    </w:tblStylePr>
    <w:tblStylePr w:type="firstCol">
      <w:rPr>
        <w:b/>
        <w:bCs/>
      </w:rPr>
    </w:tblStylePr>
    <w:tblStylePr w:type="lastCol">
      <w:rPr>
        <w:b/>
        <w:bCs/>
      </w:rPr>
      <w:tblPr/>
      <w:tcPr>
        <w:tcBorders>
          <w:top w:val="single" w:sz="8" w:space="0" w:color="4D4D4D" w:themeColor="accent6"/>
          <w:bottom w:val="single" w:sz="8" w:space="0" w:color="4D4D4D" w:themeColor="accent6"/>
        </w:tcBorders>
      </w:tcPr>
    </w:tblStylePr>
    <w:tblStylePr w:type="band1Vert">
      <w:tblPr/>
      <w:tcPr>
        <w:shd w:val="clear" w:color="auto" w:fill="D3D3D3" w:themeFill="accent6" w:themeFillTint="3F"/>
      </w:tcPr>
    </w:tblStylePr>
    <w:tblStylePr w:type="band1Horz">
      <w:tblPr/>
      <w:tcPr>
        <w:shd w:val="clear" w:color="auto" w:fill="D3D3D3" w:themeFill="accent6" w:themeFillTint="3F"/>
      </w:tcPr>
    </w:tblStylePr>
  </w:style>
  <w:style w:type="table" w:styleId="MediumList2">
    <w:name w:val="Medium List 2"/>
    <w:basedOn w:val="TableNormal"/>
    <w:uiPriority w:val="99"/>
    <w:semiHidden/>
    <w:rsid w:val="0098410D"/>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0072BC" w:themeFill="background1"/>
      </w:tcPr>
    </w:tblStylePr>
    <w:tblStylePr w:type="lastRow">
      <w:tblPr/>
      <w:tcPr>
        <w:tcBorders>
          <w:top w:val="single" w:sz="8" w:space="0" w:color="000000" w:themeColor="text1"/>
          <w:left w:val="nil"/>
          <w:bottom w:val="nil"/>
          <w:right w:val="nil"/>
          <w:insideH w:val="nil"/>
          <w:insideV w:val="nil"/>
        </w:tcBorders>
        <w:shd w:val="clear" w:color="auto" w:fill="0072BC" w:themeFill="background1"/>
      </w:tcPr>
    </w:tblStylePr>
    <w:tblStylePr w:type="firstCol">
      <w:tblPr/>
      <w:tcPr>
        <w:tcBorders>
          <w:top w:val="nil"/>
          <w:left w:val="nil"/>
          <w:bottom w:val="nil"/>
          <w:right w:val="single" w:sz="8" w:space="0" w:color="000000" w:themeColor="text1"/>
          <w:insideH w:val="nil"/>
          <w:insideV w:val="nil"/>
        </w:tcBorders>
        <w:shd w:val="clear" w:color="auto" w:fill="0072BC" w:themeFill="background1"/>
      </w:tcPr>
    </w:tblStylePr>
    <w:tblStylePr w:type="lastCol">
      <w:tblPr/>
      <w:tcPr>
        <w:tcBorders>
          <w:top w:val="nil"/>
          <w:left w:val="single" w:sz="8" w:space="0" w:color="000000" w:themeColor="text1"/>
          <w:bottom w:val="nil"/>
          <w:right w:val="nil"/>
          <w:insideH w:val="nil"/>
          <w:insideV w:val="nil"/>
        </w:tcBorders>
        <w:shd w:val="clear" w:color="auto" w:fill="0072BC"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0072BC" w:themeFill="background1"/>
      </w:tcPr>
    </w:tblStylePr>
    <w:tblStylePr w:type="swCell">
      <w:tblPr/>
      <w:tcPr>
        <w:tcBorders>
          <w:top w:val="nil"/>
        </w:tcBorders>
      </w:tcPr>
    </w:tblStylePr>
  </w:style>
  <w:style w:type="table" w:styleId="MediumList2-Accent1">
    <w:name w:val="Medium List 2 Accent 1"/>
    <w:basedOn w:val="TableNormal"/>
    <w:uiPriority w:val="99"/>
    <w:semiHidden/>
    <w:rsid w:val="0098410D"/>
    <w:rPr>
      <w:rFonts w:asciiTheme="majorHAnsi" w:eastAsiaTheme="majorEastAsia" w:hAnsiTheme="majorHAnsi" w:cstheme="majorBidi"/>
      <w:color w:val="000000" w:themeColor="text1"/>
    </w:rPr>
    <w:tblPr>
      <w:tblStyleRowBandSize w:val="1"/>
      <w:tblStyleColBandSize w:val="1"/>
      <w:tblBorders>
        <w:top w:val="single" w:sz="8" w:space="0" w:color="0072BC" w:themeColor="accent1"/>
        <w:left w:val="single" w:sz="8" w:space="0" w:color="0072BC" w:themeColor="accent1"/>
        <w:bottom w:val="single" w:sz="8" w:space="0" w:color="0072BC" w:themeColor="accent1"/>
        <w:right w:val="single" w:sz="8" w:space="0" w:color="0072BC" w:themeColor="accent1"/>
      </w:tblBorders>
    </w:tblPr>
    <w:tblStylePr w:type="firstRow">
      <w:rPr>
        <w:sz w:val="24"/>
        <w:szCs w:val="24"/>
      </w:rPr>
      <w:tblPr/>
      <w:tcPr>
        <w:tcBorders>
          <w:top w:val="nil"/>
          <w:left w:val="nil"/>
          <w:bottom w:val="single" w:sz="24" w:space="0" w:color="0072BC" w:themeColor="accent1"/>
          <w:right w:val="nil"/>
          <w:insideH w:val="nil"/>
          <w:insideV w:val="nil"/>
        </w:tcBorders>
        <w:shd w:val="clear" w:color="auto" w:fill="0072BC" w:themeFill="background1"/>
      </w:tcPr>
    </w:tblStylePr>
    <w:tblStylePr w:type="lastRow">
      <w:tblPr/>
      <w:tcPr>
        <w:tcBorders>
          <w:top w:val="single" w:sz="8" w:space="0" w:color="0072BC" w:themeColor="accent1"/>
          <w:left w:val="nil"/>
          <w:bottom w:val="nil"/>
          <w:right w:val="nil"/>
          <w:insideH w:val="nil"/>
          <w:insideV w:val="nil"/>
        </w:tcBorders>
        <w:shd w:val="clear" w:color="auto" w:fill="0072BC" w:themeFill="background1"/>
      </w:tcPr>
    </w:tblStylePr>
    <w:tblStylePr w:type="firstCol">
      <w:tblPr/>
      <w:tcPr>
        <w:tcBorders>
          <w:top w:val="nil"/>
          <w:left w:val="nil"/>
          <w:bottom w:val="nil"/>
          <w:right w:val="single" w:sz="8" w:space="0" w:color="0072BC" w:themeColor="accent1"/>
          <w:insideH w:val="nil"/>
          <w:insideV w:val="nil"/>
        </w:tcBorders>
        <w:shd w:val="clear" w:color="auto" w:fill="0072BC" w:themeFill="background1"/>
      </w:tcPr>
    </w:tblStylePr>
    <w:tblStylePr w:type="lastCol">
      <w:tblPr/>
      <w:tcPr>
        <w:tcBorders>
          <w:top w:val="nil"/>
          <w:left w:val="single" w:sz="8" w:space="0" w:color="0072BC" w:themeColor="accent1"/>
          <w:bottom w:val="nil"/>
          <w:right w:val="nil"/>
          <w:insideH w:val="nil"/>
          <w:insideV w:val="nil"/>
        </w:tcBorders>
        <w:shd w:val="clear" w:color="auto" w:fill="0072BC" w:themeFill="background1"/>
      </w:tcPr>
    </w:tblStylePr>
    <w:tblStylePr w:type="band1Vert">
      <w:tblPr/>
      <w:tcPr>
        <w:tcBorders>
          <w:left w:val="nil"/>
          <w:right w:val="nil"/>
          <w:insideH w:val="nil"/>
          <w:insideV w:val="nil"/>
        </w:tcBorders>
        <w:shd w:val="clear" w:color="auto" w:fill="AFDFFF" w:themeFill="accent1" w:themeFillTint="3F"/>
      </w:tcPr>
    </w:tblStylePr>
    <w:tblStylePr w:type="band1Horz">
      <w:tblPr/>
      <w:tcPr>
        <w:tcBorders>
          <w:top w:val="nil"/>
          <w:bottom w:val="nil"/>
          <w:insideH w:val="nil"/>
          <w:insideV w:val="nil"/>
        </w:tcBorders>
        <w:shd w:val="clear" w:color="auto" w:fill="AFDFFF" w:themeFill="accent1" w:themeFillTint="3F"/>
      </w:tcPr>
    </w:tblStylePr>
    <w:tblStylePr w:type="nwCell">
      <w:tblPr/>
      <w:tcPr>
        <w:shd w:val="clear" w:color="auto" w:fill="0072BC" w:themeFill="background1"/>
      </w:tcPr>
    </w:tblStylePr>
    <w:tblStylePr w:type="swCell">
      <w:tblPr/>
      <w:tcPr>
        <w:tcBorders>
          <w:top w:val="nil"/>
        </w:tcBorders>
      </w:tcPr>
    </w:tblStylePr>
  </w:style>
  <w:style w:type="table" w:styleId="MediumList2-Accent2">
    <w:name w:val="Medium List 2 Accent 2"/>
    <w:basedOn w:val="TableNormal"/>
    <w:uiPriority w:val="99"/>
    <w:semiHidden/>
    <w:rsid w:val="0098410D"/>
    <w:rPr>
      <w:rFonts w:asciiTheme="majorHAnsi" w:eastAsiaTheme="majorEastAsia" w:hAnsiTheme="majorHAnsi" w:cstheme="majorBidi"/>
      <w:color w:val="000000" w:themeColor="text1"/>
    </w:rPr>
    <w:tblPr>
      <w:tblStyleRowBandSize w:val="1"/>
      <w:tblStyleColBandSize w:val="1"/>
      <w:tblBorders>
        <w:top w:val="single" w:sz="8" w:space="0" w:color="C00000" w:themeColor="accent2"/>
        <w:left w:val="single" w:sz="8" w:space="0" w:color="C00000" w:themeColor="accent2"/>
        <w:bottom w:val="single" w:sz="8" w:space="0" w:color="C00000" w:themeColor="accent2"/>
        <w:right w:val="single" w:sz="8" w:space="0" w:color="C00000" w:themeColor="accent2"/>
      </w:tblBorders>
    </w:tblPr>
    <w:tblStylePr w:type="firstRow">
      <w:rPr>
        <w:sz w:val="24"/>
        <w:szCs w:val="24"/>
      </w:rPr>
      <w:tblPr/>
      <w:tcPr>
        <w:tcBorders>
          <w:top w:val="nil"/>
          <w:left w:val="nil"/>
          <w:bottom w:val="single" w:sz="24" w:space="0" w:color="C00000" w:themeColor="accent2"/>
          <w:right w:val="nil"/>
          <w:insideH w:val="nil"/>
          <w:insideV w:val="nil"/>
        </w:tcBorders>
        <w:shd w:val="clear" w:color="auto" w:fill="0072BC" w:themeFill="background1"/>
      </w:tcPr>
    </w:tblStylePr>
    <w:tblStylePr w:type="lastRow">
      <w:tblPr/>
      <w:tcPr>
        <w:tcBorders>
          <w:top w:val="single" w:sz="8" w:space="0" w:color="C00000" w:themeColor="accent2"/>
          <w:left w:val="nil"/>
          <w:bottom w:val="nil"/>
          <w:right w:val="nil"/>
          <w:insideH w:val="nil"/>
          <w:insideV w:val="nil"/>
        </w:tcBorders>
        <w:shd w:val="clear" w:color="auto" w:fill="0072BC" w:themeFill="background1"/>
      </w:tcPr>
    </w:tblStylePr>
    <w:tblStylePr w:type="firstCol">
      <w:tblPr/>
      <w:tcPr>
        <w:tcBorders>
          <w:top w:val="nil"/>
          <w:left w:val="nil"/>
          <w:bottom w:val="nil"/>
          <w:right w:val="single" w:sz="8" w:space="0" w:color="C00000" w:themeColor="accent2"/>
          <w:insideH w:val="nil"/>
          <w:insideV w:val="nil"/>
        </w:tcBorders>
        <w:shd w:val="clear" w:color="auto" w:fill="0072BC" w:themeFill="background1"/>
      </w:tcPr>
    </w:tblStylePr>
    <w:tblStylePr w:type="lastCol">
      <w:tblPr/>
      <w:tcPr>
        <w:tcBorders>
          <w:top w:val="nil"/>
          <w:left w:val="single" w:sz="8" w:space="0" w:color="C00000" w:themeColor="accent2"/>
          <w:bottom w:val="nil"/>
          <w:right w:val="nil"/>
          <w:insideH w:val="nil"/>
          <w:insideV w:val="nil"/>
        </w:tcBorders>
        <w:shd w:val="clear" w:color="auto" w:fill="0072BC" w:themeFill="background1"/>
      </w:tcPr>
    </w:tblStylePr>
    <w:tblStylePr w:type="band1Vert">
      <w:tblPr/>
      <w:tcPr>
        <w:tcBorders>
          <w:left w:val="nil"/>
          <w:right w:val="nil"/>
          <w:insideH w:val="nil"/>
          <w:insideV w:val="nil"/>
        </w:tcBorders>
        <w:shd w:val="clear" w:color="auto" w:fill="FFB0B0" w:themeFill="accent2" w:themeFillTint="3F"/>
      </w:tcPr>
    </w:tblStylePr>
    <w:tblStylePr w:type="band1Horz">
      <w:tblPr/>
      <w:tcPr>
        <w:tcBorders>
          <w:top w:val="nil"/>
          <w:bottom w:val="nil"/>
          <w:insideH w:val="nil"/>
          <w:insideV w:val="nil"/>
        </w:tcBorders>
        <w:shd w:val="clear" w:color="auto" w:fill="FFB0B0" w:themeFill="accent2" w:themeFillTint="3F"/>
      </w:tcPr>
    </w:tblStylePr>
    <w:tblStylePr w:type="nwCell">
      <w:tblPr/>
      <w:tcPr>
        <w:shd w:val="clear" w:color="auto" w:fill="0072BC" w:themeFill="background1"/>
      </w:tcPr>
    </w:tblStylePr>
    <w:tblStylePr w:type="swCell">
      <w:tblPr/>
      <w:tcPr>
        <w:tcBorders>
          <w:top w:val="nil"/>
        </w:tcBorders>
      </w:tcPr>
    </w:tblStylePr>
  </w:style>
  <w:style w:type="table" w:styleId="MediumList2-Accent3">
    <w:name w:val="Medium List 2 Accent 3"/>
    <w:basedOn w:val="TableNormal"/>
    <w:uiPriority w:val="99"/>
    <w:semiHidden/>
    <w:rsid w:val="0098410D"/>
    <w:rPr>
      <w:rFonts w:asciiTheme="majorHAnsi" w:eastAsiaTheme="majorEastAsia" w:hAnsiTheme="majorHAnsi" w:cstheme="majorBidi"/>
      <w:color w:val="000000" w:themeColor="text1"/>
    </w:rPr>
    <w:tblPr>
      <w:tblStyleRowBandSize w:val="1"/>
      <w:tblStyleColBandSize w:val="1"/>
      <w:tblBorders>
        <w:top w:val="single" w:sz="8" w:space="0" w:color="5F5F5F" w:themeColor="accent3"/>
        <w:left w:val="single" w:sz="8" w:space="0" w:color="5F5F5F" w:themeColor="accent3"/>
        <w:bottom w:val="single" w:sz="8" w:space="0" w:color="5F5F5F" w:themeColor="accent3"/>
        <w:right w:val="single" w:sz="8" w:space="0" w:color="5F5F5F" w:themeColor="accent3"/>
      </w:tblBorders>
    </w:tblPr>
    <w:tblStylePr w:type="firstRow">
      <w:rPr>
        <w:sz w:val="24"/>
        <w:szCs w:val="24"/>
      </w:rPr>
      <w:tblPr/>
      <w:tcPr>
        <w:tcBorders>
          <w:top w:val="nil"/>
          <w:left w:val="nil"/>
          <w:bottom w:val="single" w:sz="24" w:space="0" w:color="5F5F5F" w:themeColor="accent3"/>
          <w:right w:val="nil"/>
          <w:insideH w:val="nil"/>
          <w:insideV w:val="nil"/>
        </w:tcBorders>
        <w:shd w:val="clear" w:color="auto" w:fill="0072BC" w:themeFill="background1"/>
      </w:tcPr>
    </w:tblStylePr>
    <w:tblStylePr w:type="lastRow">
      <w:tblPr/>
      <w:tcPr>
        <w:tcBorders>
          <w:top w:val="single" w:sz="8" w:space="0" w:color="5F5F5F" w:themeColor="accent3"/>
          <w:left w:val="nil"/>
          <w:bottom w:val="nil"/>
          <w:right w:val="nil"/>
          <w:insideH w:val="nil"/>
          <w:insideV w:val="nil"/>
        </w:tcBorders>
        <w:shd w:val="clear" w:color="auto" w:fill="0072BC" w:themeFill="background1"/>
      </w:tcPr>
    </w:tblStylePr>
    <w:tblStylePr w:type="firstCol">
      <w:tblPr/>
      <w:tcPr>
        <w:tcBorders>
          <w:top w:val="nil"/>
          <w:left w:val="nil"/>
          <w:bottom w:val="nil"/>
          <w:right w:val="single" w:sz="8" w:space="0" w:color="5F5F5F" w:themeColor="accent3"/>
          <w:insideH w:val="nil"/>
          <w:insideV w:val="nil"/>
        </w:tcBorders>
        <w:shd w:val="clear" w:color="auto" w:fill="0072BC" w:themeFill="background1"/>
      </w:tcPr>
    </w:tblStylePr>
    <w:tblStylePr w:type="lastCol">
      <w:tblPr/>
      <w:tcPr>
        <w:tcBorders>
          <w:top w:val="nil"/>
          <w:left w:val="single" w:sz="8" w:space="0" w:color="5F5F5F" w:themeColor="accent3"/>
          <w:bottom w:val="nil"/>
          <w:right w:val="nil"/>
          <w:insideH w:val="nil"/>
          <w:insideV w:val="nil"/>
        </w:tcBorders>
        <w:shd w:val="clear" w:color="auto" w:fill="0072BC" w:themeFill="background1"/>
      </w:tcPr>
    </w:tblStylePr>
    <w:tblStylePr w:type="band1Vert">
      <w:tblPr/>
      <w:tcPr>
        <w:tcBorders>
          <w:left w:val="nil"/>
          <w:right w:val="nil"/>
          <w:insideH w:val="nil"/>
          <w:insideV w:val="nil"/>
        </w:tcBorders>
        <w:shd w:val="clear" w:color="auto" w:fill="D7D7D7" w:themeFill="accent3" w:themeFillTint="3F"/>
      </w:tcPr>
    </w:tblStylePr>
    <w:tblStylePr w:type="band1Horz">
      <w:tblPr/>
      <w:tcPr>
        <w:tcBorders>
          <w:top w:val="nil"/>
          <w:bottom w:val="nil"/>
          <w:insideH w:val="nil"/>
          <w:insideV w:val="nil"/>
        </w:tcBorders>
        <w:shd w:val="clear" w:color="auto" w:fill="D7D7D7" w:themeFill="accent3" w:themeFillTint="3F"/>
      </w:tcPr>
    </w:tblStylePr>
    <w:tblStylePr w:type="nwCell">
      <w:tblPr/>
      <w:tcPr>
        <w:shd w:val="clear" w:color="auto" w:fill="0072BC" w:themeFill="background1"/>
      </w:tcPr>
    </w:tblStylePr>
    <w:tblStylePr w:type="swCell">
      <w:tblPr/>
      <w:tcPr>
        <w:tcBorders>
          <w:top w:val="nil"/>
        </w:tcBorders>
      </w:tcPr>
    </w:tblStylePr>
  </w:style>
  <w:style w:type="table" w:styleId="MediumList2-Accent4">
    <w:name w:val="Medium List 2 Accent 4"/>
    <w:basedOn w:val="TableNormal"/>
    <w:uiPriority w:val="99"/>
    <w:semiHidden/>
    <w:rsid w:val="0098410D"/>
    <w:rPr>
      <w:rFonts w:asciiTheme="majorHAnsi" w:eastAsiaTheme="majorEastAsia" w:hAnsiTheme="majorHAnsi" w:cstheme="majorBidi"/>
      <w:color w:val="000000" w:themeColor="text1"/>
    </w:rPr>
    <w:tblPr>
      <w:tblStyleRowBandSize w:val="1"/>
      <w:tblStyleColBandSize w:val="1"/>
      <w:tblBorders>
        <w:top w:val="single" w:sz="8" w:space="0" w:color="969696" w:themeColor="accent4"/>
        <w:left w:val="single" w:sz="8" w:space="0" w:color="969696" w:themeColor="accent4"/>
        <w:bottom w:val="single" w:sz="8" w:space="0" w:color="969696" w:themeColor="accent4"/>
        <w:right w:val="single" w:sz="8" w:space="0" w:color="969696" w:themeColor="accent4"/>
      </w:tblBorders>
    </w:tblPr>
    <w:tblStylePr w:type="firstRow">
      <w:rPr>
        <w:sz w:val="24"/>
        <w:szCs w:val="24"/>
      </w:rPr>
      <w:tblPr/>
      <w:tcPr>
        <w:tcBorders>
          <w:top w:val="nil"/>
          <w:left w:val="nil"/>
          <w:bottom w:val="single" w:sz="24" w:space="0" w:color="969696" w:themeColor="accent4"/>
          <w:right w:val="nil"/>
          <w:insideH w:val="nil"/>
          <w:insideV w:val="nil"/>
        </w:tcBorders>
        <w:shd w:val="clear" w:color="auto" w:fill="0072BC" w:themeFill="background1"/>
      </w:tcPr>
    </w:tblStylePr>
    <w:tblStylePr w:type="lastRow">
      <w:tblPr/>
      <w:tcPr>
        <w:tcBorders>
          <w:top w:val="single" w:sz="8" w:space="0" w:color="969696" w:themeColor="accent4"/>
          <w:left w:val="nil"/>
          <w:bottom w:val="nil"/>
          <w:right w:val="nil"/>
          <w:insideH w:val="nil"/>
          <w:insideV w:val="nil"/>
        </w:tcBorders>
        <w:shd w:val="clear" w:color="auto" w:fill="0072BC" w:themeFill="background1"/>
      </w:tcPr>
    </w:tblStylePr>
    <w:tblStylePr w:type="firstCol">
      <w:tblPr/>
      <w:tcPr>
        <w:tcBorders>
          <w:top w:val="nil"/>
          <w:left w:val="nil"/>
          <w:bottom w:val="nil"/>
          <w:right w:val="single" w:sz="8" w:space="0" w:color="969696" w:themeColor="accent4"/>
          <w:insideH w:val="nil"/>
          <w:insideV w:val="nil"/>
        </w:tcBorders>
        <w:shd w:val="clear" w:color="auto" w:fill="0072BC" w:themeFill="background1"/>
      </w:tcPr>
    </w:tblStylePr>
    <w:tblStylePr w:type="lastCol">
      <w:tblPr/>
      <w:tcPr>
        <w:tcBorders>
          <w:top w:val="nil"/>
          <w:left w:val="single" w:sz="8" w:space="0" w:color="969696" w:themeColor="accent4"/>
          <w:bottom w:val="nil"/>
          <w:right w:val="nil"/>
          <w:insideH w:val="nil"/>
          <w:insideV w:val="nil"/>
        </w:tcBorders>
        <w:shd w:val="clear" w:color="auto" w:fill="0072BC" w:themeFill="background1"/>
      </w:tcPr>
    </w:tblStylePr>
    <w:tblStylePr w:type="band1Vert">
      <w:tblPr/>
      <w:tcPr>
        <w:tcBorders>
          <w:left w:val="nil"/>
          <w:right w:val="nil"/>
          <w:insideH w:val="nil"/>
          <w:insideV w:val="nil"/>
        </w:tcBorders>
        <w:shd w:val="clear" w:color="auto" w:fill="E5E5E5" w:themeFill="accent4" w:themeFillTint="3F"/>
      </w:tcPr>
    </w:tblStylePr>
    <w:tblStylePr w:type="band1Horz">
      <w:tblPr/>
      <w:tcPr>
        <w:tcBorders>
          <w:top w:val="nil"/>
          <w:bottom w:val="nil"/>
          <w:insideH w:val="nil"/>
          <w:insideV w:val="nil"/>
        </w:tcBorders>
        <w:shd w:val="clear" w:color="auto" w:fill="E5E5E5" w:themeFill="accent4" w:themeFillTint="3F"/>
      </w:tcPr>
    </w:tblStylePr>
    <w:tblStylePr w:type="nwCell">
      <w:tblPr/>
      <w:tcPr>
        <w:shd w:val="clear" w:color="auto" w:fill="0072BC" w:themeFill="background1"/>
      </w:tcPr>
    </w:tblStylePr>
    <w:tblStylePr w:type="swCell">
      <w:tblPr/>
      <w:tcPr>
        <w:tcBorders>
          <w:top w:val="nil"/>
        </w:tcBorders>
      </w:tcPr>
    </w:tblStylePr>
  </w:style>
  <w:style w:type="table" w:styleId="MediumList2-Accent5">
    <w:name w:val="Medium List 2 Accent 5"/>
    <w:basedOn w:val="TableNormal"/>
    <w:uiPriority w:val="99"/>
    <w:semiHidden/>
    <w:rsid w:val="0098410D"/>
    <w:rPr>
      <w:rFonts w:asciiTheme="majorHAnsi" w:eastAsiaTheme="majorEastAsia" w:hAnsiTheme="majorHAnsi" w:cstheme="majorBidi"/>
      <w:color w:val="000000" w:themeColor="text1"/>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rPr>
        <w:sz w:val="24"/>
        <w:szCs w:val="24"/>
      </w:rPr>
      <w:tblPr/>
      <w:tcPr>
        <w:tcBorders>
          <w:top w:val="nil"/>
          <w:left w:val="nil"/>
          <w:bottom w:val="single" w:sz="24" w:space="0" w:color="5F5F5F" w:themeColor="accent5"/>
          <w:right w:val="nil"/>
          <w:insideH w:val="nil"/>
          <w:insideV w:val="nil"/>
        </w:tcBorders>
        <w:shd w:val="clear" w:color="auto" w:fill="0072BC" w:themeFill="background1"/>
      </w:tcPr>
    </w:tblStylePr>
    <w:tblStylePr w:type="lastRow">
      <w:tblPr/>
      <w:tcPr>
        <w:tcBorders>
          <w:top w:val="single" w:sz="8" w:space="0" w:color="5F5F5F" w:themeColor="accent5"/>
          <w:left w:val="nil"/>
          <w:bottom w:val="nil"/>
          <w:right w:val="nil"/>
          <w:insideH w:val="nil"/>
          <w:insideV w:val="nil"/>
        </w:tcBorders>
        <w:shd w:val="clear" w:color="auto" w:fill="0072BC" w:themeFill="background1"/>
      </w:tcPr>
    </w:tblStylePr>
    <w:tblStylePr w:type="firstCol">
      <w:tblPr/>
      <w:tcPr>
        <w:tcBorders>
          <w:top w:val="nil"/>
          <w:left w:val="nil"/>
          <w:bottom w:val="nil"/>
          <w:right w:val="single" w:sz="8" w:space="0" w:color="5F5F5F" w:themeColor="accent5"/>
          <w:insideH w:val="nil"/>
          <w:insideV w:val="nil"/>
        </w:tcBorders>
        <w:shd w:val="clear" w:color="auto" w:fill="0072BC" w:themeFill="background1"/>
      </w:tcPr>
    </w:tblStylePr>
    <w:tblStylePr w:type="lastCol">
      <w:tblPr/>
      <w:tcPr>
        <w:tcBorders>
          <w:top w:val="nil"/>
          <w:left w:val="single" w:sz="8" w:space="0" w:color="5F5F5F" w:themeColor="accent5"/>
          <w:bottom w:val="nil"/>
          <w:right w:val="nil"/>
          <w:insideH w:val="nil"/>
          <w:insideV w:val="nil"/>
        </w:tcBorders>
        <w:shd w:val="clear" w:color="auto" w:fill="0072BC" w:themeFill="background1"/>
      </w:tc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top w:val="nil"/>
          <w:bottom w:val="nil"/>
          <w:insideH w:val="nil"/>
          <w:insideV w:val="nil"/>
        </w:tcBorders>
        <w:shd w:val="clear" w:color="auto" w:fill="D7D7D7" w:themeFill="accent5" w:themeFillTint="3F"/>
      </w:tcPr>
    </w:tblStylePr>
    <w:tblStylePr w:type="nwCell">
      <w:tblPr/>
      <w:tcPr>
        <w:shd w:val="clear" w:color="auto" w:fill="0072BC" w:themeFill="background1"/>
      </w:tcPr>
    </w:tblStylePr>
    <w:tblStylePr w:type="swCell">
      <w:tblPr/>
      <w:tcPr>
        <w:tcBorders>
          <w:top w:val="nil"/>
        </w:tcBorders>
      </w:tcPr>
    </w:tblStylePr>
  </w:style>
  <w:style w:type="table" w:styleId="MediumList2-Accent6">
    <w:name w:val="Medium List 2 Accent 6"/>
    <w:basedOn w:val="TableNormal"/>
    <w:uiPriority w:val="99"/>
    <w:semiHidden/>
    <w:rsid w:val="0098410D"/>
    <w:rPr>
      <w:rFonts w:asciiTheme="majorHAnsi" w:eastAsiaTheme="majorEastAsia" w:hAnsiTheme="majorHAnsi" w:cstheme="majorBidi"/>
      <w:color w:val="000000" w:themeColor="text1"/>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rPr>
        <w:sz w:val="24"/>
        <w:szCs w:val="24"/>
      </w:rPr>
      <w:tblPr/>
      <w:tcPr>
        <w:tcBorders>
          <w:top w:val="nil"/>
          <w:left w:val="nil"/>
          <w:bottom w:val="single" w:sz="24" w:space="0" w:color="4D4D4D" w:themeColor="accent6"/>
          <w:right w:val="nil"/>
          <w:insideH w:val="nil"/>
          <w:insideV w:val="nil"/>
        </w:tcBorders>
        <w:shd w:val="clear" w:color="auto" w:fill="0072BC" w:themeFill="background1"/>
      </w:tcPr>
    </w:tblStylePr>
    <w:tblStylePr w:type="lastRow">
      <w:tblPr/>
      <w:tcPr>
        <w:tcBorders>
          <w:top w:val="single" w:sz="8" w:space="0" w:color="4D4D4D" w:themeColor="accent6"/>
          <w:left w:val="nil"/>
          <w:bottom w:val="nil"/>
          <w:right w:val="nil"/>
          <w:insideH w:val="nil"/>
          <w:insideV w:val="nil"/>
        </w:tcBorders>
        <w:shd w:val="clear" w:color="auto" w:fill="0072BC" w:themeFill="background1"/>
      </w:tcPr>
    </w:tblStylePr>
    <w:tblStylePr w:type="firstCol">
      <w:tblPr/>
      <w:tcPr>
        <w:tcBorders>
          <w:top w:val="nil"/>
          <w:left w:val="nil"/>
          <w:bottom w:val="nil"/>
          <w:right w:val="single" w:sz="8" w:space="0" w:color="4D4D4D" w:themeColor="accent6"/>
          <w:insideH w:val="nil"/>
          <w:insideV w:val="nil"/>
        </w:tcBorders>
        <w:shd w:val="clear" w:color="auto" w:fill="0072BC" w:themeFill="background1"/>
      </w:tcPr>
    </w:tblStylePr>
    <w:tblStylePr w:type="lastCol">
      <w:tblPr/>
      <w:tcPr>
        <w:tcBorders>
          <w:top w:val="nil"/>
          <w:left w:val="single" w:sz="8" w:space="0" w:color="4D4D4D" w:themeColor="accent6"/>
          <w:bottom w:val="nil"/>
          <w:right w:val="nil"/>
          <w:insideH w:val="nil"/>
          <w:insideV w:val="nil"/>
        </w:tcBorders>
        <w:shd w:val="clear" w:color="auto" w:fill="0072BC" w:themeFill="background1"/>
      </w:tc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top w:val="nil"/>
          <w:bottom w:val="nil"/>
          <w:insideH w:val="nil"/>
          <w:insideV w:val="nil"/>
        </w:tcBorders>
        <w:shd w:val="clear" w:color="auto" w:fill="D3D3D3" w:themeFill="accent6" w:themeFillTint="3F"/>
      </w:tcPr>
    </w:tblStylePr>
    <w:tblStylePr w:type="nwCell">
      <w:tblPr/>
      <w:tcPr>
        <w:shd w:val="clear" w:color="auto" w:fill="0072BC" w:themeFill="background1"/>
      </w:tcPr>
    </w:tblStylePr>
    <w:tblStylePr w:type="swCell">
      <w:tblPr/>
      <w:tcPr>
        <w:tcBorders>
          <w:top w:val="nil"/>
        </w:tcBorders>
      </w:tcPr>
    </w:tblStylePr>
  </w:style>
  <w:style w:type="table" w:styleId="MediumShading1">
    <w:name w:val="Medium Shading 1"/>
    <w:basedOn w:val="TableNormal"/>
    <w:uiPriority w:val="99"/>
    <w:semiHidden/>
    <w:rsid w:val="0098410D"/>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0072BC"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99"/>
    <w:semiHidden/>
    <w:rsid w:val="0098410D"/>
    <w:tblPr>
      <w:tblStyleRowBandSize w:val="1"/>
      <w:tblStyleColBandSize w:val="1"/>
      <w:tblBorders>
        <w:top w:val="single" w:sz="8" w:space="0" w:color="0D9FFF" w:themeColor="accent1" w:themeTint="BF"/>
        <w:left w:val="single" w:sz="8" w:space="0" w:color="0D9FFF" w:themeColor="accent1" w:themeTint="BF"/>
        <w:bottom w:val="single" w:sz="8" w:space="0" w:color="0D9FFF" w:themeColor="accent1" w:themeTint="BF"/>
        <w:right w:val="single" w:sz="8" w:space="0" w:color="0D9FFF" w:themeColor="accent1" w:themeTint="BF"/>
        <w:insideH w:val="single" w:sz="8" w:space="0" w:color="0D9FFF" w:themeColor="accent1" w:themeTint="BF"/>
      </w:tblBorders>
    </w:tblPr>
    <w:tblStylePr w:type="firstRow">
      <w:pPr>
        <w:spacing w:before="0" w:after="0" w:line="240" w:lineRule="auto"/>
      </w:pPr>
      <w:rPr>
        <w:b/>
        <w:bCs/>
        <w:color w:val="0072BC" w:themeColor="background1"/>
      </w:rPr>
      <w:tblPr/>
      <w:tcPr>
        <w:tcBorders>
          <w:top w:val="single" w:sz="8" w:space="0" w:color="0D9FFF" w:themeColor="accent1" w:themeTint="BF"/>
          <w:left w:val="single" w:sz="8" w:space="0" w:color="0D9FFF" w:themeColor="accent1" w:themeTint="BF"/>
          <w:bottom w:val="single" w:sz="8" w:space="0" w:color="0D9FFF" w:themeColor="accent1" w:themeTint="BF"/>
          <w:right w:val="single" w:sz="8" w:space="0" w:color="0D9FFF" w:themeColor="accent1" w:themeTint="BF"/>
          <w:insideH w:val="nil"/>
          <w:insideV w:val="nil"/>
        </w:tcBorders>
        <w:shd w:val="clear" w:color="auto" w:fill="0072BC" w:themeFill="accent1"/>
      </w:tcPr>
    </w:tblStylePr>
    <w:tblStylePr w:type="lastRow">
      <w:pPr>
        <w:spacing w:before="0" w:after="0" w:line="240" w:lineRule="auto"/>
      </w:pPr>
      <w:rPr>
        <w:b/>
        <w:bCs/>
      </w:rPr>
      <w:tblPr/>
      <w:tcPr>
        <w:tcBorders>
          <w:top w:val="double" w:sz="6" w:space="0" w:color="0D9FFF" w:themeColor="accent1" w:themeTint="BF"/>
          <w:left w:val="single" w:sz="8" w:space="0" w:color="0D9FFF" w:themeColor="accent1" w:themeTint="BF"/>
          <w:bottom w:val="single" w:sz="8" w:space="0" w:color="0D9FFF" w:themeColor="accent1" w:themeTint="BF"/>
          <w:right w:val="single" w:sz="8" w:space="0" w:color="0D9FFF" w:themeColor="accent1" w:themeTint="BF"/>
          <w:insideH w:val="nil"/>
          <w:insideV w:val="nil"/>
        </w:tcBorders>
      </w:tcPr>
    </w:tblStylePr>
    <w:tblStylePr w:type="firstCol">
      <w:rPr>
        <w:b/>
        <w:bCs/>
      </w:rPr>
    </w:tblStylePr>
    <w:tblStylePr w:type="lastCol">
      <w:rPr>
        <w:b/>
        <w:bCs/>
      </w:rPr>
    </w:tblStylePr>
    <w:tblStylePr w:type="band1Vert">
      <w:tblPr/>
      <w:tcPr>
        <w:shd w:val="clear" w:color="auto" w:fill="AFDFFF" w:themeFill="accent1" w:themeFillTint="3F"/>
      </w:tcPr>
    </w:tblStylePr>
    <w:tblStylePr w:type="band1Horz">
      <w:tblPr/>
      <w:tcPr>
        <w:tcBorders>
          <w:insideH w:val="nil"/>
          <w:insideV w:val="nil"/>
        </w:tcBorders>
        <w:shd w:val="clear" w:color="auto" w:fill="AFDFFF"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99"/>
    <w:semiHidden/>
    <w:rsid w:val="0098410D"/>
    <w:tblPr>
      <w:tblStyleRowBandSize w:val="1"/>
      <w:tblStyleColBandSize w:val="1"/>
      <w:tblBorders>
        <w:top w:val="single" w:sz="8" w:space="0" w:color="FF1010" w:themeColor="accent2" w:themeTint="BF"/>
        <w:left w:val="single" w:sz="8" w:space="0" w:color="FF1010" w:themeColor="accent2" w:themeTint="BF"/>
        <w:bottom w:val="single" w:sz="8" w:space="0" w:color="FF1010" w:themeColor="accent2" w:themeTint="BF"/>
        <w:right w:val="single" w:sz="8" w:space="0" w:color="FF1010" w:themeColor="accent2" w:themeTint="BF"/>
        <w:insideH w:val="single" w:sz="8" w:space="0" w:color="FF1010" w:themeColor="accent2" w:themeTint="BF"/>
      </w:tblBorders>
    </w:tblPr>
    <w:tblStylePr w:type="firstRow">
      <w:pPr>
        <w:spacing w:before="0" w:after="0" w:line="240" w:lineRule="auto"/>
      </w:pPr>
      <w:rPr>
        <w:b/>
        <w:bCs/>
        <w:color w:val="0072BC" w:themeColor="background1"/>
      </w:rPr>
      <w:tblPr/>
      <w:tcPr>
        <w:tcBorders>
          <w:top w:val="single" w:sz="8" w:space="0" w:color="FF1010" w:themeColor="accent2" w:themeTint="BF"/>
          <w:left w:val="single" w:sz="8" w:space="0" w:color="FF1010" w:themeColor="accent2" w:themeTint="BF"/>
          <w:bottom w:val="single" w:sz="8" w:space="0" w:color="FF1010" w:themeColor="accent2" w:themeTint="BF"/>
          <w:right w:val="single" w:sz="8" w:space="0" w:color="FF1010" w:themeColor="accent2" w:themeTint="BF"/>
          <w:insideH w:val="nil"/>
          <w:insideV w:val="nil"/>
        </w:tcBorders>
        <w:shd w:val="clear" w:color="auto" w:fill="C00000" w:themeFill="accent2"/>
      </w:tcPr>
    </w:tblStylePr>
    <w:tblStylePr w:type="lastRow">
      <w:pPr>
        <w:spacing w:before="0" w:after="0" w:line="240" w:lineRule="auto"/>
      </w:pPr>
      <w:rPr>
        <w:b/>
        <w:bCs/>
      </w:rPr>
      <w:tblPr/>
      <w:tcPr>
        <w:tcBorders>
          <w:top w:val="double" w:sz="6" w:space="0" w:color="FF1010" w:themeColor="accent2" w:themeTint="BF"/>
          <w:left w:val="single" w:sz="8" w:space="0" w:color="FF1010" w:themeColor="accent2" w:themeTint="BF"/>
          <w:bottom w:val="single" w:sz="8" w:space="0" w:color="FF1010" w:themeColor="accent2" w:themeTint="BF"/>
          <w:right w:val="single" w:sz="8" w:space="0" w:color="FF1010" w:themeColor="accent2" w:themeTint="BF"/>
          <w:insideH w:val="nil"/>
          <w:insideV w:val="nil"/>
        </w:tcBorders>
      </w:tcPr>
    </w:tblStylePr>
    <w:tblStylePr w:type="firstCol">
      <w:rPr>
        <w:b/>
        <w:bCs/>
      </w:rPr>
    </w:tblStylePr>
    <w:tblStylePr w:type="lastCol">
      <w:rPr>
        <w:b/>
        <w:bCs/>
      </w:rPr>
    </w:tblStylePr>
    <w:tblStylePr w:type="band1Vert">
      <w:tblPr/>
      <w:tcPr>
        <w:shd w:val="clear" w:color="auto" w:fill="FFB0B0" w:themeFill="accent2" w:themeFillTint="3F"/>
      </w:tcPr>
    </w:tblStylePr>
    <w:tblStylePr w:type="band1Horz">
      <w:tblPr/>
      <w:tcPr>
        <w:tcBorders>
          <w:insideH w:val="nil"/>
          <w:insideV w:val="nil"/>
        </w:tcBorders>
        <w:shd w:val="clear" w:color="auto" w:fill="FFB0B0"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99"/>
    <w:semiHidden/>
    <w:rsid w:val="0098410D"/>
    <w:tblPr>
      <w:tblStyleRowBandSize w:val="1"/>
      <w:tblStyleColBandSize w:val="1"/>
      <w:tblBorders>
        <w:top w:val="single" w:sz="8" w:space="0" w:color="878787" w:themeColor="accent3" w:themeTint="BF"/>
        <w:left w:val="single" w:sz="8" w:space="0" w:color="878787" w:themeColor="accent3" w:themeTint="BF"/>
        <w:bottom w:val="single" w:sz="8" w:space="0" w:color="878787" w:themeColor="accent3" w:themeTint="BF"/>
        <w:right w:val="single" w:sz="8" w:space="0" w:color="878787" w:themeColor="accent3" w:themeTint="BF"/>
        <w:insideH w:val="single" w:sz="8" w:space="0" w:color="878787" w:themeColor="accent3" w:themeTint="BF"/>
      </w:tblBorders>
    </w:tblPr>
    <w:tblStylePr w:type="firstRow">
      <w:pPr>
        <w:spacing w:before="0" w:after="0" w:line="240" w:lineRule="auto"/>
      </w:pPr>
      <w:rPr>
        <w:b/>
        <w:bCs/>
        <w:color w:val="0072BC" w:themeColor="background1"/>
      </w:rPr>
      <w:tblPr/>
      <w:tcPr>
        <w:tcBorders>
          <w:top w:val="single" w:sz="8" w:space="0" w:color="878787" w:themeColor="accent3" w:themeTint="BF"/>
          <w:left w:val="single" w:sz="8" w:space="0" w:color="878787" w:themeColor="accent3" w:themeTint="BF"/>
          <w:bottom w:val="single" w:sz="8" w:space="0" w:color="878787" w:themeColor="accent3" w:themeTint="BF"/>
          <w:right w:val="single" w:sz="8" w:space="0" w:color="878787" w:themeColor="accent3" w:themeTint="BF"/>
          <w:insideH w:val="nil"/>
          <w:insideV w:val="nil"/>
        </w:tcBorders>
        <w:shd w:val="clear" w:color="auto" w:fill="5F5F5F" w:themeFill="accent3"/>
      </w:tcPr>
    </w:tblStylePr>
    <w:tblStylePr w:type="lastRow">
      <w:pPr>
        <w:spacing w:before="0" w:after="0" w:line="240" w:lineRule="auto"/>
      </w:pPr>
      <w:rPr>
        <w:b/>
        <w:bCs/>
      </w:rPr>
      <w:tblPr/>
      <w:tcPr>
        <w:tcBorders>
          <w:top w:val="double" w:sz="6" w:space="0" w:color="878787" w:themeColor="accent3" w:themeTint="BF"/>
          <w:left w:val="single" w:sz="8" w:space="0" w:color="878787" w:themeColor="accent3" w:themeTint="BF"/>
          <w:bottom w:val="single" w:sz="8" w:space="0" w:color="878787" w:themeColor="accent3" w:themeTint="BF"/>
          <w:right w:val="single" w:sz="8" w:space="0" w:color="878787" w:themeColor="accent3" w:themeTint="BF"/>
          <w:insideH w:val="nil"/>
          <w:insideV w:val="nil"/>
        </w:tcBorders>
      </w:tcPr>
    </w:tblStylePr>
    <w:tblStylePr w:type="firstCol">
      <w:rPr>
        <w:b/>
        <w:bCs/>
      </w:rPr>
    </w:tblStylePr>
    <w:tblStylePr w:type="lastCol">
      <w:rPr>
        <w:b/>
        <w:bCs/>
      </w:rPr>
    </w:tblStylePr>
    <w:tblStylePr w:type="band1Vert">
      <w:tblPr/>
      <w:tcPr>
        <w:shd w:val="clear" w:color="auto" w:fill="D7D7D7" w:themeFill="accent3" w:themeFillTint="3F"/>
      </w:tcPr>
    </w:tblStylePr>
    <w:tblStylePr w:type="band1Horz">
      <w:tblPr/>
      <w:tcPr>
        <w:tcBorders>
          <w:insideH w:val="nil"/>
          <w:insideV w:val="nil"/>
        </w:tcBorders>
        <w:shd w:val="clear" w:color="auto" w:fill="D7D7D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99"/>
    <w:semiHidden/>
    <w:rsid w:val="0098410D"/>
    <w:tblPr>
      <w:tblStyleRowBandSize w:val="1"/>
      <w:tblStyleColBandSize w:val="1"/>
      <w:tblBorders>
        <w:top w:val="single" w:sz="8" w:space="0" w:color="B0B0B0" w:themeColor="accent4" w:themeTint="BF"/>
        <w:left w:val="single" w:sz="8" w:space="0" w:color="B0B0B0" w:themeColor="accent4" w:themeTint="BF"/>
        <w:bottom w:val="single" w:sz="8" w:space="0" w:color="B0B0B0" w:themeColor="accent4" w:themeTint="BF"/>
        <w:right w:val="single" w:sz="8" w:space="0" w:color="B0B0B0" w:themeColor="accent4" w:themeTint="BF"/>
        <w:insideH w:val="single" w:sz="8" w:space="0" w:color="B0B0B0" w:themeColor="accent4" w:themeTint="BF"/>
      </w:tblBorders>
    </w:tblPr>
    <w:tblStylePr w:type="firstRow">
      <w:pPr>
        <w:spacing w:before="0" w:after="0" w:line="240" w:lineRule="auto"/>
      </w:pPr>
      <w:rPr>
        <w:b/>
        <w:bCs/>
        <w:color w:val="0072BC" w:themeColor="background1"/>
      </w:rPr>
      <w:tblPr/>
      <w:tcPr>
        <w:tcBorders>
          <w:top w:val="single" w:sz="8" w:space="0" w:color="B0B0B0" w:themeColor="accent4" w:themeTint="BF"/>
          <w:left w:val="single" w:sz="8" w:space="0" w:color="B0B0B0" w:themeColor="accent4" w:themeTint="BF"/>
          <w:bottom w:val="single" w:sz="8" w:space="0" w:color="B0B0B0" w:themeColor="accent4" w:themeTint="BF"/>
          <w:right w:val="single" w:sz="8" w:space="0" w:color="B0B0B0" w:themeColor="accent4" w:themeTint="BF"/>
          <w:insideH w:val="nil"/>
          <w:insideV w:val="nil"/>
        </w:tcBorders>
        <w:shd w:val="clear" w:color="auto" w:fill="969696" w:themeFill="accent4"/>
      </w:tcPr>
    </w:tblStylePr>
    <w:tblStylePr w:type="lastRow">
      <w:pPr>
        <w:spacing w:before="0" w:after="0" w:line="240" w:lineRule="auto"/>
      </w:pPr>
      <w:rPr>
        <w:b/>
        <w:bCs/>
      </w:rPr>
      <w:tblPr/>
      <w:tcPr>
        <w:tcBorders>
          <w:top w:val="double" w:sz="6" w:space="0" w:color="B0B0B0" w:themeColor="accent4" w:themeTint="BF"/>
          <w:left w:val="single" w:sz="8" w:space="0" w:color="B0B0B0" w:themeColor="accent4" w:themeTint="BF"/>
          <w:bottom w:val="single" w:sz="8" w:space="0" w:color="B0B0B0" w:themeColor="accent4" w:themeTint="BF"/>
          <w:right w:val="single" w:sz="8" w:space="0" w:color="B0B0B0" w:themeColor="accent4" w:themeTint="BF"/>
          <w:insideH w:val="nil"/>
          <w:insideV w:val="nil"/>
        </w:tcBorders>
      </w:tcPr>
    </w:tblStylePr>
    <w:tblStylePr w:type="firstCol">
      <w:rPr>
        <w:b/>
        <w:bCs/>
      </w:rPr>
    </w:tblStylePr>
    <w:tblStylePr w:type="lastCol">
      <w:rPr>
        <w:b/>
        <w:bCs/>
      </w:rPr>
    </w:tblStylePr>
    <w:tblStylePr w:type="band1Vert">
      <w:tblPr/>
      <w:tcPr>
        <w:shd w:val="clear" w:color="auto" w:fill="E5E5E5" w:themeFill="accent4" w:themeFillTint="3F"/>
      </w:tcPr>
    </w:tblStylePr>
    <w:tblStylePr w:type="band1Horz">
      <w:tblPr/>
      <w:tcPr>
        <w:tcBorders>
          <w:insideH w:val="nil"/>
          <w:insideV w:val="nil"/>
        </w:tcBorders>
        <w:shd w:val="clear" w:color="auto" w:fill="E5E5E5"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99"/>
    <w:semiHidden/>
    <w:rsid w:val="0098410D"/>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tblBorders>
    </w:tblPr>
    <w:tblStylePr w:type="firstRow">
      <w:pPr>
        <w:spacing w:before="0" w:after="0" w:line="240" w:lineRule="auto"/>
      </w:pPr>
      <w:rPr>
        <w:b/>
        <w:bCs/>
        <w:color w:val="0072BC" w:themeColor="background1"/>
      </w:rPr>
      <w:tblPr/>
      <w:tcPr>
        <w:tc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shd w:val="clear" w:color="auto" w:fill="5F5F5F" w:themeFill="accent5"/>
      </w:tcPr>
    </w:tblStylePr>
    <w:tblStylePr w:type="lastRow">
      <w:pPr>
        <w:spacing w:before="0" w:after="0" w:line="240" w:lineRule="auto"/>
      </w:pPr>
      <w:rPr>
        <w:b/>
        <w:bCs/>
      </w:rPr>
      <w:tblPr/>
      <w:tcPr>
        <w:tcBorders>
          <w:top w:val="double" w:sz="6"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tcPr>
    </w:tblStylePr>
    <w:tblStylePr w:type="firstCol">
      <w:rPr>
        <w:b/>
        <w:bCs/>
      </w:rPr>
    </w:tblStylePr>
    <w:tblStylePr w:type="lastCol">
      <w:rPr>
        <w:b/>
        <w:bCs/>
      </w:rPr>
    </w:tblStylePr>
    <w:tblStylePr w:type="band1Vert">
      <w:tblPr/>
      <w:tcPr>
        <w:shd w:val="clear" w:color="auto" w:fill="D7D7D7" w:themeFill="accent5" w:themeFillTint="3F"/>
      </w:tcPr>
    </w:tblStylePr>
    <w:tblStylePr w:type="band1Horz">
      <w:tblPr/>
      <w:tcPr>
        <w:tcBorders>
          <w:insideH w:val="nil"/>
          <w:insideV w:val="nil"/>
        </w:tcBorders>
        <w:shd w:val="clear" w:color="auto" w:fill="D7D7D7"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99"/>
    <w:semiHidden/>
    <w:rsid w:val="0098410D"/>
    <w:tblPr>
      <w:tblStyleRowBandSize w:val="1"/>
      <w:tblStyleColBandSize w:val="1"/>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tblBorders>
    </w:tblPr>
    <w:tblStylePr w:type="firstRow">
      <w:pPr>
        <w:spacing w:before="0" w:after="0" w:line="240" w:lineRule="auto"/>
      </w:pPr>
      <w:rPr>
        <w:b/>
        <w:bCs/>
        <w:color w:val="0072BC" w:themeColor="background1"/>
      </w:rPr>
      <w:tblPr/>
      <w:tcPr>
        <w:tc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shd w:val="clear" w:color="auto" w:fill="4D4D4D" w:themeFill="accent6"/>
      </w:tcPr>
    </w:tblStylePr>
    <w:tblStylePr w:type="lastRow">
      <w:pPr>
        <w:spacing w:before="0" w:after="0" w:line="240" w:lineRule="auto"/>
      </w:pPr>
      <w:rPr>
        <w:b/>
        <w:bCs/>
      </w:rPr>
      <w:tblPr/>
      <w:tcPr>
        <w:tcBorders>
          <w:top w:val="double" w:sz="6"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tcPr>
    </w:tblStylePr>
    <w:tblStylePr w:type="firstCol">
      <w:rPr>
        <w:b/>
        <w:bCs/>
      </w:rPr>
    </w:tblStylePr>
    <w:tblStylePr w:type="lastCol">
      <w:rPr>
        <w:b/>
        <w:bCs/>
      </w:rPr>
    </w:tblStylePr>
    <w:tblStylePr w:type="band1Vert">
      <w:tblPr/>
      <w:tcPr>
        <w:shd w:val="clear" w:color="auto" w:fill="D3D3D3" w:themeFill="accent6" w:themeFillTint="3F"/>
      </w:tcPr>
    </w:tblStylePr>
    <w:tblStylePr w:type="band1Horz">
      <w:tblPr/>
      <w:tcPr>
        <w:tcBorders>
          <w:insideH w:val="nil"/>
          <w:insideV w:val="nil"/>
        </w:tcBorders>
        <w:shd w:val="clear" w:color="auto" w:fill="D3D3D3"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99"/>
    <w:semiHidden/>
    <w:rsid w:val="0098410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0072BC"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0072BC" w:themeFill="background1"/>
      </w:tcPr>
    </w:tblStylePr>
    <w:tblStylePr w:type="firstCol">
      <w:rPr>
        <w:b/>
        <w:bCs/>
        <w:color w:val="0072BC"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0072BC"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00609F" w:themeFill="background1" w:themeFillShade="D8"/>
      </w:tcPr>
    </w:tblStylePr>
    <w:tblStylePr w:type="band1Horz">
      <w:tblPr/>
      <w:tcPr>
        <w:shd w:val="clear" w:color="auto" w:fill="00609F"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0072BC"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99"/>
    <w:semiHidden/>
    <w:rsid w:val="0098410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0072BC" w:themeColor="background1"/>
      </w:rPr>
      <w:tblPr/>
      <w:tcPr>
        <w:tcBorders>
          <w:top w:val="single" w:sz="18" w:space="0" w:color="auto"/>
          <w:left w:val="nil"/>
          <w:bottom w:val="single" w:sz="18" w:space="0" w:color="auto"/>
          <w:right w:val="nil"/>
          <w:insideH w:val="nil"/>
          <w:insideV w:val="nil"/>
        </w:tcBorders>
        <w:shd w:val="clear" w:color="auto" w:fill="0072B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0072BC" w:themeFill="background1"/>
      </w:tcPr>
    </w:tblStylePr>
    <w:tblStylePr w:type="firstCol">
      <w:rPr>
        <w:b/>
        <w:bCs/>
        <w:color w:val="0072BC" w:themeColor="background1"/>
      </w:rPr>
      <w:tblPr/>
      <w:tcPr>
        <w:tcBorders>
          <w:top w:val="nil"/>
          <w:left w:val="nil"/>
          <w:bottom w:val="single" w:sz="18" w:space="0" w:color="auto"/>
          <w:right w:val="nil"/>
          <w:insideH w:val="nil"/>
          <w:insideV w:val="nil"/>
        </w:tcBorders>
        <w:shd w:val="clear" w:color="auto" w:fill="0072BC" w:themeFill="accent1"/>
      </w:tcPr>
    </w:tblStylePr>
    <w:tblStylePr w:type="lastCol">
      <w:rPr>
        <w:b/>
        <w:bCs/>
        <w:color w:val="0072BC" w:themeColor="background1"/>
      </w:rPr>
      <w:tblPr/>
      <w:tcPr>
        <w:tcBorders>
          <w:left w:val="nil"/>
          <w:right w:val="nil"/>
          <w:insideH w:val="nil"/>
          <w:insideV w:val="nil"/>
        </w:tcBorders>
        <w:shd w:val="clear" w:color="auto" w:fill="0072BC" w:themeFill="accent1"/>
      </w:tcPr>
    </w:tblStylePr>
    <w:tblStylePr w:type="band1Vert">
      <w:tblPr/>
      <w:tcPr>
        <w:tcBorders>
          <w:left w:val="nil"/>
          <w:right w:val="nil"/>
          <w:insideH w:val="nil"/>
          <w:insideV w:val="nil"/>
        </w:tcBorders>
        <w:shd w:val="clear" w:color="auto" w:fill="00609F" w:themeFill="background1" w:themeFillShade="D8"/>
      </w:tcPr>
    </w:tblStylePr>
    <w:tblStylePr w:type="band1Horz">
      <w:tblPr/>
      <w:tcPr>
        <w:shd w:val="clear" w:color="auto" w:fill="00609F"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0072BC"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99"/>
    <w:semiHidden/>
    <w:rsid w:val="0098410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0072BC" w:themeColor="background1"/>
      </w:rPr>
      <w:tblPr/>
      <w:tcPr>
        <w:tcBorders>
          <w:top w:val="single" w:sz="18" w:space="0" w:color="auto"/>
          <w:left w:val="nil"/>
          <w:bottom w:val="single" w:sz="18" w:space="0" w:color="auto"/>
          <w:right w:val="nil"/>
          <w:insideH w:val="nil"/>
          <w:insideV w:val="nil"/>
        </w:tcBorders>
        <w:shd w:val="clear" w:color="auto" w:fill="C0000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0072BC" w:themeFill="background1"/>
      </w:tcPr>
    </w:tblStylePr>
    <w:tblStylePr w:type="firstCol">
      <w:rPr>
        <w:b/>
        <w:bCs/>
        <w:color w:val="0072BC" w:themeColor="background1"/>
      </w:rPr>
      <w:tblPr/>
      <w:tcPr>
        <w:tcBorders>
          <w:top w:val="nil"/>
          <w:left w:val="nil"/>
          <w:bottom w:val="single" w:sz="18" w:space="0" w:color="auto"/>
          <w:right w:val="nil"/>
          <w:insideH w:val="nil"/>
          <w:insideV w:val="nil"/>
        </w:tcBorders>
        <w:shd w:val="clear" w:color="auto" w:fill="C00000" w:themeFill="accent2"/>
      </w:tcPr>
    </w:tblStylePr>
    <w:tblStylePr w:type="lastCol">
      <w:rPr>
        <w:b/>
        <w:bCs/>
        <w:color w:val="0072BC" w:themeColor="background1"/>
      </w:rPr>
      <w:tblPr/>
      <w:tcPr>
        <w:tcBorders>
          <w:left w:val="nil"/>
          <w:right w:val="nil"/>
          <w:insideH w:val="nil"/>
          <w:insideV w:val="nil"/>
        </w:tcBorders>
        <w:shd w:val="clear" w:color="auto" w:fill="C00000" w:themeFill="accent2"/>
      </w:tcPr>
    </w:tblStylePr>
    <w:tblStylePr w:type="band1Vert">
      <w:tblPr/>
      <w:tcPr>
        <w:tcBorders>
          <w:left w:val="nil"/>
          <w:right w:val="nil"/>
          <w:insideH w:val="nil"/>
          <w:insideV w:val="nil"/>
        </w:tcBorders>
        <w:shd w:val="clear" w:color="auto" w:fill="00609F" w:themeFill="background1" w:themeFillShade="D8"/>
      </w:tcPr>
    </w:tblStylePr>
    <w:tblStylePr w:type="band1Horz">
      <w:tblPr/>
      <w:tcPr>
        <w:shd w:val="clear" w:color="auto" w:fill="00609F"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0072BC"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99"/>
    <w:semiHidden/>
    <w:rsid w:val="0098410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0072BC" w:themeColor="background1"/>
      </w:rPr>
      <w:tblPr/>
      <w:tcPr>
        <w:tcBorders>
          <w:top w:val="single" w:sz="18" w:space="0" w:color="auto"/>
          <w:left w:val="nil"/>
          <w:bottom w:val="single" w:sz="18" w:space="0" w:color="auto"/>
          <w:right w:val="nil"/>
          <w:insideH w:val="nil"/>
          <w:insideV w:val="nil"/>
        </w:tcBorders>
        <w:shd w:val="clear" w:color="auto" w:fill="5F5F5F"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0072BC" w:themeFill="background1"/>
      </w:tcPr>
    </w:tblStylePr>
    <w:tblStylePr w:type="firstCol">
      <w:rPr>
        <w:b/>
        <w:bCs/>
        <w:color w:val="0072BC" w:themeColor="background1"/>
      </w:rPr>
      <w:tblPr/>
      <w:tcPr>
        <w:tcBorders>
          <w:top w:val="nil"/>
          <w:left w:val="nil"/>
          <w:bottom w:val="single" w:sz="18" w:space="0" w:color="auto"/>
          <w:right w:val="nil"/>
          <w:insideH w:val="nil"/>
          <w:insideV w:val="nil"/>
        </w:tcBorders>
        <w:shd w:val="clear" w:color="auto" w:fill="5F5F5F" w:themeFill="accent3"/>
      </w:tcPr>
    </w:tblStylePr>
    <w:tblStylePr w:type="lastCol">
      <w:rPr>
        <w:b/>
        <w:bCs/>
        <w:color w:val="0072BC" w:themeColor="background1"/>
      </w:rPr>
      <w:tblPr/>
      <w:tcPr>
        <w:tcBorders>
          <w:left w:val="nil"/>
          <w:right w:val="nil"/>
          <w:insideH w:val="nil"/>
          <w:insideV w:val="nil"/>
        </w:tcBorders>
        <w:shd w:val="clear" w:color="auto" w:fill="5F5F5F" w:themeFill="accent3"/>
      </w:tcPr>
    </w:tblStylePr>
    <w:tblStylePr w:type="band1Vert">
      <w:tblPr/>
      <w:tcPr>
        <w:tcBorders>
          <w:left w:val="nil"/>
          <w:right w:val="nil"/>
          <w:insideH w:val="nil"/>
          <w:insideV w:val="nil"/>
        </w:tcBorders>
        <w:shd w:val="clear" w:color="auto" w:fill="00609F" w:themeFill="background1" w:themeFillShade="D8"/>
      </w:tcPr>
    </w:tblStylePr>
    <w:tblStylePr w:type="band1Horz">
      <w:tblPr/>
      <w:tcPr>
        <w:shd w:val="clear" w:color="auto" w:fill="00609F"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0072BC"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99"/>
    <w:semiHidden/>
    <w:rsid w:val="0098410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0072BC" w:themeColor="background1"/>
      </w:rPr>
      <w:tblPr/>
      <w:tcPr>
        <w:tcBorders>
          <w:top w:val="single" w:sz="18" w:space="0" w:color="auto"/>
          <w:left w:val="nil"/>
          <w:bottom w:val="single" w:sz="18" w:space="0" w:color="auto"/>
          <w:right w:val="nil"/>
          <w:insideH w:val="nil"/>
          <w:insideV w:val="nil"/>
        </w:tcBorders>
        <w:shd w:val="clear" w:color="auto" w:fill="969696"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0072BC" w:themeFill="background1"/>
      </w:tcPr>
    </w:tblStylePr>
    <w:tblStylePr w:type="firstCol">
      <w:rPr>
        <w:b/>
        <w:bCs/>
        <w:color w:val="0072BC" w:themeColor="background1"/>
      </w:rPr>
      <w:tblPr/>
      <w:tcPr>
        <w:tcBorders>
          <w:top w:val="nil"/>
          <w:left w:val="nil"/>
          <w:bottom w:val="single" w:sz="18" w:space="0" w:color="auto"/>
          <w:right w:val="nil"/>
          <w:insideH w:val="nil"/>
          <w:insideV w:val="nil"/>
        </w:tcBorders>
        <w:shd w:val="clear" w:color="auto" w:fill="969696" w:themeFill="accent4"/>
      </w:tcPr>
    </w:tblStylePr>
    <w:tblStylePr w:type="lastCol">
      <w:rPr>
        <w:b/>
        <w:bCs/>
        <w:color w:val="0072BC" w:themeColor="background1"/>
      </w:rPr>
      <w:tblPr/>
      <w:tcPr>
        <w:tcBorders>
          <w:left w:val="nil"/>
          <w:right w:val="nil"/>
          <w:insideH w:val="nil"/>
          <w:insideV w:val="nil"/>
        </w:tcBorders>
        <w:shd w:val="clear" w:color="auto" w:fill="969696" w:themeFill="accent4"/>
      </w:tcPr>
    </w:tblStylePr>
    <w:tblStylePr w:type="band1Vert">
      <w:tblPr/>
      <w:tcPr>
        <w:tcBorders>
          <w:left w:val="nil"/>
          <w:right w:val="nil"/>
          <w:insideH w:val="nil"/>
          <w:insideV w:val="nil"/>
        </w:tcBorders>
        <w:shd w:val="clear" w:color="auto" w:fill="00609F" w:themeFill="background1" w:themeFillShade="D8"/>
      </w:tcPr>
    </w:tblStylePr>
    <w:tblStylePr w:type="band1Horz">
      <w:tblPr/>
      <w:tcPr>
        <w:shd w:val="clear" w:color="auto" w:fill="00609F"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0072BC"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99"/>
    <w:semiHidden/>
    <w:rsid w:val="0098410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0072BC" w:themeColor="background1"/>
      </w:rPr>
      <w:tblPr/>
      <w:tcPr>
        <w:tcBorders>
          <w:top w:val="single" w:sz="18" w:space="0" w:color="auto"/>
          <w:left w:val="nil"/>
          <w:bottom w:val="single" w:sz="18" w:space="0" w:color="auto"/>
          <w:right w:val="nil"/>
          <w:insideH w:val="nil"/>
          <w:insideV w:val="nil"/>
        </w:tcBorders>
        <w:shd w:val="clear" w:color="auto" w:fill="5F5F5F"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0072BC" w:themeFill="background1"/>
      </w:tcPr>
    </w:tblStylePr>
    <w:tblStylePr w:type="firstCol">
      <w:rPr>
        <w:b/>
        <w:bCs/>
        <w:color w:val="0072BC" w:themeColor="background1"/>
      </w:rPr>
      <w:tblPr/>
      <w:tcPr>
        <w:tcBorders>
          <w:top w:val="nil"/>
          <w:left w:val="nil"/>
          <w:bottom w:val="single" w:sz="18" w:space="0" w:color="auto"/>
          <w:right w:val="nil"/>
          <w:insideH w:val="nil"/>
          <w:insideV w:val="nil"/>
        </w:tcBorders>
        <w:shd w:val="clear" w:color="auto" w:fill="5F5F5F" w:themeFill="accent5"/>
      </w:tcPr>
    </w:tblStylePr>
    <w:tblStylePr w:type="lastCol">
      <w:rPr>
        <w:b/>
        <w:bCs/>
        <w:color w:val="0072BC" w:themeColor="background1"/>
      </w:rPr>
      <w:tblPr/>
      <w:tcPr>
        <w:tcBorders>
          <w:left w:val="nil"/>
          <w:right w:val="nil"/>
          <w:insideH w:val="nil"/>
          <w:insideV w:val="nil"/>
        </w:tcBorders>
        <w:shd w:val="clear" w:color="auto" w:fill="5F5F5F" w:themeFill="accent5"/>
      </w:tcPr>
    </w:tblStylePr>
    <w:tblStylePr w:type="band1Vert">
      <w:tblPr/>
      <w:tcPr>
        <w:tcBorders>
          <w:left w:val="nil"/>
          <w:right w:val="nil"/>
          <w:insideH w:val="nil"/>
          <w:insideV w:val="nil"/>
        </w:tcBorders>
        <w:shd w:val="clear" w:color="auto" w:fill="00609F" w:themeFill="background1" w:themeFillShade="D8"/>
      </w:tcPr>
    </w:tblStylePr>
    <w:tblStylePr w:type="band1Horz">
      <w:tblPr/>
      <w:tcPr>
        <w:shd w:val="clear" w:color="auto" w:fill="00609F"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0072BC"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99"/>
    <w:semiHidden/>
    <w:rsid w:val="0098410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0072BC" w:themeColor="background1"/>
      </w:rPr>
      <w:tblPr/>
      <w:tcPr>
        <w:tcBorders>
          <w:top w:val="single" w:sz="18" w:space="0" w:color="auto"/>
          <w:left w:val="nil"/>
          <w:bottom w:val="single" w:sz="18" w:space="0" w:color="auto"/>
          <w:right w:val="nil"/>
          <w:insideH w:val="nil"/>
          <w:insideV w:val="nil"/>
        </w:tcBorders>
        <w:shd w:val="clear" w:color="auto" w:fill="4D4D4D"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0072BC" w:themeFill="background1"/>
      </w:tcPr>
    </w:tblStylePr>
    <w:tblStylePr w:type="firstCol">
      <w:rPr>
        <w:b/>
        <w:bCs/>
        <w:color w:val="0072BC" w:themeColor="background1"/>
      </w:rPr>
      <w:tblPr/>
      <w:tcPr>
        <w:tcBorders>
          <w:top w:val="nil"/>
          <w:left w:val="nil"/>
          <w:bottom w:val="single" w:sz="18" w:space="0" w:color="auto"/>
          <w:right w:val="nil"/>
          <w:insideH w:val="nil"/>
          <w:insideV w:val="nil"/>
        </w:tcBorders>
        <w:shd w:val="clear" w:color="auto" w:fill="4D4D4D" w:themeFill="accent6"/>
      </w:tcPr>
    </w:tblStylePr>
    <w:tblStylePr w:type="lastCol">
      <w:rPr>
        <w:b/>
        <w:bCs/>
        <w:color w:val="0072BC" w:themeColor="background1"/>
      </w:rPr>
      <w:tblPr/>
      <w:tcPr>
        <w:tcBorders>
          <w:left w:val="nil"/>
          <w:right w:val="nil"/>
          <w:insideH w:val="nil"/>
          <w:insideV w:val="nil"/>
        </w:tcBorders>
        <w:shd w:val="clear" w:color="auto" w:fill="4D4D4D" w:themeFill="accent6"/>
      </w:tcPr>
    </w:tblStylePr>
    <w:tblStylePr w:type="band1Vert">
      <w:tblPr/>
      <w:tcPr>
        <w:tcBorders>
          <w:left w:val="nil"/>
          <w:right w:val="nil"/>
          <w:insideH w:val="nil"/>
          <w:insideV w:val="nil"/>
        </w:tcBorders>
        <w:shd w:val="clear" w:color="auto" w:fill="00609F" w:themeFill="background1" w:themeFillShade="D8"/>
      </w:tcPr>
    </w:tblStylePr>
    <w:tblStylePr w:type="band1Horz">
      <w:tblPr/>
      <w:tcPr>
        <w:shd w:val="clear" w:color="auto" w:fill="00609F"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0072BC"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rsid w:val="0098410D"/>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szCs w:val="24"/>
    </w:rPr>
  </w:style>
  <w:style w:type="character" w:customStyle="1" w:styleId="MessageHeaderChar">
    <w:name w:val="Message Header Char"/>
    <w:basedOn w:val="DefaultParagraphFont"/>
    <w:link w:val="MessageHeader"/>
    <w:uiPriority w:val="99"/>
    <w:semiHidden/>
    <w:rsid w:val="0098410D"/>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rsid w:val="0098410D"/>
    <w:rPr>
      <w:rFonts w:ascii="Times New Roman" w:hAnsi="Times New Roman" w:cs="Times New Roman"/>
      <w:szCs w:val="24"/>
    </w:rPr>
  </w:style>
  <w:style w:type="paragraph" w:styleId="NormalIndent">
    <w:name w:val="Normal Indent"/>
    <w:basedOn w:val="Normal"/>
    <w:uiPriority w:val="99"/>
    <w:semiHidden/>
    <w:rsid w:val="0098410D"/>
    <w:pPr>
      <w:ind w:left="720"/>
    </w:pPr>
  </w:style>
  <w:style w:type="paragraph" w:styleId="NoteHeading">
    <w:name w:val="Note Heading"/>
    <w:basedOn w:val="Normal"/>
    <w:next w:val="Normal"/>
    <w:link w:val="NoteHeadingChar"/>
    <w:uiPriority w:val="99"/>
    <w:semiHidden/>
    <w:rsid w:val="0098410D"/>
  </w:style>
  <w:style w:type="character" w:customStyle="1" w:styleId="NoteHeadingChar">
    <w:name w:val="Note Heading Char"/>
    <w:basedOn w:val="DefaultParagraphFont"/>
    <w:link w:val="NoteHeading"/>
    <w:uiPriority w:val="99"/>
    <w:semiHidden/>
    <w:rsid w:val="0098410D"/>
    <w:rPr>
      <w:rFonts w:eastAsiaTheme="minorEastAsia"/>
      <w:sz w:val="24"/>
    </w:rPr>
  </w:style>
  <w:style w:type="character" w:styleId="PlaceholderText">
    <w:name w:val="Placeholder Text"/>
    <w:basedOn w:val="DefaultParagraphFont"/>
    <w:uiPriority w:val="99"/>
    <w:semiHidden/>
    <w:rsid w:val="00AB2979"/>
    <w:rPr>
      <w:color w:val="auto"/>
      <w:bdr w:val="none" w:sz="0" w:space="0" w:color="auto"/>
      <w:shd w:val="clear" w:color="auto" w:fill="DFDFDF" w:themeFill="background2" w:themeFillShade="E6"/>
    </w:rPr>
  </w:style>
  <w:style w:type="paragraph" w:styleId="PlainText">
    <w:name w:val="Plain Text"/>
    <w:basedOn w:val="Normal"/>
    <w:link w:val="PlainTextChar"/>
    <w:uiPriority w:val="99"/>
    <w:semiHidden/>
    <w:rsid w:val="0098410D"/>
    <w:rPr>
      <w:rFonts w:ascii="Consolas" w:hAnsi="Consolas" w:cs="Consolas"/>
      <w:sz w:val="21"/>
      <w:szCs w:val="21"/>
    </w:rPr>
  </w:style>
  <w:style w:type="character" w:customStyle="1" w:styleId="PlainTextChar">
    <w:name w:val="Plain Text Char"/>
    <w:basedOn w:val="DefaultParagraphFont"/>
    <w:link w:val="PlainText"/>
    <w:uiPriority w:val="99"/>
    <w:semiHidden/>
    <w:rsid w:val="0098410D"/>
    <w:rPr>
      <w:rFonts w:ascii="Consolas" w:eastAsiaTheme="minorEastAsia" w:hAnsi="Consolas" w:cs="Consolas"/>
      <w:sz w:val="21"/>
      <w:szCs w:val="21"/>
    </w:rPr>
  </w:style>
  <w:style w:type="paragraph" w:styleId="Salutation">
    <w:name w:val="Salutation"/>
    <w:basedOn w:val="Normal"/>
    <w:next w:val="Normal"/>
    <w:link w:val="SalutationChar"/>
    <w:uiPriority w:val="99"/>
    <w:semiHidden/>
    <w:rsid w:val="0098410D"/>
  </w:style>
  <w:style w:type="character" w:customStyle="1" w:styleId="SalutationChar">
    <w:name w:val="Salutation Char"/>
    <w:basedOn w:val="DefaultParagraphFont"/>
    <w:link w:val="Salutation"/>
    <w:uiPriority w:val="99"/>
    <w:semiHidden/>
    <w:rsid w:val="0098410D"/>
    <w:rPr>
      <w:rFonts w:eastAsiaTheme="minorEastAsia"/>
      <w:sz w:val="24"/>
    </w:rPr>
  </w:style>
  <w:style w:type="paragraph" w:styleId="Signature">
    <w:name w:val="Signature"/>
    <w:basedOn w:val="Normal"/>
    <w:link w:val="SignatureChar"/>
    <w:uiPriority w:val="99"/>
    <w:semiHidden/>
    <w:rsid w:val="0098410D"/>
    <w:pPr>
      <w:ind w:left="4252"/>
    </w:pPr>
  </w:style>
  <w:style w:type="character" w:customStyle="1" w:styleId="SignatureChar">
    <w:name w:val="Signature Char"/>
    <w:basedOn w:val="DefaultParagraphFont"/>
    <w:link w:val="Signature"/>
    <w:uiPriority w:val="99"/>
    <w:semiHidden/>
    <w:rsid w:val="0098410D"/>
    <w:rPr>
      <w:rFonts w:eastAsiaTheme="minorEastAsia"/>
      <w:sz w:val="24"/>
    </w:rPr>
  </w:style>
  <w:style w:type="table" w:styleId="Table3Deffects1">
    <w:name w:val="Table 3D effects 1"/>
    <w:basedOn w:val="TableNormal"/>
    <w:uiPriority w:val="99"/>
    <w:semiHidden/>
    <w:unhideWhenUsed/>
    <w:rsid w:val="0098410D"/>
    <w:pPr>
      <w:jc w:val="both"/>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98410D"/>
    <w:pPr>
      <w:jc w:val="both"/>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98410D"/>
    <w:pPr>
      <w:jc w:val="both"/>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98410D"/>
    <w:pPr>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98410D"/>
    <w:pPr>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98410D"/>
    <w:pPr>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98410D"/>
    <w:pPr>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98410D"/>
    <w:pPr>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98410D"/>
    <w:pPr>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98410D"/>
    <w:pPr>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98410D"/>
    <w:pPr>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98410D"/>
    <w:pPr>
      <w:jc w:val="both"/>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98410D"/>
    <w:pPr>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98410D"/>
    <w:pPr>
      <w:jc w:val="both"/>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98410D"/>
    <w:pPr>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98410D"/>
    <w:pPr>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98410D"/>
    <w:pPr>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98410D"/>
    <w:pPr>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98410D"/>
    <w:pPr>
      <w:jc w:val="both"/>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98410D"/>
    <w:pPr>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98410D"/>
    <w:pPr>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98410D"/>
    <w:pPr>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98410D"/>
    <w:pPr>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98410D"/>
    <w:pPr>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98410D"/>
    <w:pPr>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98410D"/>
    <w:pPr>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98410D"/>
    <w:pPr>
      <w:jc w:val="both"/>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98410D"/>
    <w:pPr>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98410D"/>
    <w:pPr>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98410D"/>
    <w:pPr>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98410D"/>
    <w:pPr>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98410D"/>
    <w:pPr>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98410D"/>
    <w:pPr>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98410D"/>
    <w:pPr>
      <w:ind w:left="240" w:hanging="240"/>
    </w:pPr>
  </w:style>
  <w:style w:type="paragraph" w:styleId="TableofFigures">
    <w:name w:val="table of figures"/>
    <w:basedOn w:val="Normal"/>
    <w:next w:val="Normal"/>
    <w:uiPriority w:val="99"/>
    <w:semiHidden/>
    <w:rsid w:val="0098410D"/>
  </w:style>
  <w:style w:type="table" w:styleId="TableProfessional">
    <w:name w:val="Table Professional"/>
    <w:basedOn w:val="TableNormal"/>
    <w:uiPriority w:val="99"/>
    <w:semiHidden/>
    <w:unhideWhenUsed/>
    <w:rsid w:val="0098410D"/>
    <w:pPr>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98410D"/>
    <w:pPr>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98410D"/>
    <w:pPr>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98410D"/>
    <w:pPr>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98410D"/>
    <w:pPr>
      <w:jc w:val="both"/>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98410D"/>
    <w:pPr>
      <w:jc w:val="both"/>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98410D"/>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98410D"/>
    <w:pPr>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98410D"/>
    <w:pPr>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98410D"/>
    <w:pPr>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C6">
    <w:name w:val="toc 6"/>
    <w:basedOn w:val="Normal"/>
    <w:next w:val="Normal"/>
    <w:autoRedefine/>
    <w:uiPriority w:val="99"/>
    <w:semiHidden/>
    <w:rsid w:val="00AB2979"/>
    <w:pPr>
      <w:tabs>
        <w:tab w:val="right" w:leader="dot" w:pos="7371"/>
      </w:tabs>
      <w:spacing w:after="60" w:line="240" w:lineRule="exact"/>
      <w:ind w:left="2041" w:right="567" w:hanging="340"/>
    </w:pPr>
    <w:rPr>
      <w:sz w:val="20"/>
    </w:rPr>
  </w:style>
  <w:style w:type="paragraph" w:styleId="TOC7">
    <w:name w:val="toc 7"/>
    <w:basedOn w:val="Normal"/>
    <w:next w:val="Normal"/>
    <w:autoRedefine/>
    <w:uiPriority w:val="99"/>
    <w:semiHidden/>
    <w:rsid w:val="00AB2979"/>
    <w:pPr>
      <w:tabs>
        <w:tab w:val="right" w:leader="dot" w:pos="7371"/>
      </w:tabs>
      <w:spacing w:after="60" w:line="240" w:lineRule="exact"/>
      <w:ind w:left="2381" w:right="567" w:hanging="340"/>
    </w:pPr>
    <w:rPr>
      <w:sz w:val="20"/>
    </w:rPr>
  </w:style>
  <w:style w:type="paragraph" w:styleId="TOC8">
    <w:name w:val="toc 8"/>
    <w:basedOn w:val="Normal"/>
    <w:next w:val="Normal"/>
    <w:autoRedefine/>
    <w:uiPriority w:val="99"/>
    <w:semiHidden/>
    <w:rsid w:val="0098410D"/>
    <w:pPr>
      <w:spacing w:after="100"/>
      <w:ind w:left="1680"/>
    </w:pPr>
  </w:style>
  <w:style w:type="paragraph" w:styleId="TOC9">
    <w:name w:val="toc 9"/>
    <w:basedOn w:val="Normal"/>
    <w:next w:val="Normal"/>
    <w:autoRedefine/>
    <w:uiPriority w:val="99"/>
    <w:semiHidden/>
    <w:rsid w:val="0098410D"/>
    <w:pPr>
      <w:spacing w:after="100"/>
      <w:ind w:left="1920"/>
    </w:pPr>
  </w:style>
  <w:style w:type="paragraph" w:customStyle="1" w:styleId="OpiParaSub">
    <w:name w:val="Opi_Para_Sub"/>
    <w:basedOn w:val="JuParaSub"/>
    <w:uiPriority w:val="47"/>
    <w:qFormat/>
    <w:rsid w:val="00AB2979"/>
  </w:style>
  <w:style w:type="paragraph" w:customStyle="1" w:styleId="OpiQuot">
    <w:name w:val="Opi_Quot"/>
    <w:basedOn w:val="ECHRParaQuote"/>
    <w:uiPriority w:val="48"/>
    <w:qFormat/>
    <w:rsid w:val="00AB2979"/>
  </w:style>
  <w:style w:type="paragraph" w:customStyle="1" w:styleId="ECHRFooter">
    <w:name w:val="ECHR_Footer"/>
    <w:aliases w:val="Footer_ECHR"/>
    <w:basedOn w:val="Footer"/>
    <w:uiPriority w:val="57"/>
    <w:semiHidden/>
    <w:rsid w:val="00AB2979"/>
    <w:pPr>
      <w:jc w:val="left"/>
    </w:pPr>
    <w:rPr>
      <w:sz w:val="8"/>
    </w:rPr>
  </w:style>
  <w:style w:type="paragraph" w:customStyle="1" w:styleId="ECHRFooterLine">
    <w:name w:val="ECHR_Footer_Line"/>
    <w:aliases w:val="Footer_Line"/>
    <w:basedOn w:val="Normal"/>
    <w:next w:val="ECHRFooter"/>
    <w:uiPriority w:val="57"/>
    <w:semiHidden/>
    <w:rsid w:val="00AB2979"/>
    <w:pPr>
      <w:pBdr>
        <w:top w:val="single" w:sz="6" w:space="1" w:color="5F5F5F"/>
      </w:pBdr>
      <w:tabs>
        <w:tab w:val="center" w:pos="4536"/>
        <w:tab w:val="right" w:pos="9696"/>
      </w:tabs>
      <w:ind w:left="-680" w:right="-680"/>
      <w:jc w:val="left"/>
    </w:pPr>
    <w:rPr>
      <w:color w:val="5F5F5F"/>
    </w:rPr>
  </w:style>
  <w:style w:type="paragraph" w:customStyle="1" w:styleId="ECHRTitleCentre2">
    <w:name w:val="ECHR_Title_Centre_2"/>
    <w:aliases w:val="Dec_H_Case"/>
    <w:basedOn w:val="Normal"/>
    <w:next w:val="ECHRPara"/>
    <w:uiPriority w:val="8"/>
    <w:qFormat/>
    <w:rsid w:val="00AB2979"/>
    <w:pPr>
      <w:spacing w:after="240"/>
      <w:jc w:val="center"/>
      <w:outlineLvl w:val="0"/>
    </w:pPr>
    <w:rPr>
      <w:rFonts w:asciiTheme="majorHAnsi" w:hAnsiTheme="majorHAnsi"/>
    </w:rPr>
  </w:style>
  <w:style w:type="paragraph" w:customStyle="1" w:styleId="OpiQuotSub">
    <w:name w:val="Opi_Quot_Sub"/>
    <w:basedOn w:val="JuQuotSub"/>
    <w:uiPriority w:val="49"/>
    <w:qFormat/>
    <w:rsid w:val="00AB2979"/>
  </w:style>
  <w:style w:type="paragraph" w:customStyle="1" w:styleId="OpiTranslation">
    <w:name w:val="Opi_Translation"/>
    <w:basedOn w:val="Normal"/>
    <w:next w:val="OpiPara"/>
    <w:uiPriority w:val="40"/>
    <w:qFormat/>
    <w:rsid w:val="00AB2979"/>
    <w:pPr>
      <w:jc w:val="center"/>
      <w:outlineLvl w:val="0"/>
    </w:pPr>
    <w:rPr>
      <w:i/>
    </w:rPr>
  </w:style>
  <w:style w:type="paragraph" w:customStyle="1" w:styleId="JuTitle">
    <w:name w:val="Ju_Title"/>
    <w:basedOn w:val="Normal"/>
    <w:next w:val="ECHRPara"/>
    <w:uiPriority w:val="3"/>
    <w:qFormat/>
    <w:rsid w:val="00AB2979"/>
    <w:pPr>
      <w:spacing w:before="720" w:after="240"/>
      <w:jc w:val="center"/>
      <w:outlineLvl w:val="0"/>
    </w:pPr>
    <w:rPr>
      <w:rFonts w:asciiTheme="majorHAnsi" w:hAnsiTheme="majorHAnsi"/>
      <w:b/>
      <w:caps/>
    </w:rPr>
  </w:style>
  <w:style w:type="character" w:customStyle="1" w:styleId="ECHRParaChar">
    <w:name w:val="ECHR_Para Char"/>
    <w:aliases w:val="Ju_Para Char"/>
    <w:link w:val="ECHRPara"/>
    <w:uiPriority w:val="12"/>
    <w:rsid w:val="007156A2"/>
    <w:rPr>
      <w:rFonts w:eastAsiaTheme="minorEastAsia"/>
      <w:sz w:val="24"/>
    </w:rPr>
  </w:style>
  <w:style w:type="paragraph" w:styleId="Revision">
    <w:name w:val="Revision"/>
    <w:hidden/>
    <w:uiPriority w:val="99"/>
    <w:semiHidden/>
    <w:rsid w:val="007156A2"/>
    <w:rPr>
      <w:rFonts w:eastAsiaTheme="minorEastAsia"/>
      <w:sz w:val="24"/>
    </w:rPr>
  </w:style>
  <w:style w:type="paragraph" w:customStyle="1" w:styleId="jupara">
    <w:name w:val="jupara"/>
    <w:basedOn w:val="Normal"/>
    <w:rsid w:val="00E2240E"/>
    <w:pPr>
      <w:ind w:firstLine="284"/>
    </w:pPr>
    <w:rPr>
      <w:rFonts w:ascii="Times New Roman" w:eastAsia="Times New Roman" w:hAnsi="Times New Roman" w:cs="Times New Roman"/>
      <w:szCs w:val="24"/>
      <w:lang w:val="en-GB" w:eastAsia="en-GB"/>
    </w:rPr>
  </w:style>
  <w:style w:type="paragraph" w:customStyle="1" w:styleId="jucase0">
    <w:name w:val="jucase"/>
    <w:basedOn w:val="Normal"/>
    <w:rsid w:val="00E2240E"/>
    <w:pPr>
      <w:ind w:firstLine="284"/>
    </w:pPr>
    <w:rPr>
      <w:rFonts w:ascii="Times New Roman" w:eastAsia="Times New Roman" w:hAnsi="Times New Roman" w:cs="Times New Roman"/>
      <w:b/>
      <w:bCs/>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45431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2.xml"/><Relationship Id="rId18"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customXml" Target="../customXml/item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customXml" Target="../customXml/item4.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ECHR_Theme_Judgments_Decisions_Reports">
  <a:themeElements>
    <a:clrScheme name="ECHR_grey">
      <a:dk1>
        <a:sysClr val="windowText" lastClr="000000"/>
      </a:dk1>
      <a:lt1>
        <a:srgbClr val="0072BC"/>
      </a:lt1>
      <a:dk2>
        <a:srgbClr val="C6C6C6"/>
      </a:dk2>
      <a:lt2>
        <a:srgbClr val="F8F8F8"/>
      </a:lt2>
      <a:accent1>
        <a:srgbClr val="0072BC"/>
      </a:accent1>
      <a:accent2>
        <a:srgbClr val="C00000"/>
      </a:accent2>
      <a:accent3>
        <a:srgbClr val="5F5F5F"/>
      </a:accent3>
      <a:accent4>
        <a:srgbClr val="969696"/>
      </a:accent4>
      <a:accent5>
        <a:srgbClr val="5F5F5F"/>
      </a:accent5>
      <a:accent6>
        <a:srgbClr val="4D4D4D"/>
      </a:accent6>
      <a:hlink>
        <a:srgbClr val="0072BC"/>
      </a:hlink>
      <a:folHlink>
        <a:srgbClr val="7030A0"/>
      </a:folHlink>
    </a:clrScheme>
    <a:fontScheme name="ECHR_Judgments_Reports_Decisions">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58EB02BDB9E204AB350EDD385B68E10" ma:contentTypeVersion="0" ma:contentTypeDescription="Create a new document." ma:contentTypeScope="" ma:versionID="4c0f801ee557d5c8fba2c83aceb7a3a2">
  <xsd:schema xmlns:xsd="http://www.w3.org/2001/XMLSchema" xmlns:xs="http://www.w3.org/2001/XMLSchema" xmlns:p="http://schemas.microsoft.com/office/2006/metadata/properties" targetNamespace="http://schemas.microsoft.com/office/2006/metadata/properties" ma:root="true" ma:fieldsID="66a9e0779a85d62bb2248c31b91edb7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A8D242D-46B9-44BE-ACA3-2BBD820E7099}"/>
</file>

<file path=customXml/itemProps2.xml><?xml version="1.0" encoding="utf-8"?>
<ds:datastoreItem xmlns:ds="http://schemas.openxmlformats.org/officeDocument/2006/customXml" ds:itemID="{B080094E-CDE8-446B-8848-CB30E4690180}"/>
</file>

<file path=customXml/itemProps3.xml><?xml version="1.0" encoding="utf-8"?>
<ds:datastoreItem xmlns:ds="http://schemas.openxmlformats.org/officeDocument/2006/customXml" ds:itemID="{C01A83F8-4030-4409-AD26-5BD8D4D42270}"/>
</file>

<file path=customXml/itemProps4.xml><?xml version="1.0" encoding="utf-8"?>
<ds:datastoreItem xmlns:ds="http://schemas.openxmlformats.org/officeDocument/2006/customXml" ds:itemID="{9550FDE1-CB98-4A93-9683-1E54E454B23F}"/>
</file>

<file path=docProps/app.xml><?xml version="1.0" encoding="utf-8"?>
<Properties xmlns="http://schemas.openxmlformats.org/officeDocument/2006/extended-properties" xmlns:vt="http://schemas.openxmlformats.org/officeDocument/2006/docPropsVTypes">
  <Template>Normal.dotm</Template>
  <TotalTime>0</TotalTime>
  <Pages>1</Pages>
  <Words>4494</Words>
  <Characters>25620</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ECHR</vt:lpstr>
    </vt:vector>
  </TitlesOfParts>
  <Manager/>
  <Company/>
  <LinksUpToDate>false</LinksUpToDate>
  <CharactersWithSpaces>30054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ECHR</dc:title>
  <dc:subject>JUD</dc:subject>
  <dc:creator/>
  <cp:lastModifiedBy/>
  <cp:revision>1</cp:revision>
  <dcterms:created xsi:type="dcterms:W3CDTF">2017-06-16T09:22:00Z</dcterms:created>
  <dcterms:modified xsi:type="dcterms:W3CDTF">2017-06-16T09:22:00Z</dcterms:modified>
  <cp:category>ECHR Template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0x010100558EB02BDB9E204AB350EDD385B68E10</vt:lpwstr>
  </property>
</Properties>
</file>